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2FF6357" w:rsidR="00EA0165" w:rsidRPr="00C66186" w:rsidRDefault="00EA0165" w:rsidP="00C373ED">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C6618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C66186">
        <w:rPr>
          <w:rFonts w:ascii="Palatino Linotype" w:eastAsiaTheme="minorEastAsia" w:hAnsi="Palatino Linotype" w:cstheme="minorBidi"/>
          <w:color w:val="000000" w:themeColor="text1"/>
          <w:lang w:val="es-ES_tradnl"/>
        </w:rPr>
        <w:t xml:space="preserve">n Metepec, Estado </w:t>
      </w:r>
      <w:r w:rsidR="00C95D10" w:rsidRPr="00C66186">
        <w:rPr>
          <w:rFonts w:ascii="Palatino Linotype" w:eastAsiaTheme="minorEastAsia" w:hAnsi="Palatino Linotype" w:cstheme="minorBidi"/>
          <w:color w:val="000000" w:themeColor="text1"/>
          <w:lang w:val="es-ES_tradnl"/>
        </w:rPr>
        <w:t>de México; de diecisiete</w:t>
      </w:r>
      <w:r w:rsidR="00722238" w:rsidRPr="00C66186">
        <w:rPr>
          <w:rFonts w:ascii="Palatino Linotype" w:eastAsiaTheme="minorEastAsia" w:hAnsi="Palatino Linotype" w:cstheme="minorBidi"/>
          <w:color w:val="000000" w:themeColor="text1"/>
          <w:lang w:val="es-ES_tradnl"/>
        </w:rPr>
        <w:t xml:space="preserve"> </w:t>
      </w:r>
      <w:r w:rsidRPr="00C66186">
        <w:rPr>
          <w:rFonts w:ascii="Palatino Linotype" w:eastAsiaTheme="minorEastAsia" w:hAnsi="Palatino Linotype" w:cstheme="minorBidi"/>
          <w:color w:val="000000" w:themeColor="text1"/>
          <w:lang w:val="es-MX"/>
        </w:rPr>
        <w:t>(</w:t>
      </w:r>
      <w:r w:rsidR="00C95D10" w:rsidRPr="00C66186">
        <w:rPr>
          <w:rFonts w:ascii="Palatino Linotype" w:eastAsiaTheme="minorEastAsia" w:hAnsi="Palatino Linotype" w:cstheme="minorBidi"/>
          <w:color w:val="000000" w:themeColor="text1"/>
          <w:lang w:val="es-MX"/>
        </w:rPr>
        <w:t>17</w:t>
      </w:r>
      <w:r w:rsidRPr="00C66186">
        <w:rPr>
          <w:rFonts w:ascii="Palatino Linotype" w:eastAsiaTheme="minorEastAsia" w:hAnsi="Palatino Linotype" w:cstheme="minorBidi"/>
          <w:color w:val="000000" w:themeColor="text1"/>
          <w:lang w:val="es-MX"/>
        </w:rPr>
        <w:t>) de</w:t>
      </w:r>
      <w:r w:rsidR="00C95D10" w:rsidRPr="00C66186">
        <w:rPr>
          <w:rFonts w:ascii="Palatino Linotype" w:eastAsiaTheme="minorEastAsia" w:hAnsi="Palatino Linotype" w:cstheme="minorBidi"/>
          <w:color w:val="000000" w:themeColor="text1"/>
          <w:lang w:val="es-MX"/>
        </w:rPr>
        <w:t xml:space="preserve"> mayo</w:t>
      </w:r>
      <w:r w:rsidR="000E2E2A" w:rsidRPr="00C66186">
        <w:rPr>
          <w:rFonts w:ascii="Palatino Linotype" w:eastAsiaTheme="minorEastAsia" w:hAnsi="Palatino Linotype" w:cstheme="minorBidi"/>
          <w:color w:val="000000" w:themeColor="text1"/>
          <w:lang w:val="es-MX"/>
        </w:rPr>
        <w:t xml:space="preserve"> de </w:t>
      </w:r>
      <w:r w:rsidR="00B27D4C" w:rsidRPr="00C66186">
        <w:rPr>
          <w:rFonts w:ascii="Palatino Linotype" w:eastAsiaTheme="minorEastAsia" w:hAnsi="Palatino Linotype" w:cstheme="minorBidi"/>
          <w:color w:val="000000" w:themeColor="text1"/>
          <w:lang w:val="es-MX"/>
        </w:rPr>
        <w:t>d</w:t>
      </w:r>
      <w:r w:rsidR="00C95D10" w:rsidRPr="00C66186">
        <w:rPr>
          <w:rFonts w:ascii="Palatino Linotype" w:eastAsiaTheme="minorEastAsia" w:hAnsi="Palatino Linotype" w:cstheme="minorBidi"/>
          <w:color w:val="000000" w:themeColor="text1"/>
          <w:lang w:val="es-MX"/>
        </w:rPr>
        <w:t>os mil veintitrés.</w:t>
      </w:r>
    </w:p>
    <w:p w14:paraId="252DC364" w14:textId="2597CD1D" w:rsidR="00B05DE3" w:rsidRPr="00C66186" w:rsidRDefault="0086526E"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C66186">
        <w:rPr>
          <w:rFonts w:ascii="Palatino Linotype" w:eastAsia="Palatino Linotype" w:hAnsi="Palatino Linotype" w:cs="Palatino Linotype"/>
          <w:b/>
          <w:color w:val="000000"/>
        </w:rPr>
        <w:t>VISTO</w:t>
      </w:r>
      <w:r w:rsidRPr="00C66186">
        <w:rPr>
          <w:rFonts w:ascii="Palatino Linotype" w:eastAsia="Palatino Linotype" w:hAnsi="Palatino Linotype" w:cs="Palatino Linotype"/>
          <w:color w:val="000000"/>
        </w:rPr>
        <w:t xml:space="preserve"> el expediente electrónico formado con motivo del recurso de revisión </w:t>
      </w:r>
      <w:r w:rsidRPr="00C66186">
        <w:rPr>
          <w:rFonts w:ascii="Palatino Linotype" w:eastAsia="Palatino Linotype" w:hAnsi="Palatino Linotype" w:cs="Palatino Linotype"/>
          <w:b/>
          <w:bCs/>
          <w:color w:val="000000"/>
        </w:rPr>
        <w:t>INFOEM/IP/RR/2023</w:t>
      </w:r>
      <w:r w:rsidRPr="00C66186">
        <w:rPr>
          <w:rFonts w:ascii="Palatino Linotype" w:eastAsia="Palatino Linotype" w:hAnsi="Palatino Linotype" w:cs="Palatino Linotype"/>
          <w:b/>
          <w:color w:val="000000"/>
        </w:rPr>
        <w:t xml:space="preserve">, </w:t>
      </w:r>
      <w:r w:rsidRPr="00C66186">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C66186">
        <w:rPr>
          <w:rFonts w:ascii="Palatino Linotype" w:eastAsiaTheme="minorEastAsia" w:hAnsi="Palatino Linotype" w:cstheme="minorBidi"/>
          <w:b/>
          <w:color w:val="000000" w:themeColor="text1"/>
          <w:lang w:val="es-ES_tradnl"/>
        </w:rPr>
        <w:t xml:space="preserve">(SAIMEX), </w:t>
      </w:r>
      <w:r w:rsidRPr="00C66186">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C66186">
        <w:rPr>
          <w:rFonts w:ascii="Palatino Linotype" w:eastAsiaTheme="minorEastAsia" w:hAnsi="Palatino Linotype" w:cstheme="minorBidi"/>
          <w:b/>
          <w:color w:val="000000" w:themeColor="text1"/>
          <w:lang w:val="es-ES_tradnl"/>
        </w:rPr>
        <w:t>RECURRENTE</w:t>
      </w:r>
      <w:r w:rsidRPr="00C66186">
        <w:rPr>
          <w:rFonts w:ascii="Palatino Linotype" w:eastAsiaTheme="minorEastAsia" w:hAnsi="Palatino Linotype" w:cstheme="minorBidi"/>
          <w:color w:val="000000" w:themeColor="text1"/>
          <w:lang w:val="es-ES_tradnl"/>
        </w:rPr>
        <w:t xml:space="preserve">, en contra de la respuesta de la </w:t>
      </w:r>
      <w:r w:rsidRPr="00C66186">
        <w:rPr>
          <w:rFonts w:ascii="Palatino Linotype" w:eastAsiaTheme="minorEastAsia" w:hAnsi="Palatino Linotype" w:cstheme="minorBidi"/>
          <w:b/>
          <w:color w:val="000000" w:themeColor="text1"/>
          <w:lang w:val="es-ES_tradnl"/>
        </w:rPr>
        <w:t>Secretaría de Finanzas</w:t>
      </w:r>
      <w:r w:rsidRPr="00C66186">
        <w:rPr>
          <w:rFonts w:ascii="Palatino Linotype" w:eastAsiaTheme="minorEastAsia" w:hAnsi="Palatino Linotype" w:cstheme="minorBidi"/>
          <w:color w:val="000000" w:themeColor="text1"/>
          <w:lang w:val="es-ES_tradnl"/>
        </w:rPr>
        <w:t xml:space="preserve"> en lo</w:t>
      </w:r>
      <w:r w:rsidRPr="00C66186">
        <w:rPr>
          <w:rFonts w:ascii="Palatino Linotype" w:eastAsiaTheme="minorEastAsia" w:hAnsi="Palatino Linotype" w:cstheme="minorBidi"/>
          <w:b/>
          <w:color w:val="000000" w:themeColor="text1"/>
          <w:lang w:val="es-ES_tradnl"/>
        </w:rPr>
        <w:t xml:space="preserve"> </w:t>
      </w:r>
      <w:r w:rsidRPr="00C66186">
        <w:rPr>
          <w:rFonts w:ascii="Palatino Linotype" w:eastAsiaTheme="minorEastAsia" w:hAnsi="Palatino Linotype" w:cstheme="minorBidi"/>
          <w:color w:val="000000" w:themeColor="text1"/>
          <w:lang w:val="es-ES_tradnl"/>
        </w:rPr>
        <w:t>sucesivo el</w:t>
      </w:r>
      <w:r w:rsidRPr="00C66186">
        <w:rPr>
          <w:rFonts w:ascii="Palatino Linotype" w:eastAsiaTheme="minorEastAsia" w:hAnsi="Palatino Linotype" w:cstheme="minorBidi"/>
          <w:b/>
          <w:color w:val="000000" w:themeColor="text1"/>
          <w:lang w:val="es-ES_tradnl"/>
        </w:rPr>
        <w:t xml:space="preserve"> SUJETO OBLIGADO, </w:t>
      </w:r>
      <w:r w:rsidRPr="00C66186">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C66186"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C66186">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19F8E529" w:rsidR="00707416" w:rsidRPr="00C66186" w:rsidRDefault="00EA0165" w:rsidP="00B51116">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C66186">
        <w:rPr>
          <w:rFonts w:ascii="Palatino Linotype" w:eastAsia="Calibri" w:hAnsi="Palatino Linotype" w:cs="Arial"/>
          <w:color w:val="000000" w:themeColor="text1"/>
        </w:rPr>
        <w:t>El</w:t>
      </w:r>
      <w:r w:rsidR="0086526E" w:rsidRPr="00C66186">
        <w:rPr>
          <w:rFonts w:ascii="Palatino Linotype" w:eastAsia="Calibri" w:hAnsi="Palatino Linotype" w:cs="Arial"/>
          <w:color w:val="000000" w:themeColor="text1"/>
        </w:rPr>
        <w:t xml:space="preserve"> quince</w:t>
      </w:r>
      <w:r w:rsidR="00416E00" w:rsidRPr="00C66186">
        <w:rPr>
          <w:rFonts w:ascii="Palatino Linotype" w:eastAsia="Calibri" w:hAnsi="Palatino Linotype" w:cs="Arial"/>
          <w:color w:val="000000" w:themeColor="text1"/>
        </w:rPr>
        <w:t xml:space="preserve"> </w:t>
      </w:r>
      <w:r w:rsidRPr="00C66186">
        <w:rPr>
          <w:rFonts w:ascii="Palatino Linotype" w:eastAsia="Calibri" w:hAnsi="Palatino Linotype" w:cs="Arial"/>
          <w:color w:val="000000" w:themeColor="text1"/>
        </w:rPr>
        <w:t>(</w:t>
      </w:r>
      <w:r w:rsidR="0086526E" w:rsidRPr="00C66186">
        <w:rPr>
          <w:rFonts w:ascii="Palatino Linotype" w:eastAsia="Calibri" w:hAnsi="Palatino Linotype" w:cs="Arial"/>
          <w:color w:val="000000" w:themeColor="text1"/>
        </w:rPr>
        <w:t>15</w:t>
      </w:r>
      <w:r w:rsidRPr="00C66186">
        <w:rPr>
          <w:rFonts w:ascii="Palatino Linotype" w:eastAsia="Calibri" w:hAnsi="Palatino Linotype" w:cs="Arial"/>
          <w:color w:val="000000" w:themeColor="text1"/>
        </w:rPr>
        <w:t>) de</w:t>
      </w:r>
      <w:r w:rsidR="0086526E" w:rsidRPr="00C66186">
        <w:rPr>
          <w:rFonts w:ascii="Palatino Linotype" w:eastAsia="Calibri" w:hAnsi="Palatino Linotype" w:cs="Arial"/>
          <w:color w:val="000000" w:themeColor="text1"/>
        </w:rPr>
        <w:t xml:space="preserve"> febrero </w:t>
      </w:r>
      <w:r w:rsidRPr="00C66186">
        <w:rPr>
          <w:rFonts w:ascii="Palatino Linotype" w:eastAsia="Calibri" w:hAnsi="Palatino Linotype" w:cs="Arial"/>
          <w:color w:val="000000" w:themeColor="text1"/>
        </w:rPr>
        <w:t xml:space="preserve">de dos mil </w:t>
      </w:r>
      <w:r w:rsidR="000E2E2A" w:rsidRPr="00C66186">
        <w:rPr>
          <w:rFonts w:ascii="Palatino Linotype" w:eastAsia="Calibri" w:hAnsi="Palatino Linotype" w:cs="Arial"/>
          <w:color w:val="000000" w:themeColor="text1"/>
        </w:rPr>
        <w:t>veintitrés</w:t>
      </w:r>
      <w:r w:rsidRPr="00C66186">
        <w:rPr>
          <w:rFonts w:ascii="Palatino Linotype" w:eastAsia="Calibri" w:hAnsi="Palatino Linotype" w:cs="Arial"/>
          <w:color w:val="000000" w:themeColor="text1"/>
        </w:rPr>
        <w:t xml:space="preserve">, </w:t>
      </w:r>
      <w:r w:rsidRPr="00C66186">
        <w:rPr>
          <w:rFonts w:ascii="Palatino Linotype" w:eastAsiaTheme="minorEastAsia" w:hAnsi="Palatino Linotype" w:cstheme="minorBidi"/>
          <w:color w:val="000000" w:themeColor="text1"/>
          <w:lang w:val="es-ES_tradnl"/>
        </w:rPr>
        <w:t>el particular presentó</w:t>
      </w:r>
      <w:r w:rsidRPr="00C66186">
        <w:rPr>
          <w:rFonts w:ascii="Palatino Linotype" w:eastAsiaTheme="minorEastAsia" w:hAnsi="Palatino Linotype" w:cstheme="minorBidi"/>
          <w:b/>
          <w:color w:val="000000" w:themeColor="text1"/>
          <w:lang w:val="es-ES_tradnl"/>
        </w:rPr>
        <w:t xml:space="preserve"> </w:t>
      </w:r>
      <w:r w:rsidR="00936BED" w:rsidRPr="00C66186">
        <w:rPr>
          <w:rFonts w:ascii="Palatino Linotype" w:eastAsiaTheme="minorEastAsia" w:hAnsi="Palatino Linotype" w:cstheme="minorBidi"/>
          <w:bCs/>
          <w:color w:val="000000" w:themeColor="text1"/>
          <w:lang w:val="es-ES_tradnl"/>
        </w:rPr>
        <w:t>a través de</w:t>
      </w:r>
      <w:r w:rsidR="00923BD9" w:rsidRPr="00C66186">
        <w:rPr>
          <w:rFonts w:ascii="Palatino Linotype" w:eastAsiaTheme="minorEastAsia" w:hAnsi="Palatino Linotype" w:cstheme="minorBidi"/>
          <w:bCs/>
          <w:color w:val="000000" w:themeColor="text1"/>
          <w:lang w:val="es-ES_tradnl"/>
        </w:rPr>
        <w:t>l</w:t>
      </w:r>
      <w:r w:rsidR="00923BD9" w:rsidRPr="00C66186">
        <w:rPr>
          <w:rFonts w:ascii="Palatino Linotype" w:eastAsia="Calibri" w:hAnsi="Palatino Linotype" w:cs="Arial"/>
          <w:color w:val="000000" w:themeColor="text1"/>
        </w:rPr>
        <w:t xml:space="preserve"> </w:t>
      </w:r>
      <w:r w:rsidR="00923BD9" w:rsidRPr="00C66186">
        <w:rPr>
          <w:rFonts w:ascii="Palatino Linotype" w:eastAsiaTheme="minorEastAsia" w:hAnsi="Palatino Linotype" w:cstheme="minorBidi"/>
          <w:bCs/>
          <w:color w:val="000000" w:themeColor="text1"/>
        </w:rPr>
        <w:t xml:space="preserve">Sistema de Acceso a la Información Mexiquense </w:t>
      </w:r>
      <w:r w:rsidR="00923BD9" w:rsidRPr="00C66186">
        <w:rPr>
          <w:rFonts w:ascii="Palatino Linotype" w:eastAsiaTheme="minorEastAsia" w:hAnsi="Palatino Linotype" w:cstheme="minorBidi"/>
          <w:b/>
          <w:bCs/>
          <w:color w:val="000000" w:themeColor="text1"/>
        </w:rPr>
        <w:t>(SAIMEX)</w:t>
      </w:r>
      <w:r w:rsidRPr="00C66186">
        <w:rPr>
          <w:rFonts w:ascii="Palatino Linotype" w:eastAsia="Calibri" w:hAnsi="Palatino Linotype" w:cs="Arial"/>
          <w:b/>
          <w:color w:val="000000" w:themeColor="text1"/>
        </w:rPr>
        <w:t xml:space="preserve">, </w:t>
      </w:r>
      <w:r w:rsidRPr="00C66186">
        <w:rPr>
          <w:rFonts w:ascii="Palatino Linotype" w:eastAsia="Calibri" w:hAnsi="Palatino Linotype" w:cs="Arial"/>
          <w:color w:val="000000" w:themeColor="text1"/>
        </w:rPr>
        <w:t>la solicitud de información pública registrada con el número</w:t>
      </w:r>
      <w:r w:rsidR="00D56C5F" w:rsidRPr="00C66186">
        <w:rPr>
          <w:rFonts w:ascii="Palatino Linotype" w:eastAsia="Calibri" w:hAnsi="Palatino Linotype" w:cs="Arial"/>
          <w:color w:val="000000" w:themeColor="text1"/>
        </w:rPr>
        <w:t xml:space="preserve"> </w:t>
      </w:r>
      <w:r w:rsidR="00B51116" w:rsidRPr="00C66186">
        <w:rPr>
          <w:rFonts w:ascii="Palatino Linotype" w:eastAsia="Calibri" w:hAnsi="Palatino Linotype" w:cs="Arial"/>
          <w:b/>
          <w:bCs/>
          <w:color w:val="000000" w:themeColor="text1"/>
        </w:rPr>
        <w:t>00108/SF/IP/2023</w:t>
      </w:r>
      <w:r w:rsidRPr="00C66186">
        <w:rPr>
          <w:rFonts w:ascii="Palatino Linotype" w:eastAsiaTheme="minorEastAsia" w:hAnsi="Palatino Linotype" w:cstheme="minorBidi"/>
          <w:b/>
          <w:bCs/>
          <w:color w:val="000000" w:themeColor="text1"/>
          <w:lang w:val="es-ES_tradnl"/>
        </w:rPr>
        <w:t>,</w:t>
      </w:r>
      <w:r w:rsidRPr="00C66186">
        <w:rPr>
          <w:rFonts w:ascii="Palatino Linotype" w:eastAsia="Calibri" w:hAnsi="Palatino Linotype" w:cs="Arial"/>
          <w:color w:val="000000" w:themeColor="text1"/>
        </w:rPr>
        <w:t xml:space="preserve"> mediante la cual requirió:</w:t>
      </w:r>
    </w:p>
    <w:p w14:paraId="119BF7E0" w14:textId="691ED330" w:rsidR="00EA0165" w:rsidRPr="00C66186" w:rsidRDefault="00EA0165" w:rsidP="00C373E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C66186">
        <w:rPr>
          <w:rFonts w:ascii="Palatino Linotype" w:eastAsiaTheme="minorEastAsia" w:hAnsi="Palatino Linotype" w:cstheme="minorBidi"/>
          <w:i/>
          <w:color w:val="000000" w:themeColor="text1"/>
          <w:lang w:val="es-ES_tradnl"/>
        </w:rPr>
        <w:t>“</w:t>
      </w:r>
      <w:r w:rsidR="00B51116" w:rsidRPr="00C66186">
        <w:rPr>
          <w:rFonts w:ascii="Palatino Linotype" w:eastAsiaTheme="minorEastAsia" w:hAnsi="Palatino Linotype" w:cstheme="minorBidi"/>
          <w:i/>
          <w:color w:val="000000" w:themeColor="text1"/>
          <w:lang w:val="es-ES_tradnl"/>
        </w:rPr>
        <w:t>Solicito me indiquen lo siguiente: 1. Es cierto, que la unidad i</w:t>
      </w:r>
      <w:r w:rsidR="005273C4">
        <w:rPr>
          <w:rFonts w:ascii="Palatino Linotype" w:eastAsiaTheme="minorEastAsia" w:hAnsi="Palatino Linotype" w:cstheme="minorBidi"/>
          <w:i/>
          <w:color w:val="000000" w:themeColor="text1"/>
          <w:lang w:val="es-ES_tradnl"/>
        </w:rPr>
        <w:t>dentificada con número de serie XXXXXXXXXX</w:t>
      </w:r>
      <w:r w:rsidR="00B51116" w:rsidRPr="00C66186">
        <w:rPr>
          <w:rFonts w:ascii="Palatino Linotype" w:eastAsiaTheme="minorEastAsia" w:hAnsi="Palatino Linotype" w:cstheme="minorBidi"/>
          <w:i/>
          <w:color w:val="000000" w:themeColor="text1"/>
          <w:lang w:val="es-ES_tradnl"/>
        </w:rPr>
        <w:t xml:space="preserve">, se encuentra </w:t>
      </w:r>
      <w:proofErr w:type="spellStart"/>
      <w:r w:rsidR="00B51116" w:rsidRPr="00C66186">
        <w:rPr>
          <w:rFonts w:ascii="Palatino Linotype" w:eastAsiaTheme="minorEastAsia" w:hAnsi="Palatino Linotype" w:cstheme="minorBidi"/>
          <w:i/>
          <w:color w:val="000000" w:themeColor="text1"/>
          <w:lang w:val="es-ES_tradnl"/>
        </w:rPr>
        <w:t>registado</w:t>
      </w:r>
      <w:proofErr w:type="spellEnd"/>
      <w:r w:rsidR="00B51116" w:rsidRPr="00C66186">
        <w:rPr>
          <w:rFonts w:ascii="Palatino Linotype" w:eastAsiaTheme="minorEastAsia" w:hAnsi="Palatino Linotype" w:cstheme="minorBidi"/>
          <w:i/>
          <w:color w:val="000000" w:themeColor="text1"/>
          <w:lang w:val="es-ES_tradnl"/>
        </w:rPr>
        <w:t xml:space="preserve"> con las placas de circulación </w:t>
      </w:r>
      <w:r w:rsidR="005273C4">
        <w:rPr>
          <w:rFonts w:ascii="Palatino Linotype" w:eastAsiaTheme="minorEastAsia" w:hAnsi="Palatino Linotype" w:cstheme="minorBidi"/>
          <w:i/>
          <w:color w:val="000000" w:themeColor="text1"/>
          <w:lang w:val="es-ES_tradnl"/>
        </w:rPr>
        <w:t>XXXXXXXX</w:t>
      </w:r>
      <w:r w:rsidR="00B51116" w:rsidRPr="00C66186">
        <w:rPr>
          <w:rFonts w:ascii="Palatino Linotype" w:eastAsiaTheme="minorEastAsia" w:hAnsi="Palatino Linotype" w:cstheme="minorBidi"/>
          <w:i/>
          <w:color w:val="000000" w:themeColor="text1"/>
          <w:lang w:val="es-ES_tradnl"/>
        </w:rPr>
        <w:t xml:space="preserve"> del Estado de México. 2. En caso de ser afirmativa la respuesta anterior, le solicito la fecha en que registrada la unidad identificada con número de serie </w:t>
      </w:r>
      <w:r w:rsidR="005273C4">
        <w:rPr>
          <w:rFonts w:ascii="Palatino Linotype" w:eastAsiaTheme="minorEastAsia" w:hAnsi="Palatino Linotype" w:cstheme="minorBidi"/>
          <w:i/>
          <w:color w:val="000000" w:themeColor="text1"/>
          <w:lang w:val="es-ES_tradnl"/>
        </w:rPr>
        <w:t>XXXXXXXXXXX</w:t>
      </w:r>
      <w:r w:rsidR="00B51116" w:rsidRPr="00C66186">
        <w:rPr>
          <w:rFonts w:ascii="Palatino Linotype" w:eastAsiaTheme="minorEastAsia" w:hAnsi="Palatino Linotype" w:cstheme="minorBidi"/>
          <w:i/>
          <w:color w:val="000000" w:themeColor="text1"/>
          <w:lang w:val="es-ES_tradnl"/>
        </w:rPr>
        <w:t xml:space="preserve">, con las placas de circulación </w:t>
      </w:r>
      <w:r w:rsidR="005273C4">
        <w:rPr>
          <w:rFonts w:ascii="Palatino Linotype" w:eastAsiaTheme="minorEastAsia" w:hAnsi="Palatino Linotype" w:cstheme="minorBidi"/>
          <w:i/>
          <w:color w:val="000000" w:themeColor="text1"/>
          <w:lang w:val="es-ES_tradnl"/>
        </w:rPr>
        <w:t>XXXXXXX</w:t>
      </w:r>
      <w:r w:rsidR="00B51116" w:rsidRPr="00C66186">
        <w:rPr>
          <w:rFonts w:ascii="Palatino Linotype" w:eastAsiaTheme="minorEastAsia" w:hAnsi="Palatino Linotype" w:cstheme="minorBidi"/>
          <w:i/>
          <w:color w:val="000000" w:themeColor="text1"/>
          <w:lang w:val="es-ES_tradnl"/>
        </w:rPr>
        <w:t xml:space="preserve"> del Estado de México</w:t>
      </w:r>
      <w:r w:rsidRPr="00C66186">
        <w:rPr>
          <w:rFonts w:ascii="Palatino Linotype" w:eastAsiaTheme="minorEastAsia" w:hAnsi="Palatino Linotype" w:cstheme="minorBidi"/>
          <w:i/>
          <w:color w:val="000000" w:themeColor="text1"/>
          <w:lang w:val="es-ES_tradnl"/>
        </w:rPr>
        <w:t xml:space="preserve">.” </w:t>
      </w:r>
      <w:r w:rsidRPr="00C66186">
        <w:rPr>
          <w:rFonts w:ascii="Palatino Linotype" w:eastAsiaTheme="minorEastAsia" w:hAnsi="Palatino Linotype" w:cstheme="minorBidi"/>
          <w:color w:val="000000" w:themeColor="text1"/>
          <w:lang w:val="es-ES_tradnl"/>
        </w:rPr>
        <w:t>(Sic).</w:t>
      </w:r>
    </w:p>
    <w:p w14:paraId="1046CCE1" w14:textId="304A6F03" w:rsidR="00A415DB" w:rsidRPr="00C66186" w:rsidRDefault="00A415DB" w:rsidP="00C373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1A590C3B" w14:textId="052AF586" w:rsidR="007C4587" w:rsidRPr="00C66186" w:rsidRDefault="00923BD9" w:rsidP="00C373E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C66186">
        <w:rPr>
          <w:rFonts w:ascii="Palatino Linotype" w:hAnsi="Palatino Linotype" w:cs="Arial"/>
        </w:rPr>
        <w:t>Se hace constar que se señaló como modalidad de entrega de la información</w:t>
      </w:r>
      <w:r w:rsidRPr="00C66186">
        <w:rPr>
          <w:rFonts w:ascii="Palatino Linotype" w:hAnsi="Palatino Linotype" w:cs="Arial"/>
          <w:b/>
        </w:rPr>
        <w:t>:</w:t>
      </w:r>
      <w:r w:rsidRPr="00C66186">
        <w:rPr>
          <w:rFonts w:ascii="Palatino Linotype" w:hAnsi="Palatino Linotype" w:cs="Arial"/>
        </w:rPr>
        <w:t xml:space="preserve"> </w:t>
      </w:r>
      <w:r w:rsidRPr="00C66186">
        <w:rPr>
          <w:rFonts w:ascii="Palatino Linotype" w:hAnsi="Palatino Linotype" w:cs="Arial"/>
          <w:b/>
        </w:rPr>
        <w:t>A través del SAIMEX.</w:t>
      </w:r>
    </w:p>
    <w:p w14:paraId="4427A6BA" w14:textId="77777777" w:rsidR="00600D38" w:rsidRPr="00C66186" w:rsidRDefault="00600D38" w:rsidP="00600D38">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4C6335A1" w:rsidR="004C338B" w:rsidRPr="00C66186" w:rsidRDefault="001A0598" w:rsidP="00C373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C66186">
        <w:rPr>
          <w:rFonts w:ascii="Palatino Linotype" w:eastAsiaTheme="minorEastAsia" w:hAnsi="Palatino Linotype" w:cstheme="minorBidi"/>
          <w:color w:val="000000" w:themeColor="text1"/>
          <w:lang w:val="es-ES_tradnl"/>
        </w:rPr>
        <w:t xml:space="preserve">El </w:t>
      </w:r>
      <w:r w:rsidR="00B51116" w:rsidRPr="00C66186">
        <w:rPr>
          <w:rFonts w:ascii="Palatino Linotype" w:eastAsiaTheme="minorEastAsia" w:hAnsi="Palatino Linotype" w:cstheme="minorBidi"/>
          <w:color w:val="000000" w:themeColor="text1"/>
          <w:lang w:val="es-ES_tradnl"/>
        </w:rPr>
        <w:t>dieciséis (16</w:t>
      </w:r>
      <w:r w:rsidR="00BA3CDE" w:rsidRPr="00C66186">
        <w:rPr>
          <w:rFonts w:ascii="Palatino Linotype" w:eastAsiaTheme="minorEastAsia" w:hAnsi="Palatino Linotype" w:cstheme="minorBidi"/>
          <w:color w:val="000000" w:themeColor="text1"/>
          <w:lang w:val="es-ES_tradnl"/>
        </w:rPr>
        <w:t>) de</w:t>
      </w:r>
      <w:r w:rsidR="00B51116" w:rsidRPr="00C66186">
        <w:rPr>
          <w:rFonts w:ascii="Palatino Linotype" w:eastAsiaTheme="minorEastAsia" w:hAnsi="Palatino Linotype" w:cstheme="minorBidi"/>
          <w:color w:val="000000" w:themeColor="text1"/>
          <w:lang w:val="es-ES_tradnl"/>
        </w:rPr>
        <w:t xml:space="preserve"> marzo</w:t>
      </w:r>
      <w:r w:rsidR="00600D38" w:rsidRPr="00C66186">
        <w:rPr>
          <w:rFonts w:ascii="Palatino Linotype" w:eastAsiaTheme="minorEastAsia" w:hAnsi="Palatino Linotype" w:cstheme="minorBidi"/>
          <w:color w:val="000000" w:themeColor="text1"/>
          <w:lang w:val="es-ES_tradnl"/>
        </w:rPr>
        <w:t xml:space="preserve"> </w:t>
      </w:r>
      <w:r w:rsidR="000E2E2A" w:rsidRPr="00C66186">
        <w:rPr>
          <w:rFonts w:ascii="Palatino Linotype" w:eastAsiaTheme="minorEastAsia" w:hAnsi="Palatino Linotype" w:cstheme="minorBidi"/>
          <w:color w:val="000000" w:themeColor="text1"/>
          <w:lang w:val="es-ES_tradnl"/>
        </w:rPr>
        <w:t>de dos mil veintitrés</w:t>
      </w:r>
      <w:r w:rsidR="00EA0165" w:rsidRPr="00C66186">
        <w:rPr>
          <w:rFonts w:ascii="Palatino Linotype" w:eastAsiaTheme="minorEastAsia" w:hAnsi="Palatino Linotype" w:cstheme="minorBidi"/>
          <w:color w:val="000000" w:themeColor="text1"/>
          <w:lang w:val="es-ES_tradnl"/>
        </w:rPr>
        <w:t xml:space="preserve">, el </w:t>
      </w:r>
      <w:r w:rsidR="00EA0165" w:rsidRPr="00C66186">
        <w:rPr>
          <w:rFonts w:ascii="Palatino Linotype" w:eastAsiaTheme="minorEastAsia" w:hAnsi="Palatino Linotype" w:cstheme="minorBidi"/>
          <w:b/>
          <w:color w:val="000000" w:themeColor="text1"/>
          <w:lang w:val="es-ES_tradnl"/>
        </w:rPr>
        <w:t>SUJETO OBLIGADO</w:t>
      </w:r>
      <w:r w:rsidR="00EA0165" w:rsidRPr="00C66186">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C66186" w:rsidRDefault="007C4587" w:rsidP="00C373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FF8ED7E" w14:textId="77777777" w:rsidR="00B51116" w:rsidRPr="00C66186" w:rsidRDefault="00EA0165" w:rsidP="00B5111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C66186">
        <w:rPr>
          <w:rFonts w:ascii="Palatino Linotype" w:eastAsiaTheme="minorEastAsia" w:hAnsi="Palatino Linotype" w:cstheme="minorBidi"/>
          <w:i/>
          <w:noProof/>
          <w:color w:val="000000" w:themeColor="text1"/>
          <w:lang w:val="es-MX" w:eastAsia="es-MX"/>
        </w:rPr>
        <w:t>“</w:t>
      </w:r>
      <w:r w:rsidR="00B51116" w:rsidRPr="00C66186">
        <w:rPr>
          <w:rFonts w:ascii="Palatino Linotype" w:eastAsiaTheme="minorEastAsia" w:hAnsi="Palatino Linotype" w:cstheme="minorBidi"/>
          <w:i/>
          <w:noProof/>
          <w:color w:val="000000" w:themeColor="text1"/>
          <w:lang w:val="es-MX" w:eastAsia="es-MX"/>
        </w:rPr>
        <w:t>Metepec, México a 16 de Marzo de 2023</w:t>
      </w:r>
    </w:p>
    <w:p w14:paraId="5BBBC793" w14:textId="77777777" w:rsidR="00B51116" w:rsidRPr="00C66186" w:rsidRDefault="00B51116" w:rsidP="00B5111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C66186">
        <w:rPr>
          <w:rFonts w:ascii="Palatino Linotype" w:eastAsiaTheme="minorEastAsia" w:hAnsi="Palatino Linotype" w:cstheme="minorBidi"/>
          <w:i/>
          <w:noProof/>
          <w:color w:val="000000" w:themeColor="text1"/>
          <w:lang w:val="es-MX" w:eastAsia="es-MX"/>
        </w:rPr>
        <w:t>Nombre del solicitante: C. Solicitante</w:t>
      </w:r>
    </w:p>
    <w:p w14:paraId="4DE43336" w14:textId="77777777" w:rsidR="00B51116" w:rsidRPr="00C66186" w:rsidRDefault="00B51116" w:rsidP="00B5111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C66186">
        <w:rPr>
          <w:rFonts w:ascii="Palatino Linotype" w:eastAsiaTheme="minorEastAsia" w:hAnsi="Palatino Linotype" w:cstheme="minorBidi"/>
          <w:i/>
          <w:noProof/>
          <w:color w:val="000000" w:themeColor="text1"/>
          <w:lang w:val="es-MX" w:eastAsia="es-MX"/>
        </w:rPr>
        <w:t>Folio de la solicitud: 00108/SF/IP/2023</w:t>
      </w:r>
    </w:p>
    <w:p w14:paraId="2760C0B4" w14:textId="77777777" w:rsidR="00B51116" w:rsidRPr="00C66186" w:rsidRDefault="00B51116" w:rsidP="00B51116">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468D6C2B" w14:textId="77777777" w:rsidR="00B51116" w:rsidRPr="00C66186" w:rsidRDefault="00B51116" w:rsidP="00B5111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C66186">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7B8763" w14:textId="77777777" w:rsidR="00B51116" w:rsidRPr="00C66186" w:rsidRDefault="00B51116" w:rsidP="00B5111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C66186">
        <w:rPr>
          <w:rFonts w:ascii="Palatino Linotype" w:eastAsiaTheme="minorEastAsia" w:hAnsi="Palatino Linotype" w:cstheme="minorBidi"/>
          <w:i/>
          <w:noProof/>
          <w:color w:val="000000" w:themeColor="text1"/>
          <w:lang w:val="es-MX" w:eastAsia="es-MX"/>
        </w:rPr>
        <w:t>Sobre el particular, sírvase encontrar en archivo adjunto copia del oficio de notificación número 20700004S/UT-0571/2023 mediante el cual se detalla lo referente a su solicitud. Asimismo, se hace de su conocimiento que el Comité de Transparencia mediante Acuerdo CT-2023-0037 ha tenido a bien confirmar la clasificación como información confidencial de los datos personales que obran en los documentos señalados.</w:t>
      </w:r>
    </w:p>
    <w:p w14:paraId="3BBF833B" w14:textId="77777777" w:rsidR="00B51116" w:rsidRPr="00C66186" w:rsidRDefault="00B51116" w:rsidP="00B51116">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3005ABAB" w14:textId="77777777" w:rsidR="00B51116" w:rsidRPr="00C66186" w:rsidRDefault="00B51116" w:rsidP="00B5111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C66186">
        <w:rPr>
          <w:rFonts w:ascii="Palatino Linotype" w:eastAsiaTheme="minorEastAsia" w:hAnsi="Palatino Linotype" w:cstheme="minorBidi"/>
          <w:i/>
          <w:noProof/>
          <w:color w:val="000000" w:themeColor="text1"/>
          <w:lang w:val="es-MX" w:eastAsia="es-MX"/>
        </w:rPr>
        <w:t>ATENTAMENTE</w:t>
      </w:r>
    </w:p>
    <w:p w14:paraId="13F3FD7A" w14:textId="3D1A3817" w:rsidR="009D4EE2" w:rsidRPr="00C66186" w:rsidRDefault="00B51116" w:rsidP="00B51116">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C66186">
        <w:rPr>
          <w:rFonts w:ascii="Palatino Linotype" w:eastAsiaTheme="minorEastAsia" w:hAnsi="Palatino Linotype" w:cstheme="minorBidi"/>
          <w:i/>
          <w:noProof/>
          <w:color w:val="000000" w:themeColor="text1"/>
          <w:lang w:val="es-MX" w:eastAsia="es-MX"/>
        </w:rPr>
        <w:t>Lic. Rodolfo Esteban Rivadeneyra Hernández</w:t>
      </w:r>
      <w:r w:rsidR="001A0598" w:rsidRPr="00C66186">
        <w:rPr>
          <w:rFonts w:ascii="Palatino Linotype" w:eastAsiaTheme="minorEastAsia" w:hAnsi="Palatino Linotype" w:cstheme="minorBidi"/>
          <w:i/>
          <w:noProof/>
          <w:color w:val="000000" w:themeColor="text1"/>
          <w:lang w:val="es-MX" w:eastAsia="es-MX"/>
        </w:rPr>
        <w:t>.” (Sic)</w:t>
      </w:r>
    </w:p>
    <w:p w14:paraId="31E69309" w14:textId="626E4D4E" w:rsidR="00B51116" w:rsidRPr="00C66186" w:rsidRDefault="00B51116" w:rsidP="000E2E2A">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C66186">
        <w:rPr>
          <w:rFonts w:ascii="Palatino Linotype" w:eastAsiaTheme="minorEastAsia" w:hAnsi="Palatino Linotype" w:cstheme="minorBidi"/>
          <w:lang w:val="es-ES_tradnl"/>
        </w:rPr>
        <w:lastRenderedPageBreak/>
        <w:t xml:space="preserve">A dicha respuesta, se anexaron los siguientes documentos: </w:t>
      </w:r>
    </w:p>
    <w:p w14:paraId="2B17598E" w14:textId="77777777" w:rsidR="00B51116" w:rsidRPr="00C66186" w:rsidRDefault="00B51116" w:rsidP="00B51116">
      <w:pPr>
        <w:tabs>
          <w:tab w:val="left" w:pos="284"/>
        </w:tabs>
        <w:spacing w:line="360" w:lineRule="auto"/>
        <w:contextualSpacing/>
        <w:jc w:val="both"/>
        <w:rPr>
          <w:rFonts w:ascii="Palatino Linotype" w:eastAsiaTheme="minorEastAsia" w:hAnsi="Palatino Linotype" w:cstheme="minorBidi"/>
          <w:b/>
          <w:i/>
          <w:lang w:val="es-ES_tradnl"/>
        </w:rPr>
      </w:pPr>
    </w:p>
    <w:p w14:paraId="14F6FDAB" w14:textId="26C38130" w:rsidR="00B51116" w:rsidRPr="00C66186" w:rsidRDefault="00997AD6" w:rsidP="00B51116">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hyperlink r:id="rId8" w:tgtFrame="_blank" w:history="1">
        <w:r w:rsidR="00B51116" w:rsidRPr="00C66186">
          <w:rPr>
            <w:rStyle w:val="Hipervnculo"/>
            <w:rFonts w:ascii="Palatino Linotype" w:eastAsiaTheme="minorEastAsia" w:hAnsi="Palatino Linotype" w:cstheme="minorBidi"/>
            <w:b/>
            <w:bCs/>
            <w:color w:val="000000" w:themeColor="text1"/>
            <w:u w:val="none"/>
          </w:rPr>
          <w:t>00108 DGR.pdf</w:t>
        </w:r>
      </w:hyperlink>
      <w:r w:rsidR="00B51116" w:rsidRPr="00C66186">
        <w:rPr>
          <w:rFonts w:ascii="Palatino Linotype" w:eastAsiaTheme="minorEastAsia" w:hAnsi="Palatino Linotype" w:cstheme="minorBidi"/>
          <w:b/>
          <w:color w:val="000000" w:themeColor="text1"/>
          <w:lang w:val="es-ES_tradnl"/>
        </w:rPr>
        <w:t xml:space="preserve">: </w:t>
      </w:r>
      <w:r w:rsidR="00B51116" w:rsidRPr="00C66186">
        <w:rPr>
          <w:rFonts w:ascii="Palatino Linotype" w:eastAsiaTheme="minorEastAsia" w:hAnsi="Palatino Linotype" w:cstheme="minorBidi"/>
          <w:color w:val="000000" w:themeColor="text1"/>
          <w:lang w:val="es-ES_tradnl"/>
        </w:rPr>
        <w:t xml:space="preserve">Documento electrónico que en tres (03) hojas contiene el Oficio número 20703001030200L/131/2023 dirigido al Jefe de la UIPPE y Titular de la Unidad de Transparencia; y suscrito por el Subdirector de normas y Procedimientos y servidor público habilitado suplente de la Dirección General de Recaudación, mediante el cual se refiere que no es posible hacer de conocimiento la información solicitada debido a que corresponde a información confidencial.  </w:t>
      </w:r>
    </w:p>
    <w:p w14:paraId="78D9E96F" w14:textId="77777777" w:rsidR="00B51116" w:rsidRPr="00C66186" w:rsidRDefault="00B51116" w:rsidP="00B51116">
      <w:p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p>
    <w:p w14:paraId="0F3969FB" w14:textId="415EC63C" w:rsidR="00B51116" w:rsidRPr="00C66186" w:rsidRDefault="00997AD6" w:rsidP="00B51116">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hyperlink r:id="rId9" w:tgtFrame="_blank" w:history="1">
        <w:r w:rsidR="00B51116" w:rsidRPr="00C66186">
          <w:rPr>
            <w:rStyle w:val="Hipervnculo"/>
            <w:rFonts w:ascii="Palatino Linotype" w:eastAsiaTheme="minorEastAsia" w:hAnsi="Palatino Linotype" w:cstheme="minorBidi"/>
            <w:b/>
            <w:bCs/>
            <w:color w:val="000000" w:themeColor="text1"/>
            <w:u w:val="none"/>
          </w:rPr>
          <w:t>UIPPE 108.pdf</w:t>
        </w:r>
      </w:hyperlink>
      <w:r w:rsidR="00B51116" w:rsidRPr="00C66186">
        <w:rPr>
          <w:rFonts w:ascii="Palatino Linotype" w:eastAsiaTheme="minorEastAsia" w:hAnsi="Palatino Linotype" w:cstheme="minorBidi"/>
          <w:b/>
          <w:color w:val="000000" w:themeColor="text1"/>
          <w:lang w:val="es-ES_tradnl"/>
        </w:rPr>
        <w:t xml:space="preserve">: </w:t>
      </w:r>
      <w:r w:rsidR="00B51116" w:rsidRPr="00C66186">
        <w:rPr>
          <w:rFonts w:ascii="Palatino Linotype" w:eastAsiaTheme="minorEastAsia" w:hAnsi="Palatino Linotype" w:cstheme="minorBidi"/>
          <w:color w:val="000000" w:themeColor="text1"/>
          <w:lang w:val="es-ES_tradnl"/>
        </w:rPr>
        <w:t xml:space="preserve">Documento electrónico que en una (01) hoja contiene el oficio 20700004S/UT-0571/2023 dirigido al Solicitante y suscrito por el Jefe de la UIPPE y Titular de la Unidad de Transparencia de la Secretaría de Finanzas. </w:t>
      </w:r>
    </w:p>
    <w:p w14:paraId="55FF0309" w14:textId="77777777" w:rsidR="00B51116" w:rsidRPr="00C66186" w:rsidRDefault="00B51116" w:rsidP="00B51116">
      <w:pPr>
        <w:pStyle w:val="Prrafodelista"/>
        <w:tabs>
          <w:tab w:val="left" w:pos="284"/>
        </w:tabs>
        <w:spacing w:line="360" w:lineRule="auto"/>
        <w:ind w:left="720"/>
        <w:contextualSpacing/>
        <w:jc w:val="both"/>
        <w:rPr>
          <w:rFonts w:ascii="Palatino Linotype" w:eastAsiaTheme="minorEastAsia" w:hAnsi="Palatino Linotype" w:cstheme="minorBidi"/>
          <w:b/>
          <w:color w:val="000000" w:themeColor="text1"/>
          <w:lang w:val="es-ES_tradnl"/>
        </w:rPr>
      </w:pPr>
    </w:p>
    <w:p w14:paraId="124FDCA2" w14:textId="7B18E287" w:rsidR="009D4EE2" w:rsidRPr="00C66186" w:rsidRDefault="009D4EE2" w:rsidP="0018537B">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C66186">
        <w:rPr>
          <w:rFonts w:ascii="Palatino Linotype" w:hAnsi="Palatino Linotype" w:cs="Arial"/>
          <w:lang w:val="es-ES_tradnl"/>
        </w:rPr>
        <w:t>Derivado de la respuesta otorgada, el</w:t>
      </w:r>
      <w:r w:rsidRPr="00C66186">
        <w:rPr>
          <w:rFonts w:ascii="Palatino Linotype" w:hAnsi="Palatino Linotype" w:cs="Arial"/>
        </w:rPr>
        <w:t xml:space="preserve"> </w:t>
      </w:r>
      <w:r w:rsidR="00B51116" w:rsidRPr="00C66186">
        <w:rPr>
          <w:rFonts w:ascii="Palatino Linotype" w:hAnsi="Palatino Linotype" w:cs="Arial"/>
        </w:rPr>
        <w:t>dieciséis (16</w:t>
      </w:r>
      <w:r w:rsidRPr="00C66186">
        <w:rPr>
          <w:rFonts w:ascii="Palatino Linotype" w:hAnsi="Palatino Linotype" w:cs="Arial"/>
        </w:rPr>
        <w:t>) de</w:t>
      </w:r>
      <w:r w:rsidR="00B51116" w:rsidRPr="00C66186">
        <w:rPr>
          <w:rFonts w:ascii="Palatino Linotype" w:hAnsi="Palatino Linotype" w:cs="Arial"/>
        </w:rPr>
        <w:t xml:space="preserve"> marzo de dos mil veintitrés</w:t>
      </w:r>
      <w:r w:rsidR="0018537B" w:rsidRPr="00C66186">
        <w:rPr>
          <w:rFonts w:ascii="Palatino Linotype" w:hAnsi="Palatino Linotype" w:cs="Arial"/>
        </w:rPr>
        <w:t xml:space="preserve">, </w:t>
      </w:r>
      <w:r w:rsidRPr="00C66186">
        <w:rPr>
          <w:rFonts w:ascii="Palatino Linotype" w:hAnsi="Palatino Linotype" w:cs="Arial"/>
        </w:rPr>
        <w:t>el particular interpuso el</w:t>
      </w:r>
      <w:r w:rsidR="00F56FE1" w:rsidRPr="00C66186">
        <w:rPr>
          <w:rFonts w:ascii="Palatino Linotype" w:hAnsi="Palatino Linotype" w:cs="Arial"/>
        </w:rPr>
        <w:t xml:space="preserve"> recurso de revisión con número </w:t>
      </w:r>
      <w:r w:rsidR="0018537B" w:rsidRPr="00C66186">
        <w:rPr>
          <w:rFonts w:ascii="Palatino Linotype" w:eastAsiaTheme="minorEastAsia" w:hAnsi="Palatino Linotype" w:cstheme="minorBidi"/>
          <w:b/>
        </w:rPr>
        <w:t>01448/INFOEM/IP/RR/2023</w:t>
      </w:r>
      <w:r w:rsidR="0018537B" w:rsidRPr="00C66186">
        <w:rPr>
          <w:rFonts w:ascii="Palatino Linotype" w:eastAsiaTheme="minorEastAsia" w:hAnsi="Palatino Linotype" w:cstheme="minorBidi"/>
          <w:b/>
          <w:i/>
          <w:lang w:val="es-ES_tradnl"/>
        </w:rPr>
        <w:t xml:space="preserve"> </w:t>
      </w:r>
      <w:r w:rsidRPr="00C66186">
        <w:rPr>
          <w:rFonts w:ascii="Palatino Linotype" w:hAnsi="Palatino Linotype" w:cs="Arial"/>
        </w:rPr>
        <w:t>indicado al rubro y señalando como:</w:t>
      </w:r>
    </w:p>
    <w:p w14:paraId="1CCFE5E1" w14:textId="77777777" w:rsidR="009D4EE2" w:rsidRPr="00C66186" w:rsidRDefault="009D4EE2" w:rsidP="009D4EE2">
      <w:pPr>
        <w:spacing w:line="360" w:lineRule="auto"/>
        <w:ind w:left="708"/>
        <w:rPr>
          <w:rFonts w:ascii="Palatino Linotype" w:hAnsi="Palatino Linotype" w:cs="Arial"/>
          <w:b/>
        </w:rPr>
      </w:pPr>
    </w:p>
    <w:p w14:paraId="6EB2B6F6" w14:textId="1F3D0CDD" w:rsidR="009D4EE2" w:rsidRPr="00C66186" w:rsidRDefault="009D4EE2" w:rsidP="0018537B">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C66186">
        <w:rPr>
          <w:rFonts w:ascii="Palatino Linotype" w:hAnsi="Palatino Linotype" w:cs="Arial"/>
          <w:b/>
        </w:rPr>
        <w:t>Acto impugnado:</w:t>
      </w:r>
      <w:r w:rsidRPr="00C66186">
        <w:rPr>
          <w:rFonts w:ascii="Palatino Linotype" w:hAnsi="Palatino Linotype" w:cs="Arial"/>
        </w:rPr>
        <w:t xml:space="preserve"> </w:t>
      </w:r>
      <w:r w:rsidRPr="00C66186">
        <w:rPr>
          <w:rFonts w:ascii="Palatino Linotype" w:hAnsi="Palatino Linotype" w:cs="Arial"/>
          <w:i/>
        </w:rPr>
        <w:t>“</w:t>
      </w:r>
      <w:r w:rsidR="0018537B" w:rsidRPr="00C66186">
        <w:rPr>
          <w:rFonts w:ascii="Palatino Linotype" w:hAnsi="Palatino Linotype" w:cs="Arial"/>
          <w:i/>
        </w:rPr>
        <w:t>La respuesta a la solicitud de información pública registrada con el folio número 00108/SF/IP/2023 emitida en los oficios 20700004S/UT-0571/2023 y 20703001030200L/131/2023</w:t>
      </w:r>
      <w:r w:rsidRPr="00C66186">
        <w:rPr>
          <w:rFonts w:ascii="Palatino Linotype" w:hAnsi="Palatino Linotype" w:cs="Arial"/>
          <w:i/>
        </w:rPr>
        <w:t>” (Sic).</w:t>
      </w:r>
    </w:p>
    <w:p w14:paraId="5921ED7B" w14:textId="77777777" w:rsidR="009D4EE2" w:rsidRPr="00C66186" w:rsidRDefault="009D4EE2" w:rsidP="009D4EE2">
      <w:pPr>
        <w:tabs>
          <w:tab w:val="left" w:pos="426"/>
          <w:tab w:val="left" w:pos="993"/>
        </w:tabs>
        <w:spacing w:line="360" w:lineRule="auto"/>
        <w:ind w:left="567" w:right="738"/>
        <w:contextualSpacing/>
        <w:jc w:val="both"/>
        <w:rPr>
          <w:rFonts w:ascii="Palatino Linotype" w:hAnsi="Palatino Linotype" w:cs="Arial"/>
        </w:rPr>
      </w:pPr>
    </w:p>
    <w:p w14:paraId="05A07A1A" w14:textId="50229E3A" w:rsidR="009D4EE2" w:rsidRPr="00C66186" w:rsidRDefault="009D4EE2" w:rsidP="0018537B">
      <w:pPr>
        <w:numPr>
          <w:ilvl w:val="0"/>
          <w:numId w:val="8"/>
        </w:numPr>
        <w:tabs>
          <w:tab w:val="left" w:pos="426"/>
          <w:tab w:val="left" w:pos="993"/>
        </w:tabs>
        <w:spacing w:line="360" w:lineRule="auto"/>
        <w:ind w:right="738"/>
        <w:contextualSpacing/>
        <w:jc w:val="both"/>
        <w:rPr>
          <w:rFonts w:ascii="Palatino Linotype" w:hAnsi="Palatino Linotype" w:cs="Arial"/>
        </w:rPr>
      </w:pPr>
      <w:r w:rsidRPr="00C66186">
        <w:rPr>
          <w:rFonts w:ascii="Palatino Linotype" w:hAnsi="Palatino Linotype" w:cs="Arial"/>
          <w:b/>
        </w:rPr>
        <w:t>Razones o motivos de inconformidad:</w:t>
      </w:r>
      <w:r w:rsidRPr="00C66186">
        <w:rPr>
          <w:rFonts w:ascii="Palatino Linotype" w:hAnsi="Palatino Linotype" w:cs="Arial"/>
        </w:rPr>
        <w:t xml:space="preserve"> </w:t>
      </w:r>
      <w:r w:rsidRPr="00C66186">
        <w:rPr>
          <w:rFonts w:ascii="Palatino Linotype" w:hAnsi="Palatino Linotype" w:cs="Arial"/>
          <w:i/>
        </w:rPr>
        <w:t>“</w:t>
      </w:r>
      <w:r w:rsidR="0018537B" w:rsidRPr="00C66186">
        <w:rPr>
          <w:rFonts w:ascii="Palatino Linotype" w:hAnsi="Palatino Linotype" w:cs="Arial"/>
          <w:i/>
        </w:rPr>
        <w:t xml:space="preserve">1. Una respuesta afirmativa o negativa de que un número de serie vehicular existe en el padrón vehicular de </w:t>
      </w:r>
      <w:r w:rsidR="0018537B" w:rsidRPr="00C66186">
        <w:rPr>
          <w:rFonts w:ascii="Palatino Linotype" w:hAnsi="Palatino Linotype" w:cs="Arial"/>
          <w:i/>
        </w:rPr>
        <w:lastRenderedPageBreak/>
        <w:t xml:space="preserve">una entidad federativa, no constituye proporcionar datos personales de una persona física o jurídica colectiva identificada o identificable, establecida en cualquier formato o modalidad, y que esté almacenada en los sistemas y bases de datos. Pues el conocimiento de su existencia en el padrón vehicular de una entidad federativa no permite determinar su identidad directa o indirectamente a través de cualquier documento informativo físico o electrónico, conforme a lo establecido en la fracción XI </w:t>
      </w:r>
      <w:proofErr w:type="spellStart"/>
      <w:r w:rsidR="0018537B" w:rsidRPr="00C66186">
        <w:rPr>
          <w:rFonts w:ascii="Palatino Linotype" w:hAnsi="Palatino Linotype" w:cs="Arial"/>
          <w:i/>
        </w:rPr>
        <w:t>articulo</w:t>
      </w:r>
      <w:proofErr w:type="spellEnd"/>
      <w:r w:rsidR="0018537B" w:rsidRPr="00C66186">
        <w:rPr>
          <w:rFonts w:ascii="Palatino Linotype" w:hAnsi="Palatino Linotype" w:cs="Arial"/>
          <w:i/>
        </w:rPr>
        <w:t xml:space="preserve"> 4 de la Ley de Protección de Datos Personales en Posesión de Sujetos Obligados para el Estado de México. 2. La fecha de inscripción de una unidad vehicular identificada con un número de serie vehicular es un dato que de manera </w:t>
      </w:r>
      <w:proofErr w:type="spellStart"/>
      <w:r w:rsidR="0018537B" w:rsidRPr="00C66186">
        <w:rPr>
          <w:rFonts w:ascii="Palatino Linotype" w:hAnsi="Palatino Linotype" w:cs="Arial"/>
          <w:i/>
        </w:rPr>
        <w:t>automatica</w:t>
      </w:r>
      <w:proofErr w:type="spellEnd"/>
      <w:r w:rsidR="0018537B" w:rsidRPr="00C66186">
        <w:rPr>
          <w:rFonts w:ascii="Palatino Linotype" w:hAnsi="Palatino Linotype" w:cs="Arial"/>
          <w:i/>
        </w:rPr>
        <w:t xml:space="preserve"> es ingresado al sistema de registro vehicular de una entidad federativa, por lo tanto, no cumple con los supuestos </w:t>
      </w:r>
      <w:proofErr w:type="spellStart"/>
      <w:r w:rsidR="0018537B" w:rsidRPr="00C66186">
        <w:rPr>
          <w:rFonts w:ascii="Palatino Linotype" w:hAnsi="Palatino Linotype" w:cs="Arial"/>
          <w:i/>
        </w:rPr>
        <w:t>juridicos</w:t>
      </w:r>
      <w:proofErr w:type="spellEnd"/>
      <w:r w:rsidR="0018537B" w:rsidRPr="00C66186">
        <w:rPr>
          <w:rFonts w:ascii="Palatino Linotype" w:hAnsi="Palatino Linotype" w:cs="Arial"/>
          <w:i/>
        </w:rPr>
        <w:t xml:space="preserve"> para considerarse un dato personal y mucho menos dato personal sensible conforma a lo descrito en las fracciones XI y XII de la Ley de Protección de Datos Personales en Posesión de Sujetos Obligados para el Estado de México</w:t>
      </w:r>
      <w:proofErr w:type="gramStart"/>
      <w:r w:rsidR="0018537B" w:rsidRPr="00C66186">
        <w:rPr>
          <w:rFonts w:ascii="Palatino Linotype" w:hAnsi="Palatino Linotype" w:cs="Arial"/>
          <w:i/>
        </w:rPr>
        <w:t>.</w:t>
      </w:r>
      <w:r w:rsidR="00B66812" w:rsidRPr="00C66186">
        <w:rPr>
          <w:rFonts w:ascii="Palatino Linotype" w:hAnsi="Palatino Linotype" w:cs="Arial"/>
          <w:i/>
        </w:rPr>
        <w:t>.</w:t>
      </w:r>
      <w:r w:rsidRPr="00C66186">
        <w:rPr>
          <w:rFonts w:ascii="Palatino Linotype" w:hAnsi="Palatino Linotype" w:cs="Arial"/>
          <w:i/>
        </w:rPr>
        <w:t>”</w:t>
      </w:r>
      <w:proofErr w:type="gramEnd"/>
      <w:r w:rsidRPr="00C66186">
        <w:rPr>
          <w:rFonts w:ascii="Palatino Linotype" w:hAnsi="Palatino Linotype" w:cs="Arial"/>
          <w:i/>
        </w:rPr>
        <w:t xml:space="preserve"> (Sic).</w:t>
      </w:r>
    </w:p>
    <w:p w14:paraId="552C6645" w14:textId="262B718F" w:rsidR="001B234C" w:rsidRPr="00C66186" w:rsidRDefault="001B234C" w:rsidP="00C373ED">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C66186" w:rsidRDefault="00EA0165"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66186">
        <w:rPr>
          <w:rFonts w:ascii="Palatino Linotype" w:hAnsi="Palatino Linotype" w:cs="Arial"/>
          <w:color w:val="000000" w:themeColor="text1"/>
        </w:rPr>
        <w:t xml:space="preserve">Se registró el recurso de revisión bajo el número de expediente </w:t>
      </w:r>
      <w:r w:rsidRPr="00C66186">
        <w:rPr>
          <w:rFonts w:ascii="Palatino Linotype" w:eastAsiaTheme="minorEastAsia" w:hAnsi="Palatino Linotype" w:cs="Arial"/>
          <w:bCs/>
          <w:color w:val="000000" w:themeColor="text1"/>
          <w:lang w:val="es-ES_tradnl"/>
        </w:rPr>
        <w:t xml:space="preserve">al rubro indicado, asimismo, con fundamento en lo dispuesto por el </w:t>
      </w:r>
      <w:r w:rsidRPr="00C66186">
        <w:rPr>
          <w:rFonts w:ascii="Palatino Linotype" w:eastAsia="Calibri" w:hAnsi="Palatino Linotype" w:cs="Arial"/>
          <w:color w:val="000000" w:themeColor="text1"/>
        </w:rPr>
        <w:t xml:space="preserve">artículo 185 fracción I de la </w:t>
      </w:r>
      <w:r w:rsidRPr="00C66186">
        <w:rPr>
          <w:rFonts w:ascii="Palatino Linotype" w:eastAsia="Calibri" w:hAnsi="Palatino Linotype" w:cs="Arial"/>
          <w:b/>
          <w:color w:val="000000" w:themeColor="text1"/>
        </w:rPr>
        <w:t xml:space="preserve">Ley de Transparencia y Acceso a la Información Pública del Estado de México y Municipios </w:t>
      </w:r>
      <w:r w:rsidR="005E6282" w:rsidRPr="00C66186">
        <w:rPr>
          <w:rFonts w:ascii="Palatino Linotype" w:hAnsi="Palatino Linotype" w:cs="Arial"/>
          <w:color w:val="000000" w:themeColor="text1"/>
        </w:rPr>
        <w:t>se turnó a</w:t>
      </w:r>
      <w:r w:rsidR="00351568" w:rsidRPr="00C66186">
        <w:rPr>
          <w:rFonts w:ascii="Palatino Linotype" w:hAnsi="Palatino Linotype" w:cs="Arial"/>
          <w:color w:val="000000" w:themeColor="text1"/>
        </w:rPr>
        <w:t xml:space="preserve"> la </w:t>
      </w:r>
      <w:r w:rsidR="00E3149E" w:rsidRPr="00C66186">
        <w:rPr>
          <w:rFonts w:ascii="Palatino Linotype" w:hAnsi="Palatino Linotype" w:cs="Arial"/>
          <w:b/>
          <w:color w:val="000000" w:themeColor="text1"/>
        </w:rPr>
        <w:t>C</w:t>
      </w:r>
      <w:r w:rsidR="00351568" w:rsidRPr="00C66186">
        <w:rPr>
          <w:rFonts w:ascii="Palatino Linotype" w:hAnsi="Palatino Linotype" w:cs="Arial"/>
          <w:b/>
          <w:color w:val="000000" w:themeColor="text1"/>
        </w:rPr>
        <w:t>omisionada María del Rosario Mejía Ayala</w:t>
      </w:r>
      <w:r w:rsidRPr="00C66186">
        <w:rPr>
          <w:rFonts w:ascii="Palatino Linotype" w:hAnsi="Palatino Linotype" w:cs="Arial"/>
          <w:b/>
          <w:color w:val="000000" w:themeColor="text1"/>
        </w:rPr>
        <w:t xml:space="preserve">, </w:t>
      </w:r>
      <w:r w:rsidRPr="00C66186">
        <w:rPr>
          <w:rFonts w:ascii="Palatino Linotype" w:hAnsi="Palatino Linotype" w:cs="Arial"/>
          <w:color w:val="000000" w:themeColor="text1"/>
        </w:rPr>
        <w:t xml:space="preserve">con el objeto de </w:t>
      </w:r>
      <w:r w:rsidRPr="00C66186">
        <w:rPr>
          <w:rFonts w:ascii="Palatino Linotype" w:hAnsi="Palatino Linotype" w:cs="Arial"/>
          <w:color w:val="000000" w:themeColor="text1"/>
          <w:lang w:val="es-MX"/>
        </w:rPr>
        <w:t>su análisis.</w:t>
      </w:r>
    </w:p>
    <w:p w14:paraId="49F28BD1" w14:textId="77777777" w:rsidR="00EA0165" w:rsidRPr="00C66186" w:rsidRDefault="00EA0165" w:rsidP="00C373ED">
      <w:pPr>
        <w:tabs>
          <w:tab w:val="left" w:pos="426"/>
        </w:tabs>
        <w:spacing w:line="360" w:lineRule="auto"/>
        <w:contextualSpacing/>
        <w:jc w:val="both"/>
        <w:rPr>
          <w:rFonts w:ascii="Palatino Linotype" w:eastAsia="Calibri" w:hAnsi="Palatino Linotype" w:cs="Arial"/>
          <w:color w:val="000000" w:themeColor="text1"/>
        </w:rPr>
      </w:pPr>
    </w:p>
    <w:p w14:paraId="78EABB65" w14:textId="3E95706D" w:rsidR="00EA0165" w:rsidRDefault="00351568"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66186">
        <w:rPr>
          <w:rFonts w:ascii="Palatino Linotype" w:hAnsi="Palatino Linotype" w:cs="Arial"/>
          <w:color w:val="000000" w:themeColor="text1"/>
        </w:rPr>
        <w:t xml:space="preserve">La </w:t>
      </w:r>
      <w:r w:rsidRPr="00C66186">
        <w:rPr>
          <w:rFonts w:ascii="Palatino Linotype" w:hAnsi="Palatino Linotype" w:cs="Arial"/>
          <w:b/>
          <w:color w:val="000000" w:themeColor="text1"/>
        </w:rPr>
        <w:t>Comisionada María del Rosario Mejía Ayala</w:t>
      </w:r>
      <w:r w:rsidR="00EA0165" w:rsidRPr="00C66186">
        <w:rPr>
          <w:rFonts w:ascii="Palatino Linotype" w:eastAsia="Calibri" w:hAnsi="Palatino Linotype" w:cs="Arial"/>
          <w:color w:val="000000" w:themeColor="text1"/>
        </w:rPr>
        <w:t xml:space="preserve">, con fundamento en lo dispuesto por el artículo 185 fracción II de la ley de la materia, a través del acuerdo </w:t>
      </w:r>
      <w:r w:rsidR="00EA0165" w:rsidRPr="00C66186">
        <w:rPr>
          <w:rFonts w:ascii="Palatino Linotype" w:eastAsia="Calibri" w:hAnsi="Palatino Linotype" w:cs="Arial"/>
          <w:color w:val="000000" w:themeColor="text1"/>
        </w:rPr>
        <w:lastRenderedPageBreak/>
        <w:t>de admisión de</w:t>
      </w:r>
      <w:r w:rsidR="0018537B" w:rsidRPr="00C66186">
        <w:rPr>
          <w:rFonts w:ascii="Palatino Linotype" w:eastAsia="Calibri" w:hAnsi="Palatino Linotype" w:cs="Arial"/>
          <w:color w:val="000000" w:themeColor="text1"/>
        </w:rPr>
        <w:t xml:space="preserve"> veintisiete</w:t>
      </w:r>
      <w:r w:rsidR="008426D8" w:rsidRPr="00C66186">
        <w:rPr>
          <w:rFonts w:ascii="Palatino Linotype" w:eastAsia="Calibri" w:hAnsi="Palatino Linotype" w:cs="Arial"/>
          <w:color w:val="000000" w:themeColor="text1"/>
        </w:rPr>
        <w:t xml:space="preserve"> </w:t>
      </w:r>
      <w:r w:rsidR="00EA0165" w:rsidRPr="00C66186">
        <w:rPr>
          <w:rFonts w:ascii="Palatino Linotype" w:eastAsia="Calibri" w:hAnsi="Palatino Linotype" w:cs="Arial"/>
          <w:color w:val="000000" w:themeColor="text1"/>
        </w:rPr>
        <w:t>(</w:t>
      </w:r>
      <w:r w:rsidR="0018537B" w:rsidRPr="00C66186">
        <w:rPr>
          <w:rFonts w:ascii="Palatino Linotype" w:eastAsia="Calibri" w:hAnsi="Palatino Linotype" w:cs="Arial"/>
          <w:color w:val="000000" w:themeColor="text1"/>
        </w:rPr>
        <w:t>27</w:t>
      </w:r>
      <w:r w:rsidR="00EA0165" w:rsidRPr="00C66186">
        <w:rPr>
          <w:rFonts w:ascii="Palatino Linotype" w:eastAsia="Calibri" w:hAnsi="Palatino Linotype" w:cs="Arial"/>
          <w:color w:val="000000" w:themeColor="text1"/>
        </w:rPr>
        <w:t>) de</w:t>
      </w:r>
      <w:r w:rsidR="000E2E2A" w:rsidRPr="00C66186">
        <w:rPr>
          <w:rFonts w:ascii="Palatino Linotype" w:eastAsia="Calibri" w:hAnsi="Palatino Linotype" w:cs="Arial"/>
          <w:color w:val="000000" w:themeColor="text1"/>
        </w:rPr>
        <w:t xml:space="preserve"> marzo</w:t>
      </w:r>
      <w:r w:rsidR="00F56FE1" w:rsidRPr="00C66186">
        <w:rPr>
          <w:rFonts w:ascii="Palatino Linotype" w:eastAsia="Calibri" w:hAnsi="Palatino Linotype" w:cs="Arial"/>
          <w:color w:val="000000" w:themeColor="text1"/>
        </w:rPr>
        <w:t xml:space="preserve"> </w:t>
      </w:r>
      <w:r w:rsidR="009815B6" w:rsidRPr="00C66186">
        <w:rPr>
          <w:rFonts w:ascii="Palatino Linotype" w:eastAsia="Calibri" w:hAnsi="Palatino Linotype" w:cs="Arial"/>
          <w:color w:val="000000" w:themeColor="text1"/>
        </w:rPr>
        <w:t>d</w:t>
      </w:r>
      <w:r w:rsidR="000E2E2A" w:rsidRPr="00C66186">
        <w:rPr>
          <w:rFonts w:ascii="Palatino Linotype" w:eastAsia="Calibri" w:hAnsi="Palatino Linotype" w:cs="Arial"/>
          <w:color w:val="000000" w:themeColor="text1"/>
        </w:rPr>
        <w:t>e dos mil veintitrés</w:t>
      </w:r>
      <w:r w:rsidR="00EA0165" w:rsidRPr="00C66186">
        <w:rPr>
          <w:rFonts w:ascii="Palatino Linotype" w:eastAsia="Calibri" w:hAnsi="Palatino Linotype" w:cs="Arial"/>
          <w:color w:val="000000" w:themeColor="text1"/>
        </w:rPr>
        <w:t xml:space="preserve">, puso a disposición de las partes el expediente electrónico </w:t>
      </w:r>
      <w:r w:rsidR="00EA0165" w:rsidRPr="00C66186">
        <w:rPr>
          <w:rFonts w:ascii="Palatino Linotype" w:eastAsia="Calibri" w:hAnsi="Palatino Linotype" w:cs="Arial"/>
          <w:color w:val="000000" w:themeColor="text1"/>
          <w:lang w:val="es-ES_tradnl"/>
        </w:rPr>
        <w:t xml:space="preserve">vía </w:t>
      </w:r>
      <w:r w:rsidR="00EA0165" w:rsidRPr="00C66186">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C66186">
        <w:rPr>
          <w:rFonts w:ascii="Palatino Linotype" w:eastAsia="Calibri" w:hAnsi="Palatino Linotype" w:cs="Arial"/>
          <w:b/>
          <w:color w:val="000000" w:themeColor="text1"/>
        </w:rPr>
        <w:t>SUJETO OBLIGADO</w:t>
      </w:r>
      <w:r w:rsidR="00EA0165" w:rsidRPr="00C66186">
        <w:rPr>
          <w:rFonts w:ascii="Palatino Linotype" w:eastAsia="Calibri" w:hAnsi="Palatino Linotype" w:cs="Arial"/>
          <w:color w:val="000000" w:themeColor="text1"/>
        </w:rPr>
        <w:t xml:space="preserve"> presentara el</w:t>
      </w:r>
      <w:r w:rsidR="00266490" w:rsidRPr="00C66186">
        <w:rPr>
          <w:rFonts w:ascii="Palatino Linotype" w:eastAsia="Calibri" w:hAnsi="Palatino Linotype" w:cs="Arial"/>
          <w:color w:val="000000" w:themeColor="text1"/>
        </w:rPr>
        <w:t xml:space="preserve"> </w:t>
      </w:r>
      <w:r w:rsidR="00570589">
        <w:rPr>
          <w:rFonts w:ascii="Palatino Linotype" w:eastAsia="Calibri" w:hAnsi="Palatino Linotype" w:cs="Arial"/>
          <w:color w:val="000000" w:themeColor="text1"/>
        </w:rPr>
        <w:t xml:space="preserve">informe justificado procedente. </w:t>
      </w:r>
    </w:p>
    <w:p w14:paraId="0606D9BF" w14:textId="77777777" w:rsidR="00570589" w:rsidRPr="00570589" w:rsidRDefault="00570589" w:rsidP="00570589">
      <w:pPr>
        <w:pStyle w:val="Prrafodelista"/>
        <w:rPr>
          <w:rFonts w:ascii="Palatino Linotype" w:eastAsia="Calibri" w:hAnsi="Palatino Linotype" w:cs="Arial"/>
          <w:color w:val="000000" w:themeColor="text1"/>
        </w:rPr>
      </w:pPr>
    </w:p>
    <w:p w14:paraId="10C6CB78" w14:textId="55810CB0" w:rsidR="00F763E4" w:rsidRDefault="00570589"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En fecha </w:t>
      </w:r>
      <w:r w:rsidR="00C710B1">
        <w:rPr>
          <w:rFonts w:ascii="Palatino Linotype" w:eastAsia="Calibri" w:hAnsi="Palatino Linotype" w:cs="Arial"/>
          <w:color w:val="000000" w:themeColor="text1"/>
        </w:rPr>
        <w:t>treinta y uno de marzo</w:t>
      </w:r>
      <w:r w:rsidR="009633B5">
        <w:rPr>
          <w:rFonts w:ascii="Palatino Linotype" w:eastAsia="Calibri" w:hAnsi="Palatino Linotype" w:cs="Arial"/>
          <w:color w:val="000000" w:themeColor="text1"/>
        </w:rPr>
        <w:t xml:space="preserve"> (31)</w:t>
      </w:r>
      <w:r w:rsidR="00C710B1">
        <w:rPr>
          <w:rFonts w:ascii="Palatino Linotype" w:eastAsia="Calibri" w:hAnsi="Palatino Linotype" w:cs="Arial"/>
          <w:color w:val="000000" w:themeColor="text1"/>
        </w:rPr>
        <w:t xml:space="preserve">; y once (11) de mayo </w:t>
      </w:r>
      <w:r w:rsidR="009633B5">
        <w:rPr>
          <w:rFonts w:ascii="Palatino Linotype" w:eastAsia="Calibri" w:hAnsi="Palatino Linotype" w:cs="Arial"/>
          <w:color w:val="000000" w:themeColor="text1"/>
        </w:rPr>
        <w:t xml:space="preserve">de dos mil veintitrés tanto el </w:t>
      </w:r>
      <w:r w:rsidR="00F763E4">
        <w:rPr>
          <w:rFonts w:ascii="Palatino Linotype" w:eastAsia="Calibri" w:hAnsi="Palatino Linotype" w:cs="Arial"/>
          <w:b/>
          <w:color w:val="000000" w:themeColor="text1"/>
        </w:rPr>
        <w:t>SUJETO OBLIGADO</w:t>
      </w:r>
      <w:r w:rsidR="00C710B1">
        <w:rPr>
          <w:rFonts w:ascii="Palatino Linotype" w:eastAsia="Calibri" w:hAnsi="Palatino Linotype" w:cs="Arial"/>
          <w:b/>
          <w:color w:val="000000" w:themeColor="text1"/>
        </w:rPr>
        <w:t xml:space="preserve"> </w:t>
      </w:r>
      <w:r w:rsidR="00C710B1">
        <w:rPr>
          <w:rFonts w:ascii="Palatino Linotype" w:eastAsia="Calibri" w:hAnsi="Palatino Linotype" w:cs="Arial"/>
          <w:color w:val="000000" w:themeColor="text1"/>
        </w:rPr>
        <w:t>y</w:t>
      </w:r>
      <w:r w:rsidR="009633B5">
        <w:rPr>
          <w:rFonts w:ascii="Palatino Linotype" w:eastAsia="Calibri" w:hAnsi="Palatino Linotype" w:cs="Arial"/>
          <w:color w:val="000000" w:themeColor="text1"/>
        </w:rPr>
        <w:t xml:space="preserve"> como</w:t>
      </w:r>
      <w:r w:rsidR="00C710B1">
        <w:rPr>
          <w:rFonts w:ascii="Palatino Linotype" w:eastAsia="Calibri" w:hAnsi="Palatino Linotype" w:cs="Arial"/>
          <w:color w:val="000000" w:themeColor="text1"/>
        </w:rPr>
        <w:t xml:space="preserve"> el </w:t>
      </w:r>
      <w:r w:rsidR="00C710B1" w:rsidRPr="00C710B1">
        <w:rPr>
          <w:rFonts w:ascii="Palatino Linotype" w:eastAsia="Calibri" w:hAnsi="Palatino Linotype" w:cs="Arial"/>
          <w:b/>
          <w:color w:val="000000" w:themeColor="text1"/>
        </w:rPr>
        <w:t>PARTICULAR</w:t>
      </w:r>
      <w:r w:rsidR="009633B5">
        <w:rPr>
          <w:rFonts w:ascii="Palatino Linotype" w:eastAsia="Calibri" w:hAnsi="Palatino Linotype" w:cs="Arial"/>
          <w:color w:val="000000" w:themeColor="text1"/>
        </w:rPr>
        <w:t xml:space="preserve">, respectivamente, </w:t>
      </w:r>
      <w:r w:rsidR="00C710B1">
        <w:rPr>
          <w:rFonts w:ascii="Palatino Linotype" w:eastAsia="Calibri" w:hAnsi="Palatino Linotype" w:cs="Arial"/>
          <w:color w:val="000000" w:themeColor="text1"/>
        </w:rPr>
        <w:t>realizaron</w:t>
      </w:r>
      <w:r w:rsidR="00F763E4">
        <w:rPr>
          <w:rFonts w:ascii="Palatino Linotype" w:eastAsia="Calibri" w:hAnsi="Palatino Linotype" w:cs="Arial"/>
          <w:color w:val="000000" w:themeColor="text1"/>
        </w:rPr>
        <w:t xml:space="preserve"> entrega de diversos documentos en</w:t>
      </w:r>
      <w:r w:rsidR="00C710B1">
        <w:rPr>
          <w:rFonts w:ascii="Palatino Linotype" w:eastAsia="Calibri" w:hAnsi="Palatino Linotype" w:cs="Arial"/>
          <w:color w:val="000000" w:themeColor="text1"/>
        </w:rPr>
        <w:t xml:space="preserve"> calidad de informe justificado y de manifestac</w:t>
      </w:r>
      <w:r w:rsidR="009633B5">
        <w:rPr>
          <w:rFonts w:ascii="Palatino Linotype" w:eastAsia="Calibri" w:hAnsi="Palatino Linotype" w:cs="Arial"/>
          <w:color w:val="000000" w:themeColor="text1"/>
        </w:rPr>
        <w:t>iones</w:t>
      </w:r>
      <w:r w:rsidR="00C710B1">
        <w:rPr>
          <w:rFonts w:ascii="Palatino Linotype" w:eastAsia="Calibri" w:hAnsi="Palatino Linotype" w:cs="Arial"/>
          <w:color w:val="000000" w:themeColor="text1"/>
        </w:rPr>
        <w:t xml:space="preserve">, advirtiendo que dicho informe, </w:t>
      </w:r>
      <w:r w:rsidR="00F763E4">
        <w:rPr>
          <w:rFonts w:ascii="Palatino Linotype" w:eastAsia="Calibri" w:hAnsi="Palatino Linotype" w:cs="Arial"/>
          <w:color w:val="000000" w:themeColor="text1"/>
        </w:rPr>
        <w:t xml:space="preserve">se hizo de conocimiento del particular </w:t>
      </w:r>
      <w:r w:rsidR="009633B5">
        <w:rPr>
          <w:rFonts w:ascii="Palatino Linotype" w:eastAsia="Calibri" w:hAnsi="Palatino Linotype" w:cs="Arial"/>
          <w:color w:val="000000" w:themeColor="text1"/>
        </w:rPr>
        <w:t xml:space="preserve">mediante acuerdo de </w:t>
      </w:r>
      <w:r w:rsidR="00F763E4">
        <w:rPr>
          <w:rFonts w:ascii="Palatino Linotype" w:eastAsia="Calibri" w:hAnsi="Palatino Linotype" w:cs="Arial"/>
          <w:color w:val="000000" w:themeColor="text1"/>
        </w:rPr>
        <w:t xml:space="preserve">fecha treinta y uno de marzo de dos mil veintitrés y a efecto de que no exista opacidad se describen a continuación: </w:t>
      </w:r>
    </w:p>
    <w:p w14:paraId="53136CA0" w14:textId="77777777" w:rsidR="00C710B1" w:rsidRDefault="00C710B1" w:rsidP="00C710B1">
      <w:pPr>
        <w:pStyle w:val="Prrafodelista"/>
        <w:rPr>
          <w:rFonts w:ascii="Palatino Linotype" w:eastAsia="Calibri" w:hAnsi="Palatino Linotype" w:cs="Arial"/>
          <w:color w:val="000000" w:themeColor="text1"/>
        </w:rPr>
      </w:pPr>
    </w:p>
    <w:p w14:paraId="11059365" w14:textId="77777777" w:rsidR="00C710B1" w:rsidRPr="00C710B1" w:rsidRDefault="00C710B1" w:rsidP="00C710B1">
      <w:pPr>
        <w:pStyle w:val="Prrafodelista"/>
        <w:rPr>
          <w:rFonts w:ascii="Palatino Linotype" w:eastAsia="Calibri" w:hAnsi="Palatino Linotype" w:cs="Arial"/>
          <w:color w:val="000000" w:themeColor="text1"/>
        </w:rPr>
      </w:pPr>
    </w:p>
    <w:p w14:paraId="0B81E39C" w14:textId="4FC4881D" w:rsidR="00C710B1" w:rsidRPr="00C710B1" w:rsidRDefault="00C710B1" w:rsidP="00C710B1">
      <w:pPr>
        <w:pStyle w:val="Prrafodelista"/>
        <w:tabs>
          <w:tab w:val="left" w:pos="426"/>
        </w:tabs>
        <w:spacing w:line="360" w:lineRule="auto"/>
        <w:ind w:left="0"/>
        <w:contextualSpacing/>
        <w:jc w:val="center"/>
        <w:rPr>
          <w:rFonts w:ascii="Palatino Linotype" w:eastAsia="Calibri" w:hAnsi="Palatino Linotype" w:cs="Arial"/>
          <w:b/>
          <w:color w:val="000000" w:themeColor="text1"/>
        </w:rPr>
      </w:pPr>
      <w:r w:rsidRPr="00C710B1">
        <w:rPr>
          <w:rFonts w:ascii="Palatino Linotype" w:eastAsia="Calibri" w:hAnsi="Palatino Linotype" w:cs="Arial"/>
          <w:b/>
          <w:color w:val="000000" w:themeColor="text1"/>
        </w:rPr>
        <w:t xml:space="preserve">INFORME JUSTIFICADO </w:t>
      </w:r>
    </w:p>
    <w:p w14:paraId="78731223" w14:textId="77777777" w:rsidR="00F763E4" w:rsidRDefault="00F763E4" w:rsidP="00F763E4">
      <w:pPr>
        <w:pStyle w:val="Prrafodelista"/>
        <w:tabs>
          <w:tab w:val="left" w:pos="426"/>
        </w:tabs>
        <w:spacing w:line="360" w:lineRule="auto"/>
        <w:ind w:left="0" w:right="616"/>
        <w:contextualSpacing/>
        <w:jc w:val="both"/>
        <w:rPr>
          <w:rFonts w:ascii="Palatino Linotype" w:eastAsia="Calibri" w:hAnsi="Palatino Linotype" w:cs="Arial"/>
          <w:color w:val="000000" w:themeColor="text1"/>
        </w:rPr>
      </w:pPr>
    </w:p>
    <w:p w14:paraId="086F9B56" w14:textId="08A3C732" w:rsidR="00F763E4" w:rsidRDefault="00997AD6" w:rsidP="00D23ACC">
      <w:pPr>
        <w:pStyle w:val="Prrafodelista"/>
        <w:numPr>
          <w:ilvl w:val="0"/>
          <w:numId w:val="17"/>
        </w:numPr>
        <w:tabs>
          <w:tab w:val="left" w:pos="426"/>
        </w:tabs>
        <w:spacing w:line="360" w:lineRule="auto"/>
        <w:ind w:left="284" w:right="616" w:firstLine="0"/>
        <w:contextualSpacing/>
        <w:jc w:val="both"/>
        <w:rPr>
          <w:rFonts w:ascii="Palatino Linotype" w:eastAsia="Calibri" w:hAnsi="Palatino Linotype" w:cs="Arial"/>
          <w:color w:val="000000" w:themeColor="text1"/>
        </w:rPr>
      </w:pPr>
      <w:hyperlink r:id="rId10" w:history="1">
        <w:r w:rsidR="00F763E4" w:rsidRPr="00F763E4">
          <w:rPr>
            <w:rStyle w:val="Hipervnculo"/>
            <w:rFonts w:ascii="Palatino Linotype" w:eastAsia="Calibri" w:hAnsi="Palatino Linotype" w:cs="Arial"/>
            <w:b/>
            <w:bCs/>
            <w:color w:val="000000" w:themeColor="text1"/>
            <w:u w:val="none"/>
          </w:rPr>
          <w:t>Informe Justificado RR 01448-2023.pdf</w:t>
        </w:r>
      </w:hyperlink>
      <w:r w:rsidR="00F763E4" w:rsidRPr="00F763E4">
        <w:rPr>
          <w:rFonts w:ascii="Palatino Linotype" w:eastAsia="Calibri" w:hAnsi="Palatino Linotype" w:cs="Arial"/>
          <w:color w:val="000000" w:themeColor="text1"/>
        </w:rPr>
        <w:t>:</w:t>
      </w:r>
      <w:r w:rsidR="00F763E4">
        <w:rPr>
          <w:rFonts w:ascii="Palatino Linotype" w:eastAsia="Calibri" w:hAnsi="Palatino Linotype" w:cs="Arial"/>
          <w:color w:val="000000" w:themeColor="text1"/>
        </w:rPr>
        <w:t xml:space="preserve"> Documento electrónico que en cuatro (04) hojas contiene el “informe justificado” dirigido a la Comisionada María del Rosario Mejía Ayala y suscrito por el Titular de la Unidad de Transparencia mediante el cual se refiere que:</w:t>
      </w:r>
    </w:p>
    <w:p w14:paraId="0BEFB15A" w14:textId="77777777" w:rsidR="00F763E4" w:rsidRDefault="00F763E4" w:rsidP="00D23ACC">
      <w:pPr>
        <w:pStyle w:val="Prrafodelista"/>
        <w:tabs>
          <w:tab w:val="left" w:pos="426"/>
        </w:tabs>
        <w:spacing w:line="360" w:lineRule="auto"/>
        <w:ind w:left="284" w:right="616"/>
        <w:contextualSpacing/>
        <w:jc w:val="both"/>
        <w:rPr>
          <w:rFonts w:ascii="Palatino Linotype" w:eastAsia="Calibri" w:hAnsi="Palatino Linotype" w:cs="Arial"/>
          <w:color w:val="000000" w:themeColor="text1"/>
        </w:rPr>
      </w:pPr>
    </w:p>
    <w:p w14:paraId="3033C0DA" w14:textId="580951D1" w:rsidR="00F763E4" w:rsidRDefault="00F763E4" w:rsidP="00D23ACC">
      <w:pPr>
        <w:pStyle w:val="Prrafodelista"/>
        <w:tabs>
          <w:tab w:val="left" w:pos="426"/>
        </w:tabs>
        <w:spacing w:line="360" w:lineRule="auto"/>
        <w:ind w:left="284" w:right="616"/>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 </w:t>
      </w:r>
      <w:r w:rsidRPr="00F763E4">
        <w:rPr>
          <w:rFonts w:ascii="Palatino Linotype" w:eastAsia="Calibri" w:hAnsi="Palatino Linotype" w:cs="Arial"/>
          <w:i/>
          <w:color w:val="000000" w:themeColor="text1"/>
        </w:rPr>
        <w:t xml:space="preserve">por lo </w:t>
      </w:r>
      <w:proofErr w:type="spellStart"/>
      <w:r w:rsidRPr="00F763E4">
        <w:rPr>
          <w:rFonts w:ascii="Palatino Linotype" w:eastAsia="Calibri" w:hAnsi="Palatino Linotype" w:cs="Arial"/>
          <w:i/>
          <w:color w:val="000000" w:themeColor="text1"/>
        </w:rPr>
        <w:t>anteirormente</w:t>
      </w:r>
      <w:proofErr w:type="spellEnd"/>
      <w:r w:rsidRPr="00F763E4">
        <w:rPr>
          <w:rFonts w:ascii="Palatino Linotype" w:eastAsia="Calibri" w:hAnsi="Palatino Linotype" w:cs="Arial"/>
          <w:i/>
          <w:color w:val="000000" w:themeColor="text1"/>
        </w:rPr>
        <w:t xml:space="preserve"> expuesto, se ratifica en todas y cada una de sus partes la respuesta otorgada mediante el oficio número 20703001030200L/131/2023, de fecha veinticuatro de febrero de dos mil veintitrés, signado por el servidor público </w:t>
      </w:r>
      <w:r w:rsidRPr="00F763E4">
        <w:rPr>
          <w:rFonts w:ascii="Palatino Linotype" w:eastAsia="Calibri" w:hAnsi="Palatino Linotype" w:cs="Arial"/>
          <w:i/>
          <w:color w:val="000000" w:themeColor="text1"/>
        </w:rPr>
        <w:lastRenderedPageBreak/>
        <w:t>habilitado suplente de la Dirección General de Recaudación, correspondiente a la solicitud de información número 00/108/DF/IP/2023</w:t>
      </w:r>
      <w:r>
        <w:rPr>
          <w:rFonts w:ascii="Palatino Linotype" w:eastAsia="Calibri" w:hAnsi="Palatino Linotype" w:cs="Arial"/>
          <w:color w:val="000000" w:themeColor="text1"/>
        </w:rPr>
        <w:t xml:space="preserve">”  </w:t>
      </w:r>
    </w:p>
    <w:p w14:paraId="05738052" w14:textId="77777777" w:rsidR="00F763E4" w:rsidRPr="00C710B1" w:rsidRDefault="00F763E4" w:rsidP="00C710B1">
      <w:pPr>
        <w:tabs>
          <w:tab w:val="left" w:pos="426"/>
        </w:tabs>
        <w:spacing w:line="360" w:lineRule="auto"/>
        <w:ind w:right="616"/>
        <w:contextualSpacing/>
        <w:jc w:val="both"/>
        <w:rPr>
          <w:rFonts w:ascii="Palatino Linotype" w:eastAsia="Calibri" w:hAnsi="Palatino Linotype" w:cs="Arial"/>
          <w:color w:val="000000" w:themeColor="text1"/>
        </w:rPr>
      </w:pPr>
    </w:p>
    <w:p w14:paraId="498896CC" w14:textId="130DD84C" w:rsidR="00D23ACC" w:rsidRPr="00907354" w:rsidRDefault="00F763E4" w:rsidP="00D23ACC">
      <w:pPr>
        <w:pStyle w:val="Prrafodelista"/>
        <w:numPr>
          <w:ilvl w:val="0"/>
          <w:numId w:val="17"/>
        </w:numPr>
        <w:tabs>
          <w:tab w:val="left" w:pos="426"/>
        </w:tabs>
        <w:spacing w:line="360" w:lineRule="auto"/>
        <w:ind w:left="284" w:right="616" w:firstLine="0"/>
        <w:contextualSpacing/>
        <w:jc w:val="both"/>
        <w:rPr>
          <w:rFonts w:ascii="Palatino Linotype" w:eastAsia="Calibri" w:hAnsi="Palatino Linotype" w:cs="Arial"/>
          <w:b/>
          <w:color w:val="000000" w:themeColor="text1"/>
        </w:rPr>
      </w:pPr>
      <w:r w:rsidRPr="00F763E4">
        <w:rPr>
          <w:rFonts w:ascii="Palatino Linotype" w:eastAsia="Calibri" w:hAnsi="Palatino Linotype" w:cs="Arial"/>
          <w:b/>
          <w:color w:val="000000" w:themeColor="text1"/>
        </w:rPr>
        <w:t>RR 01448-2023 DGR (2).</w:t>
      </w:r>
      <w:proofErr w:type="spellStart"/>
      <w:r w:rsidRPr="00F763E4">
        <w:rPr>
          <w:rFonts w:ascii="Palatino Linotype" w:eastAsia="Calibri" w:hAnsi="Palatino Linotype" w:cs="Arial"/>
          <w:b/>
          <w:color w:val="000000" w:themeColor="text1"/>
        </w:rPr>
        <w:t>pdf</w:t>
      </w:r>
      <w:proofErr w:type="spellEnd"/>
      <w:r w:rsidRPr="00F763E4">
        <w:rPr>
          <w:rFonts w:ascii="Palatino Linotype" w:eastAsia="Calibri" w:hAnsi="Palatino Linotype" w:cs="Arial"/>
          <w:b/>
          <w:color w:val="000000" w:themeColor="text1"/>
        </w:rPr>
        <w:t xml:space="preserve">: </w:t>
      </w:r>
      <w:r w:rsidRPr="00F763E4">
        <w:rPr>
          <w:rFonts w:ascii="Palatino Linotype" w:eastAsia="Calibri" w:hAnsi="Palatino Linotype" w:cs="Arial"/>
          <w:color w:val="000000" w:themeColor="text1"/>
        </w:rPr>
        <w:t>Documento electrónico que en</w:t>
      </w:r>
      <w:r>
        <w:rPr>
          <w:rFonts w:ascii="Palatino Linotype" w:eastAsia="Calibri" w:hAnsi="Palatino Linotype" w:cs="Arial"/>
          <w:color w:val="000000" w:themeColor="text1"/>
        </w:rPr>
        <w:t xml:space="preserve"> seis (06)</w:t>
      </w:r>
      <w:r w:rsidRPr="00F763E4">
        <w:rPr>
          <w:rFonts w:ascii="Palatino Linotype" w:eastAsia="Calibri" w:hAnsi="Palatino Linotype" w:cs="Arial"/>
          <w:color w:val="000000" w:themeColor="text1"/>
        </w:rPr>
        <w:t xml:space="preserve"> hojas contiene el </w:t>
      </w:r>
      <w:r w:rsidR="00D23ACC">
        <w:rPr>
          <w:rFonts w:ascii="Palatino Linotype" w:eastAsia="Calibri" w:hAnsi="Palatino Linotype" w:cs="Arial"/>
          <w:color w:val="000000" w:themeColor="text1"/>
        </w:rPr>
        <w:t xml:space="preserve">oficio 207030001030100L/159/2023 </w:t>
      </w:r>
      <w:r w:rsidRPr="00F763E4">
        <w:rPr>
          <w:rFonts w:ascii="Palatino Linotype" w:eastAsia="Calibri" w:hAnsi="Palatino Linotype" w:cs="Arial"/>
          <w:color w:val="000000" w:themeColor="text1"/>
        </w:rPr>
        <w:t>dirigido a</w:t>
      </w:r>
      <w:r w:rsidR="00D23ACC">
        <w:rPr>
          <w:rFonts w:ascii="Palatino Linotype" w:eastAsia="Calibri" w:hAnsi="Palatino Linotype" w:cs="Arial"/>
          <w:color w:val="000000" w:themeColor="text1"/>
        </w:rPr>
        <w:t>l Jefe de la UIPPE y titular de la Unidad de Transparencia y suscrito por el Subdirector de Normas y Procedimientos y servidor público habilitado d suplente de la Dirección General de R</w:t>
      </w:r>
      <w:r w:rsidR="00D23ACC" w:rsidRPr="00907354">
        <w:rPr>
          <w:rFonts w:ascii="Palatino Linotype" w:eastAsia="Calibri" w:hAnsi="Palatino Linotype" w:cs="Arial"/>
          <w:color w:val="000000" w:themeColor="text1"/>
        </w:rPr>
        <w:t>ecaudación, mediante el cual se confirma la respuesta inicialmente remitida.</w:t>
      </w:r>
      <w:r w:rsidR="00D23ACC" w:rsidRPr="00907354">
        <w:rPr>
          <w:rFonts w:ascii="Palatino Linotype" w:eastAsia="Calibri" w:hAnsi="Palatino Linotype" w:cs="Arial"/>
          <w:b/>
          <w:color w:val="000000" w:themeColor="text1"/>
        </w:rPr>
        <w:t xml:space="preserve"> </w:t>
      </w:r>
    </w:p>
    <w:p w14:paraId="0189B025" w14:textId="77777777" w:rsidR="00F42581" w:rsidRPr="00907354" w:rsidRDefault="00F42581" w:rsidP="00F42581">
      <w:pPr>
        <w:pStyle w:val="Prrafodelista"/>
        <w:tabs>
          <w:tab w:val="left" w:pos="426"/>
        </w:tabs>
        <w:spacing w:line="360" w:lineRule="auto"/>
        <w:ind w:left="284" w:right="616"/>
        <w:contextualSpacing/>
        <w:jc w:val="both"/>
        <w:rPr>
          <w:rFonts w:ascii="Palatino Linotype" w:eastAsia="Calibri" w:hAnsi="Palatino Linotype" w:cs="Arial"/>
          <w:b/>
          <w:color w:val="000000" w:themeColor="text1"/>
        </w:rPr>
      </w:pPr>
    </w:p>
    <w:p w14:paraId="10228E2B" w14:textId="7AF221A6" w:rsidR="00C710B1" w:rsidRPr="00907354" w:rsidRDefault="00F42581" w:rsidP="00C710B1">
      <w:pPr>
        <w:tabs>
          <w:tab w:val="left" w:pos="426"/>
        </w:tabs>
        <w:spacing w:line="360" w:lineRule="auto"/>
        <w:ind w:left="284" w:right="616"/>
        <w:contextualSpacing/>
        <w:jc w:val="center"/>
        <w:rPr>
          <w:rFonts w:ascii="Palatino Linotype" w:eastAsia="Calibri" w:hAnsi="Palatino Linotype" w:cs="Arial"/>
          <w:b/>
          <w:color w:val="000000" w:themeColor="text1"/>
        </w:rPr>
      </w:pPr>
      <w:bookmarkStart w:id="4" w:name="_Toc461555889"/>
      <w:bookmarkStart w:id="5" w:name="_Toc466371858"/>
      <w:bookmarkStart w:id="6" w:name="_Toc68804758"/>
      <w:r w:rsidRPr="00907354">
        <w:rPr>
          <w:rFonts w:ascii="Palatino Linotype" w:eastAsia="Calibri" w:hAnsi="Palatino Linotype" w:cs="Arial"/>
          <w:b/>
          <w:color w:val="000000" w:themeColor="text1"/>
        </w:rPr>
        <w:t xml:space="preserve">MANIFESTACIONES </w:t>
      </w:r>
    </w:p>
    <w:p w14:paraId="40CADB02" w14:textId="77777777" w:rsidR="00F42581" w:rsidRPr="00907354" w:rsidRDefault="00F42581" w:rsidP="00C710B1">
      <w:pPr>
        <w:tabs>
          <w:tab w:val="left" w:pos="426"/>
        </w:tabs>
        <w:spacing w:line="360" w:lineRule="auto"/>
        <w:ind w:left="284" w:right="616"/>
        <w:contextualSpacing/>
        <w:jc w:val="center"/>
        <w:rPr>
          <w:rFonts w:ascii="Palatino Linotype" w:eastAsia="Calibri" w:hAnsi="Palatino Linotype" w:cs="Arial"/>
          <w:b/>
          <w:color w:val="000000" w:themeColor="text1"/>
        </w:rPr>
      </w:pPr>
    </w:p>
    <w:p w14:paraId="021FA498" w14:textId="29D16086" w:rsidR="00F42581" w:rsidRPr="00907354" w:rsidRDefault="00F42581" w:rsidP="00F42581">
      <w:pPr>
        <w:tabs>
          <w:tab w:val="left" w:pos="426"/>
          <w:tab w:val="left" w:pos="8222"/>
        </w:tabs>
        <w:spacing w:line="360" w:lineRule="auto"/>
        <w:ind w:left="284" w:right="616"/>
        <w:contextualSpacing/>
        <w:jc w:val="both"/>
        <w:rPr>
          <w:rFonts w:ascii="Palatino Linotype" w:eastAsia="Calibri" w:hAnsi="Palatino Linotype" w:cs="Arial"/>
          <w:i/>
          <w:color w:val="000000" w:themeColor="text1"/>
        </w:rPr>
      </w:pPr>
      <w:r w:rsidRPr="00907354">
        <w:rPr>
          <w:rFonts w:ascii="Palatino Linotype" w:eastAsia="Calibri" w:hAnsi="Palatino Linotype" w:cs="Arial"/>
          <w:b/>
          <w:i/>
          <w:color w:val="000000" w:themeColor="text1"/>
        </w:rPr>
        <w:t>“</w:t>
      </w:r>
      <w:r w:rsidRPr="00907354">
        <w:rPr>
          <w:rFonts w:ascii="Palatino Linotype" w:eastAsia="Calibri" w:hAnsi="Palatino Linotype" w:cs="Arial"/>
          <w:i/>
          <w:color w:val="000000" w:themeColor="text1"/>
        </w:rPr>
        <w:t xml:space="preserve">ADJUNTO EL RESULTADO DE LA CONSULTA DE INFORMACION PUBLICA A LA PAGINA DEL REPUVE EN LA CUAL APARECE EL NUMERO DE SERIE </w:t>
      </w:r>
      <w:r w:rsidR="005273C4">
        <w:rPr>
          <w:rFonts w:ascii="Palatino Linotype" w:eastAsia="Calibri" w:hAnsi="Palatino Linotype" w:cs="Arial"/>
          <w:i/>
          <w:color w:val="000000" w:themeColor="text1"/>
        </w:rPr>
        <w:t>XXXXXXXXXXXXXX</w:t>
      </w:r>
      <w:r w:rsidRPr="00907354">
        <w:rPr>
          <w:rFonts w:ascii="Palatino Linotype" w:eastAsia="Calibri" w:hAnsi="Palatino Linotype" w:cs="Arial"/>
          <w:i/>
          <w:color w:val="000000" w:themeColor="text1"/>
        </w:rPr>
        <w:t xml:space="preserve"> ASOCIADO CON LA PLACA </w:t>
      </w:r>
      <w:r w:rsidR="005273C4">
        <w:rPr>
          <w:rFonts w:ascii="Palatino Linotype" w:eastAsia="Calibri" w:hAnsi="Palatino Linotype" w:cs="Arial"/>
          <w:i/>
          <w:color w:val="000000" w:themeColor="text1"/>
        </w:rPr>
        <w:t>XXXXXXXXXXX</w:t>
      </w:r>
      <w:r w:rsidRPr="00907354">
        <w:rPr>
          <w:rFonts w:ascii="Palatino Linotype" w:eastAsia="Calibri" w:hAnsi="Palatino Linotype" w:cs="Arial"/>
          <w:i/>
          <w:color w:val="000000" w:themeColor="text1"/>
        </w:rPr>
        <w:t xml:space="preserve"> DEL PADRON VEHICULAR DEL ESTADO DE MEXICO Y REGISTRADO EN FECHA 21/12/2019, EN MI SOLICITUD SOLO PIDO CONFIRMEN O NIEGUEN SU EXISTENCIA EN EL PADRON DE ESA ENTIDAD FEDERATIVA” (Sic) </w:t>
      </w:r>
    </w:p>
    <w:p w14:paraId="050D8EE7" w14:textId="77777777" w:rsidR="00F42581" w:rsidRPr="00907354" w:rsidRDefault="00F42581" w:rsidP="00F42581">
      <w:pPr>
        <w:tabs>
          <w:tab w:val="left" w:pos="426"/>
          <w:tab w:val="left" w:pos="8222"/>
        </w:tabs>
        <w:spacing w:line="360" w:lineRule="auto"/>
        <w:ind w:left="284" w:right="616"/>
        <w:contextualSpacing/>
        <w:jc w:val="both"/>
        <w:rPr>
          <w:rFonts w:ascii="Palatino Linotype" w:eastAsia="Calibri" w:hAnsi="Palatino Linotype" w:cs="Arial"/>
          <w:b/>
          <w:i/>
          <w:color w:val="000000" w:themeColor="text1"/>
        </w:rPr>
      </w:pPr>
    </w:p>
    <w:p w14:paraId="2B8B8C49" w14:textId="41AC60B3" w:rsidR="00F42581" w:rsidRPr="00C710B1" w:rsidRDefault="00997AD6" w:rsidP="00F42581">
      <w:pPr>
        <w:tabs>
          <w:tab w:val="left" w:pos="426"/>
        </w:tabs>
        <w:spacing w:line="360" w:lineRule="auto"/>
        <w:ind w:left="284" w:right="616"/>
        <w:contextualSpacing/>
        <w:rPr>
          <w:rFonts w:ascii="Palatino Linotype" w:eastAsia="Calibri" w:hAnsi="Palatino Linotype" w:cs="Arial"/>
          <w:b/>
          <w:color w:val="000000" w:themeColor="text1"/>
        </w:rPr>
      </w:pPr>
      <w:hyperlink r:id="rId11" w:history="1">
        <w:r w:rsidR="00F42581" w:rsidRPr="00907354">
          <w:rPr>
            <w:rStyle w:val="Hipervnculo"/>
            <w:rFonts w:ascii="Palatino Linotype" w:eastAsia="Calibri" w:hAnsi="Palatino Linotype" w:cs="Arial"/>
            <w:b/>
            <w:bCs/>
            <w:color w:val="000000" w:themeColor="text1"/>
            <w:u w:val="none"/>
          </w:rPr>
          <w:t>Inscrito1B3KC46B58N621900.pdf</w:t>
        </w:r>
      </w:hyperlink>
      <w:r w:rsidR="00F42581" w:rsidRPr="00907354">
        <w:rPr>
          <w:rFonts w:ascii="Palatino Linotype" w:eastAsia="Calibri" w:hAnsi="Palatino Linotype" w:cs="Arial"/>
          <w:b/>
          <w:color w:val="000000" w:themeColor="text1"/>
        </w:rPr>
        <w:t xml:space="preserve">: </w:t>
      </w:r>
      <w:r w:rsidR="00F42581" w:rsidRPr="00907354">
        <w:rPr>
          <w:rFonts w:ascii="Palatino Linotype" w:eastAsia="Calibri" w:hAnsi="Palatino Linotype" w:cs="Arial"/>
          <w:color w:val="000000" w:themeColor="text1"/>
        </w:rPr>
        <w:t xml:space="preserve">Documento electrónico que en una hoja cuenta con el “Resultado de Consulta” de fecha once (11) de mayo de dos mil veintitrés </w:t>
      </w:r>
      <w:r w:rsidR="00DB2249" w:rsidRPr="00907354">
        <w:rPr>
          <w:rFonts w:ascii="Palatino Linotype" w:eastAsia="Calibri" w:hAnsi="Palatino Linotype" w:cs="Arial"/>
          <w:color w:val="000000" w:themeColor="text1"/>
        </w:rPr>
        <w:t>sobre un vehículo, emitido por el</w:t>
      </w:r>
      <w:r w:rsidR="00F42581" w:rsidRPr="00907354">
        <w:rPr>
          <w:rFonts w:ascii="Palatino Linotype" w:eastAsia="Calibri" w:hAnsi="Palatino Linotype" w:cs="Arial"/>
          <w:color w:val="000000" w:themeColor="text1"/>
        </w:rPr>
        <w:t xml:space="preserve"> </w:t>
      </w:r>
      <w:r w:rsidR="00DB2249" w:rsidRPr="00907354">
        <w:rPr>
          <w:rFonts w:ascii="Palatino Linotype" w:eastAsia="Calibri" w:hAnsi="Palatino Linotype" w:cs="Arial"/>
          <w:color w:val="000000" w:themeColor="text1"/>
        </w:rPr>
        <w:t>Registro Público Vehicular REPUVE.</w:t>
      </w:r>
    </w:p>
    <w:p w14:paraId="7E3D61D6" w14:textId="77777777" w:rsidR="00C710B1" w:rsidRPr="00C710B1" w:rsidRDefault="00C710B1" w:rsidP="00C710B1">
      <w:pPr>
        <w:pStyle w:val="Prrafodelista"/>
        <w:tabs>
          <w:tab w:val="left" w:pos="426"/>
        </w:tabs>
        <w:spacing w:line="360" w:lineRule="auto"/>
        <w:ind w:left="284" w:right="616"/>
        <w:contextualSpacing/>
        <w:jc w:val="both"/>
        <w:rPr>
          <w:rFonts w:ascii="Palatino Linotype" w:eastAsia="Calibri" w:hAnsi="Palatino Linotype" w:cs="Arial"/>
          <w:b/>
          <w:color w:val="000000" w:themeColor="text1"/>
        </w:rPr>
      </w:pPr>
    </w:p>
    <w:p w14:paraId="1A06EC63" w14:textId="1B23BE03" w:rsidR="0028674A" w:rsidRDefault="0057690A" w:rsidP="00C373ED">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66186">
        <w:rPr>
          <w:rFonts w:ascii="Palatino Linotype" w:eastAsiaTheme="minorEastAsia" w:hAnsi="Palatino Linotype" w:cstheme="minorBidi"/>
          <w:color w:val="000000" w:themeColor="text1"/>
          <w:lang w:val="es-ES_tradnl"/>
        </w:rPr>
        <w:lastRenderedPageBreak/>
        <w:t>Así las cosas, la</w:t>
      </w:r>
      <w:r w:rsidRPr="00C66186">
        <w:rPr>
          <w:rFonts w:ascii="Palatino Linotype" w:eastAsiaTheme="minorEastAsia" w:hAnsi="Palatino Linotype" w:cstheme="minorBidi"/>
          <w:b/>
          <w:color w:val="000000" w:themeColor="text1"/>
          <w:lang w:val="es-ES_tradnl"/>
        </w:rPr>
        <w:t xml:space="preserve"> Comisionada María del Rosario Mejía Ayala</w:t>
      </w:r>
      <w:r w:rsidRPr="00C66186">
        <w:rPr>
          <w:rFonts w:ascii="Palatino Linotype" w:eastAsiaTheme="minorEastAsia" w:hAnsi="Palatino Linotype" w:cstheme="minorBidi"/>
          <w:color w:val="000000" w:themeColor="text1"/>
          <w:lang w:val="es-ES_tradnl"/>
        </w:rPr>
        <w:t xml:space="preserve"> decretó el cierre de instrucción mediante</w:t>
      </w:r>
      <w:r w:rsidR="006C035E" w:rsidRPr="00C66186">
        <w:rPr>
          <w:rFonts w:ascii="Palatino Linotype" w:eastAsiaTheme="minorEastAsia" w:hAnsi="Palatino Linotype" w:cstheme="minorBidi"/>
          <w:color w:val="000000" w:themeColor="text1"/>
          <w:lang w:val="es-ES_tradnl"/>
        </w:rPr>
        <w:t xml:space="preserve"> </w:t>
      </w:r>
      <w:r w:rsidR="009633B5">
        <w:rPr>
          <w:rFonts w:ascii="Palatino Linotype" w:eastAsiaTheme="minorEastAsia" w:hAnsi="Palatino Linotype" w:cstheme="minorBidi"/>
          <w:color w:val="000000" w:themeColor="text1"/>
          <w:lang w:val="es-ES_tradnl"/>
        </w:rPr>
        <w:t xml:space="preserve">acuerdo de </w:t>
      </w:r>
      <w:r w:rsidR="00DB2249">
        <w:rPr>
          <w:rFonts w:ascii="Palatino Linotype" w:eastAsiaTheme="minorEastAsia" w:hAnsi="Palatino Linotype" w:cstheme="minorBidi"/>
          <w:color w:val="000000" w:themeColor="text1"/>
          <w:lang w:val="es-ES_tradnl"/>
        </w:rPr>
        <w:t>dieciséis</w:t>
      </w:r>
      <w:r w:rsidR="00E70635">
        <w:rPr>
          <w:rFonts w:ascii="Palatino Linotype" w:eastAsiaTheme="minorEastAsia" w:hAnsi="Palatino Linotype" w:cstheme="minorBidi"/>
          <w:color w:val="000000" w:themeColor="text1"/>
          <w:lang w:val="es-ES_tradnl"/>
        </w:rPr>
        <w:t xml:space="preserve"> </w:t>
      </w:r>
      <w:r w:rsidR="00DB2249">
        <w:rPr>
          <w:rFonts w:ascii="Palatino Linotype" w:eastAsiaTheme="minorEastAsia" w:hAnsi="Palatino Linotype" w:cstheme="minorBidi"/>
          <w:color w:val="000000" w:themeColor="text1"/>
          <w:lang w:val="es-ES_tradnl"/>
        </w:rPr>
        <w:t>(16</w:t>
      </w:r>
      <w:r w:rsidRPr="00C66186">
        <w:rPr>
          <w:rFonts w:ascii="Palatino Linotype" w:eastAsiaTheme="minorEastAsia" w:hAnsi="Palatino Linotype" w:cstheme="minorBidi"/>
          <w:color w:val="000000" w:themeColor="text1"/>
          <w:lang w:val="es-ES_tradnl"/>
        </w:rPr>
        <w:t>) de</w:t>
      </w:r>
      <w:r w:rsidR="0018537B" w:rsidRPr="00C66186">
        <w:rPr>
          <w:rFonts w:ascii="Palatino Linotype" w:eastAsiaTheme="minorEastAsia" w:hAnsi="Palatino Linotype" w:cstheme="minorBidi"/>
          <w:color w:val="000000" w:themeColor="text1"/>
          <w:lang w:val="es-ES_tradnl"/>
        </w:rPr>
        <w:t xml:space="preserve"> mayo</w:t>
      </w:r>
      <w:r w:rsidR="001B4748" w:rsidRPr="00C66186">
        <w:rPr>
          <w:rFonts w:ascii="Palatino Linotype" w:eastAsiaTheme="minorEastAsia" w:hAnsi="Palatino Linotype" w:cstheme="minorBidi"/>
          <w:color w:val="000000" w:themeColor="text1"/>
          <w:lang w:val="es-ES_tradnl"/>
        </w:rPr>
        <w:t xml:space="preserve"> </w:t>
      </w:r>
      <w:r w:rsidR="000E2E2A" w:rsidRPr="00C66186">
        <w:rPr>
          <w:rFonts w:ascii="Palatino Linotype" w:eastAsiaTheme="minorEastAsia" w:hAnsi="Palatino Linotype" w:cstheme="minorBidi"/>
          <w:color w:val="000000" w:themeColor="text1"/>
          <w:lang w:val="es-ES_tradnl"/>
        </w:rPr>
        <w:t>de dos mil veintitrés</w:t>
      </w:r>
      <w:r w:rsidR="008179A6" w:rsidRPr="00C66186">
        <w:rPr>
          <w:rFonts w:ascii="Palatino Linotype" w:eastAsiaTheme="minorEastAsia" w:hAnsi="Palatino Linotype" w:cstheme="minorBidi"/>
          <w:color w:val="000000" w:themeColor="text1"/>
          <w:lang w:val="es-ES_tradnl"/>
        </w:rPr>
        <w:t xml:space="preserve">. </w:t>
      </w:r>
    </w:p>
    <w:p w14:paraId="3BC360D3" w14:textId="5166544C" w:rsidR="00655F9A" w:rsidRPr="00C66186" w:rsidRDefault="00EA0165" w:rsidP="00655F9A">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C66186">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C66186" w:rsidRDefault="00EA0165" w:rsidP="00C373ED">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C66186">
        <w:rPr>
          <w:rFonts w:ascii="Palatino Linotype" w:hAnsi="Palatino Linotype"/>
          <w:b/>
          <w:color w:val="000000" w:themeColor="text1"/>
          <w:sz w:val="24"/>
          <w:szCs w:val="24"/>
          <w:lang w:val="es-MX" w:eastAsia="en-US"/>
        </w:rPr>
        <w:t>PRIMERO. De la competencia</w:t>
      </w:r>
      <w:bookmarkEnd w:id="8"/>
      <w:bookmarkEnd w:id="9"/>
      <w:bookmarkEnd w:id="10"/>
      <w:r w:rsidR="00537427" w:rsidRPr="00C66186">
        <w:rPr>
          <w:rFonts w:ascii="Palatino Linotype" w:hAnsi="Palatino Linotype"/>
          <w:b/>
          <w:color w:val="000000" w:themeColor="text1"/>
          <w:sz w:val="24"/>
          <w:szCs w:val="24"/>
          <w:lang w:val="es-MX" w:eastAsia="en-US"/>
        </w:rPr>
        <w:t>.</w:t>
      </w:r>
      <w:bookmarkEnd w:id="11"/>
    </w:p>
    <w:p w14:paraId="341F67EC" w14:textId="77777777" w:rsidR="00EA0165" w:rsidRPr="00C66186" w:rsidRDefault="00EA0165" w:rsidP="00C373ED">
      <w:pPr>
        <w:spacing w:line="360" w:lineRule="auto"/>
        <w:rPr>
          <w:rFonts w:ascii="Palatino Linotype" w:eastAsiaTheme="minorEastAsia" w:hAnsi="Palatino Linotype" w:cstheme="minorBidi"/>
          <w:color w:val="000000" w:themeColor="text1"/>
          <w:lang w:val="es-MX" w:eastAsia="en-US"/>
        </w:rPr>
      </w:pPr>
    </w:p>
    <w:p w14:paraId="15D1D21E" w14:textId="1ABAF659" w:rsidR="00EA0165" w:rsidRPr="00C66186" w:rsidRDefault="0018537B" w:rsidP="0018537B">
      <w:pPr>
        <w:pStyle w:val="Prrafodelista"/>
        <w:numPr>
          <w:ilvl w:val="0"/>
          <w:numId w:val="2"/>
        </w:numPr>
        <w:spacing w:line="360" w:lineRule="auto"/>
        <w:ind w:left="0" w:firstLine="0"/>
        <w:jc w:val="both"/>
        <w:rPr>
          <w:rFonts w:ascii="Palatino Linotype" w:eastAsia="MS Mincho" w:hAnsi="Palatino Linotype"/>
          <w:lang w:val="es-ES_tradnl"/>
        </w:rPr>
      </w:pPr>
      <w:r w:rsidRPr="00C66186">
        <w:rPr>
          <w:rFonts w:ascii="Palatino Linotype" w:eastAsia="MS Mincho" w:hAnsi="Palatino Linotype"/>
          <w:lang w:val="es-ES_tradnl"/>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66186">
        <w:rPr>
          <w:rFonts w:ascii="Palatino Linotype" w:eastAsia="MS Mincho" w:hAnsi="Palatino Linotype"/>
          <w:b/>
          <w:lang w:val="es-ES_tradnl"/>
        </w:rPr>
        <w:t>Constitución Política de los Estados Unidos</w:t>
      </w:r>
      <w:r w:rsidRPr="00C66186">
        <w:rPr>
          <w:rFonts w:ascii="Palatino Linotype" w:eastAsia="MS Mincho" w:hAnsi="Palatino Linotype"/>
          <w:lang w:val="es-ES_tradnl"/>
        </w:rPr>
        <w:t xml:space="preserve"> </w:t>
      </w:r>
      <w:r w:rsidRPr="00C66186">
        <w:rPr>
          <w:rFonts w:ascii="Palatino Linotype" w:eastAsia="MS Mincho" w:hAnsi="Palatino Linotype"/>
          <w:b/>
          <w:lang w:val="es-ES_tradnl"/>
        </w:rPr>
        <w:t>Mexicanos</w:t>
      </w:r>
      <w:r w:rsidRPr="00C66186">
        <w:rPr>
          <w:rFonts w:ascii="Palatino Linotype" w:eastAsia="MS Mincho" w:hAnsi="Palatino Linotype"/>
          <w:lang w:val="es-ES_tradnl"/>
        </w:rPr>
        <w:t xml:space="preserve">; 5, párrafo trigésimo, trigésimo primero y trigésimo segundo, fracciones I, II, III, IV y V de la </w:t>
      </w:r>
      <w:r w:rsidRPr="00C66186">
        <w:rPr>
          <w:rFonts w:ascii="Palatino Linotype" w:eastAsia="MS Mincho" w:hAnsi="Palatino Linotype"/>
          <w:b/>
          <w:lang w:val="es-ES_tradnl"/>
        </w:rPr>
        <w:t>Constitución Política del Estado Libre y Soberano de México</w:t>
      </w:r>
      <w:r w:rsidRPr="00C66186">
        <w:rPr>
          <w:rFonts w:ascii="Palatino Linotype" w:eastAsia="MS Mincho" w:hAnsi="Palatino Linotype"/>
          <w:lang w:val="es-ES_tradnl"/>
        </w:rPr>
        <w:t xml:space="preserve">; artículos 1, 2 fracción II, 13, 29, 36 fracciones I y II, 176, 178, 179, 181 párrafo tercero y 185 de la Ley de </w:t>
      </w:r>
      <w:r w:rsidRPr="00C66186">
        <w:rPr>
          <w:rFonts w:ascii="Palatino Linotype" w:eastAsia="MS Mincho" w:hAnsi="Palatino Linotype"/>
          <w:b/>
          <w:lang w:val="es-ES_tradnl"/>
        </w:rPr>
        <w:t>Transparencia y Acceso a la Información Pública del Estado de México y Municipios</w:t>
      </w:r>
      <w:r w:rsidRPr="00C66186">
        <w:rPr>
          <w:rFonts w:ascii="Palatino Linotype" w:eastAsia="MS Mincho" w:hAnsi="Palatino Linotype"/>
          <w:lang w:val="es-ES_tradnl"/>
        </w:rPr>
        <w:t>; 6, 9 fracciones I y XXIII, y 11 del Reglamento Interior del Instituto de Transparencia, Acceso a la Información Pública y Protección de Datos Personales del Estado de México y Municipios.</w:t>
      </w:r>
    </w:p>
    <w:p w14:paraId="343B0FCF" w14:textId="413622B7" w:rsidR="00EA0165" w:rsidRPr="00C66186" w:rsidRDefault="00EA0165" w:rsidP="00C373ED">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C66186">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C66186" w:rsidRDefault="007C4587" w:rsidP="006C6D2C">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C66186">
        <w:rPr>
          <w:rFonts w:ascii="Palatino Linotype" w:hAnsi="Palatino Linotype"/>
          <w:b/>
          <w:color w:val="000000" w:themeColor="text1"/>
          <w:sz w:val="24"/>
          <w:szCs w:val="24"/>
        </w:rPr>
        <w:t>De la interposición del recurso</w:t>
      </w:r>
      <w:r w:rsidRPr="00C66186">
        <w:rPr>
          <w:rFonts w:ascii="Palatino Linotype" w:hAnsi="Palatino Linotype"/>
          <w:sz w:val="24"/>
          <w:szCs w:val="24"/>
        </w:rPr>
        <w:t>.</w:t>
      </w:r>
      <w:bookmarkEnd w:id="16"/>
      <w:r w:rsidRPr="00C66186">
        <w:rPr>
          <w:rFonts w:ascii="Palatino Linotype" w:hAnsi="Palatino Linotype"/>
          <w:sz w:val="24"/>
          <w:szCs w:val="24"/>
        </w:rPr>
        <w:t xml:space="preserve"> </w:t>
      </w:r>
    </w:p>
    <w:p w14:paraId="102F00F1" w14:textId="77777777" w:rsidR="009815B6" w:rsidRPr="00C66186" w:rsidRDefault="009815B6" w:rsidP="00C373ED">
      <w:pPr>
        <w:spacing w:line="360" w:lineRule="auto"/>
        <w:rPr>
          <w:rFonts w:ascii="Palatino Linotype" w:hAnsi="Palatino Linotype"/>
        </w:rPr>
      </w:pPr>
    </w:p>
    <w:p w14:paraId="067A7AE5" w14:textId="04641E92" w:rsidR="00C66186" w:rsidRPr="00C66186" w:rsidRDefault="009815B6" w:rsidP="00C66186">
      <w:pPr>
        <w:pStyle w:val="Prrafodelista"/>
        <w:numPr>
          <w:ilvl w:val="0"/>
          <w:numId w:val="2"/>
        </w:numPr>
        <w:spacing w:line="360" w:lineRule="auto"/>
        <w:ind w:left="0" w:firstLine="0"/>
        <w:jc w:val="both"/>
        <w:rPr>
          <w:rFonts w:ascii="Palatino Linotype" w:hAnsi="Palatino Linotype"/>
          <w:lang w:eastAsia="en-US"/>
        </w:rPr>
      </w:pPr>
      <w:r w:rsidRPr="00C66186">
        <w:rPr>
          <w:rFonts w:ascii="Palatino Linotype" w:hAnsi="Palatino Linotype"/>
          <w:lang w:eastAsia="en-US"/>
        </w:rPr>
        <w:t xml:space="preserve">El medio de impugnación fue presentado a través del </w:t>
      </w:r>
      <w:r w:rsidRPr="00C66186">
        <w:rPr>
          <w:rFonts w:ascii="Palatino Linotype" w:hAnsi="Palatino Linotype"/>
          <w:b/>
          <w:lang w:eastAsia="en-US"/>
        </w:rPr>
        <w:t>SAIMEX</w:t>
      </w:r>
      <w:r w:rsidRPr="00C66186">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C66186">
        <w:rPr>
          <w:rFonts w:ascii="Palatino Linotype" w:hAnsi="Palatino Linotype"/>
          <w:b/>
          <w:lang w:eastAsia="en-US"/>
        </w:rPr>
        <w:t>SUJETO OBLIGADO</w:t>
      </w:r>
      <w:r w:rsidR="00675D2C" w:rsidRPr="00C66186">
        <w:rPr>
          <w:rFonts w:ascii="Palatino Linotype" w:hAnsi="Palatino Linotype"/>
          <w:lang w:eastAsia="en-US"/>
        </w:rPr>
        <w:t xml:space="preserve"> entregó respuesta e</w:t>
      </w:r>
      <w:r w:rsidR="0018537B" w:rsidRPr="00C66186">
        <w:rPr>
          <w:rFonts w:ascii="Palatino Linotype" w:hAnsi="Palatino Linotype"/>
          <w:lang w:eastAsia="en-US"/>
        </w:rPr>
        <w:t>l día dieciséis (16</w:t>
      </w:r>
      <w:r w:rsidRPr="00C66186">
        <w:rPr>
          <w:rFonts w:ascii="Palatino Linotype" w:hAnsi="Palatino Linotype"/>
          <w:lang w:eastAsia="en-US"/>
        </w:rPr>
        <w:t>) de</w:t>
      </w:r>
      <w:r w:rsidR="0018537B" w:rsidRPr="00C66186">
        <w:rPr>
          <w:rFonts w:ascii="Palatino Linotype" w:hAnsi="Palatino Linotype"/>
          <w:lang w:eastAsia="en-US"/>
        </w:rPr>
        <w:t xml:space="preserve"> marzo</w:t>
      </w:r>
      <w:r w:rsidR="00FD13AC" w:rsidRPr="00C66186">
        <w:rPr>
          <w:rFonts w:ascii="Palatino Linotype" w:hAnsi="Palatino Linotype"/>
          <w:lang w:eastAsia="en-US"/>
        </w:rPr>
        <w:t xml:space="preserve"> </w:t>
      </w:r>
      <w:r w:rsidR="000E2E2A" w:rsidRPr="00C66186">
        <w:rPr>
          <w:rFonts w:ascii="Palatino Linotype" w:hAnsi="Palatino Linotype"/>
          <w:lang w:eastAsia="en-US"/>
        </w:rPr>
        <w:t>de dos mil veintitrés</w:t>
      </w:r>
      <w:r w:rsidRPr="00C66186">
        <w:rPr>
          <w:rFonts w:ascii="Palatino Linotype" w:hAnsi="Palatino Linotype"/>
          <w:lang w:eastAsia="en-US"/>
        </w:rPr>
        <w:t xml:space="preserve">, el plazo para </w:t>
      </w:r>
      <w:r w:rsidRPr="00C66186">
        <w:rPr>
          <w:rFonts w:ascii="Palatino Linotype" w:hAnsi="Palatino Linotype"/>
          <w:lang w:eastAsia="en-US"/>
        </w:rPr>
        <w:lastRenderedPageBreak/>
        <w:t>interponer el recurso d</w:t>
      </w:r>
      <w:r w:rsidR="00442787" w:rsidRPr="00C66186">
        <w:rPr>
          <w:rFonts w:ascii="Palatino Linotype" w:hAnsi="Palatino Linotype"/>
          <w:lang w:eastAsia="en-US"/>
        </w:rPr>
        <w:t>e re</w:t>
      </w:r>
      <w:r w:rsidR="0018537B" w:rsidRPr="00C66186">
        <w:rPr>
          <w:rFonts w:ascii="Palatino Linotype" w:hAnsi="Palatino Linotype"/>
          <w:lang w:eastAsia="en-US"/>
        </w:rPr>
        <w:t>visión trascurrió del diecisiete (17</w:t>
      </w:r>
      <w:r w:rsidR="00FD13AC" w:rsidRPr="00C66186">
        <w:rPr>
          <w:rFonts w:ascii="Palatino Linotype" w:hAnsi="Palatino Linotype"/>
          <w:lang w:eastAsia="en-US"/>
        </w:rPr>
        <w:t xml:space="preserve">)  </w:t>
      </w:r>
      <w:r w:rsidR="000E0E4D" w:rsidRPr="00C66186">
        <w:rPr>
          <w:rFonts w:ascii="Palatino Linotype" w:hAnsi="Palatino Linotype"/>
          <w:lang w:eastAsia="en-US"/>
        </w:rPr>
        <w:t>de</w:t>
      </w:r>
      <w:r w:rsidR="0018537B" w:rsidRPr="00C66186">
        <w:rPr>
          <w:rFonts w:ascii="Palatino Linotype" w:hAnsi="Palatino Linotype"/>
          <w:lang w:eastAsia="en-US"/>
        </w:rPr>
        <w:t xml:space="preserve"> marzo</w:t>
      </w:r>
      <w:r w:rsidR="000E2E2A" w:rsidRPr="00C66186">
        <w:rPr>
          <w:rFonts w:ascii="Palatino Linotype" w:hAnsi="Palatino Linotype"/>
          <w:lang w:eastAsia="en-US"/>
        </w:rPr>
        <w:t xml:space="preserve"> </w:t>
      </w:r>
      <w:r w:rsidR="00FD13AC" w:rsidRPr="00C66186">
        <w:rPr>
          <w:rFonts w:ascii="Palatino Linotype" w:hAnsi="Palatino Linotype"/>
          <w:lang w:eastAsia="en-US"/>
        </w:rPr>
        <w:t>al</w:t>
      </w:r>
      <w:r w:rsidR="000E0E4D" w:rsidRPr="00C66186">
        <w:rPr>
          <w:rFonts w:ascii="Palatino Linotype" w:hAnsi="Palatino Linotype"/>
          <w:lang w:eastAsia="en-US"/>
        </w:rPr>
        <w:t xml:space="preserve"> once</w:t>
      </w:r>
      <w:r w:rsidRPr="00C66186">
        <w:rPr>
          <w:rFonts w:ascii="Palatino Linotype" w:hAnsi="Palatino Linotype"/>
          <w:lang w:eastAsia="en-US"/>
        </w:rPr>
        <w:t xml:space="preserve"> al </w:t>
      </w:r>
      <w:r w:rsidR="00C66186" w:rsidRPr="00C66186">
        <w:rPr>
          <w:rFonts w:ascii="Palatino Linotype" w:hAnsi="Palatino Linotype"/>
          <w:lang w:eastAsia="en-US"/>
        </w:rPr>
        <w:t>catorce (14) de abril</w:t>
      </w:r>
      <w:r w:rsidR="004368E8" w:rsidRPr="00C66186">
        <w:rPr>
          <w:rFonts w:ascii="Palatino Linotype" w:hAnsi="Palatino Linotype"/>
          <w:lang w:eastAsia="en-US"/>
        </w:rPr>
        <w:t xml:space="preserve"> de dos mil veintitrés</w:t>
      </w:r>
      <w:r w:rsidRPr="00C66186">
        <w:rPr>
          <w:rFonts w:ascii="Palatino Linotype" w:hAnsi="Palatino Linotype"/>
          <w:lang w:eastAsia="en-US"/>
        </w:rPr>
        <w:t xml:space="preserve">, por lo que si el particular interpuso recurso de </w:t>
      </w:r>
      <w:r w:rsidR="000E2E2A" w:rsidRPr="00C66186">
        <w:rPr>
          <w:rFonts w:ascii="Palatino Linotype" w:hAnsi="Palatino Linotype"/>
          <w:lang w:eastAsia="en-US"/>
        </w:rPr>
        <w:t xml:space="preserve">revisión el </w:t>
      </w:r>
      <w:r w:rsidR="00C66186" w:rsidRPr="00C66186">
        <w:rPr>
          <w:rFonts w:ascii="Palatino Linotype" w:hAnsi="Palatino Linotype"/>
          <w:lang w:eastAsia="en-US"/>
        </w:rPr>
        <w:t>dieciséis (16</w:t>
      </w:r>
      <w:r w:rsidRPr="00C66186">
        <w:rPr>
          <w:rFonts w:ascii="Palatino Linotype" w:hAnsi="Palatino Linotype"/>
          <w:lang w:eastAsia="en-US"/>
        </w:rPr>
        <w:t>) de</w:t>
      </w:r>
      <w:r w:rsidR="00C66186" w:rsidRPr="00C66186">
        <w:rPr>
          <w:rFonts w:ascii="Palatino Linotype" w:hAnsi="Palatino Linotype"/>
          <w:lang w:eastAsia="en-US"/>
        </w:rPr>
        <w:t xml:space="preserve"> marzo </w:t>
      </w:r>
      <w:r w:rsidRPr="00C66186">
        <w:rPr>
          <w:rFonts w:ascii="Palatino Linotype" w:hAnsi="Palatino Linotype"/>
          <w:lang w:eastAsia="en-US"/>
        </w:rPr>
        <w:t>se encuentra dentro del periodo establecido por la Ley.</w:t>
      </w:r>
    </w:p>
    <w:p w14:paraId="23C95073" w14:textId="77777777" w:rsidR="00C66186" w:rsidRPr="00C66186" w:rsidRDefault="00C66186" w:rsidP="00C66186">
      <w:pPr>
        <w:keepNext/>
        <w:keepLines/>
        <w:spacing w:before="240" w:line="360" w:lineRule="auto"/>
        <w:jc w:val="both"/>
        <w:outlineLvl w:val="0"/>
        <w:rPr>
          <w:rFonts w:ascii="Palatino Linotype" w:eastAsiaTheme="majorEastAsia" w:hAnsi="Palatino Linotype" w:cstheme="majorBidi"/>
          <w:b/>
        </w:rPr>
      </w:pPr>
      <w:bookmarkStart w:id="17" w:name="_heading=h.4d34og8" w:colFirst="0" w:colLast="0"/>
      <w:bookmarkEnd w:id="17"/>
      <w:r w:rsidRPr="00C66186">
        <w:rPr>
          <w:rFonts w:ascii="Palatino Linotype" w:eastAsiaTheme="majorEastAsia" w:hAnsi="Palatino Linotype" w:cstheme="majorBidi"/>
          <w:b/>
        </w:rPr>
        <w:t xml:space="preserve">II. Del nombre como requisito innecesario para la tramitación del recurso. </w:t>
      </w:r>
    </w:p>
    <w:p w14:paraId="7D201A86" w14:textId="77777777" w:rsidR="00C66186" w:rsidRPr="00C66186" w:rsidRDefault="00C66186" w:rsidP="00C66186">
      <w:pPr>
        <w:tabs>
          <w:tab w:val="left" w:pos="426"/>
        </w:tabs>
        <w:spacing w:line="360" w:lineRule="auto"/>
        <w:ind w:right="49"/>
        <w:contextualSpacing/>
        <w:jc w:val="both"/>
        <w:rPr>
          <w:rFonts w:ascii="Palatino Linotype" w:hAnsi="Palatino Linotype" w:cs="Arial"/>
          <w:b/>
        </w:rPr>
      </w:pPr>
    </w:p>
    <w:p w14:paraId="53A68336" w14:textId="58CB7BB7" w:rsidR="00C66186" w:rsidRPr="00C66186" w:rsidRDefault="00C66186" w:rsidP="00C66186">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C66186">
        <w:rPr>
          <w:rFonts w:ascii="Palatino Linotype" w:hAnsi="Palatino Linotype" w:cs="Arial"/>
          <w:bCs/>
          <w:lang w:val="es-ES_tradnl"/>
        </w:rPr>
        <w:t xml:space="preserve">Por </w:t>
      </w:r>
      <w:r w:rsidRPr="00C66186">
        <w:rPr>
          <w:rFonts w:ascii="Palatino Linotype" w:hAnsi="Palatino Linotype" w:cs="Arial"/>
          <w:bCs/>
        </w:rPr>
        <w:t xml:space="preserve">otro lado, de la revisión al  expediente electrónico contenido en el sistema </w:t>
      </w:r>
      <w:r w:rsidRPr="00C66186">
        <w:rPr>
          <w:rFonts w:ascii="Palatino Linotype" w:hAnsi="Palatino Linotype" w:cs="Arial"/>
          <w:b/>
          <w:bCs/>
        </w:rPr>
        <w:t>SAIMEX,</w:t>
      </w:r>
      <w:r w:rsidRPr="00C66186">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C66186">
        <w:rPr>
          <w:rFonts w:ascii="Palatino Linotype" w:hAnsi="Palatino Linotype" w:cs="Arial"/>
          <w:b/>
          <w:bCs/>
        </w:rPr>
        <w:t>no señaló su nombre completo, ni se tiene certeza sobre su identidad</w:t>
      </w:r>
      <w:r w:rsidRPr="00C66186">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6048443" w14:textId="77777777" w:rsidR="00C66186" w:rsidRPr="00C66186" w:rsidRDefault="00C66186" w:rsidP="00C66186">
      <w:pPr>
        <w:tabs>
          <w:tab w:val="left" w:pos="426"/>
        </w:tabs>
        <w:spacing w:after="160" w:line="360" w:lineRule="auto"/>
        <w:ind w:right="49"/>
        <w:contextualSpacing/>
        <w:jc w:val="both"/>
        <w:rPr>
          <w:rFonts w:ascii="Palatino Linotype" w:hAnsi="Palatino Linotype" w:cs="Arial"/>
          <w:b/>
          <w:lang w:val="es-ES_tradnl"/>
        </w:rPr>
      </w:pPr>
    </w:p>
    <w:p w14:paraId="6652C96A" w14:textId="77777777" w:rsidR="00C66186" w:rsidRPr="00C66186" w:rsidRDefault="00C66186" w:rsidP="00C66186">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C66186">
        <w:rPr>
          <w:rFonts w:ascii="Palatino Linotype" w:hAnsi="Palatino Linotype" w:cs="Arial"/>
          <w:bCs/>
        </w:rPr>
        <w:t xml:space="preserve">Esto es así, ya que de conformidad con los artículos 6, apartado A, fracciones III y IV de la </w:t>
      </w:r>
      <w:r w:rsidRPr="00C66186">
        <w:rPr>
          <w:rFonts w:ascii="Palatino Linotype" w:hAnsi="Palatino Linotype" w:cs="Arial"/>
          <w:b/>
          <w:bCs/>
        </w:rPr>
        <w:t>Constitución Política de los Estados Unidos Mexicanos</w:t>
      </w:r>
      <w:r w:rsidRPr="00C66186">
        <w:rPr>
          <w:rFonts w:ascii="Palatino Linotype" w:hAnsi="Palatino Linotype" w:cs="Arial"/>
          <w:bCs/>
        </w:rPr>
        <w:t xml:space="preserve">; 5, párrafos trigésimo, trigésimo primero y trigésimo segundo, fracciones III, IV y V, de la </w:t>
      </w:r>
      <w:r w:rsidRPr="00C66186">
        <w:rPr>
          <w:rFonts w:ascii="Palatino Linotype" w:hAnsi="Palatino Linotype" w:cs="Arial"/>
          <w:b/>
          <w:bCs/>
        </w:rPr>
        <w:t>Constitución Política del Estado Libre y Soberano de México</w:t>
      </w:r>
      <w:r w:rsidRPr="00C66186">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C66186">
        <w:rPr>
          <w:rFonts w:ascii="Palatino Linotype" w:hAnsi="Palatino Linotype" w:cs="Arial"/>
          <w:bCs/>
        </w:rPr>
        <w:lastRenderedPageBreak/>
        <w:t>autónomos especializados e imparciales que establece la Constitución Federal y Local.</w:t>
      </w:r>
    </w:p>
    <w:p w14:paraId="1105E7DD" w14:textId="77777777" w:rsidR="00C66186" w:rsidRPr="00C66186" w:rsidRDefault="00C66186" w:rsidP="00C66186">
      <w:pPr>
        <w:spacing w:line="360" w:lineRule="auto"/>
        <w:jc w:val="both"/>
        <w:rPr>
          <w:rFonts w:ascii="Palatino Linotype" w:hAnsi="Palatino Linotype" w:cs="Arial"/>
          <w:bCs/>
        </w:rPr>
      </w:pPr>
    </w:p>
    <w:p w14:paraId="2A9CC288" w14:textId="77777777" w:rsidR="00C66186" w:rsidRPr="00C66186" w:rsidRDefault="00C66186" w:rsidP="00C66186">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C66186">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FAC8D" w14:textId="77777777" w:rsidR="00C66186" w:rsidRPr="00C66186" w:rsidRDefault="00C66186" w:rsidP="00C66186">
      <w:pPr>
        <w:tabs>
          <w:tab w:val="left" w:pos="426"/>
        </w:tabs>
        <w:spacing w:line="360" w:lineRule="auto"/>
        <w:ind w:right="49"/>
        <w:contextualSpacing/>
        <w:jc w:val="both"/>
        <w:rPr>
          <w:rFonts w:ascii="Palatino Linotype" w:hAnsi="Palatino Linotype" w:cs="Arial"/>
          <w:b/>
        </w:rPr>
      </w:pPr>
    </w:p>
    <w:p w14:paraId="51EB928F" w14:textId="77777777" w:rsidR="00C66186" w:rsidRPr="00C66186" w:rsidRDefault="00C66186" w:rsidP="00C66186">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C66186">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5626305" w14:textId="77777777" w:rsidR="00C66186" w:rsidRPr="00C66186" w:rsidRDefault="00C66186" w:rsidP="00C66186">
      <w:pPr>
        <w:tabs>
          <w:tab w:val="left" w:pos="426"/>
        </w:tabs>
        <w:spacing w:line="360" w:lineRule="auto"/>
        <w:ind w:right="49"/>
        <w:contextualSpacing/>
        <w:jc w:val="both"/>
        <w:rPr>
          <w:rFonts w:ascii="Palatino Linotype" w:hAnsi="Palatino Linotype" w:cs="Arial"/>
          <w:b/>
        </w:rPr>
      </w:pPr>
    </w:p>
    <w:p w14:paraId="3A7DA64F" w14:textId="77777777" w:rsidR="00C66186" w:rsidRPr="00C66186" w:rsidRDefault="00C66186" w:rsidP="00C66186">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C66186">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1620955" w14:textId="77777777" w:rsidR="00C66186" w:rsidRPr="00C66186" w:rsidRDefault="00C66186" w:rsidP="00C66186">
      <w:pPr>
        <w:tabs>
          <w:tab w:val="left" w:pos="426"/>
        </w:tabs>
        <w:spacing w:line="360" w:lineRule="auto"/>
        <w:ind w:right="49"/>
        <w:contextualSpacing/>
        <w:jc w:val="both"/>
        <w:rPr>
          <w:rFonts w:ascii="Palatino Linotype" w:hAnsi="Palatino Linotype" w:cs="Arial"/>
          <w:b/>
        </w:rPr>
      </w:pPr>
    </w:p>
    <w:p w14:paraId="6742D97B" w14:textId="4A587763" w:rsidR="00C66186" w:rsidRPr="00C66186" w:rsidRDefault="00C66186" w:rsidP="00C66186">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C66186">
        <w:rPr>
          <w:rFonts w:ascii="Palatino Linotype" w:hAnsi="Palatino Linotype" w:cs="Arial"/>
          <w:bCs/>
        </w:rPr>
        <w:t xml:space="preserve">Por lo tanto, el nombre de la </w:t>
      </w:r>
      <w:r w:rsidRPr="00C66186">
        <w:rPr>
          <w:rFonts w:ascii="Palatino Linotype" w:hAnsi="Palatino Linotype" w:cs="Arial"/>
          <w:b/>
          <w:bCs/>
        </w:rPr>
        <w:t>SOLICITANTE</w:t>
      </w:r>
      <w:r w:rsidRPr="00C66186">
        <w:rPr>
          <w:rFonts w:ascii="Palatino Linotype" w:hAnsi="Palatino Linotype" w:cs="Arial"/>
          <w:bCs/>
        </w:rPr>
        <w:t xml:space="preserve"> y subsecuente </w:t>
      </w:r>
      <w:r w:rsidRPr="00C66186">
        <w:rPr>
          <w:rFonts w:ascii="Palatino Linotype" w:hAnsi="Palatino Linotype" w:cs="Arial"/>
          <w:b/>
          <w:bCs/>
        </w:rPr>
        <w:t>RECURRENTE</w:t>
      </w:r>
      <w:r w:rsidRPr="00C66186">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C66186">
        <w:rPr>
          <w:rFonts w:ascii="Palatino Linotype" w:hAnsi="Palatino Linotype" w:cs="Arial"/>
          <w:bCs/>
        </w:rPr>
        <w:lastRenderedPageBreak/>
        <w:t xml:space="preserve">acreditar algún interés ya sea jurídico o legítimo, máxime que es un elemento subsanable por este Órgano Garante. </w:t>
      </w:r>
    </w:p>
    <w:p w14:paraId="0A9E2D00" w14:textId="77777777" w:rsidR="00C66186" w:rsidRPr="00C66186" w:rsidRDefault="00C66186" w:rsidP="00C66186">
      <w:pPr>
        <w:keepNext/>
        <w:keepLines/>
        <w:spacing w:before="240" w:line="360" w:lineRule="auto"/>
        <w:outlineLvl w:val="0"/>
        <w:rPr>
          <w:rFonts w:ascii="Palatino Linotype" w:eastAsiaTheme="majorEastAsia" w:hAnsi="Palatino Linotype" w:cstheme="majorBidi"/>
          <w:b/>
          <w:color w:val="000000" w:themeColor="text1"/>
        </w:rPr>
      </w:pPr>
      <w:r w:rsidRPr="00C66186">
        <w:rPr>
          <w:rFonts w:ascii="Palatino Linotype" w:eastAsiaTheme="majorEastAsia" w:hAnsi="Palatino Linotype" w:cstheme="majorBidi"/>
          <w:b/>
          <w:color w:val="000000" w:themeColor="text1"/>
        </w:rPr>
        <w:t xml:space="preserve">III. De la determinación sobre la </w:t>
      </w:r>
      <w:proofErr w:type="spellStart"/>
      <w:r w:rsidRPr="00C66186">
        <w:rPr>
          <w:rFonts w:ascii="Palatino Linotype" w:eastAsiaTheme="majorEastAsia" w:hAnsi="Palatino Linotype" w:cstheme="majorBidi"/>
          <w:b/>
          <w:color w:val="000000" w:themeColor="text1"/>
        </w:rPr>
        <w:t>procedibilidad</w:t>
      </w:r>
      <w:proofErr w:type="spellEnd"/>
      <w:r w:rsidRPr="00C66186">
        <w:rPr>
          <w:rFonts w:ascii="Palatino Linotype" w:eastAsiaTheme="majorEastAsia" w:hAnsi="Palatino Linotype" w:cstheme="majorBidi"/>
          <w:b/>
          <w:color w:val="000000" w:themeColor="text1"/>
        </w:rPr>
        <w:t xml:space="preserve"> del recurso.</w:t>
      </w:r>
    </w:p>
    <w:p w14:paraId="7131049B" w14:textId="77777777" w:rsidR="00C66186" w:rsidRPr="00C66186" w:rsidRDefault="00C66186" w:rsidP="00C66186">
      <w:pPr>
        <w:tabs>
          <w:tab w:val="left" w:pos="426"/>
        </w:tabs>
        <w:spacing w:line="360" w:lineRule="auto"/>
        <w:ind w:right="49"/>
        <w:contextualSpacing/>
        <w:jc w:val="both"/>
        <w:rPr>
          <w:rFonts w:ascii="Palatino Linotype" w:hAnsi="Palatino Linotype" w:cs="Arial"/>
          <w:b/>
        </w:rPr>
      </w:pPr>
    </w:p>
    <w:p w14:paraId="1A40F925" w14:textId="312FB5AB" w:rsidR="00C66186" w:rsidRPr="00C66186" w:rsidRDefault="00C66186" w:rsidP="00B05DE3">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C66186">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18" w:name="_heading=h.2s8eyo1" w:colFirst="0" w:colLast="0"/>
      <w:bookmarkEnd w:id="18"/>
    </w:p>
    <w:p w14:paraId="07B85258" w14:textId="2C76A44B" w:rsidR="00FD13D4" w:rsidRPr="00C66186" w:rsidRDefault="00992BC7" w:rsidP="00C373ED">
      <w:pPr>
        <w:pStyle w:val="Ttulo1"/>
        <w:spacing w:line="360" w:lineRule="auto"/>
        <w:rPr>
          <w:rFonts w:ascii="Palatino Linotype" w:hAnsi="Palatino Linotype"/>
          <w:i/>
          <w:sz w:val="24"/>
          <w:szCs w:val="24"/>
          <w:lang w:val="es-ES_tradnl"/>
        </w:rPr>
      </w:pPr>
      <w:bookmarkStart w:id="19" w:name="_Toc89350006"/>
      <w:r w:rsidRPr="00C66186">
        <w:rPr>
          <w:rFonts w:ascii="Palatino Linotype" w:eastAsia="MS Mincho" w:hAnsi="Palatino Linotype"/>
          <w:b/>
          <w:color w:val="000000" w:themeColor="text1"/>
          <w:sz w:val="24"/>
          <w:szCs w:val="24"/>
          <w:lang w:val="es-ES_tradnl"/>
        </w:rPr>
        <w:t>TERCERO</w:t>
      </w:r>
      <w:bookmarkStart w:id="20" w:name="_Toc68804767"/>
      <w:bookmarkStart w:id="21" w:name="_Toc89350007"/>
      <w:bookmarkStart w:id="22" w:name="_Toc459174366"/>
      <w:bookmarkStart w:id="23" w:name="_Toc459659884"/>
      <w:bookmarkStart w:id="24" w:name="_Toc461687280"/>
      <w:bookmarkStart w:id="25" w:name="_Toc462771051"/>
      <w:bookmarkStart w:id="26" w:name="_Toc464139201"/>
      <w:bookmarkEnd w:id="19"/>
      <w:r w:rsidR="00F041CF" w:rsidRPr="00C66186">
        <w:rPr>
          <w:rFonts w:ascii="Palatino Linotype" w:hAnsi="Palatino Linotype"/>
          <w:b/>
          <w:color w:val="000000" w:themeColor="text1"/>
          <w:sz w:val="24"/>
          <w:szCs w:val="24"/>
          <w:lang w:val="es-MX" w:eastAsia="en-US"/>
        </w:rPr>
        <w:t>. Estudio y r</w:t>
      </w:r>
      <w:r w:rsidR="00EA0165" w:rsidRPr="00C66186">
        <w:rPr>
          <w:rFonts w:ascii="Palatino Linotype" w:hAnsi="Palatino Linotype"/>
          <w:b/>
          <w:color w:val="000000" w:themeColor="text1"/>
          <w:sz w:val="24"/>
          <w:szCs w:val="24"/>
          <w:lang w:val="es-MX" w:eastAsia="en-US"/>
        </w:rPr>
        <w:t>esolución del asunto.</w:t>
      </w:r>
      <w:bookmarkEnd w:id="20"/>
      <w:bookmarkEnd w:id="21"/>
    </w:p>
    <w:p w14:paraId="453BB47D" w14:textId="77777777" w:rsidR="00FD13D4" w:rsidRPr="00C66186" w:rsidRDefault="00FD13D4" w:rsidP="006C6D2C">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27" w:name="_Toc110433658"/>
      <w:r w:rsidRPr="00C66186">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27"/>
    </w:p>
    <w:p w14:paraId="1E87F3EE" w14:textId="77777777" w:rsidR="00FD13D4" w:rsidRPr="00C66186" w:rsidRDefault="00FD13D4" w:rsidP="00C373ED">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60A5C71A" w14:textId="77777777" w:rsidR="00FD13D4" w:rsidRPr="00C66186" w:rsidRDefault="00FD13D4" w:rsidP="00F56FE1">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66186">
        <w:rPr>
          <w:rFonts w:ascii="Palatino Linotype" w:eastAsia="MS Mincho" w:hAnsi="Palatino Linotype"/>
          <w:color w:val="000000" w:themeColor="text1"/>
          <w:lang w:val="es-MX"/>
        </w:rPr>
        <w:t>Es menester precisar</w:t>
      </w:r>
      <w:r w:rsidRPr="00C66186">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66186">
        <w:rPr>
          <w:rFonts w:ascii="Palatino Linotype" w:eastAsia="MS Mincho" w:hAnsi="Palatino Linotype"/>
          <w:b/>
          <w:bCs/>
          <w:color w:val="000000" w:themeColor="text1"/>
          <w:lang w:val="es-MX"/>
        </w:rPr>
        <w:t>SUJETO OBLIGADO</w:t>
      </w:r>
      <w:r w:rsidRPr="00C66186">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66186">
        <w:rPr>
          <w:rFonts w:ascii="Palatino Linotype" w:eastAsia="MS Mincho" w:hAnsi="Palatino Linotype"/>
          <w:b/>
          <w:bCs/>
          <w:color w:val="000000" w:themeColor="text1"/>
          <w:lang w:val="es-MX"/>
        </w:rPr>
        <w:t xml:space="preserve">Constitución Política </w:t>
      </w:r>
      <w:r w:rsidRPr="00C66186">
        <w:rPr>
          <w:rFonts w:ascii="Palatino Linotype" w:eastAsia="MS Mincho" w:hAnsi="Palatino Linotype"/>
          <w:b/>
          <w:bCs/>
          <w:color w:val="000000" w:themeColor="text1"/>
          <w:lang w:val="es-MX"/>
        </w:rPr>
        <w:lastRenderedPageBreak/>
        <w:t>de los Estados Unidos Mexicanos</w:t>
      </w:r>
      <w:r w:rsidRPr="00C66186">
        <w:rPr>
          <w:rFonts w:ascii="Palatino Linotype" w:eastAsia="MS Mincho" w:hAnsi="Palatino Linotype"/>
          <w:bCs/>
          <w:color w:val="000000" w:themeColor="text1"/>
          <w:lang w:val="es-MX"/>
        </w:rPr>
        <w:t>, tienen</w:t>
      </w:r>
      <w:r w:rsidRPr="00C66186">
        <w:rPr>
          <w:rFonts w:ascii="Palatino Linotype" w:eastAsia="MS Mincho" w:hAnsi="Palatino Linotype"/>
          <w:b/>
          <w:bCs/>
          <w:color w:val="000000" w:themeColor="text1"/>
          <w:lang w:val="es-MX"/>
        </w:rPr>
        <w:t xml:space="preserve"> </w:t>
      </w:r>
      <w:r w:rsidRPr="00C66186">
        <w:rPr>
          <w:rFonts w:ascii="Palatino Linotype" w:eastAsia="MS Mincho" w:hAnsi="Palatino Linotype"/>
          <w:bCs/>
          <w:color w:val="000000" w:themeColor="text1"/>
          <w:lang w:val="es-MX"/>
        </w:rPr>
        <w:t xml:space="preserve">la obligación de “promover, </w:t>
      </w:r>
      <w:r w:rsidRPr="00C66186">
        <w:rPr>
          <w:rFonts w:ascii="Palatino Linotype" w:eastAsia="MS Mincho" w:hAnsi="Palatino Linotype"/>
          <w:b/>
          <w:bCs/>
          <w:color w:val="000000" w:themeColor="text1"/>
          <w:lang w:val="es-MX"/>
        </w:rPr>
        <w:t>respetar</w:t>
      </w:r>
      <w:r w:rsidRPr="00C66186">
        <w:rPr>
          <w:rFonts w:ascii="Palatino Linotype" w:eastAsia="MS Mincho" w:hAnsi="Palatino Linotype"/>
          <w:bCs/>
          <w:color w:val="000000" w:themeColor="text1"/>
          <w:lang w:val="es-MX"/>
        </w:rPr>
        <w:t xml:space="preserve">, proteger y </w:t>
      </w:r>
      <w:r w:rsidRPr="00C66186">
        <w:rPr>
          <w:rFonts w:ascii="Palatino Linotype" w:eastAsia="MS Mincho" w:hAnsi="Palatino Linotype"/>
          <w:b/>
          <w:bCs/>
          <w:color w:val="000000" w:themeColor="text1"/>
          <w:lang w:val="es-MX"/>
        </w:rPr>
        <w:t>garantizar</w:t>
      </w:r>
      <w:r w:rsidRPr="00C66186">
        <w:rPr>
          <w:rFonts w:ascii="Palatino Linotype" w:eastAsia="MS Mincho" w:hAnsi="Palatino Linotype"/>
          <w:bCs/>
          <w:color w:val="000000" w:themeColor="text1"/>
          <w:lang w:val="es-MX"/>
        </w:rPr>
        <w:t xml:space="preserve"> los derechos humanos”, entre los cuales se encuentra dicho derecho.</w:t>
      </w:r>
    </w:p>
    <w:p w14:paraId="52D421E3" w14:textId="77777777" w:rsidR="00FD13D4" w:rsidRPr="00C66186"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F24DB74" w14:textId="77777777" w:rsidR="00FD13D4" w:rsidRPr="00C66186"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66186">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C66186"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C66186"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66186">
        <w:rPr>
          <w:rFonts w:ascii="Palatino Linotype" w:eastAsia="MS Mincho" w:hAnsi="Palatino Linotype"/>
          <w:color w:val="000000" w:themeColor="text1"/>
          <w:lang w:val="es-MX"/>
        </w:rPr>
        <w:t xml:space="preserve">Así las cosas, podemos definir el Derecho de Acceso a la Información Pública como: </w:t>
      </w:r>
      <w:r w:rsidRPr="00C66186">
        <w:rPr>
          <w:rFonts w:ascii="Palatino Linotype" w:eastAsia="MS Mincho" w:hAnsi="Palatino Linotype"/>
          <w:i/>
          <w:color w:val="000000" w:themeColor="text1"/>
          <w:lang w:val="es-MX"/>
        </w:rPr>
        <w:t>La igualdad de oportunidades para recibir, buscar e impartir información</w:t>
      </w:r>
      <w:r w:rsidRPr="00C66186">
        <w:rPr>
          <w:rFonts w:ascii="Palatino Linotype" w:eastAsia="MS Mincho" w:hAnsi="Palatino Linotype"/>
          <w:i/>
          <w:color w:val="000000" w:themeColor="text1"/>
          <w:vertAlign w:val="superscript"/>
          <w:lang w:val="es-MX"/>
        </w:rPr>
        <w:footnoteReference w:id="1"/>
      </w:r>
      <w:r w:rsidRPr="00C66186">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66186">
        <w:rPr>
          <w:rFonts w:ascii="Palatino Linotype" w:eastAsia="MS Mincho" w:hAnsi="Palatino Linotype"/>
          <w:i/>
          <w:color w:val="000000" w:themeColor="text1"/>
          <w:vertAlign w:val="superscript"/>
          <w:lang w:val="es-MX"/>
        </w:rPr>
        <w:footnoteReference w:id="2"/>
      </w:r>
      <w:r w:rsidRPr="00C66186">
        <w:rPr>
          <w:rFonts w:ascii="Palatino Linotype" w:eastAsia="MS Mincho" w:hAnsi="Palatino Linotype"/>
          <w:color w:val="000000" w:themeColor="text1"/>
          <w:lang w:val="es-MX"/>
        </w:rPr>
        <w:t>que se constituye como una herramienta fundamental para ejercer</w:t>
      </w:r>
      <w:r w:rsidRPr="00C66186">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C66186">
        <w:rPr>
          <w:rFonts w:ascii="Palatino Linotype" w:eastAsia="MS Mincho" w:hAnsi="Palatino Linotype"/>
          <w:i/>
          <w:color w:val="000000" w:themeColor="text1"/>
          <w:vertAlign w:val="superscript"/>
          <w:lang w:val="es-MX"/>
        </w:rPr>
        <w:footnoteReference w:id="3"/>
      </w:r>
      <w:r w:rsidRPr="00C66186">
        <w:rPr>
          <w:rFonts w:ascii="Palatino Linotype" w:eastAsia="MS Mincho" w:hAnsi="Palatino Linotype"/>
          <w:i/>
          <w:color w:val="000000" w:themeColor="text1"/>
          <w:lang w:val="es-MX"/>
        </w:rPr>
        <w:t xml:space="preserve"> </w:t>
      </w:r>
      <w:r w:rsidRPr="00C66186">
        <w:rPr>
          <w:rFonts w:ascii="Palatino Linotype" w:eastAsia="MS Mincho" w:hAnsi="Palatino Linotype"/>
          <w:color w:val="000000" w:themeColor="text1"/>
          <w:lang w:val="es-MX"/>
        </w:rPr>
        <w:t>fomentando</w:t>
      </w:r>
      <w:r w:rsidRPr="00C66186">
        <w:rPr>
          <w:rFonts w:ascii="Palatino Linotype" w:eastAsia="MS Mincho" w:hAnsi="Palatino Linotype"/>
          <w:i/>
          <w:color w:val="000000" w:themeColor="text1"/>
          <w:lang w:val="es-MX"/>
        </w:rPr>
        <w:t xml:space="preserve"> la transparencia de las actividades estatales y </w:t>
      </w:r>
      <w:r w:rsidRPr="00C66186">
        <w:rPr>
          <w:rFonts w:ascii="Palatino Linotype" w:eastAsia="MS Mincho" w:hAnsi="Palatino Linotype"/>
          <w:color w:val="000000" w:themeColor="text1"/>
          <w:lang w:val="es-MX"/>
        </w:rPr>
        <w:t>promoviendo</w:t>
      </w:r>
      <w:r w:rsidRPr="00C66186">
        <w:rPr>
          <w:rFonts w:ascii="Palatino Linotype" w:eastAsia="MS Mincho" w:hAnsi="Palatino Linotype"/>
          <w:i/>
          <w:color w:val="000000" w:themeColor="text1"/>
          <w:lang w:val="es-MX"/>
        </w:rPr>
        <w:t xml:space="preserve"> la responsabilidad de los funcionarios sobre su gestión </w:t>
      </w:r>
      <w:r w:rsidRPr="00C66186">
        <w:rPr>
          <w:rFonts w:ascii="Palatino Linotype" w:eastAsia="MS Mincho" w:hAnsi="Palatino Linotype"/>
          <w:i/>
          <w:color w:val="000000" w:themeColor="text1"/>
          <w:lang w:val="es-MX"/>
        </w:rPr>
        <w:lastRenderedPageBreak/>
        <w:t>pública,</w:t>
      </w:r>
      <w:r w:rsidRPr="00C66186">
        <w:rPr>
          <w:rFonts w:ascii="Palatino Linotype" w:eastAsia="MS Mincho" w:hAnsi="Palatino Linotype"/>
          <w:i/>
          <w:color w:val="000000" w:themeColor="text1"/>
          <w:vertAlign w:val="superscript"/>
          <w:lang w:val="es-MX"/>
        </w:rPr>
        <w:footnoteReference w:id="4"/>
      </w:r>
      <w:r w:rsidRPr="00C66186">
        <w:rPr>
          <w:rFonts w:ascii="Palatino Linotype" w:eastAsia="MS Mincho" w:hAnsi="Palatino Linotype"/>
          <w:color w:val="000000" w:themeColor="text1"/>
          <w:lang w:val="es-MX"/>
        </w:rPr>
        <w:t>que permite</w:t>
      </w:r>
      <w:r w:rsidRPr="00C66186">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C66186"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8D9F738" w14:textId="7EB63AAC" w:rsidR="002C7E93" w:rsidRPr="00C66186" w:rsidRDefault="00FD13D4" w:rsidP="00C373ED">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C66186">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9FB3C69" w14:textId="25062CF2" w:rsidR="00864449" w:rsidRPr="00C66186" w:rsidRDefault="00D91C33" w:rsidP="00C373ED">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28" w:name="_Toc89350008"/>
      <w:r w:rsidRPr="00C66186">
        <w:rPr>
          <w:rFonts w:ascii="Palatino Linotype" w:hAnsi="Palatino Linotype"/>
          <w:b/>
          <w:color w:val="auto"/>
          <w:sz w:val="24"/>
          <w:szCs w:val="24"/>
          <w:lang w:val="es-MX" w:eastAsia="en-US"/>
        </w:rPr>
        <w:t xml:space="preserve">De la solicitud de </w:t>
      </w:r>
      <w:r w:rsidR="0033546A" w:rsidRPr="00C66186">
        <w:rPr>
          <w:rFonts w:ascii="Palatino Linotype" w:hAnsi="Palatino Linotype"/>
          <w:b/>
          <w:color w:val="auto"/>
          <w:sz w:val="24"/>
          <w:szCs w:val="24"/>
          <w:lang w:val="es-MX" w:eastAsia="en-US"/>
        </w:rPr>
        <w:t>información</w:t>
      </w:r>
      <w:r w:rsidRPr="00C66186">
        <w:rPr>
          <w:rFonts w:ascii="Palatino Linotype" w:hAnsi="Palatino Linotype"/>
          <w:b/>
          <w:color w:val="auto"/>
          <w:sz w:val="24"/>
          <w:szCs w:val="24"/>
          <w:lang w:val="es-MX" w:eastAsia="en-US"/>
        </w:rPr>
        <w:t xml:space="preserve"> y </w:t>
      </w:r>
      <w:bookmarkEnd w:id="28"/>
      <w:r w:rsidR="00171640" w:rsidRPr="00C66186">
        <w:rPr>
          <w:rFonts w:ascii="Palatino Linotype" w:hAnsi="Palatino Linotype"/>
          <w:b/>
          <w:color w:val="auto"/>
          <w:sz w:val="24"/>
          <w:szCs w:val="24"/>
          <w:lang w:val="es-MX" w:eastAsia="en-US"/>
        </w:rPr>
        <w:t xml:space="preserve">la procedencia del sobreseimiento. </w:t>
      </w:r>
    </w:p>
    <w:p w14:paraId="113D11EC" w14:textId="77777777" w:rsidR="00D91C33" w:rsidRPr="00C66186" w:rsidRDefault="00EA0165" w:rsidP="00F56FE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C66186">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C66186">
        <w:rPr>
          <w:rFonts w:ascii="Palatino Linotype" w:eastAsia="Calibri" w:hAnsi="Palatino Linotype" w:cs="Arial"/>
          <w:b/>
          <w:lang w:eastAsia="en-US"/>
        </w:rPr>
        <w:t>Ley de Transparencia y Acceso a la Información Pública del Estado de México y Municipios</w:t>
      </w:r>
      <w:r w:rsidR="006C693D" w:rsidRPr="00C66186">
        <w:rPr>
          <w:rFonts w:ascii="Palatino Linotype" w:hAnsi="Palatino Linotype" w:cs="Arial"/>
          <w:lang w:eastAsia="es-MX"/>
        </w:rPr>
        <w:t>.</w:t>
      </w:r>
    </w:p>
    <w:p w14:paraId="6DCC758D" w14:textId="77777777" w:rsidR="00D91C33" w:rsidRPr="00C66186" w:rsidRDefault="00D91C33" w:rsidP="00C373ED">
      <w:pPr>
        <w:pStyle w:val="Prrafodelista"/>
        <w:spacing w:before="240" w:after="360" w:line="360" w:lineRule="auto"/>
        <w:ind w:left="0"/>
        <w:contextualSpacing/>
        <w:jc w:val="both"/>
        <w:rPr>
          <w:rFonts w:ascii="Palatino Linotype" w:eastAsia="MS Mincho" w:hAnsi="Palatino Linotype" w:cs="Arial"/>
          <w:i/>
          <w:lang w:val="es-MX"/>
        </w:rPr>
      </w:pPr>
    </w:p>
    <w:p w14:paraId="3BF76E46" w14:textId="336BB17E" w:rsidR="004368E8" w:rsidRPr="00C66186" w:rsidRDefault="00D91C33" w:rsidP="00C66186">
      <w:pPr>
        <w:pStyle w:val="Prrafodelista"/>
        <w:numPr>
          <w:ilvl w:val="0"/>
          <w:numId w:val="2"/>
        </w:numPr>
        <w:spacing w:before="240" w:after="360" w:line="360" w:lineRule="auto"/>
        <w:ind w:left="0" w:firstLine="0"/>
        <w:contextualSpacing/>
        <w:jc w:val="both"/>
        <w:rPr>
          <w:rFonts w:ascii="Palatino Linotype" w:eastAsia="Calibri" w:hAnsi="Palatino Linotype"/>
          <w:color w:val="000000"/>
        </w:rPr>
      </w:pPr>
      <w:r w:rsidRPr="00C66186">
        <w:rPr>
          <w:rFonts w:ascii="Palatino Linotype" w:eastAsia="MS Mincho" w:hAnsi="Palatino Linotype" w:cs="Arial"/>
          <w:lang w:val="es-MX"/>
        </w:rPr>
        <w:lastRenderedPageBreak/>
        <w:t xml:space="preserve">Así, de la lectura a la solicitud de información se observa </w:t>
      </w:r>
      <w:r w:rsidR="002C7E93" w:rsidRPr="00C66186">
        <w:rPr>
          <w:rFonts w:ascii="Palatino Linotype" w:eastAsia="MS Mincho" w:hAnsi="Palatino Linotype" w:cs="Arial"/>
          <w:lang w:val="es-MX"/>
        </w:rPr>
        <w:t>que el p</w:t>
      </w:r>
      <w:r w:rsidR="00C66186" w:rsidRPr="00C66186">
        <w:rPr>
          <w:rFonts w:ascii="Palatino Linotype" w:eastAsia="MS Mincho" w:hAnsi="Palatino Linotype" w:cs="Arial"/>
          <w:lang w:val="es-MX"/>
        </w:rPr>
        <w:t xml:space="preserve">articular requirió a la </w:t>
      </w:r>
      <w:r w:rsidR="00C66186" w:rsidRPr="00C66186">
        <w:rPr>
          <w:rFonts w:ascii="Palatino Linotype" w:eastAsia="MS Mincho" w:hAnsi="Palatino Linotype" w:cs="Arial"/>
          <w:b/>
          <w:lang w:val="es-ES_tradnl"/>
        </w:rPr>
        <w:t>Secretaría de Finanzas</w:t>
      </w:r>
      <w:r w:rsidR="00C66186" w:rsidRPr="00C66186">
        <w:rPr>
          <w:rFonts w:ascii="Palatino Linotype" w:eastAsia="Calibri" w:hAnsi="Palatino Linotype"/>
          <w:color w:val="000000"/>
        </w:rPr>
        <w:t xml:space="preserve"> </w:t>
      </w:r>
      <w:r w:rsidR="004368E8" w:rsidRPr="00C66186">
        <w:rPr>
          <w:rFonts w:ascii="Palatino Linotype" w:eastAsia="MS Mincho" w:hAnsi="Palatino Linotype" w:cs="Arial"/>
          <w:lang w:val="es-MX"/>
        </w:rPr>
        <w:t>acceder a la siguiente información:</w:t>
      </w:r>
    </w:p>
    <w:p w14:paraId="76E6FDD4" w14:textId="77777777" w:rsidR="004368E8" w:rsidRPr="00C66186" w:rsidRDefault="004368E8" w:rsidP="004368E8">
      <w:pPr>
        <w:pStyle w:val="Prrafodelista"/>
        <w:rPr>
          <w:rFonts w:ascii="Palatino Linotype" w:eastAsia="Calibri" w:hAnsi="Palatino Linotype"/>
          <w:color w:val="000000"/>
        </w:rPr>
      </w:pPr>
    </w:p>
    <w:p w14:paraId="79E952C2" w14:textId="55C1D677" w:rsidR="004368E8" w:rsidRPr="00C66186" w:rsidRDefault="004368E8" w:rsidP="004368E8">
      <w:pPr>
        <w:pStyle w:val="Prrafodelista"/>
        <w:spacing w:before="240" w:after="360" w:line="360" w:lineRule="auto"/>
        <w:ind w:left="0"/>
        <w:contextualSpacing/>
        <w:jc w:val="both"/>
        <w:rPr>
          <w:rFonts w:ascii="Palatino Linotype" w:eastAsia="Calibri" w:hAnsi="Palatino Linotype"/>
          <w:color w:val="000000"/>
        </w:rPr>
      </w:pPr>
      <w:r w:rsidRPr="00C66186">
        <w:rPr>
          <w:rFonts w:ascii="Palatino Linotype" w:eastAsia="Calibri" w:hAnsi="Palatino Linotype"/>
          <w:color w:val="000000"/>
        </w:rPr>
        <w:t>“</w:t>
      </w:r>
      <w:r w:rsidR="00C66186" w:rsidRPr="00C66186">
        <w:rPr>
          <w:rFonts w:ascii="Palatino Linotype" w:eastAsia="Calibri" w:hAnsi="Palatino Linotype"/>
          <w:i/>
          <w:color w:val="000000"/>
        </w:rPr>
        <w:t xml:space="preserve">Solicito me indiquen lo siguiente: 1. Es cierto, que la unidad identificada con número de serie </w:t>
      </w:r>
      <w:r w:rsidR="000F4D67">
        <w:rPr>
          <w:rFonts w:ascii="Palatino Linotype" w:eastAsia="Calibri" w:hAnsi="Palatino Linotype"/>
          <w:i/>
          <w:color w:val="000000"/>
        </w:rPr>
        <w:t>XXXXXXXXXXXX</w:t>
      </w:r>
      <w:r w:rsidR="00C66186" w:rsidRPr="00C66186">
        <w:rPr>
          <w:rFonts w:ascii="Palatino Linotype" w:eastAsia="Calibri" w:hAnsi="Palatino Linotype"/>
          <w:i/>
          <w:color w:val="000000"/>
        </w:rPr>
        <w:t xml:space="preserve">, se encuentra </w:t>
      </w:r>
      <w:proofErr w:type="spellStart"/>
      <w:r w:rsidR="00C66186" w:rsidRPr="00C66186">
        <w:rPr>
          <w:rFonts w:ascii="Palatino Linotype" w:eastAsia="Calibri" w:hAnsi="Palatino Linotype"/>
          <w:i/>
          <w:color w:val="000000"/>
        </w:rPr>
        <w:t>registado</w:t>
      </w:r>
      <w:proofErr w:type="spellEnd"/>
      <w:r w:rsidR="00C66186" w:rsidRPr="00C66186">
        <w:rPr>
          <w:rFonts w:ascii="Palatino Linotype" w:eastAsia="Calibri" w:hAnsi="Palatino Linotype"/>
          <w:i/>
          <w:color w:val="000000"/>
        </w:rPr>
        <w:t xml:space="preserve"> con las placas de circulación </w:t>
      </w:r>
      <w:r w:rsidR="000F4D67">
        <w:rPr>
          <w:rFonts w:ascii="Palatino Linotype" w:eastAsia="Calibri" w:hAnsi="Palatino Linotype"/>
          <w:i/>
          <w:color w:val="000000"/>
        </w:rPr>
        <w:t>XXXXXXXX</w:t>
      </w:r>
      <w:r w:rsidR="00C66186" w:rsidRPr="00C66186">
        <w:rPr>
          <w:rFonts w:ascii="Palatino Linotype" w:eastAsia="Calibri" w:hAnsi="Palatino Linotype"/>
          <w:i/>
          <w:color w:val="000000"/>
        </w:rPr>
        <w:t xml:space="preserve"> del Estado de México. 2. En caso de ser afirmativa la respuesta anterior, le solicito la fecha en que registrada la unidad identificada con número de serie </w:t>
      </w:r>
      <w:r w:rsidR="000F4D67">
        <w:rPr>
          <w:rFonts w:ascii="Palatino Linotype" w:eastAsia="Calibri" w:hAnsi="Palatino Linotype"/>
          <w:i/>
          <w:color w:val="000000"/>
        </w:rPr>
        <w:t>XXXXXXXXXXXX</w:t>
      </w:r>
      <w:r w:rsidR="00C66186" w:rsidRPr="00C66186">
        <w:rPr>
          <w:rFonts w:ascii="Palatino Linotype" w:eastAsia="Calibri" w:hAnsi="Palatino Linotype"/>
          <w:i/>
          <w:color w:val="000000"/>
        </w:rPr>
        <w:t xml:space="preserve">, con las placas de circulación </w:t>
      </w:r>
      <w:r w:rsidR="000F4D67">
        <w:rPr>
          <w:rFonts w:ascii="Palatino Linotype" w:eastAsia="Calibri" w:hAnsi="Palatino Linotype"/>
          <w:i/>
          <w:color w:val="000000"/>
        </w:rPr>
        <w:t>XXXXXXXX</w:t>
      </w:r>
      <w:r w:rsidR="00C66186" w:rsidRPr="00C66186">
        <w:rPr>
          <w:rFonts w:ascii="Palatino Linotype" w:eastAsia="Calibri" w:hAnsi="Palatino Linotype"/>
          <w:i/>
          <w:color w:val="000000"/>
        </w:rPr>
        <w:t xml:space="preserve"> del Estado de México</w:t>
      </w:r>
      <w:r w:rsidR="00C66186" w:rsidRPr="00C66186">
        <w:rPr>
          <w:rFonts w:ascii="Palatino Linotype" w:eastAsia="Calibri" w:hAnsi="Palatino Linotype"/>
          <w:color w:val="000000"/>
        </w:rPr>
        <w:t>.</w:t>
      </w:r>
      <w:r w:rsidRPr="00C66186">
        <w:rPr>
          <w:rFonts w:ascii="Palatino Linotype" w:eastAsia="Calibri" w:hAnsi="Palatino Linotype"/>
          <w:i/>
          <w:color w:val="000000"/>
        </w:rPr>
        <w:t>” (Sic)</w:t>
      </w:r>
    </w:p>
    <w:p w14:paraId="17A1AAAA" w14:textId="560350AC" w:rsidR="007D4EB8" w:rsidRPr="00C66186" w:rsidRDefault="00E7088B" w:rsidP="007D4EB8">
      <w:pPr>
        <w:numPr>
          <w:ilvl w:val="0"/>
          <w:numId w:val="6"/>
        </w:numPr>
        <w:spacing w:before="240" w:after="360" w:line="360" w:lineRule="auto"/>
        <w:ind w:left="0" w:firstLine="0"/>
        <w:contextualSpacing/>
        <w:jc w:val="both"/>
        <w:rPr>
          <w:rFonts w:ascii="Palatino Linotype" w:eastAsia="MS Mincho" w:hAnsi="Palatino Linotype" w:cs="Arial"/>
          <w:lang w:val="es-ES_tradnl"/>
        </w:rPr>
      </w:pPr>
      <w:r w:rsidRPr="00C66186">
        <w:rPr>
          <w:rFonts w:ascii="Palatino Linotype" w:eastAsia="Cambria" w:hAnsi="Palatino Linotype" w:cs="Arial"/>
          <w:lang w:val="es-MX" w:eastAsia="en-US"/>
        </w:rPr>
        <w:t>Precisado lo anterior</w:t>
      </w:r>
      <w:r w:rsidR="00C308E5" w:rsidRPr="00C66186">
        <w:rPr>
          <w:rFonts w:ascii="Palatino Linotype" w:eastAsia="MS Mincho" w:hAnsi="Palatino Linotype" w:cs="Arial"/>
          <w:lang w:val="es-ES_tradnl"/>
        </w:rPr>
        <w:t>,</w:t>
      </w:r>
      <w:r w:rsidR="00D355A0" w:rsidRPr="00C66186">
        <w:rPr>
          <w:rFonts w:ascii="Palatino Linotype" w:eastAsia="MS Mincho" w:hAnsi="Palatino Linotype" w:cs="Arial"/>
          <w:lang w:val="es-ES_tradnl"/>
        </w:rPr>
        <w:t xml:space="preserve"> </w:t>
      </w:r>
      <w:r w:rsidR="007D4EB8" w:rsidRPr="00C66186">
        <w:rPr>
          <w:rFonts w:ascii="Palatino Linotype" w:eastAsia="MS Mincho" w:hAnsi="Palatino Linotype" w:cs="Arial"/>
          <w:lang w:val="es-ES_tradnl"/>
        </w:rPr>
        <w:t xml:space="preserve">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007D4EB8" w:rsidRPr="00C66186">
        <w:rPr>
          <w:rFonts w:ascii="Palatino Linotype" w:eastAsia="MS Mincho" w:hAnsi="Palatino Linotype" w:cs="Arial"/>
          <w:lang w:val="es-ES_tradnl"/>
        </w:rPr>
        <w:t>desechamiento</w:t>
      </w:r>
      <w:proofErr w:type="spellEnd"/>
      <w:r w:rsidR="007D4EB8" w:rsidRPr="00C66186">
        <w:rPr>
          <w:rFonts w:ascii="Palatino Linotype" w:eastAsia="MS Mincho" w:hAnsi="Palatino Linotype" w:cs="Arial"/>
          <w:lang w:val="es-ES_tradnl"/>
        </w:rPr>
        <w:t xml:space="preserve"> o sobreseimiento; y, en su caso, ordenar la entrega de la información respecto a la respuesta emitida por el </w:t>
      </w:r>
      <w:r w:rsidR="007D4EB8" w:rsidRPr="00C66186">
        <w:rPr>
          <w:rFonts w:ascii="Palatino Linotype" w:eastAsia="MS Mincho" w:hAnsi="Palatino Linotype" w:cs="Arial"/>
          <w:b/>
          <w:lang w:val="es-ES_tradnl"/>
        </w:rPr>
        <w:t>SUJETO OBLIGADO</w:t>
      </w:r>
      <w:r w:rsidR="007D4EB8" w:rsidRPr="00C66186">
        <w:rPr>
          <w:rFonts w:ascii="Palatino Linotype" w:eastAsia="MS Mincho" w:hAnsi="Palatino Linotype" w:cs="Arial"/>
          <w:lang w:val="es-ES_tradnl"/>
        </w:rPr>
        <w:t xml:space="preserve">, lo cierto, es que este Órgano Garante advierte que </w:t>
      </w:r>
      <w:r w:rsidR="007D4EB8" w:rsidRPr="00C66186">
        <w:rPr>
          <w:rFonts w:ascii="Palatino Linotype" w:hAnsi="Palatino Linotype"/>
          <w:color w:val="000000" w:themeColor="text1"/>
        </w:rPr>
        <w:t xml:space="preserve">se actualiza la causal de sobreseimiento prevista en la fracción IV del artículo 192 </w:t>
      </w:r>
      <w:r w:rsidR="007D4EB8" w:rsidRPr="00C66186">
        <w:rPr>
          <w:rFonts w:ascii="Palatino Linotype" w:hAnsi="Palatino Linotype" w:cs="Arial"/>
          <w:lang w:val="es-ES_tradnl"/>
        </w:rPr>
        <w:t xml:space="preserve">de la </w:t>
      </w:r>
      <w:r w:rsidR="007D4EB8" w:rsidRPr="00C66186">
        <w:rPr>
          <w:rFonts w:ascii="Palatino Linotype" w:hAnsi="Palatino Linotype"/>
        </w:rPr>
        <w:t xml:space="preserve">Ley de Transparencia y Acceso a la Información Pública del Estado de México y Municipios en relación </w:t>
      </w:r>
      <w:r w:rsidR="004368E8" w:rsidRPr="00C66186">
        <w:rPr>
          <w:rFonts w:ascii="Palatino Linotype" w:hAnsi="Palatino Linotype"/>
        </w:rPr>
        <w:t>con el artículo 191 fracción VI</w:t>
      </w:r>
      <w:r w:rsidR="007D4EB8" w:rsidRPr="00C66186">
        <w:rPr>
          <w:rFonts w:ascii="Palatino Linotype" w:hAnsi="Palatino Linotype"/>
        </w:rPr>
        <w:t>, como se expone a continuación:</w:t>
      </w:r>
    </w:p>
    <w:p w14:paraId="2EFF159E" w14:textId="77777777" w:rsidR="007D4EB8" w:rsidRPr="00C66186" w:rsidRDefault="007D4EB8" w:rsidP="00407F65">
      <w:pPr>
        <w:spacing w:line="360" w:lineRule="auto"/>
        <w:rPr>
          <w:rFonts w:ascii="Palatino Linotype" w:eastAsia="MS Mincho" w:hAnsi="Palatino Linotype" w:cs="Arial"/>
          <w:lang w:val="es-ES_tradnl"/>
        </w:rPr>
      </w:pPr>
    </w:p>
    <w:p w14:paraId="7EC96140" w14:textId="330D2F42" w:rsidR="00D355A0" w:rsidRPr="00C66186" w:rsidRDefault="00D355A0"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66186">
        <w:rPr>
          <w:rFonts w:ascii="Palatino Linotype" w:eastAsia="MS Mincho" w:hAnsi="Palatino Linotype" w:cs="Arial"/>
          <w:b/>
          <w:i/>
        </w:rPr>
        <w:t>“Artículo 191</w:t>
      </w:r>
      <w:r w:rsidRPr="00C66186">
        <w:rPr>
          <w:rFonts w:ascii="Palatino Linotype" w:eastAsia="MS Mincho" w:hAnsi="Palatino Linotype" w:cs="Arial"/>
          <w:i/>
        </w:rPr>
        <w:t>. El recurso será desechado por improcedente cuando:</w:t>
      </w:r>
    </w:p>
    <w:p w14:paraId="10CA7109" w14:textId="541BE9E2" w:rsidR="00D355A0" w:rsidRPr="00C66186" w:rsidRDefault="00D355A0" w:rsidP="00073D0F">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66186">
        <w:rPr>
          <w:rFonts w:ascii="Palatino Linotype" w:eastAsia="MS Mincho" w:hAnsi="Palatino Linotype" w:cs="Arial"/>
          <w:i/>
        </w:rPr>
        <w:t>(…)</w:t>
      </w:r>
    </w:p>
    <w:p w14:paraId="6281E42C" w14:textId="61AD8F55" w:rsidR="004368E8" w:rsidRPr="00C66186" w:rsidRDefault="004368E8" w:rsidP="00073D0F">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66186">
        <w:rPr>
          <w:rFonts w:ascii="Palatino Linotype" w:eastAsia="MS Mincho" w:hAnsi="Palatino Linotype" w:cs="Arial"/>
          <w:i/>
        </w:rPr>
        <w:t>VI. Se trate de una consulta, o trámite en específico; y</w:t>
      </w:r>
    </w:p>
    <w:p w14:paraId="21BAB3C0" w14:textId="583ACAC6" w:rsidR="00D355A0" w:rsidRPr="00C66186" w:rsidRDefault="00D355A0"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lang w:val="es-ES_tradnl"/>
        </w:rPr>
      </w:pPr>
      <w:r w:rsidRPr="00C66186">
        <w:rPr>
          <w:rFonts w:ascii="Palatino Linotype" w:eastAsia="MS Mincho" w:hAnsi="Palatino Linotype" w:cs="Arial"/>
          <w:i/>
          <w:lang w:val="es-ES_tradnl"/>
        </w:rPr>
        <w:t>(…)</w:t>
      </w:r>
    </w:p>
    <w:p w14:paraId="02C83A32" w14:textId="77777777" w:rsidR="00D355A0" w:rsidRPr="00C66186" w:rsidRDefault="00D355A0" w:rsidP="00C373ED">
      <w:pPr>
        <w:tabs>
          <w:tab w:val="left" w:pos="720"/>
        </w:tabs>
        <w:spacing w:line="360" w:lineRule="auto"/>
        <w:ind w:left="720" w:right="1008"/>
        <w:jc w:val="both"/>
        <w:rPr>
          <w:rFonts w:ascii="Palatino Linotype" w:hAnsi="Palatino Linotype"/>
          <w:i/>
          <w:color w:val="000000" w:themeColor="text1"/>
        </w:rPr>
      </w:pPr>
    </w:p>
    <w:p w14:paraId="566D48A9" w14:textId="77777777" w:rsidR="00D355A0" w:rsidRPr="00C66186" w:rsidRDefault="00D355A0" w:rsidP="00C373ED">
      <w:pPr>
        <w:tabs>
          <w:tab w:val="left" w:pos="720"/>
        </w:tabs>
        <w:spacing w:line="360" w:lineRule="auto"/>
        <w:ind w:left="720" w:right="1008"/>
        <w:jc w:val="both"/>
        <w:rPr>
          <w:rFonts w:ascii="Palatino Linotype" w:hAnsi="Palatino Linotype" w:cs="Arial"/>
          <w:i/>
        </w:rPr>
      </w:pPr>
      <w:r w:rsidRPr="00C66186">
        <w:rPr>
          <w:rFonts w:ascii="Palatino Linotype" w:hAnsi="Palatino Linotype" w:cs="Arial"/>
          <w:i/>
        </w:rPr>
        <w:t>“</w:t>
      </w:r>
      <w:r w:rsidRPr="00C66186">
        <w:rPr>
          <w:rFonts w:ascii="Palatino Linotype" w:hAnsi="Palatino Linotype" w:cs="Arial"/>
          <w:b/>
          <w:i/>
        </w:rPr>
        <w:t>Artículo 192</w:t>
      </w:r>
      <w:r w:rsidRPr="00C66186">
        <w:rPr>
          <w:rFonts w:ascii="Palatino Linotype" w:hAnsi="Palatino Linotype" w:cs="Arial"/>
          <w:i/>
        </w:rPr>
        <w:t>. El recurso será sobreseído, en todo o en parte, cuando una vez admitido, se actualicen alguno de los siguientes supuestos:</w:t>
      </w:r>
    </w:p>
    <w:p w14:paraId="16531469" w14:textId="3416D0D8" w:rsidR="007D4EB8" w:rsidRPr="00C66186" w:rsidRDefault="00D355A0" w:rsidP="007D4EB8">
      <w:pPr>
        <w:tabs>
          <w:tab w:val="left" w:pos="720"/>
        </w:tabs>
        <w:spacing w:line="360" w:lineRule="auto"/>
        <w:ind w:left="720" w:right="1008"/>
        <w:jc w:val="both"/>
        <w:rPr>
          <w:rFonts w:ascii="Palatino Linotype" w:hAnsi="Palatino Linotype" w:cs="Arial"/>
          <w:i/>
        </w:rPr>
      </w:pPr>
      <w:r w:rsidRPr="00C66186">
        <w:rPr>
          <w:rFonts w:ascii="Palatino Linotype" w:hAnsi="Palatino Linotype" w:cs="Arial"/>
          <w:i/>
        </w:rPr>
        <w:t>(…)</w:t>
      </w:r>
    </w:p>
    <w:p w14:paraId="6A56B174" w14:textId="6868A8C2" w:rsidR="007D4EB8" w:rsidRPr="00C66186" w:rsidRDefault="007D4EB8" w:rsidP="007D4EB8">
      <w:pPr>
        <w:tabs>
          <w:tab w:val="left" w:pos="720"/>
        </w:tabs>
        <w:spacing w:line="360" w:lineRule="auto"/>
        <w:ind w:left="720" w:right="1008"/>
        <w:jc w:val="both"/>
        <w:rPr>
          <w:rFonts w:ascii="Palatino Linotype" w:hAnsi="Palatino Linotype" w:cs="Arial"/>
          <w:i/>
        </w:rPr>
      </w:pPr>
      <w:r w:rsidRPr="00C66186">
        <w:rPr>
          <w:rFonts w:ascii="Palatino Linotype" w:hAnsi="Palatino Linotype" w:cs="Arial"/>
          <w:i/>
        </w:rPr>
        <w:t>IV. Admitido el recurso de revisión, aparezca alguna causal de improcedencia en los términos de la presente Ley; y</w:t>
      </w:r>
    </w:p>
    <w:p w14:paraId="33BF23B0" w14:textId="2397EC5B" w:rsidR="00D355A0" w:rsidRPr="00C66186" w:rsidRDefault="00D355A0" w:rsidP="007D4EB8">
      <w:pPr>
        <w:tabs>
          <w:tab w:val="left" w:pos="720"/>
        </w:tabs>
        <w:spacing w:line="360" w:lineRule="auto"/>
        <w:ind w:left="720" w:right="1008"/>
        <w:jc w:val="both"/>
        <w:rPr>
          <w:rFonts w:ascii="Palatino Linotype" w:hAnsi="Palatino Linotype" w:cs="Arial"/>
          <w:i/>
        </w:rPr>
      </w:pPr>
      <w:r w:rsidRPr="00C66186">
        <w:rPr>
          <w:rFonts w:ascii="Palatino Linotype" w:hAnsi="Palatino Linotype" w:cs="Arial"/>
          <w:b/>
          <w:i/>
        </w:rPr>
        <w:t>(…)”</w:t>
      </w:r>
    </w:p>
    <w:p w14:paraId="46C8DDBF" w14:textId="77777777" w:rsidR="00D355A0" w:rsidRPr="00C66186" w:rsidRDefault="00D355A0" w:rsidP="00C373ED">
      <w:pPr>
        <w:spacing w:line="360" w:lineRule="auto"/>
        <w:ind w:left="851" w:right="1134"/>
        <w:jc w:val="both"/>
        <w:rPr>
          <w:rFonts w:ascii="Palatino Linotype" w:hAnsi="Palatino Linotype" w:cs="Arial"/>
          <w:i/>
        </w:rPr>
      </w:pPr>
    </w:p>
    <w:bookmarkEnd w:id="22"/>
    <w:bookmarkEnd w:id="23"/>
    <w:bookmarkEnd w:id="24"/>
    <w:bookmarkEnd w:id="25"/>
    <w:bookmarkEnd w:id="26"/>
    <w:p w14:paraId="086F55D4" w14:textId="5C232418" w:rsidR="004368E8" w:rsidRPr="00C66186" w:rsidRDefault="004368E8" w:rsidP="00C66186">
      <w:pPr>
        <w:pStyle w:val="Prrafodelista"/>
        <w:numPr>
          <w:ilvl w:val="0"/>
          <w:numId w:val="6"/>
        </w:numPr>
        <w:spacing w:line="360" w:lineRule="auto"/>
        <w:ind w:left="0" w:firstLine="0"/>
        <w:contextualSpacing/>
        <w:jc w:val="both"/>
        <w:rPr>
          <w:rFonts w:ascii="Palatino Linotype" w:eastAsia="MS Mincho" w:hAnsi="Palatino Linotype"/>
          <w:lang w:val="es-MX" w:eastAsia="es-MX"/>
        </w:rPr>
      </w:pPr>
      <w:r w:rsidRPr="00C66186">
        <w:rPr>
          <w:rFonts w:ascii="Palatino Linotype" w:hAnsi="Palatino Linotype"/>
          <w:bCs/>
          <w:lang w:val="es-MX" w:eastAsia="es-MX"/>
        </w:rPr>
        <w:t xml:space="preserve">Precisado lo anterior, </w:t>
      </w:r>
      <w:r w:rsidRPr="00C66186">
        <w:rPr>
          <w:rFonts w:ascii="Palatino Linotype" w:hAnsi="Palatino Linotype" w:cs="Arial"/>
          <w:lang w:val="es-MX" w:eastAsia="es-MX"/>
        </w:rPr>
        <w:t>este Órgano Garante observó que la información solicitada, no constituye un derecho de acceso a la información pública, debido a que</w:t>
      </w:r>
      <w:r w:rsidR="00885682" w:rsidRPr="00C66186">
        <w:rPr>
          <w:rFonts w:ascii="Palatino Linotype" w:hAnsi="Palatino Linotype" w:cs="Arial"/>
          <w:lang w:val="es-MX" w:eastAsia="es-MX"/>
        </w:rPr>
        <w:t xml:space="preserve"> se </w:t>
      </w:r>
      <w:r w:rsidRPr="00C66186">
        <w:rPr>
          <w:rFonts w:ascii="Palatino Linotype" w:hAnsi="Palatino Linotype" w:cs="Arial"/>
          <w:lang w:val="es-MX" w:eastAsia="es-MX"/>
        </w:rPr>
        <w:t xml:space="preserve">solicita </w:t>
      </w:r>
      <w:r w:rsidR="00C66186" w:rsidRPr="00C66186">
        <w:rPr>
          <w:rFonts w:ascii="Palatino Linotype" w:hAnsi="Palatino Linotype" w:cs="Arial"/>
          <w:lang w:val="es-MX" w:eastAsia="es-MX"/>
        </w:rPr>
        <w:t xml:space="preserve">se indique </w:t>
      </w:r>
      <w:r w:rsidR="00885682" w:rsidRPr="00C66186">
        <w:rPr>
          <w:rFonts w:ascii="Palatino Linotype" w:hAnsi="Palatino Linotype" w:cs="Arial"/>
          <w:lang w:val="es-MX" w:eastAsia="es-MX"/>
        </w:rPr>
        <w:t>“</w:t>
      </w:r>
      <w:r w:rsidR="00C66186" w:rsidRPr="00C66186">
        <w:rPr>
          <w:rFonts w:ascii="Palatino Linotype" w:eastAsia="MS Mincho" w:hAnsi="Palatino Linotype"/>
          <w:lang w:val="es-MX" w:eastAsia="es-MX"/>
        </w:rPr>
        <w:t>…</w:t>
      </w:r>
      <w:r w:rsidR="00C66186" w:rsidRPr="00C66186">
        <w:rPr>
          <w:rFonts w:ascii="Palatino Linotype" w:eastAsia="MS Mincho" w:hAnsi="Palatino Linotype"/>
          <w:i/>
          <w:lang w:val="es-MX" w:eastAsia="es-MX"/>
        </w:rPr>
        <w:t xml:space="preserve"> 1. Es cierto, que la unidad identificada con número de serie </w:t>
      </w:r>
      <w:r w:rsidR="000F4D67">
        <w:rPr>
          <w:rFonts w:ascii="Palatino Linotype" w:eastAsia="MS Mincho" w:hAnsi="Palatino Linotype"/>
          <w:i/>
          <w:lang w:val="es-MX" w:eastAsia="es-MX"/>
        </w:rPr>
        <w:t>XXXXXXXXXX</w:t>
      </w:r>
      <w:r w:rsidR="00C66186" w:rsidRPr="00C66186">
        <w:rPr>
          <w:rFonts w:ascii="Palatino Linotype" w:eastAsia="MS Mincho" w:hAnsi="Palatino Linotype"/>
          <w:i/>
          <w:lang w:val="es-MX" w:eastAsia="es-MX"/>
        </w:rPr>
        <w:t xml:space="preserve">, se encuentra </w:t>
      </w:r>
      <w:proofErr w:type="spellStart"/>
      <w:r w:rsidR="00C66186" w:rsidRPr="00C66186">
        <w:rPr>
          <w:rFonts w:ascii="Palatino Linotype" w:eastAsia="MS Mincho" w:hAnsi="Palatino Linotype"/>
          <w:i/>
          <w:lang w:val="es-MX" w:eastAsia="es-MX"/>
        </w:rPr>
        <w:t>registado</w:t>
      </w:r>
      <w:proofErr w:type="spellEnd"/>
      <w:r w:rsidR="00C66186" w:rsidRPr="00C66186">
        <w:rPr>
          <w:rFonts w:ascii="Palatino Linotype" w:eastAsia="MS Mincho" w:hAnsi="Palatino Linotype"/>
          <w:i/>
          <w:lang w:val="es-MX" w:eastAsia="es-MX"/>
        </w:rPr>
        <w:t xml:space="preserve"> con las placas de circulación </w:t>
      </w:r>
      <w:r w:rsidR="000F4D67">
        <w:rPr>
          <w:rFonts w:ascii="Palatino Linotype" w:eastAsia="MS Mincho" w:hAnsi="Palatino Linotype"/>
          <w:i/>
          <w:lang w:val="es-MX" w:eastAsia="es-MX"/>
        </w:rPr>
        <w:t xml:space="preserve">XXXXXX </w:t>
      </w:r>
      <w:r w:rsidR="00C66186" w:rsidRPr="00C66186">
        <w:rPr>
          <w:rFonts w:ascii="Palatino Linotype" w:eastAsia="MS Mincho" w:hAnsi="Palatino Linotype"/>
          <w:i/>
          <w:lang w:val="es-MX" w:eastAsia="es-MX"/>
        </w:rPr>
        <w:t xml:space="preserve">del Estado de México. 2. En caso de ser afirmativa la respuesta anterior, le solicito la fecha en que registrada la unidad identificada con número de serie </w:t>
      </w:r>
      <w:r w:rsidR="000F4D67">
        <w:rPr>
          <w:rFonts w:ascii="Palatino Linotype" w:eastAsia="MS Mincho" w:hAnsi="Palatino Linotype"/>
          <w:i/>
          <w:lang w:val="es-MX" w:eastAsia="es-MX"/>
        </w:rPr>
        <w:t>XXXXXXXXXX</w:t>
      </w:r>
      <w:r w:rsidR="00C66186" w:rsidRPr="00C66186">
        <w:rPr>
          <w:rFonts w:ascii="Palatino Linotype" w:eastAsia="MS Mincho" w:hAnsi="Palatino Linotype"/>
          <w:i/>
          <w:lang w:val="es-MX" w:eastAsia="es-MX"/>
        </w:rPr>
        <w:t xml:space="preserve">, con las placas de circulación </w:t>
      </w:r>
      <w:r w:rsidR="000F4D67">
        <w:rPr>
          <w:rFonts w:ascii="Palatino Linotype" w:eastAsia="MS Mincho" w:hAnsi="Palatino Linotype"/>
          <w:i/>
          <w:lang w:val="es-MX" w:eastAsia="es-MX"/>
        </w:rPr>
        <w:t>XXXXXXX</w:t>
      </w:r>
      <w:bookmarkStart w:id="29" w:name="_GoBack"/>
      <w:bookmarkEnd w:id="29"/>
      <w:r w:rsidR="00C66186" w:rsidRPr="00C66186">
        <w:rPr>
          <w:rFonts w:ascii="Palatino Linotype" w:eastAsia="MS Mincho" w:hAnsi="Palatino Linotype"/>
          <w:i/>
          <w:lang w:val="es-MX" w:eastAsia="es-MX"/>
        </w:rPr>
        <w:t xml:space="preserve"> del Estado de México</w:t>
      </w:r>
      <w:r w:rsidR="00C66186" w:rsidRPr="00C66186">
        <w:rPr>
          <w:rFonts w:ascii="Palatino Linotype" w:eastAsia="MS Mincho" w:hAnsi="Palatino Linotype"/>
          <w:lang w:val="es-MX" w:eastAsia="es-MX"/>
        </w:rPr>
        <w:t xml:space="preserve">” </w:t>
      </w:r>
      <w:r w:rsidRPr="00C66186">
        <w:rPr>
          <w:rFonts w:ascii="Palatino Linotype" w:hAnsi="Palatino Linotype" w:cs="Arial"/>
          <w:lang w:val="es-MX" w:eastAsia="es-MX"/>
        </w:rPr>
        <w:t xml:space="preserve"> es decir, dicha información</w:t>
      </w:r>
      <w:r w:rsidR="00885682" w:rsidRPr="00C66186">
        <w:rPr>
          <w:rFonts w:ascii="Palatino Linotype" w:hAnsi="Palatino Linotype" w:cs="Arial"/>
          <w:lang w:val="es-MX" w:eastAsia="es-MX"/>
        </w:rPr>
        <w:t xml:space="preserve"> resulta ser una consulta</w:t>
      </w:r>
      <w:r w:rsidRPr="00C66186">
        <w:rPr>
          <w:rFonts w:ascii="Palatino Linotype" w:hAnsi="Palatino Linotype" w:cs="Arial"/>
          <w:lang w:val="es-MX" w:eastAsia="es-MX"/>
        </w:rPr>
        <w:t>.</w:t>
      </w:r>
    </w:p>
    <w:p w14:paraId="323C4F3A" w14:textId="77777777" w:rsidR="004368E8" w:rsidRPr="00C66186" w:rsidRDefault="004368E8" w:rsidP="004368E8">
      <w:pPr>
        <w:spacing w:line="360" w:lineRule="auto"/>
        <w:contextualSpacing/>
        <w:jc w:val="both"/>
        <w:rPr>
          <w:rFonts w:ascii="Palatino Linotype" w:eastAsia="MS Mincho" w:hAnsi="Palatino Linotype"/>
          <w:lang w:val="es-MX" w:eastAsia="es-MX"/>
        </w:rPr>
      </w:pPr>
    </w:p>
    <w:p w14:paraId="4EB83A2A" w14:textId="77777777" w:rsidR="004368E8" w:rsidRPr="00C66186" w:rsidRDefault="004368E8" w:rsidP="004368E8">
      <w:pPr>
        <w:numPr>
          <w:ilvl w:val="0"/>
          <w:numId w:val="6"/>
        </w:numPr>
        <w:spacing w:line="360" w:lineRule="auto"/>
        <w:ind w:left="0" w:firstLine="0"/>
        <w:contextualSpacing/>
        <w:jc w:val="both"/>
        <w:rPr>
          <w:rFonts w:ascii="Palatino Linotype" w:eastAsia="MS Mincho" w:hAnsi="Palatino Linotype"/>
          <w:lang w:val="es-MX" w:eastAsia="es-MX"/>
        </w:rPr>
      </w:pPr>
      <w:r w:rsidRPr="00C66186">
        <w:rPr>
          <w:rFonts w:ascii="Palatino Linotype" w:hAnsi="Palatino Linotype" w:cs="Arial"/>
          <w:lang w:val="es-MX" w:eastAsia="es-MX"/>
        </w:rPr>
        <w:t>En este orden de ideas, es importante dejar en claro lo que debe entenderse por derecho de petición, así como por derecho de acceso a la información pública, con el objeto de distinguir el ejercicio de ambos derechos.</w:t>
      </w:r>
    </w:p>
    <w:p w14:paraId="0C9C2BC9" w14:textId="77777777" w:rsidR="004368E8" w:rsidRPr="00C66186" w:rsidRDefault="004368E8" w:rsidP="004368E8">
      <w:pPr>
        <w:spacing w:line="360" w:lineRule="auto"/>
        <w:contextualSpacing/>
        <w:rPr>
          <w:rFonts w:ascii="Palatino Linotype" w:eastAsia="MS Mincho" w:hAnsi="Palatino Linotype"/>
          <w:lang w:val="es-MX" w:eastAsia="es-MX"/>
        </w:rPr>
      </w:pPr>
    </w:p>
    <w:p w14:paraId="5E487F48" w14:textId="77777777" w:rsidR="004368E8" w:rsidRPr="00C66186" w:rsidRDefault="004368E8" w:rsidP="004368E8">
      <w:pPr>
        <w:numPr>
          <w:ilvl w:val="0"/>
          <w:numId w:val="6"/>
        </w:numPr>
        <w:spacing w:line="360" w:lineRule="auto"/>
        <w:ind w:left="0" w:firstLine="0"/>
        <w:contextualSpacing/>
        <w:jc w:val="both"/>
        <w:rPr>
          <w:rFonts w:ascii="Palatino Linotype" w:eastAsia="MS Mincho" w:hAnsi="Palatino Linotype"/>
          <w:lang w:val="es-MX" w:eastAsia="es-MX"/>
        </w:rPr>
      </w:pPr>
      <w:r w:rsidRPr="00C66186">
        <w:rPr>
          <w:rFonts w:ascii="Palatino Linotype" w:hAnsi="Palatino Linotype" w:cs="Arial"/>
          <w:lang w:val="es-MX" w:eastAsia="es-MX"/>
        </w:rPr>
        <w:t xml:space="preserve">Por lo que respecta a la definición de Derecho de Petición, el Maestro Ignacio Burgoa Orihuela refiere: </w:t>
      </w:r>
    </w:p>
    <w:p w14:paraId="1E47CF04" w14:textId="77777777" w:rsidR="004368E8" w:rsidRPr="00C66186" w:rsidRDefault="004368E8" w:rsidP="004368E8">
      <w:pPr>
        <w:spacing w:line="360" w:lineRule="auto"/>
        <w:contextualSpacing/>
        <w:jc w:val="both"/>
        <w:rPr>
          <w:rFonts w:ascii="Palatino Linotype" w:eastAsia="MS Mincho" w:hAnsi="Palatino Linotype"/>
          <w:lang w:val="es-MX" w:eastAsia="es-MX"/>
        </w:rPr>
      </w:pPr>
    </w:p>
    <w:p w14:paraId="43DD8879" w14:textId="77777777" w:rsidR="004368E8" w:rsidRPr="00C66186" w:rsidRDefault="004368E8" w:rsidP="004368E8">
      <w:pPr>
        <w:tabs>
          <w:tab w:val="left" w:pos="9214"/>
        </w:tabs>
        <w:spacing w:line="360" w:lineRule="auto"/>
        <w:ind w:left="709" w:right="709"/>
        <w:jc w:val="both"/>
        <w:rPr>
          <w:rFonts w:ascii="Palatino Linotype" w:hAnsi="Palatino Linotype"/>
          <w:lang w:val="es-MX" w:eastAsia="es-MX"/>
        </w:rPr>
      </w:pPr>
      <w:r w:rsidRPr="00C66186">
        <w:rPr>
          <w:rFonts w:ascii="Palatino Linotype" w:hAnsi="Palatino Linotype"/>
          <w:i/>
          <w:lang w:val="es-MX" w:eastAsia="es-MX"/>
        </w:rPr>
        <w:lastRenderedPageBreak/>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C66186">
        <w:rPr>
          <w:rFonts w:ascii="Palatino Linotype" w:hAnsi="Palatino Linotype"/>
          <w:i/>
          <w:lang w:val="es-MX" w:eastAsia="es-MX"/>
        </w:rPr>
        <w:t>etc</w:t>
      </w:r>
      <w:proofErr w:type="spellEnd"/>
      <w:r w:rsidRPr="00C66186">
        <w:rPr>
          <w:rFonts w:ascii="Palatino Linotype" w:hAnsi="Palatino Linotype"/>
          <w:i/>
          <w:lang w:val="es-MX" w:eastAsia="es-MX"/>
        </w:rPr>
        <w:t xml:space="preserve"> …</w:t>
      </w:r>
      <w:proofErr w:type="gramEnd"/>
      <w:r w:rsidRPr="00C66186">
        <w:rPr>
          <w:rFonts w:ascii="Palatino Linotype" w:hAnsi="Palatino Linotype"/>
          <w:i/>
          <w:lang w:val="es-MX" w:eastAsia="es-MX"/>
        </w:rPr>
        <w:t xml:space="preserve">“ </w:t>
      </w:r>
      <w:r w:rsidRPr="00C66186">
        <w:rPr>
          <w:rFonts w:ascii="Palatino Linotype" w:hAnsi="Palatino Linotype"/>
          <w:lang w:val="es-MX" w:eastAsia="es-MX"/>
        </w:rPr>
        <w:t>(Sic)</w:t>
      </w:r>
    </w:p>
    <w:p w14:paraId="24C95064" w14:textId="77777777" w:rsidR="004368E8" w:rsidRPr="00C66186" w:rsidRDefault="004368E8" w:rsidP="004368E8">
      <w:pPr>
        <w:tabs>
          <w:tab w:val="left" w:pos="9214"/>
        </w:tabs>
        <w:spacing w:line="360" w:lineRule="auto"/>
        <w:ind w:right="709"/>
        <w:jc w:val="both"/>
        <w:rPr>
          <w:rFonts w:ascii="Palatino Linotype" w:hAnsi="Palatino Linotype"/>
          <w:i/>
          <w:lang w:val="es-MX" w:eastAsia="es-MX"/>
        </w:rPr>
      </w:pPr>
    </w:p>
    <w:p w14:paraId="5A1DDC46" w14:textId="77777777" w:rsidR="004368E8" w:rsidRPr="00C66186" w:rsidRDefault="004368E8" w:rsidP="004368E8">
      <w:pPr>
        <w:numPr>
          <w:ilvl w:val="0"/>
          <w:numId w:val="6"/>
        </w:numPr>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 xml:space="preserve">Por su parte, David Cienfuegos Salgado, concibe al derecho de petición como: </w:t>
      </w:r>
    </w:p>
    <w:p w14:paraId="4698625D" w14:textId="77777777" w:rsidR="004368E8" w:rsidRPr="00C66186" w:rsidRDefault="004368E8" w:rsidP="004368E8">
      <w:pPr>
        <w:tabs>
          <w:tab w:val="left" w:pos="9214"/>
        </w:tabs>
        <w:spacing w:line="360" w:lineRule="auto"/>
        <w:ind w:right="709"/>
        <w:jc w:val="both"/>
        <w:rPr>
          <w:rFonts w:ascii="Palatino Linotype" w:hAnsi="Palatino Linotype"/>
          <w:lang w:val="es-MX" w:eastAsia="es-MX"/>
        </w:rPr>
      </w:pPr>
      <w:r w:rsidRPr="00C66186">
        <w:rPr>
          <w:rFonts w:ascii="Palatino Linotype" w:hAnsi="Palatino Linotype"/>
          <w:i/>
          <w:lang w:val="es-MX" w:eastAsia="es-MX"/>
        </w:rPr>
        <w:t xml:space="preserve">“… el derecho de toda persona a ser escuchado por quienes ejercen el poder público...” </w:t>
      </w:r>
      <w:r w:rsidRPr="00C66186">
        <w:rPr>
          <w:rFonts w:ascii="Palatino Linotype" w:hAnsi="Palatino Linotype"/>
          <w:lang w:val="es-MX" w:eastAsia="es-MX"/>
        </w:rPr>
        <w:t xml:space="preserve">(Sic) </w:t>
      </w:r>
    </w:p>
    <w:p w14:paraId="5F026A11" w14:textId="77777777" w:rsidR="004368E8" w:rsidRPr="00C66186" w:rsidRDefault="004368E8" w:rsidP="004368E8">
      <w:pPr>
        <w:tabs>
          <w:tab w:val="left" w:pos="9214"/>
        </w:tabs>
        <w:spacing w:line="360" w:lineRule="auto"/>
        <w:ind w:left="709" w:right="709"/>
        <w:jc w:val="both"/>
        <w:rPr>
          <w:rFonts w:ascii="Palatino Linotype" w:hAnsi="Palatino Linotype"/>
          <w:i/>
          <w:lang w:val="es-MX" w:eastAsia="es-MX"/>
        </w:rPr>
      </w:pPr>
    </w:p>
    <w:p w14:paraId="7AABF7AC" w14:textId="77777777" w:rsidR="004368E8" w:rsidRPr="00C66186" w:rsidRDefault="004368E8" w:rsidP="004368E8">
      <w:pPr>
        <w:numPr>
          <w:ilvl w:val="0"/>
          <w:numId w:val="6"/>
        </w:numPr>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 xml:space="preserve">A este respecto, para diferenciar el derecho de petición del derecho de acceso a la información, resulta conducente señalar que José Guadalupe Robles, conceptualiza al derecho a la información como: </w:t>
      </w:r>
    </w:p>
    <w:p w14:paraId="32497819" w14:textId="77777777" w:rsidR="004368E8" w:rsidRPr="00C66186" w:rsidRDefault="004368E8" w:rsidP="004368E8">
      <w:pPr>
        <w:autoSpaceDE w:val="0"/>
        <w:autoSpaceDN w:val="0"/>
        <w:adjustRightInd w:val="0"/>
        <w:spacing w:before="120" w:line="360" w:lineRule="auto"/>
        <w:contextualSpacing/>
        <w:jc w:val="both"/>
        <w:rPr>
          <w:rFonts w:ascii="Palatino Linotype" w:hAnsi="Palatino Linotype" w:cs="Arial"/>
          <w:lang w:val="es-MX" w:eastAsia="es-MX"/>
        </w:rPr>
      </w:pPr>
    </w:p>
    <w:p w14:paraId="47911F3D" w14:textId="77777777" w:rsidR="004368E8" w:rsidRPr="00C66186" w:rsidRDefault="004368E8" w:rsidP="004368E8">
      <w:pPr>
        <w:tabs>
          <w:tab w:val="left" w:pos="9214"/>
        </w:tabs>
        <w:spacing w:line="360" w:lineRule="auto"/>
        <w:ind w:left="709" w:right="709"/>
        <w:jc w:val="both"/>
        <w:rPr>
          <w:rFonts w:ascii="Palatino Linotype" w:hAnsi="Palatino Linotype"/>
          <w:i/>
          <w:lang w:val="es-MX" w:eastAsia="es-MX"/>
        </w:rPr>
      </w:pPr>
      <w:r w:rsidRPr="00C66186">
        <w:rPr>
          <w:rFonts w:ascii="Palatino Linotype" w:hAnsi="Palatino Linotype"/>
          <w:i/>
          <w:lang w:val="es-MX"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w:t>
      </w:r>
      <w:proofErr w:type="gramStart"/>
      <w:r w:rsidRPr="00C66186">
        <w:rPr>
          <w:rFonts w:ascii="Palatino Linotype" w:hAnsi="Palatino Linotype"/>
          <w:i/>
          <w:lang w:val="es-MX" w:eastAsia="es-MX"/>
        </w:rPr>
        <w:t>pública …</w:t>
      </w:r>
      <w:proofErr w:type="gramEnd"/>
      <w:r w:rsidRPr="00C66186">
        <w:rPr>
          <w:rFonts w:ascii="Palatino Linotype" w:hAnsi="Palatino Linotype"/>
          <w:i/>
          <w:lang w:val="es-MX" w:eastAsia="es-MX"/>
        </w:rPr>
        <w:t xml:space="preserve">” </w:t>
      </w:r>
      <w:r w:rsidRPr="00C66186">
        <w:rPr>
          <w:rFonts w:ascii="Palatino Linotype" w:hAnsi="Palatino Linotype"/>
          <w:lang w:val="es-MX" w:eastAsia="es-MX"/>
        </w:rPr>
        <w:t>(Sic)</w:t>
      </w:r>
      <w:r w:rsidRPr="00C66186">
        <w:rPr>
          <w:rFonts w:ascii="Palatino Linotype" w:hAnsi="Palatino Linotype"/>
          <w:i/>
          <w:lang w:val="es-MX" w:eastAsia="es-MX"/>
        </w:rPr>
        <w:t xml:space="preserve"> </w:t>
      </w:r>
    </w:p>
    <w:p w14:paraId="25683DEE" w14:textId="77777777" w:rsidR="004368E8" w:rsidRPr="00C66186" w:rsidRDefault="004368E8" w:rsidP="004368E8">
      <w:pPr>
        <w:tabs>
          <w:tab w:val="left" w:pos="9214"/>
        </w:tabs>
        <w:spacing w:line="360" w:lineRule="auto"/>
        <w:ind w:left="709" w:right="709"/>
        <w:jc w:val="both"/>
        <w:rPr>
          <w:rFonts w:ascii="Palatino Linotype" w:hAnsi="Palatino Linotype"/>
          <w:i/>
          <w:lang w:val="es-MX" w:eastAsia="es-MX"/>
        </w:rPr>
      </w:pPr>
    </w:p>
    <w:p w14:paraId="2B1C93FA"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lang w:val="es-MX" w:eastAsia="es-MX"/>
        </w:rPr>
      </w:pPr>
      <w:r w:rsidRPr="00C66186">
        <w:rPr>
          <w:rFonts w:ascii="Palatino Linotype" w:hAnsi="Palatino Linotype" w:cs="Arial"/>
          <w:lang w:val="es-MX" w:eastAsia="es-MX"/>
        </w:rPr>
        <w:t xml:space="preserve">Ahora bien, el derecho </w:t>
      </w:r>
      <w:r w:rsidRPr="00C66186">
        <w:rPr>
          <w:rFonts w:ascii="Palatino Linotype" w:hAnsi="Palatino Linotype"/>
          <w:lang w:val="es-MX" w:eastAsia="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265A05C" w14:textId="77777777" w:rsidR="004368E8" w:rsidRPr="00C66186" w:rsidRDefault="004368E8" w:rsidP="004368E8">
      <w:pPr>
        <w:autoSpaceDE w:val="0"/>
        <w:autoSpaceDN w:val="0"/>
        <w:adjustRightInd w:val="0"/>
        <w:spacing w:before="120" w:after="120" w:line="360" w:lineRule="auto"/>
        <w:contextualSpacing/>
        <w:jc w:val="both"/>
        <w:rPr>
          <w:rFonts w:ascii="Palatino Linotype" w:hAnsi="Palatino Linotype"/>
          <w:lang w:val="es-MX" w:eastAsia="es-MX"/>
        </w:rPr>
      </w:pPr>
    </w:p>
    <w:p w14:paraId="0FC5A84A" w14:textId="77777777" w:rsidR="004368E8" w:rsidRPr="00C66186" w:rsidRDefault="004368E8" w:rsidP="004368E8">
      <w:pPr>
        <w:spacing w:before="120" w:after="120" w:line="360" w:lineRule="auto"/>
        <w:ind w:left="709" w:right="709"/>
        <w:jc w:val="both"/>
        <w:rPr>
          <w:rFonts w:ascii="Palatino Linotype" w:hAnsi="Palatino Linotype"/>
          <w:i/>
          <w:lang w:val="es-MX" w:eastAsia="es-MX"/>
        </w:rPr>
      </w:pPr>
      <w:r w:rsidRPr="00C66186">
        <w:rPr>
          <w:rFonts w:ascii="Palatino Linotype" w:hAnsi="Palatino Linotype"/>
          <w:lang w:val="es-MX" w:eastAsia="es-MX"/>
        </w:rPr>
        <w:t>“</w:t>
      </w:r>
      <w:r w:rsidRPr="00C66186">
        <w:rPr>
          <w:rFonts w:ascii="Palatino Linotype" w:hAnsi="Palatino Linotype"/>
          <w:b/>
          <w:i/>
          <w:lang w:val="es-MX" w:eastAsia="es-MX"/>
        </w:rPr>
        <w:t>Artículo 4.</w:t>
      </w:r>
      <w:r w:rsidRPr="00C66186">
        <w:rPr>
          <w:rFonts w:ascii="Palatino Linotype" w:hAnsi="Palatino Linotype"/>
          <w:i/>
          <w:lang w:val="es-MX"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D5E193" w14:textId="77777777" w:rsidR="004368E8" w:rsidRPr="00C66186" w:rsidRDefault="004368E8" w:rsidP="004368E8">
      <w:pPr>
        <w:spacing w:before="120" w:after="120" w:line="360" w:lineRule="auto"/>
        <w:ind w:left="709" w:right="709"/>
        <w:jc w:val="both"/>
        <w:rPr>
          <w:rFonts w:ascii="Palatino Linotype" w:hAnsi="Palatino Linotype"/>
          <w:i/>
          <w:lang w:val="es-MX" w:eastAsia="es-MX"/>
        </w:rPr>
      </w:pPr>
      <w:r w:rsidRPr="00C66186">
        <w:rPr>
          <w:rFonts w:ascii="Palatino Linotype" w:hAnsi="Palatino Linotype"/>
          <w:i/>
          <w:lang w:val="es-MX"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C66186">
        <w:rPr>
          <w:rFonts w:ascii="Palatino Linotype" w:hAnsi="Palatino Linotype" w:cs="Arial"/>
          <w:i/>
          <w:color w:val="000000"/>
          <w:lang w:val="es-MX" w:eastAsia="es-MX"/>
        </w:rPr>
        <w:t>mexicano</w:t>
      </w:r>
      <w:r w:rsidRPr="00C66186">
        <w:rPr>
          <w:rFonts w:ascii="Palatino Linotype" w:hAnsi="Palatino Linotype"/>
          <w:i/>
          <w:lang w:val="es-MX" w:eastAsia="es-MX"/>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3B81D8" w14:textId="77777777" w:rsidR="004368E8" w:rsidRPr="00C66186" w:rsidRDefault="004368E8" w:rsidP="004368E8">
      <w:pPr>
        <w:spacing w:before="120" w:after="120" w:line="360" w:lineRule="auto"/>
        <w:ind w:left="709" w:right="709"/>
        <w:jc w:val="both"/>
        <w:rPr>
          <w:rFonts w:ascii="Palatino Linotype" w:hAnsi="Palatino Linotype"/>
          <w:i/>
          <w:lang w:val="es-MX" w:eastAsia="es-MX"/>
        </w:rPr>
      </w:pPr>
      <w:r w:rsidRPr="00C66186">
        <w:rPr>
          <w:rFonts w:ascii="Palatino Linotype" w:hAnsi="Palatino Linotype"/>
          <w:i/>
          <w:lang w:val="es-MX" w:eastAsia="es-MX"/>
        </w:rPr>
        <w:t>Los sujetos obligados deben poner en práctica, políticas y programas de acceso a la información</w:t>
      </w:r>
      <w:r w:rsidRPr="00C66186">
        <w:rPr>
          <w:rFonts w:ascii="Palatino Linotype" w:hAnsi="Palatino Linotype"/>
          <w:lang w:val="es-MX" w:eastAsia="es-MX"/>
        </w:rPr>
        <w:t xml:space="preserve"> </w:t>
      </w:r>
      <w:r w:rsidRPr="00C66186">
        <w:rPr>
          <w:rFonts w:ascii="Palatino Linotype" w:hAnsi="Palatino Linotype"/>
          <w:i/>
          <w:lang w:val="es-MX" w:eastAsia="es-MX"/>
        </w:rPr>
        <w:t>que se apeguen a criterios de publicidad, veracidad, oportunidad, precisión y suficiencia en beneficio de los solicitantes.”</w:t>
      </w:r>
    </w:p>
    <w:p w14:paraId="19F11336" w14:textId="77777777" w:rsidR="004368E8" w:rsidRPr="00C66186" w:rsidRDefault="004368E8" w:rsidP="004368E8">
      <w:pPr>
        <w:spacing w:before="120" w:after="120" w:line="360" w:lineRule="auto"/>
        <w:ind w:left="709" w:right="709"/>
        <w:jc w:val="both"/>
        <w:rPr>
          <w:rFonts w:ascii="Palatino Linotype" w:hAnsi="Palatino Linotype"/>
          <w:i/>
          <w:lang w:val="es-MX" w:eastAsia="es-MX"/>
        </w:rPr>
      </w:pPr>
    </w:p>
    <w:p w14:paraId="507ACCFE"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21705F7" w14:textId="77777777" w:rsidR="004368E8" w:rsidRPr="00C66186" w:rsidRDefault="004368E8" w:rsidP="004368E8">
      <w:pPr>
        <w:autoSpaceDE w:val="0"/>
        <w:autoSpaceDN w:val="0"/>
        <w:adjustRightInd w:val="0"/>
        <w:spacing w:before="120" w:after="120" w:line="360" w:lineRule="auto"/>
        <w:contextualSpacing/>
        <w:jc w:val="both"/>
        <w:rPr>
          <w:rFonts w:ascii="Palatino Linotype" w:hAnsi="Palatino Linotype" w:cs="Arial"/>
          <w:lang w:val="es-MX" w:eastAsia="es-MX"/>
        </w:rPr>
      </w:pPr>
    </w:p>
    <w:p w14:paraId="184C9878"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4D81EEDD" w14:textId="77777777" w:rsidR="004368E8" w:rsidRPr="00C66186" w:rsidRDefault="004368E8" w:rsidP="004368E8">
      <w:pPr>
        <w:spacing w:line="360" w:lineRule="auto"/>
        <w:contextualSpacing/>
        <w:rPr>
          <w:rFonts w:ascii="Palatino Linotype" w:hAnsi="Palatino Linotype" w:cs="Arial"/>
          <w:lang w:val="es-MX" w:eastAsia="es-MX"/>
        </w:rPr>
      </w:pPr>
    </w:p>
    <w:p w14:paraId="0CB561C4"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En esa tesitura, los Sujetos Obligados deberán poner en práctica, políticas y programas de acceso a la información que se apeguen a criterios de publicidad, veracidad, oportunidad, precisión y suficiencia en beneficio de los solicitantes</w:t>
      </w:r>
    </w:p>
    <w:p w14:paraId="257448A3" w14:textId="77777777" w:rsidR="004368E8" w:rsidRPr="00C66186" w:rsidRDefault="004368E8" w:rsidP="004368E8">
      <w:pPr>
        <w:contextualSpacing/>
        <w:rPr>
          <w:rFonts w:ascii="Palatino Linotype" w:hAnsi="Palatino Linotype" w:cs="Arial"/>
          <w:lang w:val="es-MX" w:eastAsia="es-MX"/>
        </w:rPr>
      </w:pPr>
    </w:p>
    <w:p w14:paraId="79136409"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Lo anterior tiene sustento en los artículos 3 fracciones XI y XXII; 4; 11 y 41 de la Ley de Transparencia y Acceso a la Información Pública del Estado de México y Municipios:</w:t>
      </w:r>
    </w:p>
    <w:p w14:paraId="77F1B0C4" w14:textId="77777777" w:rsidR="004368E8" w:rsidRPr="00C66186" w:rsidRDefault="004368E8" w:rsidP="004368E8">
      <w:pPr>
        <w:autoSpaceDE w:val="0"/>
        <w:autoSpaceDN w:val="0"/>
        <w:adjustRightInd w:val="0"/>
        <w:spacing w:before="120" w:after="120" w:line="360" w:lineRule="auto"/>
        <w:contextualSpacing/>
        <w:jc w:val="both"/>
        <w:rPr>
          <w:rFonts w:ascii="Palatino Linotype" w:hAnsi="Palatino Linotype" w:cs="Arial"/>
          <w:lang w:val="es-MX" w:eastAsia="es-MX"/>
        </w:rPr>
      </w:pPr>
    </w:p>
    <w:p w14:paraId="0E174704"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
          <w:bCs/>
          <w:i/>
          <w:noProof/>
          <w:lang w:val="es-MX" w:eastAsia="es-MX"/>
        </w:rPr>
        <w:t xml:space="preserve">“Artículo 3. </w:t>
      </w:r>
      <w:r w:rsidRPr="00C66186">
        <w:rPr>
          <w:rFonts w:ascii="Palatino Linotype" w:hAnsi="Palatino Linotype" w:cs="Arial"/>
          <w:b/>
          <w:bCs/>
          <w:i/>
          <w:noProof/>
          <w:u w:val="single"/>
          <w:lang w:val="es-MX" w:eastAsia="es-MX"/>
        </w:rPr>
        <w:t xml:space="preserve">Para los efectos </w:t>
      </w:r>
      <w:r w:rsidRPr="00C66186">
        <w:rPr>
          <w:rFonts w:ascii="Palatino Linotype" w:hAnsi="Palatino Linotype" w:cs="Arial"/>
          <w:b/>
          <w:i/>
          <w:u w:val="single"/>
          <w:lang w:val="es-MX" w:eastAsia="es-MX"/>
        </w:rPr>
        <w:t>de</w:t>
      </w:r>
      <w:r w:rsidRPr="00C66186">
        <w:rPr>
          <w:rFonts w:ascii="Palatino Linotype" w:hAnsi="Palatino Linotype" w:cs="Arial"/>
          <w:b/>
          <w:bCs/>
          <w:i/>
          <w:noProof/>
          <w:u w:val="single"/>
          <w:lang w:val="es-MX" w:eastAsia="es-MX"/>
        </w:rPr>
        <w:t xml:space="preserve"> la presente Ley se entenderá por</w:t>
      </w:r>
      <w:r w:rsidRPr="00C66186">
        <w:rPr>
          <w:rFonts w:ascii="Palatino Linotype" w:hAnsi="Palatino Linotype" w:cs="Arial"/>
          <w:b/>
          <w:bCs/>
          <w:i/>
          <w:noProof/>
          <w:lang w:val="es-MX" w:eastAsia="es-MX"/>
        </w:rPr>
        <w:t xml:space="preserve">: </w:t>
      </w:r>
      <w:r w:rsidRPr="00C66186">
        <w:rPr>
          <w:rFonts w:ascii="Palatino Linotype" w:hAnsi="Palatino Linotype" w:cs="Arial"/>
          <w:bCs/>
          <w:i/>
          <w:noProof/>
          <w:lang w:val="es-MX" w:eastAsia="es-MX"/>
        </w:rPr>
        <w:t>…</w:t>
      </w:r>
    </w:p>
    <w:p w14:paraId="2E0C2904"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Cs/>
          <w:i/>
          <w:noProof/>
          <w:lang w:val="es-MX" w:eastAsia="es-MX"/>
        </w:rPr>
        <w:t>…</w:t>
      </w:r>
    </w:p>
    <w:p w14:paraId="238E39A6"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
          <w:bCs/>
          <w:i/>
          <w:noProof/>
          <w:lang w:val="es-MX" w:eastAsia="es-MX"/>
        </w:rPr>
        <w:t>XI. Documento:</w:t>
      </w:r>
      <w:r w:rsidRPr="00C66186">
        <w:rPr>
          <w:rFonts w:ascii="Palatino Linotype" w:hAnsi="Palatino Linotype" w:cs="Arial"/>
          <w:bCs/>
          <w:i/>
          <w:noProof/>
          <w:lang w:val="es-MX" w:eastAsia="es-MX"/>
        </w:rPr>
        <w:t xml:space="preserve"> Los expedientes, reportes, estudios, actas, resoluciones, oficios, correspondencia, acuerdos, directivas, directrices, circulares, contratos, convenios, instructivos, notas, memorandos, estadísticas o bien, </w:t>
      </w:r>
      <w:r w:rsidRPr="00C66186">
        <w:rPr>
          <w:rFonts w:ascii="Palatino Linotype" w:hAnsi="Palatino Linotype" w:cs="Arial"/>
          <w:bCs/>
          <w:i/>
          <w:noProof/>
          <w:lang w:val="es-MX" w:eastAsia="es-MX"/>
        </w:rPr>
        <w:lastRenderedPageBreak/>
        <w:t xml:space="preserve">cualquier otro registro que documente el ejercicio de las facultades, funciones y competencias de los sujetos obligados, sus </w:t>
      </w:r>
      <w:r w:rsidRPr="00C66186">
        <w:rPr>
          <w:rFonts w:ascii="Palatino Linotype" w:hAnsi="Palatino Linotype" w:cs="Arial"/>
          <w:i/>
          <w:color w:val="000000"/>
          <w:lang w:val="es-MX" w:eastAsia="es-MX"/>
        </w:rPr>
        <w:t>servidores</w:t>
      </w:r>
      <w:r w:rsidRPr="00C66186">
        <w:rPr>
          <w:rFonts w:ascii="Palatino Linotype" w:hAnsi="Palatino Linotype" w:cs="Arial"/>
          <w:bCs/>
          <w:i/>
          <w:noProof/>
          <w:lang w:val="es-MX" w:eastAsia="es-MX"/>
        </w:rPr>
        <w:t xml:space="preserve"> públicos e integrantes, sin importar su fuente o fecha de elaboración. Los documentos podrán estar en cualquier medio, sea escrito, impreso, sonoro, visual, electrónico, informático u holográfico; </w:t>
      </w:r>
    </w:p>
    <w:p w14:paraId="22465BD0"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
          <w:bCs/>
          <w:i/>
          <w:noProof/>
          <w:lang w:val="es-MX" w:eastAsia="es-MX"/>
        </w:rPr>
        <w:t>Artículo 4.</w:t>
      </w:r>
      <w:r w:rsidRPr="00C66186">
        <w:rPr>
          <w:rFonts w:ascii="Palatino Linotype" w:hAnsi="Palatino Linotype" w:cs="Arial"/>
          <w:bCs/>
          <w:i/>
          <w:noProof/>
          <w:lang w:val="es-MX" w:eastAsia="es-MX"/>
        </w:rPr>
        <w:t xml:space="preserve"> </w:t>
      </w:r>
      <w:r w:rsidRPr="00C66186">
        <w:rPr>
          <w:rFonts w:ascii="Palatino Linotype" w:hAnsi="Palatino Linotype" w:cs="Arial"/>
          <w:b/>
          <w:bCs/>
          <w:i/>
          <w:noProof/>
          <w:u w:val="single"/>
          <w:lang w:val="es-MX" w:eastAsia="es-MX"/>
        </w:rPr>
        <w:t>El derecho humano de acceso a la información pública es la prerrogativa de las personas para buscar, difundir, investigar, recabar, recibir y solicitar información pública</w:t>
      </w:r>
      <w:r w:rsidRPr="00C66186">
        <w:rPr>
          <w:rFonts w:ascii="Palatino Linotype" w:hAnsi="Palatino Linotype" w:cs="Arial"/>
          <w:bCs/>
          <w:i/>
          <w:noProof/>
          <w:lang w:val="es-MX" w:eastAsia="es-MX"/>
        </w:rPr>
        <w:t xml:space="preserve">, sin necesidad de acreditar personalidad ni interés jurídico. </w:t>
      </w:r>
    </w:p>
    <w:p w14:paraId="003D117C"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Cs/>
          <w:i/>
          <w:noProof/>
          <w:lang w:val="es-MX"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C66186">
        <w:rPr>
          <w:rFonts w:ascii="Palatino Linotype" w:hAnsi="Palatino Linotype" w:cs="Arial"/>
          <w:i/>
          <w:color w:val="000000"/>
          <w:lang w:val="es-MX" w:eastAsia="es-MX"/>
        </w:rPr>
        <w:t>información</w:t>
      </w:r>
      <w:r w:rsidRPr="00C66186">
        <w:rPr>
          <w:rFonts w:ascii="Palatino Linotype" w:hAnsi="Palatino Linotype" w:cs="Arial"/>
          <w:bCs/>
          <w:i/>
          <w:noProof/>
          <w:lang w:val="es-MX" w:eastAsia="es-MX"/>
        </w:rPr>
        <w:t xml:space="preserve">. Solo podrá ser clasificada excepcionalmente como reservada temporalmente por razones de interés público, en los términos de las causas legítimas y estrictamente necesarias previstas por esta Ley. </w:t>
      </w:r>
    </w:p>
    <w:p w14:paraId="41D46A22"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Cs/>
          <w:i/>
          <w:noProof/>
          <w:lang w:val="es-MX" w:eastAsia="es-MX"/>
        </w:rPr>
        <w:t xml:space="preserve">Los sujetos obligados deben poner en práctica, políticas y programas de acceso a la información que se apeguen a criterios de publicidad, veracidad, oportunidad, precisión y suficiencia en beneficio de los solicitantes. </w:t>
      </w:r>
    </w:p>
    <w:p w14:paraId="0CF87B04"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
          <w:bCs/>
          <w:i/>
          <w:noProof/>
          <w:lang w:val="es-MX" w:eastAsia="es-MX"/>
        </w:rPr>
        <w:t>Artículo 11.-</w:t>
      </w:r>
      <w:r w:rsidRPr="00C66186">
        <w:rPr>
          <w:rFonts w:ascii="Palatino Linotype" w:hAnsi="Palatino Linotype" w:cs="Arial"/>
          <w:bCs/>
          <w:i/>
          <w:noProof/>
          <w:lang w:val="es-MX" w:eastAsia="es-MX"/>
        </w:rPr>
        <w:t xml:space="preserve"> </w:t>
      </w:r>
      <w:r w:rsidRPr="00C66186">
        <w:rPr>
          <w:rFonts w:ascii="Palatino Linotype" w:hAnsi="Palatino Linotype" w:cs="Arial"/>
          <w:b/>
          <w:bCs/>
          <w:i/>
          <w:noProof/>
          <w:u w:val="single"/>
          <w:lang w:val="es-MX" w:eastAsia="es-MX"/>
        </w:rPr>
        <w:t>Los Sujetos Obligados sólo proporcionarán la información que generen en el ejercicio de sus atribuciones</w:t>
      </w:r>
      <w:r w:rsidRPr="00C66186">
        <w:rPr>
          <w:rFonts w:ascii="Palatino Linotype" w:hAnsi="Palatino Linotype" w:cs="Arial"/>
          <w:bCs/>
          <w:i/>
          <w:noProof/>
          <w:lang w:val="es-MX" w:eastAsia="es-MX"/>
        </w:rPr>
        <w:t>.</w:t>
      </w:r>
    </w:p>
    <w:p w14:paraId="3393F017"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
          <w:bCs/>
          <w:i/>
          <w:noProof/>
          <w:lang w:val="es-MX" w:eastAsia="es-MX"/>
        </w:rPr>
        <w:lastRenderedPageBreak/>
        <w:t>Artículo 12.</w:t>
      </w:r>
      <w:r w:rsidRPr="00C66186">
        <w:rPr>
          <w:rFonts w:ascii="Palatino Linotype" w:hAnsi="Palatino Linotype" w:cs="Arial"/>
          <w:bCs/>
          <w:i/>
          <w:noProof/>
          <w:lang w:val="es-MX" w:eastAsia="es-MX"/>
        </w:rPr>
        <w:t xml:space="preserve"> Quienes generen, recopilen, administren, manejen, procesen, archiven o conserven información pública</w:t>
      </w:r>
      <w:r w:rsidRPr="00C66186">
        <w:rPr>
          <w:rFonts w:ascii="Palatino Linotype" w:hAnsi="Palatino Linotype" w:cs="Arial"/>
          <w:b/>
          <w:bCs/>
          <w:i/>
          <w:noProof/>
          <w:lang w:val="es-MX" w:eastAsia="es-MX"/>
        </w:rPr>
        <w:t xml:space="preserve"> </w:t>
      </w:r>
      <w:r w:rsidRPr="00C66186">
        <w:rPr>
          <w:rFonts w:ascii="Palatino Linotype" w:hAnsi="Palatino Linotype" w:cs="Arial"/>
          <w:bCs/>
          <w:i/>
          <w:noProof/>
          <w:lang w:val="es-MX" w:eastAsia="es-MX"/>
        </w:rPr>
        <w:t xml:space="preserve">serán responsables de la misma en los términos de las disposiciones jurídicas </w:t>
      </w:r>
      <w:r w:rsidRPr="00C66186">
        <w:rPr>
          <w:rFonts w:ascii="Palatino Linotype" w:hAnsi="Palatino Linotype" w:cs="Arial"/>
          <w:i/>
          <w:color w:val="000000"/>
          <w:lang w:val="es-MX" w:eastAsia="es-MX"/>
        </w:rPr>
        <w:t>aplicables</w:t>
      </w:r>
      <w:r w:rsidRPr="00C66186">
        <w:rPr>
          <w:rFonts w:ascii="Palatino Linotype" w:hAnsi="Palatino Linotype" w:cs="Arial"/>
          <w:bCs/>
          <w:i/>
          <w:noProof/>
          <w:lang w:val="es-MX" w:eastAsia="es-MX"/>
        </w:rPr>
        <w:t xml:space="preserve">. </w:t>
      </w:r>
    </w:p>
    <w:p w14:paraId="4D6E7F91" w14:textId="77777777" w:rsidR="004368E8" w:rsidRPr="00C66186" w:rsidRDefault="004368E8" w:rsidP="004368E8">
      <w:pPr>
        <w:spacing w:before="120" w:after="120" w:line="360" w:lineRule="auto"/>
        <w:ind w:left="709" w:right="709"/>
        <w:jc w:val="both"/>
        <w:rPr>
          <w:rFonts w:ascii="Palatino Linotype" w:hAnsi="Palatino Linotype" w:cs="Arial"/>
          <w:bCs/>
          <w:i/>
          <w:noProof/>
          <w:lang w:val="es-MX" w:eastAsia="es-MX"/>
        </w:rPr>
      </w:pPr>
      <w:r w:rsidRPr="00C66186">
        <w:rPr>
          <w:rFonts w:ascii="Palatino Linotype" w:hAnsi="Palatino Linotype" w:cs="Arial"/>
          <w:b/>
          <w:bCs/>
          <w:i/>
          <w:noProof/>
          <w:u w:val="single"/>
          <w:lang w:val="es-MX" w:eastAsia="es-MX"/>
        </w:rPr>
        <w:t>Los sujetos obligados sólo proporcionarán la información pública que se les requiera y que obre en sus archivos</w:t>
      </w:r>
      <w:r w:rsidRPr="00C66186">
        <w:rPr>
          <w:rFonts w:ascii="Palatino Linotype" w:hAnsi="Palatino Linotype" w:cs="Arial"/>
          <w:bCs/>
          <w:i/>
          <w:noProof/>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320B605" w14:textId="77777777" w:rsidR="004368E8" w:rsidRPr="00C66186" w:rsidRDefault="004368E8" w:rsidP="004368E8">
      <w:pPr>
        <w:spacing w:before="120" w:after="120" w:line="360" w:lineRule="auto"/>
        <w:ind w:left="709" w:right="709"/>
        <w:jc w:val="both"/>
        <w:rPr>
          <w:rFonts w:ascii="Palatino Linotype" w:hAnsi="Palatino Linotype" w:cs="Arial"/>
          <w:color w:val="000000"/>
          <w:lang w:val="es-MX" w:eastAsia="es-MX"/>
        </w:rPr>
      </w:pPr>
      <w:r w:rsidRPr="00C66186">
        <w:rPr>
          <w:rFonts w:ascii="Palatino Linotype" w:hAnsi="Palatino Linotype" w:cs="Arial"/>
          <w:color w:val="000000"/>
          <w:lang w:val="es-MX" w:eastAsia="es-MX"/>
        </w:rPr>
        <w:t>(Énfasis añadido)</w:t>
      </w:r>
    </w:p>
    <w:p w14:paraId="38F39736" w14:textId="77777777" w:rsidR="004368E8" w:rsidRPr="00C66186" w:rsidRDefault="004368E8" w:rsidP="004368E8">
      <w:pPr>
        <w:spacing w:before="120" w:after="120" w:line="360" w:lineRule="auto"/>
        <w:ind w:left="709" w:right="709"/>
        <w:jc w:val="both"/>
        <w:rPr>
          <w:rFonts w:ascii="Palatino Linotype" w:hAnsi="Palatino Linotype" w:cs="Arial"/>
          <w:color w:val="000000"/>
          <w:lang w:val="es-MX" w:eastAsia="es-MX"/>
        </w:rPr>
      </w:pPr>
    </w:p>
    <w:p w14:paraId="73FCD1B3"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505AD1F" w14:textId="77777777" w:rsidR="004368E8" w:rsidRPr="00C66186" w:rsidRDefault="004368E8" w:rsidP="004368E8">
      <w:pPr>
        <w:autoSpaceDE w:val="0"/>
        <w:autoSpaceDN w:val="0"/>
        <w:adjustRightInd w:val="0"/>
        <w:spacing w:before="120" w:after="120" w:line="360" w:lineRule="auto"/>
        <w:contextualSpacing/>
        <w:jc w:val="both"/>
        <w:rPr>
          <w:rFonts w:ascii="Palatino Linotype" w:hAnsi="Palatino Linotype" w:cs="Arial"/>
          <w:lang w:val="es-MX" w:eastAsia="es-MX"/>
        </w:rPr>
      </w:pPr>
    </w:p>
    <w:p w14:paraId="05CF6A16"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C66186">
        <w:rPr>
          <w:rFonts w:ascii="Palatino Linotype" w:hAnsi="Palatino Linotype" w:cs="Arial"/>
          <w:lang w:val="es-MX" w:eastAsia="es-MX"/>
        </w:rPr>
        <w:lastRenderedPageBreak/>
        <w:t>documentos podrán estar en cualquier medio, sea escrito, impreso, sonoro, visual, electrónico, informático u holográfico.</w:t>
      </w:r>
    </w:p>
    <w:p w14:paraId="01259015" w14:textId="77777777" w:rsidR="004368E8" w:rsidRPr="00C66186" w:rsidRDefault="004368E8" w:rsidP="004368E8">
      <w:pPr>
        <w:ind w:left="720"/>
        <w:contextualSpacing/>
        <w:rPr>
          <w:rFonts w:ascii="Palatino Linotype" w:hAnsi="Palatino Linotype" w:cs="Arial"/>
          <w:lang w:val="es-MX" w:eastAsia="es-MX"/>
        </w:rPr>
      </w:pPr>
    </w:p>
    <w:p w14:paraId="1915310D"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D0774C6" w14:textId="77777777" w:rsidR="004368E8" w:rsidRPr="00C66186" w:rsidRDefault="004368E8" w:rsidP="004368E8">
      <w:pPr>
        <w:ind w:left="720"/>
        <w:contextualSpacing/>
        <w:rPr>
          <w:rFonts w:ascii="Palatino Linotype" w:hAnsi="Palatino Linotype" w:cs="Arial"/>
          <w:lang w:val="es-MX" w:eastAsia="es-MX"/>
        </w:rPr>
      </w:pPr>
    </w:p>
    <w:p w14:paraId="0217A5FD"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En síntesis, el derecho de acceso a la información pública se satisface en aquellos casos en que se entregue el soporte documental en que conste la información pública, toda vez que los Sujetos Obligados</w:t>
      </w:r>
      <w:r w:rsidRPr="00C66186">
        <w:rPr>
          <w:rFonts w:ascii="Palatino Linotype" w:hAnsi="Palatino Linotype" w:cs="Arial"/>
          <w:b/>
          <w:lang w:val="es-MX" w:eastAsia="es-MX"/>
        </w:rPr>
        <w:t xml:space="preserve"> </w:t>
      </w:r>
      <w:r w:rsidRPr="00C66186">
        <w:rPr>
          <w:rFonts w:ascii="Palatino Linotype" w:hAnsi="Palatino Linotype" w:cs="Arial"/>
          <w:lang w:val="es-MX" w:eastAsia="es-MX"/>
        </w:rPr>
        <w:t xml:space="preserve">no tienen el deber de generar, poseer o administrar la información pública con el grado de detalle que se señala en la solicitud de información pública; esto es, que no tienen el deber de generar un documento </w:t>
      </w:r>
      <w:r w:rsidRPr="00C66186">
        <w:rPr>
          <w:rFonts w:ascii="Palatino Linotype" w:hAnsi="Palatino Linotype" w:cs="Arial"/>
          <w:b/>
          <w:i/>
          <w:lang w:val="es-MX" w:eastAsia="es-MX"/>
        </w:rPr>
        <w:t>ad hoc</w:t>
      </w:r>
      <w:r w:rsidRPr="00C66186">
        <w:rPr>
          <w:rFonts w:ascii="Palatino Linotype" w:hAnsi="Palatino Linotype" w:cs="Arial"/>
          <w:lang w:val="es-MX" w:eastAsia="es-MX"/>
        </w:rPr>
        <w:t>, para satisfacer el derecho de acceso a la información pública.</w:t>
      </w:r>
    </w:p>
    <w:p w14:paraId="604792CE" w14:textId="77777777" w:rsidR="004368E8" w:rsidRPr="00C66186" w:rsidRDefault="004368E8" w:rsidP="004368E8">
      <w:pPr>
        <w:ind w:left="720"/>
        <w:contextualSpacing/>
        <w:rPr>
          <w:rFonts w:ascii="Palatino Linotype" w:hAnsi="Palatino Linotype" w:cs="Arial"/>
          <w:lang w:val="es-MX" w:eastAsia="es-MX"/>
        </w:rPr>
      </w:pPr>
    </w:p>
    <w:p w14:paraId="34D7D603"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 xml:space="preserve">Lo anterior se traduce en que el documento o documentos a que se hizo referencia, podrán ser entregados al </w:t>
      </w:r>
      <w:r w:rsidRPr="00C66186">
        <w:rPr>
          <w:rFonts w:ascii="Palatino Linotype" w:hAnsi="Palatino Linotype" w:cs="Arial"/>
          <w:b/>
          <w:lang w:val="es-MX" w:eastAsia="es-MX"/>
        </w:rPr>
        <w:t>RECURRENTE</w:t>
      </w:r>
      <w:r w:rsidRPr="00C66186">
        <w:rPr>
          <w:rFonts w:ascii="Palatino Linotype" w:hAnsi="Palatino Linotype" w:cs="Arial"/>
          <w:lang w:val="es-MX" w:eastAsia="es-MX"/>
        </w:rPr>
        <w:t xml:space="preserve">, tal y como hayan sido generados por </w:t>
      </w:r>
      <w:r w:rsidRPr="00C66186">
        <w:rPr>
          <w:rFonts w:ascii="Palatino Linotype" w:hAnsi="Palatino Linotype" w:cs="Arial"/>
          <w:b/>
          <w:lang w:val="es-MX" w:eastAsia="es-MX"/>
        </w:rPr>
        <w:t>EL SUJETO OBLIGADO</w:t>
      </w:r>
      <w:r w:rsidRPr="00C66186">
        <w:rPr>
          <w:rFonts w:ascii="Palatino Linotype" w:hAnsi="Palatino Linotype" w:cs="Arial"/>
          <w:lang w:val="es-MX" w:eastAsia="es-MX"/>
        </w:rPr>
        <w:t xml:space="preserve">, sin que subsista la obligación para éste último de generar un documento </w:t>
      </w:r>
      <w:r w:rsidRPr="00C66186">
        <w:rPr>
          <w:rFonts w:ascii="Palatino Linotype" w:hAnsi="Palatino Linotype" w:cs="Arial"/>
          <w:b/>
          <w:i/>
          <w:lang w:val="es-MX" w:eastAsia="es-MX"/>
        </w:rPr>
        <w:t>ad hoc</w:t>
      </w:r>
      <w:r w:rsidRPr="00C66186">
        <w:rPr>
          <w:rFonts w:ascii="Palatino Linotype" w:hAnsi="Palatino Linotype" w:cs="Arial"/>
          <w:lang w:val="es-MX" w:eastAsia="es-MX"/>
        </w:rPr>
        <w:t xml:space="preserve">, para satisfacer el derecho de acceso a la información pública del </w:t>
      </w:r>
      <w:r w:rsidRPr="00C66186">
        <w:rPr>
          <w:rFonts w:ascii="Palatino Linotype" w:hAnsi="Palatino Linotype" w:cs="Arial"/>
          <w:b/>
          <w:lang w:val="es-MX" w:eastAsia="es-MX"/>
        </w:rPr>
        <w:t>RECURRENTE</w:t>
      </w:r>
      <w:r w:rsidRPr="00C66186">
        <w:rPr>
          <w:rFonts w:ascii="Palatino Linotype" w:hAnsi="Palatino Linotype" w:cs="Arial"/>
          <w:lang w:val="es-MX" w:eastAsia="es-MX"/>
        </w:rPr>
        <w:t>.</w:t>
      </w:r>
    </w:p>
    <w:p w14:paraId="5739EE28" w14:textId="77777777" w:rsidR="004368E8" w:rsidRPr="00C66186" w:rsidRDefault="004368E8" w:rsidP="004368E8">
      <w:pPr>
        <w:ind w:left="720"/>
        <w:contextualSpacing/>
        <w:rPr>
          <w:rFonts w:ascii="Palatino Linotype" w:hAnsi="Palatino Linotype" w:cs="Arial"/>
          <w:lang w:val="es-MX" w:eastAsia="es-MX"/>
        </w:rPr>
      </w:pPr>
    </w:p>
    <w:p w14:paraId="64724FCB"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 xml:space="preserve">Como apoyo a lo anterior, es aplicable el Criterio 09-10, emitido por </w:t>
      </w:r>
      <w:r w:rsidRPr="00C66186">
        <w:rPr>
          <w:rFonts w:ascii="Palatino Linotype" w:eastAsia="Arial Unicode MS" w:hAnsi="Palatino Linotype" w:cs="Arial"/>
          <w:lang w:val="es-MX" w:eastAsia="es-MX"/>
        </w:rPr>
        <w:t xml:space="preserve">el Pleno del entonces </w:t>
      </w:r>
      <w:r w:rsidRPr="00C66186">
        <w:rPr>
          <w:rFonts w:ascii="Palatino Linotype" w:eastAsia="Arial Unicode MS" w:hAnsi="Palatino Linotype" w:cs="Arial"/>
          <w:bCs/>
          <w:lang w:val="es-MX" w:eastAsia="es-MX"/>
        </w:rPr>
        <w:t xml:space="preserve">Instituto Federal </w:t>
      </w:r>
      <w:r w:rsidRPr="00C66186">
        <w:rPr>
          <w:rFonts w:ascii="Palatino Linotype" w:hAnsi="Palatino Linotype" w:cs="Arial"/>
          <w:lang w:val="es-MX" w:eastAsia="es-MX"/>
        </w:rPr>
        <w:t>de</w:t>
      </w:r>
      <w:r w:rsidRPr="00C66186">
        <w:rPr>
          <w:rFonts w:ascii="Palatino Linotype" w:eastAsia="Arial Unicode MS" w:hAnsi="Palatino Linotype" w:cs="Arial"/>
          <w:bCs/>
          <w:lang w:val="es-MX" w:eastAsia="es-MX"/>
        </w:rPr>
        <w:t xml:space="preserve"> Acceso a la Información y Protección de Datos </w:t>
      </w:r>
      <w:r w:rsidRPr="00C66186">
        <w:rPr>
          <w:rFonts w:ascii="Palatino Linotype" w:eastAsia="Arial Unicode MS" w:hAnsi="Palatino Linotype" w:cs="Arial"/>
          <w:bCs/>
          <w:lang w:val="es-MX" w:eastAsia="es-MX"/>
        </w:rPr>
        <w:lastRenderedPageBreak/>
        <w:t xml:space="preserve">(IFAI), </w:t>
      </w:r>
      <w:r w:rsidRPr="00C66186">
        <w:rPr>
          <w:rFonts w:ascii="Palatino Linotype" w:eastAsia="Arial Unicode MS" w:hAnsi="Palatino Linotype" w:cs="Arial"/>
          <w:lang w:val="es-MX" w:eastAsia="es-MX"/>
        </w:rPr>
        <w:t>ahora Instituto Nacional de Transparencia, Acceso a la Información y Protección de Datos Personales (INAI),</w:t>
      </w:r>
      <w:r w:rsidRPr="00C66186">
        <w:rPr>
          <w:rFonts w:ascii="Palatino Linotype" w:hAnsi="Palatino Linotype"/>
          <w:bCs/>
          <w:lang w:val="es-MX" w:eastAsia="es-MX"/>
        </w:rPr>
        <w:t xml:space="preserve"> que dice:</w:t>
      </w:r>
      <w:r w:rsidRPr="00C66186">
        <w:rPr>
          <w:rFonts w:ascii="Palatino Linotype" w:hAnsi="Palatino Linotype"/>
          <w:b/>
          <w:bCs/>
          <w:lang w:val="es-MX" w:eastAsia="es-MX"/>
        </w:rPr>
        <w:t xml:space="preserve"> </w:t>
      </w:r>
    </w:p>
    <w:p w14:paraId="106C01BB" w14:textId="77777777" w:rsidR="004368E8" w:rsidRPr="00C66186" w:rsidRDefault="004368E8" w:rsidP="004368E8">
      <w:pPr>
        <w:autoSpaceDE w:val="0"/>
        <w:autoSpaceDN w:val="0"/>
        <w:adjustRightInd w:val="0"/>
        <w:spacing w:before="120" w:after="120" w:line="360" w:lineRule="auto"/>
        <w:contextualSpacing/>
        <w:jc w:val="both"/>
        <w:rPr>
          <w:rFonts w:ascii="Palatino Linotype" w:hAnsi="Palatino Linotype" w:cs="Arial"/>
          <w:lang w:val="es-MX" w:eastAsia="es-MX"/>
        </w:rPr>
      </w:pPr>
    </w:p>
    <w:p w14:paraId="1A8B1464" w14:textId="77777777" w:rsidR="004368E8" w:rsidRPr="00C66186" w:rsidRDefault="004368E8" w:rsidP="004368E8">
      <w:pPr>
        <w:spacing w:line="360" w:lineRule="auto"/>
        <w:ind w:left="709" w:right="709"/>
        <w:jc w:val="both"/>
        <w:rPr>
          <w:rFonts w:ascii="Palatino Linotype" w:hAnsi="Palatino Linotype" w:cs="Arial"/>
          <w:i/>
          <w:lang w:val="es-MX" w:eastAsia="es-MX"/>
        </w:rPr>
      </w:pPr>
      <w:r w:rsidRPr="00C66186">
        <w:rPr>
          <w:rFonts w:ascii="Palatino Linotype" w:hAnsi="Palatino Linotype" w:cs="Arial"/>
          <w:i/>
          <w:lang w:val="es-MX" w:eastAsia="es-MX"/>
        </w:rPr>
        <w:t>“</w:t>
      </w:r>
      <w:r w:rsidRPr="00C66186">
        <w:rPr>
          <w:rFonts w:ascii="Palatino Linotype" w:hAnsi="Palatino Linotype" w:cs="Arial"/>
          <w:b/>
          <w:i/>
          <w:u w:val="single"/>
          <w:lang w:val="es-MX" w:eastAsia="es-MX"/>
        </w:rPr>
        <w:t>Las dependencias y entidades no están obligadas a generar documentos ad hoc para responder una solicitud de acceso a la información.</w:t>
      </w:r>
      <w:r w:rsidRPr="00C66186">
        <w:rPr>
          <w:rFonts w:ascii="Palatino Linotype" w:hAnsi="Palatino Linotype" w:cs="Arial"/>
          <w:i/>
          <w:lang w:val="es-MX"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499EF4E" w14:textId="77777777" w:rsidR="004368E8" w:rsidRPr="00C66186" w:rsidRDefault="004368E8" w:rsidP="004368E8">
      <w:pPr>
        <w:spacing w:line="360" w:lineRule="auto"/>
        <w:ind w:left="709" w:right="709"/>
        <w:jc w:val="both"/>
        <w:rPr>
          <w:rFonts w:ascii="Palatino Linotype" w:hAnsi="Palatino Linotype" w:cs="Arial"/>
          <w:i/>
          <w:lang w:val="es-MX" w:eastAsia="es-MX"/>
        </w:rPr>
      </w:pPr>
      <w:r w:rsidRPr="00C66186">
        <w:rPr>
          <w:rFonts w:ascii="Palatino Linotype" w:hAnsi="Palatino Linotype" w:cs="Arial"/>
          <w:i/>
          <w:lang w:val="es-MX" w:eastAsia="es-MX"/>
        </w:rPr>
        <w:t>Expedientes:</w:t>
      </w:r>
    </w:p>
    <w:p w14:paraId="007E7F46" w14:textId="77777777" w:rsidR="004368E8" w:rsidRPr="00C66186" w:rsidRDefault="004368E8" w:rsidP="004368E8">
      <w:pPr>
        <w:spacing w:line="360" w:lineRule="auto"/>
        <w:ind w:left="709" w:right="709"/>
        <w:jc w:val="both"/>
        <w:rPr>
          <w:rFonts w:ascii="Palatino Linotype" w:hAnsi="Palatino Linotype" w:cs="Arial"/>
          <w:i/>
          <w:lang w:val="es-MX" w:eastAsia="es-MX"/>
        </w:rPr>
      </w:pPr>
      <w:r w:rsidRPr="00C66186">
        <w:rPr>
          <w:rFonts w:ascii="Palatino Linotype" w:hAnsi="Palatino Linotype" w:cs="Arial"/>
          <w:i/>
          <w:lang w:val="es-MX" w:eastAsia="es-MX"/>
        </w:rPr>
        <w:t>0438/08 Pemex Exploración y Producción – Alonso Lujambio Irazábal</w:t>
      </w:r>
    </w:p>
    <w:p w14:paraId="0FE53E2E" w14:textId="77777777" w:rsidR="004368E8" w:rsidRPr="00C66186" w:rsidRDefault="004368E8" w:rsidP="004368E8">
      <w:pPr>
        <w:spacing w:line="360" w:lineRule="auto"/>
        <w:ind w:left="709" w:right="709"/>
        <w:jc w:val="both"/>
        <w:rPr>
          <w:rFonts w:ascii="Palatino Linotype" w:hAnsi="Palatino Linotype" w:cs="Arial"/>
          <w:i/>
          <w:lang w:val="es-MX" w:eastAsia="es-MX"/>
        </w:rPr>
      </w:pPr>
      <w:r w:rsidRPr="00C66186">
        <w:rPr>
          <w:rFonts w:ascii="Palatino Linotype" w:hAnsi="Palatino Linotype" w:cs="Arial"/>
          <w:i/>
          <w:lang w:val="es-MX" w:eastAsia="es-MX"/>
        </w:rPr>
        <w:t xml:space="preserve">1751/09 Laboratorios de Biológicos y Reactivos de México S.A. de C.V. – María </w:t>
      </w:r>
      <w:proofErr w:type="spellStart"/>
      <w:r w:rsidRPr="00C66186">
        <w:rPr>
          <w:rFonts w:ascii="Palatino Linotype" w:hAnsi="Palatino Linotype" w:cs="Arial"/>
          <w:i/>
          <w:lang w:val="es-MX" w:eastAsia="es-MX"/>
        </w:rPr>
        <w:t>Marván</w:t>
      </w:r>
      <w:proofErr w:type="spellEnd"/>
      <w:r w:rsidRPr="00C66186">
        <w:rPr>
          <w:rFonts w:ascii="Palatino Linotype" w:hAnsi="Palatino Linotype" w:cs="Arial"/>
          <w:i/>
          <w:lang w:val="es-MX" w:eastAsia="es-MX"/>
        </w:rPr>
        <w:t xml:space="preserve"> Laborde</w:t>
      </w:r>
    </w:p>
    <w:p w14:paraId="688F2275" w14:textId="77777777" w:rsidR="004368E8" w:rsidRPr="00C66186" w:rsidRDefault="004368E8" w:rsidP="004368E8">
      <w:pPr>
        <w:spacing w:line="360" w:lineRule="auto"/>
        <w:ind w:left="709" w:right="709"/>
        <w:jc w:val="both"/>
        <w:rPr>
          <w:rFonts w:ascii="Palatino Linotype" w:hAnsi="Palatino Linotype" w:cs="Arial"/>
          <w:i/>
          <w:lang w:val="es-MX" w:eastAsia="es-MX"/>
        </w:rPr>
      </w:pPr>
      <w:r w:rsidRPr="00C66186">
        <w:rPr>
          <w:rFonts w:ascii="Palatino Linotype" w:hAnsi="Palatino Linotype" w:cs="Arial"/>
          <w:i/>
          <w:lang w:val="es-MX" w:eastAsia="es-MX"/>
        </w:rPr>
        <w:t xml:space="preserve">2868/09 Consejo Nacional de Ciencia y Tecnología – Jacqueline </w:t>
      </w:r>
      <w:proofErr w:type="spellStart"/>
      <w:r w:rsidRPr="00C66186">
        <w:rPr>
          <w:rFonts w:ascii="Palatino Linotype" w:hAnsi="Palatino Linotype" w:cs="Arial"/>
          <w:i/>
          <w:lang w:val="es-MX" w:eastAsia="es-MX"/>
        </w:rPr>
        <w:t>Peschard</w:t>
      </w:r>
      <w:proofErr w:type="spellEnd"/>
      <w:r w:rsidRPr="00C66186">
        <w:rPr>
          <w:rFonts w:ascii="Palatino Linotype" w:hAnsi="Palatino Linotype" w:cs="Arial"/>
          <w:i/>
          <w:lang w:val="es-MX" w:eastAsia="es-MX"/>
        </w:rPr>
        <w:t xml:space="preserve"> Mariscal</w:t>
      </w:r>
    </w:p>
    <w:p w14:paraId="5629CD3D" w14:textId="77777777" w:rsidR="004368E8" w:rsidRPr="00C66186" w:rsidRDefault="004368E8" w:rsidP="004368E8">
      <w:pPr>
        <w:spacing w:line="360" w:lineRule="auto"/>
        <w:ind w:left="709" w:right="709"/>
        <w:jc w:val="both"/>
        <w:rPr>
          <w:rFonts w:ascii="Palatino Linotype" w:hAnsi="Palatino Linotype" w:cs="Arial"/>
          <w:i/>
          <w:lang w:val="es-MX" w:eastAsia="es-MX"/>
        </w:rPr>
      </w:pPr>
      <w:r w:rsidRPr="00C66186">
        <w:rPr>
          <w:rFonts w:ascii="Palatino Linotype" w:hAnsi="Palatino Linotype" w:cs="Arial"/>
          <w:i/>
          <w:lang w:val="es-MX" w:eastAsia="es-MX"/>
        </w:rPr>
        <w:t>5160/09 Secretaría de Hacienda y Crédito Público – Ángel Trinidad Zaldívar</w:t>
      </w:r>
    </w:p>
    <w:p w14:paraId="1CB38084" w14:textId="77777777" w:rsidR="004368E8" w:rsidRPr="00C66186" w:rsidRDefault="004368E8" w:rsidP="004368E8">
      <w:pPr>
        <w:spacing w:line="360" w:lineRule="auto"/>
        <w:ind w:left="709" w:right="709"/>
        <w:jc w:val="both"/>
        <w:rPr>
          <w:rFonts w:ascii="Palatino Linotype" w:hAnsi="Palatino Linotype" w:cs="Arial"/>
          <w:i/>
          <w:lang w:val="es-MX" w:eastAsia="es-MX"/>
        </w:rPr>
      </w:pPr>
      <w:r w:rsidRPr="00C66186">
        <w:rPr>
          <w:rFonts w:ascii="Palatino Linotype" w:hAnsi="Palatino Linotype" w:cs="Arial"/>
          <w:i/>
          <w:lang w:val="es-MX" w:eastAsia="es-MX"/>
        </w:rPr>
        <w:t xml:space="preserve">0304/10 Instituto Nacional de Cancerología – Jacqueline </w:t>
      </w:r>
      <w:proofErr w:type="spellStart"/>
      <w:r w:rsidRPr="00C66186">
        <w:rPr>
          <w:rFonts w:ascii="Palatino Linotype" w:hAnsi="Palatino Linotype" w:cs="Arial"/>
          <w:i/>
          <w:lang w:val="es-MX" w:eastAsia="es-MX"/>
        </w:rPr>
        <w:t>Peschard</w:t>
      </w:r>
      <w:proofErr w:type="spellEnd"/>
      <w:r w:rsidRPr="00C66186">
        <w:rPr>
          <w:rFonts w:ascii="Palatino Linotype" w:hAnsi="Palatino Linotype" w:cs="Arial"/>
          <w:i/>
          <w:lang w:val="es-MX" w:eastAsia="es-MX"/>
        </w:rPr>
        <w:t xml:space="preserve"> Mariscal”</w:t>
      </w:r>
    </w:p>
    <w:p w14:paraId="2D561C40" w14:textId="77777777" w:rsidR="004368E8" w:rsidRPr="00C66186" w:rsidRDefault="004368E8" w:rsidP="004368E8">
      <w:pPr>
        <w:spacing w:line="360" w:lineRule="auto"/>
        <w:ind w:left="709" w:right="709"/>
        <w:jc w:val="both"/>
        <w:rPr>
          <w:rFonts w:ascii="Palatino Linotype" w:hAnsi="Palatino Linotype" w:cs="Arial"/>
          <w:lang w:val="es-MX" w:eastAsia="es-MX"/>
        </w:rPr>
      </w:pPr>
      <w:r w:rsidRPr="00C66186">
        <w:rPr>
          <w:rFonts w:ascii="Palatino Linotype" w:hAnsi="Palatino Linotype" w:cs="Arial"/>
          <w:lang w:val="es-MX" w:eastAsia="es-MX"/>
        </w:rPr>
        <w:t>(Énfasis añadido)</w:t>
      </w:r>
    </w:p>
    <w:p w14:paraId="5B8683FD" w14:textId="77777777" w:rsidR="004368E8" w:rsidRPr="00C66186" w:rsidRDefault="004368E8" w:rsidP="004368E8">
      <w:pPr>
        <w:spacing w:line="360" w:lineRule="auto"/>
        <w:ind w:right="709"/>
        <w:jc w:val="both"/>
        <w:rPr>
          <w:rFonts w:ascii="Palatino Linotype" w:hAnsi="Palatino Linotype" w:cs="Arial"/>
          <w:lang w:val="es-MX" w:eastAsia="es-MX"/>
        </w:rPr>
      </w:pPr>
    </w:p>
    <w:p w14:paraId="5282585A" w14:textId="77777777" w:rsidR="004368E8" w:rsidRPr="00C66186" w:rsidRDefault="004368E8" w:rsidP="004368E8">
      <w:pPr>
        <w:numPr>
          <w:ilvl w:val="0"/>
          <w:numId w:val="6"/>
        </w:numPr>
        <w:spacing w:before="120" w:after="120" w:line="360" w:lineRule="auto"/>
        <w:ind w:left="0" w:firstLine="0"/>
        <w:contextualSpacing/>
        <w:jc w:val="both"/>
        <w:rPr>
          <w:rFonts w:ascii="Palatino Linotype" w:hAnsi="Palatino Linotype"/>
          <w:lang w:val="es-MX" w:eastAsia="es-MX"/>
        </w:rPr>
      </w:pPr>
      <w:r w:rsidRPr="00C66186">
        <w:rPr>
          <w:rFonts w:ascii="Palatino Linotype" w:hAnsi="Palatino Linotype"/>
          <w:lang w:val="es-MX" w:eastAsia="es-MX"/>
        </w:rPr>
        <w:lastRenderedPageBreak/>
        <w:t xml:space="preserve">Al respecto, es conveniente señalar que los Sujetos Obligados, no están constreñidos a generar documentos </w:t>
      </w:r>
      <w:r w:rsidRPr="00C66186">
        <w:rPr>
          <w:rFonts w:ascii="Palatino Linotype" w:hAnsi="Palatino Linotype"/>
          <w:b/>
          <w:i/>
          <w:lang w:val="es-MX" w:eastAsia="es-MX"/>
        </w:rPr>
        <w:t>ad hoc</w:t>
      </w:r>
      <w:r w:rsidRPr="00C66186">
        <w:rPr>
          <w:rFonts w:ascii="Palatino Linotype" w:hAnsi="Palatino Linotype"/>
          <w:lang w:val="es-MX" w:eastAsia="es-MX"/>
        </w:rPr>
        <w:t>, para responder a las solicitud de información que les sean formuladas.</w:t>
      </w:r>
    </w:p>
    <w:p w14:paraId="6D844D8F" w14:textId="77777777" w:rsidR="004368E8" w:rsidRPr="00C66186" w:rsidRDefault="004368E8" w:rsidP="004368E8">
      <w:pPr>
        <w:spacing w:before="120" w:after="120" w:line="360" w:lineRule="auto"/>
        <w:contextualSpacing/>
        <w:jc w:val="both"/>
        <w:rPr>
          <w:rFonts w:ascii="Palatino Linotype" w:hAnsi="Palatino Linotype"/>
          <w:lang w:val="es-MX" w:eastAsia="es-MX"/>
        </w:rPr>
      </w:pPr>
    </w:p>
    <w:p w14:paraId="07A05120" w14:textId="77777777" w:rsidR="004368E8" w:rsidRPr="00C66186" w:rsidRDefault="004368E8" w:rsidP="004368E8">
      <w:pPr>
        <w:numPr>
          <w:ilvl w:val="0"/>
          <w:numId w:val="6"/>
        </w:numPr>
        <w:spacing w:before="120" w:after="120" w:line="360" w:lineRule="auto"/>
        <w:ind w:left="0" w:firstLine="0"/>
        <w:contextualSpacing/>
        <w:jc w:val="both"/>
        <w:rPr>
          <w:rFonts w:ascii="Palatino Linotype" w:hAnsi="Palatino Linotype"/>
          <w:lang w:val="es-MX" w:eastAsia="es-MX"/>
        </w:rPr>
      </w:pPr>
      <w:r w:rsidRPr="00C66186">
        <w:rPr>
          <w:rFonts w:ascii="Palatino Linotype" w:hAnsi="Palatino Linotype" w:cs="Arial"/>
          <w:lang w:val="es-MX" w:eastAsia="es-MX"/>
        </w:rPr>
        <w:t xml:space="preserve">Corolario a lo anterior, el doctrinario Ernesto Villanueva </w:t>
      </w:r>
      <w:proofErr w:type="spellStart"/>
      <w:r w:rsidRPr="00C66186">
        <w:rPr>
          <w:rFonts w:ascii="Palatino Linotype" w:hAnsi="Palatino Linotype" w:cs="Arial"/>
          <w:lang w:val="es-MX" w:eastAsia="es-MX"/>
        </w:rPr>
        <w:t>Villanueva</w:t>
      </w:r>
      <w:proofErr w:type="spellEnd"/>
      <w:r w:rsidRPr="00C66186">
        <w:rPr>
          <w:rFonts w:ascii="Palatino Linotype" w:hAnsi="Palatino Linotype" w:cs="Arial"/>
          <w:lang w:val="es-MX" w:eastAsia="es-MX"/>
        </w:rPr>
        <w:t xml:space="preserve"> define al derecho de acceso a la información como: </w:t>
      </w:r>
    </w:p>
    <w:p w14:paraId="2C54FAF0" w14:textId="77777777" w:rsidR="004368E8" w:rsidRPr="00C66186" w:rsidRDefault="004368E8" w:rsidP="004368E8">
      <w:pPr>
        <w:spacing w:before="120" w:after="120" w:line="360" w:lineRule="auto"/>
        <w:contextualSpacing/>
        <w:jc w:val="both"/>
        <w:rPr>
          <w:rFonts w:ascii="Palatino Linotype" w:hAnsi="Palatino Linotype"/>
          <w:lang w:val="es-MX" w:eastAsia="es-MX"/>
        </w:rPr>
      </w:pPr>
    </w:p>
    <w:p w14:paraId="532B9983" w14:textId="77777777" w:rsidR="004368E8" w:rsidRPr="00C66186" w:rsidRDefault="004368E8" w:rsidP="004368E8">
      <w:pPr>
        <w:spacing w:before="120" w:after="120" w:line="360" w:lineRule="auto"/>
        <w:ind w:left="709" w:right="709"/>
        <w:jc w:val="both"/>
        <w:rPr>
          <w:rFonts w:ascii="Palatino Linotype" w:hAnsi="Palatino Linotype" w:cs="Arial"/>
          <w:bCs/>
          <w:noProof/>
          <w:lang w:val="es-MX" w:eastAsia="es-MX"/>
        </w:rPr>
      </w:pPr>
      <w:r w:rsidRPr="00C66186">
        <w:rPr>
          <w:rFonts w:ascii="Palatino Linotype" w:hAnsi="Palatino Linotype" w:cs="Arial"/>
          <w:bCs/>
          <w:i/>
          <w:noProof/>
          <w:lang w:val="es-MX"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C66186">
        <w:rPr>
          <w:rFonts w:ascii="Palatino Linotype" w:hAnsi="Palatino Linotype" w:cs="Arial"/>
          <w:bCs/>
          <w:noProof/>
          <w:lang w:val="es-MX" w:eastAsia="es-MX"/>
        </w:rPr>
        <w:t xml:space="preserve">(Sic) </w:t>
      </w:r>
    </w:p>
    <w:p w14:paraId="4AAD05A4" w14:textId="77777777" w:rsidR="004368E8" w:rsidRPr="00C66186" w:rsidRDefault="004368E8" w:rsidP="004368E8">
      <w:pPr>
        <w:spacing w:before="120" w:after="120" w:line="360" w:lineRule="auto"/>
        <w:ind w:left="709" w:right="709"/>
        <w:jc w:val="both"/>
        <w:rPr>
          <w:rFonts w:ascii="Palatino Linotype" w:hAnsi="Palatino Linotype" w:cs="Arial"/>
          <w:bCs/>
          <w:noProof/>
          <w:lang w:val="es-MX" w:eastAsia="es-MX"/>
        </w:rPr>
      </w:pPr>
    </w:p>
    <w:p w14:paraId="6ABE3041" w14:textId="77777777" w:rsidR="004368E8" w:rsidRPr="00C66186" w:rsidRDefault="004368E8" w:rsidP="004368E8">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b/>
          <w:u w:val="single"/>
          <w:lang w:val="es-MX" w:eastAsia="es-MX"/>
        </w:rPr>
      </w:pPr>
      <w:r w:rsidRPr="00C66186">
        <w:rPr>
          <w:rFonts w:ascii="Palatino Linotype" w:hAnsi="Palatino Linotype" w:cs="Arial"/>
          <w:lang w:val="es-MX" w:eastAsia="es-MX"/>
        </w:rPr>
        <w:t xml:space="preserve">De lo anterior, se puede concluir que la distinción entre el derecho de petición y el derecho de acceso a la información estriba principalmente en que en el primero de ellos, </w:t>
      </w:r>
      <w:r w:rsidRPr="00C66186">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C66186">
        <w:rPr>
          <w:rFonts w:ascii="Palatino Linotype" w:hAnsi="Palatino Linotype" w:cs="Arial"/>
          <w:bCs/>
          <w:lang w:val="es-MX" w:eastAsia="es-CO"/>
        </w:rPr>
        <w:t xml:space="preserve">segundo supuesto </w:t>
      </w:r>
      <w:r w:rsidRPr="00C66186">
        <w:rPr>
          <w:rFonts w:ascii="Palatino Linotype" w:hAnsi="Palatino Linotype" w:cs="Arial"/>
          <w:b/>
          <w:bCs/>
          <w:u w:val="single"/>
          <w:lang w:val="es-MX" w:eastAsia="es-CO"/>
        </w:rPr>
        <w:t>la solicitud de acceso a la información pública se encamina primordialmente a</w:t>
      </w:r>
      <w:r w:rsidRPr="00C66186">
        <w:rPr>
          <w:rFonts w:ascii="Palatino Linotype" w:hAnsi="Palatino Linotype" w:cs="Arial"/>
          <w:b/>
          <w:u w:val="single"/>
          <w:lang w:val="es-MX" w:eastAsia="es-MX"/>
        </w:rPr>
        <w:t xml:space="preserve"> permitir el </w:t>
      </w:r>
      <w:r w:rsidRPr="00C66186">
        <w:rPr>
          <w:rFonts w:ascii="Palatino Linotype" w:hAnsi="Palatino Linotype" w:cs="Arial"/>
          <w:b/>
          <w:u w:val="single"/>
          <w:lang w:val="es-MX" w:eastAsia="es-CO"/>
        </w:rPr>
        <w:t xml:space="preserve">acceso a datos, registros y todo tipo de información pública que conste en documentos, sea generada o se encuentre en posesión de </w:t>
      </w:r>
      <w:r w:rsidRPr="00C66186">
        <w:rPr>
          <w:rFonts w:ascii="Palatino Linotype" w:hAnsi="Palatino Linotype" w:cs="Arial"/>
          <w:b/>
          <w:u w:val="single"/>
          <w:lang w:val="es-MX" w:eastAsia="es-MX"/>
        </w:rPr>
        <w:t xml:space="preserve">la autoridad. </w:t>
      </w:r>
    </w:p>
    <w:p w14:paraId="1D4E18FD" w14:textId="77777777" w:rsidR="004368E8" w:rsidRPr="00C66186" w:rsidRDefault="004368E8" w:rsidP="004368E8">
      <w:pPr>
        <w:autoSpaceDE w:val="0"/>
        <w:autoSpaceDN w:val="0"/>
        <w:adjustRightInd w:val="0"/>
        <w:spacing w:before="120" w:after="120" w:line="360" w:lineRule="auto"/>
        <w:contextualSpacing/>
        <w:jc w:val="both"/>
        <w:rPr>
          <w:rFonts w:ascii="Palatino Linotype" w:hAnsi="Palatino Linotype" w:cs="Arial"/>
          <w:b/>
          <w:u w:val="single"/>
          <w:lang w:val="es-MX" w:eastAsia="es-MX"/>
        </w:rPr>
      </w:pPr>
    </w:p>
    <w:p w14:paraId="1381D55F" w14:textId="55B5F14A" w:rsidR="004368E8" w:rsidRPr="00C66186" w:rsidRDefault="004368E8" w:rsidP="00885682">
      <w:pPr>
        <w:numPr>
          <w:ilvl w:val="0"/>
          <w:numId w:val="6"/>
        </w:numPr>
        <w:autoSpaceDE w:val="0"/>
        <w:autoSpaceDN w:val="0"/>
        <w:adjustRightInd w:val="0"/>
        <w:spacing w:before="120" w:after="120" w:line="360" w:lineRule="auto"/>
        <w:ind w:left="0" w:firstLine="0"/>
        <w:contextualSpacing/>
        <w:jc w:val="both"/>
        <w:rPr>
          <w:rFonts w:ascii="Palatino Linotype" w:eastAsia="Arial Unicode MS" w:hAnsi="Palatino Linotype" w:cs="Arial"/>
          <w:lang w:val="es-MX" w:eastAsia="es-MX"/>
        </w:rPr>
      </w:pPr>
      <w:r w:rsidRPr="00C66186">
        <w:rPr>
          <w:rFonts w:ascii="Palatino Linotype" w:hAnsi="Palatino Linotype" w:cs="Arial"/>
          <w:lang w:val="es-MX" w:eastAsia="es-MX"/>
        </w:rPr>
        <w:t xml:space="preserve">Así las cosas, debe señalarse que en la solicitud de información presentada en </w:t>
      </w:r>
      <w:r w:rsidRPr="00C66186">
        <w:rPr>
          <w:rFonts w:ascii="Palatino Linotype" w:hAnsi="Palatino Linotype" w:cs="Arial"/>
          <w:b/>
          <w:lang w:val="es-MX" w:eastAsia="es-MX"/>
        </w:rPr>
        <w:t>EL SAIMEX,</w:t>
      </w:r>
      <w:r w:rsidRPr="00C66186">
        <w:rPr>
          <w:rFonts w:ascii="Palatino Linotype" w:hAnsi="Palatino Linotype" w:cs="Arial"/>
          <w:lang w:val="es-MX" w:eastAsia="es-MX"/>
        </w:rPr>
        <w:t xml:space="preserve"> </w:t>
      </w:r>
      <w:r w:rsidRPr="00C66186">
        <w:rPr>
          <w:rFonts w:ascii="Palatino Linotype" w:hAnsi="Palatino Linotype" w:cs="Arial"/>
          <w:b/>
          <w:lang w:val="es-MX" w:eastAsia="es-MX"/>
        </w:rPr>
        <w:t>EL RECURRENTE</w:t>
      </w:r>
      <w:r w:rsidRPr="00C66186">
        <w:rPr>
          <w:rFonts w:ascii="Palatino Linotype" w:hAnsi="Palatino Linotype" w:cs="Arial"/>
          <w:lang w:val="es-MX" w:eastAsia="es-MX"/>
        </w:rPr>
        <w:t xml:space="preserve"> requiere una razón, o bien, un razonamiento por parte de </w:t>
      </w:r>
      <w:r w:rsidRPr="00C66186">
        <w:rPr>
          <w:rFonts w:ascii="Palatino Linotype" w:hAnsi="Palatino Linotype" w:cs="Arial"/>
          <w:b/>
          <w:lang w:val="es-MX" w:eastAsia="es-MX"/>
        </w:rPr>
        <w:t>EL SUJETO OBLIGADO</w:t>
      </w:r>
      <w:r w:rsidRPr="00C66186">
        <w:rPr>
          <w:rFonts w:ascii="Palatino Linotype" w:hAnsi="Palatino Linotype" w:cs="Arial"/>
          <w:lang w:val="es-MX" w:eastAsia="es-MX"/>
        </w:rPr>
        <w:t xml:space="preserve"> mediante la realización de un </w:t>
      </w:r>
      <w:r w:rsidRPr="00C66186">
        <w:rPr>
          <w:rFonts w:ascii="Palatino Linotype" w:hAnsi="Palatino Linotype" w:cs="Arial"/>
          <w:b/>
          <w:u w:val="single"/>
          <w:lang w:val="es-MX" w:eastAsia="es-MX"/>
        </w:rPr>
        <w:t>cuestionamiento</w:t>
      </w:r>
      <w:r w:rsidRPr="00C66186">
        <w:rPr>
          <w:rFonts w:ascii="Palatino Linotype" w:hAnsi="Palatino Linotype" w:cs="Arial"/>
          <w:lang w:val="es-MX" w:eastAsia="es-MX"/>
        </w:rPr>
        <w:t xml:space="preserve">, </w:t>
      </w:r>
      <w:r w:rsidRPr="00C66186">
        <w:rPr>
          <w:rFonts w:ascii="Palatino Linotype" w:hAnsi="Palatino Linotype" w:cs="Arial"/>
          <w:lang w:val="es-MX" w:eastAsia="es-MX"/>
        </w:rPr>
        <w:lastRenderedPageBreak/>
        <w:t>al requerir, se pronuncie al respecto sobre si</w:t>
      </w:r>
      <w:r w:rsidR="00885682" w:rsidRPr="00C66186">
        <w:rPr>
          <w:rFonts w:ascii="Palatino Linotype" w:hAnsi="Palatino Linotype" w:cs="Arial"/>
          <w:lang w:val="es-MX" w:eastAsia="es-MX"/>
        </w:rPr>
        <w:t xml:space="preserve"> una prestación laboral se ve afectada por una incapacidad por concepto de maternidad.</w:t>
      </w:r>
    </w:p>
    <w:p w14:paraId="6E588A13" w14:textId="77777777" w:rsidR="00885682" w:rsidRPr="00C66186" w:rsidRDefault="00885682" w:rsidP="00885682">
      <w:pPr>
        <w:autoSpaceDE w:val="0"/>
        <w:autoSpaceDN w:val="0"/>
        <w:adjustRightInd w:val="0"/>
        <w:spacing w:before="120" w:after="120" w:line="360" w:lineRule="auto"/>
        <w:contextualSpacing/>
        <w:jc w:val="both"/>
        <w:rPr>
          <w:rFonts w:ascii="Palatino Linotype" w:eastAsia="Arial Unicode MS" w:hAnsi="Palatino Linotype" w:cs="Arial"/>
          <w:lang w:val="es-MX" w:eastAsia="es-MX"/>
        </w:rPr>
      </w:pPr>
    </w:p>
    <w:p w14:paraId="3E7D6538" w14:textId="6985304E" w:rsidR="004368E8" w:rsidRDefault="004368E8" w:rsidP="00C66186">
      <w:pPr>
        <w:numPr>
          <w:ilvl w:val="0"/>
          <w:numId w:val="6"/>
        </w:numPr>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C66186">
        <w:rPr>
          <w:rFonts w:ascii="Palatino Linotype" w:hAnsi="Palatino Linotype" w:cs="Arial"/>
          <w:lang w:val="es-MX" w:eastAsia="es-MX"/>
        </w:rPr>
        <w:t>Por lo que, la entrega de una razón o un razonamiento por parte del</w:t>
      </w:r>
      <w:r w:rsidRPr="00C66186">
        <w:rPr>
          <w:rFonts w:ascii="Palatino Linotype" w:hAnsi="Palatino Linotype" w:cs="Arial"/>
          <w:b/>
          <w:lang w:val="es-MX" w:eastAsia="es-MX"/>
        </w:rPr>
        <w:t xml:space="preserve"> SUJETO OBLIGADO</w:t>
      </w:r>
      <w:r w:rsidRPr="00C66186">
        <w:rPr>
          <w:rFonts w:ascii="Palatino Linotype" w:hAnsi="Palatino Linotype" w:cs="Arial"/>
          <w:lang w:val="es-MX" w:eastAsia="es-MX"/>
        </w:rPr>
        <w:t xml:space="preserve"> no es algo que la ley establezca como atribución, derecho, o facultad; pues ello implicaría </w:t>
      </w:r>
      <w:r w:rsidRPr="00C66186">
        <w:rPr>
          <w:rFonts w:ascii="Palatino Linotype" w:hAnsi="Palatino Linotype" w:cs="Arial"/>
          <w:b/>
          <w:u w:val="single"/>
          <w:lang w:val="es-MX" w:eastAsia="es-MX"/>
        </w:rPr>
        <w:t>un juicio de valor</w:t>
      </w:r>
      <w:r w:rsidRPr="00C66186">
        <w:rPr>
          <w:rFonts w:ascii="Palatino Linotype" w:hAnsi="Palatino Linotype" w:cs="Arial"/>
          <w:lang w:val="es-MX" w:eastAsia="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359B1D9E" w14:textId="77777777" w:rsidR="00C66186" w:rsidRPr="00C66186" w:rsidRDefault="00C66186" w:rsidP="00C66186">
      <w:pPr>
        <w:autoSpaceDE w:val="0"/>
        <w:autoSpaceDN w:val="0"/>
        <w:adjustRightInd w:val="0"/>
        <w:spacing w:before="120" w:after="120" w:line="360" w:lineRule="auto"/>
        <w:contextualSpacing/>
        <w:jc w:val="both"/>
        <w:rPr>
          <w:rFonts w:ascii="Palatino Linotype" w:hAnsi="Palatino Linotype" w:cs="Arial"/>
          <w:lang w:val="es-MX" w:eastAsia="es-MX"/>
        </w:rPr>
      </w:pPr>
    </w:p>
    <w:p w14:paraId="6BA0E990" w14:textId="77777777" w:rsidR="004368E8" w:rsidRPr="00C66186" w:rsidRDefault="004368E8" w:rsidP="004368E8">
      <w:pPr>
        <w:numPr>
          <w:ilvl w:val="0"/>
          <w:numId w:val="6"/>
        </w:numPr>
        <w:tabs>
          <w:tab w:val="left" w:pos="567"/>
        </w:tabs>
        <w:spacing w:line="360" w:lineRule="auto"/>
        <w:ind w:left="0" w:firstLine="0"/>
        <w:contextualSpacing/>
        <w:jc w:val="both"/>
        <w:rPr>
          <w:rFonts w:ascii="Palatino Linotype" w:eastAsia="Calibri" w:hAnsi="Palatino Linotype" w:cs="Arial"/>
          <w:lang w:val="es-MX" w:eastAsia="es-MX"/>
        </w:rPr>
      </w:pPr>
      <w:r w:rsidRPr="00C66186">
        <w:rPr>
          <w:rFonts w:ascii="Palatino Linotype" w:eastAsia="Calibri" w:hAnsi="Palatino Linotype" w:cs="Arial"/>
          <w:lang w:val="es-MX" w:eastAsia="es-MX"/>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14:paraId="172D1973" w14:textId="77777777" w:rsidR="004368E8" w:rsidRPr="00C66186" w:rsidRDefault="004368E8" w:rsidP="004368E8">
      <w:pPr>
        <w:spacing w:before="240" w:after="240" w:line="360" w:lineRule="auto"/>
        <w:contextualSpacing/>
        <w:jc w:val="both"/>
        <w:rPr>
          <w:rFonts w:ascii="Palatino Linotype" w:hAnsi="Palatino Linotype"/>
          <w:lang w:val="es-MX" w:eastAsia="es-MX"/>
        </w:rPr>
      </w:pPr>
    </w:p>
    <w:p w14:paraId="3836060D" w14:textId="77777777" w:rsidR="004368E8" w:rsidRPr="00C66186" w:rsidRDefault="004368E8" w:rsidP="004368E8">
      <w:pPr>
        <w:numPr>
          <w:ilvl w:val="0"/>
          <w:numId w:val="6"/>
        </w:numPr>
        <w:spacing w:before="240" w:after="240" w:line="360" w:lineRule="auto"/>
        <w:ind w:left="0" w:firstLine="0"/>
        <w:contextualSpacing/>
        <w:jc w:val="both"/>
        <w:rPr>
          <w:rFonts w:ascii="Palatino Linotype" w:hAnsi="Palatino Linotype"/>
          <w:lang w:val="es-MX" w:eastAsia="es-MX"/>
        </w:rPr>
      </w:pPr>
      <w:r w:rsidRPr="00C66186">
        <w:rPr>
          <w:rFonts w:ascii="Palatino Linotype" w:hAnsi="Palatino Linotype" w:cs="Arial"/>
          <w:lang w:val="es-MX" w:eastAsia="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B93002F" w14:textId="77777777" w:rsidR="004368E8" w:rsidRPr="00C66186" w:rsidRDefault="004368E8" w:rsidP="004368E8">
      <w:pPr>
        <w:spacing w:before="240" w:after="240" w:line="360" w:lineRule="auto"/>
        <w:contextualSpacing/>
        <w:jc w:val="both"/>
        <w:rPr>
          <w:rFonts w:ascii="Palatino Linotype" w:hAnsi="Palatino Linotype"/>
          <w:lang w:val="es-MX" w:eastAsia="es-MX"/>
        </w:rPr>
      </w:pPr>
    </w:p>
    <w:p w14:paraId="217ACE49" w14:textId="77777777" w:rsidR="004368E8" w:rsidRPr="00C66186" w:rsidRDefault="004368E8" w:rsidP="004368E8">
      <w:pPr>
        <w:spacing w:line="360" w:lineRule="auto"/>
        <w:ind w:left="567" w:right="567"/>
        <w:jc w:val="both"/>
        <w:rPr>
          <w:rFonts w:ascii="Palatino Linotype" w:hAnsi="Palatino Linotype" w:cs="Arial"/>
          <w:i/>
          <w:lang w:val="es-MX" w:eastAsia="es-MX"/>
        </w:rPr>
      </w:pPr>
      <w:r w:rsidRPr="00C66186">
        <w:rPr>
          <w:rFonts w:ascii="Palatino Linotype" w:hAnsi="Palatino Linotype" w:cs="Arial"/>
          <w:i/>
          <w:lang w:val="es-MX" w:eastAsia="es-MX"/>
        </w:rPr>
        <w:t>“</w:t>
      </w:r>
      <w:r w:rsidRPr="00C66186">
        <w:rPr>
          <w:rFonts w:ascii="Palatino Linotype" w:hAnsi="Palatino Linotype" w:cs="Arial"/>
          <w:b/>
          <w:i/>
          <w:lang w:val="es-MX" w:eastAsia="es-MX"/>
        </w:rPr>
        <w:t>SOBRESEIMIENTO EN EL JUICIO DE AMPARO DIRECTO. IMPIDE EL ESTUDIO DE LAS VIOLACIONES PROCESALES PLANTEADAS EN LOS CONCEPTOS DE VIOLACIÓN.</w:t>
      </w:r>
      <w:r w:rsidRPr="00C66186">
        <w:rPr>
          <w:rFonts w:ascii="Palatino Linotype" w:hAnsi="Palatino Linotype" w:cs="Arial"/>
          <w:i/>
          <w:lang w:val="es-MX" w:eastAsia="es-MX"/>
        </w:rPr>
        <w:t xml:space="preserve"> El sobreseimiento en el juicio de amparo directo provoca la terminación de la controversia planteada por el quejoso en la demanda de amparo, sin hacer un pronunciamiento de fondo sobre la </w:t>
      </w:r>
      <w:r w:rsidRPr="00C66186">
        <w:rPr>
          <w:rFonts w:ascii="Palatino Linotype" w:hAnsi="Palatino Linotype" w:cs="Arial"/>
          <w:i/>
          <w:lang w:val="es-MX" w:eastAsia="es-MX"/>
        </w:rPr>
        <w:lastRenderedPageBreak/>
        <w:t>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F489DBC" w14:textId="77777777" w:rsidR="004368E8" w:rsidRPr="00C66186" w:rsidRDefault="004368E8" w:rsidP="004368E8">
      <w:pPr>
        <w:spacing w:line="360" w:lineRule="auto"/>
        <w:ind w:left="567" w:right="567"/>
        <w:jc w:val="both"/>
        <w:rPr>
          <w:rFonts w:ascii="Palatino Linotype" w:hAnsi="Palatino Linotype" w:cs="Arial"/>
          <w:i/>
          <w:lang w:val="es-MX" w:eastAsia="es-MX"/>
        </w:rPr>
      </w:pPr>
      <w:r w:rsidRPr="00C66186">
        <w:rPr>
          <w:rFonts w:ascii="Palatino Linotype" w:hAnsi="Palatino Linotype" w:cs="Arial"/>
          <w:i/>
          <w:lang w:val="es-MX" w:eastAsia="es-MX"/>
        </w:rPr>
        <w:t>SEPTIMO TRIBUNAL COLEGIADO EN MATERIA CIVIL DEL PRIMER CIRCUITO</w:t>
      </w:r>
    </w:p>
    <w:p w14:paraId="1FD81F9F" w14:textId="77777777" w:rsidR="004368E8" w:rsidRPr="00C66186" w:rsidRDefault="004368E8" w:rsidP="004368E8">
      <w:pPr>
        <w:spacing w:line="360" w:lineRule="auto"/>
        <w:ind w:left="567" w:right="567"/>
        <w:jc w:val="both"/>
        <w:rPr>
          <w:rFonts w:ascii="Palatino Linotype" w:hAnsi="Palatino Linotype" w:cs="Arial"/>
          <w:i/>
          <w:lang w:val="es-MX" w:eastAsia="es-MX"/>
        </w:rPr>
      </w:pPr>
      <w:r w:rsidRPr="00C66186">
        <w:rPr>
          <w:rFonts w:ascii="Palatino Linotype" w:hAnsi="Palatino Linotype" w:cs="Arial"/>
          <w:i/>
          <w:lang w:val="es-MX" w:eastAsia="es-MX"/>
        </w:rPr>
        <w:t xml:space="preserve">Amparo directo 699/2008. Mariana Leticia González </w:t>
      </w:r>
      <w:proofErr w:type="spellStart"/>
      <w:r w:rsidRPr="00C66186">
        <w:rPr>
          <w:rFonts w:ascii="Palatino Linotype" w:hAnsi="Palatino Linotype" w:cs="Arial"/>
          <w:i/>
          <w:lang w:val="es-MX" w:eastAsia="es-MX"/>
        </w:rPr>
        <w:t>Steele</w:t>
      </w:r>
      <w:proofErr w:type="spellEnd"/>
      <w:r w:rsidRPr="00C66186">
        <w:rPr>
          <w:rFonts w:ascii="Palatino Linotype" w:hAnsi="Palatino Linotype" w:cs="Arial"/>
          <w:i/>
          <w:lang w:val="es-MX" w:eastAsia="es-MX"/>
        </w:rPr>
        <w:t>. 13 de noviembre de 2008. Unanimidad de votos. Ponente: Sara Judith Montalvo Trejo. Secretario: Arnulfo Mateos García.”</w:t>
      </w:r>
    </w:p>
    <w:p w14:paraId="4141E703" w14:textId="77777777" w:rsidR="004368E8" w:rsidRPr="00C66186" w:rsidRDefault="004368E8" w:rsidP="004368E8">
      <w:pPr>
        <w:spacing w:line="360" w:lineRule="auto"/>
        <w:ind w:left="567" w:right="567"/>
        <w:jc w:val="both"/>
        <w:rPr>
          <w:rFonts w:ascii="Palatino Linotype" w:hAnsi="Palatino Linotype" w:cs="Arial"/>
          <w:i/>
          <w:lang w:val="es-MX" w:eastAsia="es-MX"/>
        </w:rPr>
      </w:pPr>
    </w:p>
    <w:p w14:paraId="1848262C" w14:textId="77777777" w:rsidR="004368E8" w:rsidRPr="00C66186" w:rsidRDefault="004368E8" w:rsidP="004368E8">
      <w:pPr>
        <w:numPr>
          <w:ilvl w:val="0"/>
          <w:numId w:val="6"/>
        </w:numPr>
        <w:tabs>
          <w:tab w:val="left" w:pos="567"/>
        </w:tabs>
        <w:spacing w:line="360" w:lineRule="auto"/>
        <w:ind w:left="0" w:firstLine="0"/>
        <w:contextualSpacing/>
        <w:jc w:val="both"/>
        <w:rPr>
          <w:rFonts w:ascii="Palatino Linotype" w:eastAsia="Calibri" w:hAnsi="Palatino Linotype" w:cs="Arial"/>
          <w:lang w:val="es-MX" w:eastAsia="es-MX"/>
        </w:rPr>
      </w:pPr>
      <w:r w:rsidRPr="00C66186">
        <w:rPr>
          <w:rFonts w:ascii="Palatino Linotype" w:eastAsia="Calibri" w:hAnsi="Palatino Linotype" w:cs="Arial"/>
          <w:lang w:val="es-MX" w:eastAsia="es-MX"/>
        </w:rPr>
        <w:t>No obstante, a efecto de no vulnerar los derechos del particular, este Órgano Garante deja a salvo sus derechos para que, si así lo desea, presente una nueva solicitud de acceso a la información requiriendo información que sea de su interés.</w:t>
      </w:r>
    </w:p>
    <w:p w14:paraId="22ED35C9" w14:textId="77777777" w:rsidR="004368E8" w:rsidRPr="00C66186" w:rsidRDefault="004368E8" w:rsidP="004368E8">
      <w:pPr>
        <w:autoSpaceDE w:val="0"/>
        <w:autoSpaceDN w:val="0"/>
        <w:adjustRightInd w:val="0"/>
        <w:spacing w:before="120" w:after="120" w:line="360" w:lineRule="auto"/>
        <w:contextualSpacing/>
        <w:jc w:val="both"/>
        <w:rPr>
          <w:rFonts w:ascii="Palatino Linotype" w:hAnsi="Palatino Linotype" w:cs="Arial"/>
          <w:lang w:val="es-MX" w:eastAsia="es-MX"/>
        </w:rPr>
      </w:pPr>
    </w:p>
    <w:p w14:paraId="013524A8" w14:textId="77777777" w:rsidR="004368E8" w:rsidRPr="00C66186" w:rsidRDefault="004368E8" w:rsidP="004368E8">
      <w:pPr>
        <w:numPr>
          <w:ilvl w:val="0"/>
          <w:numId w:val="6"/>
        </w:numPr>
        <w:spacing w:line="360" w:lineRule="auto"/>
        <w:ind w:left="0" w:firstLine="0"/>
        <w:contextualSpacing/>
        <w:jc w:val="both"/>
        <w:rPr>
          <w:rFonts w:ascii="Palatino Linotype" w:hAnsi="Palatino Linotype" w:cs="Palatino Linotype"/>
          <w:lang w:val="es-MX" w:eastAsia="es-MX"/>
        </w:rPr>
      </w:pPr>
      <w:r w:rsidRPr="00C66186">
        <w:rPr>
          <w:rFonts w:ascii="Palatino Linotype" w:hAnsi="Palatino Linotype" w:cs="Arial"/>
          <w:lang w:val="es-MX" w:eastAsia="es-MX"/>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6E367465" w14:textId="77777777" w:rsidR="00885682" w:rsidRPr="00C66186" w:rsidRDefault="00885682" w:rsidP="00885682">
      <w:pPr>
        <w:spacing w:line="360" w:lineRule="auto"/>
        <w:contextualSpacing/>
        <w:jc w:val="both"/>
        <w:rPr>
          <w:rFonts w:ascii="Palatino Linotype" w:hAnsi="Palatino Linotype" w:cs="Palatino Linotype"/>
          <w:lang w:val="es-MX" w:eastAsia="es-MX"/>
        </w:rPr>
      </w:pPr>
    </w:p>
    <w:p w14:paraId="6D675ACA" w14:textId="3DEB6EB1" w:rsidR="00C66186" w:rsidRPr="00C66186" w:rsidRDefault="004368E8" w:rsidP="00C66186">
      <w:pPr>
        <w:numPr>
          <w:ilvl w:val="0"/>
          <w:numId w:val="6"/>
        </w:numPr>
        <w:spacing w:before="240" w:after="240" w:line="360" w:lineRule="auto"/>
        <w:ind w:left="0" w:right="49" w:firstLine="0"/>
        <w:contextualSpacing/>
        <w:jc w:val="both"/>
        <w:rPr>
          <w:rFonts w:ascii="Palatino Linotype" w:hAnsi="Palatino Linotype" w:cs="Palatino Linotype"/>
          <w:lang w:val="es-ES_tradnl"/>
        </w:rPr>
      </w:pPr>
      <w:r w:rsidRPr="00C66186">
        <w:rPr>
          <w:rFonts w:ascii="Palatino Linotype" w:hAnsi="Palatino Linotype"/>
          <w:color w:val="000000"/>
          <w:lang w:eastAsia="es-MX"/>
        </w:rPr>
        <w:t xml:space="preserve">Por lo anteriormente expuesto y fundado, este </w:t>
      </w:r>
      <w:r w:rsidRPr="00C66186">
        <w:rPr>
          <w:rFonts w:ascii="Palatino Linotype" w:hAnsi="Palatino Linotype"/>
          <w:b/>
          <w:bCs/>
          <w:color w:val="000000"/>
          <w:lang w:eastAsia="es-MX"/>
        </w:rPr>
        <w:t>ÓRGANO GARANTE</w:t>
      </w:r>
      <w:r w:rsidRPr="00C66186">
        <w:rPr>
          <w:rFonts w:ascii="Palatino Linotype" w:hAnsi="Palatino Linotype"/>
          <w:color w:val="000000"/>
          <w:lang w:eastAsia="es-MX"/>
        </w:rPr>
        <w:t xml:space="preserve"> emite los siguientes:   </w:t>
      </w:r>
    </w:p>
    <w:p w14:paraId="4D4B5BCE" w14:textId="77777777" w:rsidR="00C66186" w:rsidRPr="00C66186" w:rsidRDefault="00C66186" w:rsidP="00C66186">
      <w:pPr>
        <w:spacing w:before="240" w:after="240" w:line="360" w:lineRule="auto"/>
        <w:ind w:right="49"/>
        <w:contextualSpacing/>
        <w:jc w:val="both"/>
        <w:rPr>
          <w:rFonts w:ascii="Palatino Linotype" w:hAnsi="Palatino Linotype" w:cs="Palatino Linotype"/>
          <w:lang w:val="es-ES_tradnl"/>
        </w:rPr>
      </w:pPr>
    </w:p>
    <w:p w14:paraId="3112FB55" w14:textId="58385BA8" w:rsidR="00C66186" w:rsidRDefault="00C66186" w:rsidP="00C66186">
      <w:pPr>
        <w:tabs>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ES_tradnl"/>
        </w:rPr>
      </w:pPr>
      <w:bookmarkStart w:id="30" w:name="_Toc67588008"/>
      <w:bookmarkStart w:id="31" w:name="_Toc68804770"/>
      <w:bookmarkStart w:id="32" w:name="_Toc85125487"/>
      <w:r>
        <w:rPr>
          <w:rFonts w:ascii="Palatino Linotype" w:eastAsiaTheme="minorEastAsia" w:hAnsi="Palatino Linotype" w:cstheme="minorBidi"/>
          <w:b/>
          <w:color w:val="000000" w:themeColor="text1"/>
          <w:lang w:val="es-ES_tradnl"/>
        </w:rPr>
        <w:t>CUARTO</w:t>
      </w:r>
      <w:r w:rsidRPr="00C66186">
        <w:rPr>
          <w:rFonts w:ascii="Palatino Linotype" w:eastAsiaTheme="minorEastAsia" w:hAnsi="Palatino Linotype" w:cstheme="minorBidi"/>
          <w:b/>
          <w:color w:val="000000" w:themeColor="text1"/>
          <w:lang w:val="es-ES_tradnl"/>
        </w:rPr>
        <w:t>. De la decisión.</w:t>
      </w:r>
      <w:bookmarkEnd w:id="30"/>
      <w:bookmarkEnd w:id="31"/>
      <w:bookmarkEnd w:id="32"/>
      <w:r w:rsidRPr="00C66186">
        <w:rPr>
          <w:rFonts w:ascii="Palatino Linotype" w:eastAsiaTheme="minorEastAsia" w:hAnsi="Palatino Linotype" w:cstheme="minorBidi"/>
          <w:b/>
          <w:color w:val="000000" w:themeColor="text1"/>
          <w:lang w:val="es-ES_tradnl"/>
        </w:rPr>
        <w:t xml:space="preserve"> </w:t>
      </w:r>
    </w:p>
    <w:p w14:paraId="0C023F84" w14:textId="77777777" w:rsidR="00C66186" w:rsidRPr="00C66186" w:rsidRDefault="00C66186" w:rsidP="00C66186">
      <w:pPr>
        <w:tabs>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ES_tradnl"/>
        </w:rPr>
      </w:pPr>
    </w:p>
    <w:p w14:paraId="4040C0C6" w14:textId="5503B18A" w:rsidR="00C66186" w:rsidRPr="00C66186" w:rsidRDefault="00C66186" w:rsidP="00C6618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C66186">
        <w:rPr>
          <w:rFonts w:ascii="Palatino Linotype" w:eastAsiaTheme="minorEastAsia" w:hAnsi="Palatino Linotype" w:cstheme="minorBidi"/>
          <w:color w:val="000000" w:themeColor="text1"/>
          <w:lang w:val="es-MX"/>
        </w:rPr>
        <w:t xml:space="preserve">Con base en todo lo expuesto, y con fundamento </w:t>
      </w:r>
      <w:r w:rsidR="00E33561">
        <w:rPr>
          <w:rFonts w:ascii="Palatino Linotype" w:eastAsiaTheme="minorEastAsia" w:hAnsi="Palatino Linotype" w:cstheme="minorBidi"/>
          <w:color w:val="000000" w:themeColor="text1"/>
          <w:lang w:val="es-MX"/>
        </w:rPr>
        <w:t>en el artículo 186, fracción I</w:t>
      </w:r>
      <w:r w:rsidRPr="00C66186">
        <w:rPr>
          <w:rFonts w:ascii="Palatino Linotype" w:eastAsiaTheme="minorEastAsia" w:hAnsi="Palatino Linotype" w:cstheme="minorBidi"/>
          <w:color w:val="000000" w:themeColor="text1"/>
          <w:lang w:val="es-MX"/>
        </w:rPr>
        <w:t>, de la Ley de Transparencia y Acceso a la Información Pública del Estado de México y Municipios, este Instituto considera procedente</w:t>
      </w:r>
      <w:r w:rsidR="00E33561">
        <w:rPr>
          <w:rFonts w:ascii="Palatino Linotype" w:eastAsiaTheme="minorEastAsia" w:hAnsi="Palatino Linotype" w:cstheme="minorBidi"/>
          <w:b/>
          <w:color w:val="000000" w:themeColor="text1"/>
          <w:lang w:val="es-MX"/>
        </w:rPr>
        <w:t xml:space="preserve"> SOBRESEER</w:t>
      </w:r>
      <w:r w:rsidRPr="00C66186">
        <w:rPr>
          <w:rFonts w:ascii="Palatino Linotype" w:eastAsiaTheme="minorEastAsia" w:hAnsi="Palatino Linotype" w:cstheme="minorBidi"/>
          <w:b/>
          <w:color w:val="000000" w:themeColor="text1"/>
          <w:lang w:val="es-MX"/>
        </w:rPr>
        <w:t xml:space="preserve"> </w:t>
      </w:r>
      <w:r w:rsidR="00E33561">
        <w:rPr>
          <w:rFonts w:ascii="Palatino Linotype" w:eastAsiaTheme="minorEastAsia" w:hAnsi="Palatino Linotype" w:cstheme="minorBidi"/>
          <w:color w:val="000000" w:themeColor="text1"/>
          <w:lang w:val="es-MX"/>
        </w:rPr>
        <w:t>el recurso de revisión de mérito</w:t>
      </w:r>
      <w:r w:rsidRPr="00C66186">
        <w:rPr>
          <w:rFonts w:ascii="Palatino Linotype" w:eastAsiaTheme="minorEastAsia" w:hAnsi="Palatino Linotype" w:cstheme="minorBidi"/>
          <w:color w:val="000000" w:themeColor="text1"/>
          <w:lang w:val="es-ES_tradnl"/>
        </w:rPr>
        <w:t xml:space="preserve">. </w:t>
      </w:r>
    </w:p>
    <w:p w14:paraId="0F303E0E" w14:textId="77777777" w:rsidR="00C66186" w:rsidRPr="00C66186" w:rsidRDefault="00C66186" w:rsidP="00C6618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48C9558F" w14:textId="77777777" w:rsidR="00C66186" w:rsidRPr="00C66186" w:rsidRDefault="00C66186" w:rsidP="00C6618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C66186">
        <w:rPr>
          <w:rFonts w:ascii="Palatino Linotype" w:eastAsiaTheme="minorEastAsia" w:hAnsi="Palatino Linotype" w:cstheme="minorBidi"/>
          <w:color w:val="000000" w:themeColor="text1"/>
        </w:rPr>
        <w:t xml:space="preserve">Por </w:t>
      </w:r>
      <w:r w:rsidRPr="00C66186">
        <w:rPr>
          <w:rFonts w:ascii="Palatino Linotype" w:eastAsiaTheme="minorEastAsia" w:hAnsi="Palatino Linotype" w:cstheme="minorBidi"/>
          <w:color w:val="000000" w:themeColor="text1"/>
          <w:lang w:val="es-MX"/>
        </w:rPr>
        <w:t xml:space="preserve">lo anteriormente expuesto y fundado, este </w:t>
      </w:r>
      <w:r w:rsidRPr="00C66186">
        <w:rPr>
          <w:rFonts w:ascii="Palatino Linotype" w:eastAsiaTheme="minorEastAsia" w:hAnsi="Palatino Linotype" w:cstheme="minorBidi"/>
          <w:b/>
          <w:color w:val="000000" w:themeColor="text1"/>
          <w:lang w:val="es-MX"/>
        </w:rPr>
        <w:t>ÓRGANO GARANTE</w:t>
      </w:r>
      <w:r w:rsidRPr="00C66186">
        <w:rPr>
          <w:rFonts w:ascii="Palatino Linotype" w:eastAsiaTheme="minorEastAsia" w:hAnsi="Palatino Linotype" w:cstheme="minorBidi"/>
          <w:color w:val="000000" w:themeColor="text1"/>
          <w:lang w:val="es-MX"/>
        </w:rPr>
        <w:t xml:space="preserve"> emite los siguientes: -----------------------------------------------------------------------------------------------</w:t>
      </w:r>
    </w:p>
    <w:p w14:paraId="3B70B1F2" w14:textId="77777777" w:rsidR="00C66186" w:rsidRPr="00C66186" w:rsidRDefault="00C66186" w:rsidP="00C66186">
      <w:pPr>
        <w:spacing w:line="360" w:lineRule="auto"/>
        <w:contextualSpacing/>
        <w:rPr>
          <w:rFonts w:ascii="Palatino Linotype" w:hAnsi="Palatino Linotype" w:cs="Palatino Linotype"/>
          <w:lang w:val="es-ES_tradnl"/>
        </w:rPr>
      </w:pPr>
    </w:p>
    <w:p w14:paraId="4C629F0D" w14:textId="77777777" w:rsidR="004368E8" w:rsidRPr="00C66186" w:rsidRDefault="004368E8" w:rsidP="004368E8">
      <w:pPr>
        <w:keepNext/>
        <w:keepLines/>
        <w:spacing w:line="360" w:lineRule="auto"/>
        <w:jc w:val="center"/>
        <w:outlineLvl w:val="0"/>
        <w:rPr>
          <w:rFonts w:ascii="Palatino Linotype" w:hAnsi="Palatino Linotype"/>
          <w:b/>
          <w:bCs/>
          <w:lang w:val="es-ES_tradnl"/>
        </w:rPr>
      </w:pPr>
      <w:bookmarkStart w:id="33" w:name="_Toc26960598"/>
      <w:bookmarkStart w:id="34" w:name="_Toc82017154"/>
      <w:r w:rsidRPr="00C66186">
        <w:rPr>
          <w:rFonts w:ascii="Palatino Linotype" w:hAnsi="Palatino Linotype"/>
          <w:b/>
          <w:bCs/>
          <w:lang w:val="es-ES_tradnl"/>
        </w:rPr>
        <w:t>R E S O L U T I V O S</w:t>
      </w:r>
      <w:bookmarkEnd w:id="33"/>
      <w:bookmarkEnd w:id="34"/>
    </w:p>
    <w:p w14:paraId="7E7CA5F6" w14:textId="77777777" w:rsidR="004368E8" w:rsidRPr="00C66186" w:rsidRDefault="004368E8" w:rsidP="004368E8">
      <w:pPr>
        <w:spacing w:line="360" w:lineRule="auto"/>
        <w:ind w:left="720"/>
        <w:contextualSpacing/>
        <w:rPr>
          <w:rFonts w:ascii="Palatino Linotype" w:hAnsi="Palatino Linotype" w:cs="Palatino Linotype"/>
          <w:lang w:val="es-ES_tradnl"/>
        </w:rPr>
      </w:pPr>
    </w:p>
    <w:p w14:paraId="0EF7D252" w14:textId="40C9E312" w:rsidR="004368E8" w:rsidRPr="00C66186" w:rsidRDefault="004368E8" w:rsidP="004368E8">
      <w:pPr>
        <w:widowControl w:val="0"/>
        <w:tabs>
          <w:tab w:val="left" w:pos="1701"/>
        </w:tabs>
        <w:autoSpaceDE w:val="0"/>
        <w:autoSpaceDN w:val="0"/>
        <w:adjustRightInd w:val="0"/>
        <w:spacing w:before="120" w:line="360" w:lineRule="auto"/>
        <w:contextualSpacing/>
        <w:jc w:val="both"/>
        <w:rPr>
          <w:rFonts w:ascii="Palatino Linotype" w:hAnsi="Palatino Linotype"/>
          <w:lang w:val="es-ES_tradnl"/>
        </w:rPr>
      </w:pPr>
      <w:bookmarkStart w:id="35" w:name="_Toc450120669"/>
      <w:bookmarkStart w:id="36" w:name="_Toc460947011"/>
      <w:r w:rsidRPr="00C66186">
        <w:rPr>
          <w:rFonts w:ascii="Palatino Linotype" w:hAnsi="Palatino Linotype" w:cs="Arial"/>
          <w:b/>
          <w:lang w:val="es-ES_tradnl"/>
        </w:rPr>
        <w:t xml:space="preserve">PRIMERO. </w:t>
      </w:r>
      <w:r w:rsidRPr="00C66186">
        <w:rPr>
          <w:rFonts w:ascii="Palatino Linotype" w:hAnsi="Palatino Linotype"/>
          <w:lang w:val="es-ES_tradnl"/>
        </w:rPr>
        <w:t xml:space="preserve">Se </w:t>
      </w:r>
      <w:r w:rsidRPr="00C66186">
        <w:rPr>
          <w:rFonts w:ascii="Palatino Linotype" w:hAnsi="Palatino Linotype"/>
          <w:b/>
          <w:lang w:val="es-ES_tradnl"/>
        </w:rPr>
        <w:t>SOBRESEE</w:t>
      </w:r>
      <w:r w:rsidRPr="00C66186">
        <w:rPr>
          <w:rFonts w:ascii="Palatino Linotype" w:hAnsi="Palatino Linotype"/>
          <w:lang w:val="es-ES_tradnl"/>
        </w:rPr>
        <w:t xml:space="preserve"> el recurso de revisión número </w:t>
      </w:r>
      <w:r w:rsidR="00E33561" w:rsidRPr="00E33561">
        <w:rPr>
          <w:rFonts w:ascii="Palatino Linotype" w:hAnsi="Palatino Linotype"/>
          <w:b/>
          <w:bCs/>
        </w:rPr>
        <w:t>01448/INFOEM/IP/RR/2023</w:t>
      </w:r>
      <w:bookmarkStart w:id="37" w:name="_Toc461648590"/>
      <w:bookmarkStart w:id="38" w:name="_Toc461648682"/>
      <w:bookmarkStart w:id="39" w:name="_Toc462228049"/>
      <w:bookmarkStart w:id="40" w:name="_Toc462228129"/>
      <w:bookmarkStart w:id="41" w:name="_Toc496099789"/>
      <w:bookmarkStart w:id="42" w:name="_Toc496100166"/>
      <w:bookmarkStart w:id="43" w:name="_Toc499756977"/>
      <w:bookmarkStart w:id="44" w:name="_Toc499757020"/>
      <w:bookmarkStart w:id="45" w:name="_Toc504377974"/>
      <w:r w:rsidR="00E33561">
        <w:rPr>
          <w:rFonts w:ascii="Palatino Linotype" w:hAnsi="Palatino Linotype"/>
          <w:lang w:val="es-ES_tradnl"/>
        </w:rPr>
        <w:t xml:space="preserve"> </w:t>
      </w:r>
      <w:r w:rsidRPr="00C66186">
        <w:rPr>
          <w:rFonts w:ascii="Palatino Linotype" w:eastAsia="MS Mincho" w:hAnsi="Palatino Linotype"/>
          <w:lang w:val="es-MX"/>
        </w:rPr>
        <w:t xml:space="preserve">conforme al artículo 192 fracción IV, en relación con el artículo 191 fracción VI de la Ley de Transparencia y Acceso a la Información Pública del Estado de México y Municipios, en términos del Considerando </w:t>
      </w:r>
      <w:r w:rsidRPr="00C66186">
        <w:rPr>
          <w:rFonts w:ascii="Palatino Linotype" w:eastAsia="MS Mincho" w:hAnsi="Palatino Linotype"/>
          <w:b/>
          <w:lang w:val="es-MX"/>
        </w:rPr>
        <w:t>TERCERO</w:t>
      </w:r>
      <w:r w:rsidRPr="00C66186">
        <w:rPr>
          <w:rFonts w:ascii="Palatino Linotype" w:eastAsia="MS Mincho" w:hAnsi="Palatino Linotype"/>
          <w:lang w:val="es-MX"/>
        </w:rPr>
        <w:t xml:space="preserve"> de la presente resolución.</w:t>
      </w:r>
    </w:p>
    <w:p w14:paraId="544C4252" w14:textId="77777777" w:rsidR="004368E8" w:rsidRPr="00C66186" w:rsidRDefault="004368E8" w:rsidP="004368E8">
      <w:pPr>
        <w:widowControl w:val="0"/>
        <w:tabs>
          <w:tab w:val="left" w:pos="1701"/>
        </w:tabs>
        <w:autoSpaceDE w:val="0"/>
        <w:autoSpaceDN w:val="0"/>
        <w:adjustRightInd w:val="0"/>
        <w:spacing w:before="120" w:line="360" w:lineRule="auto"/>
        <w:contextualSpacing/>
        <w:jc w:val="both"/>
        <w:rPr>
          <w:rFonts w:ascii="Palatino Linotype" w:eastAsia="MS Mincho" w:hAnsi="Palatino Linotype"/>
          <w:lang w:val="es-MX"/>
        </w:rPr>
      </w:pPr>
    </w:p>
    <w:p w14:paraId="0C9915EA" w14:textId="77777777" w:rsidR="004368E8" w:rsidRPr="00C66186" w:rsidRDefault="004368E8" w:rsidP="004368E8">
      <w:pPr>
        <w:widowControl w:val="0"/>
        <w:tabs>
          <w:tab w:val="left" w:pos="1701"/>
        </w:tabs>
        <w:autoSpaceDE w:val="0"/>
        <w:autoSpaceDN w:val="0"/>
        <w:adjustRightInd w:val="0"/>
        <w:spacing w:before="120" w:line="360" w:lineRule="auto"/>
        <w:contextualSpacing/>
        <w:jc w:val="both"/>
        <w:rPr>
          <w:rFonts w:ascii="Palatino Linotype" w:eastAsia="MS Mincho" w:hAnsi="Palatino Linotype"/>
          <w:color w:val="000000"/>
          <w:shd w:val="clear" w:color="auto" w:fill="FFFFFF"/>
          <w:lang w:val="es-ES_tradnl"/>
        </w:rPr>
      </w:pPr>
      <w:r w:rsidRPr="00C66186">
        <w:rPr>
          <w:rFonts w:ascii="Palatino Linotype" w:hAnsi="Palatino Linotype" w:cs="Arial"/>
          <w:b/>
          <w:lang w:val="es-ES_tradnl"/>
        </w:rPr>
        <w:t>SEGUNDO.</w:t>
      </w:r>
      <w:bookmarkEnd w:id="37"/>
      <w:bookmarkEnd w:id="38"/>
      <w:bookmarkEnd w:id="39"/>
      <w:bookmarkEnd w:id="40"/>
      <w:bookmarkEnd w:id="41"/>
      <w:bookmarkEnd w:id="42"/>
      <w:bookmarkEnd w:id="43"/>
      <w:bookmarkEnd w:id="44"/>
      <w:bookmarkEnd w:id="45"/>
      <w:r w:rsidRPr="00C66186">
        <w:rPr>
          <w:rFonts w:ascii="Palatino Linotype" w:hAnsi="Palatino Linotype"/>
          <w:b/>
          <w:color w:val="000000"/>
          <w:lang w:val="es-ES_tradnl"/>
        </w:rPr>
        <w:t xml:space="preserve"> </w:t>
      </w:r>
      <w:r w:rsidRPr="00C66186">
        <w:rPr>
          <w:rFonts w:ascii="Palatino Linotype" w:eastAsia="MS Mincho" w:hAnsi="Palatino Linotype" w:cs="Arial"/>
          <w:b/>
          <w:bCs/>
          <w:color w:val="000000"/>
          <w:shd w:val="clear" w:color="auto" w:fill="FFFFFF"/>
          <w:lang w:val="es-ES_tradnl"/>
        </w:rPr>
        <w:t xml:space="preserve">Remítase </w:t>
      </w:r>
      <w:r w:rsidRPr="00C66186">
        <w:rPr>
          <w:rFonts w:ascii="Palatino Linotype" w:eastAsia="MS Mincho" w:hAnsi="Palatino Linotype"/>
          <w:color w:val="000000"/>
          <w:shd w:val="clear" w:color="auto" w:fill="FFFFFF"/>
          <w:lang w:val="es-ES_tradnl"/>
        </w:rPr>
        <w:t>al Titular de la Unidad de Transparencia del</w:t>
      </w:r>
      <w:r w:rsidRPr="00C66186">
        <w:rPr>
          <w:rFonts w:ascii="Palatino Linotype" w:eastAsia="MS Mincho" w:hAnsi="Palatino Linotype"/>
          <w:b/>
          <w:bCs/>
          <w:color w:val="000000"/>
          <w:shd w:val="clear" w:color="auto" w:fill="FFFFFF"/>
          <w:lang w:val="es-ES_tradnl"/>
        </w:rPr>
        <w:t xml:space="preserve"> SUJETO OBLIGADO</w:t>
      </w:r>
      <w:r w:rsidRPr="00C66186">
        <w:rPr>
          <w:rFonts w:ascii="Palatino Linotype" w:eastAsia="MS Mincho" w:hAnsi="Palatino Linotype"/>
          <w:color w:val="000000"/>
          <w:shd w:val="clear" w:color="auto" w:fill="FFFFFF"/>
          <w:lang w:val="es-ES_tradnl"/>
        </w:rPr>
        <w:t xml:space="preserve"> vía Sistema de Acceso a Información Mexiquense, SAIMEX, la presente resolución. </w:t>
      </w:r>
    </w:p>
    <w:p w14:paraId="67EA687B" w14:textId="77777777" w:rsidR="004368E8" w:rsidRPr="00C66186" w:rsidRDefault="004368E8" w:rsidP="004368E8">
      <w:pPr>
        <w:widowControl w:val="0"/>
        <w:tabs>
          <w:tab w:val="left" w:pos="1701"/>
        </w:tabs>
        <w:autoSpaceDE w:val="0"/>
        <w:autoSpaceDN w:val="0"/>
        <w:adjustRightInd w:val="0"/>
        <w:spacing w:before="120" w:line="360" w:lineRule="auto"/>
        <w:contextualSpacing/>
        <w:jc w:val="both"/>
        <w:rPr>
          <w:rFonts w:ascii="Palatino Linotype" w:hAnsi="Palatino Linotype"/>
          <w:b/>
          <w:color w:val="000000"/>
          <w:lang w:val="es-ES_tradnl"/>
        </w:rPr>
      </w:pPr>
    </w:p>
    <w:p w14:paraId="26B7128C" w14:textId="447A66E9" w:rsidR="004368E8" w:rsidRPr="00C66186" w:rsidRDefault="004368E8" w:rsidP="004368E8">
      <w:pPr>
        <w:spacing w:line="360" w:lineRule="auto"/>
        <w:jc w:val="both"/>
        <w:rPr>
          <w:rFonts w:ascii="Palatino Linotype" w:hAnsi="Palatino Linotype"/>
          <w:lang w:val="es-ES_tradnl"/>
        </w:rPr>
      </w:pPr>
      <w:bookmarkStart w:id="46" w:name="_Toc460947013"/>
      <w:bookmarkEnd w:id="35"/>
      <w:bookmarkEnd w:id="36"/>
      <w:r w:rsidRPr="00C66186">
        <w:rPr>
          <w:rFonts w:ascii="Palatino Linotype" w:hAnsi="Palatino Linotype" w:cs="Arial"/>
          <w:b/>
          <w:lang w:val="es-ES_tradnl"/>
        </w:rPr>
        <w:t xml:space="preserve">TERCERO. </w:t>
      </w:r>
      <w:r w:rsidR="00E33561" w:rsidRPr="00E33561">
        <w:rPr>
          <w:rFonts w:ascii="Palatino Linotype" w:hAnsi="Palatino Linotype"/>
          <w:b/>
          <w:bCs/>
          <w:lang w:val="es-MX"/>
        </w:rPr>
        <w:t xml:space="preserve">Notifíquese </w:t>
      </w:r>
      <w:r w:rsidR="00E33561" w:rsidRPr="00E33561">
        <w:rPr>
          <w:rFonts w:ascii="Palatino Linotype" w:hAnsi="Palatino Linotype"/>
          <w:bCs/>
          <w:lang w:val="es-MX"/>
        </w:rPr>
        <w:t>a la</w:t>
      </w:r>
      <w:r w:rsidR="00E33561">
        <w:rPr>
          <w:rFonts w:ascii="Palatino Linotype" w:hAnsi="Palatino Linotype"/>
          <w:bCs/>
          <w:lang w:val="es-MX"/>
        </w:rPr>
        <w:t xml:space="preserve"> parte</w:t>
      </w:r>
      <w:r w:rsidR="00E33561" w:rsidRPr="00E33561">
        <w:rPr>
          <w:rFonts w:ascii="Palatino Linotype" w:hAnsi="Palatino Linotype"/>
          <w:bCs/>
          <w:lang w:val="es-MX"/>
        </w:rPr>
        <w:t xml:space="preserve"> </w:t>
      </w:r>
      <w:r w:rsidR="00E33561" w:rsidRPr="00E33561">
        <w:rPr>
          <w:rFonts w:ascii="Palatino Linotype" w:hAnsi="Palatino Linotype"/>
          <w:b/>
          <w:bCs/>
          <w:lang w:val="es-MX"/>
        </w:rPr>
        <w:t>RECURRENTE</w:t>
      </w:r>
      <w:r w:rsidR="00E33561" w:rsidRPr="00E33561">
        <w:rPr>
          <w:rFonts w:ascii="Palatino Linotype" w:hAnsi="Palatino Linotype"/>
          <w:bCs/>
          <w:lang w:val="es-MX"/>
        </w:rPr>
        <w:t xml:space="preserve"> la presente resolución vía Sistema de Acceso a la Información Mexiquense (SAIMEX).</w:t>
      </w:r>
    </w:p>
    <w:p w14:paraId="584F52DC" w14:textId="77777777" w:rsidR="004368E8" w:rsidRPr="00C66186" w:rsidRDefault="004368E8" w:rsidP="004368E8">
      <w:pPr>
        <w:spacing w:line="360" w:lineRule="auto"/>
        <w:jc w:val="both"/>
        <w:rPr>
          <w:rFonts w:ascii="Palatino Linotype" w:hAnsi="Palatino Linotype"/>
          <w:lang w:val="es-ES_tradnl"/>
        </w:rPr>
      </w:pPr>
    </w:p>
    <w:bookmarkEnd w:id="46"/>
    <w:p w14:paraId="762A9F21" w14:textId="77777777" w:rsidR="004368E8" w:rsidRPr="00C66186" w:rsidRDefault="004368E8" w:rsidP="004368E8">
      <w:pPr>
        <w:spacing w:line="360" w:lineRule="auto"/>
        <w:jc w:val="both"/>
        <w:rPr>
          <w:rFonts w:ascii="Palatino Linotype" w:eastAsia="MS Mincho" w:hAnsi="Palatino Linotype"/>
        </w:rPr>
      </w:pPr>
      <w:r w:rsidRPr="00C66186">
        <w:rPr>
          <w:rFonts w:ascii="Palatino Linotype" w:eastAsia="MS Mincho" w:hAnsi="Palatino Linotype"/>
          <w:b/>
          <w:lang w:val="es-ES_tradnl"/>
        </w:rPr>
        <w:t>CUARTO.</w:t>
      </w:r>
      <w:r w:rsidRPr="00C66186">
        <w:rPr>
          <w:rFonts w:ascii="Palatino Linotype" w:eastAsia="MS Mincho" w:hAnsi="Palatino Linotype"/>
          <w:lang w:val="es-ES_tradnl"/>
        </w:rPr>
        <w:t xml:space="preserve"> </w:t>
      </w:r>
      <w:r w:rsidRPr="00C66186">
        <w:rPr>
          <w:rFonts w:ascii="Palatino Linotype" w:eastAsia="MS Mincho" w:hAnsi="Palatino Linotype"/>
        </w:rPr>
        <w:t xml:space="preserve">Se hace del conocimiento de </w:t>
      </w:r>
      <w:r w:rsidRPr="00C66186">
        <w:rPr>
          <w:rFonts w:ascii="Palatino Linotype" w:eastAsia="Calibri" w:hAnsi="Palatino Linotype" w:cs="Tahoma"/>
          <w:b/>
          <w:lang w:val="es-ES_tradnl" w:eastAsia="en-US"/>
        </w:rPr>
        <w:t>RECURRENTE</w:t>
      </w:r>
      <w:r w:rsidRPr="00C66186">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66186">
        <w:rPr>
          <w:rFonts w:ascii="Palatino Linotype" w:eastAsia="MS Mincho" w:hAnsi="Palatino Linotype"/>
          <w:bCs/>
        </w:rPr>
        <w:t>vía juicio de amparo</w:t>
      </w:r>
      <w:r w:rsidRPr="00C66186">
        <w:rPr>
          <w:rFonts w:ascii="Palatino Linotype" w:eastAsia="MS Mincho" w:hAnsi="Palatino Linotype"/>
        </w:rPr>
        <w:t> en los términos de las leyes aplicables.</w:t>
      </w:r>
      <w:bookmarkStart w:id="47" w:name="_Toc466371865"/>
      <w:bookmarkStart w:id="48" w:name="_Toc466377653"/>
    </w:p>
    <w:p w14:paraId="0A378D22" w14:textId="044CF293" w:rsidR="00B677D8" w:rsidRPr="00B677D8" w:rsidRDefault="00B677D8" w:rsidP="00B677D8">
      <w:pPr>
        <w:spacing w:before="240" w:after="240" w:line="360" w:lineRule="auto"/>
        <w:ind w:firstLine="1"/>
        <w:jc w:val="both"/>
        <w:rPr>
          <w:rFonts w:ascii="Palatino Linotype" w:hAnsi="Palatino Linotype"/>
          <w:smallCaps/>
        </w:rPr>
      </w:pPr>
      <w:bookmarkStart w:id="49" w:name="_Hlk129792997"/>
      <w:bookmarkEnd w:id="47"/>
      <w:bookmarkEnd w:id="48"/>
      <w:r w:rsidRPr="00B677D8">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414DCD">
        <w:rPr>
          <w:rStyle w:val="Referenciasutil"/>
          <w:rFonts w:ascii="Palatino Linotype" w:hAnsi="Palatino Linotype"/>
          <w:color w:val="auto"/>
        </w:rPr>
        <w:t xml:space="preserve"> EMITIENDO OPINIÓN PARTICULAR</w:t>
      </w:r>
      <w:r w:rsidRPr="00B677D8">
        <w:rPr>
          <w:rStyle w:val="Referenciasutil"/>
          <w:rFonts w:ascii="Palatino Linotype" w:hAnsi="Palatino Linotype"/>
          <w:color w:val="auto"/>
        </w:rPr>
        <w:t xml:space="preserve">, EN LA DÉCIMA OCTAVA  SESIÓN ORDINARIA CELEBRADA EL DIECISIETE (17) DE MAYO DE DOS MIL VEINTITRÉS, ANTE EL SECRETARIO TÉCNICO DEL PLENO ALEXIS TAPIA RAMÍREZ. </w:t>
      </w:r>
      <w:bookmarkEnd w:id="49"/>
    </w:p>
    <w:p w14:paraId="7A256D21" w14:textId="77777777" w:rsidR="004368E8" w:rsidRPr="00C66186" w:rsidRDefault="004368E8" w:rsidP="004368E8">
      <w:pPr>
        <w:spacing w:line="360" w:lineRule="auto"/>
        <w:ind w:firstLine="1"/>
        <w:jc w:val="both"/>
        <w:rPr>
          <w:rFonts w:ascii="Palatino Linotype" w:hAnsi="Palatino Linotype"/>
          <w:lang w:val="es-ES_tradnl"/>
        </w:rPr>
      </w:pPr>
    </w:p>
    <w:p w14:paraId="037D684A" w14:textId="77777777" w:rsidR="002F3CC1" w:rsidRPr="00C66186" w:rsidRDefault="002F3CC1" w:rsidP="00C373ED">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C66186"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07E63" w14:textId="77777777" w:rsidR="00997AD6" w:rsidRDefault="00997AD6" w:rsidP="00C80F8C">
      <w:r>
        <w:separator/>
      </w:r>
    </w:p>
  </w:endnote>
  <w:endnote w:type="continuationSeparator" w:id="0">
    <w:p w14:paraId="2F58B0FE" w14:textId="77777777" w:rsidR="00997AD6" w:rsidRDefault="00997A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FD7847" w:rsidRPr="00817AAB" w:rsidRDefault="00FD784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F4D67">
      <w:rPr>
        <w:rFonts w:ascii="Palatino Linotype" w:hAnsi="Palatino Linotype" w:cs="Arial"/>
        <w:b/>
        <w:bCs/>
        <w:noProof/>
      </w:rPr>
      <w:t>26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F4D67">
      <w:rPr>
        <w:rFonts w:ascii="Palatino Linotype" w:hAnsi="Palatino Linotype" w:cs="Arial"/>
        <w:b/>
        <w:bCs/>
        <w:noProof/>
      </w:rPr>
      <w:t>26</w:t>
    </w:r>
    <w:r w:rsidRPr="00817AAB">
      <w:rPr>
        <w:rFonts w:ascii="Palatino Linotype" w:hAnsi="Palatino Linotype" w:cs="Arial"/>
        <w:b/>
        <w:bCs/>
      </w:rPr>
      <w:fldChar w:fldCharType="end"/>
    </w:r>
  </w:p>
  <w:p w14:paraId="1192A578" w14:textId="77777777" w:rsidR="00FD7847" w:rsidRDefault="00FD7847" w:rsidP="00935A0D">
    <w:pPr>
      <w:pStyle w:val="Piedepgina"/>
      <w:rPr>
        <w:rFonts w:ascii="Times New Roman" w:hAnsi="Times New Roman" w:cs="Times New Roman"/>
      </w:rPr>
    </w:pPr>
  </w:p>
  <w:p w14:paraId="14A770F8" w14:textId="77777777" w:rsidR="00FD7847" w:rsidRDefault="00FD784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FD7847" w:rsidRDefault="00FD784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F4D6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F4D67">
      <w:rPr>
        <w:rFonts w:ascii="Arial" w:hAnsi="Arial" w:cs="Arial"/>
        <w:b/>
        <w:bCs/>
        <w:noProof/>
        <w:sz w:val="20"/>
        <w:szCs w:val="20"/>
      </w:rPr>
      <w:t>26</w:t>
    </w:r>
    <w:r>
      <w:rPr>
        <w:rFonts w:ascii="Arial" w:hAnsi="Arial" w:cs="Arial"/>
        <w:b/>
        <w:bCs/>
        <w:sz w:val="20"/>
        <w:szCs w:val="20"/>
      </w:rPr>
      <w:fldChar w:fldCharType="end"/>
    </w:r>
  </w:p>
  <w:p w14:paraId="5D98ABD5" w14:textId="77777777" w:rsidR="00FD7847" w:rsidRDefault="00FD78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A86D7" w14:textId="77777777" w:rsidR="00997AD6" w:rsidRDefault="00997AD6" w:rsidP="00C80F8C">
      <w:r>
        <w:separator/>
      </w:r>
    </w:p>
  </w:footnote>
  <w:footnote w:type="continuationSeparator" w:id="0">
    <w:p w14:paraId="2375AC6E" w14:textId="77777777" w:rsidR="00997AD6" w:rsidRDefault="00997AD6" w:rsidP="00C80F8C">
      <w:r>
        <w:continuationSeparator/>
      </w:r>
    </w:p>
  </w:footnote>
  <w:footnote w:id="1">
    <w:p w14:paraId="0158CA1C" w14:textId="77777777" w:rsidR="00FD13D4" w:rsidRDefault="00FD13D4"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64E330B" w14:textId="77777777" w:rsidR="00FD13D4" w:rsidRDefault="00FD13D4"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109008B" w14:textId="77777777" w:rsidR="00FD13D4" w:rsidRDefault="00FD13D4"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166A7BF" w14:textId="77777777" w:rsidR="00FD13D4" w:rsidRDefault="00FD13D4"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FD7847" w14:paraId="6B4E3B81" w14:textId="77777777" w:rsidTr="00B4299A">
      <w:tc>
        <w:tcPr>
          <w:tcW w:w="2701" w:type="dxa"/>
          <w:vAlign w:val="center"/>
          <w:hideMark/>
        </w:tcPr>
        <w:p w14:paraId="0ABBC6C0" w14:textId="1226DAAF" w:rsidR="00FD7847" w:rsidRPr="00B4299A" w:rsidRDefault="00FD784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6B122E2" w:rsidR="00FD7847" w:rsidRPr="00B4299A" w:rsidRDefault="00C95D10" w:rsidP="00A87F1B">
          <w:pPr>
            <w:rPr>
              <w:rFonts w:ascii="Palatino Linotype" w:hAnsi="Palatino Linotype"/>
              <w:b/>
              <w:szCs w:val="22"/>
              <w:lang w:val="es-ES_tradnl"/>
            </w:rPr>
          </w:pPr>
          <w:r w:rsidRPr="00C95D10">
            <w:rPr>
              <w:rFonts w:ascii="Palatino Linotype" w:hAnsi="Palatino Linotype"/>
              <w:b/>
              <w:bCs/>
              <w:szCs w:val="22"/>
            </w:rPr>
            <w:t>01448/INFOEM/IP/RR/2023</w:t>
          </w:r>
        </w:p>
      </w:tc>
    </w:tr>
    <w:tr w:rsidR="00FD7847" w14:paraId="31CB780F" w14:textId="77777777" w:rsidTr="00B4299A">
      <w:trPr>
        <w:trHeight w:val="228"/>
      </w:trPr>
      <w:tc>
        <w:tcPr>
          <w:tcW w:w="2701" w:type="dxa"/>
          <w:vAlign w:val="center"/>
          <w:hideMark/>
        </w:tcPr>
        <w:p w14:paraId="4F49CB4A" w14:textId="6966D32E" w:rsidR="00FD7847" w:rsidRPr="00B4299A" w:rsidRDefault="00FD784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A225D6F" w:rsidR="00FD7847" w:rsidRPr="00B4299A" w:rsidRDefault="00C95D10" w:rsidP="009E5D5B">
          <w:pPr>
            <w:jc w:val="both"/>
            <w:rPr>
              <w:rFonts w:ascii="Palatino Linotype" w:hAnsi="Palatino Linotype"/>
              <w:b/>
              <w:szCs w:val="22"/>
              <w:lang w:val="es-ES_tradnl"/>
            </w:rPr>
          </w:pPr>
          <w:r w:rsidRPr="00C95D10">
            <w:rPr>
              <w:rFonts w:ascii="Palatino Linotype" w:hAnsi="Palatino Linotype"/>
              <w:b/>
              <w:szCs w:val="22"/>
              <w:lang w:val="es-ES_tradnl"/>
            </w:rPr>
            <w:t>Secretaría de Finanzas</w:t>
          </w:r>
        </w:p>
      </w:tc>
    </w:tr>
    <w:tr w:rsidR="00FD7847" w14:paraId="69050F56" w14:textId="77777777" w:rsidTr="00B4299A">
      <w:tc>
        <w:tcPr>
          <w:tcW w:w="2701" w:type="dxa"/>
          <w:vAlign w:val="center"/>
          <w:hideMark/>
        </w:tcPr>
        <w:p w14:paraId="65C9B735" w14:textId="75C78F81" w:rsidR="00FD7847" w:rsidRPr="00B4299A" w:rsidRDefault="00FD784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FD7847" w:rsidRPr="00B4299A" w:rsidRDefault="00FD784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FD7847" w:rsidRDefault="00FD784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D7847" w:rsidRDefault="00FD784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D7847" w:rsidRDefault="00FD784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FD7847" w14:paraId="477E149B" w14:textId="77777777" w:rsidTr="00CB57FD">
      <w:trPr>
        <w:trHeight w:val="277"/>
      </w:trPr>
      <w:tc>
        <w:tcPr>
          <w:tcW w:w="2693" w:type="dxa"/>
          <w:vAlign w:val="center"/>
          <w:hideMark/>
        </w:tcPr>
        <w:p w14:paraId="5C0586E4" w14:textId="77777777"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3D5B53F" w:rsidR="00FD7847" w:rsidRPr="0072522F" w:rsidRDefault="00C95D10" w:rsidP="00B05DE3">
          <w:pPr>
            <w:rPr>
              <w:rFonts w:ascii="Palatino Linotype" w:hAnsi="Palatino Linotype"/>
              <w:b/>
              <w:bCs/>
              <w:szCs w:val="22"/>
            </w:rPr>
          </w:pPr>
          <w:r w:rsidRPr="00C95D10">
            <w:rPr>
              <w:rFonts w:ascii="Palatino Linotype" w:hAnsi="Palatino Linotype"/>
              <w:b/>
              <w:bCs/>
              <w:szCs w:val="22"/>
            </w:rPr>
            <w:t>01448/INFOEM/IP/RR/2023</w:t>
          </w:r>
        </w:p>
      </w:tc>
    </w:tr>
    <w:tr w:rsidR="00FD7847" w14:paraId="5B5BE21C" w14:textId="77777777" w:rsidTr="00CB57FD">
      <w:tc>
        <w:tcPr>
          <w:tcW w:w="2693" w:type="dxa"/>
          <w:vAlign w:val="center"/>
          <w:hideMark/>
        </w:tcPr>
        <w:p w14:paraId="4AE96902" w14:textId="4E063913"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D869872" w:rsidR="00B05DE3" w:rsidRPr="009B3353" w:rsidRDefault="00B05DE3" w:rsidP="00B05DE3">
          <w:pPr>
            <w:rPr>
              <w:rFonts w:ascii="Palatino Linotype" w:hAnsi="Palatino Linotype"/>
              <w:b/>
              <w:szCs w:val="22"/>
              <w:lang w:val="es-ES_tradnl"/>
            </w:rPr>
          </w:pPr>
        </w:p>
      </w:tc>
    </w:tr>
    <w:tr w:rsidR="00FD7847" w14:paraId="22601A11" w14:textId="77777777" w:rsidTr="008C5548">
      <w:trPr>
        <w:trHeight w:val="252"/>
      </w:trPr>
      <w:tc>
        <w:tcPr>
          <w:tcW w:w="2693" w:type="dxa"/>
          <w:vAlign w:val="center"/>
          <w:hideMark/>
        </w:tcPr>
        <w:p w14:paraId="6EFE221D" w14:textId="49C5F800"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EC15B5D" w:rsidR="00FD7847" w:rsidRPr="009B3353" w:rsidRDefault="00C95D10" w:rsidP="003D473A">
          <w:pPr>
            <w:jc w:val="both"/>
            <w:rPr>
              <w:rFonts w:ascii="Palatino Linotype" w:eastAsia="Calibri" w:hAnsi="Palatino Linotype"/>
              <w:b/>
              <w:szCs w:val="22"/>
              <w:lang w:val="es-MX" w:eastAsia="en-US"/>
            </w:rPr>
          </w:pPr>
          <w:r w:rsidRPr="00C95D10">
            <w:rPr>
              <w:rFonts w:ascii="Palatino Linotype" w:eastAsia="Calibri" w:hAnsi="Palatino Linotype"/>
              <w:b/>
              <w:szCs w:val="22"/>
              <w:lang w:val="es-MX" w:eastAsia="en-US"/>
            </w:rPr>
            <w:t>Secretaría de Finanzas</w:t>
          </w:r>
        </w:p>
      </w:tc>
    </w:tr>
    <w:tr w:rsidR="00FD7847" w14:paraId="2D6C630E" w14:textId="77777777" w:rsidTr="00CB57FD">
      <w:tc>
        <w:tcPr>
          <w:tcW w:w="2693" w:type="dxa"/>
          <w:vAlign w:val="center"/>
          <w:hideMark/>
        </w:tcPr>
        <w:p w14:paraId="5BD4C6DB" w14:textId="7CF21504" w:rsidR="00FD7847" w:rsidRPr="009B3353" w:rsidRDefault="00FD784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FD7847" w:rsidRPr="009B3353" w:rsidRDefault="00FD784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FD7847" w:rsidRDefault="00FD784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98439B"/>
    <w:multiLevelType w:val="hybridMultilevel"/>
    <w:tmpl w:val="BE80A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8A1B2B"/>
    <w:multiLevelType w:val="hybridMultilevel"/>
    <w:tmpl w:val="7098E20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3">
    <w:nsid w:val="743204EE"/>
    <w:multiLevelType w:val="hybridMultilevel"/>
    <w:tmpl w:val="E476079C"/>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13"/>
  </w:num>
  <w:num w:numId="3">
    <w:abstractNumId w:val="4"/>
  </w:num>
  <w:num w:numId="4">
    <w:abstractNumId w:val="2"/>
  </w:num>
  <w:num w:numId="5">
    <w:abstractNumId w:val="3"/>
  </w:num>
  <w:num w:numId="6">
    <w:abstractNumId w:val="4"/>
  </w:num>
  <w:num w:numId="7">
    <w:abstractNumId w:val="10"/>
  </w:num>
  <w:num w:numId="8">
    <w:abstractNumId w:val="9"/>
  </w:num>
  <w:num w:numId="9">
    <w:abstractNumId w:val="14"/>
  </w:num>
  <w:num w:numId="10">
    <w:abstractNumId w:val="6"/>
  </w:num>
  <w:num w:numId="11">
    <w:abstractNumId w:val="0"/>
  </w:num>
  <w:num w:numId="12">
    <w:abstractNumId w:val="7"/>
  </w:num>
  <w:num w:numId="13">
    <w:abstractNumId w:val="15"/>
  </w:num>
  <w:num w:numId="14">
    <w:abstractNumId w:val="5"/>
  </w:num>
  <w:num w:numId="15">
    <w:abstractNumId w:val="8"/>
  </w:num>
  <w:num w:numId="16">
    <w:abstractNumId w:val="11"/>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CF7"/>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E4D"/>
    <w:rsid w:val="000E1259"/>
    <w:rsid w:val="000E1C85"/>
    <w:rsid w:val="000E1CA1"/>
    <w:rsid w:val="000E2E2A"/>
    <w:rsid w:val="000E31A8"/>
    <w:rsid w:val="000E44E3"/>
    <w:rsid w:val="000E462D"/>
    <w:rsid w:val="000E48C2"/>
    <w:rsid w:val="000E5560"/>
    <w:rsid w:val="000E59A1"/>
    <w:rsid w:val="000E5D65"/>
    <w:rsid w:val="000E693E"/>
    <w:rsid w:val="000F0443"/>
    <w:rsid w:val="000F1BBF"/>
    <w:rsid w:val="000F219C"/>
    <w:rsid w:val="000F2EB3"/>
    <w:rsid w:val="000F4598"/>
    <w:rsid w:val="000F4D67"/>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537B"/>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4748"/>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10C9"/>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7F65"/>
    <w:rsid w:val="00410650"/>
    <w:rsid w:val="004106C1"/>
    <w:rsid w:val="004126F7"/>
    <w:rsid w:val="00413FC2"/>
    <w:rsid w:val="004140B9"/>
    <w:rsid w:val="00414AE6"/>
    <w:rsid w:val="00414DCD"/>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E8"/>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05A"/>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273C4"/>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89"/>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3DE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946"/>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3F9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526E"/>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682"/>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273"/>
    <w:rsid w:val="008D2330"/>
    <w:rsid w:val="008D23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07354"/>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33B5"/>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7AD6"/>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815"/>
    <w:rsid w:val="00A53CB1"/>
    <w:rsid w:val="00A5404F"/>
    <w:rsid w:val="00A55D42"/>
    <w:rsid w:val="00A55E21"/>
    <w:rsid w:val="00A57AFC"/>
    <w:rsid w:val="00A6004F"/>
    <w:rsid w:val="00A6220A"/>
    <w:rsid w:val="00A64A07"/>
    <w:rsid w:val="00A650DC"/>
    <w:rsid w:val="00A654F7"/>
    <w:rsid w:val="00A66299"/>
    <w:rsid w:val="00A67754"/>
    <w:rsid w:val="00A67E77"/>
    <w:rsid w:val="00A67ED9"/>
    <w:rsid w:val="00A7115B"/>
    <w:rsid w:val="00A717E4"/>
    <w:rsid w:val="00A744CF"/>
    <w:rsid w:val="00A757D4"/>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16"/>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6812"/>
    <w:rsid w:val="00B677D8"/>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66A6"/>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186"/>
    <w:rsid w:val="00C66549"/>
    <w:rsid w:val="00C66C9E"/>
    <w:rsid w:val="00C66CFB"/>
    <w:rsid w:val="00C673D1"/>
    <w:rsid w:val="00C71059"/>
    <w:rsid w:val="00C710B1"/>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3850"/>
    <w:rsid w:val="00C9414E"/>
    <w:rsid w:val="00C94EA7"/>
    <w:rsid w:val="00C95D10"/>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50BC"/>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3ACC"/>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8A"/>
    <w:rsid w:val="00D83CE5"/>
    <w:rsid w:val="00D8465C"/>
    <w:rsid w:val="00D849AA"/>
    <w:rsid w:val="00D84EA6"/>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249"/>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149E"/>
    <w:rsid w:val="00E31C69"/>
    <w:rsid w:val="00E31DB5"/>
    <w:rsid w:val="00E31FC0"/>
    <w:rsid w:val="00E324A7"/>
    <w:rsid w:val="00E32EF4"/>
    <w:rsid w:val="00E332BA"/>
    <w:rsid w:val="00E33369"/>
    <w:rsid w:val="00E33561"/>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635"/>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32A"/>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2581"/>
    <w:rsid w:val="00F4347B"/>
    <w:rsid w:val="00F43FEC"/>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2E09"/>
    <w:rsid w:val="00F63C1F"/>
    <w:rsid w:val="00F6662F"/>
    <w:rsid w:val="00F70118"/>
    <w:rsid w:val="00F702B4"/>
    <w:rsid w:val="00F706F1"/>
    <w:rsid w:val="00F70E4A"/>
    <w:rsid w:val="00F743AF"/>
    <w:rsid w:val="00F75810"/>
    <w:rsid w:val="00F763E4"/>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character" w:styleId="Referenciasutil">
    <w:name w:val="Subtle Reference"/>
    <w:basedOn w:val="Fuentedeprrafopredeter"/>
    <w:uiPriority w:val="31"/>
    <w:qFormat/>
    <w:rsid w:val="00B677D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752203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859735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303365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438229">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852637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52167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596491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773654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8680428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690254">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201351">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3353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81039.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749971.page" TargetMode="External"/><Relationship Id="rId4" Type="http://schemas.openxmlformats.org/officeDocument/2006/relationships/settings" Target="settings.xml"/><Relationship Id="rId9" Type="http://schemas.openxmlformats.org/officeDocument/2006/relationships/hyperlink" Target="https://saimex.org.mx/saimex/solicitud/downloadAttach/173385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59CF-678F-4DB6-8A37-2051EE1F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5593</Words>
  <Characters>30762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2021-11-25T20:29:00Z</cp:lastPrinted>
  <dcterms:created xsi:type="dcterms:W3CDTF">2023-05-17T17:37:00Z</dcterms:created>
  <dcterms:modified xsi:type="dcterms:W3CDTF">2023-07-04T21:22:00Z</dcterms:modified>
</cp:coreProperties>
</file>