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055E" w14:textId="77777777" w:rsidR="00214B11" w:rsidRDefault="00214B11" w:rsidP="003B510C">
      <w:pPr>
        <w:tabs>
          <w:tab w:val="left" w:pos="8931"/>
        </w:tabs>
        <w:spacing w:after="0" w:line="360" w:lineRule="auto"/>
        <w:rPr>
          <w:rFonts w:cs="Tahoma"/>
          <w:bCs/>
        </w:rPr>
      </w:pPr>
    </w:p>
    <w:p w14:paraId="63E834DF" w14:textId="793113C2" w:rsidR="00EC77D9" w:rsidRPr="00845EA4" w:rsidRDefault="00EC77D9" w:rsidP="003B510C">
      <w:pPr>
        <w:tabs>
          <w:tab w:val="left" w:pos="8931"/>
        </w:tabs>
        <w:spacing w:after="0" w:line="360" w:lineRule="auto"/>
        <w:rPr>
          <w:rFonts w:eastAsia="Calibri" w:cs="Tahoma"/>
          <w:lang w:val="es-ES"/>
        </w:rPr>
      </w:pPr>
      <w:r w:rsidRPr="00845EA4">
        <w:rPr>
          <w:rFonts w:cs="Tahoma"/>
          <w:bCs/>
        </w:rPr>
        <w:t xml:space="preserve">Resolución del Pleno del Instituto de Transparencia, Acceso a la Información Pública y Protección de Datos Personales del Estado de México y Municipios, con domicilio en Metepec, </w:t>
      </w:r>
      <w:r w:rsidRPr="00845EA4">
        <w:rPr>
          <w:rFonts w:eastAsia="Calibri" w:cs="Tahoma"/>
          <w:lang w:val="es-ES"/>
        </w:rPr>
        <w:t xml:space="preserve">Estado de México, de fecha </w:t>
      </w:r>
      <w:r w:rsidR="002B405D" w:rsidRPr="00845EA4">
        <w:rPr>
          <w:rFonts w:eastAsia="Calibri" w:cs="Tahoma"/>
          <w:lang w:val="es-ES"/>
        </w:rPr>
        <w:t>veinticuatro</w:t>
      </w:r>
      <w:r w:rsidR="00A2050F" w:rsidRPr="00845EA4">
        <w:rPr>
          <w:rFonts w:eastAsia="Calibri" w:cs="Tahoma"/>
          <w:lang w:val="es-ES"/>
        </w:rPr>
        <w:t xml:space="preserve"> de </w:t>
      </w:r>
      <w:r w:rsidR="00B1733D" w:rsidRPr="00845EA4">
        <w:rPr>
          <w:rFonts w:eastAsia="Calibri" w:cs="Tahoma"/>
          <w:lang w:val="es-ES"/>
        </w:rPr>
        <w:t>mayo</w:t>
      </w:r>
      <w:r w:rsidRPr="00845EA4">
        <w:rPr>
          <w:rFonts w:eastAsia="Calibri" w:cs="Tahoma"/>
          <w:lang w:val="es-ES"/>
        </w:rPr>
        <w:t xml:space="preserve"> de dos mil veint</w:t>
      </w:r>
      <w:r w:rsidR="001E478B" w:rsidRPr="00845EA4">
        <w:rPr>
          <w:rFonts w:eastAsia="Calibri" w:cs="Tahoma"/>
          <w:lang w:val="es-ES"/>
        </w:rPr>
        <w:t>itrés</w:t>
      </w:r>
      <w:r w:rsidRPr="00845EA4">
        <w:rPr>
          <w:rFonts w:eastAsia="Calibri" w:cs="Tahoma"/>
          <w:lang w:val="es-ES"/>
        </w:rPr>
        <w:t xml:space="preserve">. </w:t>
      </w:r>
    </w:p>
    <w:p w14:paraId="5E4128C6" w14:textId="77777777" w:rsidR="00EC77D9" w:rsidRPr="00845EA4" w:rsidRDefault="00EC77D9" w:rsidP="003B510C">
      <w:pPr>
        <w:spacing w:after="0" w:line="360" w:lineRule="auto"/>
        <w:rPr>
          <w:rFonts w:eastAsia="Calibri" w:cs="Tahoma"/>
          <w:b/>
          <w:bCs/>
          <w:lang w:val="es-ES"/>
        </w:rPr>
      </w:pPr>
    </w:p>
    <w:p w14:paraId="04C62500" w14:textId="25ECBCF7" w:rsidR="00EC77D9" w:rsidRPr="00845EA4" w:rsidRDefault="00EC77D9" w:rsidP="003B510C">
      <w:pPr>
        <w:spacing w:after="0" w:line="360" w:lineRule="auto"/>
        <w:rPr>
          <w:rFonts w:cs="Tahoma"/>
          <w:color w:val="0D0D0D" w:themeColor="text1" w:themeTint="F2"/>
        </w:rPr>
      </w:pPr>
      <w:r w:rsidRPr="00845EA4">
        <w:rPr>
          <w:rFonts w:eastAsia="Calibri" w:cs="Tahoma"/>
          <w:b/>
          <w:bCs/>
          <w:lang w:val="es-ES"/>
        </w:rPr>
        <w:t xml:space="preserve">VISTO </w:t>
      </w:r>
      <w:r w:rsidRPr="00845EA4">
        <w:rPr>
          <w:rFonts w:eastAsia="Calibri" w:cs="Tahoma"/>
          <w:lang w:val="es-ES"/>
        </w:rPr>
        <w:t xml:space="preserve">el expediente conformado con motivo del Recurso de Revisión </w:t>
      </w:r>
      <w:r w:rsidR="001E478B" w:rsidRPr="00845EA4">
        <w:rPr>
          <w:rFonts w:eastAsia="Calibri" w:cs="Tahoma"/>
        </w:rPr>
        <w:t>0</w:t>
      </w:r>
      <w:r w:rsidR="002B405D" w:rsidRPr="00845EA4">
        <w:rPr>
          <w:rFonts w:eastAsia="Calibri" w:cs="Tahoma"/>
        </w:rPr>
        <w:t>2126</w:t>
      </w:r>
      <w:r w:rsidRPr="00845EA4">
        <w:rPr>
          <w:rFonts w:eastAsia="Calibri" w:cs="Tahoma"/>
        </w:rPr>
        <w:t>/INFOEM/IP/RR/202</w:t>
      </w:r>
      <w:r w:rsidR="001E478B" w:rsidRPr="00845EA4">
        <w:rPr>
          <w:rFonts w:eastAsia="Calibri" w:cs="Tahoma"/>
        </w:rPr>
        <w:t>3</w:t>
      </w:r>
      <w:r w:rsidRPr="00845EA4">
        <w:rPr>
          <w:rFonts w:eastAsia="Calibri" w:cs="Tahoma"/>
        </w:rPr>
        <w:t xml:space="preserve">, interpuesto </w:t>
      </w:r>
      <w:r w:rsidR="00BC5323" w:rsidRPr="00845EA4">
        <w:rPr>
          <w:rFonts w:eastAsia="Calibri" w:cs="Tahoma"/>
        </w:rPr>
        <w:t>por</w:t>
      </w:r>
      <w:r w:rsidR="00290BD6" w:rsidRPr="00845EA4">
        <w:rPr>
          <w:rFonts w:eastAsia="Calibri" w:cs="Tahoma"/>
        </w:rPr>
        <w:t xml:space="preserve"> </w:t>
      </w:r>
      <w:r w:rsidR="007A1139" w:rsidRPr="00845EA4">
        <w:rPr>
          <w:rFonts w:eastAsia="Calibri" w:cs="Tahoma"/>
        </w:rPr>
        <w:t>el</w:t>
      </w:r>
      <w:r w:rsidRPr="00845EA4">
        <w:rPr>
          <w:rFonts w:cs="Tahoma"/>
          <w:color w:val="0D0D0D" w:themeColor="text1" w:themeTint="F2"/>
        </w:rPr>
        <w:t xml:space="preserve"> Recurrente o Particular, en contra de la falta de respuesta del Sujeto Obligado, </w:t>
      </w:r>
      <w:r w:rsidR="000C006D" w:rsidRPr="00845EA4">
        <w:rPr>
          <w:rFonts w:cs="Tahoma"/>
          <w:color w:val="0D0D0D" w:themeColor="text1" w:themeTint="F2"/>
        </w:rPr>
        <w:t>Ayuntamiento de</w:t>
      </w:r>
      <w:r w:rsidR="00C51B62" w:rsidRPr="00845EA4">
        <w:rPr>
          <w:rFonts w:cs="Tahoma"/>
          <w:color w:val="0D0D0D" w:themeColor="text1" w:themeTint="F2"/>
        </w:rPr>
        <w:t xml:space="preserve"> </w:t>
      </w:r>
      <w:r w:rsidR="00B1733D" w:rsidRPr="00845EA4">
        <w:rPr>
          <w:rFonts w:cs="Tahoma"/>
          <w:color w:val="0D0D0D" w:themeColor="text1" w:themeTint="F2"/>
        </w:rPr>
        <w:t>Tepetlixpa</w:t>
      </w:r>
      <w:r w:rsidRPr="00845EA4">
        <w:rPr>
          <w:rFonts w:cs="Tahoma"/>
          <w:color w:val="0D0D0D" w:themeColor="text1" w:themeTint="F2"/>
        </w:rPr>
        <w:t>, a la solicitud de acceso a la información pública</w:t>
      </w:r>
      <w:r w:rsidRPr="00845EA4">
        <w:rPr>
          <w:b/>
          <w:bCs/>
          <w:color w:val="FF0000"/>
        </w:rPr>
        <w:t> </w:t>
      </w:r>
      <w:r w:rsidR="007A1139" w:rsidRPr="00845EA4">
        <w:t>00</w:t>
      </w:r>
      <w:r w:rsidR="00B1733D" w:rsidRPr="00845EA4">
        <w:t>0</w:t>
      </w:r>
      <w:r w:rsidR="002B405D" w:rsidRPr="00845EA4">
        <w:t>98</w:t>
      </w:r>
      <w:r w:rsidR="007A1139" w:rsidRPr="00845EA4">
        <w:t>/</w:t>
      </w:r>
      <w:r w:rsidR="00B1733D" w:rsidRPr="00845EA4">
        <w:t>TEPETLIX</w:t>
      </w:r>
      <w:r w:rsidR="007A1139" w:rsidRPr="00845EA4">
        <w:t>/IP/2023</w:t>
      </w:r>
      <w:r w:rsidRPr="00845EA4">
        <w:rPr>
          <w:rFonts w:cs="Tahoma"/>
          <w:iCs/>
          <w:color w:val="0D0D0D" w:themeColor="text1" w:themeTint="F2"/>
        </w:rPr>
        <w:t>,</w:t>
      </w:r>
      <w:r w:rsidRPr="00845EA4">
        <w:rPr>
          <w:rFonts w:cs="Tahoma"/>
          <w:color w:val="0D0D0D" w:themeColor="text1" w:themeTint="F2"/>
        </w:rPr>
        <w:t xml:space="preserve"> se emite</w:t>
      </w:r>
      <w:r w:rsidRPr="00845EA4">
        <w:rPr>
          <w:rFonts w:cs="Tahoma"/>
          <w:bCs/>
          <w:color w:val="0D0D0D" w:themeColor="text1" w:themeTint="F2"/>
        </w:rPr>
        <w:t xml:space="preserve"> la presente Resolución, con base en los Antecedentes y Considerandos que se exponen a continuación:</w:t>
      </w:r>
    </w:p>
    <w:p w14:paraId="40862826" w14:textId="77777777" w:rsidR="00EC77D9" w:rsidRPr="00845EA4" w:rsidRDefault="00EC77D9" w:rsidP="003B510C">
      <w:pPr>
        <w:spacing w:after="0" w:line="360" w:lineRule="auto"/>
        <w:rPr>
          <w:rFonts w:eastAsia="Calibri" w:cs="Tahoma"/>
          <w:b/>
          <w:bCs/>
          <w:lang w:val="es-ES"/>
        </w:rPr>
      </w:pPr>
    </w:p>
    <w:p w14:paraId="75BF07A7" w14:textId="77777777" w:rsidR="00EC77D9" w:rsidRPr="00845EA4" w:rsidRDefault="00EC77D9" w:rsidP="003B510C">
      <w:pPr>
        <w:spacing w:after="0" w:line="360" w:lineRule="auto"/>
        <w:jc w:val="center"/>
        <w:rPr>
          <w:rFonts w:eastAsia="Calibri" w:cs="Tahoma"/>
          <w:b/>
          <w:bCs/>
          <w:lang w:val="es-ES"/>
        </w:rPr>
      </w:pPr>
      <w:r w:rsidRPr="00845EA4">
        <w:rPr>
          <w:rFonts w:eastAsia="Calibri" w:cs="Tahoma"/>
          <w:b/>
          <w:bCs/>
          <w:lang w:val="es-ES"/>
        </w:rPr>
        <w:t>A N T E C E D E N T E S:</w:t>
      </w:r>
    </w:p>
    <w:p w14:paraId="3C95874E" w14:textId="77777777" w:rsidR="00EC77D9" w:rsidRPr="00845EA4" w:rsidRDefault="00EC77D9" w:rsidP="003B510C">
      <w:pPr>
        <w:spacing w:after="0" w:line="360" w:lineRule="auto"/>
        <w:rPr>
          <w:lang w:val="es-ES"/>
        </w:rPr>
      </w:pPr>
    </w:p>
    <w:p w14:paraId="4F749C11" w14:textId="77777777" w:rsidR="00EC77D9" w:rsidRPr="00845EA4" w:rsidRDefault="00EC77D9" w:rsidP="003B510C">
      <w:pPr>
        <w:spacing w:after="0" w:line="360" w:lineRule="auto"/>
        <w:rPr>
          <w:rFonts w:eastAsia="Calibri" w:cs="Tahoma"/>
          <w:b/>
          <w:bCs/>
          <w:lang w:val="es-ES"/>
        </w:rPr>
      </w:pPr>
      <w:r w:rsidRPr="00845EA4">
        <w:rPr>
          <w:rFonts w:eastAsia="Calibri" w:cs="Tahoma"/>
          <w:b/>
          <w:bCs/>
          <w:lang w:val="es-ES"/>
        </w:rPr>
        <w:t>I. Presentación de la solicitud de información.</w:t>
      </w:r>
    </w:p>
    <w:p w14:paraId="4794251F" w14:textId="77777777" w:rsidR="00EC77D9" w:rsidRPr="00845EA4" w:rsidRDefault="00EC77D9" w:rsidP="003B510C">
      <w:pPr>
        <w:spacing w:after="0" w:line="360" w:lineRule="auto"/>
        <w:rPr>
          <w:rFonts w:eastAsia="Calibri" w:cs="Tahoma"/>
          <w:b/>
          <w:bCs/>
          <w:lang w:val="es-ES"/>
        </w:rPr>
      </w:pPr>
    </w:p>
    <w:p w14:paraId="1960F426" w14:textId="3DCD2D17" w:rsidR="00EC77D9" w:rsidRPr="00845EA4" w:rsidRDefault="00EC77D9" w:rsidP="003B510C">
      <w:pPr>
        <w:spacing w:after="0" w:line="360" w:lineRule="auto"/>
        <w:rPr>
          <w:rFonts w:cs="Tahoma"/>
        </w:rPr>
      </w:pPr>
      <w:r w:rsidRPr="00845EA4">
        <w:rPr>
          <w:rFonts w:eastAsia="Calibri" w:cs="Tahoma"/>
          <w:lang w:val="es-ES"/>
        </w:rPr>
        <w:t>Con fecha</w:t>
      </w:r>
      <w:r w:rsidR="005C6434" w:rsidRPr="00845EA4">
        <w:rPr>
          <w:rFonts w:eastAsia="Calibri" w:cs="Tahoma"/>
          <w:lang w:val="es-ES"/>
        </w:rPr>
        <w:t xml:space="preserve"> </w:t>
      </w:r>
      <w:r w:rsidR="00E15A18" w:rsidRPr="00845EA4">
        <w:rPr>
          <w:rFonts w:eastAsia="Calibri" w:cs="Tahoma"/>
          <w:lang w:val="es-ES"/>
        </w:rPr>
        <w:t>veintidós</w:t>
      </w:r>
      <w:r w:rsidR="007A1139" w:rsidRPr="00845EA4">
        <w:rPr>
          <w:rFonts w:eastAsia="Calibri" w:cs="Tahoma"/>
          <w:lang w:val="es-ES"/>
        </w:rPr>
        <w:t xml:space="preserve"> de </w:t>
      </w:r>
      <w:r w:rsidR="00B1733D" w:rsidRPr="00845EA4">
        <w:rPr>
          <w:rFonts w:eastAsia="Calibri" w:cs="Tahoma"/>
          <w:lang w:val="es-ES"/>
        </w:rPr>
        <w:t>marzo</w:t>
      </w:r>
      <w:r w:rsidR="007A1139" w:rsidRPr="00845EA4">
        <w:rPr>
          <w:rFonts w:eastAsia="Calibri" w:cs="Tahoma"/>
          <w:lang w:val="es-ES"/>
        </w:rPr>
        <w:t xml:space="preserve"> de dos mil veintitrés</w:t>
      </w:r>
      <w:r w:rsidRPr="00845EA4">
        <w:rPr>
          <w:rFonts w:eastAsia="Calibri" w:cs="Tahoma"/>
          <w:lang w:val="es-ES"/>
        </w:rPr>
        <w:t xml:space="preserve">, se </w:t>
      </w:r>
      <w:r w:rsidR="00B0253B" w:rsidRPr="00845EA4">
        <w:rPr>
          <w:rFonts w:eastAsia="Calibri" w:cs="Tahoma"/>
          <w:lang w:val="es-ES"/>
        </w:rPr>
        <w:t>presentó</w:t>
      </w:r>
      <w:r w:rsidRPr="00845EA4">
        <w:rPr>
          <w:rFonts w:eastAsia="Calibri" w:cs="Tahoma"/>
          <w:lang w:val="es-ES"/>
        </w:rPr>
        <w:t xml:space="preserve"> una solicitud de información del Particular, a través del Sistema de Acceso a la Información Mexiquense (SAIMEX), ante el</w:t>
      </w:r>
      <w:r w:rsidR="005B78CE" w:rsidRPr="00845EA4">
        <w:rPr>
          <w:color w:val="000000"/>
        </w:rPr>
        <w:t xml:space="preserve"> </w:t>
      </w:r>
      <w:r w:rsidR="000C006D" w:rsidRPr="00845EA4">
        <w:rPr>
          <w:color w:val="000000"/>
        </w:rPr>
        <w:t xml:space="preserve">Ayuntamiento de </w:t>
      </w:r>
      <w:r w:rsidR="00B1733D" w:rsidRPr="00845EA4">
        <w:rPr>
          <w:color w:val="000000"/>
        </w:rPr>
        <w:t>Tepetlixpa</w:t>
      </w:r>
      <w:r w:rsidR="003D0090" w:rsidRPr="00845EA4">
        <w:rPr>
          <w:rFonts w:eastAsia="Calibri" w:cs="Tahoma"/>
        </w:rPr>
        <w:t xml:space="preserve">, </w:t>
      </w:r>
      <w:r w:rsidRPr="00845EA4">
        <w:rPr>
          <w:rFonts w:cs="Tahoma"/>
        </w:rPr>
        <w:t>en los siguientes términos:</w:t>
      </w:r>
    </w:p>
    <w:p w14:paraId="53516530" w14:textId="77777777" w:rsidR="003D0090" w:rsidRPr="00845EA4" w:rsidRDefault="003D0090" w:rsidP="003B510C">
      <w:pPr>
        <w:spacing w:after="0" w:line="360" w:lineRule="auto"/>
        <w:rPr>
          <w:rFonts w:cs="Tahoma"/>
        </w:rPr>
      </w:pPr>
    </w:p>
    <w:p w14:paraId="3C749962" w14:textId="77777777" w:rsidR="00EC77D9" w:rsidRPr="00845EA4" w:rsidRDefault="00EC77D9" w:rsidP="003B510C">
      <w:pPr>
        <w:tabs>
          <w:tab w:val="left" w:pos="4667"/>
        </w:tabs>
        <w:spacing w:after="0" w:line="360" w:lineRule="auto"/>
        <w:ind w:left="567" w:right="567"/>
        <w:rPr>
          <w:rFonts w:cs="Tahoma"/>
          <w:b/>
          <w:bCs/>
          <w:i/>
          <w:sz w:val="20"/>
        </w:rPr>
      </w:pPr>
      <w:r w:rsidRPr="00845EA4">
        <w:rPr>
          <w:rFonts w:cs="Tahoma"/>
          <w:b/>
          <w:bCs/>
          <w:i/>
          <w:sz w:val="20"/>
        </w:rPr>
        <w:t>“DESCRIPCIÓN CLARA Y PRECISA DE LA INFORMACIÓN SOLICITADA</w:t>
      </w:r>
    </w:p>
    <w:p w14:paraId="602D270E" w14:textId="6EF2FB44" w:rsidR="00EC77D9" w:rsidRPr="00845EA4" w:rsidRDefault="00E15A18" w:rsidP="003B510C">
      <w:pPr>
        <w:spacing w:after="0" w:line="360" w:lineRule="auto"/>
        <w:ind w:left="567" w:right="567"/>
        <w:rPr>
          <w:rFonts w:eastAsia="Times New Roman" w:cs="Arial"/>
          <w:bCs/>
          <w:i/>
          <w:iCs/>
          <w:sz w:val="20"/>
          <w:lang w:eastAsia="es-ES"/>
        </w:rPr>
      </w:pPr>
      <w:r w:rsidRPr="00845EA4">
        <w:rPr>
          <w:i/>
          <w:iCs/>
          <w:color w:val="000000"/>
          <w:sz w:val="20"/>
          <w:szCs w:val="20"/>
        </w:rPr>
        <w:t>Copias de todas las actas de contraloría de entrega de obras realizadas en 2022</w:t>
      </w:r>
      <w:r w:rsidR="00EC77D9" w:rsidRPr="00845EA4">
        <w:rPr>
          <w:rFonts w:cs="Tahoma"/>
          <w:bCs/>
          <w:i/>
          <w:iCs/>
          <w:sz w:val="20"/>
        </w:rPr>
        <w:t xml:space="preserve">” </w:t>
      </w:r>
      <w:r w:rsidR="00EC77D9" w:rsidRPr="00845EA4">
        <w:rPr>
          <w:rFonts w:eastAsia="Times New Roman" w:cs="Arial"/>
          <w:bCs/>
          <w:i/>
          <w:iCs/>
          <w:sz w:val="20"/>
          <w:lang w:eastAsia="es-ES"/>
        </w:rPr>
        <w:t>(Sic)</w:t>
      </w:r>
    </w:p>
    <w:p w14:paraId="55DB27D4" w14:textId="77777777" w:rsidR="00CD61EE" w:rsidRPr="00845EA4" w:rsidRDefault="00CD61EE" w:rsidP="003B510C">
      <w:pPr>
        <w:spacing w:after="0" w:line="360" w:lineRule="auto"/>
        <w:ind w:left="567" w:right="567"/>
        <w:rPr>
          <w:rFonts w:eastAsia="Times New Roman" w:cs="Arial"/>
          <w:bCs/>
          <w:i/>
          <w:iCs/>
          <w:sz w:val="20"/>
          <w:lang w:eastAsia="es-ES"/>
        </w:rPr>
      </w:pPr>
    </w:p>
    <w:p w14:paraId="1DAB7206" w14:textId="0AAF1ECD" w:rsidR="00EC77D9" w:rsidRPr="00845EA4" w:rsidRDefault="00EC77D9" w:rsidP="003B510C">
      <w:pPr>
        <w:tabs>
          <w:tab w:val="left" w:pos="4667"/>
        </w:tabs>
        <w:spacing w:after="0" w:line="360" w:lineRule="auto"/>
        <w:ind w:left="567" w:right="567"/>
        <w:rPr>
          <w:rFonts w:eastAsia="Times New Roman" w:cs="Tahoma"/>
          <w:b/>
          <w:bCs/>
          <w:i/>
          <w:iCs/>
          <w:color w:val="auto"/>
          <w:sz w:val="20"/>
          <w:lang w:eastAsia="es-ES"/>
        </w:rPr>
      </w:pPr>
      <w:r w:rsidRPr="00845EA4">
        <w:rPr>
          <w:rFonts w:eastAsia="Times New Roman" w:cs="Tahoma"/>
          <w:b/>
          <w:bCs/>
          <w:i/>
          <w:iCs/>
          <w:color w:val="auto"/>
          <w:sz w:val="20"/>
          <w:lang w:eastAsia="es-ES"/>
        </w:rPr>
        <w:t>“MODALIDAD DE ENTREGA</w:t>
      </w:r>
    </w:p>
    <w:p w14:paraId="55422320" w14:textId="77777777" w:rsidR="00EC77D9" w:rsidRPr="00845EA4" w:rsidRDefault="00EC77D9" w:rsidP="003B510C">
      <w:pPr>
        <w:spacing w:after="0" w:line="360" w:lineRule="auto"/>
        <w:ind w:left="567" w:right="567"/>
        <w:rPr>
          <w:rFonts w:eastAsia="Times New Roman" w:cs="Arial"/>
          <w:bCs/>
          <w:i/>
          <w:iCs/>
          <w:color w:val="auto"/>
          <w:sz w:val="20"/>
          <w:lang w:eastAsia="es-ES"/>
        </w:rPr>
      </w:pPr>
      <w:r w:rsidRPr="00845EA4">
        <w:rPr>
          <w:rFonts w:eastAsia="Times New Roman" w:cs="Arial"/>
          <w:bCs/>
          <w:i/>
          <w:iCs/>
          <w:color w:val="auto"/>
          <w:sz w:val="20"/>
          <w:lang w:eastAsia="es-ES"/>
        </w:rPr>
        <w:t>A través del SAIMEX” (Sic)</w:t>
      </w:r>
    </w:p>
    <w:p w14:paraId="75C8D754" w14:textId="77777777" w:rsidR="001756F2" w:rsidRPr="00845EA4" w:rsidRDefault="001756F2" w:rsidP="003B510C">
      <w:pPr>
        <w:tabs>
          <w:tab w:val="left" w:pos="567"/>
        </w:tabs>
        <w:spacing w:after="0" w:line="360" w:lineRule="auto"/>
        <w:rPr>
          <w:rFonts w:eastAsia="Calibri" w:cs="Tahoma"/>
          <w:b/>
          <w:bCs/>
        </w:rPr>
      </w:pPr>
    </w:p>
    <w:p w14:paraId="34F9ADE6" w14:textId="4B9BE051" w:rsidR="001756F2" w:rsidRPr="00845EA4" w:rsidRDefault="001756F2" w:rsidP="003B510C">
      <w:pPr>
        <w:tabs>
          <w:tab w:val="left" w:pos="4667"/>
        </w:tabs>
        <w:spacing w:after="0" w:line="360" w:lineRule="auto"/>
        <w:ind w:right="567"/>
        <w:rPr>
          <w:rFonts w:eastAsia="Times New Roman" w:cs="Tahoma"/>
          <w:b/>
          <w:bCs/>
          <w:color w:val="auto"/>
          <w:lang w:eastAsia="es-ES"/>
        </w:rPr>
      </w:pPr>
      <w:r w:rsidRPr="00845EA4">
        <w:rPr>
          <w:rFonts w:eastAsia="Times New Roman" w:cs="Tahoma"/>
          <w:b/>
          <w:bCs/>
          <w:color w:val="auto"/>
          <w:lang w:eastAsia="es-ES"/>
        </w:rPr>
        <w:t>I</w:t>
      </w:r>
      <w:r w:rsidR="00586E23" w:rsidRPr="00845EA4">
        <w:rPr>
          <w:rFonts w:eastAsia="Times New Roman" w:cs="Tahoma"/>
          <w:b/>
          <w:bCs/>
          <w:color w:val="auto"/>
          <w:lang w:eastAsia="es-ES"/>
        </w:rPr>
        <w:t>I</w:t>
      </w:r>
      <w:r w:rsidRPr="00845EA4">
        <w:rPr>
          <w:rFonts w:eastAsia="Times New Roman" w:cs="Tahoma"/>
          <w:b/>
          <w:bCs/>
          <w:color w:val="auto"/>
          <w:lang w:eastAsia="es-ES"/>
        </w:rPr>
        <w:t xml:space="preserve">. </w:t>
      </w:r>
      <w:r w:rsidRPr="00845EA4">
        <w:rPr>
          <w:rFonts w:eastAsia="Times New Roman" w:cs="Tahoma"/>
          <w:b/>
          <w:color w:val="auto"/>
          <w:lang w:eastAsia="es-ES"/>
        </w:rPr>
        <w:t>Respuesta</w:t>
      </w:r>
      <w:r w:rsidRPr="00845EA4">
        <w:rPr>
          <w:rFonts w:eastAsia="Times New Roman" w:cs="Tahoma"/>
          <w:b/>
          <w:bCs/>
          <w:color w:val="auto"/>
          <w:lang w:eastAsia="es-ES"/>
        </w:rPr>
        <w:t xml:space="preserve"> del Sujeto Obligado.</w:t>
      </w:r>
    </w:p>
    <w:p w14:paraId="5FFE230B" w14:textId="77777777" w:rsidR="00EC77D9" w:rsidRPr="00845EA4" w:rsidRDefault="00EC77D9" w:rsidP="003B510C">
      <w:pPr>
        <w:spacing w:after="0" w:line="360" w:lineRule="auto"/>
        <w:rPr>
          <w:rFonts w:eastAsia="Calibri" w:cs="Tahoma"/>
          <w:b/>
          <w:bCs/>
        </w:rPr>
      </w:pPr>
    </w:p>
    <w:p w14:paraId="339339D5" w14:textId="2BF5C6FC" w:rsidR="00EC77D9" w:rsidRPr="00845EA4" w:rsidRDefault="00EC77D9" w:rsidP="003B510C">
      <w:pPr>
        <w:autoSpaceDE w:val="0"/>
        <w:autoSpaceDN w:val="0"/>
        <w:adjustRightInd w:val="0"/>
        <w:spacing w:after="0" w:line="360" w:lineRule="auto"/>
        <w:rPr>
          <w:rFonts w:eastAsia="Calibri" w:cs="Tahoma"/>
          <w:color w:val="000000"/>
          <w:lang w:val="es-ES"/>
        </w:rPr>
      </w:pPr>
      <w:r w:rsidRPr="00845EA4">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845EA4">
        <w:rPr>
          <w:rFonts w:eastAsia="Calibri" w:cs="Tahoma"/>
          <w:color w:val="000000"/>
          <w:lang w:val="es-ES"/>
        </w:rPr>
        <w:t xml:space="preserve">Sistema de Acceso a la Información Mexiquense (SAIMEX), se advierte que el </w:t>
      </w:r>
      <w:r w:rsidR="000C006D" w:rsidRPr="00845EA4">
        <w:rPr>
          <w:b/>
          <w:bCs/>
          <w:color w:val="000000"/>
        </w:rPr>
        <w:t xml:space="preserve">Ayuntamiento de </w:t>
      </w:r>
      <w:r w:rsidR="00B1733D" w:rsidRPr="00845EA4">
        <w:rPr>
          <w:b/>
          <w:bCs/>
          <w:color w:val="000000"/>
        </w:rPr>
        <w:t>Tepetlixpa</w:t>
      </w:r>
      <w:r w:rsidRPr="00845EA4">
        <w:rPr>
          <w:rFonts w:eastAsia="Calibri" w:cs="Tahoma"/>
          <w:color w:val="000000"/>
        </w:rPr>
        <w:t>,</w:t>
      </w:r>
      <w:r w:rsidRPr="00845EA4">
        <w:rPr>
          <w:rFonts w:eastAsia="Calibri" w:cs="Tahoma"/>
          <w:bCs/>
          <w:color w:val="000000"/>
        </w:rPr>
        <w:t xml:space="preserve"> omitió dar respuesta a la solicitud de información, por lo que </w:t>
      </w:r>
      <w:r w:rsidRPr="00845EA4">
        <w:rPr>
          <w:rFonts w:eastAsia="Calibri" w:cs="Tahoma"/>
          <w:b/>
          <w:color w:val="000000"/>
        </w:rPr>
        <w:t xml:space="preserve">se configura la </w:t>
      </w:r>
      <w:r w:rsidRPr="00845EA4">
        <w:rPr>
          <w:rFonts w:eastAsia="Calibri" w:cs="Tahoma"/>
          <w:b/>
          <w:color w:val="000000"/>
          <w:lang w:val="es-ES"/>
        </w:rPr>
        <w:t>negativa ficta</w:t>
      </w:r>
      <w:r w:rsidRPr="00845EA4">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845EA4" w:rsidRDefault="00EC77D9" w:rsidP="003B510C">
      <w:pPr>
        <w:autoSpaceDE w:val="0"/>
        <w:autoSpaceDN w:val="0"/>
        <w:adjustRightInd w:val="0"/>
        <w:spacing w:after="0" w:line="360" w:lineRule="auto"/>
        <w:rPr>
          <w:rFonts w:eastAsia="Calibri" w:cs="Tahoma"/>
          <w:color w:val="000000"/>
          <w:lang w:val="es-ES"/>
        </w:rPr>
      </w:pPr>
    </w:p>
    <w:p w14:paraId="56912486" w14:textId="61209640" w:rsidR="00EC77D9" w:rsidRPr="00845EA4" w:rsidRDefault="00EC77D9" w:rsidP="003B510C">
      <w:pPr>
        <w:autoSpaceDE w:val="0"/>
        <w:autoSpaceDN w:val="0"/>
        <w:adjustRightInd w:val="0"/>
        <w:spacing w:after="0" w:line="360" w:lineRule="auto"/>
        <w:rPr>
          <w:rFonts w:eastAsia="Calibri" w:cs="Tahoma"/>
          <w:b/>
          <w:color w:val="000000"/>
        </w:rPr>
      </w:pPr>
      <w:r w:rsidRPr="00845EA4">
        <w:rPr>
          <w:rFonts w:eastAsia="Calibri" w:cs="Tahoma"/>
          <w:b/>
          <w:color w:val="000000"/>
        </w:rPr>
        <w:t>I</w:t>
      </w:r>
      <w:r w:rsidR="00B0253B" w:rsidRPr="00845EA4">
        <w:rPr>
          <w:rFonts w:eastAsia="Calibri" w:cs="Tahoma"/>
          <w:b/>
          <w:color w:val="000000"/>
        </w:rPr>
        <w:t>II</w:t>
      </w:r>
      <w:r w:rsidRPr="00845EA4">
        <w:rPr>
          <w:rFonts w:eastAsia="Calibri" w:cs="Tahoma"/>
          <w:b/>
          <w:color w:val="000000"/>
        </w:rPr>
        <w:t xml:space="preserve">. Interposición del Recurso de Revisión. </w:t>
      </w:r>
    </w:p>
    <w:p w14:paraId="193305E5" w14:textId="77777777" w:rsidR="00EC77D9" w:rsidRPr="00845EA4" w:rsidRDefault="00EC77D9" w:rsidP="003B510C">
      <w:pPr>
        <w:spacing w:after="0" w:line="360" w:lineRule="auto"/>
        <w:rPr>
          <w:rFonts w:eastAsia="Times New Roman" w:cs="Tahoma"/>
          <w:bCs/>
          <w:color w:val="auto"/>
          <w:lang w:eastAsia="es-ES"/>
        </w:rPr>
      </w:pPr>
    </w:p>
    <w:p w14:paraId="24595562" w14:textId="458A32E3" w:rsidR="00EC77D9" w:rsidRPr="00845EA4" w:rsidRDefault="00EE6AAF" w:rsidP="003B510C">
      <w:pPr>
        <w:spacing w:after="0" w:line="360" w:lineRule="auto"/>
        <w:rPr>
          <w:rFonts w:eastAsia="Times New Roman" w:cs="Tahoma"/>
          <w:bCs/>
          <w:color w:val="auto"/>
          <w:lang w:eastAsia="es-ES"/>
        </w:rPr>
      </w:pPr>
      <w:r w:rsidRPr="00845EA4">
        <w:rPr>
          <w:rFonts w:eastAsia="Times New Roman" w:cs="Tahoma"/>
          <w:bCs/>
          <w:color w:val="auto"/>
          <w:lang w:val="es-ES" w:eastAsia="es-ES"/>
        </w:rPr>
        <w:t xml:space="preserve">Con fecha </w:t>
      </w:r>
      <w:r w:rsidR="00B2731F" w:rsidRPr="00845EA4">
        <w:rPr>
          <w:rFonts w:eastAsia="Times New Roman" w:cs="Tahoma"/>
          <w:bCs/>
          <w:color w:val="auto"/>
          <w:lang w:val="es-ES" w:eastAsia="es-ES"/>
        </w:rPr>
        <w:t>veinticuatro</w:t>
      </w:r>
      <w:r w:rsidRPr="00845EA4">
        <w:rPr>
          <w:rFonts w:eastAsia="Times New Roman" w:cs="Tahoma"/>
          <w:bCs/>
          <w:color w:val="auto"/>
          <w:lang w:val="es-ES" w:eastAsia="es-ES"/>
        </w:rPr>
        <w:t xml:space="preserve"> de </w:t>
      </w:r>
      <w:r w:rsidR="000529B2" w:rsidRPr="00845EA4">
        <w:rPr>
          <w:rFonts w:eastAsia="Times New Roman" w:cs="Tahoma"/>
          <w:bCs/>
          <w:color w:val="auto"/>
          <w:lang w:val="es-ES" w:eastAsia="es-ES"/>
        </w:rPr>
        <w:t>abril</w:t>
      </w:r>
      <w:r w:rsidRPr="00845EA4">
        <w:rPr>
          <w:rFonts w:eastAsia="Times New Roman" w:cs="Tahoma"/>
          <w:bCs/>
          <w:color w:val="auto"/>
          <w:lang w:val="es-ES" w:eastAsia="es-ES"/>
        </w:rPr>
        <w:t xml:space="preserve"> de dos mil veintitrés, </w:t>
      </w:r>
      <w:r w:rsidRPr="00845EA4">
        <w:rPr>
          <w:rFonts w:eastAsia="Times New Roman" w:cs="Tahoma"/>
          <w:bCs/>
          <w:color w:val="auto"/>
          <w:lang w:eastAsia="es-ES"/>
        </w:rPr>
        <w:t xml:space="preserve">se recibió en este Instituto, a través del </w:t>
      </w:r>
      <w:r w:rsidRPr="00845EA4">
        <w:rPr>
          <w:rFonts w:eastAsia="Times New Roman" w:cs="Tahoma"/>
          <w:bCs/>
          <w:color w:val="auto"/>
          <w:lang w:val="es-ES" w:eastAsia="es-ES"/>
        </w:rPr>
        <w:t>Sistema de Acceso a la Información Mexiquense (SAIMEX)</w:t>
      </w:r>
      <w:r w:rsidRPr="00845EA4">
        <w:rPr>
          <w:rFonts w:eastAsia="Times New Roman" w:cs="Tahoma"/>
          <w:bCs/>
          <w:color w:val="auto"/>
          <w:lang w:eastAsia="es-ES"/>
        </w:rPr>
        <w:t>, el Recurso de Revisión interpuesto por la parte Recurrente, en contra de la falta de respuesta del Sujeto Obligado</w:t>
      </w:r>
      <w:r w:rsidRPr="00845EA4">
        <w:rPr>
          <w:rFonts w:eastAsia="Calibri" w:cs="Times New Roman"/>
          <w:b/>
          <w:bCs/>
        </w:rPr>
        <w:t xml:space="preserve">, </w:t>
      </w:r>
      <w:r w:rsidR="00B2731F" w:rsidRPr="00845EA4">
        <w:rPr>
          <w:rFonts w:eastAsia="Calibri" w:cs="Times New Roman"/>
          <w:b/>
          <w:bCs/>
        </w:rPr>
        <w:t>ya que si bien, se registró, el veintidós de dicho mes y año, también lo es, que fue inhábil, por lo que, se tuvo por recibida el día hábil subsecuente</w:t>
      </w:r>
      <w:r w:rsidR="00B2731F" w:rsidRPr="00845EA4">
        <w:rPr>
          <w:rFonts w:eastAsia="Times New Roman" w:cs="Tahoma"/>
          <w:bCs/>
          <w:color w:val="auto"/>
          <w:lang w:eastAsia="es-ES"/>
        </w:rPr>
        <w:t xml:space="preserve">, </w:t>
      </w:r>
      <w:r w:rsidRPr="00845EA4">
        <w:rPr>
          <w:rFonts w:eastAsia="Times New Roman" w:cs="Tahoma"/>
          <w:bCs/>
          <w:color w:val="auto"/>
          <w:lang w:eastAsia="es-ES"/>
        </w:rPr>
        <w:t>en los siguientes términos:</w:t>
      </w:r>
    </w:p>
    <w:p w14:paraId="4908F86D" w14:textId="77777777" w:rsidR="00D9201E" w:rsidRPr="00845EA4" w:rsidRDefault="00D9201E" w:rsidP="003B510C">
      <w:pPr>
        <w:spacing w:after="0" w:line="360" w:lineRule="auto"/>
        <w:rPr>
          <w:rFonts w:eastAsia="Times New Roman" w:cs="Tahoma"/>
          <w:bCs/>
          <w:color w:val="auto"/>
          <w:lang w:eastAsia="es-ES"/>
        </w:rPr>
      </w:pPr>
    </w:p>
    <w:p w14:paraId="122D4953" w14:textId="77777777" w:rsidR="00EC77D9" w:rsidRPr="00845EA4" w:rsidRDefault="00EC77D9" w:rsidP="003B510C">
      <w:pPr>
        <w:spacing w:after="0" w:line="360" w:lineRule="auto"/>
        <w:ind w:left="567" w:right="567"/>
        <w:rPr>
          <w:rFonts w:eastAsia="Times New Roman" w:cs="Tahoma"/>
          <w:b/>
          <w:bCs/>
          <w:i/>
          <w:color w:val="auto"/>
          <w:sz w:val="20"/>
          <w:lang w:eastAsia="es-ES"/>
        </w:rPr>
      </w:pPr>
      <w:r w:rsidRPr="00845EA4">
        <w:rPr>
          <w:rFonts w:eastAsia="Times New Roman" w:cs="Tahoma"/>
          <w:b/>
          <w:bCs/>
          <w:i/>
          <w:color w:val="auto"/>
          <w:sz w:val="20"/>
          <w:lang w:eastAsia="es-ES"/>
        </w:rPr>
        <w:t>“ACTO IMPUGNADO</w:t>
      </w:r>
    </w:p>
    <w:p w14:paraId="6E62BBE2" w14:textId="10917C7D" w:rsidR="00EC77D9" w:rsidRPr="00845EA4" w:rsidRDefault="00B2731F" w:rsidP="003B510C">
      <w:pPr>
        <w:spacing w:after="0" w:line="360" w:lineRule="auto"/>
        <w:ind w:left="567" w:right="567"/>
        <w:rPr>
          <w:rFonts w:eastAsia="Times New Roman" w:cs="Tahoma"/>
          <w:bCs/>
          <w:i/>
          <w:iCs/>
          <w:color w:val="auto"/>
          <w:sz w:val="20"/>
          <w:lang w:eastAsia="es-ES"/>
        </w:rPr>
      </w:pPr>
      <w:r w:rsidRPr="00845EA4">
        <w:rPr>
          <w:i/>
          <w:iCs/>
          <w:color w:val="000000"/>
          <w:sz w:val="20"/>
          <w:szCs w:val="20"/>
        </w:rPr>
        <w:t>FALTA DE ENTREGA DE INFORMACION COMO MARCA LA LEY DE TRANSPARENCIA DEL ESTADO DE MEXICO</w:t>
      </w:r>
      <w:r w:rsidR="00EC77D9" w:rsidRPr="00845EA4">
        <w:rPr>
          <w:i/>
          <w:iCs/>
          <w:sz w:val="20"/>
        </w:rPr>
        <w:t>”</w:t>
      </w:r>
      <w:r w:rsidR="00EC77D9" w:rsidRPr="00845EA4">
        <w:rPr>
          <w:bCs/>
          <w:i/>
          <w:iCs/>
          <w:sz w:val="20"/>
        </w:rPr>
        <w:t xml:space="preserve"> </w:t>
      </w:r>
      <w:r w:rsidR="00EC77D9" w:rsidRPr="00845EA4">
        <w:rPr>
          <w:rFonts w:eastAsia="Times New Roman" w:cs="Tahoma"/>
          <w:bCs/>
          <w:i/>
          <w:iCs/>
          <w:color w:val="auto"/>
          <w:sz w:val="20"/>
          <w:lang w:eastAsia="es-ES"/>
        </w:rPr>
        <w:t>(Sic)</w:t>
      </w:r>
    </w:p>
    <w:p w14:paraId="5CCEB8EC" w14:textId="200EAB7C" w:rsidR="00EC77D9" w:rsidRPr="00845EA4" w:rsidRDefault="00EC77D9" w:rsidP="003B510C">
      <w:pPr>
        <w:spacing w:after="0" w:line="360" w:lineRule="auto"/>
        <w:ind w:left="567" w:right="567"/>
        <w:rPr>
          <w:rFonts w:eastAsia="Times New Roman" w:cs="Tahoma"/>
          <w:bCs/>
          <w:i/>
          <w:color w:val="auto"/>
          <w:sz w:val="20"/>
          <w:lang w:eastAsia="es-ES"/>
        </w:rPr>
      </w:pPr>
    </w:p>
    <w:p w14:paraId="01991E43" w14:textId="7A969951" w:rsidR="00EC77D9" w:rsidRPr="00845EA4" w:rsidRDefault="00EC77D9" w:rsidP="003B510C">
      <w:pPr>
        <w:spacing w:after="0" w:line="360" w:lineRule="auto"/>
        <w:ind w:left="567" w:right="567"/>
        <w:rPr>
          <w:rFonts w:eastAsia="Times New Roman" w:cs="Tahoma"/>
          <w:b/>
          <w:bCs/>
          <w:i/>
          <w:color w:val="auto"/>
          <w:sz w:val="20"/>
          <w:lang w:eastAsia="es-ES"/>
        </w:rPr>
      </w:pPr>
      <w:r w:rsidRPr="00845EA4">
        <w:rPr>
          <w:rFonts w:eastAsia="Times New Roman" w:cs="Tahoma"/>
          <w:b/>
          <w:bCs/>
          <w:i/>
          <w:color w:val="auto"/>
          <w:sz w:val="20"/>
          <w:lang w:eastAsia="es-ES"/>
        </w:rPr>
        <w:t>“RAZONES O MOTIVOS DE LA INCONFORMIDAD</w:t>
      </w:r>
    </w:p>
    <w:p w14:paraId="6A2AB2B9" w14:textId="067C1508" w:rsidR="00EC77D9" w:rsidRPr="00845EA4" w:rsidRDefault="00B2731F" w:rsidP="003B510C">
      <w:pPr>
        <w:spacing w:after="0" w:line="360" w:lineRule="auto"/>
        <w:ind w:left="567" w:right="567"/>
        <w:rPr>
          <w:rFonts w:eastAsia="Times New Roman" w:cs="Tahoma"/>
          <w:bCs/>
          <w:color w:val="auto"/>
          <w:sz w:val="20"/>
          <w:lang w:eastAsia="es-ES"/>
        </w:rPr>
      </w:pPr>
      <w:r w:rsidRPr="00845EA4">
        <w:rPr>
          <w:i/>
          <w:iCs/>
          <w:color w:val="000000"/>
          <w:sz w:val="20"/>
          <w:szCs w:val="20"/>
        </w:rPr>
        <w:t>FALTA DE ENTREGA DE INFORMACION COMO MARCA LA LEY DE TRANSPARENCIA DEL ESTADO DE MEXICO</w:t>
      </w:r>
      <w:r w:rsidR="00EC77D9" w:rsidRPr="00845EA4">
        <w:rPr>
          <w:i/>
          <w:color w:val="000000"/>
          <w:sz w:val="20"/>
        </w:rPr>
        <w:t>”</w:t>
      </w:r>
      <w:r w:rsidR="00EC77D9" w:rsidRPr="00845EA4">
        <w:rPr>
          <w:bCs/>
          <w:i/>
          <w:color w:val="000000"/>
          <w:sz w:val="20"/>
        </w:rPr>
        <w:t xml:space="preserve"> </w:t>
      </w:r>
      <w:r w:rsidR="00EC77D9" w:rsidRPr="00845EA4">
        <w:rPr>
          <w:rFonts w:eastAsia="Times New Roman" w:cs="Tahoma"/>
          <w:bCs/>
          <w:i/>
          <w:color w:val="auto"/>
          <w:sz w:val="20"/>
          <w:lang w:eastAsia="es-ES"/>
        </w:rPr>
        <w:t>(Sic)</w:t>
      </w:r>
    </w:p>
    <w:p w14:paraId="2EF5CAAD" w14:textId="77777777" w:rsidR="000823E5" w:rsidRPr="00845EA4" w:rsidRDefault="000823E5" w:rsidP="003B510C">
      <w:pPr>
        <w:spacing w:after="0" w:line="360" w:lineRule="auto"/>
        <w:rPr>
          <w:rFonts w:eastAsia="Calibri" w:cs="Tahoma"/>
          <w:b/>
          <w:color w:val="000000"/>
        </w:rPr>
      </w:pPr>
    </w:p>
    <w:p w14:paraId="32EBD4AE" w14:textId="42F90B73" w:rsidR="00EC77D9" w:rsidRPr="00845EA4" w:rsidRDefault="00EC77D9" w:rsidP="003B510C">
      <w:pPr>
        <w:spacing w:after="0" w:line="360" w:lineRule="auto"/>
        <w:rPr>
          <w:rFonts w:eastAsia="Batang" w:cs="Tahoma"/>
          <w:b/>
          <w:bCs/>
          <w:color w:val="000000"/>
        </w:rPr>
      </w:pPr>
      <w:r w:rsidRPr="00845EA4">
        <w:rPr>
          <w:rFonts w:eastAsia="Calibri" w:cs="Tahoma"/>
          <w:b/>
          <w:color w:val="000000"/>
        </w:rPr>
        <w:t xml:space="preserve">IV. </w:t>
      </w:r>
      <w:r w:rsidRPr="00845EA4">
        <w:rPr>
          <w:rFonts w:eastAsia="Batang" w:cs="Tahoma"/>
          <w:b/>
          <w:bCs/>
          <w:color w:val="000000"/>
        </w:rPr>
        <w:t>Trámite del Recurso de Revisión</w:t>
      </w:r>
      <w:r w:rsidRPr="00845EA4">
        <w:rPr>
          <w:rFonts w:eastAsia="Calibri" w:cs="Tahoma"/>
          <w:b/>
          <w:color w:val="000000"/>
        </w:rPr>
        <w:t xml:space="preserve"> </w:t>
      </w:r>
      <w:r w:rsidRPr="00845EA4">
        <w:rPr>
          <w:rFonts w:eastAsia="Batang" w:cs="Tahoma"/>
          <w:b/>
          <w:bCs/>
          <w:color w:val="000000"/>
        </w:rPr>
        <w:t>ante este Instituto.</w:t>
      </w:r>
    </w:p>
    <w:p w14:paraId="1C4ADB40" w14:textId="77777777" w:rsidR="00EC77D9" w:rsidRPr="00845EA4" w:rsidRDefault="00EC77D9" w:rsidP="003B510C">
      <w:pPr>
        <w:spacing w:after="0" w:line="360" w:lineRule="auto"/>
        <w:rPr>
          <w:rFonts w:eastAsia="Batang" w:cs="Tahoma"/>
          <w:bCs/>
          <w:color w:val="000000"/>
        </w:rPr>
      </w:pPr>
    </w:p>
    <w:p w14:paraId="7EC9EE07" w14:textId="7B3A81DB" w:rsidR="00EC77D9" w:rsidRPr="00845EA4" w:rsidRDefault="00EC77D9" w:rsidP="003B510C">
      <w:pPr>
        <w:spacing w:after="0" w:line="360" w:lineRule="auto"/>
        <w:rPr>
          <w:rFonts w:eastAsia="Batang" w:cs="Tahoma"/>
          <w:b/>
          <w:bCs/>
          <w:color w:val="000000"/>
        </w:rPr>
      </w:pPr>
      <w:r w:rsidRPr="00845EA4">
        <w:rPr>
          <w:rFonts w:eastAsia="Batang" w:cs="Tahoma"/>
          <w:b/>
          <w:bCs/>
          <w:color w:val="000000"/>
        </w:rPr>
        <w:lastRenderedPageBreak/>
        <w:t xml:space="preserve">a) Turno del Medio de Impugnación. </w:t>
      </w:r>
      <w:r w:rsidRPr="00845EA4">
        <w:rPr>
          <w:rFonts w:eastAsia="Batang" w:cs="Tahoma"/>
          <w:bCs/>
          <w:color w:val="000000"/>
        </w:rPr>
        <w:t xml:space="preserve">El </w:t>
      </w:r>
      <w:r w:rsidR="00B2731F" w:rsidRPr="00845EA4">
        <w:rPr>
          <w:rFonts w:eastAsia="Batang" w:cs="Tahoma"/>
          <w:bCs/>
          <w:color w:val="000000"/>
        </w:rPr>
        <w:t>veintidós</w:t>
      </w:r>
      <w:r w:rsidR="001756F2" w:rsidRPr="00845EA4">
        <w:rPr>
          <w:rFonts w:eastAsia="Batang" w:cs="Tahoma"/>
          <w:bCs/>
          <w:color w:val="000000"/>
        </w:rPr>
        <w:t xml:space="preserve"> de </w:t>
      </w:r>
      <w:r w:rsidR="000529B2" w:rsidRPr="00845EA4">
        <w:rPr>
          <w:rFonts w:eastAsia="Batang" w:cs="Tahoma"/>
          <w:bCs/>
          <w:color w:val="000000"/>
        </w:rPr>
        <w:t>abril</w:t>
      </w:r>
      <w:r w:rsidRPr="00845EA4">
        <w:rPr>
          <w:rFonts w:eastAsia="Batang" w:cs="Tahoma"/>
          <w:bCs/>
          <w:color w:val="000000"/>
        </w:rPr>
        <w:t xml:space="preserve"> </w:t>
      </w:r>
      <w:r w:rsidRPr="00845EA4">
        <w:rPr>
          <w:rFonts w:eastAsia="Times New Roman" w:cs="Tahoma"/>
          <w:bCs/>
          <w:color w:val="auto"/>
          <w:lang w:eastAsia="es-ES"/>
        </w:rPr>
        <w:t>de dos mil veinti</w:t>
      </w:r>
      <w:r w:rsidR="00DD7A69" w:rsidRPr="00845EA4">
        <w:rPr>
          <w:rFonts w:eastAsia="Times New Roman" w:cs="Tahoma"/>
          <w:bCs/>
          <w:color w:val="auto"/>
          <w:lang w:eastAsia="es-ES"/>
        </w:rPr>
        <w:t>trés</w:t>
      </w:r>
      <w:r w:rsidRPr="00845EA4">
        <w:rPr>
          <w:rFonts w:eastAsia="Batang" w:cs="Tahoma"/>
          <w:bCs/>
          <w:color w:val="000000"/>
        </w:rPr>
        <w:t xml:space="preserve">, el </w:t>
      </w:r>
      <w:r w:rsidRPr="00845EA4">
        <w:rPr>
          <w:rFonts w:eastAsia="Calibri" w:cs="Tahoma"/>
          <w:color w:val="000000"/>
          <w:lang w:val="es-ES"/>
        </w:rPr>
        <w:t>Sistema de Acceso a la Información Mexiquense (SAIMEX),</w:t>
      </w:r>
      <w:r w:rsidRPr="00845EA4">
        <w:rPr>
          <w:rFonts w:eastAsia="Batang" w:cs="Tahoma"/>
          <w:bCs/>
          <w:color w:val="000000"/>
        </w:rPr>
        <w:t xml:space="preserve"> asignó el número de expediente </w:t>
      </w:r>
      <w:r w:rsidR="00DD7A69" w:rsidRPr="00845EA4">
        <w:rPr>
          <w:rFonts w:eastAsia="Batang" w:cs="Tahoma"/>
          <w:color w:val="000000"/>
        </w:rPr>
        <w:t>0</w:t>
      </w:r>
      <w:r w:rsidR="000B4EB7" w:rsidRPr="00845EA4">
        <w:rPr>
          <w:rFonts w:eastAsia="Batang" w:cs="Tahoma"/>
          <w:color w:val="000000"/>
        </w:rPr>
        <w:t>2126</w:t>
      </w:r>
      <w:r w:rsidRPr="00845EA4">
        <w:rPr>
          <w:rFonts w:eastAsia="Calibri" w:cs="Tahoma"/>
        </w:rPr>
        <w:t>/INFOEM/IP/RR/202</w:t>
      </w:r>
      <w:r w:rsidR="00DD7A69" w:rsidRPr="00845EA4">
        <w:rPr>
          <w:rFonts w:eastAsia="Calibri" w:cs="Tahoma"/>
        </w:rPr>
        <w:t>3</w:t>
      </w:r>
      <w:r w:rsidRPr="00845EA4">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845EA4" w:rsidRDefault="00EC77D9" w:rsidP="003B510C">
      <w:pPr>
        <w:spacing w:after="0" w:line="360" w:lineRule="auto"/>
        <w:rPr>
          <w:rFonts w:eastAsia="Batang" w:cs="Tahoma"/>
          <w:bCs/>
          <w:color w:val="000000"/>
        </w:rPr>
      </w:pPr>
    </w:p>
    <w:p w14:paraId="385EEA5C" w14:textId="0621917D" w:rsidR="00EC77D9" w:rsidRPr="00845EA4" w:rsidRDefault="00EC77D9" w:rsidP="003B510C">
      <w:pPr>
        <w:spacing w:after="0" w:line="360" w:lineRule="auto"/>
        <w:rPr>
          <w:rFonts w:eastAsia="Times New Roman" w:cs="Tahoma"/>
          <w:b/>
          <w:bCs/>
          <w:color w:val="auto"/>
          <w:lang w:eastAsia="es-ES"/>
        </w:rPr>
      </w:pPr>
      <w:r w:rsidRPr="00845EA4">
        <w:rPr>
          <w:rFonts w:eastAsia="Times New Roman" w:cs="Tahoma"/>
          <w:b/>
          <w:bCs/>
          <w:color w:val="auto"/>
          <w:lang w:eastAsia="es-ES"/>
        </w:rPr>
        <w:t>b) Admisión del Recurso de Revisión</w:t>
      </w:r>
      <w:r w:rsidRPr="00845EA4">
        <w:rPr>
          <w:rFonts w:eastAsia="Times New Roman" w:cs="Tahoma"/>
          <w:b/>
          <w:bCs/>
          <w:color w:val="auto"/>
          <w:lang w:val="es-ES_tradnl" w:eastAsia="es-ES"/>
        </w:rPr>
        <w:t xml:space="preserve">. </w:t>
      </w:r>
      <w:r w:rsidRPr="00845EA4">
        <w:rPr>
          <w:rFonts w:eastAsia="Batang" w:cs="Tahoma"/>
          <w:bCs/>
          <w:color w:val="000000"/>
        </w:rPr>
        <w:t>El</w:t>
      </w:r>
      <w:r w:rsidR="000B4EB7" w:rsidRPr="00845EA4">
        <w:rPr>
          <w:rFonts w:eastAsia="Batang" w:cs="Tahoma"/>
          <w:bCs/>
          <w:color w:val="000000"/>
        </w:rPr>
        <w:t xml:space="preserve"> veintisiete</w:t>
      </w:r>
      <w:r w:rsidR="007A1139" w:rsidRPr="00845EA4">
        <w:rPr>
          <w:rFonts w:eastAsia="Batang" w:cs="Tahoma"/>
          <w:bCs/>
          <w:color w:val="000000"/>
        </w:rPr>
        <w:t xml:space="preserve"> de </w:t>
      </w:r>
      <w:r w:rsidR="00840536" w:rsidRPr="00845EA4">
        <w:rPr>
          <w:rFonts w:eastAsia="Batang" w:cs="Tahoma"/>
          <w:bCs/>
          <w:color w:val="000000"/>
        </w:rPr>
        <w:t>abril</w:t>
      </w:r>
      <w:r w:rsidRPr="00845EA4">
        <w:rPr>
          <w:rFonts w:eastAsia="Batang" w:cs="Tahoma"/>
          <w:bCs/>
          <w:color w:val="000000"/>
        </w:rPr>
        <w:t xml:space="preserve"> de dos mil veinti</w:t>
      </w:r>
      <w:r w:rsidR="00DD7A69" w:rsidRPr="00845EA4">
        <w:rPr>
          <w:rFonts w:eastAsia="Batang" w:cs="Tahoma"/>
          <w:bCs/>
          <w:color w:val="000000"/>
        </w:rPr>
        <w:t>trés</w:t>
      </w:r>
      <w:r w:rsidRPr="00845EA4">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w:t>
      </w:r>
      <w:r w:rsidR="007A1139" w:rsidRPr="00845EA4">
        <w:rPr>
          <w:rFonts w:eastAsia="Times New Roman" w:cs="Tahoma"/>
          <w:bCs/>
          <w:color w:val="auto"/>
          <w:lang w:val="es-ES_tradnl" w:eastAsia="es-ES"/>
        </w:rPr>
        <w:t>cual fue notificado a las parte</w:t>
      </w:r>
      <w:r w:rsidR="00840536" w:rsidRPr="00845EA4">
        <w:rPr>
          <w:rFonts w:eastAsia="Times New Roman" w:cs="Tahoma"/>
          <w:bCs/>
          <w:color w:val="auto"/>
          <w:lang w:val="es-ES_tradnl" w:eastAsia="es-ES"/>
        </w:rPr>
        <w:t>s</w:t>
      </w:r>
      <w:r w:rsidR="007A1139" w:rsidRPr="00845EA4">
        <w:rPr>
          <w:rFonts w:eastAsia="Times New Roman" w:cs="Tahoma"/>
          <w:bCs/>
          <w:color w:val="auto"/>
          <w:lang w:val="es-ES_tradnl" w:eastAsia="es-ES"/>
        </w:rPr>
        <w:t xml:space="preserve">, el </w:t>
      </w:r>
      <w:r w:rsidR="000B4EB7" w:rsidRPr="00845EA4">
        <w:rPr>
          <w:rFonts w:eastAsia="Times New Roman" w:cs="Tahoma"/>
          <w:bCs/>
          <w:color w:val="auto"/>
          <w:lang w:val="es-ES_tradnl" w:eastAsia="es-ES"/>
        </w:rPr>
        <w:t>dos de mayo del mismo año</w:t>
      </w:r>
      <w:r w:rsidR="00CB7980" w:rsidRPr="00845EA4">
        <w:rPr>
          <w:rFonts w:eastAsia="Times New Roman" w:cs="Tahoma"/>
          <w:bCs/>
          <w:color w:val="auto"/>
          <w:lang w:val="es-ES_tradnl" w:eastAsia="es-ES"/>
        </w:rPr>
        <w:t xml:space="preserve">, </w:t>
      </w:r>
      <w:r w:rsidRPr="00845EA4">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845EA4" w:rsidRDefault="00EC77D9" w:rsidP="003B510C">
      <w:pPr>
        <w:spacing w:after="0" w:line="360" w:lineRule="auto"/>
        <w:rPr>
          <w:rFonts w:cs="Tahoma"/>
        </w:rPr>
      </w:pPr>
    </w:p>
    <w:p w14:paraId="50834C70" w14:textId="77777777" w:rsidR="00EC77D9" w:rsidRPr="00845EA4" w:rsidRDefault="00EC77D9" w:rsidP="003B510C">
      <w:pPr>
        <w:spacing w:after="0" w:line="360" w:lineRule="auto"/>
        <w:rPr>
          <w:rFonts w:eastAsia="Times New Roman" w:cs="Tahoma"/>
          <w:bCs/>
          <w:iCs/>
          <w:color w:val="auto"/>
          <w:lang w:val="es-ES" w:eastAsia="es-ES"/>
        </w:rPr>
      </w:pPr>
      <w:r w:rsidRPr="00845EA4">
        <w:rPr>
          <w:rFonts w:eastAsia="Times New Roman" w:cs="Tahoma"/>
          <w:b/>
          <w:bCs/>
          <w:color w:val="auto"/>
          <w:lang w:eastAsia="es-ES"/>
        </w:rPr>
        <w:t xml:space="preserve">c) </w:t>
      </w:r>
      <w:r w:rsidRPr="00845EA4">
        <w:rPr>
          <w:rFonts w:cs="Tahoma"/>
          <w:b/>
          <w:lang w:val="es-ES_tradnl"/>
        </w:rPr>
        <w:t xml:space="preserve">Informe Justificado o Manifestaciones. </w:t>
      </w:r>
      <w:r w:rsidRPr="00845EA4">
        <w:rPr>
          <w:rFonts w:cs="Tahoma"/>
          <w:lang w:val="es-ES_tradnl"/>
        </w:rPr>
        <w:t>Las partes fueron omisas en emitir manifestaciones o alegatos.</w:t>
      </w:r>
    </w:p>
    <w:p w14:paraId="5818420C" w14:textId="77777777" w:rsidR="00EC77D9" w:rsidRPr="00845EA4" w:rsidRDefault="00EC77D9" w:rsidP="003B510C">
      <w:pPr>
        <w:widowControl w:val="0"/>
        <w:spacing w:after="0" w:line="360" w:lineRule="auto"/>
        <w:rPr>
          <w:rFonts w:eastAsia="Times New Roman" w:cs="Tahoma"/>
          <w:b/>
          <w:color w:val="auto"/>
          <w:lang w:eastAsia="es-ES"/>
        </w:rPr>
      </w:pPr>
    </w:p>
    <w:p w14:paraId="35AAACA3" w14:textId="2ACD438D" w:rsidR="00EC77D9" w:rsidRPr="00845EA4" w:rsidRDefault="00EC77D9" w:rsidP="003B510C">
      <w:pPr>
        <w:widowControl w:val="0"/>
        <w:spacing w:after="0" w:line="360" w:lineRule="auto"/>
        <w:rPr>
          <w:rFonts w:eastAsia="Times New Roman" w:cs="Tahoma"/>
          <w:color w:val="auto"/>
          <w:lang w:val="es-ES" w:eastAsia="es-ES"/>
        </w:rPr>
      </w:pPr>
      <w:r w:rsidRPr="00845EA4">
        <w:rPr>
          <w:rFonts w:eastAsia="Times New Roman" w:cs="Tahoma"/>
          <w:b/>
          <w:color w:val="auto"/>
          <w:lang w:eastAsia="es-ES"/>
        </w:rPr>
        <w:t>d) Cierre de instrucción.</w:t>
      </w:r>
      <w:r w:rsidRPr="00845EA4">
        <w:rPr>
          <w:rFonts w:eastAsia="Times New Roman" w:cs="Tahoma"/>
          <w:color w:val="auto"/>
          <w:lang w:eastAsia="es-ES"/>
        </w:rPr>
        <w:t xml:space="preserve"> El </w:t>
      </w:r>
      <w:r w:rsidR="000B4EB7" w:rsidRPr="00845EA4">
        <w:rPr>
          <w:rFonts w:eastAsia="Times New Roman" w:cs="Tahoma"/>
          <w:color w:val="auto"/>
          <w:lang w:eastAsia="es-ES"/>
        </w:rPr>
        <w:t>diecisiete</w:t>
      </w:r>
      <w:r w:rsidR="007F20F1" w:rsidRPr="00845EA4">
        <w:rPr>
          <w:rFonts w:eastAsia="Times New Roman" w:cs="Tahoma"/>
          <w:color w:val="auto"/>
          <w:lang w:eastAsia="es-ES"/>
        </w:rPr>
        <w:t xml:space="preserve"> de </w:t>
      </w:r>
      <w:r w:rsidR="00840536" w:rsidRPr="00845EA4">
        <w:rPr>
          <w:rFonts w:eastAsia="Times New Roman" w:cs="Tahoma"/>
          <w:color w:val="auto"/>
          <w:lang w:eastAsia="es-ES"/>
        </w:rPr>
        <w:t>mayo</w:t>
      </w:r>
      <w:r w:rsidRPr="00845EA4">
        <w:rPr>
          <w:rFonts w:eastAsia="Times New Roman" w:cs="Tahoma"/>
          <w:color w:val="auto"/>
          <w:lang w:eastAsia="es-ES"/>
        </w:rPr>
        <w:t xml:space="preserve"> de dos mil veinti</w:t>
      </w:r>
      <w:r w:rsidR="00DD7A69" w:rsidRPr="00845EA4">
        <w:rPr>
          <w:rFonts w:eastAsia="Times New Roman" w:cs="Tahoma"/>
          <w:color w:val="auto"/>
          <w:lang w:eastAsia="es-ES"/>
        </w:rPr>
        <w:t>trés</w:t>
      </w:r>
      <w:r w:rsidRPr="00845EA4">
        <w:rPr>
          <w:rFonts w:eastAsia="Times New Roman" w:cs="Tahoma"/>
          <w:color w:val="auto"/>
          <w:lang w:eastAsia="es-ES"/>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w:t>
      </w:r>
      <w:r w:rsidR="00840536" w:rsidRPr="00845EA4">
        <w:rPr>
          <w:rFonts w:eastAsia="Times New Roman" w:cs="Tahoma"/>
          <w:color w:val="auto"/>
          <w:lang w:eastAsia="es-ES"/>
        </w:rPr>
        <w:t xml:space="preserve"> ocho del mismo mes y año</w:t>
      </w:r>
      <w:r w:rsidRPr="00845EA4">
        <w:rPr>
          <w:rFonts w:eastAsia="Times New Roman" w:cs="Tahoma"/>
          <w:color w:val="auto"/>
          <w:lang w:eastAsia="es-ES"/>
        </w:rPr>
        <w:t xml:space="preserve">, a través del </w:t>
      </w:r>
      <w:r w:rsidRPr="00845EA4">
        <w:rPr>
          <w:rFonts w:eastAsia="Times New Roman" w:cs="Tahoma"/>
          <w:color w:val="auto"/>
          <w:lang w:val="es-ES" w:eastAsia="es-ES"/>
        </w:rPr>
        <w:t>Sistema de Acceso a la Información Mexiquense (SAIMEX)</w:t>
      </w:r>
      <w:r w:rsidRPr="00845EA4">
        <w:rPr>
          <w:rFonts w:eastAsia="Times New Roman" w:cs="Tahoma"/>
          <w:color w:val="auto"/>
          <w:lang w:eastAsia="es-ES"/>
        </w:rPr>
        <w:t xml:space="preserve">. </w:t>
      </w:r>
    </w:p>
    <w:p w14:paraId="6FADC0BA" w14:textId="77777777" w:rsidR="00EC77D9" w:rsidRPr="00845EA4" w:rsidRDefault="00EC77D9" w:rsidP="003B510C">
      <w:pPr>
        <w:spacing w:after="0" w:line="360" w:lineRule="auto"/>
        <w:rPr>
          <w:rFonts w:eastAsia="Times New Roman" w:cs="Tahoma"/>
          <w:color w:val="auto"/>
          <w:lang w:eastAsia="es-ES"/>
        </w:rPr>
      </w:pPr>
    </w:p>
    <w:p w14:paraId="77C7A5C4" w14:textId="77777777" w:rsidR="00EC77D9" w:rsidRPr="00845EA4" w:rsidRDefault="00EC77D9" w:rsidP="003B510C">
      <w:pPr>
        <w:spacing w:after="0" w:line="360" w:lineRule="auto"/>
        <w:rPr>
          <w:rFonts w:eastAsia="Times New Roman" w:cs="Tahoma"/>
          <w:color w:val="000000"/>
          <w:lang w:eastAsia="es-ES"/>
        </w:rPr>
      </w:pPr>
      <w:r w:rsidRPr="00845EA4">
        <w:rPr>
          <w:rFonts w:eastAsia="Times New Roman" w:cs="Tahoma"/>
          <w:color w:val="000000"/>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845EA4" w:rsidRDefault="00EC77D9" w:rsidP="003B510C">
      <w:pPr>
        <w:spacing w:after="0" w:line="360" w:lineRule="auto"/>
        <w:rPr>
          <w:rFonts w:eastAsia="Times New Roman" w:cs="Tahoma"/>
          <w:bCs/>
          <w:iCs/>
          <w:color w:val="auto"/>
          <w:lang w:val="es-ES" w:eastAsia="es-ES"/>
        </w:rPr>
      </w:pPr>
    </w:p>
    <w:p w14:paraId="4B442488" w14:textId="77777777" w:rsidR="00EC77D9" w:rsidRPr="00845EA4" w:rsidRDefault="00EC77D9" w:rsidP="003B510C">
      <w:pPr>
        <w:spacing w:after="0" w:line="360" w:lineRule="auto"/>
        <w:jc w:val="center"/>
        <w:rPr>
          <w:rFonts w:eastAsia="Times New Roman" w:cs="Tahoma"/>
          <w:b/>
          <w:color w:val="auto"/>
          <w:lang w:val="es-ES" w:eastAsia="es-ES"/>
        </w:rPr>
      </w:pPr>
      <w:r w:rsidRPr="00845EA4">
        <w:rPr>
          <w:rFonts w:eastAsia="Times New Roman" w:cs="Tahoma"/>
          <w:b/>
          <w:color w:val="auto"/>
          <w:lang w:val="es-ES" w:eastAsia="es-ES"/>
        </w:rPr>
        <w:t>C O N S I D E R A N D O S:</w:t>
      </w:r>
    </w:p>
    <w:p w14:paraId="103A6474" w14:textId="77777777" w:rsidR="00EC77D9" w:rsidRPr="00845EA4" w:rsidRDefault="00EC77D9" w:rsidP="003B510C">
      <w:pPr>
        <w:spacing w:after="0" w:line="360" w:lineRule="auto"/>
        <w:jc w:val="center"/>
        <w:rPr>
          <w:rFonts w:eastAsia="Times New Roman" w:cs="Tahoma"/>
          <w:b/>
          <w:color w:val="auto"/>
          <w:lang w:val="es-ES" w:eastAsia="es-ES"/>
        </w:rPr>
      </w:pPr>
    </w:p>
    <w:p w14:paraId="2B2C70F6" w14:textId="77777777" w:rsidR="00EC77D9" w:rsidRPr="00845EA4" w:rsidRDefault="00EC77D9" w:rsidP="003B510C">
      <w:pPr>
        <w:autoSpaceDE w:val="0"/>
        <w:autoSpaceDN w:val="0"/>
        <w:adjustRightInd w:val="0"/>
        <w:spacing w:after="0" w:line="360" w:lineRule="auto"/>
        <w:rPr>
          <w:rFonts w:eastAsia="Times New Roman" w:cs="Tahoma"/>
          <w:b/>
          <w:color w:val="auto"/>
          <w:lang w:val="es-ES" w:eastAsia="es-ES"/>
        </w:rPr>
      </w:pPr>
      <w:r w:rsidRPr="00845EA4">
        <w:rPr>
          <w:rFonts w:eastAsia="Calibri" w:cs="Tahoma"/>
          <w:b/>
          <w:color w:val="000000"/>
          <w:lang w:val="es-ES" w:eastAsia="es-MX"/>
        </w:rPr>
        <w:t>PRIMERO</w:t>
      </w:r>
      <w:r w:rsidRPr="00845EA4">
        <w:rPr>
          <w:rFonts w:eastAsia="Calibri" w:cs="Tahoma"/>
          <w:color w:val="000000"/>
          <w:lang w:val="es-ES" w:eastAsia="es-MX"/>
        </w:rPr>
        <w:t xml:space="preserve">. </w:t>
      </w:r>
      <w:r w:rsidRPr="00845EA4">
        <w:rPr>
          <w:rFonts w:eastAsia="Times New Roman" w:cs="Tahoma"/>
          <w:b/>
          <w:color w:val="auto"/>
          <w:lang w:val="es-ES" w:eastAsia="es-ES"/>
        </w:rPr>
        <w:t>Competencia.</w:t>
      </w:r>
    </w:p>
    <w:p w14:paraId="62F65765" w14:textId="77777777" w:rsidR="00EC77D9" w:rsidRPr="00845EA4" w:rsidRDefault="00EC77D9" w:rsidP="003B510C">
      <w:pPr>
        <w:autoSpaceDE w:val="0"/>
        <w:autoSpaceDN w:val="0"/>
        <w:adjustRightInd w:val="0"/>
        <w:spacing w:after="0" w:line="360" w:lineRule="auto"/>
        <w:rPr>
          <w:rFonts w:eastAsia="Times New Roman" w:cs="Tahoma"/>
          <w:b/>
          <w:color w:val="auto"/>
          <w:lang w:val="es-ES" w:eastAsia="es-ES"/>
        </w:rPr>
      </w:pPr>
    </w:p>
    <w:p w14:paraId="1F83A937" w14:textId="40CBA184" w:rsidR="00EC77D9" w:rsidRPr="00845EA4" w:rsidRDefault="00EC77D9" w:rsidP="003B510C">
      <w:pPr>
        <w:spacing w:after="0" w:line="360" w:lineRule="auto"/>
        <w:rPr>
          <w:rFonts w:eastAsia="Times New Roman" w:cs="Tahoma"/>
          <w:bCs/>
          <w:color w:val="auto"/>
          <w:lang w:eastAsia="es-ES"/>
        </w:rPr>
      </w:pPr>
      <w:bookmarkStart w:id="0" w:name="_Hlk63334754"/>
      <w:r w:rsidRPr="00845EA4">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45EA4">
        <w:rPr>
          <w:rFonts w:eastAsia="Times New Roman" w:cs="Times New Roman"/>
          <w:bCs/>
          <w:color w:val="auto"/>
          <w:lang w:eastAsia="es-ES"/>
        </w:rPr>
        <w:t xml:space="preserve"> 7°, </w:t>
      </w:r>
      <w:r w:rsidRPr="00845EA4">
        <w:rPr>
          <w:rFonts w:eastAsia="Times New Roman" w:cs="Tahoma"/>
          <w:bCs/>
          <w:color w:val="auto"/>
          <w:lang w:eastAsia="es-ES"/>
        </w:rPr>
        <w:t>9°, fracciones I y XXI</w:t>
      </w:r>
      <w:r w:rsidR="00CD61EE" w:rsidRPr="00845EA4">
        <w:rPr>
          <w:rFonts w:eastAsia="Times New Roman" w:cs="Tahoma"/>
          <w:bCs/>
          <w:color w:val="auto"/>
          <w:lang w:eastAsia="es-ES"/>
        </w:rPr>
        <w:t>II</w:t>
      </w:r>
      <w:r w:rsidRPr="00845EA4">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18FF6F8F" w14:textId="77777777" w:rsidR="00EC77D9" w:rsidRPr="00845EA4" w:rsidRDefault="00EC77D9" w:rsidP="003B510C">
      <w:pPr>
        <w:spacing w:after="0" w:line="360" w:lineRule="auto"/>
      </w:pPr>
    </w:p>
    <w:p w14:paraId="1A678CDB" w14:textId="6A36CEB4" w:rsidR="00EC77D9" w:rsidRPr="00845EA4" w:rsidRDefault="00EC77D9" w:rsidP="003B510C">
      <w:pPr>
        <w:autoSpaceDE w:val="0"/>
        <w:autoSpaceDN w:val="0"/>
        <w:adjustRightInd w:val="0"/>
        <w:spacing w:after="0" w:line="360" w:lineRule="auto"/>
        <w:rPr>
          <w:rFonts w:eastAsia="Times New Roman" w:cs="Tahoma"/>
          <w:color w:val="auto"/>
          <w:lang w:val="es-ES" w:eastAsia="es-ES"/>
        </w:rPr>
      </w:pPr>
      <w:r w:rsidRPr="00845EA4">
        <w:rPr>
          <w:rFonts w:eastAsia="Calibri" w:cs="Tahoma"/>
          <w:b/>
          <w:color w:val="000000"/>
          <w:lang w:val="es-ES" w:eastAsia="es-MX"/>
        </w:rPr>
        <w:t>SEGUNDO</w:t>
      </w:r>
      <w:r w:rsidRPr="00845EA4">
        <w:rPr>
          <w:rFonts w:eastAsia="Calibri" w:cs="Tahoma"/>
          <w:color w:val="000000"/>
          <w:lang w:val="es-ES" w:eastAsia="es-MX"/>
        </w:rPr>
        <w:t xml:space="preserve">. </w:t>
      </w:r>
      <w:r w:rsidRPr="00845EA4">
        <w:rPr>
          <w:rFonts w:eastAsia="Times New Roman" w:cs="Tahoma"/>
          <w:b/>
          <w:color w:val="auto"/>
          <w:lang w:val="es-ES" w:eastAsia="es-ES"/>
        </w:rPr>
        <w:t>Causales de improcedencia y sobreseimiento.</w:t>
      </w:r>
      <w:r w:rsidRPr="00845EA4">
        <w:rPr>
          <w:rFonts w:eastAsia="Times New Roman" w:cs="Tahoma"/>
          <w:color w:val="auto"/>
          <w:lang w:val="es-ES" w:eastAsia="es-ES"/>
        </w:rPr>
        <w:t xml:space="preserve"> </w:t>
      </w:r>
    </w:p>
    <w:p w14:paraId="53A4CC85" w14:textId="77777777" w:rsidR="007F20F1" w:rsidRPr="00845EA4" w:rsidRDefault="007F20F1" w:rsidP="003B510C">
      <w:pPr>
        <w:autoSpaceDE w:val="0"/>
        <w:autoSpaceDN w:val="0"/>
        <w:adjustRightInd w:val="0"/>
        <w:spacing w:after="0" w:line="360" w:lineRule="auto"/>
        <w:rPr>
          <w:rFonts w:eastAsia="Times New Roman" w:cs="Tahoma"/>
          <w:color w:val="auto"/>
          <w:lang w:val="es-ES" w:eastAsia="es-ES"/>
        </w:rPr>
      </w:pPr>
    </w:p>
    <w:p w14:paraId="5E0147CF" w14:textId="77777777" w:rsidR="00EC77D9" w:rsidRPr="00845EA4" w:rsidRDefault="00EC77D9" w:rsidP="003B510C">
      <w:pPr>
        <w:autoSpaceDE w:val="0"/>
        <w:autoSpaceDN w:val="0"/>
        <w:adjustRightInd w:val="0"/>
        <w:spacing w:after="0" w:line="360" w:lineRule="auto"/>
        <w:rPr>
          <w:rFonts w:eastAsia="Times New Roman" w:cs="Tahoma"/>
          <w:color w:val="auto"/>
          <w:lang w:val="es-ES" w:eastAsia="es-ES"/>
        </w:rPr>
      </w:pPr>
      <w:r w:rsidRPr="00845EA4">
        <w:rPr>
          <w:rFonts w:eastAsia="Times New Roman" w:cs="Tahoma"/>
          <w:color w:val="auto"/>
          <w:lang w:val="es-ES" w:eastAsia="es-ES"/>
        </w:rPr>
        <w:t xml:space="preserve">De las constancias que forma parte del Recurso de Revisión que se analiza, se advierte que previo al estudio del fondo de la </w:t>
      </w:r>
      <w:r w:rsidRPr="00845EA4">
        <w:rPr>
          <w:rFonts w:eastAsia="Times New Roman" w:cs="Tahoma"/>
          <w:i/>
          <w:color w:val="auto"/>
          <w:lang w:val="es-ES" w:eastAsia="es-ES"/>
        </w:rPr>
        <w:t>litis</w:t>
      </w:r>
      <w:r w:rsidRPr="00845EA4">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845EA4" w:rsidRDefault="00EC77D9" w:rsidP="003B510C">
      <w:pPr>
        <w:autoSpaceDE w:val="0"/>
        <w:autoSpaceDN w:val="0"/>
        <w:adjustRightInd w:val="0"/>
        <w:spacing w:after="0" w:line="360" w:lineRule="auto"/>
        <w:rPr>
          <w:rFonts w:eastAsia="Times New Roman" w:cs="Tahoma"/>
          <w:color w:val="auto"/>
          <w:lang w:val="es-ES" w:eastAsia="es-ES"/>
        </w:rPr>
      </w:pPr>
    </w:p>
    <w:p w14:paraId="3B9478FB" w14:textId="77777777" w:rsidR="00EC77D9" w:rsidRPr="00845EA4" w:rsidRDefault="00EC77D9" w:rsidP="003B510C">
      <w:pPr>
        <w:spacing w:after="0" w:line="360" w:lineRule="auto"/>
        <w:rPr>
          <w:b/>
          <w:lang w:val="es-ES"/>
        </w:rPr>
      </w:pPr>
      <w:r w:rsidRPr="00845EA4">
        <w:rPr>
          <w:b/>
          <w:lang w:val="es-ES"/>
        </w:rPr>
        <w:lastRenderedPageBreak/>
        <w:t>Causales de improcedencia</w:t>
      </w:r>
    </w:p>
    <w:p w14:paraId="49F1FD7D" w14:textId="77777777" w:rsidR="00EC77D9" w:rsidRPr="00845EA4" w:rsidRDefault="00EC77D9" w:rsidP="003B510C">
      <w:pPr>
        <w:spacing w:after="0" w:line="360" w:lineRule="auto"/>
      </w:pPr>
    </w:p>
    <w:p w14:paraId="6396891D" w14:textId="77777777" w:rsidR="00EC77D9" w:rsidRPr="00845EA4" w:rsidRDefault="00EC77D9" w:rsidP="003B510C">
      <w:pPr>
        <w:spacing w:after="0" w:line="360" w:lineRule="auto"/>
        <w:rPr>
          <w:rFonts w:eastAsia="Times New Roman" w:cs="Tahoma"/>
          <w:color w:val="auto"/>
          <w:lang w:eastAsia="es-ES"/>
        </w:rPr>
      </w:pPr>
      <w:r w:rsidRPr="00845EA4">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845EA4" w:rsidRDefault="00EC77D9" w:rsidP="003B510C">
      <w:pPr>
        <w:spacing w:after="0" w:line="360" w:lineRule="auto"/>
        <w:rPr>
          <w:rFonts w:eastAsia="Times New Roman" w:cs="Tahoma"/>
          <w:color w:val="auto"/>
          <w:lang w:eastAsia="es-ES"/>
        </w:rPr>
      </w:pPr>
    </w:p>
    <w:p w14:paraId="09D4E746" w14:textId="07DFEDA1" w:rsidR="00EC77D9" w:rsidRPr="00845EA4" w:rsidRDefault="00EC77D9" w:rsidP="003B510C">
      <w:pPr>
        <w:spacing w:after="0" w:line="360" w:lineRule="auto"/>
        <w:rPr>
          <w:rFonts w:eastAsia="Times New Roman" w:cs="Tahoma"/>
          <w:color w:val="auto"/>
          <w:lang w:eastAsia="es-ES"/>
        </w:rPr>
      </w:pPr>
      <w:r w:rsidRPr="00845EA4">
        <w:rPr>
          <w:rFonts w:eastAsia="Times New Roman" w:cs="Tahoma"/>
          <w:color w:val="auto"/>
          <w:lang w:eastAsia="es-ES"/>
        </w:rPr>
        <w:t>En el presente caso, </w:t>
      </w:r>
      <w:r w:rsidRPr="00845EA4">
        <w:rPr>
          <w:rFonts w:eastAsia="Times New Roman" w:cs="Tahoma"/>
          <w:b/>
          <w:bCs/>
          <w:color w:val="auto"/>
          <w:lang w:eastAsia="es-ES"/>
        </w:rPr>
        <w:t>no se actualiza ninguna de las causales de improcedencia</w:t>
      </w:r>
      <w:r w:rsidRPr="00845EA4">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845EA4">
        <w:rPr>
          <w:rFonts w:eastAsia="Times New Roman" w:cs="Tahoma"/>
          <w:color w:val="auto"/>
          <w:lang w:eastAsia="es-ES"/>
        </w:rPr>
        <w:t xml:space="preserve">parte </w:t>
      </w:r>
      <w:r w:rsidRPr="00845EA4">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845EA4" w:rsidRDefault="00AF590D" w:rsidP="003B510C">
      <w:pPr>
        <w:spacing w:after="0" w:line="360" w:lineRule="auto"/>
        <w:rPr>
          <w:rFonts w:eastAsia="Times New Roman" w:cs="Tahoma"/>
          <w:color w:val="auto"/>
          <w:lang w:eastAsia="es-ES"/>
        </w:rPr>
      </w:pPr>
    </w:p>
    <w:p w14:paraId="24171D74" w14:textId="77777777" w:rsidR="00EC77D9" w:rsidRPr="00845EA4" w:rsidRDefault="00EC77D9" w:rsidP="003B510C">
      <w:pPr>
        <w:spacing w:after="0" w:line="360" w:lineRule="auto"/>
        <w:rPr>
          <w:rFonts w:eastAsia="Times New Roman" w:cs="Tahoma"/>
          <w:color w:val="auto"/>
          <w:lang w:val="es-ES" w:eastAsia="es-ES"/>
        </w:rPr>
      </w:pPr>
      <w:r w:rsidRPr="00845EA4">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845EA4">
        <w:rPr>
          <w:rFonts w:eastAsia="Times New Roman" w:cs="Tahoma"/>
          <w:b/>
          <w:color w:val="auto"/>
          <w:lang w:val="es-ES" w:eastAsia="es-ES"/>
        </w:rPr>
        <w:t>negativa ficta</w:t>
      </w:r>
      <w:r w:rsidRPr="00845EA4">
        <w:rPr>
          <w:rFonts w:eastAsia="Times New Roman" w:cs="Tahoma"/>
          <w:color w:val="auto"/>
          <w:lang w:val="es-ES" w:eastAsia="es-ES"/>
        </w:rPr>
        <w:t xml:space="preserve">, que genera la posibilidad de los particulares de interponer un recurso de revisión ante tal omisión, </w:t>
      </w:r>
      <w:r w:rsidRPr="00845EA4">
        <w:rPr>
          <w:rFonts w:eastAsia="Times New Roman" w:cs="Tahoma"/>
          <w:color w:val="auto"/>
          <w:u w:val="single"/>
          <w:lang w:val="es-ES" w:eastAsia="es-ES"/>
        </w:rPr>
        <w:t>en cualquier momento</w:t>
      </w:r>
      <w:r w:rsidRPr="00845EA4">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845EA4" w:rsidRDefault="00EC77D9" w:rsidP="003B510C">
      <w:pPr>
        <w:spacing w:after="0" w:line="360" w:lineRule="auto"/>
        <w:rPr>
          <w:rFonts w:eastAsia="Times New Roman" w:cs="Tahoma"/>
          <w:color w:val="auto"/>
          <w:lang w:val="es-ES" w:eastAsia="es-ES"/>
        </w:rPr>
      </w:pPr>
    </w:p>
    <w:p w14:paraId="7A1A32E3" w14:textId="30F6D611" w:rsidR="00EC77D9" w:rsidRPr="00845EA4" w:rsidRDefault="00EC77D9" w:rsidP="003B510C">
      <w:pPr>
        <w:spacing w:after="0" w:line="360" w:lineRule="auto"/>
        <w:rPr>
          <w:rFonts w:eastAsia="Times New Roman" w:cs="Tahoma"/>
          <w:bCs/>
          <w:color w:val="auto"/>
          <w:lang w:val="es-ES" w:eastAsia="es-ES"/>
        </w:rPr>
      </w:pPr>
      <w:r w:rsidRPr="00845EA4">
        <w:rPr>
          <w:rFonts w:eastAsia="Times New Roman" w:cs="Tahoma"/>
          <w:color w:val="auto"/>
          <w:lang w:val="es-ES" w:eastAsia="es-ES"/>
        </w:rPr>
        <w:lastRenderedPageBreak/>
        <w:t>Conforme a lo anterior, se actualiza la causal de procedencia señalada en el artículo 179, fracción VII, de la Ley de la materia</w:t>
      </w:r>
      <w:r w:rsidRPr="00845EA4">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845EA4" w:rsidRDefault="008C7A9D" w:rsidP="003B510C">
      <w:pPr>
        <w:spacing w:after="0" w:line="360" w:lineRule="auto"/>
        <w:rPr>
          <w:rFonts w:eastAsia="Times New Roman" w:cs="Tahoma"/>
          <w:bCs/>
          <w:color w:val="auto"/>
          <w:lang w:val="es-ES" w:eastAsia="es-ES"/>
        </w:rPr>
      </w:pPr>
    </w:p>
    <w:p w14:paraId="7B14536E" w14:textId="0D9B7EFF" w:rsidR="00EC77D9" w:rsidRPr="00845EA4" w:rsidRDefault="00EC77D9" w:rsidP="003B510C">
      <w:pPr>
        <w:spacing w:after="0" w:line="360" w:lineRule="auto"/>
        <w:rPr>
          <w:rFonts w:eastAsia="Times New Roman" w:cs="Tahoma"/>
          <w:b/>
          <w:bCs/>
          <w:color w:val="0D0D0D" w:themeColor="text1" w:themeTint="F2"/>
          <w:lang w:eastAsia="es-ES"/>
        </w:rPr>
      </w:pPr>
      <w:r w:rsidRPr="00845EA4">
        <w:rPr>
          <w:rFonts w:eastAsia="Times New Roman" w:cs="Tahoma"/>
          <w:b/>
          <w:bCs/>
          <w:color w:val="0D0D0D" w:themeColor="text1" w:themeTint="F2"/>
          <w:lang w:eastAsia="es-ES"/>
        </w:rPr>
        <w:t>Causales de sobreseimiento.</w:t>
      </w:r>
    </w:p>
    <w:p w14:paraId="2163A95F" w14:textId="77777777" w:rsidR="007D64DF" w:rsidRPr="00845EA4" w:rsidRDefault="007D64DF" w:rsidP="003B510C">
      <w:pPr>
        <w:spacing w:after="0" w:line="360" w:lineRule="auto"/>
        <w:rPr>
          <w:rFonts w:eastAsia="Times New Roman" w:cs="Tahoma"/>
          <w:bCs/>
          <w:color w:val="0D0D0D" w:themeColor="text1" w:themeTint="F2"/>
          <w:lang w:eastAsia="es-ES"/>
        </w:rPr>
      </w:pPr>
    </w:p>
    <w:p w14:paraId="63CB641D" w14:textId="77777777" w:rsidR="006607EA" w:rsidRPr="00845EA4" w:rsidRDefault="00EC77D9" w:rsidP="003B510C">
      <w:pPr>
        <w:spacing w:after="0" w:line="360" w:lineRule="auto"/>
        <w:rPr>
          <w:rFonts w:eastAsia="Times New Roman" w:cs="Tahoma"/>
          <w:bCs/>
          <w:color w:val="0D0D0D" w:themeColor="text1" w:themeTint="F2"/>
          <w:lang w:eastAsia="es-ES"/>
        </w:rPr>
      </w:pPr>
      <w:r w:rsidRPr="00845EA4">
        <w:rPr>
          <w:rFonts w:eastAsia="Times New Roman" w:cs="Tahoma"/>
          <w:bCs/>
          <w:color w:val="0D0D0D" w:themeColor="text1" w:themeTint="F2"/>
          <w:lang w:eastAsia="es-ES"/>
        </w:rPr>
        <w:t>Por ser de previo y especial pronunciamiento, este Instituto analiza si se actualiza alguna causal de sobreseimiento.</w:t>
      </w:r>
      <w:r w:rsidR="00B61BF0" w:rsidRPr="00845EA4">
        <w:rPr>
          <w:rFonts w:eastAsia="Times New Roman" w:cs="Tahoma"/>
          <w:bCs/>
          <w:color w:val="0D0D0D" w:themeColor="text1" w:themeTint="F2"/>
          <w:lang w:eastAsia="es-ES"/>
        </w:rPr>
        <w:t xml:space="preserve"> </w:t>
      </w:r>
    </w:p>
    <w:p w14:paraId="1DA7DE69" w14:textId="77777777" w:rsidR="006607EA" w:rsidRPr="00845EA4" w:rsidRDefault="006607EA" w:rsidP="003B510C">
      <w:pPr>
        <w:spacing w:after="0" w:line="360" w:lineRule="auto"/>
        <w:rPr>
          <w:rFonts w:eastAsia="Times New Roman" w:cs="Tahoma"/>
          <w:bCs/>
          <w:color w:val="0D0D0D" w:themeColor="text1" w:themeTint="F2"/>
          <w:lang w:eastAsia="es-ES"/>
        </w:rPr>
      </w:pPr>
    </w:p>
    <w:p w14:paraId="0D0171D0" w14:textId="0CCC88C6" w:rsidR="00EC77D9" w:rsidRPr="00845EA4" w:rsidRDefault="00EC77D9" w:rsidP="003B510C">
      <w:pPr>
        <w:spacing w:after="0" w:line="360" w:lineRule="auto"/>
        <w:rPr>
          <w:rFonts w:eastAsia="Times New Roman" w:cs="Tahoma"/>
          <w:color w:val="auto"/>
          <w:lang w:eastAsia="es-ES"/>
        </w:rPr>
      </w:pPr>
      <w:r w:rsidRPr="00845EA4">
        <w:rPr>
          <w:rFonts w:eastAsia="Times New Roman" w:cs="Tahoma"/>
          <w:bCs/>
          <w:color w:val="0D0D0D" w:themeColor="text1" w:themeTint="F2"/>
          <w:lang w:eastAsia="es-ES"/>
        </w:rPr>
        <w:t>Sobre el tema, e</w:t>
      </w:r>
      <w:r w:rsidRPr="00845EA4">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845EA4" w:rsidRDefault="00EC77D9" w:rsidP="003B510C">
      <w:pPr>
        <w:spacing w:after="0" w:line="360" w:lineRule="auto"/>
        <w:rPr>
          <w:rFonts w:eastAsia="Times New Roman" w:cs="Tahoma"/>
          <w:color w:val="auto"/>
          <w:lang w:eastAsia="es-ES"/>
        </w:rPr>
      </w:pPr>
    </w:p>
    <w:p w14:paraId="10D56242" w14:textId="28D9C3BF" w:rsidR="00EC77D9" w:rsidRPr="00845EA4" w:rsidRDefault="00EC77D9" w:rsidP="003B510C">
      <w:pPr>
        <w:spacing w:after="0" w:line="360" w:lineRule="auto"/>
        <w:rPr>
          <w:rFonts w:eastAsia="Times New Roman" w:cs="Tahoma"/>
          <w:bCs/>
          <w:color w:val="0D0D0D" w:themeColor="text1" w:themeTint="F2"/>
          <w:lang w:eastAsia="es-ES"/>
        </w:rPr>
      </w:pPr>
      <w:r w:rsidRPr="00845EA4">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845EA4" w:rsidRDefault="00DC6ABD" w:rsidP="003B510C">
      <w:pPr>
        <w:spacing w:after="0" w:line="360" w:lineRule="auto"/>
        <w:rPr>
          <w:rFonts w:eastAsia="Times New Roman" w:cs="Tahoma"/>
          <w:bCs/>
          <w:color w:val="0D0D0D" w:themeColor="text1" w:themeTint="F2"/>
          <w:lang w:eastAsia="es-ES"/>
        </w:rPr>
      </w:pPr>
    </w:p>
    <w:p w14:paraId="2AEBE5D0" w14:textId="456248EC" w:rsidR="00A2050F" w:rsidRPr="00845EA4" w:rsidRDefault="00EC77D9" w:rsidP="003B510C">
      <w:pPr>
        <w:spacing w:after="0" w:line="360" w:lineRule="auto"/>
        <w:rPr>
          <w:rFonts w:eastAsia="Times New Roman" w:cs="Tahoma"/>
          <w:b/>
          <w:bCs/>
          <w:iCs/>
          <w:color w:val="auto"/>
          <w:lang w:val="es-ES" w:eastAsia="es-ES"/>
        </w:rPr>
      </w:pPr>
      <w:r w:rsidRPr="00845EA4">
        <w:rPr>
          <w:rFonts w:eastAsia="Times New Roman" w:cs="Tahoma"/>
          <w:b/>
          <w:bCs/>
          <w:iCs/>
          <w:color w:val="auto"/>
          <w:lang w:val="es-ES" w:eastAsia="es-ES"/>
        </w:rPr>
        <w:t xml:space="preserve">TERCERO. Determinación de la Controversia. </w:t>
      </w:r>
    </w:p>
    <w:p w14:paraId="66946365" w14:textId="65B5F57A" w:rsidR="00A2050F" w:rsidRPr="00845EA4" w:rsidRDefault="00A2050F" w:rsidP="003B510C">
      <w:pPr>
        <w:spacing w:after="0" w:line="360" w:lineRule="auto"/>
        <w:rPr>
          <w:rFonts w:eastAsia="Times New Roman" w:cs="Tahoma"/>
          <w:b/>
          <w:bCs/>
          <w:iCs/>
          <w:color w:val="auto"/>
          <w:lang w:val="es-ES" w:eastAsia="es-ES"/>
        </w:rPr>
      </w:pPr>
    </w:p>
    <w:p w14:paraId="4F1B6D9A" w14:textId="18442EE9" w:rsidR="007A1139" w:rsidRPr="00845EA4" w:rsidRDefault="00A2050F" w:rsidP="000B4EB7">
      <w:pPr>
        <w:spacing w:after="0" w:line="360" w:lineRule="auto"/>
        <w:rPr>
          <w:rFonts w:cs="Tahoma"/>
        </w:rPr>
      </w:pPr>
      <w:r w:rsidRPr="00845EA4">
        <w:rPr>
          <w:rFonts w:cs="Tahoma"/>
        </w:rPr>
        <w:t xml:space="preserve">Con el objetivo de ilustrar la controversia planteada, resulta conveniente precisar, que una vez realizado el estudio de las constancias que integran el expediente en el que se actúa, se desprende que el Particular </w:t>
      </w:r>
      <w:r w:rsidR="00456251" w:rsidRPr="00845EA4">
        <w:rPr>
          <w:rFonts w:cs="Tahoma"/>
        </w:rPr>
        <w:t>solicitó</w:t>
      </w:r>
      <w:r w:rsidR="00B43AB7" w:rsidRPr="00845EA4">
        <w:rPr>
          <w:rFonts w:cs="Tahoma"/>
        </w:rPr>
        <w:t xml:space="preserve"> </w:t>
      </w:r>
      <w:r w:rsidR="000B4EB7" w:rsidRPr="00845EA4">
        <w:rPr>
          <w:rFonts w:cs="Tahoma"/>
        </w:rPr>
        <w:t>las Actas de Entrega de las obras realizadas</w:t>
      </w:r>
      <w:r w:rsidR="00E23FD7" w:rsidRPr="00845EA4">
        <w:rPr>
          <w:rFonts w:cs="Tahoma"/>
        </w:rPr>
        <w:t>, durante el ejercicio fiscal dos mil veintidós</w:t>
      </w:r>
    </w:p>
    <w:p w14:paraId="08C62585" w14:textId="77777777" w:rsidR="000B4EB7" w:rsidRPr="00845EA4" w:rsidRDefault="000B4EB7" w:rsidP="000B4EB7">
      <w:pPr>
        <w:spacing w:after="0" w:line="360" w:lineRule="auto"/>
        <w:rPr>
          <w:rFonts w:cs="Tahoma"/>
        </w:rPr>
      </w:pPr>
    </w:p>
    <w:p w14:paraId="6BB249AF" w14:textId="0019DE4E" w:rsidR="00EC77D9" w:rsidRPr="00845EA4" w:rsidRDefault="00EC77D9" w:rsidP="003B510C">
      <w:pPr>
        <w:pStyle w:val="NormalWeb"/>
        <w:spacing w:after="0" w:line="360" w:lineRule="auto"/>
        <w:ind w:right="-28"/>
        <w:rPr>
          <w:rFonts w:ascii="Palatino Linotype" w:hAnsi="Palatino Linotype" w:cs="Tahoma"/>
          <w:bCs/>
          <w:iCs/>
          <w:color w:val="auto"/>
          <w:sz w:val="22"/>
          <w:szCs w:val="22"/>
          <w:lang w:val="es-ES" w:eastAsia="es-ES"/>
        </w:rPr>
      </w:pPr>
      <w:r w:rsidRPr="00845EA4">
        <w:rPr>
          <w:rFonts w:ascii="Palatino Linotype" w:hAnsi="Palatino Linotype" w:cs="Tahoma"/>
          <w:bCs/>
          <w:iCs/>
          <w:sz w:val="22"/>
          <w:szCs w:val="22"/>
          <w:lang w:val="es-ES"/>
        </w:rPr>
        <w:lastRenderedPageBreak/>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845EA4">
        <w:rPr>
          <w:rFonts w:ascii="Palatino Linotype" w:hAnsi="Palatino Linotype" w:cs="Tahoma"/>
          <w:bCs/>
          <w:iCs/>
          <w:sz w:val="22"/>
          <w:szCs w:val="22"/>
          <w:shd w:val="clear" w:color="auto" w:fill="FFFFFF"/>
        </w:rPr>
        <w:t xml:space="preserve">. </w:t>
      </w:r>
      <w:r w:rsidRPr="00845EA4">
        <w:rPr>
          <w:rFonts w:ascii="Palatino Linotype" w:hAnsi="Palatino Linotype" w:cs="Tahoma"/>
          <w:sz w:val="22"/>
          <w:szCs w:val="22"/>
          <w:lang w:val="es-ES"/>
        </w:rPr>
        <w:t>Así las cosas, una vez admitido y notificado el Recurso de Revisión a las partes, estas</w:t>
      </w:r>
      <w:r w:rsidRPr="00845EA4">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845EA4" w:rsidRDefault="00EC77D9" w:rsidP="003B510C">
      <w:pPr>
        <w:tabs>
          <w:tab w:val="left" w:pos="4962"/>
        </w:tabs>
        <w:spacing w:after="0" w:line="360" w:lineRule="auto"/>
        <w:rPr>
          <w:rFonts w:eastAsia="Calibri" w:cs="Tahoma"/>
          <w:iCs/>
          <w:lang w:val="es-ES"/>
        </w:rPr>
      </w:pPr>
    </w:p>
    <w:p w14:paraId="6F1CFCEB" w14:textId="77777777" w:rsidR="00EC77D9" w:rsidRPr="00845EA4" w:rsidRDefault="00EC77D9" w:rsidP="003B510C">
      <w:pPr>
        <w:tabs>
          <w:tab w:val="left" w:pos="4962"/>
        </w:tabs>
        <w:spacing w:after="0" w:line="360" w:lineRule="auto"/>
        <w:rPr>
          <w:rFonts w:eastAsia="Calibri" w:cs="Tahoma"/>
          <w:bCs/>
        </w:rPr>
      </w:pPr>
      <w:r w:rsidRPr="00845EA4">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845EA4">
        <w:rPr>
          <w:rFonts w:eastAsia="Calibri" w:cs="Tahoma"/>
          <w:iCs/>
          <w:lang w:eastAsia="es-ES_tradnl"/>
        </w:rPr>
        <w:t xml:space="preserve">y el escrito recursal; </w:t>
      </w:r>
      <w:r w:rsidRPr="00845EA4">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845EA4" w:rsidRDefault="00EC77D9" w:rsidP="003B510C">
      <w:pPr>
        <w:spacing w:after="0" w:line="360" w:lineRule="auto"/>
        <w:rPr>
          <w:rFonts w:eastAsia="Calibri" w:cs="Tahoma"/>
          <w:color w:val="auto"/>
          <w:lang w:eastAsia="es-ES_tradnl"/>
        </w:rPr>
      </w:pPr>
    </w:p>
    <w:p w14:paraId="4AC719C6" w14:textId="77777777" w:rsidR="00EC77D9" w:rsidRPr="00845EA4" w:rsidRDefault="00EC77D9" w:rsidP="003B510C">
      <w:pPr>
        <w:spacing w:after="0" w:line="360" w:lineRule="auto"/>
        <w:rPr>
          <w:rFonts w:eastAsia="Times New Roman" w:cs="Tahoma"/>
          <w:b/>
          <w:bCs/>
          <w:iCs/>
          <w:color w:val="auto"/>
          <w:lang w:eastAsia="es-ES"/>
        </w:rPr>
      </w:pPr>
      <w:r w:rsidRPr="00845EA4">
        <w:rPr>
          <w:rFonts w:eastAsia="Times New Roman" w:cs="Tahoma"/>
          <w:b/>
          <w:bCs/>
          <w:iCs/>
          <w:color w:val="auto"/>
          <w:lang w:val="es-ES" w:eastAsia="es-ES"/>
        </w:rPr>
        <w:t xml:space="preserve">CUARTO. </w:t>
      </w:r>
      <w:r w:rsidRPr="00845EA4">
        <w:rPr>
          <w:rFonts w:eastAsia="Times New Roman" w:cs="Tahoma"/>
          <w:b/>
          <w:bCs/>
          <w:iCs/>
          <w:color w:val="auto"/>
          <w:lang w:eastAsia="es-ES"/>
        </w:rPr>
        <w:t>Marco normativo aplicable en materia de transparencia y acceso a la información pública.</w:t>
      </w:r>
    </w:p>
    <w:p w14:paraId="53349C7E" w14:textId="77777777" w:rsidR="00EC77D9" w:rsidRPr="00845EA4" w:rsidRDefault="00EC77D9" w:rsidP="003B510C">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7585E1D" w14:textId="6CD8436B"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845EA4" w:rsidRDefault="00EC77D9" w:rsidP="003B510C">
      <w:pPr>
        <w:spacing w:after="0" w:line="360" w:lineRule="auto"/>
        <w:rPr>
          <w:rFonts w:eastAsia="Times New Roman" w:cs="Tahoma"/>
          <w:bCs/>
          <w:iCs/>
          <w:color w:val="auto"/>
          <w:lang w:eastAsia="es-ES"/>
        </w:rPr>
      </w:pPr>
    </w:p>
    <w:p w14:paraId="3ECDEC3B" w14:textId="77777777"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6EC33CD" w14:textId="77777777"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14:paraId="7E8BF7BE" w14:textId="77777777" w:rsidR="00EC77D9" w:rsidRPr="00845EA4" w:rsidRDefault="00EC77D9" w:rsidP="003B510C">
      <w:pPr>
        <w:spacing w:after="0" w:line="360" w:lineRule="auto"/>
        <w:rPr>
          <w:rFonts w:eastAsia="Times New Roman" w:cs="Tahoma"/>
          <w:bCs/>
          <w:iCs/>
          <w:color w:val="auto"/>
          <w:lang w:eastAsia="es-ES"/>
        </w:rPr>
      </w:pPr>
    </w:p>
    <w:p w14:paraId="5AAC1DAC" w14:textId="77777777"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El artículo 12, que, quienes generen, recopilen, administren, manejen, procesen, archiven o conserven información pública serán responsables de la misma.</w:t>
      </w:r>
    </w:p>
    <w:p w14:paraId="6A488D60" w14:textId="77777777" w:rsidR="007A1139" w:rsidRPr="00845EA4" w:rsidRDefault="007A1139" w:rsidP="003B510C">
      <w:pPr>
        <w:spacing w:after="0" w:line="360" w:lineRule="auto"/>
        <w:rPr>
          <w:rFonts w:eastAsia="Times New Roman" w:cs="Tahoma"/>
          <w:bCs/>
          <w:iCs/>
          <w:color w:val="auto"/>
          <w:lang w:eastAsia="es-ES"/>
        </w:rPr>
      </w:pPr>
    </w:p>
    <w:p w14:paraId="1A199F11" w14:textId="77777777" w:rsidR="00EC77D9" w:rsidRPr="00845EA4" w:rsidRDefault="00EC77D9" w:rsidP="003B510C">
      <w:pPr>
        <w:widowControl w:val="0"/>
        <w:spacing w:after="0" w:line="360" w:lineRule="auto"/>
        <w:rPr>
          <w:rFonts w:eastAsia="Times New Roman" w:cs="Tahoma"/>
          <w:bCs/>
          <w:iCs/>
          <w:color w:val="auto"/>
          <w:lang w:eastAsia="es-ES"/>
        </w:rPr>
      </w:pPr>
      <w:r w:rsidRPr="00845EA4">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845EA4" w:rsidRDefault="00EC77D9" w:rsidP="003B510C">
      <w:pPr>
        <w:spacing w:after="0" w:line="360" w:lineRule="auto"/>
        <w:rPr>
          <w:rFonts w:eastAsia="Times New Roman" w:cs="Tahoma"/>
          <w:bCs/>
          <w:iCs/>
          <w:color w:val="auto"/>
          <w:lang w:eastAsia="es-ES"/>
        </w:rPr>
      </w:pPr>
    </w:p>
    <w:p w14:paraId="6B93EA99" w14:textId="2691E2CA"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515BDA" w14:textId="77777777" w:rsidR="007A1139" w:rsidRPr="00845EA4" w:rsidRDefault="007A1139" w:rsidP="003B510C">
      <w:pPr>
        <w:spacing w:after="0" w:line="360" w:lineRule="auto"/>
        <w:rPr>
          <w:rFonts w:eastAsia="Times New Roman" w:cs="Tahoma"/>
          <w:bCs/>
          <w:iCs/>
          <w:color w:val="auto"/>
          <w:lang w:eastAsia="es-ES"/>
        </w:rPr>
      </w:pPr>
    </w:p>
    <w:p w14:paraId="5F7D7557" w14:textId="3A701FEB" w:rsidR="00EC77D9" w:rsidRPr="00845EA4" w:rsidRDefault="00EC77D9" w:rsidP="003B510C">
      <w:pPr>
        <w:spacing w:after="0" w:line="360" w:lineRule="auto"/>
        <w:rPr>
          <w:rFonts w:eastAsia="Times New Roman" w:cs="Tahoma"/>
          <w:b/>
          <w:bCs/>
          <w:iCs/>
          <w:color w:val="auto"/>
          <w:lang w:val="es-ES" w:eastAsia="es-ES"/>
        </w:rPr>
      </w:pPr>
      <w:r w:rsidRPr="00845EA4">
        <w:rPr>
          <w:rFonts w:eastAsia="Times New Roman" w:cs="Tahoma"/>
          <w:b/>
          <w:bCs/>
          <w:iCs/>
          <w:color w:val="auto"/>
          <w:lang w:val="es-ES" w:eastAsia="es-ES"/>
        </w:rPr>
        <w:t>QUINTO. Estudio de Fondo.</w:t>
      </w:r>
    </w:p>
    <w:p w14:paraId="7A854A8B" w14:textId="77777777" w:rsidR="007F20F1" w:rsidRPr="00845EA4" w:rsidRDefault="007F20F1" w:rsidP="003B510C">
      <w:pPr>
        <w:spacing w:after="0" w:line="360" w:lineRule="auto"/>
        <w:rPr>
          <w:rFonts w:eastAsia="Times New Roman" w:cs="Tahoma"/>
          <w:b/>
          <w:bCs/>
          <w:iCs/>
          <w:color w:val="auto"/>
          <w:lang w:val="es-ES" w:eastAsia="es-ES"/>
        </w:rPr>
      </w:pPr>
    </w:p>
    <w:p w14:paraId="32385722" w14:textId="2E3F264A"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845EA4">
        <w:rPr>
          <w:bCs/>
          <w:color w:val="000000"/>
        </w:rPr>
        <w:t>Ayuntamiento d</w:t>
      </w:r>
      <w:r w:rsidR="00B27B4D" w:rsidRPr="00845EA4">
        <w:rPr>
          <w:bCs/>
          <w:color w:val="000000"/>
        </w:rPr>
        <w:t>e Tepetlixpa</w:t>
      </w:r>
      <w:r w:rsidRPr="00845EA4">
        <w:rPr>
          <w:rFonts w:eastAsia="Times New Roman" w:cs="Tahoma"/>
          <w:iCs/>
          <w:color w:val="auto"/>
          <w:lang w:eastAsia="es-ES"/>
        </w:rPr>
        <w:t>, a</w:t>
      </w:r>
      <w:r w:rsidRPr="00845EA4">
        <w:rPr>
          <w:rFonts w:eastAsia="Times New Roman" w:cs="Tahoma"/>
          <w:bCs/>
          <w:iCs/>
          <w:color w:val="auto"/>
          <w:lang w:eastAsia="es-ES"/>
        </w:rPr>
        <w:t xml:space="preserve"> la solicitud de información presentada. </w:t>
      </w:r>
    </w:p>
    <w:p w14:paraId="367391FD" w14:textId="77777777" w:rsidR="00EC77D9" w:rsidRPr="00845EA4" w:rsidRDefault="00EC77D9" w:rsidP="003B510C">
      <w:pPr>
        <w:spacing w:after="0" w:line="360" w:lineRule="auto"/>
        <w:rPr>
          <w:rFonts w:eastAsia="Times New Roman" w:cs="Tahoma"/>
          <w:bCs/>
          <w:iCs/>
          <w:color w:val="auto"/>
          <w:lang w:eastAsia="es-ES"/>
        </w:rPr>
      </w:pPr>
    </w:p>
    <w:p w14:paraId="0AB45A33" w14:textId="77777777"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845EA4" w:rsidRDefault="00EC77D9" w:rsidP="003B510C">
      <w:pPr>
        <w:spacing w:after="0" w:line="360" w:lineRule="auto"/>
        <w:rPr>
          <w:rFonts w:eastAsia="Times New Roman" w:cs="Tahoma"/>
          <w:bCs/>
          <w:iCs/>
          <w:color w:val="auto"/>
          <w:lang w:eastAsia="es-ES"/>
        </w:rPr>
      </w:pPr>
    </w:p>
    <w:p w14:paraId="2B345289" w14:textId="77777777" w:rsidR="00EC77D9" w:rsidRPr="00845EA4" w:rsidRDefault="00EC77D9" w:rsidP="003B510C">
      <w:pPr>
        <w:numPr>
          <w:ilvl w:val="0"/>
          <w:numId w:val="1"/>
        </w:numPr>
        <w:spacing w:after="0" w:line="360" w:lineRule="auto"/>
        <w:rPr>
          <w:rFonts w:eastAsia="Times New Roman" w:cs="Tahoma"/>
          <w:bCs/>
          <w:iCs/>
          <w:color w:val="auto"/>
          <w:lang w:eastAsia="es-ES"/>
        </w:rPr>
      </w:pPr>
      <w:r w:rsidRPr="00845EA4">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14:paraId="114F2252" w14:textId="77777777" w:rsidR="00EC77D9" w:rsidRPr="00845EA4" w:rsidRDefault="00EC77D9" w:rsidP="003B510C">
      <w:pPr>
        <w:spacing w:after="0" w:line="360" w:lineRule="auto"/>
        <w:ind w:left="720"/>
        <w:rPr>
          <w:rFonts w:eastAsia="Times New Roman" w:cs="Tahoma"/>
          <w:bCs/>
          <w:iCs/>
          <w:color w:val="auto"/>
          <w:lang w:eastAsia="es-ES"/>
        </w:rPr>
      </w:pPr>
    </w:p>
    <w:p w14:paraId="23E46162" w14:textId="77777777" w:rsidR="00EC77D9" w:rsidRPr="00845EA4" w:rsidRDefault="00EC77D9" w:rsidP="003B510C">
      <w:pPr>
        <w:numPr>
          <w:ilvl w:val="0"/>
          <w:numId w:val="1"/>
        </w:numPr>
        <w:spacing w:after="0" w:line="360" w:lineRule="auto"/>
        <w:rPr>
          <w:rFonts w:eastAsia="Times New Roman" w:cs="Tahoma"/>
          <w:bCs/>
          <w:iCs/>
          <w:color w:val="auto"/>
          <w:lang w:eastAsia="es-ES"/>
        </w:rPr>
      </w:pPr>
      <w:r w:rsidRPr="00845EA4">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845EA4" w:rsidRDefault="00EC77D9" w:rsidP="003B510C">
      <w:pPr>
        <w:spacing w:after="0" w:line="360" w:lineRule="auto"/>
        <w:ind w:left="720"/>
        <w:rPr>
          <w:rFonts w:eastAsia="Times New Roman" w:cs="Tahoma"/>
          <w:bCs/>
          <w:iCs/>
          <w:color w:val="auto"/>
          <w:lang w:eastAsia="es-ES"/>
        </w:rPr>
      </w:pPr>
    </w:p>
    <w:p w14:paraId="2F681C81" w14:textId="77777777" w:rsidR="00EC77D9" w:rsidRPr="00845EA4" w:rsidRDefault="00EC77D9" w:rsidP="003B510C">
      <w:pPr>
        <w:numPr>
          <w:ilvl w:val="0"/>
          <w:numId w:val="1"/>
        </w:numPr>
        <w:spacing w:after="0" w:line="360" w:lineRule="auto"/>
        <w:rPr>
          <w:rFonts w:eastAsia="Times New Roman" w:cs="Tahoma"/>
          <w:bCs/>
          <w:iCs/>
          <w:color w:val="auto"/>
          <w:lang w:eastAsia="es-ES"/>
        </w:rPr>
      </w:pPr>
      <w:r w:rsidRPr="00845EA4">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845EA4" w:rsidRDefault="00EC77D9" w:rsidP="003B510C">
      <w:pPr>
        <w:spacing w:after="0" w:line="360" w:lineRule="auto"/>
        <w:rPr>
          <w:rFonts w:eastAsia="Times New Roman" w:cs="Tahoma"/>
          <w:bCs/>
          <w:iCs/>
          <w:color w:val="auto"/>
          <w:lang w:eastAsia="es-ES"/>
        </w:rPr>
      </w:pPr>
    </w:p>
    <w:p w14:paraId="362D7C07" w14:textId="77777777"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 xml:space="preserve">Conforme a lo anterior, se deprende que </w:t>
      </w:r>
      <w:r w:rsidRPr="00845EA4">
        <w:rPr>
          <w:rFonts w:eastAsia="Times New Roman" w:cs="Tahoma"/>
          <w:b/>
          <w:bCs/>
          <w:iCs/>
          <w:color w:val="auto"/>
          <w:lang w:eastAsia="es-ES"/>
        </w:rPr>
        <w:t>los objetivos de la Ley de la materia,</w:t>
      </w:r>
      <w:r w:rsidRPr="00845EA4">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845EA4" w:rsidRDefault="00EC77D9" w:rsidP="003B510C">
      <w:pPr>
        <w:spacing w:after="0" w:line="360" w:lineRule="auto"/>
        <w:rPr>
          <w:rFonts w:eastAsia="Times New Roman" w:cs="Tahoma"/>
          <w:bCs/>
          <w:iCs/>
          <w:color w:val="auto"/>
          <w:lang w:eastAsia="es-ES"/>
        </w:rPr>
      </w:pPr>
    </w:p>
    <w:p w14:paraId="224C22BD" w14:textId="77777777"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 xml:space="preserve">En ese orden de ideas, para la atención de las solicitudes de acceso a la información, debe privilegiarse el </w:t>
      </w:r>
      <w:r w:rsidRPr="00845EA4">
        <w:rPr>
          <w:rFonts w:eastAsia="Times New Roman" w:cs="Tahoma"/>
          <w:b/>
          <w:bCs/>
          <w:iCs/>
          <w:color w:val="auto"/>
          <w:lang w:eastAsia="es-ES"/>
        </w:rPr>
        <w:t>principio de máxima publicidad</w:t>
      </w:r>
      <w:r w:rsidRPr="00845EA4">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845EA4" w:rsidRDefault="00EC77D9" w:rsidP="003B510C">
      <w:pPr>
        <w:spacing w:after="0" w:line="360" w:lineRule="auto"/>
        <w:rPr>
          <w:rFonts w:eastAsia="Times New Roman" w:cs="Tahoma"/>
          <w:bCs/>
          <w:iCs/>
          <w:color w:val="auto"/>
          <w:lang w:eastAsia="es-ES"/>
        </w:rPr>
      </w:pPr>
    </w:p>
    <w:p w14:paraId="15E834E6" w14:textId="77777777" w:rsidR="00EC77D9" w:rsidRPr="00845EA4" w:rsidRDefault="00EC77D9" w:rsidP="003B510C">
      <w:pPr>
        <w:spacing w:after="0" w:line="360" w:lineRule="auto"/>
        <w:rPr>
          <w:rFonts w:eastAsia="Times New Roman" w:cs="Tahoma"/>
          <w:bCs/>
          <w:iCs/>
          <w:color w:val="auto"/>
          <w:lang w:eastAsia="es-ES"/>
        </w:rPr>
      </w:pPr>
      <w:r w:rsidRPr="00845EA4">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159, 160, 162, 163, </w:t>
      </w:r>
      <w:r w:rsidRPr="00845EA4">
        <w:rPr>
          <w:rFonts w:eastAsia="Times New Roman" w:cs="Tahoma"/>
          <w:bCs/>
          <w:iCs/>
          <w:color w:val="auto"/>
          <w:lang w:eastAsia="es-ES"/>
        </w:rPr>
        <w:lastRenderedPageBreak/>
        <w:t>164, 165 y 166, de la Ley de Transparencia y Acceso a la Información Pública del Estado de México y Municipios, el cual es el siguiente:</w:t>
      </w:r>
    </w:p>
    <w:p w14:paraId="08422510" w14:textId="77777777" w:rsidR="00EC77D9" w:rsidRPr="00845EA4" w:rsidRDefault="00EC77D9" w:rsidP="003B510C">
      <w:pPr>
        <w:spacing w:after="0" w:line="360" w:lineRule="auto"/>
        <w:rPr>
          <w:rFonts w:eastAsia="Times New Roman" w:cs="Tahoma"/>
          <w:bCs/>
          <w:iCs/>
          <w:color w:val="auto"/>
          <w:lang w:eastAsia="es-ES"/>
        </w:rPr>
      </w:pPr>
    </w:p>
    <w:p w14:paraId="00EC16F0" w14:textId="53439FBE" w:rsidR="0093261A" w:rsidRPr="00845EA4" w:rsidRDefault="00EC77D9" w:rsidP="003B510C">
      <w:pPr>
        <w:numPr>
          <w:ilvl w:val="0"/>
          <w:numId w:val="2"/>
        </w:numPr>
        <w:spacing w:after="0" w:line="360" w:lineRule="auto"/>
        <w:rPr>
          <w:rFonts w:eastAsia="Times New Roman" w:cs="Tahoma"/>
          <w:bCs/>
          <w:iCs/>
          <w:color w:val="auto"/>
          <w:lang w:eastAsia="es-ES"/>
        </w:rPr>
      </w:pPr>
      <w:r w:rsidRPr="00845EA4">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845EA4" w:rsidRDefault="0093261A" w:rsidP="003B510C">
      <w:pPr>
        <w:spacing w:after="0" w:line="360" w:lineRule="auto"/>
        <w:rPr>
          <w:rFonts w:eastAsia="Times New Roman" w:cs="Tahoma"/>
          <w:bCs/>
          <w:iCs/>
          <w:color w:val="auto"/>
          <w:lang w:eastAsia="es-ES"/>
        </w:rPr>
      </w:pPr>
    </w:p>
    <w:p w14:paraId="35E844F3" w14:textId="442990DF" w:rsidR="007505E8" w:rsidRPr="00845EA4" w:rsidRDefault="00EC77D9" w:rsidP="003B510C">
      <w:pPr>
        <w:numPr>
          <w:ilvl w:val="0"/>
          <w:numId w:val="2"/>
        </w:numPr>
        <w:spacing w:after="0" w:line="360" w:lineRule="auto"/>
        <w:rPr>
          <w:rFonts w:eastAsia="Times New Roman" w:cs="Tahoma"/>
          <w:bCs/>
          <w:iCs/>
          <w:color w:val="auto"/>
          <w:lang w:eastAsia="es-ES"/>
        </w:rPr>
      </w:pPr>
      <w:r w:rsidRPr="00845EA4">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845EA4" w:rsidRDefault="007505E8" w:rsidP="003B510C">
      <w:pPr>
        <w:spacing w:after="0" w:line="360" w:lineRule="auto"/>
        <w:ind w:left="720"/>
        <w:rPr>
          <w:rFonts w:eastAsia="Times New Roman" w:cs="Tahoma"/>
          <w:bCs/>
          <w:iCs/>
          <w:color w:val="auto"/>
          <w:lang w:eastAsia="es-ES"/>
        </w:rPr>
      </w:pPr>
    </w:p>
    <w:p w14:paraId="58B4FFCB" w14:textId="77777777" w:rsidR="00EC77D9" w:rsidRPr="00845EA4" w:rsidRDefault="00EC77D9" w:rsidP="003B510C">
      <w:pPr>
        <w:numPr>
          <w:ilvl w:val="0"/>
          <w:numId w:val="2"/>
        </w:numPr>
        <w:spacing w:after="0" w:line="360" w:lineRule="auto"/>
        <w:rPr>
          <w:rFonts w:eastAsia="Times New Roman" w:cs="Tahoma"/>
          <w:bCs/>
          <w:iCs/>
          <w:color w:val="auto"/>
          <w:lang w:eastAsia="es-ES"/>
        </w:rPr>
      </w:pPr>
      <w:r w:rsidRPr="00845EA4">
        <w:rPr>
          <w:rFonts w:eastAsia="Times New Roman" w:cs="Tahoma"/>
          <w:bCs/>
          <w:iCs/>
          <w:color w:val="auto"/>
          <w:lang w:eastAsia="es-ES"/>
        </w:rPr>
        <w:t xml:space="preserve">Las respuestas a los requerimientos informativos deberán notificarse al interesado en el menor tiempo posible, que no podrá exceder </w:t>
      </w:r>
      <w:r w:rsidRPr="00845EA4">
        <w:rPr>
          <w:rFonts w:eastAsia="Times New Roman" w:cs="Tahoma"/>
          <w:b/>
          <w:bCs/>
          <w:iCs/>
          <w:color w:val="auto"/>
          <w:lang w:eastAsia="es-ES"/>
        </w:rPr>
        <w:t>quince días, contados a partir del día siguiente a la presentación de ésta.</w:t>
      </w:r>
      <w:r w:rsidRPr="00845EA4">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845EA4" w:rsidRDefault="00EC77D9" w:rsidP="003B510C">
      <w:pPr>
        <w:spacing w:after="0" w:line="360" w:lineRule="auto"/>
        <w:rPr>
          <w:rFonts w:eastAsia="Times New Roman" w:cs="Tahoma"/>
          <w:bCs/>
          <w:iCs/>
          <w:color w:val="auto"/>
          <w:lang w:eastAsia="es-ES"/>
        </w:rPr>
      </w:pPr>
    </w:p>
    <w:p w14:paraId="70A04FD2" w14:textId="77777777" w:rsidR="00EC77D9" w:rsidRPr="00845EA4" w:rsidRDefault="00EC77D9" w:rsidP="003B510C">
      <w:pPr>
        <w:numPr>
          <w:ilvl w:val="0"/>
          <w:numId w:val="2"/>
        </w:numPr>
        <w:spacing w:after="0" w:line="360" w:lineRule="auto"/>
        <w:rPr>
          <w:rFonts w:eastAsia="Times New Roman" w:cs="Tahoma"/>
          <w:b/>
          <w:bCs/>
          <w:iCs/>
          <w:color w:val="auto"/>
          <w:lang w:eastAsia="es-ES"/>
        </w:rPr>
      </w:pPr>
      <w:r w:rsidRPr="00845EA4">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45EA4">
        <w:rPr>
          <w:rFonts w:eastAsia="Times New Roman" w:cs="Tahoma"/>
          <w:b/>
          <w:bCs/>
          <w:iCs/>
          <w:color w:val="auto"/>
          <w:lang w:eastAsia="es-ES"/>
        </w:rPr>
        <w:t>que se encuentren en sus archivos o que estén constreñidos a elaborar;</w:t>
      </w:r>
    </w:p>
    <w:p w14:paraId="512323EC" w14:textId="77777777" w:rsidR="00EC77D9" w:rsidRPr="00845EA4" w:rsidRDefault="00EC77D9" w:rsidP="003B510C">
      <w:pPr>
        <w:spacing w:after="0" w:line="360" w:lineRule="auto"/>
        <w:rPr>
          <w:rFonts w:eastAsia="Times New Roman" w:cs="Tahoma"/>
          <w:b/>
          <w:bCs/>
          <w:iCs/>
          <w:color w:val="auto"/>
          <w:lang w:eastAsia="es-ES"/>
        </w:rPr>
      </w:pPr>
    </w:p>
    <w:p w14:paraId="68CDB196" w14:textId="69344559" w:rsidR="00EC77D9" w:rsidRPr="00845EA4" w:rsidRDefault="00EC77D9" w:rsidP="003B510C">
      <w:pPr>
        <w:numPr>
          <w:ilvl w:val="0"/>
          <w:numId w:val="2"/>
        </w:numPr>
        <w:spacing w:after="0" w:line="360" w:lineRule="auto"/>
        <w:rPr>
          <w:rFonts w:eastAsia="Times New Roman" w:cs="Tahoma"/>
          <w:b/>
          <w:bCs/>
          <w:iCs/>
          <w:color w:val="auto"/>
          <w:lang w:eastAsia="es-ES"/>
        </w:rPr>
      </w:pPr>
      <w:r w:rsidRPr="00845EA4">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845EA4" w:rsidRDefault="0093261A" w:rsidP="003B510C">
      <w:pPr>
        <w:spacing w:after="0" w:line="360" w:lineRule="auto"/>
        <w:rPr>
          <w:rFonts w:eastAsia="Times New Roman" w:cs="Tahoma"/>
          <w:b/>
          <w:bCs/>
          <w:iCs/>
          <w:color w:val="auto"/>
          <w:lang w:eastAsia="es-ES"/>
        </w:rPr>
      </w:pPr>
    </w:p>
    <w:p w14:paraId="3622B45D" w14:textId="77777777" w:rsidR="00EC77D9" w:rsidRPr="00845EA4" w:rsidRDefault="00EC77D9" w:rsidP="003B510C">
      <w:pPr>
        <w:numPr>
          <w:ilvl w:val="0"/>
          <w:numId w:val="2"/>
        </w:numPr>
        <w:spacing w:after="0" w:line="360" w:lineRule="auto"/>
        <w:rPr>
          <w:rFonts w:eastAsia="Times New Roman" w:cs="Tahoma"/>
          <w:b/>
          <w:bCs/>
          <w:iCs/>
          <w:color w:val="auto"/>
          <w:lang w:eastAsia="es-ES"/>
        </w:rPr>
      </w:pPr>
      <w:r w:rsidRPr="00845EA4">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845EA4" w:rsidRDefault="00B61BF0" w:rsidP="003B510C">
      <w:pPr>
        <w:spacing w:after="0" w:line="360" w:lineRule="auto"/>
        <w:rPr>
          <w:rFonts w:eastAsia="Calibri" w:cs="Tahoma"/>
        </w:rPr>
      </w:pPr>
    </w:p>
    <w:p w14:paraId="60F87A85" w14:textId="1D656576" w:rsidR="000F5705" w:rsidRPr="00845EA4" w:rsidRDefault="000F5705" w:rsidP="003B510C">
      <w:pPr>
        <w:spacing w:after="0" w:line="360" w:lineRule="auto"/>
        <w:rPr>
          <w:rFonts w:eastAsia="Calibri" w:cs="Tahoma"/>
        </w:rPr>
      </w:pPr>
      <w:r w:rsidRPr="00845EA4">
        <w:rPr>
          <w:rFonts w:eastAsia="Calibri" w:cs="Tahoma"/>
        </w:rPr>
        <w:t xml:space="preserve">Una vez establecido lo anterior, es de indicar que el agravio del Particular consistió en que, a la fecha de interposición del Recurso de Revisión, </w:t>
      </w:r>
      <w:r w:rsidRPr="00845EA4">
        <w:rPr>
          <w:rFonts w:eastAsia="Calibri" w:cs="Tahoma"/>
          <w:bCs/>
        </w:rPr>
        <w:t xml:space="preserve">el </w:t>
      </w:r>
      <w:r w:rsidR="000C006D" w:rsidRPr="00845EA4">
        <w:rPr>
          <w:b/>
          <w:color w:val="000000"/>
        </w:rPr>
        <w:t xml:space="preserve">Ayuntamiento de </w:t>
      </w:r>
      <w:r w:rsidR="00B27B4D" w:rsidRPr="00845EA4">
        <w:rPr>
          <w:b/>
          <w:color w:val="000000"/>
        </w:rPr>
        <w:t>Tepetlixpa</w:t>
      </w:r>
      <w:r w:rsidRPr="00845EA4">
        <w:rPr>
          <w:rFonts w:eastAsia="Calibri" w:cs="Tahoma"/>
          <w:bCs/>
        </w:rPr>
        <w:t>, no había registrado respuesta al requerimiento</w:t>
      </w:r>
      <w:r w:rsidRPr="00845EA4">
        <w:rPr>
          <w:rFonts w:eastAsia="Calibri" w:cs="Tahoma"/>
        </w:rPr>
        <w:t xml:space="preserve"> de acceso a la información, el cual se presentó, el </w:t>
      </w:r>
      <w:r w:rsidR="003928E2" w:rsidRPr="00845EA4">
        <w:rPr>
          <w:rFonts w:eastAsia="Calibri" w:cs="Tahoma"/>
          <w:b/>
          <w:bCs/>
        </w:rPr>
        <w:t>veintidós</w:t>
      </w:r>
      <w:r w:rsidR="007A1139" w:rsidRPr="00845EA4">
        <w:rPr>
          <w:rFonts w:eastAsia="Calibri" w:cs="Tahoma"/>
          <w:b/>
          <w:bCs/>
        </w:rPr>
        <w:t xml:space="preserve"> de </w:t>
      </w:r>
      <w:r w:rsidR="00B27B4D" w:rsidRPr="00845EA4">
        <w:rPr>
          <w:rFonts w:eastAsia="Calibri" w:cs="Tahoma"/>
          <w:b/>
          <w:bCs/>
        </w:rPr>
        <w:t>marzo</w:t>
      </w:r>
      <w:r w:rsidR="007A1139" w:rsidRPr="00845EA4">
        <w:rPr>
          <w:rFonts w:eastAsia="Calibri" w:cs="Tahoma"/>
          <w:b/>
          <w:bCs/>
        </w:rPr>
        <w:t xml:space="preserve"> de dos mil veintitrés</w:t>
      </w:r>
      <w:r w:rsidRPr="00845EA4">
        <w:rPr>
          <w:rFonts w:eastAsia="Calibri" w:cs="Tahoma"/>
        </w:rPr>
        <w:t>.</w:t>
      </w:r>
    </w:p>
    <w:p w14:paraId="6C7C584E" w14:textId="77777777" w:rsidR="001756F2" w:rsidRPr="00845EA4" w:rsidRDefault="001756F2" w:rsidP="003B510C">
      <w:pPr>
        <w:spacing w:after="0" w:line="360" w:lineRule="auto"/>
        <w:rPr>
          <w:rFonts w:eastAsia="Calibri" w:cs="Tahoma"/>
          <w:lang w:val="es-ES"/>
        </w:rPr>
      </w:pPr>
    </w:p>
    <w:p w14:paraId="32D2CA64" w14:textId="722D9D2B" w:rsidR="000F5705" w:rsidRPr="00845EA4" w:rsidRDefault="00B27B4D" w:rsidP="003B510C">
      <w:pPr>
        <w:spacing w:after="0" w:line="360" w:lineRule="auto"/>
        <w:rPr>
          <w:rFonts w:eastAsia="Calibri" w:cs="Tahoma"/>
          <w:bCs/>
          <w:color w:val="000000"/>
        </w:rPr>
      </w:pPr>
      <w:r w:rsidRPr="00845EA4">
        <w:rPr>
          <w:rFonts w:eastAsia="Calibri" w:cs="Tahoma"/>
          <w:bCs/>
          <w:color w:val="000000"/>
        </w:rPr>
        <w:t xml:space="preserve">En ese orden de ideas, el plazo con el que contaba el Sujeto Obligado para emitir contestación al requerimiento informativo, </w:t>
      </w:r>
      <w:r w:rsidRPr="00845EA4">
        <w:rPr>
          <w:rFonts w:eastAsia="Calibri" w:cs="Tahoma"/>
          <w:b/>
          <w:bCs/>
          <w:color w:val="000000"/>
        </w:rPr>
        <w:t xml:space="preserve">comenzó a correr el </w:t>
      </w:r>
      <w:r w:rsidR="003928E2" w:rsidRPr="00845EA4">
        <w:rPr>
          <w:rFonts w:eastAsia="Calibri" w:cs="Tahoma"/>
          <w:b/>
          <w:bCs/>
          <w:color w:val="000000"/>
        </w:rPr>
        <w:t>veintitrés</w:t>
      </w:r>
      <w:r w:rsidRPr="00845EA4">
        <w:rPr>
          <w:rFonts w:eastAsia="Calibri" w:cs="Tahoma"/>
          <w:b/>
          <w:bCs/>
          <w:color w:val="000000"/>
        </w:rPr>
        <w:t xml:space="preserve"> de marzo y feneció el d</w:t>
      </w:r>
      <w:r w:rsidR="003928E2" w:rsidRPr="00845EA4">
        <w:rPr>
          <w:rFonts w:eastAsia="Calibri" w:cs="Tahoma"/>
          <w:b/>
          <w:bCs/>
          <w:color w:val="000000"/>
        </w:rPr>
        <w:t>iecinueve</w:t>
      </w:r>
      <w:r w:rsidRPr="00845EA4">
        <w:rPr>
          <w:rFonts w:eastAsia="Calibri" w:cs="Tahoma"/>
          <w:b/>
          <w:bCs/>
          <w:color w:val="000000"/>
        </w:rPr>
        <w:t xml:space="preserve"> de abril, ambos de dos mil veintitrés</w:t>
      </w:r>
      <w:r w:rsidRPr="00845EA4">
        <w:rPr>
          <w:rFonts w:eastAsia="Calibri" w:cs="Tahoma"/>
          <w:color w:val="000000"/>
        </w:rPr>
        <w:t>; lo anterior, sin contar los días, veinticinco y veintiséis de marzo, así como, del primero al nueve</w:t>
      </w:r>
      <w:r w:rsidR="003928E2" w:rsidRPr="00845EA4">
        <w:rPr>
          <w:rFonts w:eastAsia="Calibri" w:cs="Tahoma"/>
          <w:color w:val="000000"/>
        </w:rPr>
        <w:t>, quince y dieciséis</w:t>
      </w:r>
      <w:r w:rsidRPr="00845EA4">
        <w:rPr>
          <w:rFonts w:eastAsia="Calibri" w:cs="Tahoma"/>
          <w:color w:val="000000"/>
        </w:rPr>
        <w:t xml:space="preserve"> de abril de la presente anualidad, al ser inhábiles, </w:t>
      </w:r>
      <w:r w:rsidRPr="00845EA4">
        <w:rPr>
          <w:rFonts w:eastAsia="Batang" w:cs="Tahoma"/>
          <w:bCs/>
        </w:rPr>
        <w:t xml:space="preserve">de conformidad con los artículos 3°, fracción X, y 159 de la Ley de Transparencia y Acceso a la Información Pública del Estado de México y Municipios, el </w:t>
      </w:r>
      <w:r w:rsidRPr="00845EA4">
        <w:rPr>
          <w:rFonts w:eastAsia="Batang" w:cs="Tahoma"/>
          <w:lang w:val="es-ES"/>
        </w:rPr>
        <w:t>Calendario Oficial en Materia de Transparencia, Acceso a la Información Pública y Protección de Datos Personales del Estado de México y Municipios, así como de laborales de este Instituto</w:t>
      </w:r>
      <w:bookmarkStart w:id="1" w:name="_Hlk65786947"/>
      <w:r w:rsidRPr="00845EA4">
        <w:rPr>
          <w:rFonts w:eastAsia="Batang" w:cs="Tahoma"/>
          <w:lang w:val="es-ES"/>
        </w:rPr>
        <w:t xml:space="preserve">, para el año </w:t>
      </w:r>
      <w:bookmarkEnd w:id="1"/>
      <w:r w:rsidRPr="00845EA4">
        <w:rPr>
          <w:rFonts w:eastAsia="Batang" w:cs="Tahoma"/>
          <w:lang w:val="es-ES"/>
        </w:rPr>
        <w:t>dos mil veintitrés y enero dos mil veinticuatro.</w:t>
      </w:r>
    </w:p>
    <w:p w14:paraId="06B84430" w14:textId="77777777" w:rsidR="00B27B4D" w:rsidRPr="00845EA4" w:rsidRDefault="00B27B4D" w:rsidP="003B510C">
      <w:pPr>
        <w:spacing w:after="0" w:line="360" w:lineRule="auto"/>
        <w:rPr>
          <w:rFonts w:eastAsia="Calibri" w:cs="Tahoma"/>
          <w:bCs/>
          <w:color w:val="000000"/>
        </w:rPr>
      </w:pPr>
    </w:p>
    <w:p w14:paraId="03D8A6AE" w14:textId="59A19DCD" w:rsidR="00FA7798" w:rsidRPr="00845EA4" w:rsidRDefault="000F5705" w:rsidP="003B510C">
      <w:pPr>
        <w:spacing w:after="0" w:line="360" w:lineRule="auto"/>
        <w:rPr>
          <w:rFonts w:eastAsia="Calibri" w:cs="Tahoma"/>
          <w:lang w:val="es-ES"/>
        </w:rPr>
      </w:pPr>
      <w:r w:rsidRPr="00845EA4">
        <w:rPr>
          <w:rFonts w:eastAsia="Calibri" w:cs="Tahoma"/>
        </w:rPr>
        <w:t xml:space="preserve">Conforme a lo anterior, este Instituto verificó que, en efecto, no se registró una respuesta a la solicitud del ahora Recurrente, en el </w:t>
      </w:r>
      <w:r w:rsidRPr="00845EA4">
        <w:rPr>
          <w:rFonts w:eastAsia="Calibri" w:cs="Tahoma"/>
          <w:lang w:val="es-ES"/>
        </w:rPr>
        <w:t>Sistema de Acceso a la Información Mexiquense (SAIMEX), sistema utilizado para presentar el requerimiento informativo, tal como se observa a continuación:</w:t>
      </w:r>
    </w:p>
    <w:p w14:paraId="4A272DF1" w14:textId="77777777" w:rsidR="00782918" w:rsidRPr="00845EA4" w:rsidRDefault="00782918" w:rsidP="00782918">
      <w:pPr>
        <w:spacing w:after="0" w:line="360" w:lineRule="auto"/>
        <w:rPr>
          <w:rFonts w:eastAsia="Calibri" w:cs="Tahoma"/>
          <w:bCs/>
        </w:rPr>
      </w:pPr>
    </w:p>
    <w:p w14:paraId="4E1C3744" w14:textId="34375791" w:rsidR="00225170" w:rsidRPr="00845EA4" w:rsidRDefault="00225170" w:rsidP="003B510C">
      <w:pPr>
        <w:spacing w:after="0" w:line="360" w:lineRule="auto"/>
        <w:jc w:val="center"/>
        <w:rPr>
          <w:rFonts w:eastAsia="Calibri" w:cs="Tahoma"/>
          <w:bCs/>
        </w:rPr>
      </w:pPr>
      <w:r w:rsidRPr="00845EA4">
        <w:rPr>
          <w:rFonts w:eastAsia="Calibri" w:cs="Tahoma"/>
          <w:bCs/>
          <w:noProof/>
          <w:lang w:eastAsia="es-MX"/>
        </w:rPr>
        <w:drawing>
          <wp:inline distT="0" distB="0" distL="0" distR="0" wp14:anchorId="03A31B6C" wp14:editId="071D15AF">
            <wp:extent cx="3019425" cy="1839420"/>
            <wp:effectExtent l="0" t="0" r="0" b="8890"/>
            <wp:docPr id="10873305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30590" name="Imagen 1087330590"/>
                    <pic:cNvPicPr/>
                  </pic:nvPicPr>
                  <pic:blipFill>
                    <a:blip r:embed="rId8">
                      <a:extLst>
                        <a:ext uri="{28A0092B-C50C-407E-A947-70E740481C1C}">
                          <a14:useLocalDpi xmlns:a14="http://schemas.microsoft.com/office/drawing/2010/main" val="0"/>
                        </a:ext>
                      </a:extLst>
                    </a:blip>
                    <a:stretch>
                      <a:fillRect/>
                    </a:stretch>
                  </pic:blipFill>
                  <pic:spPr>
                    <a:xfrm>
                      <a:off x="0" y="0"/>
                      <a:ext cx="3029894" cy="1845798"/>
                    </a:xfrm>
                    <a:prstGeom prst="rect">
                      <a:avLst/>
                    </a:prstGeom>
                  </pic:spPr>
                </pic:pic>
              </a:graphicData>
            </a:graphic>
          </wp:inline>
        </w:drawing>
      </w:r>
    </w:p>
    <w:p w14:paraId="6D438A9D" w14:textId="77777777" w:rsidR="00BD5986" w:rsidRPr="00845EA4" w:rsidRDefault="00BD5986" w:rsidP="003B510C">
      <w:pPr>
        <w:spacing w:after="0" w:line="360" w:lineRule="auto"/>
        <w:jc w:val="center"/>
        <w:rPr>
          <w:rFonts w:eastAsia="Calibri" w:cs="Tahoma"/>
          <w:bCs/>
        </w:rPr>
      </w:pPr>
    </w:p>
    <w:p w14:paraId="2E0C5E60" w14:textId="3366ACFA" w:rsidR="000F5705" w:rsidRPr="00845EA4" w:rsidRDefault="000F5705" w:rsidP="003B510C">
      <w:pPr>
        <w:spacing w:after="0" w:line="360" w:lineRule="auto"/>
        <w:rPr>
          <w:rFonts w:eastAsia="Calibri" w:cs="Tahoma"/>
        </w:rPr>
      </w:pPr>
      <w:r w:rsidRPr="00845EA4">
        <w:rPr>
          <w:rFonts w:eastAsia="Calibri" w:cs="Tahoma"/>
          <w:bCs/>
        </w:rPr>
        <w:t xml:space="preserve">Así, se colige que, tal como lo precisó el Particular, </w:t>
      </w:r>
      <w:r w:rsidRPr="00845EA4">
        <w:rPr>
          <w:rFonts w:eastAsia="Calibri" w:cs="Tahoma"/>
        </w:rPr>
        <w:t xml:space="preserve">el </w:t>
      </w:r>
      <w:r w:rsidR="000C006D" w:rsidRPr="00845EA4">
        <w:rPr>
          <w:b/>
          <w:bCs/>
          <w:color w:val="000000"/>
        </w:rPr>
        <w:t>Ayuntamiento de</w:t>
      </w:r>
      <w:r w:rsidR="00412152" w:rsidRPr="00845EA4">
        <w:rPr>
          <w:b/>
          <w:bCs/>
          <w:color w:val="000000"/>
        </w:rPr>
        <w:t xml:space="preserve"> </w:t>
      </w:r>
      <w:r w:rsidR="00416779" w:rsidRPr="00845EA4">
        <w:rPr>
          <w:b/>
          <w:bCs/>
          <w:color w:val="000000"/>
        </w:rPr>
        <w:t>Tepetlixpa</w:t>
      </w:r>
      <w:r w:rsidRPr="00845EA4">
        <w:rPr>
          <w:rFonts w:eastAsia="Calibri" w:cs="Tahoma"/>
        </w:rPr>
        <w:t xml:space="preserve">, no emitió respuesta para dar contestación a la solicitud de información, dentro de los plazos establecidos en el artículo 163, de la Ley de la materia, pues tenía hasta el </w:t>
      </w:r>
      <w:r w:rsidR="00416779" w:rsidRPr="00845EA4">
        <w:rPr>
          <w:rFonts w:eastAsia="Calibri" w:cs="Tahoma"/>
        </w:rPr>
        <w:t>d</w:t>
      </w:r>
      <w:r w:rsidR="00782918" w:rsidRPr="00845EA4">
        <w:rPr>
          <w:rFonts w:eastAsia="Calibri" w:cs="Tahoma"/>
        </w:rPr>
        <w:t>iecinueve</w:t>
      </w:r>
      <w:r w:rsidR="0093261A" w:rsidRPr="00845EA4">
        <w:rPr>
          <w:rFonts w:eastAsia="Calibri" w:cs="Tahoma"/>
        </w:rPr>
        <w:t xml:space="preserve"> de </w:t>
      </w:r>
      <w:r w:rsidR="00416779" w:rsidRPr="00845EA4">
        <w:rPr>
          <w:rFonts w:eastAsia="Calibri" w:cs="Tahoma"/>
        </w:rPr>
        <w:t>abril</w:t>
      </w:r>
      <w:r w:rsidRPr="00845EA4">
        <w:rPr>
          <w:rFonts w:eastAsia="Calibri" w:cs="Tahoma"/>
        </w:rPr>
        <w:t xml:space="preserve"> de dos mil veinti</w:t>
      </w:r>
      <w:r w:rsidR="00292591" w:rsidRPr="00845EA4">
        <w:rPr>
          <w:rFonts w:eastAsia="Calibri" w:cs="Tahoma"/>
        </w:rPr>
        <w:t>trés</w:t>
      </w:r>
      <w:r w:rsidRPr="00845EA4">
        <w:rPr>
          <w:rFonts w:eastAsia="Calibri" w:cs="Tahoma"/>
        </w:rPr>
        <w:t xml:space="preserve">, para realizar dicha situación, inclusive a la presente fecha, dicho ente no ha emitido contestación alguna; por lo que, resulta evidente que el agravio hecho valer por el Recurrente resulta </w:t>
      </w:r>
      <w:r w:rsidRPr="00845EA4">
        <w:rPr>
          <w:rFonts w:eastAsia="Calibri" w:cs="Tahoma"/>
          <w:b/>
          <w:bCs/>
        </w:rPr>
        <w:t>FUNDADO.</w:t>
      </w:r>
    </w:p>
    <w:p w14:paraId="2B8D65F0" w14:textId="77777777" w:rsidR="000F5705" w:rsidRPr="00845EA4" w:rsidRDefault="000F5705" w:rsidP="003B510C">
      <w:pPr>
        <w:spacing w:after="0" w:line="360" w:lineRule="auto"/>
        <w:rPr>
          <w:rFonts w:eastAsia="Calibri" w:cs="Tahoma"/>
          <w:bCs/>
        </w:rPr>
      </w:pPr>
    </w:p>
    <w:p w14:paraId="7A8F11CA" w14:textId="5D5E42E0" w:rsidR="007A1139" w:rsidRPr="00845EA4" w:rsidRDefault="007A1139" w:rsidP="003B510C">
      <w:pPr>
        <w:spacing w:after="0" w:line="360" w:lineRule="auto"/>
        <w:rPr>
          <w:rFonts w:eastAsia="Calibri" w:cs="Tahoma"/>
          <w:bCs/>
        </w:rPr>
      </w:pPr>
      <w:r w:rsidRPr="00845EA4">
        <w:rPr>
          <w:rFonts w:eastAsia="Calibri" w:cs="Tahoma"/>
          <w:bCs/>
        </w:rPr>
        <w:t xml:space="preserve">Con base en lo expuesto, es procedente </w:t>
      </w:r>
      <w:r w:rsidRPr="00845EA4">
        <w:rPr>
          <w:rFonts w:eastAsia="Calibri" w:cs="Tahoma"/>
          <w:b/>
          <w:bCs/>
        </w:rPr>
        <w:t>ORDENAR</w:t>
      </w:r>
      <w:r w:rsidRPr="00845EA4">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respecto de</w:t>
      </w:r>
      <w:r w:rsidR="00CC4E00" w:rsidRPr="00845EA4">
        <w:rPr>
          <w:rFonts w:eastAsia="Calibri" w:cs="Tahoma"/>
          <w:bCs/>
        </w:rPr>
        <w:t xml:space="preserve"> las</w:t>
      </w:r>
      <w:r w:rsidRPr="00845EA4">
        <w:rPr>
          <w:rFonts w:eastAsia="Calibri" w:cs="Tahoma"/>
          <w:bCs/>
        </w:rPr>
        <w:t xml:space="preserve"> </w:t>
      </w:r>
      <w:r w:rsidR="00E5007C" w:rsidRPr="00845EA4">
        <w:rPr>
          <w:rFonts w:eastAsia="Calibri" w:cs="Tahoma"/>
          <w:bCs/>
        </w:rPr>
        <w:t>Acta</w:t>
      </w:r>
      <w:r w:rsidR="00CC4E00" w:rsidRPr="00845EA4">
        <w:rPr>
          <w:rFonts w:eastAsia="Calibri" w:cs="Tahoma"/>
          <w:bCs/>
        </w:rPr>
        <w:t>s de</w:t>
      </w:r>
      <w:r w:rsidR="00E5007C" w:rsidRPr="00845EA4">
        <w:rPr>
          <w:rFonts w:eastAsia="Calibri" w:cs="Tahoma"/>
          <w:bCs/>
        </w:rPr>
        <w:t xml:space="preserve"> entrega de la</w:t>
      </w:r>
      <w:r w:rsidR="00CC4E00" w:rsidRPr="00845EA4">
        <w:rPr>
          <w:rFonts w:eastAsia="Calibri" w:cs="Tahoma"/>
          <w:bCs/>
        </w:rPr>
        <w:t>s</w:t>
      </w:r>
      <w:r w:rsidR="00E5007C" w:rsidRPr="00845EA4">
        <w:rPr>
          <w:rFonts w:eastAsia="Calibri" w:cs="Tahoma"/>
          <w:bCs/>
        </w:rPr>
        <w:t xml:space="preserve"> obra</w:t>
      </w:r>
      <w:r w:rsidR="00CC4E00" w:rsidRPr="00845EA4">
        <w:rPr>
          <w:rFonts w:eastAsia="Calibri" w:cs="Tahoma"/>
          <w:bCs/>
        </w:rPr>
        <w:t>s</w:t>
      </w:r>
      <w:r w:rsidR="00E5007C" w:rsidRPr="00845EA4">
        <w:rPr>
          <w:rFonts w:eastAsia="Calibri" w:cs="Tahoma"/>
          <w:bCs/>
        </w:rPr>
        <w:t xml:space="preserve"> realizada</w:t>
      </w:r>
      <w:r w:rsidR="00CC4E00" w:rsidRPr="00845EA4">
        <w:rPr>
          <w:rFonts w:eastAsia="Calibri" w:cs="Tahoma"/>
          <w:bCs/>
        </w:rPr>
        <w:t>s</w:t>
      </w:r>
      <w:r w:rsidR="00E5007C" w:rsidRPr="00845EA4">
        <w:rPr>
          <w:rFonts w:eastAsia="Calibri" w:cs="Tahoma"/>
          <w:bCs/>
        </w:rPr>
        <w:t>.</w:t>
      </w:r>
    </w:p>
    <w:p w14:paraId="6148F74E" w14:textId="77777777" w:rsidR="00E5007C" w:rsidRPr="00845EA4" w:rsidRDefault="00E5007C" w:rsidP="003B510C">
      <w:pPr>
        <w:spacing w:after="0" w:line="360" w:lineRule="auto"/>
        <w:rPr>
          <w:rFonts w:eastAsia="Calibri" w:cs="Tahoma"/>
          <w:bCs/>
        </w:rPr>
      </w:pPr>
    </w:p>
    <w:p w14:paraId="0A5ADE93" w14:textId="77777777" w:rsidR="001B433A" w:rsidRPr="00845EA4" w:rsidRDefault="001B433A" w:rsidP="001B433A">
      <w:pPr>
        <w:spacing w:after="0" w:line="360" w:lineRule="auto"/>
        <w:rPr>
          <w:rFonts w:eastAsia="Calibri" w:cs="Times New Roman"/>
          <w:color w:val="auto"/>
          <w:lang w:val="es-ES_tradnl" w:eastAsia="es-ES"/>
        </w:rPr>
      </w:pPr>
      <w:r w:rsidRPr="00845EA4">
        <w:rPr>
          <w:rFonts w:eastAsia="Times New Roman" w:cs="Tahoma"/>
          <w:bCs/>
          <w:iCs/>
          <w:color w:val="auto"/>
          <w:lang w:val="es-ES_tradnl" w:eastAsia="es-ES"/>
        </w:rPr>
        <w:lastRenderedPageBreak/>
        <w:t>Sobre</w:t>
      </w:r>
      <w:r w:rsidRPr="00845EA4">
        <w:rPr>
          <w:rFonts w:eastAsia="Calibri" w:cs="Tahoma"/>
          <w:iCs/>
          <w:color w:val="auto"/>
          <w:lang w:val="es-ES_tradnl" w:eastAsia="es-ES_tradnl"/>
        </w:rPr>
        <w:t xml:space="preserve"> el tema, el</w:t>
      </w:r>
      <w:r w:rsidRPr="00845EA4">
        <w:rPr>
          <w:rFonts w:eastAsia="Calibri" w:cs="Times New Roman"/>
          <w:color w:val="auto"/>
          <w:lang w:val="es-ES_tradnl" w:eastAsia="es-ES"/>
        </w:rPr>
        <w:t xml:space="preserve">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5B195603" w14:textId="77777777" w:rsidR="001B433A" w:rsidRPr="00845EA4" w:rsidRDefault="001B433A" w:rsidP="001B433A">
      <w:pPr>
        <w:spacing w:after="0" w:line="360" w:lineRule="auto"/>
        <w:rPr>
          <w:rFonts w:eastAsia="Calibri" w:cs="Times New Roman"/>
          <w:color w:val="auto"/>
          <w:lang w:val="es-ES_tradnl" w:eastAsia="es-ES"/>
        </w:rPr>
      </w:pPr>
    </w:p>
    <w:p w14:paraId="76059C29" w14:textId="77777777" w:rsidR="001B433A" w:rsidRPr="00845EA4" w:rsidRDefault="001B433A" w:rsidP="001B433A">
      <w:pPr>
        <w:spacing w:after="0" w:line="360" w:lineRule="auto"/>
        <w:rPr>
          <w:rFonts w:eastAsia="Calibri" w:cs="Times New Roman"/>
          <w:color w:val="auto"/>
          <w:lang w:val="es-ES_tradnl" w:eastAsia="es-ES"/>
        </w:rPr>
      </w:pPr>
      <w:r w:rsidRPr="00845EA4">
        <w:rPr>
          <w:rFonts w:eastAsia="Calibri" w:cs="Times New Roman"/>
          <w:color w:val="auto"/>
          <w:lang w:val="es-ES_tradnl" w:eastAsia="es-ES"/>
        </w:rPr>
        <w:t>Además, conforme al artículo 12.6 de dicho ordenamiento jurídico, uno de los entes que pueden llevar a cabo contratos de obra pública o servicios relacionados con la misma, son los Municipios, a través de los Ayuntamientos.</w:t>
      </w:r>
    </w:p>
    <w:p w14:paraId="5044C063" w14:textId="77777777" w:rsidR="001B433A" w:rsidRPr="00845EA4" w:rsidRDefault="001B433A" w:rsidP="001B433A">
      <w:pPr>
        <w:spacing w:after="0" w:line="360" w:lineRule="auto"/>
        <w:rPr>
          <w:rFonts w:eastAsia="Times New Roman" w:cs="Tahoma"/>
          <w:bCs/>
          <w:iCs/>
          <w:color w:val="auto"/>
          <w:lang w:val="es-ES_tradnl" w:eastAsia="es-ES"/>
        </w:rPr>
      </w:pPr>
    </w:p>
    <w:p w14:paraId="78957A97" w14:textId="77777777" w:rsidR="001B433A" w:rsidRPr="00845EA4" w:rsidRDefault="001B433A" w:rsidP="001B433A">
      <w:pPr>
        <w:spacing w:after="0" w:line="360" w:lineRule="auto"/>
        <w:rPr>
          <w:rFonts w:eastAsia="Calibri" w:cs="Times New Roman"/>
          <w:color w:val="auto"/>
          <w:lang w:val="es-ES_tradnl" w:eastAsia="es-ES"/>
        </w:rPr>
      </w:pPr>
      <w:r w:rsidRPr="00845EA4">
        <w:rPr>
          <w:rFonts w:eastAsia="Calibri" w:cs="Times New Roman"/>
          <w:color w:val="auto"/>
          <w:lang w:val="es-ES_tradnl" w:eastAsia="es-ES"/>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198CF0E3" w14:textId="77777777" w:rsidR="001B433A" w:rsidRPr="00845EA4" w:rsidRDefault="001B433A" w:rsidP="001B433A">
      <w:pPr>
        <w:spacing w:after="0" w:line="360" w:lineRule="auto"/>
        <w:rPr>
          <w:rFonts w:eastAsia="Calibri" w:cs="Times New Roman"/>
          <w:color w:val="auto"/>
          <w:lang w:val="es-ES_tradnl" w:eastAsia="es-ES"/>
        </w:rPr>
      </w:pPr>
    </w:p>
    <w:p w14:paraId="4F01FC05" w14:textId="77777777" w:rsidR="001B433A" w:rsidRPr="00845EA4" w:rsidRDefault="001B433A" w:rsidP="001B433A">
      <w:pPr>
        <w:spacing w:after="0" w:line="360" w:lineRule="auto"/>
        <w:rPr>
          <w:rFonts w:eastAsia="Times New Roman" w:cs="Tahoma"/>
          <w:color w:val="auto"/>
          <w:lang w:val="es-ES" w:eastAsia="es-ES"/>
        </w:rPr>
      </w:pPr>
      <w:r w:rsidRPr="00845EA4">
        <w:rPr>
          <w:rFonts w:eastAsia="Times New Roman" w:cs="Times New Roman"/>
          <w:color w:val="auto"/>
          <w:lang w:val="es-ES_tradnl" w:eastAsia="es-ES"/>
        </w:rPr>
        <w:t>Además,</w:t>
      </w:r>
      <w:r w:rsidRPr="00845EA4">
        <w:rPr>
          <w:rFonts w:eastAsia="Times New Roman" w:cs="Tahoma"/>
          <w:color w:val="auto"/>
          <w:lang w:val="es-ES" w:eastAsia="es-ES"/>
        </w:rPr>
        <w:t xml:space="preserve"> el artículo 12.38 del Código Administrativo del Estado de México, establece que la adjudicación de un procedimiento de </w:t>
      </w:r>
      <w:r w:rsidRPr="00845EA4">
        <w:rPr>
          <w:rFonts w:eastAsia="Times New Roman" w:cs="Tahoma"/>
          <w:b/>
          <w:bCs/>
          <w:color w:val="auto"/>
          <w:lang w:val="es-ES" w:eastAsia="es-ES"/>
        </w:rPr>
        <w:t>ejecución de obra,</w:t>
      </w:r>
      <w:r w:rsidRPr="00845EA4">
        <w:rPr>
          <w:rFonts w:eastAsia="Times New Roman" w:cs="Tahoma"/>
          <w:color w:val="auto"/>
          <w:lang w:val="es-ES" w:eastAsia="es-ES"/>
        </w:rPr>
        <w:t xml:space="preserve"> se realizará mediante la suscripción de un contrato, entre el Ayuntamiento y la persona a la cual haya ganado el procedimiento respectivo, dentro de los diez días hábiles siguientes a la notificación del fallo.</w:t>
      </w:r>
    </w:p>
    <w:p w14:paraId="1A2E3791" w14:textId="77777777" w:rsidR="001B433A" w:rsidRPr="00845EA4" w:rsidRDefault="001B433A" w:rsidP="001B433A">
      <w:pPr>
        <w:spacing w:after="0" w:line="360" w:lineRule="auto"/>
        <w:rPr>
          <w:rFonts w:eastAsia="Times New Roman" w:cs="Tahoma"/>
          <w:color w:val="auto"/>
          <w:lang w:val="es-ES" w:eastAsia="es-ES"/>
        </w:rPr>
      </w:pPr>
    </w:p>
    <w:p w14:paraId="49F201A6" w14:textId="04D8A048" w:rsidR="001B433A" w:rsidRPr="00845EA4" w:rsidRDefault="001B433A" w:rsidP="003B510C">
      <w:pPr>
        <w:spacing w:after="0" w:line="360" w:lineRule="auto"/>
      </w:pPr>
      <w:r w:rsidRPr="00845EA4">
        <w:t xml:space="preserve">En ese sentido, el artículo 269 del Reglamento del Libro Décimo Segundo del Código Administrativo del Estado de México, precisa </w:t>
      </w:r>
      <w:r w:rsidR="00626517" w:rsidRPr="00845EA4">
        <w:t>que,</w:t>
      </w:r>
      <w:r w:rsidRPr="00845EA4">
        <w:t xml:space="preserve"> para la recepción de los trabajos y entrega al Ayuntamiento, de las obras realizadas, este deberá levantar un </w:t>
      </w:r>
      <w:r w:rsidRPr="00845EA4">
        <w:rPr>
          <w:b/>
          <w:bCs/>
        </w:rPr>
        <w:t>Acta de Recepción-Entrega</w:t>
      </w:r>
      <w:r w:rsidR="001E37B5" w:rsidRPr="00845EA4">
        <w:t>, la cual contendrá lugar, fecha y hora; descripción, fecha de inicio y término de la obra realizada.</w:t>
      </w:r>
    </w:p>
    <w:p w14:paraId="0CFAEFCF" w14:textId="77777777" w:rsidR="001E37B5" w:rsidRPr="00845EA4" w:rsidRDefault="001E37B5" w:rsidP="003B510C">
      <w:pPr>
        <w:spacing w:after="0" w:line="360" w:lineRule="auto"/>
      </w:pPr>
    </w:p>
    <w:p w14:paraId="3D60CB8B" w14:textId="21BD1380" w:rsidR="001E37B5" w:rsidRPr="00845EA4" w:rsidRDefault="001E37B5" w:rsidP="003B510C">
      <w:pPr>
        <w:spacing w:after="0" w:line="360" w:lineRule="auto"/>
      </w:pPr>
      <w:r w:rsidRPr="00845EA4">
        <w:lastRenderedPageBreak/>
        <w:t xml:space="preserve">Además de conformidad con el artículo 272 de la misma Ley, establece que </w:t>
      </w:r>
      <w:r w:rsidRPr="00845EA4">
        <w:rPr>
          <w:b/>
          <w:bCs/>
        </w:rPr>
        <w:t>la Contraloría Interna</w:t>
      </w:r>
      <w:r w:rsidRPr="00845EA4">
        <w:t xml:space="preserve"> de los Ayuntamientos, previo a la ejecución de los trabajos de las obras, verificará que se cuente con el presupuesto correspondiente y los programas de ejecución, de utilización de recursos humanos y, en su caso, de utilización de maquinaria y equipo de construcción. Asimismo, en el ejercicio de sus atribuciones estará atenta al desarrollo de la obra, a su </w:t>
      </w:r>
      <w:r w:rsidRPr="00845EA4">
        <w:rPr>
          <w:b/>
          <w:bCs/>
        </w:rPr>
        <w:t>entrega-recepción</w:t>
      </w:r>
      <w:r w:rsidRPr="00845EA4">
        <w:t xml:space="preserve"> y en su caso, suspensión.</w:t>
      </w:r>
    </w:p>
    <w:p w14:paraId="64361857" w14:textId="77777777" w:rsidR="001B433A" w:rsidRPr="00845EA4" w:rsidRDefault="001B433A" w:rsidP="003B510C">
      <w:pPr>
        <w:spacing w:after="0" w:line="360" w:lineRule="auto"/>
      </w:pPr>
    </w:p>
    <w:p w14:paraId="31C8E1BE" w14:textId="6C374F1C" w:rsidR="0033594B" w:rsidRPr="00845EA4" w:rsidRDefault="0033594B" w:rsidP="003B510C">
      <w:pPr>
        <w:pStyle w:val="NormalWeb"/>
        <w:spacing w:after="0" w:line="360" w:lineRule="auto"/>
        <w:rPr>
          <w:rFonts w:ascii="Palatino Linotype" w:hAnsi="Palatino Linotype"/>
          <w:sz w:val="22"/>
          <w:szCs w:val="22"/>
        </w:rPr>
      </w:pPr>
      <w:r w:rsidRPr="00845EA4">
        <w:rPr>
          <w:rFonts w:ascii="Palatino Linotype" w:hAnsi="Palatino Linotype"/>
          <w:color w:val="000000"/>
          <w:sz w:val="22"/>
          <w:szCs w:val="22"/>
        </w:rPr>
        <w:t>Conforme a lo anterior, el artículo 87</w:t>
      </w:r>
      <w:r w:rsidR="001B433A" w:rsidRPr="00845EA4">
        <w:rPr>
          <w:rFonts w:ascii="Palatino Linotype" w:hAnsi="Palatino Linotype"/>
          <w:color w:val="000000"/>
          <w:sz w:val="22"/>
          <w:szCs w:val="22"/>
        </w:rPr>
        <w:t>,</w:t>
      </w:r>
      <w:r w:rsidRPr="00845EA4">
        <w:rPr>
          <w:rFonts w:ascii="Palatino Linotype" w:hAnsi="Palatino Linotype"/>
          <w:color w:val="000000"/>
          <w:sz w:val="22"/>
          <w:szCs w:val="22"/>
        </w:rPr>
        <w:t xml:space="preserve"> fracción III</w:t>
      </w:r>
      <w:r w:rsidR="001B433A" w:rsidRPr="00845EA4">
        <w:rPr>
          <w:rFonts w:ascii="Palatino Linotype" w:hAnsi="Palatino Linotype"/>
          <w:color w:val="000000"/>
          <w:sz w:val="22"/>
          <w:szCs w:val="22"/>
        </w:rPr>
        <w:t>,</w:t>
      </w:r>
      <w:r w:rsidR="003B596D" w:rsidRPr="00845EA4">
        <w:rPr>
          <w:rFonts w:ascii="Palatino Linotype" w:hAnsi="Palatino Linotype"/>
          <w:color w:val="000000"/>
          <w:sz w:val="22"/>
          <w:szCs w:val="22"/>
        </w:rPr>
        <w:t xml:space="preserve"> 96 Bis</w:t>
      </w:r>
      <w:r w:rsidRPr="00845EA4">
        <w:rPr>
          <w:rFonts w:ascii="Palatino Linotype" w:hAnsi="Palatino Linotype"/>
          <w:color w:val="000000"/>
          <w:sz w:val="22"/>
          <w:szCs w:val="22"/>
        </w:rPr>
        <w:t xml:space="preserve"> </w:t>
      </w:r>
      <w:r w:rsidR="003B2F68" w:rsidRPr="00845EA4">
        <w:rPr>
          <w:rFonts w:ascii="Palatino Linotype" w:hAnsi="Palatino Linotype"/>
          <w:color w:val="000000"/>
          <w:sz w:val="22"/>
          <w:szCs w:val="22"/>
        </w:rPr>
        <w:t xml:space="preserve">y 110 </w:t>
      </w:r>
      <w:r w:rsidRPr="00845EA4">
        <w:rPr>
          <w:rFonts w:ascii="Palatino Linotype" w:hAnsi="Palatino Linotype"/>
          <w:color w:val="000000"/>
          <w:sz w:val="22"/>
          <w:szCs w:val="22"/>
        </w:rPr>
        <w:t xml:space="preserve">de la Ley Orgánica Municipal del Estado de México, </w:t>
      </w:r>
      <w:r w:rsidR="003B596D" w:rsidRPr="00845EA4">
        <w:rPr>
          <w:rFonts w:ascii="Palatino Linotype" w:hAnsi="Palatino Linotype"/>
          <w:color w:val="000000"/>
          <w:sz w:val="22"/>
          <w:szCs w:val="22"/>
        </w:rPr>
        <w:t xml:space="preserve">en relación con </w:t>
      </w:r>
      <w:r w:rsidR="003B2F68" w:rsidRPr="00845EA4">
        <w:rPr>
          <w:rFonts w:ascii="Palatino Linotype" w:hAnsi="Palatino Linotype"/>
          <w:color w:val="000000"/>
          <w:sz w:val="22"/>
          <w:szCs w:val="22"/>
        </w:rPr>
        <w:t>los</w:t>
      </w:r>
      <w:r w:rsidR="003B596D" w:rsidRPr="00845EA4">
        <w:rPr>
          <w:rFonts w:ascii="Palatino Linotype" w:hAnsi="Palatino Linotype"/>
          <w:color w:val="000000"/>
          <w:sz w:val="22"/>
          <w:szCs w:val="22"/>
        </w:rPr>
        <w:t xml:space="preserve"> artículo</w:t>
      </w:r>
      <w:r w:rsidR="003B2F68" w:rsidRPr="00845EA4">
        <w:rPr>
          <w:rFonts w:ascii="Palatino Linotype" w:hAnsi="Palatino Linotype"/>
          <w:color w:val="000000"/>
          <w:sz w:val="22"/>
          <w:szCs w:val="22"/>
        </w:rPr>
        <w:t>s 64 y</w:t>
      </w:r>
      <w:r w:rsidR="003B596D" w:rsidRPr="00845EA4">
        <w:rPr>
          <w:rFonts w:ascii="Palatino Linotype" w:hAnsi="Palatino Linotype"/>
          <w:color w:val="000000"/>
          <w:sz w:val="22"/>
          <w:szCs w:val="22"/>
        </w:rPr>
        <w:t xml:space="preserve"> 69 del Bando Municipal de Tepetlixpa 2022, </w:t>
      </w:r>
      <w:r w:rsidRPr="00845EA4">
        <w:rPr>
          <w:rFonts w:ascii="Palatino Linotype" w:hAnsi="Palatino Linotype"/>
          <w:color w:val="000000"/>
          <w:sz w:val="22"/>
          <w:szCs w:val="22"/>
        </w:rPr>
        <w:t>establece</w:t>
      </w:r>
      <w:r w:rsidR="003B596D" w:rsidRPr="00845EA4">
        <w:rPr>
          <w:rFonts w:ascii="Palatino Linotype" w:hAnsi="Palatino Linotype"/>
          <w:color w:val="000000"/>
          <w:sz w:val="22"/>
          <w:szCs w:val="22"/>
        </w:rPr>
        <w:t>n</w:t>
      </w:r>
      <w:r w:rsidRPr="00845EA4">
        <w:rPr>
          <w:rFonts w:ascii="Palatino Linotype" w:hAnsi="Palatino Linotype"/>
          <w:color w:val="000000"/>
          <w:sz w:val="22"/>
          <w:szCs w:val="22"/>
        </w:rPr>
        <w:t xml:space="preserve"> que el Ayuntamiento, </w:t>
      </w:r>
      <w:r w:rsidRPr="00845EA4">
        <w:rPr>
          <w:rFonts w:ascii="Palatino Linotype" w:hAnsi="Palatino Linotype"/>
          <w:sz w:val="22"/>
          <w:szCs w:val="22"/>
        </w:rPr>
        <w:t xml:space="preserve">para el despacho, estudio y planeación de los diversos asuntos de la administración municipal, contará con una </w:t>
      </w:r>
      <w:r w:rsidR="003B2F68" w:rsidRPr="00845EA4">
        <w:rPr>
          <w:rFonts w:ascii="Palatino Linotype" w:hAnsi="Palatino Linotype"/>
          <w:sz w:val="22"/>
          <w:szCs w:val="22"/>
        </w:rPr>
        <w:t xml:space="preserve">Contraloría Interna encargada de vigilar que la administración de la Hacienda Pública Municipal y las acciones de los servidores públicos se conduzcan en cumplimiento a las disposiciones legales vigentes aplicables, además de, una </w:t>
      </w:r>
      <w:r w:rsidRPr="00845EA4">
        <w:rPr>
          <w:rFonts w:ascii="Palatino Linotype" w:hAnsi="Palatino Linotype"/>
          <w:sz w:val="22"/>
          <w:szCs w:val="22"/>
        </w:rPr>
        <w:t>Dirección de Obras Públicas</w:t>
      </w:r>
      <w:r w:rsidR="003B596D" w:rsidRPr="00845EA4">
        <w:rPr>
          <w:rFonts w:ascii="Palatino Linotype" w:hAnsi="Palatino Linotype"/>
          <w:sz w:val="22"/>
          <w:szCs w:val="22"/>
        </w:rPr>
        <w:t xml:space="preserve">, la cual se encargará de la planeación, programación, presupuestación, ejecución, supervisión y conservación de las obras públicas municipales y los servicios relacionados con las mismas, llevando el control y vigilancia de éstas. </w:t>
      </w:r>
    </w:p>
    <w:p w14:paraId="24024F21" w14:textId="77777777" w:rsidR="007A1139" w:rsidRPr="00845EA4" w:rsidRDefault="007A1139" w:rsidP="003B510C">
      <w:pPr>
        <w:spacing w:after="0" w:line="360" w:lineRule="auto"/>
        <w:rPr>
          <w:rFonts w:eastAsia="Times New Roman" w:cs="Times New Roman"/>
          <w:iCs/>
          <w:color w:val="auto"/>
          <w:lang w:val="es-ES" w:eastAsia="es-ES"/>
        </w:rPr>
      </w:pPr>
    </w:p>
    <w:p w14:paraId="3E09B6D0" w14:textId="6FE63F9D" w:rsidR="00A7788D" w:rsidRPr="00845EA4" w:rsidRDefault="00A7788D" w:rsidP="003B510C">
      <w:pPr>
        <w:tabs>
          <w:tab w:val="left" w:pos="4962"/>
        </w:tabs>
        <w:spacing w:after="0" w:line="360" w:lineRule="auto"/>
      </w:pPr>
      <w:r w:rsidRPr="00845EA4">
        <w:rPr>
          <w:color w:val="000000"/>
        </w:rPr>
        <w:t xml:space="preserve">Así, se logra observar que el Ayuntamiento es competente para pronunciarse de lo solicitado, pues tiene competencia y atribuciones, para </w:t>
      </w:r>
      <w:r w:rsidR="00D6798D" w:rsidRPr="00845EA4">
        <w:rPr>
          <w:color w:val="000000"/>
        </w:rPr>
        <w:t>ejecutar obras públicas y emitir las Actas de Recepción-Entrega correspondientes</w:t>
      </w:r>
      <w:r w:rsidRPr="00845EA4">
        <w:rPr>
          <w:color w:val="000000"/>
        </w:rPr>
        <w:t xml:space="preserve">; además, este Instituto revisó el Primer Informe de Gobierno del estado que guarda la Administración Pública 2022-2024 de Tepetlixpa (consultada el </w:t>
      </w:r>
      <w:r w:rsidR="00D6798D" w:rsidRPr="00845EA4">
        <w:rPr>
          <w:color w:val="000000"/>
        </w:rPr>
        <w:t>diecisiete</w:t>
      </w:r>
      <w:r w:rsidRPr="00845EA4">
        <w:rPr>
          <w:color w:val="000000"/>
        </w:rPr>
        <w:t xml:space="preserve"> de mayo de dos mil veintitrés, en la página electrónica </w:t>
      </w:r>
      <w:hyperlink r:id="rId9" w:history="1">
        <w:r w:rsidRPr="00845EA4">
          <w:rPr>
            <w:rStyle w:val="Hipervnculo"/>
          </w:rPr>
          <w:t>https://tepetlixpa.gob.mx/contenidos/tepetlixpa/docs/10_030-primer-informe-de-gobobierno-2022_22127084419.pdf</w:t>
        </w:r>
      </w:hyperlink>
      <w:r w:rsidRPr="00845EA4">
        <w:rPr>
          <w:color w:val="000000"/>
        </w:rPr>
        <w:t xml:space="preserve">), del cual se advierte </w:t>
      </w:r>
      <w:r w:rsidRPr="00845EA4">
        <w:t xml:space="preserve">que el Ayuntamiento de Tepetlixpa </w:t>
      </w:r>
      <w:r w:rsidR="00D6798D" w:rsidRPr="00845EA4">
        <w:t>a través de la Dirección de Obras Públicas efectúa obras de infraestructura y equipamiento urbano, de las cuales da a conocer las obras terminadas</w:t>
      </w:r>
      <w:r w:rsidRPr="00845EA4">
        <w:t>, tal como se muestra a continuación:</w:t>
      </w:r>
    </w:p>
    <w:p w14:paraId="7E2987D9" w14:textId="77777777" w:rsidR="00D6798D" w:rsidRPr="00845EA4" w:rsidRDefault="00D6798D" w:rsidP="003B510C">
      <w:pPr>
        <w:tabs>
          <w:tab w:val="left" w:pos="4962"/>
        </w:tabs>
        <w:spacing w:after="0" w:line="360" w:lineRule="auto"/>
      </w:pPr>
    </w:p>
    <w:p w14:paraId="2DEEABC2" w14:textId="09167599" w:rsidR="00D6798D" w:rsidRPr="00845EA4" w:rsidRDefault="00D6798D" w:rsidP="00D6798D">
      <w:pPr>
        <w:tabs>
          <w:tab w:val="left" w:pos="4962"/>
        </w:tabs>
        <w:spacing w:after="0" w:line="360" w:lineRule="auto"/>
        <w:jc w:val="center"/>
      </w:pPr>
      <w:r w:rsidRPr="00845EA4">
        <w:rPr>
          <w:noProof/>
          <w:lang w:eastAsia="es-MX"/>
        </w:rPr>
        <w:drawing>
          <wp:inline distT="0" distB="0" distL="0" distR="0" wp14:anchorId="3DAA1ACA" wp14:editId="70107C78">
            <wp:extent cx="5671185" cy="5420995"/>
            <wp:effectExtent l="0" t="0" r="5715" b="8255"/>
            <wp:docPr id="2025695893" name="Imagen 1" descr="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95893" name="Imagen 1" descr="Calendari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671185" cy="5420995"/>
                    </a:xfrm>
                    <a:prstGeom prst="rect">
                      <a:avLst/>
                    </a:prstGeom>
                  </pic:spPr>
                </pic:pic>
              </a:graphicData>
            </a:graphic>
          </wp:inline>
        </w:drawing>
      </w:r>
    </w:p>
    <w:p w14:paraId="366925B1" w14:textId="77777777" w:rsidR="00D6798D" w:rsidRPr="00845EA4" w:rsidRDefault="00D6798D" w:rsidP="00D6798D">
      <w:pPr>
        <w:tabs>
          <w:tab w:val="left" w:pos="4962"/>
        </w:tabs>
        <w:spacing w:after="0" w:line="360" w:lineRule="auto"/>
        <w:jc w:val="center"/>
      </w:pPr>
    </w:p>
    <w:p w14:paraId="4BF5EACF" w14:textId="77777777" w:rsidR="001D0AAC" w:rsidRPr="00845EA4" w:rsidRDefault="001D0AAC" w:rsidP="001D0AAC">
      <w:pPr>
        <w:tabs>
          <w:tab w:val="left" w:pos="4962"/>
        </w:tabs>
        <w:spacing w:after="0" w:line="360" w:lineRule="auto"/>
      </w:pPr>
      <w:r w:rsidRPr="00845EA4">
        <w:rPr>
          <w:rFonts w:eastAsia="Calibri" w:cs="Tahoma"/>
          <w:bCs/>
          <w:lang w:val="es-ES_tradnl"/>
        </w:rPr>
        <w:t>Por tal circunstancia</w:t>
      </w:r>
      <w:r w:rsidRPr="00845EA4">
        <w:rPr>
          <w:rFonts w:eastAsia="Times New Roman" w:cs="Tahoma"/>
          <w:bCs/>
          <w:iCs/>
          <w:color w:val="auto"/>
          <w:lang w:eastAsia="es-ES"/>
        </w:rPr>
        <w:t>, para atender al requerimiento en análisis, el Sujeto Obligado, deberá realizar una búsqueda exhaustiva y razonable en todas sus áreas competentes</w:t>
      </w:r>
      <w:r w:rsidRPr="00845EA4">
        <w:t>,</w:t>
      </w:r>
      <w:r w:rsidRPr="00845EA4">
        <w:rPr>
          <w:rFonts w:eastAsia="Times New Roman" w:cs="Tahoma"/>
          <w:bCs/>
          <w:iCs/>
          <w:color w:val="auto"/>
          <w:lang w:eastAsia="es-ES"/>
        </w:rPr>
        <w:t xml:space="preserve"> en términos del artículo 162 de la Ley de Transparencia y Acceso a la Información Pública del Estado de México y Municipios,</w:t>
      </w:r>
      <w:r w:rsidRPr="00845EA4">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Pr="00845EA4" w:rsidRDefault="00E25189" w:rsidP="003B510C">
      <w:pPr>
        <w:spacing w:after="0" w:line="360" w:lineRule="auto"/>
        <w:rPr>
          <w:rFonts w:eastAsia="Calibri" w:cs="Tahoma"/>
          <w:iCs/>
          <w:color w:val="auto"/>
          <w:lang w:val="es-ES" w:eastAsia="es-MX"/>
        </w:rPr>
      </w:pPr>
    </w:p>
    <w:p w14:paraId="028AEB40" w14:textId="1A9EDACD" w:rsidR="00F5540D" w:rsidRPr="00845EA4" w:rsidRDefault="00E25189" w:rsidP="003B510C">
      <w:pPr>
        <w:spacing w:after="0" w:line="360" w:lineRule="auto"/>
        <w:rPr>
          <w:rFonts w:eastAsia="Times New Roman" w:cs="Tahoma"/>
          <w:bCs/>
          <w:iCs/>
          <w:lang w:val="es-ES" w:eastAsia="es-ES"/>
        </w:rPr>
      </w:pPr>
      <w:r w:rsidRPr="00845EA4">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845EA4">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69821AF" w14:textId="77777777" w:rsidR="00F5540D" w:rsidRPr="00845EA4" w:rsidRDefault="00F5540D" w:rsidP="003B510C">
      <w:pPr>
        <w:spacing w:after="0" w:line="360" w:lineRule="auto"/>
        <w:rPr>
          <w:rFonts w:eastAsia="Times New Roman" w:cs="Tahoma"/>
          <w:bCs/>
          <w:iCs/>
          <w:lang w:val="es-ES" w:eastAsia="es-ES"/>
        </w:rPr>
      </w:pPr>
    </w:p>
    <w:p w14:paraId="1DB48BF6" w14:textId="37A146D1" w:rsidR="00E25189" w:rsidRPr="00845EA4" w:rsidRDefault="00E25189" w:rsidP="003B510C">
      <w:pPr>
        <w:spacing w:after="0" w:line="360" w:lineRule="auto"/>
        <w:rPr>
          <w:rFonts w:eastAsia="Calibri" w:cs="Times New Roman"/>
        </w:rPr>
      </w:pPr>
      <w:r w:rsidRPr="00845EA4">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40E2F6E" w14:textId="77777777" w:rsidR="00FB6F03" w:rsidRPr="00845EA4" w:rsidRDefault="00FB6F03" w:rsidP="003B510C">
      <w:pPr>
        <w:spacing w:after="0" w:line="360" w:lineRule="auto"/>
        <w:contextualSpacing/>
        <w:rPr>
          <w:rFonts w:eastAsia="Calibri" w:cs="Tahoma"/>
          <w:b/>
          <w:color w:val="000000"/>
        </w:rPr>
      </w:pPr>
    </w:p>
    <w:p w14:paraId="2D636013" w14:textId="77777777" w:rsidR="00EC77D9" w:rsidRPr="00845EA4" w:rsidRDefault="00EC77D9" w:rsidP="003B510C">
      <w:pPr>
        <w:spacing w:after="0" w:line="360" w:lineRule="auto"/>
        <w:contextualSpacing/>
        <w:rPr>
          <w:rFonts w:eastAsia="Calibri" w:cs="Tahoma"/>
          <w:b/>
          <w:color w:val="000000"/>
        </w:rPr>
      </w:pPr>
      <w:r w:rsidRPr="00845EA4">
        <w:rPr>
          <w:rFonts w:eastAsia="Calibri" w:cs="Tahoma"/>
          <w:b/>
          <w:color w:val="000000"/>
        </w:rPr>
        <w:t xml:space="preserve">SEXTO. Decisión. </w:t>
      </w:r>
    </w:p>
    <w:p w14:paraId="5BB78247" w14:textId="77777777" w:rsidR="00975E93" w:rsidRPr="00845EA4" w:rsidRDefault="00975E93" w:rsidP="003B510C">
      <w:pPr>
        <w:spacing w:after="0" w:line="360" w:lineRule="auto"/>
        <w:rPr>
          <w:rFonts w:eastAsia="Times New Roman" w:cs="Tahoma"/>
          <w:color w:val="auto"/>
          <w:lang w:eastAsia="es-ES"/>
        </w:rPr>
      </w:pPr>
    </w:p>
    <w:p w14:paraId="6174FFA1" w14:textId="4C9B110A" w:rsidR="00EC77D9" w:rsidRPr="00845EA4" w:rsidRDefault="00EC77D9" w:rsidP="003B510C">
      <w:pPr>
        <w:spacing w:after="0" w:line="360" w:lineRule="auto"/>
        <w:rPr>
          <w:rFonts w:eastAsia="Times New Roman" w:cs="Tahoma"/>
          <w:color w:val="auto"/>
          <w:lang w:eastAsia="es-ES"/>
        </w:rPr>
      </w:pPr>
      <w:r w:rsidRPr="00845EA4">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845EA4">
        <w:rPr>
          <w:rFonts w:eastAsia="Times New Roman" w:cs="Tahoma"/>
          <w:b/>
          <w:bCs/>
          <w:color w:val="auto"/>
          <w:lang w:eastAsia="es-ES"/>
        </w:rPr>
        <w:t>ORDENAR</w:t>
      </w:r>
      <w:r w:rsidRPr="00845EA4">
        <w:rPr>
          <w:rFonts w:eastAsia="Times New Roman" w:cs="Tahoma"/>
          <w:color w:val="auto"/>
          <w:lang w:eastAsia="es-ES"/>
        </w:rPr>
        <w:t xml:space="preserve"> al Sujeto Obligado,</w:t>
      </w:r>
      <w:r w:rsidRPr="00845EA4">
        <w:rPr>
          <w:rFonts w:eastAsia="Calibri" w:cs="Tahoma"/>
          <w:color w:val="auto"/>
        </w:rPr>
        <w:t xml:space="preserve"> a que dé trámite y </w:t>
      </w:r>
      <w:r w:rsidRPr="00845EA4">
        <w:rPr>
          <w:rFonts w:eastAsia="Times New Roman" w:cs="Tahoma"/>
          <w:color w:val="auto"/>
          <w:lang w:eastAsia="es-ES"/>
        </w:rPr>
        <w:t xml:space="preserve">respuesta a la solicitud de información pública con número </w:t>
      </w:r>
      <w:r w:rsidR="007A1139" w:rsidRPr="00845EA4">
        <w:t>00</w:t>
      </w:r>
      <w:r w:rsidR="000F4B2D" w:rsidRPr="00845EA4">
        <w:t>0</w:t>
      </w:r>
      <w:r w:rsidR="00400296" w:rsidRPr="00845EA4">
        <w:t>98</w:t>
      </w:r>
      <w:r w:rsidR="007A1139" w:rsidRPr="00845EA4">
        <w:t>/</w:t>
      </w:r>
      <w:r w:rsidR="000F4B2D" w:rsidRPr="00845EA4">
        <w:t>TEPETLIX</w:t>
      </w:r>
      <w:r w:rsidR="007A1139" w:rsidRPr="00845EA4">
        <w:t>/IP/2023</w:t>
      </w:r>
      <w:r w:rsidRPr="00845EA4">
        <w:rPr>
          <w:rFonts w:eastAsia="Times New Roman" w:cs="Tahoma"/>
          <w:iCs/>
          <w:color w:val="auto"/>
          <w:lang w:eastAsia="es-ES"/>
        </w:rPr>
        <w:t>.</w:t>
      </w:r>
    </w:p>
    <w:p w14:paraId="607FB65A" w14:textId="77777777" w:rsidR="00EC77D9" w:rsidRPr="00845EA4" w:rsidRDefault="00EC77D9" w:rsidP="003B510C">
      <w:pPr>
        <w:spacing w:after="0" w:line="360" w:lineRule="auto"/>
        <w:rPr>
          <w:rFonts w:eastAsia="Times New Roman" w:cs="Tahoma"/>
          <w:b/>
          <w:bCs/>
          <w:iCs/>
          <w:color w:val="auto"/>
          <w:lang w:eastAsia="es-ES"/>
        </w:rPr>
      </w:pPr>
    </w:p>
    <w:p w14:paraId="1E8385FF" w14:textId="77777777" w:rsidR="00EC77D9" w:rsidRPr="00845EA4" w:rsidRDefault="00EC77D9" w:rsidP="003B510C">
      <w:pPr>
        <w:autoSpaceDE w:val="0"/>
        <w:autoSpaceDN w:val="0"/>
        <w:adjustRightInd w:val="0"/>
        <w:spacing w:after="0" w:line="360" w:lineRule="auto"/>
        <w:rPr>
          <w:rFonts w:eastAsia="Calibri" w:cs="Tahoma"/>
          <w:b/>
          <w:bCs/>
          <w:iCs/>
          <w:color w:val="auto"/>
          <w:lang w:val="es-ES"/>
        </w:rPr>
      </w:pPr>
      <w:r w:rsidRPr="00845EA4">
        <w:rPr>
          <w:rFonts w:eastAsia="Calibri" w:cs="Tahoma"/>
          <w:b/>
          <w:bCs/>
          <w:iCs/>
          <w:color w:val="auto"/>
          <w:lang w:val="es-ES"/>
        </w:rPr>
        <w:t>Términos de la Resolución para conocimiento del Particular.</w:t>
      </w:r>
    </w:p>
    <w:p w14:paraId="47CCF839" w14:textId="77777777" w:rsidR="005A022E" w:rsidRPr="00845EA4" w:rsidRDefault="005A022E" w:rsidP="003B510C">
      <w:pPr>
        <w:autoSpaceDE w:val="0"/>
        <w:autoSpaceDN w:val="0"/>
        <w:adjustRightInd w:val="0"/>
        <w:spacing w:after="0" w:line="360" w:lineRule="auto"/>
        <w:rPr>
          <w:rFonts w:eastAsia="Calibri" w:cs="Tahoma"/>
          <w:b/>
          <w:bCs/>
          <w:iCs/>
          <w:color w:val="auto"/>
          <w:lang w:val="es-ES"/>
        </w:rPr>
      </w:pPr>
    </w:p>
    <w:p w14:paraId="556191F7" w14:textId="5DF11C93" w:rsidR="00EC77D9" w:rsidRPr="00845EA4" w:rsidRDefault="00EC77D9" w:rsidP="003B510C">
      <w:pPr>
        <w:widowControl w:val="0"/>
        <w:autoSpaceDE w:val="0"/>
        <w:autoSpaceDN w:val="0"/>
        <w:adjustRightInd w:val="0"/>
        <w:spacing w:after="0" w:line="360" w:lineRule="auto"/>
        <w:rPr>
          <w:rFonts w:eastAsia="Calibri" w:cs="Tahoma"/>
          <w:bCs/>
          <w:iCs/>
          <w:color w:val="auto"/>
          <w:lang w:val="es-ES"/>
        </w:rPr>
      </w:pPr>
      <w:r w:rsidRPr="00845EA4">
        <w:rPr>
          <w:rFonts w:eastAsia="Calibri" w:cs="Tahoma"/>
          <w:bCs/>
          <w:iCs/>
          <w:color w:val="auto"/>
          <w:lang w:val="es-ES"/>
        </w:rPr>
        <w:t xml:space="preserve">Se le hace del conocimiento al Particular, que, en el presente caso, se le da la razón, pues el </w:t>
      </w:r>
      <w:r w:rsidR="000C006D" w:rsidRPr="00845EA4">
        <w:rPr>
          <w:color w:val="000000"/>
          <w:lang w:val="es-ES"/>
        </w:rPr>
        <w:t>Ayuntamiento de</w:t>
      </w:r>
      <w:r w:rsidR="001A0D6B" w:rsidRPr="00845EA4">
        <w:rPr>
          <w:color w:val="000000"/>
          <w:lang w:val="es-ES"/>
        </w:rPr>
        <w:t xml:space="preserve"> Tepetlixpa</w:t>
      </w:r>
      <w:r w:rsidRPr="00845EA4">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845EA4">
        <w:rPr>
          <w:rFonts w:eastAsia="Calibri" w:cs="Tahoma"/>
          <w:bCs/>
          <w:iCs/>
          <w:color w:val="auto"/>
          <w:lang w:val="es-ES"/>
        </w:rPr>
        <w:t xml:space="preserve">que </w:t>
      </w:r>
      <w:r w:rsidR="00FA29C4" w:rsidRPr="00845EA4">
        <w:rPr>
          <w:rFonts w:eastAsia="Calibri" w:cs="Tahoma"/>
          <w:bCs/>
          <w:iCs/>
          <w:color w:val="auto"/>
          <w:lang w:val="es-ES"/>
        </w:rPr>
        <w:t>corresponda.</w:t>
      </w:r>
    </w:p>
    <w:p w14:paraId="1B298986" w14:textId="77777777" w:rsidR="00EC77D9" w:rsidRPr="00845EA4" w:rsidRDefault="00EC77D9" w:rsidP="003B510C">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Pr="00845EA4" w:rsidRDefault="00EC77D9" w:rsidP="003B510C">
      <w:pPr>
        <w:spacing w:after="0" w:line="360" w:lineRule="auto"/>
        <w:rPr>
          <w:rFonts w:eastAsia="Calibri" w:cs="Tahoma"/>
          <w:bCs/>
          <w:iCs/>
          <w:color w:val="auto"/>
          <w:lang w:val="es-ES" w:eastAsia="es-ES_tradnl"/>
        </w:rPr>
      </w:pPr>
      <w:r w:rsidRPr="00845EA4">
        <w:rPr>
          <w:rFonts w:eastAsia="Calibri" w:cs="Tahoma"/>
          <w:bCs/>
          <w:iCs/>
          <w:color w:val="auto"/>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Pr="00845EA4" w:rsidRDefault="00563865" w:rsidP="003B510C">
      <w:pPr>
        <w:spacing w:after="0" w:line="360" w:lineRule="auto"/>
        <w:rPr>
          <w:rFonts w:eastAsia="Calibri" w:cs="Tahoma"/>
          <w:bCs/>
          <w:iCs/>
          <w:color w:val="auto"/>
          <w:lang w:val="es-ES" w:eastAsia="es-ES_tradnl"/>
        </w:rPr>
      </w:pPr>
    </w:p>
    <w:p w14:paraId="348A2D28" w14:textId="1792CEDE" w:rsidR="00B24607" w:rsidRPr="00845EA4" w:rsidRDefault="00B24607" w:rsidP="003B510C">
      <w:pPr>
        <w:spacing w:after="0" w:line="360" w:lineRule="auto"/>
        <w:rPr>
          <w:rFonts w:eastAsia="Calibri" w:cs="Tahoma"/>
          <w:bCs/>
          <w:iCs/>
          <w:color w:val="auto"/>
        </w:rPr>
      </w:pPr>
      <w:r w:rsidRPr="00845EA4">
        <w:rPr>
          <w:rFonts w:eastAsia="Calibri" w:cs="Tahoma"/>
          <w:bCs/>
          <w:iCs/>
          <w:color w:val="auto"/>
        </w:rPr>
        <w:t xml:space="preserve">Finalmente, </w:t>
      </w:r>
      <w:r w:rsidR="00563865" w:rsidRPr="00845EA4">
        <w:rPr>
          <w:rFonts w:eastAsia="Calibri" w:cs="Tahoma"/>
          <w:bCs/>
          <w:iCs/>
          <w:color w:val="auto"/>
        </w:rPr>
        <w:t xml:space="preserve">se le informa que </w:t>
      </w:r>
      <w:r w:rsidRPr="00845EA4">
        <w:rPr>
          <w:rFonts w:eastAsia="Calibri" w:cs="Tahoma"/>
          <w:bCs/>
          <w:iCs/>
          <w:color w:val="auto"/>
        </w:rPr>
        <w:t>la labor del Instituto</w:t>
      </w:r>
      <w:r w:rsidR="00563865" w:rsidRPr="00845EA4">
        <w:rPr>
          <w:rFonts w:eastAsia="Calibri" w:cs="Tahoma"/>
          <w:bCs/>
          <w:iCs/>
          <w:color w:val="auto"/>
        </w:rPr>
        <w:t xml:space="preserve"> de Transparencia, Acceso a la Información Pública y Protección de Datos Personales del Estado de México y Municipios</w:t>
      </w:r>
      <w:r w:rsidR="00172038" w:rsidRPr="00845EA4">
        <w:rPr>
          <w:rFonts w:eastAsia="Calibri" w:cs="Tahoma"/>
          <w:bCs/>
          <w:iCs/>
          <w:color w:val="auto"/>
        </w:rPr>
        <w:t>,</w:t>
      </w:r>
      <w:r w:rsidRPr="00845EA4">
        <w:rPr>
          <w:rFonts w:eastAsia="Calibri" w:cs="Tahoma"/>
          <w:bCs/>
          <w:iCs/>
          <w:color w:val="auto"/>
        </w:rPr>
        <w:t xml:space="preserve"> es apoyar a la población a acceder a la información pública y garantizar la protección de los datos personales.</w:t>
      </w:r>
    </w:p>
    <w:p w14:paraId="09D4590A" w14:textId="77777777" w:rsidR="00EC77D9" w:rsidRPr="00845EA4" w:rsidRDefault="00EC77D9" w:rsidP="003B510C">
      <w:pPr>
        <w:spacing w:after="0" w:line="360" w:lineRule="auto"/>
        <w:rPr>
          <w:rFonts w:eastAsia="Times New Roman" w:cs="Tahoma"/>
          <w:bCs/>
          <w:iCs/>
          <w:color w:val="auto"/>
          <w:lang w:eastAsia="es-ES"/>
        </w:rPr>
      </w:pPr>
    </w:p>
    <w:p w14:paraId="32689D9D" w14:textId="08ACD5BB" w:rsidR="00EC77D9" w:rsidRPr="00845EA4" w:rsidRDefault="00EC77D9" w:rsidP="003B510C">
      <w:pPr>
        <w:spacing w:after="0" w:line="360" w:lineRule="auto"/>
        <w:rPr>
          <w:rFonts w:eastAsia="Times New Roman" w:cs="Tahoma"/>
          <w:b/>
          <w:bCs/>
          <w:iCs/>
          <w:color w:val="auto"/>
          <w:lang w:eastAsia="es-ES"/>
        </w:rPr>
      </w:pPr>
      <w:r w:rsidRPr="00845EA4">
        <w:rPr>
          <w:rFonts w:eastAsia="Times New Roman" w:cs="Tahoma"/>
          <w:b/>
          <w:bCs/>
          <w:iCs/>
          <w:color w:val="auto"/>
          <w:lang w:eastAsia="es-ES"/>
        </w:rPr>
        <w:t xml:space="preserve">SÉPTIMO. Vista </w:t>
      </w:r>
      <w:r w:rsidR="008C20D1" w:rsidRPr="00845EA4">
        <w:rPr>
          <w:rFonts w:eastAsia="Times New Roman" w:cs="Tahoma"/>
          <w:b/>
          <w:bCs/>
          <w:iCs/>
          <w:color w:val="auto"/>
          <w:lang w:eastAsia="es-ES"/>
        </w:rPr>
        <w:t xml:space="preserve">al </w:t>
      </w:r>
      <w:r w:rsidR="001B433A" w:rsidRPr="00845EA4">
        <w:rPr>
          <w:rFonts w:eastAsia="Times New Roman" w:cs="Tahoma"/>
          <w:b/>
          <w:bCs/>
          <w:iCs/>
          <w:color w:val="auto"/>
          <w:lang w:eastAsia="es-ES"/>
        </w:rPr>
        <w:t>Área Competente</w:t>
      </w:r>
      <w:r w:rsidRPr="00845EA4">
        <w:rPr>
          <w:rFonts w:eastAsia="Times New Roman" w:cs="Tahoma"/>
          <w:b/>
          <w:bCs/>
          <w:iCs/>
          <w:color w:val="auto"/>
          <w:lang w:eastAsia="es-ES"/>
        </w:rPr>
        <w:t xml:space="preserve">. </w:t>
      </w:r>
    </w:p>
    <w:p w14:paraId="3724FF35" w14:textId="77777777" w:rsidR="00FB6F03" w:rsidRPr="00845EA4" w:rsidRDefault="00FB6F03" w:rsidP="003B510C">
      <w:pPr>
        <w:spacing w:after="0" w:line="360" w:lineRule="auto"/>
        <w:rPr>
          <w:rFonts w:eastAsia="Times New Roman" w:cs="Tahoma"/>
          <w:bCs/>
          <w:color w:val="auto"/>
          <w:lang w:eastAsia="es-ES"/>
        </w:rPr>
      </w:pPr>
    </w:p>
    <w:p w14:paraId="3FC31A93" w14:textId="38F2E772" w:rsidR="00563865" w:rsidRPr="00845EA4" w:rsidRDefault="00EC77D9" w:rsidP="003B510C">
      <w:pPr>
        <w:spacing w:after="0" w:line="360" w:lineRule="auto"/>
        <w:rPr>
          <w:rFonts w:eastAsia="Times New Roman" w:cs="Tahoma"/>
          <w:bCs/>
          <w:color w:val="auto"/>
          <w:lang w:eastAsia="es-ES"/>
        </w:rPr>
      </w:pPr>
      <w:r w:rsidRPr="00845EA4">
        <w:rPr>
          <w:rFonts w:eastAsia="Times New Roman" w:cs="Tahoma"/>
          <w:bCs/>
          <w:color w:val="auto"/>
          <w:lang w:eastAsia="es-ES"/>
        </w:rPr>
        <w:t xml:space="preserve">En el caso en estudio, ha quedado acreditado que el </w:t>
      </w:r>
      <w:r w:rsidR="000C006D" w:rsidRPr="00845EA4">
        <w:rPr>
          <w:bCs/>
          <w:color w:val="000000"/>
        </w:rPr>
        <w:t xml:space="preserve">Ayuntamiento de </w:t>
      </w:r>
      <w:r w:rsidR="001A0D6B" w:rsidRPr="00845EA4">
        <w:rPr>
          <w:bCs/>
          <w:color w:val="000000"/>
        </w:rPr>
        <w:t>Tepetlixpa</w:t>
      </w:r>
      <w:r w:rsidR="00F5540D" w:rsidRPr="00845EA4">
        <w:rPr>
          <w:bCs/>
          <w:color w:val="000000"/>
        </w:rPr>
        <w:t>,</w:t>
      </w:r>
      <w:r w:rsidRPr="00845EA4">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845EA4">
        <w:rPr>
          <w:rFonts w:eastAsia="Times New Roman" w:cs="Tahoma"/>
          <w:bCs/>
          <w:color w:val="auto"/>
          <w:lang w:eastAsia="es-ES"/>
        </w:rPr>
        <w:t xml:space="preserve"> </w:t>
      </w:r>
      <w:r w:rsidRPr="00845EA4">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Pr="00845EA4" w:rsidRDefault="00563865" w:rsidP="003B510C">
      <w:pPr>
        <w:spacing w:after="0" w:line="360" w:lineRule="auto"/>
        <w:rPr>
          <w:rFonts w:eastAsia="Times New Roman" w:cs="Tahoma"/>
          <w:bCs/>
          <w:color w:val="auto"/>
          <w:lang w:eastAsia="es-ES"/>
        </w:rPr>
      </w:pPr>
    </w:p>
    <w:p w14:paraId="4F5E75A7" w14:textId="77777777" w:rsidR="00F5540D" w:rsidRPr="00845EA4" w:rsidRDefault="00EC77D9" w:rsidP="003B510C">
      <w:pPr>
        <w:spacing w:after="0" w:line="360" w:lineRule="auto"/>
        <w:rPr>
          <w:rFonts w:eastAsia="Times New Roman" w:cs="Tahoma"/>
          <w:bCs/>
          <w:color w:val="auto"/>
          <w:lang w:eastAsia="es-ES"/>
        </w:rPr>
      </w:pPr>
      <w:r w:rsidRPr="00845EA4">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845EA4">
        <w:rPr>
          <w:rFonts w:eastAsia="Times New Roman" w:cs="Tahoma"/>
          <w:bCs/>
          <w:color w:val="auto"/>
          <w:lang w:eastAsia="es-ES"/>
        </w:rPr>
        <w:t xml:space="preserve"> </w:t>
      </w:r>
    </w:p>
    <w:p w14:paraId="710C3A1E" w14:textId="77777777" w:rsidR="00F5540D" w:rsidRPr="00845EA4" w:rsidRDefault="00F5540D" w:rsidP="003B510C">
      <w:pPr>
        <w:spacing w:after="0" w:line="360" w:lineRule="auto"/>
        <w:rPr>
          <w:rFonts w:eastAsia="Times New Roman" w:cs="Tahoma"/>
          <w:bCs/>
          <w:color w:val="auto"/>
          <w:lang w:eastAsia="es-ES"/>
        </w:rPr>
      </w:pPr>
    </w:p>
    <w:p w14:paraId="48C807E7" w14:textId="4BEC1330" w:rsidR="00EC77D9" w:rsidRPr="00845EA4" w:rsidRDefault="00EC77D9" w:rsidP="003B510C">
      <w:pPr>
        <w:spacing w:after="0" w:line="360" w:lineRule="auto"/>
        <w:rPr>
          <w:rFonts w:eastAsia="Times New Roman" w:cs="Tahoma"/>
          <w:bCs/>
          <w:color w:val="auto"/>
          <w:lang w:eastAsia="es-ES"/>
        </w:rPr>
      </w:pPr>
      <w:r w:rsidRPr="00845EA4">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a la Contraloría </w:t>
      </w:r>
      <w:r w:rsidRPr="00845EA4">
        <w:rPr>
          <w:rFonts w:eastAsia="Times New Roman" w:cs="Tahoma"/>
          <w:bCs/>
          <w:color w:val="auto"/>
          <w:lang w:eastAsia="es-ES"/>
        </w:rPr>
        <w:lastRenderedPageBreak/>
        <w:t>Interna, con el fin de que determine el grado de responsabilidad de los servidores públicos que incumplan con las obligaciones establecidas en la Ley.</w:t>
      </w:r>
      <w:r w:rsidR="00172038" w:rsidRPr="00845EA4">
        <w:rPr>
          <w:rFonts w:eastAsia="Times New Roman" w:cs="Tahoma"/>
          <w:bCs/>
          <w:color w:val="auto"/>
          <w:lang w:eastAsia="es-ES"/>
        </w:rPr>
        <w:t xml:space="preserve"> </w:t>
      </w:r>
      <w:r w:rsidRPr="00845EA4">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45EA4">
        <w:rPr>
          <w:rFonts w:eastAsia="Times New Roman" w:cs="Tahoma"/>
          <w:bCs/>
          <w:color w:val="auto"/>
          <w:lang w:val="es-ES_tradnl" w:eastAsia="es-ES"/>
        </w:rPr>
        <w:t xml:space="preserve">al </w:t>
      </w:r>
      <w:r w:rsidR="001B433A" w:rsidRPr="00845EA4">
        <w:rPr>
          <w:rFonts w:eastAsia="Times New Roman" w:cs="Tahoma"/>
          <w:bCs/>
          <w:color w:val="auto"/>
          <w:lang w:val="es-ES_tradnl" w:eastAsia="es-ES"/>
        </w:rPr>
        <w:t xml:space="preserve">Área </w:t>
      </w:r>
      <w:r w:rsidR="00E23FD7" w:rsidRPr="00845EA4">
        <w:rPr>
          <w:rFonts w:eastAsia="Times New Roman" w:cs="Tahoma"/>
          <w:bCs/>
          <w:color w:val="auto"/>
          <w:lang w:val="es-ES_tradnl" w:eastAsia="es-ES"/>
        </w:rPr>
        <w:t>Competente de</w:t>
      </w:r>
      <w:r w:rsidRPr="00845EA4">
        <w:rPr>
          <w:rFonts w:eastAsia="Times New Roman" w:cs="Tahoma"/>
          <w:bCs/>
          <w:color w:val="auto"/>
          <w:lang w:val="es-ES_tradnl" w:eastAsia="es-ES"/>
        </w:rPr>
        <w:t xml:space="preserve"> este Instituto</w:t>
      </w:r>
      <w:r w:rsidRPr="00845EA4">
        <w:rPr>
          <w:rFonts w:eastAsia="Times New Roman" w:cs="Tahoma"/>
          <w:bCs/>
          <w:color w:val="auto"/>
          <w:lang w:eastAsia="es-ES"/>
        </w:rPr>
        <w:t>.</w:t>
      </w:r>
    </w:p>
    <w:p w14:paraId="3CE3F712" w14:textId="63D2A7A7" w:rsidR="00EC77D9" w:rsidRPr="00845EA4" w:rsidRDefault="00EC77D9" w:rsidP="003B510C">
      <w:pPr>
        <w:spacing w:after="0" w:line="360" w:lineRule="auto"/>
        <w:rPr>
          <w:rFonts w:eastAsia="Times New Roman" w:cs="Tahoma"/>
          <w:bCs/>
          <w:color w:val="auto"/>
          <w:lang w:eastAsia="es-ES"/>
        </w:rPr>
      </w:pPr>
    </w:p>
    <w:p w14:paraId="108A3254" w14:textId="77777777" w:rsidR="00EC77D9" w:rsidRPr="00845EA4" w:rsidRDefault="00EC77D9" w:rsidP="003B510C">
      <w:pPr>
        <w:spacing w:after="0" w:line="360" w:lineRule="auto"/>
        <w:rPr>
          <w:rFonts w:eastAsia="Times New Roman" w:cs="Tahoma"/>
          <w:bCs/>
          <w:color w:val="auto"/>
          <w:lang w:eastAsia="es-ES"/>
        </w:rPr>
      </w:pPr>
      <w:r w:rsidRPr="00845EA4">
        <w:rPr>
          <w:rFonts w:eastAsia="Times New Roman" w:cs="Tahoma"/>
          <w:bCs/>
          <w:color w:val="auto"/>
          <w:lang w:eastAsia="es-ES"/>
        </w:rPr>
        <w:t>Por lo expuesto y fundado, este Pleno:</w:t>
      </w:r>
    </w:p>
    <w:p w14:paraId="5B5F7716" w14:textId="25784345" w:rsidR="00683E00" w:rsidRPr="00845EA4" w:rsidRDefault="00683E00" w:rsidP="003B510C">
      <w:pPr>
        <w:spacing w:after="0" w:line="360" w:lineRule="auto"/>
        <w:jc w:val="center"/>
        <w:rPr>
          <w:rFonts w:eastAsia="Times New Roman" w:cs="Tahoma"/>
          <w:b/>
          <w:bCs/>
          <w:color w:val="auto"/>
          <w:lang w:eastAsia="es-ES"/>
        </w:rPr>
      </w:pPr>
    </w:p>
    <w:p w14:paraId="042DF9C3" w14:textId="0343CEC1" w:rsidR="00EC77D9" w:rsidRPr="00845EA4" w:rsidRDefault="00EC77D9" w:rsidP="003B510C">
      <w:pPr>
        <w:spacing w:after="0" w:line="360" w:lineRule="auto"/>
        <w:jc w:val="center"/>
        <w:rPr>
          <w:rFonts w:eastAsia="Times New Roman" w:cs="Tahoma"/>
          <w:b/>
          <w:bCs/>
          <w:color w:val="auto"/>
          <w:lang w:eastAsia="es-ES"/>
        </w:rPr>
      </w:pPr>
      <w:r w:rsidRPr="00845EA4">
        <w:rPr>
          <w:rFonts w:eastAsia="Times New Roman" w:cs="Tahoma"/>
          <w:b/>
          <w:bCs/>
          <w:color w:val="auto"/>
          <w:lang w:eastAsia="es-ES"/>
        </w:rPr>
        <w:t>R E S U E L V E:</w:t>
      </w:r>
    </w:p>
    <w:p w14:paraId="72D35F84" w14:textId="77777777" w:rsidR="00EC77D9" w:rsidRPr="00845EA4" w:rsidRDefault="00EC77D9" w:rsidP="003B510C">
      <w:pPr>
        <w:spacing w:after="0" w:line="360" w:lineRule="auto"/>
        <w:ind w:right="113"/>
        <w:rPr>
          <w:rFonts w:eastAsia="Times New Roman" w:cs="Arial"/>
          <w:b/>
          <w:color w:val="auto"/>
          <w:lang w:eastAsia="es-ES"/>
        </w:rPr>
      </w:pPr>
    </w:p>
    <w:p w14:paraId="32043534" w14:textId="38B04543" w:rsidR="00EC77D9" w:rsidRPr="00845EA4" w:rsidRDefault="00EC77D9" w:rsidP="003B510C">
      <w:pPr>
        <w:widowControl w:val="0"/>
        <w:spacing w:after="0" w:line="360" w:lineRule="auto"/>
        <w:rPr>
          <w:rFonts w:eastAsia="Calibri" w:cs="Tahoma"/>
          <w:bCs/>
          <w:color w:val="auto"/>
        </w:rPr>
      </w:pPr>
      <w:r w:rsidRPr="00845EA4">
        <w:rPr>
          <w:rFonts w:eastAsia="Times New Roman" w:cs="Tahoma"/>
          <w:b/>
          <w:bCs/>
          <w:color w:val="auto"/>
          <w:lang w:eastAsia="es-ES"/>
        </w:rPr>
        <w:t xml:space="preserve">PRIMERO. </w:t>
      </w:r>
      <w:r w:rsidRPr="00845EA4">
        <w:rPr>
          <w:rFonts w:eastAsia="Calibri" w:cs="Tahoma"/>
          <w:bCs/>
          <w:color w:val="auto"/>
        </w:rPr>
        <w:t xml:space="preserve">Resultan </w:t>
      </w:r>
      <w:r w:rsidRPr="00845EA4">
        <w:rPr>
          <w:rFonts w:eastAsia="Calibri" w:cs="Tahoma"/>
          <w:b/>
          <w:bCs/>
          <w:color w:val="auto"/>
        </w:rPr>
        <w:t>FUNDADAS</w:t>
      </w:r>
      <w:r w:rsidRPr="00845EA4">
        <w:rPr>
          <w:rFonts w:eastAsia="Calibri" w:cs="Tahoma"/>
          <w:bCs/>
          <w:color w:val="auto"/>
        </w:rPr>
        <w:t xml:space="preserve"> las razones o motivos de inconformidad hechos valer por el Particular en el Recurso de Revisión </w:t>
      </w:r>
      <w:r w:rsidR="00BC30E5" w:rsidRPr="00845EA4">
        <w:rPr>
          <w:rFonts w:eastAsia="Calibri" w:cs="Tahoma"/>
          <w:b/>
        </w:rPr>
        <w:t>0</w:t>
      </w:r>
      <w:r w:rsidR="00400296" w:rsidRPr="00845EA4">
        <w:rPr>
          <w:rFonts w:eastAsia="Calibri" w:cs="Tahoma"/>
          <w:b/>
        </w:rPr>
        <w:t>2126</w:t>
      </w:r>
      <w:r w:rsidR="00E511FA" w:rsidRPr="00845EA4">
        <w:rPr>
          <w:rFonts w:eastAsia="Calibri" w:cs="Tahoma"/>
          <w:b/>
        </w:rPr>
        <w:t>/INFOEM/IP/RR/202</w:t>
      </w:r>
      <w:r w:rsidR="00BC30E5" w:rsidRPr="00845EA4">
        <w:rPr>
          <w:rFonts w:eastAsia="Calibri" w:cs="Tahoma"/>
          <w:b/>
        </w:rPr>
        <w:t>3</w:t>
      </w:r>
      <w:r w:rsidRPr="00845EA4">
        <w:rPr>
          <w:rFonts w:eastAsia="Calibri" w:cs="Tahoma"/>
          <w:bCs/>
          <w:color w:val="auto"/>
        </w:rPr>
        <w:t>,</w:t>
      </w:r>
      <w:r w:rsidRPr="00845EA4">
        <w:rPr>
          <w:rFonts w:eastAsia="Times New Roman" w:cs="Tahoma"/>
          <w:b/>
          <w:color w:val="0D0D0D"/>
          <w:lang w:eastAsia="es-ES"/>
        </w:rPr>
        <w:t xml:space="preserve"> </w:t>
      </w:r>
      <w:r w:rsidRPr="00845EA4">
        <w:rPr>
          <w:rFonts w:eastAsia="Calibri" w:cs="Tahoma"/>
          <w:bCs/>
          <w:color w:val="auto"/>
        </w:rPr>
        <w:t>en términos del considerando QUINTO y SEXTO de la presente Resolución.</w:t>
      </w:r>
    </w:p>
    <w:p w14:paraId="03E50149" w14:textId="77777777" w:rsidR="0097492D" w:rsidRPr="00845EA4" w:rsidRDefault="0097492D" w:rsidP="003B510C">
      <w:pPr>
        <w:spacing w:after="0" w:line="360" w:lineRule="auto"/>
        <w:rPr>
          <w:rFonts w:eastAsia="Times New Roman" w:cs="Tahoma"/>
          <w:b/>
          <w:bCs/>
          <w:color w:val="auto"/>
          <w:lang w:eastAsia="es-ES"/>
        </w:rPr>
      </w:pPr>
    </w:p>
    <w:p w14:paraId="6AF6A50E" w14:textId="324B034E" w:rsidR="00EC77D9" w:rsidRPr="00845EA4" w:rsidRDefault="00EC77D9" w:rsidP="003B510C">
      <w:pPr>
        <w:spacing w:after="0" w:line="360" w:lineRule="auto"/>
        <w:ind w:right="-93"/>
        <w:rPr>
          <w:rFonts w:eastAsia="Calibri" w:cs="Tahoma"/>
          <w:bCs/>
          <w:color w:val="auto"/>
        </w:rPr>
      </w:pPr>
      <w:r w:rsidRPr="00845EA4">
        <w:rPr>
          <w:rFonts w:eastAsia="Calibri" w:cs="Tahoma"/>
          <w:b/>
          <w:bCs/>
          <w:color w:val="auto"/>
        </w:rPr>
        <w:t>SEGUNDO.</w:t>
      </w:r>
      <w:r w:rsidRPr="00845EA4">
        <w:rPr>
          <w:rFonts w:eastAsia="Calibri" w:cs="Tahoma"/>
          <w:color w:val="auto"/>
          <w:lang w:eastAsia="es-MX"/>
        </w:rPr>
        <w:t xml:space="preserve"> Se </w:t>
      </w:r>
      <w:r w:rsidRPr="00845EA4">
        <w:rPr>
          <w:rFonts w:eastAsia="Calibri" w:cs="Tahoma"/>
          <w:b/>
          <w:color w:val="auto"/>
          <w:lang w:eastAsia="es-MX"/>
        </w:rPr>
        <w:t xml:space="preserve">ORDENA </w:t>
      </w:r>
      <w:r w:rsidRPr="00845EA4">
        <w:rPr>
          <w:rFonts w:eastAsia="Calibri" w:cs="Tahoma"/>
          <w:color w:val="auto"/>
          <w:lang w:eastAsia="es-MX"/>
        </w:rPr>
        <w:t xml:space="preserve">al Sujeto Obligado, </w:t>
      </w:r>
      <w:r w:rsidRPr="00845EA4">
        <w:rPr>
          <w:rFonts w:eastAsia="Calibri" w:cs="Tahoma"/>
          <w:bCs/>
          <w:color w:val="auto"/>
        </w:rPr>
        <w:t xml:space="preserve">a efecto de que dé trámite a la solicitud de acceso a la información </w:t>
      </w:r>
      <w:r w:rsidR="007A1139" w:rsidRPr="00845EA4">
        <w:t>00</w:t>
      </w:r>
      <w:r w:rsidR="0092265D" w:rsidRPr="00845EA4">
        <w:t>0</w:t>
      </w:r>
      <w:r w:rsidR="00400296" w:rsidRPr="00845EA4">
        <w:t>98</w:t>
      </w:r>
      <w:r w:rsidR="007A1139" w:rsidRPr="00845EA4">
        <w:t>/</w:t>
      </w:r>
      <w:r w:rsidR="0092265D" w:rsidRPr="00845EA4">
        <w:t>TEPETLIX</w:t>
      </w:r>
      <w:r w:rsidR="007A1139" w:rsidRPr="00845EA4">
        <w:t>/</w:t>
      </w:r>
      <w:r w:rsidR="0092265D" w:rsidRPr="00845EA4">
        <w:t>IP/</w:t>
      </w:r>
      <w:r w:rsidR="007A1139" w:rsidRPr="00845EA4">
        <w:t>2023</w:t>
      </w:r>
      <w:r w:rsidR="00683E00" w:rsidRPr="00845EA4">
        <w:t xml:space="preserve"> </w:t>
      </w:r>
      <w:r w:rsidRPr="00845EA4">
        <w:rPr>
          <w:rFonts w:eastAsia="Times New Roman" w:cs="Tahoma"/>
          <w:color w:val="auto"/>
          <w:lang w:eastAsia="es-ES"/>
        </w:rPr>
        <w:t>y,</w:t>
      </w:r>
      <w:r w:rsidRPr="00845EA4">
        <w:rPr>
          <w:rFonts w:eastAsia="Times New Roman" w:cs="Tahoma"/>
          <w:b/>
          <w:color w:val="auto"/>
          <w:lang w:eastAsia="es-ES"/>
        </w:rPr>
        <w:t xml:space="preserve"> </w:t>
      </w:r>
      <w:r w:rsidRPr="00845EA4">
        <w:rPr>
          <w:rFonts w:eastAsia="Times New Roman" w:cs="Tahoma"/>
          <w:color w:val="auto"/>
          <w:lang w:eastAsia="es-ES"/>
        </w:rPr>
        <w:t xml:space="preserve">a través del </w:t>
      </w:r>
      <w:r w:rsidRPr="00845EA4">
        <w:rPr>
          <w:rFonts w:eastAsia="Times New Roman" w:cs="Tahoma"/>
          <w:color w:val="auto"/>
          <w:lang w:val="es-ES" w:eastAsia="es-ES"/>
        </w:rPr>
        <w:t>Sistema de Acceso a la Información Mexiquense (SAIMEX), dé la respuesta que conforme a derecho corresponda.</w:t>
      </w:r>
    </w:p>
    <w:p w14:paraId="1326FBC1" w14:textId="77777777" w:rsidR="00EC77D9" w:rsidRPr="00845EA4" w:rsidRDefault="00EC77D9" w:rsidP="003B510C">
      <w:pPr>
        <w:spacing w:after="0" w:line="360" w:lineRule="auto"/>
        <w:ind w:right="-93"/>
        <w:rPr>
          <w:rFonts w:eastAsia="Calibri" w:cs="Tahoma"/>
          <w:bCs/>
          <w:color w:val="auto"/>
        </w:rPr>
      </w:pPr>
    </w:p>
    <w:p w14:paraId="5994E3B8" w14:textId="77777777" w:rsidR="00EC77D9" w:rsidRPr="00845EA4" w:rsidRDefault="00EC77D9" w:rsidP="003B510C">
      <w:pPr>
        <w:spacing w:after="0" w:line="360" w:lineRule="auto"/>
        <w:rPr>
          <w:rFonts w:eastAsia="Calibri" w:cs="Tahoma"/>
          <w:bCs/>
          <w:iCs/>
          <w:color w:val="auto"/>
          <w:lang w:eastAsia="es-ES"/>
        </w:rPr>
      </w:pPr>
      <w:r w:rsidRPr="00845EA4">
        <w:rPr>
          <w:rFonts w:eastAsia="Calibri" w:cs="Tahoma"/>
          <w:b/>
          <w:bCs/>
          <w:iCs/>
          <w:color w:val="auto"/>
          <w:lang w:val="es-ES" w:eastAsia="es-ES"/>
        </w:rPr>
        <w:t>TERCERO</w:t>
      </w:r>
      <w:r w:rsidRPr="00845EA4">
        <w:rPr>
          <w:rFonts w:eastAsia="Calibri" w:cs="Tahoma"/>
          <w:b/>
          <w:bCs/>
          <w:color w:val="auto"/>
        </w:rPr>
        <w:t xml:space="preserve">. </w:t>
      </w:r>
      <w:r w:rsidRPr="00845EA4">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845EA4" w:rsidRDefault="00EC77D9" w:rsidP="003B510C">
      <w:pPr>
        <w:spacing w:after="0" w:line="360" w:lineRule="auto"/>
        <w:rPr>
          <w:rFonts w:eastAsia="Calibri" w:cs="Tahoma"/>
          <w:b/>
          <w:bCs/>
          <w:color w:val="auto"/>
        </w:rPr>
      </w:pPr>
    </w:p>
    <w:p w14:paraId="1769E19A" w14:textId="78B1C4B0" w:rsidR="00EC77D9" w:rsidRPr="00845EA4" w:rsidRDefault="00EC77D9" w:rsidP="003B510C">
      <w:pPr>
        <w:spacing w:after="0" w:line="360" w:lineRule="auto"/>
        <w:rPr>
          <w:rFonts w:eastAsia="Times New Roman" w:cs="Tahoma"/>
          <w:color w:val="auto"/>
          <w:lang w:eastAsia="es-ES"/>
        </w:rPr>
      </w:pPr>
      <w:r w:rsidRPr="00845EA4">
        <w:rPr>
          <w:rFonts w:eastAsia="Calibri" w:cs="Tahoma"/>
          <w:b/>
          <w:color w:val="auto"/>
          <w:lang w:eastAsia="es-MX"/>
        </w:rPr>
        <w:t>CUARTO</w:t>
      </w:r>
      <w:r w:rsidRPr="00845EA4">
        <w:rPr>
          <w:rFonts w:eastAsia="Calibri" w:cs="Tahoma"/>
          <w:b/>
          <w:bCs/>
          <w:color w:val="auto"/>
        </w:rPr>
        <w:t xml:space="preserve">. </w:t>
      </w:r>
      <w:r w:rsidRPr="00845EA4">
        <w:rPr>
          <w:rFonts w:eastAsia="Times New Roman" w:cs="Tahoma"/>
          <w:b/>
          <w:color w:val="auto"/>
          <w:lang w:eastAsia="es-ES"/>
        </w:rPr>
        <w:t xml:space="preserve">NOTIFÍQUESE </w:t>
      </w:r>
      <w:r w:rsidRPr="00845EA4">
        <w:rPr>
          <w:rFonts w:eastAsia="Times New Roman" w:cs="Tahoma"/>
          <w:color w:val="auto"/>
          <w:lang w:eastAsia="es-ES"/>
        </w:rPr>
        <w:t xml:space="preserve">la presente resolución al Titular de la Unidad de Transparencia del Sujeto Obligado, para que conforme al artículo 186 último párrafo, 189 segundo párrafo </w:t>
      </w:r>
      <w:r w:rsidRPr="00845EA4">
        <w:rPr>
          <w:rFonts w:eastAsia="Times New Roman" w:cs="Tahoma"/>
          <w:color w:val="auto"/>
          <w:lang w:eastAsia="es-ES"/>
        </w:rPr>
        <w:lastRenderedPageBreak/>
        <w:t>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2E3C90" w:rsidRPr="00845EA4">
        <w:rPr>
          <w:rFonts w:eastAsia="Times New Roman" w:cs="Tahoma"/>
          <w:color w:val="auto"/>
          <w:lang w:eastAsia="es-ES"/>
        </w:rPr>
        <w:t xml:space="preserve">, </w:t>
      </w:r>
      <w:r w:rsidR="002E3C90" w:rsidRPr="00845EA4">
        <w:rPr>
          <w:color w:val="000000"/>
        </w:rPr>
        <w:t>se le apercibe que en caso de negarse a cumplir la presente resolución o hacerlo de manera parcial, se le impondrá una medida de apremio de conformidad con lo previsto en los artículos 198, 200, fracción III, 214, 215 y 216 de la Ley referida.</w:t>
      </w:r>
    </w:p>
    <w:p w14:paraId="41884E1F" w14:textId="77777777" w:rsidR="00975E93" w:rsidRPr="00845EA4" w:rsidRDefault="00975E93" w:rsidP="003B510C">
      <w:pPr>
        <w:spacing w:after="0" w:line="360" w:lineRule="auto"/>
        <w:rPr>
          <w:rFonts w:eastAsia="Calibri" w:cs="Tahoma"/>
          <w:color w:val="auto"/>
          <w:lang w:eastAsia="es-MX"/>
        </w:rPr>
      </w:pPr>
    </w:p>
    <w:p w14:paraId="357CF708" w14:textId="7AF3CC10" w:rsidR="00EC77D9" w:rsidRPr="00845EA4" w:rsidRDefault="00EC77D9" w:rsidP="003B510C">
      <w:pPr>
        <w:spacing w:after="0" w:line="360" w:lineRule="auto"/>
        <w:rPr>
          <w:rFonts w:eastAsia="Times New Roman" w:cs="Tahoma"/>
          <w:b/>
          <w:color w:val="auto"/>
          <w:lang w:eastAsia="es-ES"/>
        </w:rPr>
      </w:pPr>
      <w:r w:rsidRPr="00845EA4">
        <w:rPr>
          <w:rFonts w:eastAsia="Calibri" w:cs="Tahoma"/>
          <w:b/>
          <w:bCs/>
          <w:iCs/>
          <w:color w:val="auto"/>
          <w:lang w:val="es-ES" w:eastAsia="es-ES"/>
        </w:rPr>
        <w:t>QUINTO</w:t>
      </w:r>
      <w:r w:rsidRPr="00845EA4">
        <w:rPr>
          <w:rFonts w:eastAsia="Calibri" w:cs="Tahoma"/>
          <w:bCs/>
          <w:iCs/>
          <w:color w:val="auto"/>
          <w:lang w:val="es-ES" w:eastAsia="es-ES"/>
        </w:rPr>
        <w:t>.</w:t>
      </w:r>
      <w:r w:rsidRPr="00845EA4">
        <w:rPr>
          <w:rFonts w:eastAsia="Times New Roman" w:cs="Tahoma"/>
          <w:b/>
          <w:color w:val="auto"/>
          <w:lang w:eastAsia="es-ES"/>
        </w:rPr>
        <w:t xml:space="preserve"> NOTIFÍQUESE </w:t>
      </w:r>
      <w:r w:rsidRPr="00845EA4">
        <w:rPr>
          <w:rFonts w:eastAsia="Times New Roman" w:cs="Tahoma"/>
          <w:bCs/>
          <w:color w:val="auto"/>
          <w:lang w:eastAsia="es-ES"/>
        </w:rPr>
        <w:t xml:space="preserve">al Recurrente la presente Resolución, </w:t>
      </w:r>
      <w:r w:rsidRPr="00845EA4">
        <w:rPr>
          <w:rFonts w:eastAsia="Times New Roman" w:cs="Tahoma"/>
          <w:bCs/>
          <w:color w:val="auto"/>
          <w:lang w:val="es-ES" w:eastAsia="es-ES"/>
        </w:rPr>
        <w:t>a través del Sistema de Acceso a la Información Mexiquense (SAIMEX);</w:t>
      </w:r>
      <w:r w:rsidRPr="00845EA4">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845EA4" w:rsidRDefault="00EC77D9" w:rsidP="003B510C">
      <w:pPr>
        <w:spacing w:after="0" w:line="360" w:lineRule="auto"/>
        <w:rPr>
          <w:rFonts w:eastAsia="Times New Roman" w:cs="Tahoma"/>
          <w:color w:val="auto"/>
          <w:lang w:eastAsia="es-ES"/>
        </w:rPr>
      </w:pPr>
    </w:p>
    <w:p w14:paraId="44C43C60" w14:textId="525A10F4" w:rsidR="00EC77D9" w:rsidRPr="00845EA4" w:rsidRDefault="00EC77D9" w:rsidP="003B510C">
      <w:pPr>
        <w:spacing w:after="0" w:line="360" w:lineRule="auto"/>
        <w:rPr>
          <w:rFonts w:eastAsia="Calibri" w:cs="Tahoma"/>
          <w:bCs/>
          <w:color w:val="auto"/>
        </w:rPr>
      </w:pPr>
      <w:r w:rsidRPr="00845EA4">
        <w:rPr>
          <w:b/>
          <w:bCs/>
        </w:rPr>
        <w:t>SEXTO.</w:t>
      </w:r>
      <w:r w:rsidRPr="00845EA4">
        <w:t xml:space="preserve"> </w:t>
      </w:r>
      <w:r w:rsidR="001B433A" w:rsidRPr="00845EA4">
        <w:rPr>
          <w:color w:val="000000"/>
        </w:rPr>
        <w:t xml:space="preserve">Gírese oficio </w:t>
      </w:r>
      <w:r w:rsidR="0028440F" w:rsidRPr="00845EA4">
        <w:rPr>
          <w:color w:val="000000"/>
        </w:rPr>
        <w:t>a la Secretaría Técnica del Pleno</w:t>
      </w:r>
      <w:r w:rsidR="004451F6" w:rsidRPr="00845EA4">
        <w:rPr>
          <w:color w:val="000000"/>
        </w:rPr>
        <w:t xml:space="preserve"> </w:t>
      </w:r>
      <w:r w:rsidR="005B0A88" w:rsidRPr="00845EA4">
        <w:rPr>
          <w:color w:val="000000"/>
        </w:rPr>
        <w:t>de este Instituto para hacer de</w:t>
      </w:r>
      <w:r w:rsidR="0028440F" w:rsidRPr="00845EA4">
        <w:rPr>
          <w:color w:val="000000"/>
        </w:rPr>
        <w:t>l</w:t>
      </w:r>
      <w:r w:rsidR="005B0A88" w:rsidRPr="00845EA4">
        <w:rPr>
          <w:color w:val="000000"/>
        </w:rPr>
        <w:t xml:space="preserve"> conocimiento</w:t>
      </w:r>
      <w:r w:rsidR="0028440F" w:rsidRPr="00845EA4">
        <w:rPr>
          <w:color w:val="000000"/>
        </w:rPr>
        <w:t xml:space="preserve"> del Órgano Interno de Control competente</w:t>
      </w:r>
      <w:r w:rsidR="005B0A88" w:rsidRPr="00845EA4">
        <w:rPr>
          <w:color w:val="000000"/>
        </w:rPr>
        <w:t xml:space="preserv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58FB6AA" w14:textId="77777777" w:rsidR="00172038" w:rsidRPr="00845EA4" w:rsidRDefault="00172038" w:rsidP="003B510C">
      <w:pPr>
        <w:spacing w:after="0" w:line="360" w:lineRule="auto"/>
        <w:ind w:right="-93"/>
        <w:rPr>
          <w:rFonts w:eastAsia="Calibri" w:cs="Tahoma"/>
          <w:bCs/>
          <w:color w:val="auto"/>
        </w:rPr>
      </w:pPr>
    </w:p>
    <w:p w14:paraId="23FD6781" w14:textId="43F1CF83" w:rsidR="00EC77D9" w:rsidRPr="003B510C" w:rsidRDefault="00EC77D9" w:rsidP="003B510C">
      <w:pPr>
        <w:spacing w:after="0" w:line="360" w:lineRule="auto"/>
      </w:pPr>
      <w:r w:rsidRPr="00845EA4">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sidRPr="00845EA4">
        <w:rPr>
          <w:rFonts w:eastAsia="Calibri" w:cs="Tahoma"/>
          <w:lang w:val="es-ES" w:eastAsia="es-ES_tradnl"/>
        </w:rPr>
        <w:t xml:space="preserve"> </w:t>
      </w:r>
      <w:r w:rsidR="004A0407" w:rsidRPr="00845EA4">
        <w:rPr>
          <w:rFonts w:eastAsia="Calibri" w:cs="Tahoma"/>
          <w:lang w:val="es-ES" w:eastAsia="es-ES_tradnl"/>
        </w:rPr>
        <w:t>DÉCIMA</w:t>
      </w:r>
      <w:r w:rsidR="00ED26A2" w:rsidRPr="00845EA4">
        <w:rPr>
          <w:rFonts w:eastAsia="Calibri" w:cs="Tahoma"/>
          <w:lang w:val="es-ES" w:eastAsia="es-ES_tradnl"/>
        </w:rPr>
        <w:t xml:space="preserve"> </w:t>
      </w:r>
      <w:r w:rsidR="00400296" w:rsidRPr="00845EA4">
        <w:rPr>
          <w:rFonts w:eastAsia="Calibri" w:cs="Tahoma"/>
          <w:lang w:val="es-ES" w:eastAsia="es-ES_tradnl"/>
        </w:rPr>
        <w:t>NOVENA</w:t>
      </w:r>
      <w:r w:rsidRPr="00845EA4">
        <w:rPr>
          <w:rFonts w:eastAsia="Calibri" w:cs="Tahoma"/>
          <w:lang w:val="es-ES" w:eastAsia="es-ES_tradnl"/>
        </w:rPr>
        <w:t xml:space="preserve"> SESIÓN ORDINARIA, CELEBRADA EL</w:t>
      </w:r>
      <w:r w:rsidR="00400296" w:rsidRPr="00845EA4">
        <w:rPr>
          <w:rFonts w:eastAsia="Calibri" w:cs="Tahoma"/>
          <w:lang w:val="es-ES" w:eastAsia="es-ES_tradnl"/>
        </w:rPr>
        <w:t xml:space="preserve"> VEINTICUATRO</w:t>
      </w:r>
      <w:r w:rsidR="00975E93" w:rsidRPr="00845EA4">
        <w:rPr>
          <w:rFonts w:eastAsia="Calibri" w:cs="Tahoma"/>
          <w:lang w:val="es-ES" w:eastAsia="es-ES_tradnl"/>
        </w:rPr>
        <w:t xml:space="preserve"> DE </w:t>
      </w:r>
      <w:r w:rsidR="00ED26A2" w:rsidRPr="00845EA4">
        <w:rPr>
          <w:rFonts w:eastAsia="Calibri" w:cs="Tahoma"/>
          <w:lang w:val="es-ES" w:eastAsia="es-ES_tradnl"/>
        </w:rPr>
        <w:t>MAYO</w:t>
      </w:r>
      <w:r w:rsidRPr="00845EA4">
        <w:rPr>
          <w:rFonts w:eastAsia="Calibri" w:cs="Tahoma"/>
          <w:lang w:val="es-ES" w:eastAsia="es-ES_tradnl"/>
        </w:rPr>
        <w:t xml:space="preserve"> DE DOS MIL VEINTI</w:t>
      </w:r>
      <w:r w:rsidR="00BC30E5" w:rsidRPr="00845EA4">
        <w:rPr>
          <w:rFonts w:eastAsia="Calibri" w:cs="Tahoma"/>
          <w:lang w:val="es-ES" w:eastAsia="es-ES_tradnl"/>
        </w:rPr>
        <w:t>TRÉS</w:t>
      </w:r>
      <w:r w:rsidRPr="00845EA4">
        <w:rPr>
          <w:rFonts w:eastAsia="Calibri" w:cs="Tahoma"/>
          <w:lang w:val="es-ES" w:eastAsia="es-ES_tradnl"/>
        </w:rPr>
        <w:t>, ANTE EL SECRETARIO TÉCNICO DEL PLENO, ALEXIS TAPIA RAMÍREZ</w:t>
      </w:r>
      <w:r w:rsidRPr="003B510C">
        <w:br w:type="page"/>
      </w:r>
    </w:p>
    <w:p w14:paraId="4B7887A5" w14:textId="77777777" w:rsidR="00EC77D9" w:rsidRPr="003B510C" w:rsidRDefault="00EC77D9" w:rsidP="003B510C">
      <w:pPr>
        <w:spacing w:after="0" w:line="360" w:lineRule="auto"/>
      </w:pPr>
    </w:p>
    <w:p w14:paraId="1950A4FE" w14:textId="77777777" w:rsidR="00C50842" w:rsidRPr="003B510C" w:rsidRDefault="00C50842" w:rsidP="003B510C">
      <w:pPr>
        <w:spacing w:after="0" w:line="360" w:lineRule="auto"/>
      </w:pPr>
    </w:p>
    <w:sectPr w:rsidR="00C50842" w:rsidRPr="003B510C" w:rsidSect="009C7B8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B9C0" w14:textId="77777777" w:rsidR="00570B3F" w:rsidRDefault="00570B3F" w:rsidP="00EC77D9">
      <w:pPr>
        <w:spacing w:after="0" w:line="240" w:lineRule="auto"/>
      </w:pPr>
      <w:r>
        <w:separator/>
      </w:r>
    </w:p>
  </w:endnote>
  <w:endnote w:type="continuationSeparator" w:id="0">
    <w:p w14:paraId="6634A320" w14:textId="77777777" w:rsidR="00570B3F" w:rsidRDefault="00570B3F"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845E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3FBE">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3FBE">
              <w:rPr>
                <w:b/>
                <w:bCs/>
                <w:noProof/>
              </w:rPr>
              <w:t>21</w:t>
            </w:r>
            <w:r>
              <w:rPr>
                <w:b/>
                <w:bCs/>
                <w:sz w:val="24"/>
                <w:szCs w:val="24"/>
              </w:rPr>
              <w:fldChar w:fldCharType="end"/>
            </w:r>
          </w:p>
        </w:sdtContent>
      </w:sdt>
    </w:sdtContent>
  </w:sdt>
  <w:p w14:paraId="480CB874" w14:textId="77777777" w:rsidR="00881E53" w:rsidRDefault="00845E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3FB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3FBE">
              <w:rPr>
                <w:b/>
                <w:bCs/>
                <w:noProof/>
              </w:rPr>
              <w:t>21</w:t>
            </w:r>
            <w:r>
              <w:rPr>
                <w:b/>
                <w:bCs/>
                <w:sz w:val="24"/>
                <w:szCs w:val="24"/>
              </w:rPr>
              <w:fldChar w:fldCharType="end"/>
            </w:r>
          </w:p>
        </w:sdtContent>
      </w:sdt>
    </w:sdtContent>
  </w:sdt>
  <w:p w14:paraId="604FB1E6" w14:textId="77777777" w:rsidR="00881E53" w:rsidRDefault="00845E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461D" w14:textId="77777777" w:rsidR="00570B3F" w:rsidRDefault="00570B3F" w:rsidP="00EC77D9">
      <w:pPr>
        <w:spacing w:after="0" w:line="240" w:lineRule="auto"/>
      </w:pPr>
      <w:r>
        <w:separator/>
      </w:r>
    </w:p>
  </w:footnote>
  <w:footnote w:type="continuationSeparator" w:id="0">
    <w:p w14:paraId="0EAE3FBF" w14:textId="77777777" w:rsidR="00570B3F" w:rsidRDefault="00570B3F"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845EA4">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5C058394" w:rsidR="00881E53" w:rsidRPr="00051642" w:rsidRDefault="003459B3" w:rsidP="00B93061">
          <w:pPr>
            <w:tabs>
              <w:tab w:val="right" w:pos="8838"/>
            </w:tabs>
            <w:ind w:right="-32"/>
            <w:rPr>
              <w:rFonts w:eastAsia="Calibri" w:cs="Tahoma"/>
            </w:rPr>
          </w:pPr>
          <w:r>
            <w:rPr>
              <w:rFonts w:eastAsia="Calibri" w:cs="Tahoma"/>
              <w:lang w:val="es-MX"/>
            </w:rPr>
            <w:t>0</w:t>
          </w:r>
          <w:r w:rsidR="002B405D">
            <w:rPr>
              <w:rFonts w:eastAsia="Calibri" w:cs="Tahoma"/>
              <w:lang w:val="es-MX"/>
            </w:rPr>
            <w:t>2126</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540D4870" w:rsidR="009E6F8A" w:rsidRPr="00051642" w:rsidRDefault="000C006D" w:rsidP="009E6F8A">
          <w:pPr>
            <w:tabs>
              <w:tab w:val="right" w:pos="8838"/>
            </w:tabs>
            <w:ind w:left="-28" w:right="-32"/>
            <w:rPr>
              <w:rFonts w:eastAsia="Calibri" w:cs="Tahoma"/>
              <w:lang w:val="es-MX"/>
            </w:rPr>
          </w:pPr>
          <w:r>
            <w:rPr>
              <w:color w:val="000000"/>
            </w:rPr>
            <w:t xml:space="preserve">Ayuntamiento de </w:t>
          </w:r>
          <w:r w:rsidR="00B1733D">
            <w:rPr>
              <w:color w:val="000000"/>
            </w:rPr>
            <w:t>Tepetlixpa</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845EA4"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7A1139">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1C89A318" w:rsidR="00881E53" w:rsidRPr="00051642" w:rsidRDefault="003459B3" w:rsidP="00881E53">
          <w:pPr>
            <w:tabs>
              <w:tab w:val="right" w:pos="8838"/>
            </w:tabs>
            <w:ind w:left="-111" w:right="-32"/>
            <w:rPr>
              <w:rFonts w:eastAsia="Calibri" w:cs="Tahoma"/>
            </w:rPr>
          </w:pPr>
          <w:r>
            <w:rPr>
              <w:rFonts w:eastAsia="Calibri" w:cs="Tahoma"/>
              <w:lang w:val="es-MX"/>
            </w:rPr>
            <w:t>0</w:t>
          </w:r>
          <w:r w:rsidR="002B405D">
            <w:rPr>
              <w:rFonts w:eastAsia="Calibri" w:cs="Tahoma"/>
              <w:lang w:val="es-MX"/>
            </w:rPr>
            <w:t>2126</w:t>
          </w:r>
          <w:r w:rsidR="00A9167D">
            <w:rPr>
              <w:rFonts w:eastAsia="Calibri" w:cs="Tahoma"/>
              <w:lang w:val="es-MX"/>
            </w:rPr>
            <w:t>/INFOEM/IP/RR/202</w:t>
          </w:r>
          <w:r>
            <w:rPr>
              <w:rFonts w:eastAsia="Calibri" w:cs="Tahoma"/>
              <w:lang w:val="es-MX"/>
            </w:rPr>
            <w:t>3</w:t>
          </w:r>
        </w:p>
      </w:tc>
    </w:tr>
    <w:tr w:rsidR="00881E53" w:rsidRPr="00E152D8" w14:paraId="5E1FE5FD" w14:textId="77777777" w:rsidTr="007A1139">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46BE0DF1" w:rsidR="00881E53" w:rsidRPr="00E152D8" w:rsidRDefault="00845EA4" w:rsidP="00881E53">
          <w:pPr>
            <w:tabs>
              <w:tab w:val="right" w:pos="8838"/>
            </w:tabs>
            <w:ind w:left="-111" w:right="-109"/>
            <w:rPr>
              <w:rFonts w:eastAsia="Calibri" w:cs="Tahoma"/>
              <w:lang w:val="es-MX"/>
            </w:rPr>
          </w:pPr>
        </w:p>
      </w:tc>
    </w:tr>
    <w:tr w:rsidR="00881E53" w:rsidRPr="00E152D8" w14:paraId="55B580D4" w14:textId="77777777" w:rsidTr="007A1139">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390AED43" w:rsidR="00881E53" w:rsidRPr="00463532" w:rsidRDefault="000C006D" w:rsidP="007A1139">
          <w:pPr>
            <w:tabs>
              <w:tab w:val="right" w:pos="8838"/>
            </w:tabs>
            <w:ind w:left="-111" w:right="-32"/>
            <w:rPr>
              <w:rFonts w:eastAsia="Calibri" w:cs="Tahoma"/>
              <w:lang w:val="es-MX"/>
            </w:rPr>
          </w:pPr>
          <w:r>
            <w:rPr>
              <w:color w:val="000000"/>
            </w:rPr>
            <w:t>Ayuntamiento de</w:t>
          </w:r>
          <w:r w:rsidR="00A74DCB">
            <w:rPr>
              <w:color w:val="000000"/>
            </w:rPr>
            <w:t xml:space="preserve"> </w:t>
          </w:r>
          <w:r w:rsidR="00B1733D">
            <w:rPr>
              <w:color w:val="000000"/>
            </w:rPr>
            <w:t>Tepetlixpa</w:t>
          </w:r>
        </w:p>
      </w:tc>
    </w:tr>
    <w:tr w:rsidR="00881E53" w:rsidRPr="00E152D8" w14:paraId="3EC166B6" w14:textId="77777777" w:rsidTr="007A1139">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845EA4"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26F7115A"/>
    <w:multiLevelType w:val="hybridMultilevel"/>
    <w:tmpl w:val="9E9ADF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427180"/>
    <w:multiLevelType w:val="hybridMultilevel"/>
    <w:tmpl w:val="F8FE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A5120"/>
    <w:multiLevelType w:val="hybridMultilevel"/>
    <w:tmpl w:val="111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34893008">
    <w:abstractNumId w:val="2"/>
  </w:num>
  <w:num w:numId="2" w16cid:durableId="64495441">
    <w:abstractNumId w:val="10"/>
  </w:num>
  <w:num w:numId="3" w16cid:durableId="2089502153">
    <w:abstractNumId w:val="6"/>
  </w:num>
  <w:num w:numId="4" w16cid:durableId="1658730128">
    <w:abstractNumId w:val="4"/>
  </w:num>
  <w:num w:numId="5" w16cid:durableId="317392107">
    <w:abstractNumId w:val="11"/>
  </w:num>
  <w:num w:numId="6" w16cid:durableId="642544954">
    <w:abstractNumId w:val="3"/>
  </w:num>
  <w:num w:numId="7" w16cid:durableId="600534161">
    <w:abstractNumId w:val="1"/>
  </w:num>
  <w:num w:numId="8" w16cid:durableId="598609250">
    <w:abstractNumId w:val="7"/>
  </w:num>
  <w:num w:numId="9" w16cid:durableId="1371103339">
    <w:abstractNumId w:val="8"/>
  </w:num>
  <w:num w:numId="10" w16cid:durableId="802238170">
    <w:abstractNumId w:val="9"/>
  </w:num>
  <w:num w:numId="11" w16cid:durableId="1730954720">
    <w:abstractNumId w:val="0"/>
  </w:num>
  <w:num w:numId="12" w16cid:durableId="1382822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13F59"/>
    <w:rsid w:val="000144E2"/>
    <w:rsid w:val="00020AB8"/>
    <w:rsid w:val="00032D14"/>
    <w:rsid w:val="00033BCB"/>
    <w:rsid w:val="00047686"/>
    <w:rsid w:val="000529B2"/>
    <w:rsid w:val="00054FF5"/>
    <w:rsid w:val="00077B14"/>
    <w:rsid w:val="00081C90"/>
    <w:rsid w:val="000823E5"/>
    <w:rsid w:val="00092121"/>
    <w:rsid w:val="000B3318"/>
    <w:rsid w:val="000B4EB7"/>
    <w:rsid w:val="000C006D"/>
    <w:rsid w:val="000D28C0"/>
    <w:rsid w:val="000D30AB"/>
    <w:rsid w:val="000F4B2D"/>
    <w:rsid w:val="000F5705"/>
    <w:rsid w:val="00107737"/>
    <w:rsid w:val="00120E76"/>
    <w:rsid w:val="00122140"/>
    <w:rsid w:val="0013258E"/>
    <w:rsid w:val="001448D9"/>
    <w:rsid w:val="00146E5B"/>
    <w:rsid w:val="00172038"/>
    <w:rsid w:val="0017341E"/>
    <w:rsid w:val="00174C31"/>
    <w:rsid w:val="001756F2"/>
    <w:rsid w:val="00176125"/>
    <w:rsid w:val="00182C11"/>
    <w:rsid w:val="00190ADF"/>
    <w:rsid w:val="001928BD"/>
    <w:rsid w:val="001952CF"/>
    <w:rsid w:val="00196794"/>
    <w:rsid w:val="001A0D6B"/>
    <w:rsid w:val="001B0790"/>
    <w:rsid w:val="001B3427"/>
    <w:rsid w:val="001B433A"/>
    <w:rsid w:val="001C2619"/>
    <w:rsid w:val="001D0AAC"/>
    <w:rsid w:val="001D30E0"/>
    <w:rsid w:val="001E089E"/>
    <w:rsid w:val="001E37B5"/>
    <w:rsid w:val="001E478B"/>
    <w:rsid w:val="001F55A5"/>
    <w:rsid w:val="001F65AD"/>
    <w:rsid w:val="00206B4A"/>
    <w:rsid w:val="00214B11"/>
    <w:rsid w:val="00220B1D"/>
    <w:rsid w:val="00225170"/>
    <w:rsid w:val="00245939"/>
    <w:rsid w:val="00251390"/>
    <w:rsid w:val="00265B53"/>
    <w:rsid w:val="002762F3"/>
    <w:rsid w:val="0028440F"/>
    <w:rsid w:val="00290BD6"/>
    <w:rsid w:val="00292591"/>
    <w:rsid w:val="002A513A"/>
    <w:rsid w:val="002A5660"/>
    <w:rsid w:val="002A7380"/>
    <w:rsid w:val="002B405D"/>
    <w:rsid w:val="002C432E"/>
    <w:rsid w:val="002D2283"/>
    <w:rsid w:val="002E19AC"/>
    <w:rsid w:val="002E3C90"/>
    <w:rsid w:val="002E6038"/>
    <w:rsid w:val="003044BA"/>
    <w:rsid w:val="00311C91"/>
    <w:rsid w:val="003242D6"/>
    <w:rsid w:val="00334E32"/>
    <w:rsid w:val="0033594B"/>
    <w:rsid w:val="00341982"/>
    <w:rsid w:val="003459B3"/>
    <w:rsid w:val="00351A82"/>
    <w:rsid w:val="00356A74"/>
    <w:rsid w:val="003573E6"/>
    <w:rsid w:val="003803CC"/>
    <w:rsid w:val="003841A5"/>
    <w:rsid w:val="003928E2"/>
    <w:rsid w:val="003B2F68"/>
    <w:rsid w:val="003B510C"/>
    <w:rsid w:val="003B596D"/>
    <w:rsid w:val="003B62B5"/>
    <w:rsid w:val="003D0090"/>
    <w:rsid w:val="003D3C17"/>
    <w:rsid w:val="003E3610"/>
    <w:rsid w:val="003E3B2A"/>
    <w:rsid w:val="00400296"/>
    <w:rsid w:val="004061A3"/>
    <w:rsid w:val="00412152"/>
    <w:rsid w:val="00412CB4"/>
    <w:rsid w:val="004161B2"/>
    <w:rsid w:val="00416779"/>
    <w:rsid w:val="00420F6F"/>
    <w:rsid w:val="00430E8A"/>
    <w:rsid w:val="004451F6"/>
    <w:rsid w:val="004500F8"/>
    <w:rsid w:val="00451C54"/>
    <w:rsid w:val="00454CCA"/>
    <w:rsid w:val="00456251"/>
    <w:rsid w:val="00463532"/>
    <w:rsid w:val="00494A1F"/>
    <w:rsid w:val="00494ADB"/>
    <w:rsid w:val="004A0407"/>
    <w:rsid w:val="004B54D0"/>
    <w:rsid w:val="004D7869"/>
    <w:rsid w:val="004E44D2"/>
    <w:rsid w:val="00504C60"/>
    <w:rsid w:val="0050747C"/>
    <w:rsid w:val="0054037C"/>
    <w:rsid w:val="00541CD3"/>
    <w:rsid w:val="005433FD"/>
    <w:rsid w:val="005439B3"/>
    <w:rsid w:val="00563865"/>
    <w:rsid w:val="00570B3F"/>
    <w:rsid w:val="00574A51"/>
    <w:rsid w:val="0058369D"/>
    <w:rsid w:val="0058579C"/>
    <w:rsid w:val="005868E8"/>
    <w:rsid w:val="00586E23"/>
    <w:rsid w:val="005A022E"/>
    <w:rsid w:val="005A7C3A"/>
    <w:rsid w:val="005B0A88"/>
    <w:rsid w:val="005B78CE"/>
    <w:rsid w:val="005C00F4"/>
    <w:rsid w:val="005C5A60"/>
    <w:rsid w:val="005C6434"/>
    <w:rsid w:val="005D1AB8"/>
    <w:rsid w:val="005D4D61"/>
    <w:rsid w:val="005E63B2"/>
    <w:rsid w:val="005F71FE"/>
    <w:rsid w:val="005F7AB9"/>
    <w:rsid w:val="00604E9D"/>
    <w:rsid w:val="00626517"/>
    <w:rsid w:val="006310FB"/>
    <w:rsid w:val="00636809"/>
    <w:rsid w:val="00641009"/>
    <w:rsid w:val="0065470E"/>
    <w:rsid w:val="006560BD"/>
    <w:rsid w:val="00657F1C"/>
    <w:rsid w:val="006607EA"/>
    <w:rsid w:val="00662771"/>
    <w:rsid w:val="00670252"/>
    <w:rsid w:val="006724BD"/>
    <w:rsid w:val="00672CF1"/>
    <w:rsid w:val="00683E00"/>
    <w:rsid w:val="00686C69"/>
    <w:rsid w:val="00687A5B"/>
    <w:rsid w:val="00695D3F"/>
    <w:rsid w:val="006A271A"/>
    <w:rsid w:val="006C291D"/>
    <w:rsid w:val="006C35BB"/>
    <w:rsid w:val="006C5476"/>
    <w:rsid w:val="006E4CE6"/>
    <w:rsid w:val="006F011A"/>
    <w:rsid w:val="007202EE"/>
    <w:rsid w:val="007308BE"/>
    <w:rsid w:val="00730BC1"/>
    <w:rsid w:val="00734370"/>
    <w:rsid w:val="00743B9C"/>
    <w:rsid w:val="007505E8"/>
    <w:rsid w:val="00764211"/>
    <w:rsid w:val="00782918"/>
    <w:rsid w:val="00782DF8"/>
    <w:rsid w:val="0079037A"/>
    <w:rsid w:val="007913BD"/>
    <w:rsid w:val="00791FBF"/>
    <w:rsid w:val="007A1139"/>
    <w:rsid w:val="007B781E"/>
    <w:rsid w:val="007C63F8"/>
    <w:rsid w:val="007D1ADE"/>
    <w:rsid w:val="007D50CC"/>
    <w:rsid w:val="007D64DF"/>
    <w:rsid w:val="007D71D0"/>
    <w:rsid w:val="007F20F1"/>
    <w:rsid w:val="007F316A"/>
    <w:rsid w:val="007F627E"/>
    <w:rsid w:val="00804903"/>
    <w:rsid w:val="00806195"/>
    <w:rsid w:val="00806459"/>
    <w:rsid w:val="00817C75"/>
    <w:rsid w:val="00823825"/>
    <w:rsid w:val="0083004D"/>
    <w:rsid w:val="008316FE"/>
    <w:rsid w:val="0083623E"/>
    <w:rsid w:val="00840536"/>
    <w:rsid w:val="00840587"/>
    <w:rsid w:val="00842C30"/>
    <w:rsid w:val="00844441"/>
    <w:rsid w:val="00845E58"/>
    <w:rsid w:val="00845EA4"/>
    <w:rsid w:val="00850E31"/>
    <w:rsid w:val="0085241F"/>
    <w:rsid w:val="00860287"/>
    <w:rsid w:val="00886CD4"/>
    <w:rsid w:val="00892B48"/>
    <w:rsid w:val="00894760"/>
    <w:rsid w:val="00895CA7"/>
    <w:rsid w:val="008A3936"/>
    <w:rsid w:val="008C140A"/>
    <w:rsid w:val="008C1A3E"/>
    <w:rsid w:val="008C20D1"/>
    <w:rsid w:val="008C7A9D"/>
    <w:rsid w:val="008D4890"/>
    <w:rsid w:val="008F1933"/>
    <w:rsid w:val="00900E12"/>
    <w:rsid w:val="00911580"/>
    <w:rsid w:val="0092152C"/>
    <w:rsid w:val="0092265D"/>
    <w:rsid w:val="00924202"/>
    <w:rsid w:val="0093261A"/>
    <w:rsid w:val="0093576C"/>
    <w:rsid w:val="0095115A"/>
    <w:rsid w:val="0095525A"/>
    <w:rsid w:val="00965D4F"/>
    <w:rsid w:val="00973902"/>
    <w:rsid w:val="0097492D"/>
    <w:rsid w:val="00975E93"/>
    <w:rsid w:val="00985202"/>
    <w:rsid w:val="00990880"/>
    <w:rsid w:val="009977BA"/>
    <w:rsid w:val="009A3066"/>
    <w:rsid w:val="009E6F8A"/>
    <w:rsid w:val="009F1FA3"/>
    <w:rsid w:val="009F7F40"/>
    <w:rsid w:val="00A2050F"/>
    <w:rsid w:val="00A235FA"/>
    <w:rsid w:val="00A25D94"/>
    <w:rsid w:val="00A3160A"/>
    <w:rsid w:val="00A355DE"/>
    <w:rsid w:val="00A64BAC"/>
    <w:rsid w:val="00A74DCB"/>
    <w:rsid w:val="00A76693"/>
    <w:rsid w:val="00A7788D"/>
    <w:rsid w:val="00A83227"/>
    <w:rsid w:val="00A870BD"/>
    <w:rsid w:val="00A9167D"/>
    <w:rsid w:val="00A93B9F"/>
    <w:rsid w:val="00AA0825"/>
    <w:rsid w:val="00AA2163"/>
    <w:rsid w:val="00AA2B29"/>
    <w:rsid w:val="00AA4DA6"/>
    <w:rsid w:val="00AA73CA"/>
    <w:rsid w:val="00AB2B19"/>
    <w:rsid w:val="00AB2EBA"/>
    <w:rsid w:val="00AC17E8"/>
    <w:rsid w:val="00AD6933"/>
    <w:rsid w:val="00AE68A4"/>
    <w:rsid w:val="00AF4924"/>
    <w:rsid w:val="00AF590D"/>
    <w:rsid w:val="00AF78A4"/>
    <w:rsid w:val="00B0253B"/>
    <w:rsid w:val="00B0598B"/>
    <w:rsid w:val="00B1733D"/>
    <w:rsid w:val="00B21155"/>
    <w:rsid w:val="00B24607"/>
    <w:rsid w:val="00B2488F"/>
    <w:rsid w:val="00B2731F"/>
    <w:rsid w:val="00B27B4D"/>
    <w:rsid w:val="00B36212"/>
    <w:rsid w:val="00B43AB7"/>
    <w:rsid w:val="00B43EC4"/>
    <w:rsid w:val="00B617E5"/>
    <w:rsid w:val="00B61BF0"/>
    <w:rsid w:val="00B66255"/>
    <w:rsid w:val="00B67607"/>
    <w:rsid w:val="00BB2153"/>
    <w:rsid w:val="00BB3910"/>
    <w:rsid w:val="00BB7194"/>
    <w:rsid w:val="00BC30E5"/>
    <w:rsid w:val="00BC5323"/>
    <w:rsid w:val="00BD5986"/>
    <w:rsid w:val="00BF6C3D"/>
    <w:rsid w:val="00C03A90"/>
    <w:rsid w:val="00C0402C"/>
    <w:rsid w:val="00C06567"/>
    <w:rsid w:val="00C135C3"/>
    <w:rsid w:val="00C24BCD"/>
    <w:rsid w:val="00C41098"/>
    <w:rsid w:val="00C47955"/>
    <w:rsid w:val="00C47E13"/>
    <w:rsid w:val="00C50842"/>
    <w:rsid w:val="00C50EE1"/>
    <w:rsid w:val="00C51B62"/>
    <w:rsid w:val="00C555B3"/>
    <w:rsid w:val="00C60547"/>
    <w:rsid w:val="00C71C92"/>
    <w:rsid w:val="00C867B6"/>
    <w:rsid w:val="00C92269"/>
    <w:rsid w:val="00CB14D9"/>
    <w:rsid w:val="00CB7980"/>
    <w:rsid w:val="00CC1EE6"/>
    <w:rsid w:val="00CC4E00"/>
    <w:rsid w:val="00CC5EF2"/>
    <w:rsid w:val="00CD61EE"/>
    <w:rsid w:val="00CD6E5F"/>
    <w:rsid w:val="00CE0477"/>
    <w:rsid w:val="00CF5BEA"/>
    <w:rsid w:val="00D01379"/>
    <w:rsid w:val="00D26876"/>
    <w:rsid w:val="00D32C55"/>
    <w:rsid w:val="00D47421"/>
    <w:rsid w:val="00D646C1"/>
    <w:rsid w:val="00D6798D"/>
    <w:rsid w:val="00D71BDA"/>
    <w:rsid w:val="00D8258B"/>
    <w:rsid w:val="00D84796"/>
    <w:rsid w:val="00D9201E"/>
    <w:rsid w:val="00DA4C87"/>
    <w:rsid w:val="00DC3802"/>
    <w:rsid w:val="00DC6670"/>
    <w:rsid w:val="00DC6ABD"/>
    <w:rsid w:val="00DC6CEB"/>
    <w:rsid w:val="00DD6E79"/>
    <w:rsid w:val="00DD7A69"/>
    <w:rsid w:val="00DE3FBE"/>
    <w:rsid w:val="00E003E9"/>
    <w:rsid w:val="00E075E2"/>
    <w:rsid w:val="00E13346"/>
    <w:rsid w:val="00E15A18"/>
    <w:rsid w:val="00E21160"/>
    <w:rsid w:val="00E21D20"/>
    <w:rsid w:val="00E23FD7"/>
    <w:rsid w:val="00E25189"/>
    <w:rsid w:val="00E36E12"/>
    <w:rsid w:val="00E40057"/>
    <w:rsid w:val="00E43ADE"/>
    <w:rsid w:val="00E5007C"/>
    <w:rsid w:val="00E511FA"/>
    <w:rsid w:val="00E73731"/>
    <w:rsid w:val="00E76570"/>
    <w:rsid w:val="00E84FAD"/>
    <w:rsid w:val="00EA0E69"/>
    <w:rsid w:val="00EB6538"/>
    <w:rsid w:val="00EC77D9"/>
    <w:rsid w:val="00ED0498"/>
    <w:rsid w:val="00ED26A2"/>
    <w:rsid w:val="00EE6AAF"/>
    <w:rsid w:val="00F10CB5"/>
    <w:rsid w:val="00F22F38"/>
    <w:rsid w:val="00F27576"/>
    <w:rsid w:val="00F50C9F"/>
    <w:rsid w:val="00F542B9"/>
    <w:rsid w:val="00F5540D"/>
    <w:rsid w:val="00F67477"/>
    <w:rsid w:val="00F75F69"/>
    <w:rsid w:val="00F77D11"/>
    <w:rsid w:val="00F84F60"/>
    <w:rsid w:val="00F84FF3"/>
    <w:rsid w:val="00F96350"/>
    <w:rsid w:val="00FA29C4"/>
    <w:rsid w:val="00FA65FF"/>
    <w:rsid w:val="00FA7798"/>
    <w:rsid w:val="00FB6F03"/>
    <w:rsid w:val="00FB7385"/>
    <w:rsid w:val="00FD11C2"/>
    <w:rsid w:val="00FD11CF"/>
    <w:rsid w:val="00FE164E"/>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5E6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49700587">
      <w:bodyDiv w:val="1"/>
      <w:marLeft w:val="0"/>
      <w:marRight w:val="0"/>
      <w:marTop w:val="0"/>
      <w:marBottom w:val="0"/>
      <w:divBdr>
        <w:top w:val="none" w:sz="0" w:space="0" w:color="auto"/>
        <w:left w:val="none" w:sz="0" w:space="0" w:color="auto"/>
        <w:bottom w:val="none" w:sz="0" w:space="0" w:color="auto"/>
        <w:right w:val="none" w:sz="0" w:space="0" w:color="auto"/>
      </w:divBdr>
    </w:div>
    <w:div w:id="314384134">
      <w:bodyDiv w:val="1"/>
      <w:marLeft w:val="0"/>
      <w:marRight w:val="0"/>
      <w:marTop w:val="0"/>
      <w:marBottom w:val="0"/>
      <w:divBdr>
        <w:top w:val="none" w:sz="0" w:space="0" w:color="auto"/>
        <w:left w:val="none" w:sz="0" w:space="0" w:color="auto"/>
        <w:bottom w:val="none" w:sz="0" w:space="0" w:color="auto"/>
        <w:right w:val="none" w:sz="0" w:space="0" w:color="auto"/>
      </w:divBdr>
    </w:div>
    <w:div w:id="398330087">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48881257">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8372391">
      <w:bodyDiv w:val="1"/>
      <w:marLeft w:val="0"/>
      <w:marRight w:val="0"/>
      <w:marTop w:val="0"/>
      <w:marBottom w:val="0"/>
      <w:divBdr>
        <w:top w:val="none" w:sz="0" w:space="0" w:color="auto"/>
        <w:left w:val="none" w:sz="0" w:space="0" w:color="auto"/>
        <w:bottom w:val="none" w:sz="0" w:space="0" w:color="auto"/>
        <w:right w:val="none" w:sz="0" w:space="0" w:color="auto"/>
      </w:divBdr>
    </w:div>
    <w:div w:id="1301035767">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09644017">
      <w:bodyDiv w:val="1"/>
      <w:marLeft w:val="0"/>
      <w:marRight w:val="0"/>
      <w:marTop w:val="0"/>
      <w:marBottom w:val="0"/>
      <w:divBdr>
        <w:top w:val="none" w:sz="0" w:space="0" w:color="auto"/>
        <w:left w:val="none" w:sz="0" w:space="0" w:color="auto"/>
        <w:bottom w:val="none" w:sz="0" w:space="0" w:color="auto"/>
        <w:right w:val="none" w:sz="0" w:space="0" w:color="auto"/>
      </w:divBdr>
    </w:div>
    <w:div w:id="1714039282">
      <w:bodyDiv w:val="1"/>
      <w:marLeft w:val="0"/>
      <w:marRight w:val="0"/>
      <w:marTop w:val="0"/>
      <w:marBottom w:val="0"/>
      <w:divBdr>
        <w:top w:val="none" w:sz="0" w:space="0" w:color="auto"/>
        <w:left w:val="none" w:sz="0" w:space="0" w:color="auto"/>
        <w:bottom w:val="none" w:sz="0" w:space="0" w:color="auto"/>
        <w:right w:val="none" w:sz="0" w:space="0" w:color="auto"/>
      </w:divBdr>
    </w:div>
    <w:div w:id="1753694120">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73036909">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hyperlink" Target="https://tepetlixpa.gob.mx/contenidos/tepetlixpa/docs/10_030-primer-informe-de-gobobierno-2022_22127084419.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B8D10-505E-4279-AD8C-ECE65825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4672</Words>
  <Characters>25702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2023-05-18T03:30:00Z</dcterms:created>
  <dcterms:modified xsi:type="dcterms:W3CDTF">2023-05-25T03:58:00Z</dcterms:modified>
</cp:coreProperties>
</file>