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4A185"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seis de diciembre de dos mil veintitrés. </w:t>
      </w:r>
    </w:p>
    <w:p w14:paraId="2BB55DBC"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67D9B6DB" w14:textId="16E341EA"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Visto el expediente relativo al recurso de revisión </w:t>
      </w:r>
      <w:r>
        <w:rPr>
          <w:rFonts w:ascii="Palatino Linotype" w:eastAsia="Palatino Linotype" w:hAnsi="Palatino Linotype" w:cs="Palatino Linotype"/>
          <w:b/>
          <w:sz w:val="24"/>
          <w:szCs w:val="24"/>
        </w:rPr>
        <w:t>02564/INFOEM/IP/RR/2023</w:t>
      </w:r>
      <w:r>
        <w:rPr>
          <w:rFonts w:ascii="Palatino Linotype" w:eastAsia="Palatino Linotype" w:hAnsi="Palatino Linotype" w:cs="Palatino Linotype"/>
          <w:sz w:val="24"/>
          <w:szCs w:val="24"/>
        </w:rPr>
        <w:t>, interpuesto por</w:t>
      </w:r>
      <w:r>
        <w:t xml:space="preserve"> </w:t>
      </w:r>
      <w:r w:rsidR="00C5117E">
        <w:rPr>
          <w:rFonts w:ascii="Palatino Linotype" w:eastAsia="Palatino Linotype" w:hAnsi="Palatino Linotype" w:cs="Palatino Linotype"/>
          <w:b/>
          <w:sz w:val="24"/>
          <w:szCs w:val="24"/>
        </w:rPr>
        <w:t>XXXXXXX</w:t>
      </w:r>
      <w:r>
        <w:rPr>
          <w:rFonts w:ascii="Palatino Linotype" w:eastAsia="Palatino Linotype" w:hAnsi="Palatino Linotype" w:cs="Palatino Linotype"/>
          <w:sz w:val="24"/>
          <w:szCs w:val="24"/>
        </w:rPr>
        <w:t xml:space="preserve">, al cual en lo sucesivo se le denominará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su solicitud de información identificada con número de folio </w:t>
      </w:r>
      <w:r>
        <w:rPr>
          <w:rFonts w:ascii="Palatino Linotype" w:eastAsia="Palatino Linotype" w:hAnsi="Palatino Linotype" w:cs="Palatino Linotype"/>
          <w:b/>
          <w:sz w:val="24"/>
          <w:szCs w:val="24"/>
        </w:rPr>
        <w:t>01163/TOLUCA/IP/2023</w:t>
      </w:r>
      <w:r>
        <w:rPr>
          <w:rFonts w:ascii="Palatino Linotype" w:eastAsia="Palatino Linotype" w:hAnsi="Palatino Linotype" w:cs="Palatino Linotype"/>
          <w:sz w:val="24"/>
          <w:szCs w:val="24"/>
        </w:rPr>
        <w:t xml:space="preserve"> proporcionada por el</w:t>
      </w:r>
      <w:r>
        <w:rPr>
          <w:rFonts w:ascii="Palatino Linotype" w:eastAsia="Palatino Linotype" w:hAnsi="Palatino Linotype" w:cs="Palatino Linotype"/>
          <w:b/>
          <w:sz w:val="24"/>
          <w:szCs w:val="24"/>
        </w:rPr>
        <w:t xml:space="preserve"> Ayuntamiento de Toluca</w:t>
      </w:r>
      <w:r>
        <w:rPr>
          <w:rFonts w:ascii="Palatino Linotype" w:eastAsia="Palatino Linotype" w:hAnsi="Palatino Linotype" w:cs="Palatino Linotype"/>
          <w:sz w:val="24"/>
          <w:szCs w:val="24"/>
        </w:rPr>
        <w:t xml:space="preserve">, en lo sucesivo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se procede a dictar la presente resolución, con base en los siguientes:</w:t>
      </w:r>
    </w:p>
    <w:p w14:paraId="2648ED4A"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56C401C7" w14:textId="77777777" w:rsidR="00D349AB" w:rsidRDefault="005A1261">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w:t>
      </w:r>
      <w:r>
        <w:rPr>
          <w:rFonts w:ascii="Palatino Linotype" w:eastAsia="Palatino Linotype" w:hAnsi="Palatino Linotype" w:cs="Palatino Linotype"/>
          <w:b/>
          <w:sz w:val="24"/>
          <w:szCs w:val="24"/>
        </w:rPr>
        <w:tab/>
        <w:t>A N T E C E D E N T E S</w:t>
      </w:r>
    </w:p>
    <w:p w14:paraId="38851D97" w14:textId="77777777" w:rsidR="00D349AB" w:rsidRDefault="00D349AB">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color w:val="000000"/>
          <w:sz w:val="24"/>
          <w:szCs w:val="24"/>
        </w:rPr>
      </w:pPr>
      <w:bookmarkStart w:id="0" w:name="_heading=h.2et92p0" w:colFirst="0" w:colLast="0"/>
      <w:bookmarkEnd w:id="0"/>
    </w:p>
    <w:p w14:paraId="65CCEBB7" w14:textId="77777777" w:rsidR="00D349AB" w:rsidRDefault="005A1261">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bookmarkStart w:id="1" w:name="_heading=h.gjdgxs" w:colFirst="0" w:colLast="0"/>
      <w:bookmarkEnd w:id="1"/>
      <w:r>
        <w:rPr>
          <w:rFonts w:ascii="Palatino Linotype" w:eastAsia="Palatino Linotype" w:hAnsi="Palatino Linotype" w:cs="Palatino Linotype"/>
          <w:b/>
          <w:color w:val="000000"/>
          <w:sz w:val="24"/>
          <w:szCs w:val="24"/>
        </w:rPr>
        <w:t>Solicitud de acceso a la información.</w:t>
      </w:r>
      <w:r>
        <w:rPr>
          <w:rFonts w:ascii="Palatino Linotype" w:eastAsia="Palatino Linotype" w:hAnsi="Palatino Linotype" w:cs="Palatino Linotype"/>
          <w:color w:val="000000"/>
          <w:sz w:val="24"/>
          <w:szCs w:val="24"/>
        </w:rPr>
        <w:t xml:space="preserve"> Con fecha </w:t>
      </w:r>
      <w:r>
        <w:rPr>
          <w:rFonts w:ascii="Palatino Linotype" w:eastAsia="Palatino Linotype" w:hAnsi="Palatino Linotype" w:cs="Palatino Linotype"/>
          <w:b/>
          <w:color w:val="000000"/>
          <w:sz w:val="24"/>
          <w:szCs w:val="24"/>
        </w:rPr>
        <w:t>veintiocho de marzo de dos mil veintitrés</w:t>
      </w:r>
      <w:r>
        <w:rPr>
          <w:rFonts w:ascii="Palatino Linotype" w:eastAsia="Palatino Linotype" w:hAnsi="Palatino Linotype" w:cs="Palatino Linotype"/>
          <w:color w:val="000000"/>
          <w:sz w:val="24"/>
          <w:szCs w:val="24"/>
        </w:rPr>
        <w:t xml:space="preserv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a través de la Plataforma Nacional de Transparencia, vinculada al Sistema de Acceso a la Información Mexiquense, en lo subsecuente el SAIMEX, formuló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la solicitud de acceso a la información pública a la que se le asignó el número 01163/TOLUCA/IP/2023, mediante la cual requirió la información siguiente:</w:t>
      </w:r>
    </w:p>
    <w:p w14:paraId="017BBEB9" w14:textId="77777777" w:rsidR="00D349AB" w:rsidRDefault="00D349AB">
      <w:pPr>
        <w:tabs>
          <w:tab w:val="left" w:pos="8505"/>
        </w:tabs>
        <w:spacing w:after="0" w:line="360" w:lineRule="auto"/>
        <w:ind w:left="567" w:right="560"/>
        <w:jc w:val="both"/>
        <w:rPr>
          <w:rFonts w:ascii="Palatino Linotype" w:eastAsia="Palatino Linotype" w:hAnsi="Palatino Linotype" w:cs="Palatino Linotype"/>
          <w:i/>
        </w:rPr>
      </w:pPr>
      <w:bookmarkStart w:id="2" w:name="_heading=h.30j0zll" w:colFirst="0" w:colLast="0"/>
      <w:bookmarkEnd w:id="2"/>
    </w:p>
    <w:p w14:paraId="035080A0" w14:textId="77777777" w:rsidR="00D349AB" w:rsidRDefault="005A1261">
      <w:pPr>
        <w:tabs>
          <w:tab w:val="left" w:pos="8505"/>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“Buen día, por medio de la presente adjunto un documento que contiene mi solicitud de información. Espero nos puedan compartir la información que ahí solicito. De antemano, muchas gracias.” (Sic)</w:t>
      </w:r>
    </w:p>
    <w:p w14:paraId="42631D31" w14:textId="77777777" w:rsidR="00D349AB" w:rsidRDefault="00D349AB">
      <w:pPr>
        <w:tabs>
          <w:tab w:val="left" w:pos="8505"/>
        </w:tabs>
        <w:spacing w:after="0" w:line="360" w:lineRule="auto"/>
        <w:ind w:left="567" w:right="560"/>
        <w:jc w:val="both"/>
        <w:rPr>
          <w:rFonts w:ascii="Palatino Linotype" w:eastAsia="Palatino Linotype" w:hAnsi="Palatino Linotype" w:cs="Palatino Linotype"/>
          <w:i/>
        </w:rPr>
      </w:pPr>
    </w:p>
    <w:p w14:paraId="6F63C670"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Adjunto a su solicitud de información,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aportó el archivo electrónico denominado “</w:t>
      </w:r>
      <w:r>
        <w:rPr>
          <w:rFonts w:ascii="Palatino Linotype" w:eastAsia="Palatino Linotype" w:hAnsi="Palatino Linotype" w:cs="Palatino Linotype"/>
          <w:b/>
          <w:i/>
          <w:sz w:val="24"/>
          <w:szCs w:val="24"/>
        </w:rPr>
        <w:t>Archivo1680061889555.docx</w:t>
      </w:r>
      <w:r>
        <w:rPr>
          <w:rFonts w:ascii="Palatino Linotype" w:eastAsia="Palatino Linotype" w:hAnsi="Palatino Linotype" w:cs="Palatino Linotype"/>
          <w:sz w:val="24"/>
          <w:szCs w:val="24"/>
        </w:rPr>
        <w:t>” en el que se observa que requiere lo siguiente:</w:t>
      </w:r>
    </w:p>
    <w:p w14:paraId="61C09BEA" w14:textId="77777777" w:rsidR="00D349AB" w:rsidRDefault="005A1261">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057A4777" wp14:editId="3F144386">
            <wp:extent cx="5066062" cy="5910741"/>
            <wp:effectExtent l="3175" t="3175" r="3175" b="3175"/>
            <wp:docPr id="21431081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066062" cy="5910741"/>
                    </a:xfrm>
                    <a:prstGeom prst="rect">
                      <a:avLst/>
                    </a:prstGeom>
                    <a:ln w="3175">
                      <a:solidFill>
                        <a:srgbClr val="000000"/>
                      </a:solidFill>
                      <a:prstDash val="solid"/>
                    </a:ln>
                  </pic:spPr>
                </pic:pic>
              </a:graphicData>
            </a:graphic>
          </wp:inline>
        </w:drawing>
      </w:r>
    </w:p>
    <w:p w14:paraId="352A4922" w14:textId="77777777" w:rsidR="00D349AB" w:rsidRDefault="005A1261">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p w14:paraId="3244711F" w14:textId="77777777" w:rsidR="00D349AB" w:rsidRDefault="005A1261">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14:anchorId="076F345D" wp14:editId="50388E9A">
            <wp:extent cx="5159329" cy="4292923"/>
            <wp:effectExtent l="3175" t="3175" r="3175" b="3175"/>
            <wp:docPr id="21431081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59329" cy="4292923"/>
                    </a:xfrm>
                    <a:prstGeom prst="rect">
                      <a:avLst/>
                    </a:prstGeom>
                    <a:ln w="3175">
                      <a:solidFill>
                        <a:srgbClr val="000000"/>
                      </a:solidFill>
                      <a:prstDash val="solid"/>
                    </a:ln>
                  </pic:spPr>
                </pic:pic>
              </a:graphicData>
            </a:graphic>
          </wp:inline>
        </w:drawing>
      </w:r>
    </w:p>
    <w:p w14:paraId="06B48EF4" w14:textId="77777777" w:rsidR="00D349AB" w:rsidRDefault="00D349AB">
      <w:pPr>
        <w:spacing w:after="0" w:line="360" w:lineRule="auto"/>
        <w:ind w:right="49"/>
        <w:jc w:val="center"/>
        <w:rPr>
          <w:rFonts w:ascii="Palatino Linotype" w:eastAsia="Palatino Linotype" w:hAnsi="Palatino Linotype" w:cs="Palatino Linotype"/>
          <w:sz w:val="24"/>
          <w:szCs w:val="24"/>
        </w:rPr>
      </w:pPr>
    </w:p>
    <w:p w14:paraId="57DCCE34"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Modalidad elegida para la entrega de la información:</w:t>
      </w:r>
      <w:r>
        <w:rPr>
          <w:rFonts w:ascii="Palatino Linotype" w:eastAsia="Palatino Linotype" w:hAnsi="Palatino Linotype" w:cs="Palatino Linotype"/>
          <w:sz w:val="24"/>
          <w:szCs w:val="24"/>
        </w:rPr>
        <w:t xml:space="preserve"> Electrónico, a través del sistema de solicitudes de acceso a la información de la Plataforma Nacional de Transparencia, que, para efectos del presente asunto, se entenderá a través del Sistema de Acceso a la Información Mexiquense (SAIMEX), como se advierte a continuación:</w:t>
      </w:r>
    </w:p>
    <w:p w14:paraId="4CDF7722"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33EA2FD0"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24C39A57" wp14:editId="7F04C0C3">
            <wp:extent cx="5780870" cy="800575"/>
            <wp:effectExtent l="3175" t="3175" r="3175" b="3175"/>
            <wp:docPr id="21431081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80870" cy="800575"/>
                    </a:xfrm>
                    <a:prstGeom prst="rect">
                      <a:avLst/>
                    </a:prstGeom>
                    <a:ln w="3175">
                      <a:solidFill>
                        <a:srgbClr val="000000"/>
                      </a:solidFill>
                      <a:prstDash val="solid"/>
                    </a:ln>
                  </pic:spPr>
                </pic:pic>
              </a:graphicData>
            </a:graphic>
          </wp:inline>
        </w:drawing>
      </w:r>
    </w:p>
    <w:p w14:paraId="3A391DF2"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3C3EAF85" w14:textId="77777777" w:rsidR="00D349AB" w:rsidRDefault="005A1261">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Respuesta.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veinticinco de abril de dos mil veintitrés</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respuesta a la solicitud de información, al tenor de lo siguiente: </w:t>
      </w:r>
    </w:p>
    <w:p w14:paraId="4BE05CA7" w14:textId="77777777" w:rsidR="00D349AB" w:rsidRDefault="00D349A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94F5C9D"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A0ED17" w14:textId="77777777" w:rsidR="00D349AB" w:rsidRDefault="00D349AB">
      <w:pPr>
        <w:spacing w:after="0" w:line="276" w:lineRule="auto"/>
        <w:ind w:left="567" w:right="560"/>
        <w:jc w:val="both"/>
        <w:rPr>
          <w:rFonts w:ascii="Palatino Linotype" w:eastAsia="Palatino Linotype" w:hAnsi="Palatino Linotype" w:cs="Palatino Linotype"/>
          <w:i/>
        </w:rPr>
      </w:pPr>
    </w:p>
    <w:p w14:paraId="5CB48783"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En atención a la solicitud con folio 01163/TOLUCA/IP/2023, me permito adjuntar al presente la respuesta correspondiente. Sin más por el momento, reciba un saludo.” (Sic)</w:t>
      </w:r>
    </w:p>
    <w:p w14:paraId="14BF85AF" w14:textId="77777777" w:rsidR="00D349AB" w:rsidRDefault="00D349AB">
      <w:pPr>
        <w:spacing w:after="0" w:line="360" w:lineRule="auto"/>
        <w:ind w:right="560"/>
        <w:jc w:val="both"/>
        <w:rPr>
          <w:rFonts w:ascii="Palatino Linotype" w:eastAsia="Palatino Linotype" w:hAnsi="Palatino Linotype" w:cs="Palatino Linotype"/>
          <w:i/>
        </w:rPr>
      </w:pPr>
    </w:p>
    <w:p w14:paraId="12783CEE" w14:textId="77777777" w:rsidR="00D349AB" w:rsidRDefault="005A1261">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Adjunto a la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aportó el archivo electrónico denominado “</w:t>
      </w:r>
      <w:r>
        <w:rPr>
          <w:rFonts w:ascii="Palatino Linotype" w:eastAsia="Palatino Linotype" w:hAnsi="Palatino Linotype" w:cs="Palatino Linotype"/>
          <w:b/>
          <w:i/>
        </w:rPr>
        <w:t>Respuesta 1163.pdf</w:t>
      </w:r>
      <w:r>
        <w:rPr>
          <w:rFonts w:ascii="Palatino Linotype" w:eastAsia="Palatino Linotype" w:hAnsi="Palatino Linotype" w:cs="Palatino Linotype"/>
        </w:rPr>
        <w:t>” el cual contiene la información siguiente:</w:t>
      </w:r>
    </w:p>
    <w:p w14:paraId="29C62C56" w14:textId="77777777" w:rsidR="00D349AB" w:rsidRDefault="00D349AB">
      <w:pPr>
        <w:spacing w:after="0" w:line="360" w:lineRule="auto"/>
        <w:ind w:right="-7"/>
        <w:jc w:val="both"/>
        <w:rPr>
          <w:rFonts w:ascii="Palatino Linotype" w:eastAsia="Palatino Linotype" w:hAnsi="Palatino Linotype" w:cs="Palatino Linotype"/>
        </w:rPr>
      </w:pPr>
    </w:p>
    <w:p w14:paraId="329FA9B9" w14:textId="77777777" w:rsidR="00D349AB" w:rsidRDefault="005A1261">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bookmarkStart w:id="3" w:name="_heading=h.1fob9te" w:colFirst="0" w:colLast="0"/>
      <w:bookmarkEnd w:id="3"/>
      <w:r>
        <w:rPr>
          <w:rFonts w:ascii="Palatino Linotype" w:eastAsia="Palatino Linotype" w:hAnsi="Palatino Linotype" w:cs="Palatino Linotype"/>
          <w:color w:val="000000"/>
        </w:rPr>
        <w:t>Oficio sin fecha, del veinticinco de abril de dos mil veintitrés, a través del cual la Titular de la Unidad de Transparencia informa al solicitante que, con relación a su solicitud la Dirección General de Seguridad y Protección, y Servidor Público Habilitado hizo del conocimiento lo siguiente:</w:t>
      </w:r>
    </w:p>
    <w:p w14:paraId="323EE6D0" w14:textId="77777777" w:rsidR="00D349AB" w:rsidRDefault="00D349AB">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14:paraId="322993C7"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a)</w:t>
      </w:r>
      <w:r>
        <w:rPr>
          <w:rFonts w:ascii="Palatino Linotype" w:eastAsia="Palatino Linotype" w:hAnsi="Palatino Linotype" w:cs="Palatino Linotype"/>
          <w:color w:val="000000"/>
        </w:rPr>
        <w:t xml:space="preserve"> de la solicitud: En fecha seis de marzo de dos mil veinte se tuvo conocimiento de un evento en la Colonia San Lorenzo Tepatitlán, en el que se vieron involucrados elementos de esa corporación, adjuntando la liga electrónica siguiente: </w:t>
      </w:r>
      <w:hyperlink r:id="rId11">
        <w:r>
          <w:rPr>
            <w:rFonts w:ascii="Palatino Linotype" w:eastAsia="Palatino Linotype" w:hAnsi="Palatino Linotype" w:cs="Palatino Linotype"/>
            <w:color w:val="0563C1"/>
            <w:u w:val="single"/>
          </w:rPr>
          <w:t>https://mtv.com.mx/policia-de-toluca-muere-y-dos-resultan-lesionados-salvando-a-mujer-violentada/</w:t>
        </w:r>
      </w:hyperlink>
      <w:r>
        <w:rPr>
          <w:rFonts w:ascii="Palatino Linotype" w:eastAsia="Palatino Linotype" w:hAnsi="Palatino Linotype" w:cs="Palatino Linotype"/>
          <w:color w:val="000000"/>
        </w:rPr>
        <w:t xml:space="preserve"> </w:t>
      </w:r>
    </w:p>
    <w:p w14:paraId="00170773"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b)</w:t>
      </w:r>
      <w:r>
        <w:rPr>
          <w:rFonts w:ascii="Palatino Linotype" w:eastAsia="Palatino Linotype" w:hAnsi="Palatino Linotype" w:cs="Palatino Linotype"/>
          <w:color w:val="000000"/>
        </w:rPr>
        <w:t xml:space="preserve"> de la solicitud: Se indicó que se contestaba en el inciso que antecede, al ser este el único evento registrado.</w:t>
      </w:r>
    </w:p>
    <w:p w14:paraId="0E856534"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c)</w:t>
      </w:r>
      <w:r>
        <w:rPr>
          <w:rFonts w:ascii="Palatino Linotype" w:eastAsia="Palatino Linotype" w:hAnsi="Palatino Linotype" w:cs="Palatino Linotype"/>
          <w:color w:val="000000"/>
        </w:rPr>
        <w:t xml:space="preserve"> de la solicitud: Se señaló que se tenía conocimiento de un hecho suscitado en fecha cinco de enero de dos mil veintitrés, en donde un policía fue herido por arma de fuego de manera accidental.</w:t>
      </w:r>
    </w:p>
    <w:p w14:paraId="2E8825A1"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d)</w:t>
      </w:r>
      <w:r>
        <w:rPr>
          <w:rFonts w:ascii="Palatino Linotype" w:eastAsia="Palatino Linotype" w:hAnsi="Palatino Linotype" w:cs="Palatino Linotype"/>
          <w:color w:val="000000"/>
        </w:rPr>
        <w:t xml:space="preserve"> de la solicitud: Se indica que fue un hombre de 36 años.</w:t>
      </w:r>
    </w:p>
    <w:p w14:paraId="3818594A"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 relación al inciso </w:t>
      </w:r>
      <w:r>
        <w:rPr>
          <w:rFonts w:ascii="Palatino Linotype" w:eastAsia="Palatino Linotype" w:hAnsi="Palatino Linotype" w:cs="Palatino Linotype"/>
          <w:b/>
          <w:color w:val="000000"/>
        </w:rPr>
        <w:t>e)</w:t>
      </w:r>
      <w:r>
        <w:rPr>
          <w:rFonts w:ascii="Palatino Linotype" w:eastAsia="Palatino Linotype" w:hAnsi="Palatino Linotype" w:cs="Palatino Linotype"/>
          <w:color w:val="000000"/>
        </w:rPr>
        <w:t xml:space="preserve"> de la solicitud: Se precisa que se contesta con lo informado en el inciso a).</w:t>
      </w:r>
    </w:p>
    <w:p w14:paraId="19263E4E"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f)</w:t>
      </w:r>
      <w:r>
        <w:rPr>
          <w:rFonts w:ascii="Palatino Linotype" w:eastAsia="Palatino Linotype" w:hAnsi="Palatino Linotype" w:cs="Palatino Linotype"/>
          <w:color w:val="000000"/>
        </w:rPr>
        <w:t xml:space="preserve"> de la solicitud: Se informa que no se tiene registro en esa Dirección Operativa de un hecho como el que se solicita.</w:t>
      </w:r>
    </w:p>
    <w:p w14:paraId="6B3108AE"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g)</w:t>
      </w:r>
      <w:r>
        <w:rPr>
          <w:rFonts w:ascii="Palatino Linotype" w:eastAsia="Palatino Linotype" w:hAnsi="Palatino Linotype" w:cs="Palatino Linotype"/>
          <w:color w:val="000000"/>
        </w:rPr>
        <w:t xml:space="preserve"> de la solicitud: Se indica que se contestaba el mismo en el sentido del inciso anterior.</w:t>
      </w:r>
    </w:p>
    <w:p w14:paraId="5326ECF4"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h)</w:t>
      </w:r>
      <w:r>
        <w:rPr>
          <w:rFonts w:ascii="Palatino Linotype" w:eastAsia="Palatino Linotype" w:hAnsi="Palatino Linotype" w:cs="Palatino Linotype"/>
          <w:color w:val="000000"/>
        </w:rPr>
        <w:t xml:space="preserve"> de la solicitud: Se indica que se contesta con lo indicado en el inciso </w:t>
      </w:r>
      <w:r>
        <w:rPr>
          <w:rFonts w:ascii="Palatino Linotype" w:eastAsia="Palatino Linotype" w:hAnsi="Palatino Linotype" w:cs="Palatino Linotype"/>
          <w:b/>
          <w:color w:val="000000"/>
        </w:rPr>
        <w:t>f).</w:t>
      </w:r>
    </w:p>
    <w:p w14:paraId="175D1C4B"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i)</w:t>
      </w:r>
      <w:r>
        <w:rPr>
          <w:rFonts w:ascii="Palatino Linotype" w:eastAsia="Palatino Linotype" w:hAnsi="Palatino Linotype" w:cs="Palatino Linotype"/>
          <w:color w:val="000000"/>
        </w:rPr>
        <w:t xml:space="preserve"> de la solicitud: Se informa que no se tiene registro en esa Dirección Operativa de un hecho como el que se solicita.</w:t>
      </w:r>
    </w:p>
    <w:p w14:paraId="6A131FF1"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j)</w:t>
      </w:r>
      <w:r>
        <w:rPr>
          <w:rFonts w:ascii="Palatino Linotype" w:eastAsia="Palatino Linotype" w:hAnsi="Palatino Linotype" w:cs="Palatino Linotype"/>
          <w:color w:val="000000"/>
        </w:rPr>
        <w:t xml:space="preserve"> de la solicitud: Se aporta el número de policías activos en los años dos mil veinte, dos mil veintiuno y dos mil veintidós, mediante la siguiente tabla:</w:t>
      </w:r>
    </w:p>
    <w:p w14:paraId="7ABD5151" w14:textId="77777777" w:rsidR="00D349AB" w:rsidRDefault="00D349AB">
      <w:pPr>
        <w:pBdr>
          <w:top w:val="nil"/>
          <w:left w:val="nil"/>
          <w:bottom w:val="nil"/>
          <w:right w:val="nil"/>
          <w:between w:val="nil"/>
        </w:pBdr>
        <w:spacing w:after="0" w:line="276" w:lineRule="auto"/>
        <w:ind w:left="720" w:right="-7"/>
        <w:jc w:val="both"/>
        <w:rPr>
          <w:rFonts w:ascii="Palatino Linotype" w:eastAsia="Palatino Linotype" w:hAnsi="Palatino Linotype" w:cs="Palatino Linotype"/>
          <w:color w:val="000000"/>
        </w:rPr>
      </w:pPr>
    </w:p>
    <w:p w14:paraId="4BE5786D" w14:textId="77777777" w:rsidR="00D349AB" w:rsidRDefault="005A1261">
      <w:pPr>
        <w:pBdr>
          <w:top w:val="nil"/>
          <w:left w:val="nil"/>
          <w:bottom w:val="nil"/>
          <w:right w:val="nil"/>
          <w:between w:val="nil"/>
        </w:pBdr>
        <w:spacing w:after="0" w:line="276" w:lineRule="auto"/>
        <w:ind w:left="720" w:right="-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463EBC7" wp14:editId="385923B6">
            <wp:extent cx="3250911" cy="1386803"/>
            <wp:effectExtent l="0" t="0" r="0" b="0"/>
            <wp:docPr id="21431081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250911" cy="1386803"/>
                    </a:xfrm>
                    <a:prstGeom prst="rect">
                      <a:avLst/>
                    </a:prstGeom>
                    <a:ln/>
                  </pic:spPr>
                </pic:pic>
              </a:graphicData>
            </a:graphic>
          </wp:inline>
        </w:drawing>
      </w:r>
    </w:p>
    <w:p w14:paraId="3D49CBEF" w14:textId="77777777" w:rsidR="00D349AB" w:rsidRDefault="005A1261">
      <w:pPr>
        <w:pBdr>
          <w:top w:val="nil"/>
          <w:left w:val="nil"/>
          <w:bottom w:val="nil"/>
          <w:right w:val="nil"/>
          <w:between w:val="nil"/>
        </w:pBdr>
        <w:spacing w:after="0" w:line="276" w:lineRule="auto"/>
        <w:ind w:left="72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se indica que después de realizar una búsqueda en los archivos físicos y electrónicos se localizó únicamente información del año 2022, siendo 1,927 policías activos al treinta y uno de diciembre de dos mil veintidós, obteniendo un desglose de 474 mujeres y 1,453 hombres.</w:t>
      </w:r>
    </w:p>
    <w:p w14:paraId="53215D99" w14:textId="77777777" w:rsidR="00D349AB" w:rsidRDefault="00D349AB">
      <w:pPr>
        <w:pBdr>
          <w:top w:val="nil"/>
          <w:left w:val="nil"/>
          <w:bottom w:val="nil"/>
          <w:right w:val="nil"/>
          <w:between w:val="nil"/>
        </w:pBdr>
        <w:spacing w:after="0" w:line="276" w:lineRule="auto"/>
        <w:ind w:left="720" w:right="-7"/>
        <w:jc w:val="both"/>
        <w:rPr>
          <w:rFonts w:ascii="Palatino Linotype" w:eastAsia="Palatino Linotype" w:hAnsi="Palatino Linotype" w:cs="Palatino Linotype"/>
          <w:color w:val="000000"/>
        </w:rPr>
      </w:pPr>
    </w:p>
    <w:p w14:paraId="4210A540"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relación al inciso </w:t>
      </w:r>
      <w:r>
        <w:rPr>
          <w:rFonts w:ascii="Palatino Linotype" w:eastAsia="Palatino Linotype" w:hAnsi="Palatino Linotype" w:cs="Palatino Linotype"/>
          <w:b/>
          <w:color w:val="000000"/>
        </w:rPr>
        <w:t>k)</w:t>
      </w:r>
      <w:r>
        <w:rPr>
          <w:rFonts w:ascii="Palatino Linotype" w:eastAsia="Palatino Linotype" w:hAnsi="Palatino Linotype" w:cs="Palatino Linotype"/>
          <w:color w:val="000000"/>
        </w:rPr>
        <w:t xml:space="preserve"> de la solicitud:</w:t>
      </w:r>
      <w:r>
        <w:rPr>
          <w:color w:val="000000"/>
        </w:rPr>
        <w:t xml:space="preserve"> </w:t>
      </w:r>
      <w:r>
        <w:rPr>
          <w:rFonts w:ascii="Palatino Linotype" w:eastAsia="Palatino Linotype" w:hAnsi="Palatino Linotype" w:cs="Palatino Linotype"/>
          <w:color w:val="000000"/>
        </w:rPr>
        <w:t>Se aporta el número de detenidos en los años dos mil veinte, dos mil veintiuno y dos mil veintidós, mediante la siguiente tabla:</w:t>
      </w:r>
    </w:p>
    <w:p w14:paraId="13A06CF5" w14:textId="77777777" w:rsidR="00D349AB" w:rsidRDefault="00D349AB">
      <w:pPr>
        <w:pBdr>
          <w:top w:val="nil"/>
          <w:left w:val="nil"/>
          <w:bottom w:val="nil"/>
          <w:right w:val="nil"/>
          <w:between w:val="nil"/>
        </w:pBdr>
        <w:spacing w:after="0" w:line="276" w:lineRule="auto"/>
        <w:ind w:left="720" w:right="-7"/>
        <w:jc w:val="both"/>
        <w:rPr>
          <w:rFonts w:ascii="Palatino Linotype" w:eastAsia="Palatino Linotype" w:hAnsi="Palatino Linotype" w:cs="Palatino Linotype"/>
          <w:color w:val="000000"/>
        </w:rPr>
      </w:pPr>
    </w:p>
    <w:p w14:paraId="0C80AB47" w14:textId="77777777" w:rsidR="00D349AB" w:rsidRDefault="005A1261">
      <w:pPr>
        <w:pBdr>
          <w:top w:val="nil"/>
          <w:left w:val="nil"/>
          <w:bottom w:val="nil"/>
          <w:right w:val="nil"/>
          <w:between w:val="nil"/>
        </w:pBdr>
        <w:spacing w:after="0" w:line="276" w:lineRule="auto"/>
        <w:ind w:left="720" w:right="-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4EBBBEAE" wp14:editId="138EF095">
            <wp:extent cx="3429537" cy="1150532"/>
            <wp:effectExtent l="0" t="0" r="0" b="0"/>
            <wp:docPr id="21431081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429537" cy="1150532"/>
                    </a:xfrm>
                    <a:prstGeom prst="rect">
                      <a:avLst/>
                    </a:prstGeom>
                    <a:ln/>
                  </pic:spPr>
                </pic:pic>
              </a:graphicData>
            </a:graphic>
          </wp:inline>
        </w:drawing>
      </w:r>
    </w:p>
    <w:p w14:paraId="3F378614" w14:textId="77777777" w:rsidR="00D349AB" w:rsidRDefault="00D349AB">
      <w:pPr>
        <w:pBdr>
          <w:top w:val="nil"/>
          <w:left w:val="nil"/>
          <w:bottom w:val="nil"/>
          <w:right w:val="nil"/>
          <w:between w:val="nil"/>
        </w:pBdr>
        <w:spacing w:after="0" w:line="276" w:lineRule="auto"/>
        <w:ind w:left="720" w:right="-7"/>
        <w:jc w:val="both"/>
        <w:rPr>
          <w:rFonts w:ascii="Palatino Linotype" w:eastAsia="Palatino Linotype" w:hAnsi="Palatino Linotype" w:cs="Palatino Linotype"/>
          <w:color w:val="000000"/>
        </w:rPr>
      </w:pPr>
    </w:p>
    <w:p w14:paraId="501F8B73" w14:textId="77777777" w:rsidR="00D349AB" w:rsidRDefault="005A1261">
      <w:pPr>
        <w:numPr>
          <w:ilvl w:val="0"/>
          <w:numId w:val="7"/>
        </w:numPr>
        <w:pBdr>
          <w:top w:val="nil"/>
          <w:left w:val="nil"/>
          <w:bottom w:val="nil"/>
          <w:right w:val="nil"/>
          <w:between w:val="nil"/>
        </w:pBdr>
        <w:spacing w:after="0" w:line="276"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 relación al inciso </w:t>
      </w:r>
      <w:r>
        <w:rPr>
          <w:rFonts w:ascii="Palatino Linotype" w:eastAsia="Palatino Linotype" w:hAnsi="Palatino Linotype" w:cs="Palatino Linotype"/>
          <w:b/>
          <w:color w:val="000000"/>
        </w:rPr>
        <w:t>l)</w:t>
      </w:r>
      <w:r>
        <w:rPr>
          <w:rFonts w:ascii="Palatino Linotype" w:eastAsia="Palatino Linotype" w:hAnsi="Palatino Linotype" w:cs="Palatino Linotype"/>
          <w:color w:val="000000"/>
        </w:rPr>
        <w:t xml:space="preserve"> de la solicitud:</w:t>
      </w:r>
      <w:r>
        <w:rPr>
          <w:color w:val="000000"/>
        </w:rPr>
        <w:t xml:space="preserve"> </w:t>
      </w:r>
      <w:r>
        <w:rPr>
          <w:rFonts w:ascii="Palatino Linotype" w:eastAsia="Palatino Linotype" w:hAnsi="Palatino Linotype" w:cs="Palatino Linotype"/>
          <w:color w:val="000000"/>
        </w:rPr>
        <w:t>Se aporta el número de armas incautadas en los años dos mil veinte, dos mil veintiuno y dos mil veintidós, mediante la siguiente tabla:</w:t>
      </w:r>
    </w:p>
    <w:p w14:paraId="6535A0FA" w14:textId="77777777" w:rsidR="00D349AB" w:rsidRDefault="00D349AB">
      <w:pPr>
        <w:pBdr>
          <w:top w:val="nil"/>
          <w:left w:val="nil"/>
          <w:bottom w:val="nil"/>
          <w:right w:val="nil"/>
          <w:between w:val="nil"/>
        </w:pBdr>
        <w:spacing w:after="0" w:line="276" w:lineRule="auto"/>
        <w:ind w:left="720" w:right="-7"/>
        <w:jc w:val="both"/>
        <w:rPr>
          <w:rFonts w:ascii="Palatino Linotype" w:eastAsia="Palatino Linotype" w:hAnsi="Palatino Linotype" w:cs="Palatino Linotype"/>
          <w:color w:val="000000"/>
        </w:rPr>
      </w:pPr>
    </w:p>
    <w:p w14:paraId="556D8DBB" w14:textId="77777777" w:rsidR="00D349AB" w:rsidRDefault="005A1261">
      <w:pPr>
        <w:pBdr>
          <w:top w:val="nil"/>
          <w:left w:val="nil"/>
          <w:bottom w:val="nil"/>
          <w:right w:val="nil"/>
          <w:between w:val="nil"/>
        </w:pBdr>
        <w:spacing w:after="0" w:line="276" w:lineRule="auto"/>
        <w:ind w:left="720" w:right="-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6DB02FA9" wp14:editId="1B2154B1">
            <wp:extent cx="3362831" cy="1198095"/>
            <wp:effectExtent l="0" t="0" r="0" b="0"/>
            <wp:docPr id="21431081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362831" cy="1198095"/>
                    </a:xfrm>
                    <a:prstGeom prst="rect">
                      <a:avLst/>
                    </a:prstGeom>
                    <a:ln/>
                  </pic:spPr>
                </pic:pic>
              </a:graphicData>
            </a:graphic>
          </wp:inline>
        </w:drawing>
      </w:r>
    </w:p>
    <w:p w14:paraId="66E322E3" w14:textId="77777777" w:rsidR="00D349AB" w:rsidRDefault="00D349AB">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14:paraId="32BE4425" w14:textId="77777777" w:rsidR="00D349AB" w:rsidRDefault="005A1261">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Recurso de revisión.</w:t>
      </w:r>
      <w:r>
        <w:rPr>
          <w:rFonts w:ascii="Palatino Linotype" w:eastAsia="Palatino Linotype" w:hAnsi="Palatino Linotype" w:cs="Palatino Linotype"/>
          <w:color w:val="000000"/>
          <w:sz w:val="24"/>
          <w:szCs w:val="24"/>
        </w:rPr>
        <w:t xml:space="preserve"> Derivado de la respuesta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el Particular interpuso Recurso de Revisión a través del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diez de mayo de dos mil veinti</w:t>
      </w:r>
      <w:r>
        <w:rPr>
          <w:rFonts w:ascii="Palatino Linotype" w:eastAsia="Palatino Linotype" w:hAnsi="Palatino Linotype" w:cs="Palatino Linotype"/>
          <w:b/>
          <w:sz w:val="24"/>
          <w:szCs w:val="24"/>
        </w:rPr>
        <w:t>trés</w:t>
      </w:r>
      <w:r>
        <w:rPr>
          <w:rFonts w:ascii="Palatino Linotype" w:eastAsia="Palatino Linotype" w:hAnsi="Palatino Linotype" w:cs="Palatino Linotype"/>
          <w:color w:val="000000"/>
          <w:sz w:val="24"/>
          <w:szCs w:val="24"/>
        </w:rPr>
        <w:t>, a través del cual expresó lo siguiente:</w:t>
      </w:r>
    </w:p>
    <w:p w14:paraId="48490593" w14:textId="77777777" w:rsidR="00D349AB" w:rsidRDefault="00D349AB">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color w:val="000000"/>
          <w:sz w:val="24"/>
          <w:szCs w:val="24"/>
        </w:rPr>
      </w:pPr>
    </w:p>
    <w:p w14:paraId="3467B2D8" w14:textId="77777777" w:rsidR="00D349AB" w:rsidRDefault="005A1261">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rPr>
        <w:t>“Información incompleta</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i/>
          <w:color w:val="000000"/>
        </w:rPr>
        <w:t>(Sic)</w:t>
      </w:r>
    </w:p>
    <w:p w14:paraId="0944C52A" w14:textId="77777777" w:rsidR="00D349AB" w:rsidRDefault="00D349AB">
      <w:pPr>
        <w:pBdr>
          <w:top w:val="nil"/>
          <w:left w:val="nil"/>
          <w:bottom w:val="nil"/>
          <w:right w:val="nil"/>
          <w:between w:val="nil"/>
        </w:pBdr>
        <w:tabs>
          <w:tab w:val="left" w:pos="993"/>
        </w:tabs>
        <w:spacing w:after="0" w:line="360" w:lineRule="auto"/>
        <w:ind w:left="567" w:right="701"/>
        <w:jc w:val="both"/>
        <w:rPr>
          <w:rFonts w:ascii="Palatino Linotype" w:eastAsia="Palatino Linotype" w:hAnsi="Palatino Linotype" w:cs="Palatino Linotype"/>
          <w:b/>
          <w:color w:val="000000"/>
          <w:sz w:val="24"/>
          <w:szCs w:val="24"/>
        </w:rPr>
      </w:pPr>
    </w:p>
    <w:p w14:paraId="2E4C94AE" w14:textId="77777777" w:rsidR="00D349AB" w:rsidRDefault="005A1261">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4"/>
          <w:szCs w:val="24"/>
        </w:rPr>
        <w:t xml:space="preserve">Razones o motivos de la inconformidad: </w:t>
      </w:r>
      <w:r>
        <w:rPr>
          <w:rFonts w:ascii="Palatino Linotype" w:eastAsia="Palatino Linotype" w:hAnsi="Palatino Linotype" w:cs="Palatino Linotype"/>
          <w:color w:val="000000"/>
        </w:rPr>
        <w:t>El particular fue omiso en hacer valer razones o motivos de inconformidad en el formato de interposición de recurso de revisión.</w:t>
      </w:r>
    </w:p>
    <w:p w14:paraId="4AF0A86F"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0D7A8045"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Adjunto al formato de recurso de revisión promovido por el particular, se aportó el archivo electrónico denominado “Archivo1683779079273null”; sin embargo, no deja apreciar su contenido, como se muestra a continuación:</w:t>
      </w:r>
    </w:p>
    <w:p w14:paraId="2F9797A8"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65A1D189"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68BACC29" wp14:editId="61373422">
            <wp:extent cx="5764519" cy="344369"/>
            <wp:effectExtent l="3175" t="3175" r="3175" b="3175"/>
            <wp:docPr id="2143108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64519" cy="344369"/>
                    </a:xfrm>
                    <a:prstGeom prst="rect">
                      <a:avLst/>
                    </a:prstGeom>
                    <a:ln w="3175">
                      <a:solidFill>
                        <a:srgbClr val="000000"/>
                      </a:solidFill>
                      <a:prstDash val="solid"/>
                    </a:ln>
                  </pic:spPr>
                </pic:pic>
              </a:graphicData>
            </a:graphic>
          </wp:inline>
        </w:drawing>
      </w:r>
    </w:p>
    <w:p w14:paraId="0BF055E1"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1E1B5BCD"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Asimismo, mediante aplicación en línea para convertir archivos NULL a PDF, se intentó visualizar el contenido del archivo, en la siguiente liga electrónica; https://www.pdf2go.com/es/convertir-a-pdf; sin embargo, se advirtió que el archivo está vacío:</w:t>
      </w:r>
    </w:p>
    <w:p w14:paraId="1A9D90C1" w14:textId="77777777" w:rsidR="00D349AB" w:rsidRDefault="005A1261">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1DD7E421" wp14:editId="7E578F6A">
            <wp:extent cx="4665218" cy="1548612"/>
            <wp:effectExtent l="3175" t="3175" r="3175" b="3175"/>
            <wp:docPr id="21431081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665218" cy="1548612"/>
                    </a:xfrm>
                    <a:prstGeom prst="rect">
                      <a:avLst/>
                    </a:prstGeom>
                    <a:ln w="3175">
                      <a:solidFill>
                        <a:srgbClr val="000000"/>
                      </a:solidFill>
                      <a:prstDash val="solid"/>
                    </a:ln>
                  </pic:spPr>
                </pic:pic>
              </a:graphicData>
            </a:graphic>
          </wp:inline>
        </w:drawing>
      </w:r>
    </w:p>
    <w:p w14:paraId="29C70851" w14:textId="77777777" w:rsidR="00D349AB" w:rsidRDefault="00D349AB">
      <w:pPr>
        <w:spacing w:after="0" w:line="360" w:lineRule="auto"/>
        <w:ind w:right="49"/>
        <w:jc w:val="center"/>
        <w:rPr>
          <w:rFonts w:ascii="Palatino Linotype" w:eastAsia="Palatino Linotype" w:hAnsi="Palatino Linotype" w:cs="Palatino Linotype"/>
          <w:sz w:val="24"/>
          <w:szCs w:val="24"/>
        </w:rPr>
      </w:pPr>
    </w:p>
    <w:p w14:paraId="5396DAD9" w14:textId="77777777" w:rsidR="00D349AB" w:rsidRDefault="005A1261">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Turno.</w:t>
      </w:r>
      <w:r>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color w:val="000000"/>
          <w:sz w:val="24"/>
          <w:szCs w:val="24"/>
        </w:rPr>
        <w:t>02564/INFOEM/IP/RR/2023</w:t>
      </w:r>
      <w:r>
        <w:rPr>
          <w:rFonts w:ascii="Palatino Linotype" w:eastAsia="Palatino Linotype" w:hAnsi="Palatino Linotype" w:cs="Palatino Linotype"/>
          <w:color w:val="000000"/>
          <w:sz w:val="24"/>
          <w:szCs w:val="24"/>
        </w:rPr>
        <w:t xml:space="preserve">,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color w:val="000000"/>
          <w:sz w:val="24"/>
          <w:szCs w:val="24"/>
        </w:rPr>
        <w:t>Comisionada Guadalupe Ramírez Peña</w:t>
      </w:r>
      <w:r>
        <w:rPr>
          <w:rFonts w:ascii="Palatino Linotype" w:eastAsia="Palatino Linotype" w:hAnsi="Palatino Linotype" w:cs="Palatino Linotype"/>
          <w:color w:val="000000"/>
          <w:sz w:val="24"/>
          <w:szCs w:val="24"/>
        </w:rPr>
        <w:t xml:space="preserve"> para su análisis, estudio, elaboración del proyecto y presentación ante el Pleno de este Instituto.</w:t>
      </w:r>
    </w:p>
    <w:p w14:paraId="5D56A55A" w14:textId="77777777" w:rsidR="00D349AB" w:rsidRDefault="00D349A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0124476" w14:textId="77777777" w:rsidR="00D349AB" w:rsidRDefault="005A1261">
      <w:pPr>
        <w:numPr>
          <w:ilvl w:val="0"/>
          <w:numId w:val="4"/>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Admisión del recurso de revisión</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quince de mayo de dos mil veintitrés</w:t>
      </w:r>
      <w:r>
        <w:rPr>
          <w:rFonts w:ascii="Palatino Linotype" w:eastAsia="Palatino Linotype" w:hAnsi="Palatino Linotype" w:cs="Palatino Linotype"/>
          <w:color w:val="000000"/>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7D949BF" w14:textId="77777777" w:rsidR="00D349AB" w:rsidRDefault="00D349A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5EEE6ED" w14:textId="77777777" w:rsidR="00D349AB" w:rsidRDefault="005A1261">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4"/>
          <w:szCs w:val="24"/>
        </w:rPr>
        <w:t xml:space="preserve">Informe Justificado. </w:t>
      </w: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veinticuatro de mayo de dos mil veintitrés</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remitió su informe justificado, a través del archivo electrónico denominado “</w:t>
      </w:r>
      <w:r>
        <w:rPr>
          <w:rFonts w:ascii="Palatino Linotype" w:eastAsia="Palatino Linotype" w:hAnsi="Palatino Linotype" w:cs="Palatino Linotype"/>
          <w:b/>
          <w:i/>
          <w:color w:val="000000"/>
          <w:sz w:val="24"/>
          <w:szCs w:val="24"/>
        </w:rPr>
        <w:t>RR2564</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i/>
          <w:color w:val="000000"/>
        </w:rPr>
        <w:t>pdf</w:t>
      </w:r>
      <w:r>
        <w:rPr>
          <w:rFonts w:ascii="Palatino Linotype" w:eastAsia="Palatino Linotype" w:hAnsi="Palatino Linotype" w:cs="Palatino Linotype"/>
          <w:color w:val="000000"/>
          <w:sz w:val="24"/>
          <w:szCs w:val="24"/>
        </w:rPr>
        <w:t>”, que contiene la siguiente información:</w:t>
      </w:r>
      <w:r>
        <w:rPr>
          <w:rFonts w:ascii="Palatino Linotype" w:eastAsia="Palatino Linotype" w:hAnsi="Palatino Linotype" w:cs="Palatino Linotype"/>
          <w:color w:val="000000"/>
          <w:sz w:val="28"/>
          <w:szCs w:val="28"/>
        </w:rPr>
        <w:t xml:space="preserve"> </w:t>
      </w:r>
    </w:p>
    <w:p w14:paraId="591DD0F6" w14:textId="77777777" w:rsidR="00D349AB" w:rsidRDefault="00D349AB">
      <w:pPr>
        <w:pBdr>
          <w:top w:val="nil"/>
          <w:left w:val="nil"/>
          <w:bottom w:val="nil"/>
          <w:right w:val="nil"/>
          <w:between w:val="nil"/>
        </w:pBdr>
        <w:spacing w:after="0" w:line="360" w:lineRule="auto"/>
        <w:ind w:left="720"/>
        <w:rPr>
          <w:rFonts w:ascii="Palatino Linotype" w:eastAsia="Palatino Linotype" w:hAnsi="Palatino Linotype" w:cs="Palatino Linotype"/>
          <w:color w:val="000000"/>
        </w:rPr>
      </w:pPr>
    </w:p>
    <w:p w14:paraId="67E6566A" w14:textId="77777777" w:rsidR="00D349AB" w:rsidRDefault="005A1261">
      <w:pPr>
        <w:numPr>
          <w:ilvl w:val="0"/>
          <w:numId w:val="9"/>
        </w:numPr>
        <w:pBdr>
          <w:top w:val="nil"/>
          <w:left w:val="nil"/>
          <w:bottom w:val="nil"/>
          <w:right w:val="nil"/>
          <w:between w:val="nil"/>
        </w:pBdr>
        <w:spacing w:after="0" w:line="276"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Oficio número 2010A4000/UT/RR/0337/2023, del veinticuatro de mayo de dos mil veintitrés, a través del cual el Titular de la Unidad de Transparencia rinde informe justificado dentro del medio de impugnación que nos ocupa, en el que sustancialmente ratifica la respuesta inicial, ya que a su consideración la solicitud de información fue atendida, ya que la misma se turnó al Servidor Público Habilitado Competente, indicando que aún y cuando no está obligado a generar documentos ad hoc dio respuesta a los planteamientos para satisfacer la misma y que con relación al acto impugnado, insiste en que se entregó la información requerida.</w:t>
      </w:r>
    </w:p>
    <w:p w14:paraId="0A8E13AD" w14:textId="77777777" w:rsidR="00D349AB" w:rsidRDefault="00D349AB">
      <w:pPr>
        <w:pBdr>
          <w:top w:val="nil"/>
          <w:left w:val="nil"/>
          <w:bottom w:val="nil"/>
          <w:right w:val="nil"/>
          <w:between w:val="nil"/>
        </w:pBdr>
        <w:spacing w:after="0" w:line="276" w:lineRule="auto"/>
        <w:ind w:right="49"/>
        <w:jc w:val="both"/>
        <w:rPr>
          <w:rFonts w:ascii="Palatino Linotype" w:eastAsia="Palatino Linotype" w:hAnsi="Palatino Linotype" w:cs="Palatino Linotype"/>
          <w:b/>
          <w:color w:val="000000"/>
        </w:rPr>
      </w:pPr>
    </w:p>
    <w:p w14:paraId="07958E4C" w14:textId="77777777" w:rsidR="00D349AB" w:rsidRDefault="005A126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Documento el anterior, que se hizo del conocimiento de la parte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treinta de octubre de dos mil veintitrés</w:t>
      </w:r>
      <w:r>
        <w:rPr>
          <w:rFonts w:ascii="Palatino Linotype" w:eastAsia="Palatino Linotype" w:hAnsi="Palatino Linotype" w:cs="Palatino Linotype"/>
          <w:color w:val="000000"/>
          <w:sz w:val="24"/>
          <w:szCs w:val="24"/>
        </w:rPr>
        <w:t xml:space="preserve">, a efecto de que manifestara lo que a su derecho resultara conveniente; sin embargo, fue omisa en ejercer dicha prerrogativa. </w:t>
      </w:r>
    </w:p>
    <w:p w14:paraId="0F80A0CD" w14:textId="77777777" w:rsidR="00D349AB" w:rsidRDefault="00D349AB">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rPr>
      </w:pPr>
    </w:p>
    <w:p w14:paraId="54A58BDF" w14:textId="77777777" w:rsidR="00D349AB" w:rsidRDefault="005A1261">
      <w:pPr>
        <w:numPr>
          <w:ilvl w:val="0"/>
          <w:numId w:val="4"/>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Ampliación de plazo:</w:t>
      </w:r>
      <w:r>
        <w:rPr>
          <w:rFonts w:ascii="Palatino Linotype" w:eastAsia="Palatino Linotype" w:hAnsi="Palatino Linotype" w:cs="Palatino Linotype"/>
          <w:color w:val="000000"/>
          <w:sz w:val="24"/>
          <w:szCs w:val="24"/>
        </w:rPr>
        <w:t xml:space="preserve"> El</w:t>
      </w:r>
      <w:r>
        <w:rPr>
          <w:rFonts w:ascii="Palatino Linotype" w:eastAsia="Palatino Linotype" w:hAnsi="Palatino Linotype" w:cs="Palatino Linotype"/>
          <w:b/>
          <w:color w:val="000000"/>
          <w:sz w:val="24"/>
          <w:szCs w:val="24"/>
        </w:rPr>
        <w:t xml:space="preserve"> treinta de octubre de dos mil veintitrés</w:t>
      </w:r>
      <w:r>
        <w:rPr>
          <w:rFonts w:ascii="Palatino Linotype" w:eastAsia="Palatino Linotype" w:hAnsi="Palatino Linotype" w:cs="Palatino Linotype"/>
          <w:color w:val="000000"/>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DF3DB13"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3F286BC7"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w:t>
      </w:r>
      <w:r>
        <w:rPr>
          <w:rFonts w:ascii="Palatino Linotype" w:eastAsia="Palatino Linotype" w:hAnsi="Palatino Linotype" w:cs="Palatino Linotype"/>
          <w:sz w:val="24"/>
          <w:szCs w:val="24"/>
        </w:rPr>
        <w:lastRenderedPageBreak/>
        <w:t>recibidos el año dos mil veintiuno, se incrementó aproximadamente un 300%, circunstancia atípica que ha rebasado las capacidades técnicas y humanas del personal encargado de la proyección de las resoluciones a dichos medios de impugnación.</w:t>
      </w:r>
    </w:p>
    <w:p w14:paraId="0CBB7F26"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10097DB8"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728B610"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4FDD62D2"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24F86A"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545AEA73"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EE12601"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5E7BC13D"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CB128EF"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437C489E" w14:textId="77777777" w:rsidR="00D349AB" w:rsidRDefault="005A1261">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sz w:val="24"/>
          <w:szCs w:val="24"/>
        </w:rPr>
        <w:t>a</w:t>
      </w:r>
      <w:r>
        <w:rPr>
          <w:rFonts w:ascii="Palatino Linotype" w:eastAsia="Palatino Linotype" w:hAnsi="Palatino Linotype" w:cs="Palatino Linotype"/>
          <w:b/>
        </w:rPr>
        <w:t>)    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1FAAF8A" w14:textId="77777777" w:rsidR="00D349AB" w:rsidRDefault="005A1261">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b)   Actividad Procesal del interesado</w:t>
      </w:r>
      <w:r>
        <w:rPr>
          <w:rFonts w:ascii="Palatino Linotype" w:eastAsia="Palatino Linotype" w:hAnsi="Palatino Linotype" w:cs="Palatino Linotype"/>
        </w:rPr>
        <w:t>: Acciones u omisiones del interesado.</w:t>
      </w:r>
    </w:p>
    <w:p w14:paraId="592D0850" w14:textId="77777777" w:rsidR="00D349AB" w:rsidRDefault="005A1261">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c)  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2FA4D455" w14:textId="77777777" w:rsidR="00D349AB" w:rsidRDefault="005A1261">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14:paraId="6172909A" w14:textId="77777777" w:rsidR="00D349AB" w:rsidRDefault="00D349AB">
      <w:pPr>
        <w:tabs>
          <w:tab w:val="left" w:pos="851"/>
        </w:tabs>
        <w:spacing w:after="0" w:line="360" w:lineRule="auto"/>
        <w:ind w:left="567" w:right="560"/>
        <w:jc w:val="both"/>
        <w:rPr>
          <w:rFonts w:ascii="Palatino Linotype" w:eastAsia="Palatino Linotype" w:hAnsi="Palatino Linotype" w:cs="Palatino Linotype"/>
        </w:rPr>
      </w:pPr>
    </w:p>
    <w:p w14:paraId="032247FB"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30081A"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2EB3B5D3"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3F532B1B"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74A98146"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D14BCC"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6955A434"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5894997"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4ED8F282" w14:textId="77777777" w:rsidR="00D349AB" w:rsidRDefault="005A1261">
      <w:pPr>
        <w:spacing w:after="0" w:line="276"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 xml:space="preserve"> “PLAZO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73DC3818" w14:textId="77777777" w:rsidR="00D349AB" w:rsidRDefault="005A1261">
      <w:pPr>
        <w:spacing w:after="0" w:line="276"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6260ECE0" w14:textId="77777777" w:rsidR="00D349AB" w:rsidRDefault="005A1261">
      <w:pPr>
        <w:spacing w:after="0" w:line="276"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“PLAZO RAZONABLE PARA RESOLVER. CONCEPTO Y ELEMENTOS QUE LO INTEGRAN A LA LUZ DEL DERECHO INTERNACIONAL DE LOS DERECHOS HUMANOS.”,</w:t>
      </w:r>
      <w:r>
        <w:rPr>
          <w:rFonts w:ascii="Palatino Linotype" w:eastAsia="Palatino Linotype" w:hAnsi="Palatino Linotype" w:cs="Palatino Linotype"/>
        </w:rPr>
        <w:t xml:space="preserve"> visible en el Seminario Judicial de la Federación y su gaceta, con el registro digital 2002350.</w:t>
      </w:r>
    </w:p>
    <w:p w14:paraId="3B6C2677" w14:textId="77777777" w:rsidR="00D349AB" w:rsidRDefault="00D349A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3F0C7BF2" w14:textId="77777777" w:rsidR="00D349AB" w:rsidRDefault="005A126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Por ello, este organismo garante comprometido con la tutela de los derechos humanos confiados señala que este exceso del plazo legal para resolver el presente asunto resulta de carácter excepcional.</w:t>
      </w:r>
    </w:p>
    <w:p w14:paraId="5CFBCF26" w14:textId="77777777" w:rsidR="00D349AB" w:rsidRDefault="00D349A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346D5A6" w14:textId="77777777" w:rsidR="00D349AB" w:rsidRDefault="005A1261">
      <w:pPr>
        <w:numPr>
          <w:ilvl w:val="0"/>
          <w:numId w:val="4"/>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Cierre de instrucción</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seis de noviembre de dos mil veintitrés</w:t>
      </w:r>
      <w:r>
        <w:rPr>
          <w:rFonts w:ascii="Palatino Linotype" w:eastAsia="Palatino Linotype" w:hAnsi="Palatino Linotype" w:cs="Palatino Linotype"/>
          <w:color w:val="000000"/>
          <w:sz w:val="24"/>
          <w:szCs w:val="24"/>
        </w:rPr>
        <w:t>, la Comisionada Ponente determinó el cierre de instrucción en términos de la fracción VI del artículo 185 de la Ley de Transparencia y Acceso a la Información Pública del Estado de México y Municipios.</w:t>
      </w:r>
    </w:p>
    <w:p w14:paraId="0F7F09EA" w14:textId="77777777" w:rsidR="00D349AB" w:rsidRDefault="00D349A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7AC09DC"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3E030B13" w14:textId="77777777" w:rsidR="00D349AB" w:rsidRDefault="00D349A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5CC9CB0" w14:textId="77777777" w:rsidR="00D349AB" w:rsidRDefault="005A1261">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II.</w:t>
      </w:r>
      <w:r>
        <w:rPr>
          <w:rFonts w:ascii="Palatino Linotype" w:eastAsia="Palatino Linotype" w:hAnsi="Palatino Linotype" w:cs="Palatino Linotype"/>
          <w:b/>
          <w:sz w:val="24"/>
          <w:szCs w:val="24"/>
        </w:rPr>
        <w:tab/>
        <w:t>C O N S I D E R A N D O:</w:t>
      </w:r>
    </w:p>
    <w:p w14:paraId="65A3DC09"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5A3D25C7"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w:t>
      </w:r>
      <w:r>
        <w:rPr>
          <w:rFonts w:ascii="Palatino Linotype" w:eastAsia="Palatino Linotype" w:hAnsi="Palatino Linotype" w:cs="Palatino Linotype"/>
          <w:sz w:val="24"/>
          <w:szCs w:val="24"/>
        </w:rPr>
        <w:lastRenderedPageBreak/>
        <w:t>del Instituto de Transparencia, Acceso a la Información Pública y Protección de Datos Personales del Estado de México y Municipios.</w:t>
      </w:r>
    </w:p>
    <w:p w14:paraId="76DF1B55"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68287620"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3489957" w14:textId="77777777" w:rsidR="00D349AB" w:rsidRDefault="00D349AB">
      <w:pPr>
        <w:spacing w:after="0" w:line="360" w:lineRule="auto"/>
        <w:jc w:val="both"/>
        <w:rPr>
          <w:rFonts w:ascii="Palatino Linotype" w:eastAsia="Palatino Linotype" w:hAnsi="Palatino Linotype" w:cs="Palatino Linotype"/>
        </w:rPr>
      </w:pPr>
    </w:p>
    <w:p w14:paraId="432F9824" w14:textId="77777777" w:rsidR="00D349AB" w:rsidRDefault="005A1261">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remitió su respuesta en fecha </w:t>
      </w:r>
      <w:r>
        <w:rPr>
          <w:rFonts w:ascii="Palatino Linotype" w:eastAsia="Palatino Linotype" w:hAnsi="Palatino Linotype" w:cs="Palatino Linotype"/>
          <w:b/>
          <w:sz w:val="24"/>
          <w:szCs w:val="24"/>
        </w:rPr>
        <w:t>veinticinco de abril de dos mil veintitrés</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w:t>
      </w:r>
      <w:r>
        <w:rPr>
          <w:rFonts w:ascii="Palatino Linotype" w:eastAsia="Palatino Linotype" w:hAnsi="Palatino Linotype" w:cs="Palatino Linotype"/>
          <w:b/>
          <w:sz w:val="24"/>
          <w:szCs w:val="24"/>
        </w:rPr>
        <w:t>diez de mayo de dos mil veintitrés</w:t>
      </w:r>
      <w:r>
        <w:rPr>
          <w:rFonts w:ascii="Palatino Linotype" w:eastAsia="Palatino Linotype" w:hAnsi="Palatino Linotype" w:cs="Palatino Linotype"/>
          <w:sz w:val="24"/>
          <w:szCs w:val="24"/>
        </w:rPr>
        <w:t>, esto es al noveno día hábil siguiente a la fecha en que se tuvo conocimiento de la respuesta; por lo que, se concluye que el presente recurso de revisión se encuentra dentro de los márgenes temporales previstos en las disposiciones legales referidas.</w:t>
      </w:r>
    </w:p>
    <w:p w14:paraId="13EC6889" w14:textId="77777777" w:rsidR="00D349AB" w:rsidRDefault="00D349AB">
      <w:pPr>
        <w:spacing w:after="0" w:line="360" w:lineRule="auto"/>
        <w:jc w:val="both"/>
        <w:rPr>
          <w:rFonts w:ascii="Palatino Linotype" w:eastAsia="Palatino Linotype" w:hAnsi="Palatino Linotype" w:cs="Palatino Linotype"/>
          <w:color w:val="000000"/>
          <w:sz w:val="24"/>
          <w:szCs w:val="24"/>
        </w:rPr>
      </w:pPr>
    </w:p>
    <w:p w14:paraId="6F72FFDF" w14:textId="77777777" w:rsidR="00D349AB" w:rsidRDefault="005A126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Pr>
          <w:rFonts w:ascii="Palatino Linotype" w:eastAsia="Palatino Linotype" w:hAnsi="Palatino Linotype" w:cs="Palatino Linotype"/>
          <w:sz w:val="24"/>
          <w:szCs w:val="24"/>
        </w:rPr>
        <w:lastRenderedPageBreak/>
        <w:t xml:space="preserve">Municipios, en atención a que fue presentado mediante el formato visible en el </w:t>
      </w:r>
      <w:r>
        <w:rPr>
          <w:rFonts w:ascii="Palatino Linotype" w:eastAsia="Palatino Linotype" w:hAnsi="Palatino Linotype" w:cs="Palatino Linotype"/>
          <w:b/>
          <w:sz w:val="24"/>
          <w:szCs w:val="24"/>
        </w:rPr>
        <w:t>SAIMEX.</w:t>
      </w:r>
    </w:p>
    <w:p w14:paraId="29CEFF61" w14:textId="77777777" w:rsidR="00D349AB" w:rsidRDefault="00D349AB">
      <w:pPr>
        <w:spacing w:after="0" w:line="360" w:lineRule="auto"/>
        <w:jc w:val="both"/>
        <w:rPr>
          <w:rFonts w:ascii="Palatino Linotype" w:eastAsia="Palatino Linotype" w:hAnsi="Palatino Linotype" w:cs="Palatino Linotype"/>
          <w:b/>
          <w:sz w:val="24"/>
          <w:szCs w:val="24"/>
        </w:rPr>
      </w:pPr>
    </w:p>
    <w:p w14:paraId="0527FF56" w14:textId="77777777" w:rsidR="00D349AB" w:rsidRDefault="005A1261">
      <w:pPr>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sz w:val="24"/>
          <w:szCs w:val="24"/>
        </w:rPr>
        <w:t>Por otro lado, es de suma importancia mencionar que, si bien la parte</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xml:space="preserve"> no proporcionó; </w:t>
      </w:r>
      <w:r>
        <w:rPr>
          <w:rFonts w:ascii="Palatino Linotype" w:eastAsia="Palatino Linotype" w:hAnsi="Palatino Linotype" w:cs="Palatino Linotype"/>
          <w:color w:val="222222"/>
          <w:sz w:val="24"/>
          <w:szCs w:val="24"/>
        </w:rPr>
        <w:t>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7B4A93" w14:textId="77777777" w:rsidR="00D349AB" w:rsidRDefault="00D349AB">
      <w:pPr>
        <w:spacing w:after="0" w:line="360" w:lineRule="auto"/>
        <w:jc w:val="both"/>
        <w:rPr>
          <w:rFonts w:ascii="Palatino Linotype" w:eastAsia="Palatino Linotype" w:hAnsi="Palatino Linotype" w:cs="Palatino Linotype"/>
          <w:color w:val="222222"/>
          <w:sz w:val="24"/>
          <w:szCs w:val="24"/>
        </w:rPr>
      </w:pPr>
    </w:p>
    <w:p w14:paraId="16E8DC6C" w14:textId="77777777" w:rsidR="00D349AB" w:rsidRPr="005A1261" w:rsidRDefault="005A1261">
      <w:pPr>
        <w:spacing w:after="0" w:line="276" w:lineRule="auto"/>
        <w:ind w:left="851" w:right="902"/>
        <w:jc w:val="both"/>
        <w:rPr>
          <w:rFonts w:ascii="Palatino Linotype" w:eastAsia="Palatino Linotype" w:hAnsi="Palatino Linotype" w:cs="Palatino Linotype"/>
          <w:b/>
          <w:color w:val="222222"/>
        </w:rPr>
      </w:pPr>
      <w:r w:rsidRPr="005A1261">
        <w:rPr>
          <w:rFonts w:ascii="Palatino Linotype" w:eastAsia="Palatino Linotype" w:hAnsi="Palatino Linotype" w:cs="Palatino Linotype"/>
          <w:b/>
          <w:i/>
          <w:color w:val="2222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E5CC7BD" w14:textId="77777777" w:rsidR="00D349AB" w:rsidRDefault="00D349AB">
      <w:pPr>
        <w:spacing w:after="0" w:line="360" w:lineRule="auto"/>
        <w:jc w:val="both"/>
        <w:rPr>
          <w:rFonts w:ascii="Palatino Linotype" w:eastAsia="Palatino Linotype" w:hAnsi="Palatino Linotype" w:cs="Palatino Linotype"/>
          <w:b/>
          <w:sz w:val="24"/>
          <w:szCs w:val="24"/>
        </w:rPr>
      </w:pPr>
    </w:p>
    <w:p w14:paraId="486799D1"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apartado de acto impugnado, de acuerdo con el artículo 179, fracción </w:t>
      </w:r>
      <w:r>
        <w:rPr>
          <w:rFonts w:ascii="Palatino Linotype" w:eastAsia="Palatino Linotype" w:hAnsi="Palatino Linotype" w:cs="Palatino Linotype"/>
          <w:b/>
          <w:sz w:val="24"/>
          <w:szCs w:val="24"/>
        </w:rPr>
        <w:t>V</w:t>
      </w:r>
      <w:r>
        <w:rPr>
          <w:rFonts w:ascii="Palatino Linotype" w:eastAsia="Palatino Linotype" w:hAnsi="Palatino Linotype" w:cs="Palatino Linotype"/>
          <w:sz w:val="24"/>
          <w:szCs w:val="24"/>
        </w:rPr>
        <w:t xml:space="preserve"> del ordenamiento legal citado, que a la letra dice: </w:t>
      </w:r>
    </w:p>
    <w:p w14:paraId="4984C004" w14:textId="77777777" w:rsidR="00D349AB" w:rsidRDefault="00D349AB">
      <w:pPr>
        <w:spacing w:after="0" w:line="360" w:lineRule="auto"/>
        <w:jc w:val="both"/>
        <w:rPr>
          <w:rFonts w:ascii="Palatino Linotype" w:eastAsia="Palatino Linotype" w:hAnsi="Palatino Linotype" w:cs="Palatino Linotype"/>
        </w:rPr>
      </w:pPr>
    </w:p>
    <w:p w14:paraId="04C7322C" w14:textId="77777777" w:rsidR="00D349AB" w:rsidRDefault="005A1261">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8DC77DB" w14:textId="77777777" w:rsidR="00D349AB" w:rsidRDefault="005A1261">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CEEFD66" w14:textId="77777777" w:rsidR="00D349AB" w:rsidRDefault="005A126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V. La entrega de información incompleta;</w:t>
      </w:r>
    </w:p>
    <w:p w14:paraId="277C2106" w14:textId="77777777" w:rsidR="00D349AB" w:rsidRDefault="005A126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Pr>
          <w:rFonts w:ascii="Palatino Linotype" w:eastAsia="Palatino Linotype" w:hAnsi="Palatino Linotype" w:cs="Palatino Linotype"/>
          <w:i/>
        </w:rPr>
        <w:t>”</w:t>
      </w:r>
    </w:p>
    <w:p w14:paraId="600BBD77" w14:textId="77777777" w:rsidR="00D349AB" w:rsidRDefault="00D349A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p>
    <w:p w14:paraId="3D7079B6" w14:textId="77777777" w:rsidR="00D349AB" w:rsidRDefault="005A1261">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1EFA2225" w14:textId="77777777" w:rsidR="00D349AB" w:rsidRDefault="00D349AB">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color w:val="000000"/>
          <w:sz w:val="24"/>
          <w:szCs w:val="24"/>
        </w:rPr>
      </w:pPr>
    </w:p>
    <w:p w14:paraId="7CFCB5E9" w14:textId="77777777" w:rsidR="00D349AB" w:rsidRDefault="005A126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sz w:val="24"/>
          <w:szCs w:val="24"/>
        </w:rPr>
        <w:t>verificar si la respuesta e informe justificado otorgados por el Sujeto Obligado son adecuados y suficientes para satisfacer el derecho de acceso a la información pública de la parte Recurrente,</w:t>
      </w:r>
      <w:r>
        <w:rPr>
          <w:rFonts w:ascii="Palatino Linotype" w:eastAsia="Palatino Linotype" w:hAnsi="Palatino Linotype" w:cs="Palatino Linotype"/>
          <w:sz w:val="24"/>
          <w:szCs w:val="24"/>
        </w:rPr>
        <w:t xml:space="preserve"> o en su defecto, en caso de ser procedente, ordenar la entrega de información oportuna.</w:t>
      </w:r>
    </w:p>
    <w:p w14:paraId="05DBAEFF" w14:textId="77777777" w:rsidR="00D349AB" w:rsidRDefault="00D349AB">
      <w:pPr>
        <w:spacing w:after="0" w:line="360" w:lineRule="auto"/>
        <w:jc w:val="both"/>
        <w:rPr>
          <w:rFonts w:ascii="Palatino Linotype" w:eastAsia="Palatino Linotype" w:hAnsi="Palatino Linotype" w:cs="Palatino Linotype"/>
          <w:sz w:val="24"/>
          <w:szCs w:val="24"/>
        </w:rPr>
      </w:pPr>
    </w:p>
    <w:p w14:paraId="57D53025" w14:textId="77777777" w:rsidR="00D349AB" w:rsidRDefault="005A12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Cuarto. Estudio del asunto. </w:t>
      </w:r>
      <w:r>
        <w:rPr>
          <w:rFonts w:ascii="Palatino Linotype" w:eastAsia="Palatino Linotype" w:hAnsi="Palatino Linotype" w:cs="Palatino Linotype"/>
          <w:color w:val="000000"/>
          <w:sz w:val="24"/>
          <w:szCs w:val="24"/>
        </w:rPr>
        <w:t xml:space="preserve">Antes de entrar al análisis de los pronunciamientos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8A4EE88" w14:textId="77777777" w:rsidR="00D349AB" w:rsidRDefault="00D349AB">
      <w:pPr>
        <w:pBdr>
          <w:top w:val="nil"/>
          <w:left w:val="nil"/>
          <w:bottom w:val="nil"/>
          <w:right w:val="nil"/>
          <w:between w:val="nil"/>
        </w:pBdr>
        <w:spacing w:after="0" w:line="360" w:lineRule="auto"/>
        <w:jc w:val="both"/>
        <w:rPr>
          <w:color w:val="000000"/>
        </w:rPr>
      </w:pPr>
    </w:p>
    <w:p w14:paraId="5A5FB13E" w14:textId="77777777" w:rsidR="00D349AB" w:rsidRDefault="005A1261">
      <w:pPr>
        <w:pBdr>
          <w:top w:val="nil"/>
          <w:left w:val="nil"/>
          <w:bottom w:val="nil"/>
          <w:right w:val="nil"/>
          <w:between w:val="nil"/>
        </w:pBdr>
        <w:spacing w:after="0" w:line="276" w:lineRule="auto"/>
        <w:ind w:left="851" w:right="850"/>
        <w:jc w:val="both"/>
        <w:rPr>
          <w:color w:val="000000"/>
        </w:rPr>
      </w:pPr>
      <w:r>
        <w:rPr>
          <w:rFonts w:ascii="Palatino Linotype" w:eastAsia="Palatino Linotype" w:hAnsi="Palatino Linotype" w:cs="Palatino Linotype"/>
          <w:b/>
          <w:i/>
          <w:color w:val="000000"/>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rPr>
        <w:t>, así como de las garantías para su protección, cuyo ejercicio no podrá restringirse ni suspenderse, salvo en los casos y bajo las condiciones que esta Constitución establece.</w:t>
      </w:r>
    </w:p>
    <w:p w14:paraId="241F8F90" w14:textId="77777777" w:rsidR="00D349AB" w:rsidRDefault="005A1261">
      <w:pPr>
        <w:pBdr>
          <w:top w:val="nil"/>
          <w:left w:val="nil"/>
          <w:bottom w:val="nil"/>
          <w:right w:val="nil"/>
          <w:between w:val="nil"/>
        </w:pBdr>
        <w:spacing w:after="0" w:line="276" w:lineRule="auto"/>
        <w:ind w:left="851" w:right="850"/>
        <w:jc w:val="both"/>
        <w:rPr>
          <w:color w:val="000000"/>
        </w:rPr>
      </w:pPr>
      <w:r>
        <w:rPr>
          <w:rFonts w:ascii="Palatino Linotype" w:eastAsia="Palatino Linotype" w:hAnsi="Palatino Linotype" w:cs="Palatino Linotype"/>
          <w:b/>
          <w:i/>
          <w:color w:val="000000"/>
        </w:rPr>
        <w:t>Las normas relativas a los derechos humanos se interpretarán de conformidad con esta Constitución y con los tratados internacionales de la materia favoreciendo en todo tiempo a las personas la protección más amplia.</w:t>
      </w:r>
    </w:p>
    <w:p w14:paraId="69D33A56" w14:textId="77777777" w:rsidR="00D349AB" w:rsidRDefault="005A1261">
      <w:pPr>
        <w:pBdr>
          <w:top w:val="nil"/>
          <w:left w:val="nil"/>
          <w:bottom w:val="nil"/>
          <w:right w:val="nil"/>
          <w:between w:val="nil"/>
        </w:pBdr>
        <w:spacing w:after="0" w:line="276" w:lineRule="auto"/>
        <w:ind w:left="851" w:right="850"/>
        <w:jc w:val="both"/>
        <w:rPr>
          <w:color w:val="000000"/>
        </w:rPr>
      </w:pPr>
      <w:r>
        <w:rPr>
          <w:rFonts w:ascii="Palatino Linotype" w:eastAsia="Palatino Linotype" w:hAnsi="Palatino Linotype" w:cs="Palatino Linotype"/>
          <w:b/>
          <w:i/>
          <w:color w:val="000000"/>
          <w:u w:val="single"/>
        </w:rPr>
        <w:t xml:space="preserve">Todas las autoridades, en el ámbito de sus competencias, tienen la obligación de promover, respetar, proteger y garantizar los derechos </w:t>
      </w:r>
      <w:r>
        <w:rPr>
          <w:rFonts w:ascii="Palatino Linotype" w:eastAsia="Palatino Linotype" w:hAnsi="Palatino Linotype" w:cs="Palatino Linotype"/>
          <w:b/>
          <w:i/>
          <w:color w:val="000000"/>
          <w:u w:val="single"/>
        </w:rPr>
        <w:lastRenderedPageBreak/>
        <w:t>humanos de conformidad con los principios de universalidad, interdependencia, indivisibilidad y progresividad.</w:t>
      </w:r>
      <w:r>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14:paraId="6771E9D4" w14:textId="77777777" w:rsidR="00D349AB" w:rsidRDefault="005A1261">
      <w:pPr>
        <w:pBdr>
          <w:top w:val="nil"/>
          <w:left w:val="nil"/>
          <w:bottom w:val="nil"/>
          <w:right w:val="nil"/>
          <w:between w:val="nil"/>
        </w:pBdr>
        <w:spacing w:after="0" w:line="276" w:lineRule="auto"/>
        <w:ind w:left="851" w:right="850"/>
        <w:jc w:val="both"/>
        <w:rPr>
          <w:color w:val="000000"/>
        </w:rPr>
      </w:pPr>
      <w:r>
        <w:rPr>
          <w:rFonts w:ascii="Palatino Linotype" w:eastAsia="Palatino Linotype" w:hAnsi="Palatino Linotype" w:cs="Palatino Linotype"/>
          <w:i/>
          <w:color w:val="000000"/>
        </w:rPr>
        <w:t>[…]</w:t>
      </w:r>
    </w:p>
    <w:p w14:paraId="18245C22" w14:textId="77777777" w:rsidR="00D349AB" w:rsidRDefault="005A1261">
      <w:pPr>
        <w:pBdr>
          <w:top w:val="nil"/>
          <w:left w:val="nil"/>
          <w:bottom w:val="nil"/>
          <w:right w:val="nil"/>
          <w:between w:val="nil"/>
        </w:pBdr>
        <w:spacing w:after="0" w:line="276" w:lineRule="auto"/>
        <w:ind w:left="851" w:right="901"/>
        <w:jc w:val="both"/>
        <w:rPr>
          <w:color w:val="000000"/>
        </w:rPr>
      </w:pPr>
      <w:r>
        <w:rPr>
          <w:rFonts w:ascii="Palatino Linotype" w:eastAsia="Palatino Linotype" w:hAnsi="Palatino Linotype" w:cs="Palatino Linotype"/>
          <w:b/>
          <w:i/>
          <w:color w:val="000000"/>
        </w:rPr>
        <w:t>“Artículo 6o.</w:t>
      </w:r>
    </w:p>
    <w:p w14:paraId="45EF5054" w14:textId="77777777" w:rsidR="00D349AB" w:rsidRDefault="005A1261">
      <w:pPr>
        <w:pBdr>
          <w:top w:val="nil"/>
          <w:left w:val="nil"/>
          <w:bottom w:val="nil"/>
          <w:right w:val="nil"/>
          <w:between w:val="nil"/>
        </w:pBdr>
        <w:spacing w:after="0" w:line="276" w:lineRule="auto"/>
        <w:ind w:left="851" w:right="901"/>
        <w:jc w:val="both"/>
        <w:rPr>
          <w:color w:val="000000"/>
        </w:rPr>
      </w:pPr>
      <w:r>
        <w:rPr>
          <w:rFonts w:ascii="Palatino Linotype" w:eastAsia="Palatino Linotype" w:hAnsi="Palatino Linotype" w:cs="Palatino Linotype"/>
          <w:i/>
          <w:color w:val="000000"/>
        </w:rPr>
        <w:t>[...]</w:t>
      </w:r>
    </w:p>
    <w:p w14:paraId="08E98767" w14:textId="77777777" w:rsidR="00D349AB" w:rsidRDefault="005A1261">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b/>
          <w:i/>
          <w:color w:val="000000"/>
        </w:rPr>
        <w:t xml:space="preserve">A. Para el ejercicio del derecho de acceso a la información, la Federación y </w:t>
      </w:r>
      <w:r>
        <w:rPr>
          <w:rFonts w:ascii="Palatino Linotype" w:eastAsia="Palatino Linotype" w:hAnsi="Palatino Linotype" w:cs="Palatino Linotype"/>
          <w:b/>
          <w:i/>
          <w:color w:val="000000"/>
          <w:u w:val="single"/>
        </w:rPr>
        <w:t>las entidades federativas</w:t>
      </w: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xml:space="preserve"> en el ámbito de sus respectivas competencias, se regirán por los siguientes principios y bases:</w:t>
      </w:r>
    </w:p>
    <w:p w14:paraId="01FC2894" w14:textId="77777777" w:rsidR="00D349AB" w:rsidRDefault="005A1261">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I. </w:t>
      </w:r>
      <w:r>
        <w:rPr>
          <w:rFonts w:ascii="Palatino Linotype" w:eastAsia="Palatino Linotype" w:hAnsi="Palatino Linotype" w:cs="Palatino Linotype"/>
          <w:b/>
          <w:i/>
          <w:color w:val="000000"/>
          <w:u w:val="single"/>
        </w:rPr>
        <w:t>Toda la información en posesión de cualquier autoridad, entidad, órgano y organismo de los Poderes</w:t>
      </w:r>
      <w:r>
        <w:rPr>
          <w:rFonts w:ascii="Palatino Linotype" w:eastAsia="Palatino Linotype" w:hAnsi="Palatino Linotype" w:cs="Palatino Linotype"/>
          <w:i/>
          <w:color w:val="000000"/>
        </w:rPr>
        <w:t xml:space="preserve"> Ejecutivo, Legislativo </w:t>
      </w:r>
      <w:r>
        <w:rPr>
          <w:rFonts w:ascii="Palatino Linotype" w:eastAsia="Palatino Linotype" w:hAnsi="Palatino Linotype" w:cs="Palatino Linotype"/>
          <w:b/>
          <w:i/>
          <w:color w:val="000000"/>
          <w:u w:val="single"/>
        </w:rPr>
        <w:t>y Judicial</w:t>
      </w:r>
      <w:r>
        <w:rPr>
          <w:rFonts w:ascii="Palatino Linotype" w:eastAsia="Palatino Linotype" w:hAnsi="Palatino Linotype" w:cs="Palatino Linotype"/>
          <w:i/>
          <w:color w:val="000000"/>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rPr>
        <w:t>es pública y sólo podrá ser reservada temporalmente por razones de interés público y seguridad nacional,</w:t>
      </w:r>
      <w:r>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AD650C" w14:textId="77777777" w:rsidR="00D349AB" w:rsidRDefault="005A1261">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II. La información que se refiere a la vida privada y los datos personales será protegida en los términos y con las excepciones que fijen las leyes.</w:t>
      </w:r>
    </w:p>
    <w:p w14:paraId="340A4871" w14:textId="77777777" w:rsidR="00D349AB" w:rsidRDefault="005A1261">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III. </w:t>
      </w:r>
      <w:r>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rPr>
        <w:t xml:space="preserve"> a sus datos personales o a la rectificación de éstos.</w:t>
      </w:r>
    </w:p>
    <w:p w14:paraId="0989E1AF" w14:textId="77777777" w:rsidR="00D349AB" w:rsidRDefault="005A1261">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IV. </w:t>
      </w:r>
      <w:r>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14:paraId="09A3A6C2" w14:textId="77777777" w:rsidR="00D349AB" w:rsidRDefault="005A1261">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b/>
          <w:i/>
          <w:color w:val="000000"/>
        </w:rPr>
        <w:t xml:space="preserve">V. </w:t>
      </w:r>
      <w:r>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6410C15" w14:textId="77777777" w:rsidR="00D349AB" w:rsidRDefault="005A1261">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lastRenderedPageBreak/>
        <w:t> </w:t>
      </w:r>
      <w:r>
        <w:rPr>
          <w:rFonts w:ascii="Palatino Linotype" w:eastAsia="Palatino Linotype" w:hAnsi="Palatino Linotype" w:cs="Palatino Linotype"/>
          <w:b/>
          <w:i/>
          <w:color w:val="000000"/>
        </w:rPr>
        <w:t xml:space="preserve">VI. </w:t>
      </w:r>
      <w:r>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687976E4" w14:textId="77777777" w:rsidR="00D349AB" w:rsidRDefault="005A1261">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VII. </w:t>
      </w:r>
      <w:r>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14:paraId="16D2ECEF" w14:textId="77777777" w:rsidR="00D349AB" w:rsidRDefault="00D349AB">
      <w:pPr>
        <w:pBdr>
          <w:top w:val="nil"/>
          <w:left w:val="nil"/>
          <w:bottom w:val="nil"/>
          <w:right w:val="nil"/>
          <w:between w:val="nil"/>
        </w:pBdr>
        <w:spacing w:after="0" w:line="276" w:lineRule="auto"/>
        <w:ind w:left="851" w:right="851"/>
        <w:jc w:val="both"/>
        <w:rPr>
          <w:color w:val="000000"/>
        </w:rPr>
      </w:pPr>
    </w:p>
    <w:p w14:paraId="34D85A14" w14:textId="77777777" w:rsidR="00D349AB" w:rsidRDefault="005A12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046F27" w14:textId="77777777" w:rsidR="00D349AB" w:rsidRDefault="00D349AB">
      <w:pPr>
        <w:pBdr>
          <w:top w:val="nil"/>
          <w:left w:val="nil"/>
          <w:bottom w:val="nil"/>
          <w:right w:val="nil"/>
          <w:between w:val="nil"/>
        </w:pBdr>
        <w:spacing w:after="0" w:line="360" w:lineRule="auto"/>
        <w:jc w:val="both"/>
        <w:rPr>
          <w:color w:val="000000"/>
          <w:sz w:val="24"/>
          <w:szCs w:val="24"/>
        </w:rPr>
      </w:pPr>
    </w:p>
    <w:p w14:paraId="24292CB9"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AA56AEE" w14:textId="77777777" w:rsidR="00D349AB" w:rsidRDefault="00D349AB">
      <w:pPr>
        <w:spacing w:after="0" w:line="276" w:lineRule="auto"/>
        <w:ind w:left="567" w:right="616"/>
        <w:jc w:val="both"/>
        <w:rPr>
          <w:rFonts w:ascii="Palatino Linotype" w:eastAsia="Palatino Linotype" w:hAnsi="Palatino Linotype" w:cs="Palatino Linotype"/>
          <w:i/>
        </w:rPr>
      </w:pPr>
    </w:p>
    <w:p w14:paraId="17040F5E"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1CE5A00" w14:textId="77777777" w:rsidR="00D349AB" w:rsidRDefault="00D349AB">
      <w:pPr>
        <w:spacing w:after="0" w:line="276" w:lineRule="auto"/>
        <w:ind w:left="567" w:right="616"/>
        <w:jc w:val="both"/>
        <w:rPr>
          <w:rFonts w:ascii="Palatino Linotype" w:eastAsia="Palatino Linotype" w:hAnsi="Palatino Linotype" w:cs="Palatino Linotype"/>
          <w:i/>
        </w:rPr>
      </w:pPr>
    </w:p>
    <w:p w14:paraId="345F651A"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w:t>
      </w:r>
    </w:p>
    <w:p w14:paraId="4AB66BA3" w14:textId="77777777" w:rsidR="00D349AB" w:rsidRDefault="00D349AB">
      <w:pPr>
        <w:spacing w:after="0" w:line="360" w:lineRule="auto"/>
        <w:jc w:val="both"/>
        <w:rPr>
          <w:rFonts w:ascii="Palatino Linotype" w:eastAsia="Palatino Linotype" w:hAnsi="Palatino Linotype" w:cs="Palatino Linotype"/>
        </w:rPr>
      </w:pPr>
    </w:p>
    <w:p w14:paraId="534C3A35"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E61F5F8" w14:textId="77777777" w:rsidR="00D349AB" w:rsidRDefault="00D349AB">
      <w:pPr>
        <w:spacing w:after="0" w:line="360" w:lineRule="auto"/>
        <w:jc w:val="both"/>
        <w:rPr>
          <w:rFonts w:ascii="Palatino Linotype" w:eastAsia="Palatino Linotype" w:hAnsi="Palatino Linotype" w:cs="Palatino Linotype"/>
          <w:sz w:val="24"/>
          <w:szCs w:val="24"/>
        </w:rPr>
      </w:pPr>
    </w:p>
    <w:p w14:paraId="7F260873"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11F306A" w14:textId="77777777" w:rsidR="00D349AB" w:rsidRDefault="00D349AB">
      <w:pPr>
        <w:spacing w:after="0" w:line="276" w:lineRule="auto"/>
        <w:ind w:left="567" w:right="616"/>
        <w:jc w:val="both"/>
        <w:rPr>
          <w:rFonts w:ascii="Palatino Linotype" w:eastAsia="Palatino Linotype" w:hAnsi="Palatino Linotype" w:cs="Palatino Linotype"/>
          <w:i/>
        </w:rPr>
      </w:pPr>
    </w:p>
    <w:p w14:paraId="54915076" w14:textId="77777777" w:rsidR="00D349AB" w:rsidRDefault="005A1261">
      <w:pPr>
        <w:spacing w:after="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65C8A5BE" w14:textId="77777777" w:rsidR="00D349AB" w:rsidRDefault="00D349AB">
      <w:pPr>
        <w:spacing w:after="0" w:line="360" w:lineRule="auto"/>
        <w:ind w:left="567" w:right="616"/>
        <w:jc w:val="both"/>
        <w:rPr>
          <w:rFonts w:ascii="Palatino Linotype" w:eastAsia="Palatino Linotype" w:hAnsi="Palatino Linotype" w:cs="Palatino Linotype"/>
          <w:i/>
          <w:sz w:val="24"/>
          <w:szCs w:val="24"/>
        </w:rPr>
      </w:pPr>
    </w:p>
    <w:p w14:paraId="5D8B52EC" w14:textId="77777777" w:rsidR="00D349AB" w:rsidRDefault="005A1261">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w:t>
      </w:r>
      <w:r>
        <w:rPr>
          <w:rFonts w:ascii="Palatino Linotype" w:eastAsia="Palatino Linotype" w:hAnsi="Palatino Linotype" w:cs="Palatino Linotype"/>
          <w:sz w:val="24"/>
          <w:szCs w:val="24"/>
        </w:rPr>
        <w:lastRenderedPageBreak/>
        <w:t>que tengan en su poder en el estado que se encuentran, sin necesidad de concretarse al interés o términos específicos del solicitante.</w:t>
      </w:r>
    </w:p>
    <w:p w14:paraId="44F90CF6"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2173226B" w14:textId="77777777" w:rsidR="00D349AB" w:rsidRDefault="005A126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sz w:val="24"/>
          <w:szCs w:val="24"/>
        </w:rPr>
        <w:t xml:space="preserve"> </w:t>
      </w:r>
    </w:p>
    <w:p w14:paraId="58FC2FAC" w14:textId="77777777" w:rsidR="00D349AB" w:rsidRDefault="00D349AB">
      <w:pPr>
        <w:spacing w:after="0" w:line="360" w:lineRule="auto"/>
        <w:jc w:val="both"/>
        <w:rPr>
          <w:rFonts w:ascii="Palatino Linotype" w:eastAsia="Palatino Linotype" w:hAnsi="Palatino Linotype" w:cs="Palatino Linotype"/>
          <w:b/>
          <w:sz w:val="24"/>
          <w:szCs w:val="24"/>
        </w:rPr>
      </w:pPr>
    </w:p>
    <w:p w14:paraId="5DBDBA4A"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No existe obligación de elaborar documentos ad hoc para atender las solicitudes de acceso a la información.</w:t>
      </w:r>
      <w:r>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2A09CCC" w14:textId="77777777" w:rsidR="00D349AB" w:rsidRDefault="00D349AB">
      <w:pPr>
        <w:spacing w:after="0" w:line="360" w:lineRule="auto"/>
        <w:ind w:right="-93"/>
        <w:jc w:val="both"/>
        <w:rPr>
          <w:rFonts w:ascii="Palatino Linotype" w:eastAsia="Palatino Linotype" w:hAnsi="Palatino Linotype" w:cs="Palatino Linotype"/>
        </w:rPr>
      </w:pPr>
    </w:p>
    <w:p w14:paraId="76AC17DF"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31CB714" w14:textId="77777777" w:rsidR="00D349AB" w:rsidRDefault="00D349AB">
      <w:pPr>
        <w:spacing w:after="0" w:line="360" w:lineRule="auto"/>
        <w:jc w:val="both"/>
        <w:rPr>
          <w:rFonts w:ascii="Palatino Linotype" w:eastAsia="Palatino Linotype" w:hAnsi="Palatino Linotype" w:cs="Palatino Linotype"/>
        </w:rPr>
      </w:pPr>
    </w:p>
    <w:p w14:paraId="3FA857DA"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w:t>
      </w:r>
      <w:r>
        <w:rPr>
          <w:rFonts w:ascii="Palatino Linotype" w:eastAsia="Palatino Linotype" w:hAnsi="Palatino Linotype" w:cs="Palatino Linotype"/>
          <w:sz w:val="24"/>
          <w:szCs w:val="24"/>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83F1B04"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67FC339B"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154A244" w14:textId="77777777" w:rsidR="00D349AB" w:rsidRDefault="00D349AB">
      <w:pPr>
        <w:spacing w:after="0" w:line="360" w:lineRule="auto"/>
        <w:ind w:left="851" w:right="899"/>
        <w:jc w:val="both"/>
        <w:rPr>
          <w:rFonts w:ascii="Palatino Linotype" w:eastAsia="Palatino Linotype" w:hAnsi="Palatino Linotype" w:cs="Palatino Linotype"/>
          <w:i/>
        </w:rPr>
      </w:pPr>
    </w:p>
    <w:p w14:paraId="36E1E631"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1348B753"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7ADB69A"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E432EC7" w14:textId="77777777" w:rsidR="00D349AB" w:rsidRDefault="00D349AB">
      <w:pPr>
        <w:spacing w:after="0" w:line="360" w:lineRule="auto"/>
        <w:ind w:left="851" w:right="899"/>
        <w:jc w:val="both"/>
        <w:rPr>
          <w:rFonts w:ascii="Palatino Linotype" w:eastAsia="Palatino Linotype" w:hAnsi="Palatino Linotype" w:cs="Palatino Linotype"/>
          <w:sz w:val="24"/>
          <w:szCs w:val="24"/>
        </w:rPr>
      </w:pPr>
    </w:p>
    <w:p w14:paraId="4266534C"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965DA1" w14:textId="77777777" w:rsidR="00D349AB" w:rsidRDefault="00D349AB">
      <w:pPr>
        <w:spacing w:after="0" w:line="360" w:lineRule="auto"/>
        <w:jc w:val="both"/>
        <w:rPr>
          <w:rFonts w:ascii="Palatino Linotype" w:eastAsia="Palatino Linotype" w:hAnsi="Palatino Linotype" w:cs="Palatino Linotype"/>
          <w:sz w:val="24"/>
          <w:szCs w:val="24"/>
        </w:rPr>
      </w:pPr>
    </w:p>
    <w:p w14:paraId="2592CD38" w14:textId="77777777" w:rsidR="00D349AB" w:rsidRDefault="005A1261">
      <w:pPr>
        <w:spacing w:after="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D7AE1F"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6C3F8764" w14:textId="77777777" w:rsidR="00D349AB" w:rsidRDefault="005A1261">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C3A0701" w14:textId="77777777" w:rsidR="00D349AB" w:rsidRDefault="005A1261">
      <w:pPr>
        <w:spacing w:after="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392B9EFC" w14:textId="77777777" w:rsidR="00D349AB" w:rsidRDefault="005A1261">
      <w:pPr>
        <w:spacing w:after="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597EF96B" w14:textId="77777777" w:rsidR="00D349AB" w:rsidRDefault="00D349AB">
      <w:pPr>
        <w:spacing w:after="0" w:line="276" w:lineRule="auto"/>
        <w:ind w:left="567" w:right="616"/>
        <w:jc w:val="both"/>
        <w:rPr>
          <w:rFonts w:ascii="Palatino Linotype" w:eastAsia="Palatino Linotype" w:hAnsi="Palatino Linotype" w:cs="Palatino Linotype"/>
          <w:b/>
          <w:i/>
        </w:rPr>
      </w:pPr>
    </w:p>
    <w:p w14:paraId="77336FD5"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w:t>
      </w:r>
      <w:r>
        <w:rPr>
          <w:rFonts w:ascii="Palatino Linotype" w:eastAsia="Palatino Linotype" w:hAnsi="Palatino Linotype" w:cs="Palatino Linotype"/>
          <w:sz w:val="24"/>
          <w:szCs w:val="24"/>
        </w:rPr>
        <w:lastRenderedPageBreak/>
        <w:t>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0B564926" w14:textId="77777777" w:rsidR="00D349AB" w:rsidRDefault="00D349AB">
      <w:pPr>
        <w:spacing w:after="0" w:line="360" w:lineRule="auto"/>
        <w:jc w:val="both"/>
        <w:rPr>
          <w:rFonts w:ascii="Palatino Linotype" w:eastAsia="Palatino Linotype" w:hAnsi="Palatino Linotype" w:cs="Palatino Linotype"/>
          <w:sz w:val="24"/>
          <w:szCs w:val="24"/>
        </w:rPr>
      </w:pPr>
    </w:p>
    <w:p w14:paraId="0840F992"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sz w:val="24"/>
          <w:szCs w:val="24"/>
        </w:rPr>
        <w:t xml:space="preserve">Dicho lo anterior, en el caso se analizará el agravio hecho valer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que actualiza la causal de procedencia prevista en la fracción V del artículo 179 de la Ley de Transparencia y Acceso a la Información del Estado de México y Municipios, relativas a </w:t>
      </w:r>
      <w:r>
        <w:rPr>
          <w:rFonts w:ascii="Palatino Linotype" w:eastAsia="Palatino Linotype" w:hAnsi="Palatino Linotype" w:cs="Palatino Linotype"/>
          <w:b/>
          <w:sz w:val="24"/>
          <w:szCs w:val="24"/>
          <w:u w:val="single"/>
        </w:rPr>
        <w:t>la entrega de información incompleta.</w:t>
      </w:r>
    </w:p>
    <w:p w14:paraId="3FB30372"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p>
    <w:p w14:paraId="5198091A"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efecto de lo anterior, conviene iniciar el presente análisis con la naturaleza de la información; así como la competencia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para generar, poseer y administrar la misma; para una vez hecho lo anterior, proceder al análisis de la información aportada en respuesta e informe justificado por dicho ente público, y </w:t>
      </w:r>
      <w:r>
        <w:rPr>
          <w:rFonts w:ascii="Palatino Linotype" w:eastAsia="Palatino Linotype" w:hAnsi="Palatino Linotype" w:cs="Palatino Linotype"/>
          <w:sz w:val="24"/>
          <w:szCs w:val="24"/>
        </w:rPr>
        <w:lastRenderedPageBreak/>
        <w:t xml:space="preserve">verificar si la misma colma en su totalidad el derecho de acceso a la información pública de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o en su defecto, ordenar la entrega de la información oportuna.</w:t>
      </w:r>
    </w:p>
    <w:p w14:paraId="50A1F85F"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0C22AC0"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  De la naturaleza de la información requerida, así como la competencia del Sujeto Obligado para generar, poseer y/o administrar la misma:</w:t>
      </w:r>
    </w:p>
    <w:p w14:paraId="63EF0A93"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47588EF"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ello, conviene iniciar el presente estudio señalando que la persona solicitante requirió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respecto de los años 2020, 2021 y 2022, la información que a continuación se precisa, de manera desagregada por fecha, en caso de existir la misma:</w:t>
      </w:r>
    </w:p>
    <w:p w14:paraId="0C13295F" w14:textId="77777777" w:rsidR="00D349AB" w:rsidRDefault="00D349AB">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b/>
          <w:color w:val="000000"/>
        </w:rPr>
      </w:pPr>
    </w:p>
    <w:p w14:paraId="5626CE3E"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Eventos en los que se ha hecho uso de armas de fuego por parte de algún elemento de la policía de esta dependencia en servicio.</w:t>
      </w:r>
    </w:p>
    <w:p w14:paraId="29C30B39"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policías de esa dependencia fallecidos en servicio por arma de fuego.</w:t>
      </w:r>
    </w:p>
    <w:p w14:paraId="3A92565C"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policías de esa dependencia heridos en servicio por arma de fuego.</w:t>
      </w:r>
    </w:p>
    <w:p w14:paraId="1B07DA4C"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Sexo y edad de los policías de esta dependencia fallecidos y heridos en servicio por arma de fuego.</w:t>
      </w:r>
    </w:p>
    <w:p w14:paraId="174E450B"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civiles muertos por arma de fuego accionada por un policía de esa dependencia.</w:t>
      </w:r>
    </w:p>
    <w:p w14:paraId="30BB69A6"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civiles heridos por arma de fuego accionado por un policía de esa dependencia.</w:t>
      </w:r>
    </w:p>
    <w:p w14:paraId="20D0D70E"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Sexo y edad de los civiles muertos y heridos por arma de fuego de un policía de esa dependencia.</w:t>
      </w:r>
    </w:p>
    <w:p w14:paraId="06D6EE16"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civiles heridos y fallecidos por balas de goma o cualquier proyectil anti motín accionado por un policía de esa dependencia.</w:t>
      </w:r>
    </w:p>
    <w:p w14:paraId="7E7865BB"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policías de esta dependencia fallecidos fuera de servicio por arma de fuego.</w:t>
      </w:r>
    </w:p>
    <w:p w14:paraId="6BE3A96C"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policías de esa dependencia en activo, incluyendo de ser posible el sexo de los elementos activos.</w:t>
      </w:r>
    </w:p>
    <w:p w14:paraId="17E7830E"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personas detenidas por policías de esa dependencia.</w:t>
      </w:r>
    </w:p>
    <w:p w14:paraId="279B7C71" w14:textId="77777777" w:rsidR="00D349AB" w:rsidRDefault="005A1261">
      <w:pPr>
        <w:numPr>
          <w:ilvl w:val="0"/>
          <w:numId w:val="8"/>
        </w:numPr>
        <w:pBdr>
          <w:top w:val="nil"/>
          <w:left w:val="nil"/>
          <w:bottom w:val="nil"/>
          <w:right w:val="nil"/>
          <w:between w:val="nil"/>
        </w:pBdr>
        <w:spacing w:after="0" w:line="276" w:lineRule="auto"/>
        <w:ind w:right="-1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armas incautadas por policías de esa dependencia.</w:t>
      </w:r>
    </w:p>
    <w:p w14:paraId="1301B20D"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3185CA3"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el particular indicó que, en caso de no contar con algún dato o no tener la información procesada o sistematizada, se respondiera con aquella con la que sí se contara sin importar si se encuentra procesada, sistematizada o no.</w:t>
      </w:r>
    </w:p>
    <w:p w14:paraId="18A6B0BC"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DD6D5C4"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es oportuno traer a colación los artículos 5, fracción II, XVII, 7, fracción IX, 19, fracción I, 39, inciso b), fracción VI y XI, 118 de la Ley General del Sistema Nacional de Seguridad Pública; disposición legal que dispone lo siguiente: </w:t>
      </w:r>
    </w:p>
    <w:p w14:paraId="45D3A641" w14:textId="77777777" w:rsidR="00D349AB" w:rsidRDefault="00D349AB">
      <w:pPr>
        <w:tabs>
          <w:tab w:val="left" w:pos="7938"/>
        </w:tabs>
        <w:spacing w:line="276" w:lineRule="auto"/>
        <w:ind w:right="900"/>
        <w:jc w:val="both"/>
        <w:rPr>
          <w:rFonts w:ascii="Palatino Linotype" w:eastAsia="Palatino Linotype" w:hAnsi="Palatino Linotype" w:cs="Palatino Linotype"/>
          <w:b/>
          <w:i/>
        </w:rPr>
      </w:pPr>
    </w:p>
    <w:p w14:paraId="639DF496"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Para los efectos de esta Ley, se entenderá por:</w:t>
      </w:r>
    </w:p>
    <w:p w14:paraId="3DBD0AB0"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w:t>
      </w:r>
    </w:p>
    <w:p w14:paraId="184FE6DE"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II. Bases de Datos:</w:t>
      </w:r>
      <w:r>
        <w:rPr>
          <w:rFonts w:ascii="Palatino Linotype" w:eastAsia="Palatino Linotype" w:hAnsi="Palatino Linotype" w:cs="Palatino Linotype"/>
          <w:i/>
        </w:rPr>
        <w:t xml:space="preserve">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4C589FD3"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III a XVI…</w:t>
      </w:r>
    </w:p>
    <w:p w14:paraId="7EF83EEF"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14935C80"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7.-</w:t>
      </w:r>
      <w:r>
        <w:rPr>
          <w:rFonts w:ascii="Palatino Linotype" w:eastAsia="Palatino Linotype" w:hAnsi="Palatino Linotype" w:cs="Palatino Linotype"/>
          <w:i/>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74504FC5"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a VIII…</w:t>
      </w:r>
    </w:p>
    <w:p w14:paraId="48113E63"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IX. Generar, compartir, intercambiar, ingresar, almacenar y proveer información, archivos y contenidos a las Bases de Datos que integran el Sistema Nacional de Información, de conformidad con lo dispuesto en la legislación en la materia. </w:t>
      </w:r>
    </w:p>
    <w:p w14:paraId="589345B0"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Tratándose de manejo de datos que provengan del Registro Nacional de Detenciones se atendrá a lo dispuesto en la Ley Nacional del Registro de Detenciones;</w:t>
      </w:r>
    </w:p>
    <w:p w14:paraId="24E55618"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 a XVI…</w:t>
      </w:r>
    </w:p>
    <w:p w14:paraId="0D249271"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19.-</w:t>
      </w:r>
      <w:r>
        <w:rPr>
          <w:rFonts w:ascii="Palatino Linotype" w:eastAsia="Palatino Linotype" w:hAnsi="Palatino Linotype" w:cs="Palatino Linotype"/>
          <w:i/>
        </w:rPr>
        <w:t xml:space="preserve"> El Centro Nacional de Información será el responsable de regular el Sistema Nacional de Información y tendrá, entre otras, las siguientes atribuciones: </w:t>
      </w:r>
    </w:p>
    <w:p w14:paraId="4F12A39C"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Determinar los criterios técnicos y de homologación de las Bases de Datos que conforman el Sistema Nacional de Información;</w:t>
      </w:r>
    </w:p>
    <w:p w14:paraId="191B781B"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II a VI…</w:t>
      </w:r>
    </w:p>
    <w:p w14:paraId="4DDB74E1"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Artículo 39.- La concurrencia de facultades entre la Federación, las entidades federativas y los Municipios, quedará distribuida conforme a lo siguiente:</w:t>
      </w:r>
    </w:p>
    <w:p w14:paraId="771FCA1B"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A…</w:t>
      </w:r>
    </w:p>
    <w:p w14:paraId="19995D01"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B. Corresponde a la Federación, a las entidades federativas y a los Municipios, en el ámbito de sus respectivas competencias:</w:t>
      </w:r>
    </w:p>
    <w:p w14:paraId="2B91B81F"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a V…</w:t>
      </w:r>
    </w:p>
    <w:p w14:paraId="10513F0D"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VI. Designar a un responsable del control, suministro y adecuado manejo de la información a que se refiere esta Ley;</w:t>
      </w:r>
    </w:p>
    <w:p w14:paraId="17EC9BA2"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XII a X…</w:t>
      </w:r>
    </w:p>
    <w:p w14:paraId="6B1B5B62"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XI. Integrar y consultar la información relativa a la operación y Desarrollo Policial para el registro y seguimiento en el Sistema Nacional de Información; </w:t>
      </w:r>
    </w:p>
    <w:p w14:paraId="138DAE06"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XII a XV…</w:t>
      </w:r>
    </w:p>
    <w:p w14:paraId="3D59D38D"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118.-</w:t>
      </w:r>
      <w:r>
        <w:rPr>
          <w:rFonts w:ascii="Palatino Linotype" w:eastAsia="Palatino Linotype" w:hAnsi="Palatino Linotype" w:cs="Palatino Linotype"/>
          <w:i/>
        </w:rPr>
        <w:t xml:space="preserve"> Las Bases de Datos que integran el Sistema Nacional de Información se actualizarán permanentemente y serán de consulta obligatoria para garantizar la efectividad en las actividades de Seguridad Pública. </w:t>
      </w:r>
    </w:p>
    <w:p w14:paraId="3A15AAFB"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6C4D2218"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El Registro Nacional de Detenciones se vinculará con las Bases de Datos a que se refiere el presente artículo, mediante el número de identificación al que hace referencia la ley de la materia.”</w:t>
      </w:r>
    </w:p>
    <w:p w14:paraId="6621D46C" w14:textId="77777777" w:rsidR="00D349AB" w:rsidRDefault="005A1261">
      <w:pPr>
        <w:tabs>
          <w:tab w:val="left" w:pos="7938"/>
        </w:tabs>
        <w:spacing w:after="0" w:line="276" w:lineRule="auto"/>
        <w:ind w:left="567" w:right="560"/>
        <w:jc w:val="right"/>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3ADF2E0B" w14:textId="77777777" w:rsidR="00D349AB" w:rsidRDefault="005A1261">
      <w:pPr>
        <w:tabs>
          <w:tab w:val="left" w:pos="7938"/>
        </w:tabs>
        <w:spacing w:before="240" w:after="240" w:line="360" w:lineRule="auto"/>
        <w:jc w:val="center"/>
        <w:rPr>
          <w:rFonts w:ascii="Palatino Linotype" w:eastAsia="Palatino Linotype" w:hAnsi="Palatino Linotype" w:cs="Palatino Linotype"/>
          <w:b/>
          <w:u w:val="single"/>
        </w:rPr>
      </w:pPr>
      <w:r>
        <w:rPr>
          <w:rFonts w:ascii="Palatino Linotype" w:eastAsia="Palatino Linotype" w:hAnsi="Palatino Linotype" w:cs="Palatino Linotype"/>
          <w:b/>
          <w:u w:val="single"/>
        </w:rPr>
        <w:lastRenderedPageBreak/>
        <w:t>Ley de Seguridad del Estado de México</w:t>
      </w:r>
    </w:p>
    <w:p w14:paraId="1EF62AAC"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8.</w:t>
      </w:r>
      <w:r>
        <w:rPr>
          <w:rFonts w:ascii="Palatino Linotype" w:eastAsia="Palatino Linotype" w:hAnsi="Palatino Linotype" w:cs="Palatino Linotype"/>
          <w:i/>
        </w:rPr>
        <w:t xml:space="preserve"> Conforme a las bases que establece el artículo 21 de la Constitución Federal, las Instituciones de Seguridad Pública, deberán coordinarse con las instituciones de la Federación, las Entidades Federativas, los Municipios y Alcaldías de la Ciudad de México, en el ámbito de su competencia, en los términos de esta Ley, para cumplir con los fines de la seguridad pública. </w:t>
      </w:r>
    </w:p>
    <w:p w14:paraId="64CFD7AF" w14:textId="77777777" w:rsidR="00D349AB" w:rsidRDefault="00D349AB">
      <w:pPr>
        <w:tabs>
          <w:tab w:val="left" w:pos="7938"/>
        </w:tabs>
        <w:spacing w:after="0" w:line="276" w:lineRule="auto"/>
        <w:ind w:left="567" w:right="560"/>
        <w:jc w:val="both"/>
        <w:rPr>
          <w:rFonts w:ascii="Palatino Linotype" w:eastAsia="Palatino Linotype" w:hAnsi="Palatino Linotype" w:cs="Palatino Linotype"/>
          <w:i/>
        </w:rPr>
      </w:pPr>
    </w:p>
    <w:p w14:paraId="14922E31"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Las instancias de los tres órdenes de gobierno, en un marco de respeto al ámbito competencial de cada uno, deberán coordinarse, según sea el caso, para:</w:t>
      </w:r>
    </w:p>
    <w:p w14:paraId="4702CA91"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122026D"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w:t>
      </w:r>
      <w:r>
        <w:rPr>
          <w:rFonts w:ascii="Palatino Linotype" w:eastAsia="Palatino Linotype" w:hAnsi="Palatino Linotype" w:cs="Palatino Linotype"/>
          <w:b/>
          <w:i/>
        </w:rPr>
        <w:t>Establecer y controlar los registros y bases de datos que integran a los Sistemas Nacional y Estatal,</w:t>
      </w:r>
      <w:r>
        <w:rPr>
          <w:rFonts w:ascii="Palatino Linotype" w:eastAsia="Palatino Linotype" w:hAnsi="Palatino Linotype" w:cs="Palatino Linotype"/>
          <w:i/>
        </w:rPr>
        <w:t xml:space="preserve"> en el ámbito de sus atribuciones;</w:t>
      </w:r>
    </w:p>
    <w:p w14:paraId="20C40310"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AB65322" w14:textId="77777777" w:rsidR="00D349AB" w:rsidRDefault="00D349AB">
      <w:pPr>
        <w:tabs>
          <w:tab w:val="left" w:pos="7938"/>
        </w:tabs>
        <w:spacing w:after="0" w:line="276" w:lineRule="auto"/>
        <w:ind w:left="567" w:right="560"/>
        <w:jc w:val="both"/>
        <w:rPr>
          <w:rFonts w:ascii="Palatino Linotype" w:eastAsia="Palatino Linotype" w:hAnsi="Palatino Linotype" w:cs="Palatino Linotype"/>
          <w:i/>
        </w:rPr>
      </w:pPr>
    </w:p>
    <w:p w14:paraId="5F9FFC6B"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Artículo 22.- Son atribuciones del Director de Seguridad Pública Municipal:</w:t>
      </w:r>
    </w:p>
    <w:p w14:paraId="17A37023"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411AB54"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V. </w:t>
      </w:r>
      <w:r>
        <w:rPr>
          <w:rFonts w:ascii="Palatino Linotype" w:eastAsia="Palatino Linotype" w:hAnsi="Palatino Linotype" w:cs="Palatino Linotype"/>
          <w:b/>
          <w:i/>
        </w:rPr>
        <w:t>Contar con las estadísticas delictivas</w:t>
      </w:r>
      <w:r>
        <w:rPr>
          <w:rFonts w:ascii="Palatino Linotype" w:eastAsia="Palatino Linotype" w:hAnsi="Palatino Linotype" w:cs="Palatino Linotype"/>
          <w:i/>
        </w:rPr>
        <w:t xml:space="preserve"> y efectuar la supervisión de las acciones de seguridad pública municipal; </w:t>
      </w:r>
    </w:p>
    <w:p w14:paraId="64E6B3B1"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1888903" w14:textId="77777777" w:rsidR="00D349AB" w:rsidRDefault="005A1261">
      <w:pPr>
        <w:tabs>
          <w:tab w:val="left" w:pos="7938"/>
        </w:tabs>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i/>
        </w:rPr>
        <w:t xml:space="preserve">VII. </w:t>
      </w:r>
      <w:r>
        <w:rPr>
          <w:rFonts w:ascii="Palatino Linotype" w:eastAsia="Palatino Linotype" w:hAnsi="Palatino Linotype" w:cs="Palatino Linotype"/>
          <w:b/>
          <w:i/>
        </w:rPr>
        <w:t>Informar a las autoridades competentes sobre los movimientos de altas y bajas de los integrantes de las instituciones policiales a su cargo, así como de sus vehículos, armamento, municiones y equipo;”</w:t>
      </w:r>
    </w:p>
    <w:p w14:paraId="6DFCE74B" w14:textId="77777777" w:rsidR="00D349AB" w:rsidRDefault="00D349AB">
      <w:pPr>
        <w:tabs>
          <w:tab w:val="left" w:pos="7938"/>
        </w:tabs>
        <w:spacing w:after="0" w:line="276" w:lineRule="auto"/>
        <w:ind w:left="567" w:right="560"/>
        <w:jc w:val="both"/>
        <w:rPr>
          <w:rFonts w:ascii="Palatino Linotype" w:eastAsia="Palatino Linotype" w:hAnsi="Palatino Linotype" w:cs="Palatino Linotype"/>
          <w:i/>
        </w:rPr>
      </w:pPr>
    </w:p>
    <w:p w14:paraId="1A4212B9" w14:textId="77777777" w:rsidR="00D349AB" w:rsidRDefault="005A1261">
      <w:pPr>
        <w:tabs>
          <w:tab w:val="left" w:pos="7938"/>
        </w:tabs>
        <w:spacing w:after="0" w:line="276" w:lineRule="auto"/>
        <w:ind w:left="567" w:right="560"/>
        <w:jc w:val="right"/>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73D50691" w14:textId="77777777" w:rsidR="00D349AB" w:rsidRDefault="005A1261">
      <w:pPr>
        <w:spacing w:after="0" w:line="360" w:lineRule="auto"/>
        <w:ind w:right="49"/>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Por otra parte, los numerales 125, fracción VIII y 142 de la Ley Orgánica Municipal del Estado de México, señala lo siguiente:</w:t>
      </w:r>
      <w:r>
        <w:rPr>
          <w:rFonts w:ascii="Palatino Linotype" w:eastAsia="Palatino Linotype" w:hAnsi="Palatino Linotype" w:cs="Palatino Linotype"/>
          <w:b/>
          <w:i/>
          <w:sz w:val="24"/>
          <w:szCs w:val="24"/>
        </w:rPr>
        <w:t xml:space="preserve"> </w:t>
      </w:r>
    </w:p>
    <w:p w14:paraId="4E69CDD4" w14:textId="77777777" w:rsidR="00D349AB" w:rsidRDefault="00D349AB">
      <w:pPr>
        <w:tabs>
          <w:tab w:val="left" w:pos="7938"/>
        </w:tabs>
        <w:spacing w:line="276" w:lineRule="auto"/>
        <w:ind w:left="1134" w:right="900"/>
        <w:jc w:val="both"/>
        <w:rPr>
          <w:rFonts w:ascii="Palatino Linotype" w:eastAsia="Palatino Linotype" w:hAnsi="Palatino Linotype" w:cs="Palatino Linotype"/>
          <w:b/>
          <w:i/>
        </w:rPr>
      </w:pPr>
    </w:p>
    <w:p w14:paraId="4C0A203F" w14:textId="77777777" w:rsidR="00D349AB" w:rsidRDefault="005A1261">
      <w:pPr>
        <w:tabs>
          <w:tab w:val="left" w:pos="7938"/>
        </w:tabs>
        <w:spacing w:line="276"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 “Artículo 125</w:t>
      </w:r>
      <w:r>
        <w:rPr>
          <w:rFonts w:ascii="Palatino Linotype" w:eastAsia="Palatino Linotype" w:hAnsi="Palatino Linotype" w:cs="Palatino Linotype"/>
          <w:i/>
        </w:rPr>
        <w:t>.- Los municipios tendrán a su cargo la prestación, explotación, administración y conservación de los servicios públicos municipales, considerándose enunciativa y no limitativamente, los siguientes:</w:t>
      </w:r>
    </w:p>
    <w:p w14:paraId="3B83EFBF" w14:textId="77777777" w:rsidR="00D349AB" w:rsidRDefault="005A1261">
      <w:pPr>
        <w:tabs>
          <w:tab w:val="left" w:pos="7938"/>
        </w:tabs>
        <w:spacing w:line="276"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I a VII…</w:t>
      </w:r>
    </w:p>
    <w:p w14:paraId="4F914A94" w14:textId="77777777" w:rsidR="00D349AB" w:rsidRDefault="005A1261">
      <w:pPr>
        <w:tabs>
          <w:tab w:val="left" w:pos="7938"/>
        </w:tabs>
        <w:spacing w:line="276"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VIII. Seguridad pública y tránsito;</w:t>
      </w:r>
    </w:p>
    <w:p w14:paraId="13E6E197" w14:textId="77777777" w:rsidR="00D349AB" w:rsidRDefault="005A1261">
      <w:pPr>
        <w:tabs>
          <w:tab w:val="left" w:pos="7938"/>
        </w:tabs>
        <w:spacing w:line="276"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IX a XI…</w:t>
      </w:r>
    </w:p>
    <w:p w14:paraId="1B691ED2" w14:textId="77777777" w:rsidR="00D349AB" w:rsidRDefault="005A1261">
      <w:pPr>
        <w:tabs>
          <w:tab w:val="left" w:pos="7938"/>
        </w:tabs>
        <w:spacing w:line="276"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142</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funciones de seguridad pública del municipio en su respectivo ámbito de competencia, estarán a cargo de un Director de Seguridad Pública Municipal o su equivalente,</w:t>
      </w:r>
      <w:r>
        <w:rPr>
          <w:rFonts w:ascii="Palatino Linotype" w:eastAsia="Palatino Linotype" w:hAnsi="Palatino Linotype" w:cs="Palatino Linotype"/>
          <w:i/>
        </w:rPr>
        <w:t xml:space="preserve"> el cual deberá ser nombrado en los términos y requisitos establecidos en la Ley de Seguridad del Estado de México.</w:t>
      </w:r>
    </w:p>
    <w:p w14:paraId="2AD02446" w14:textId="77777777" w:rsidR="00D349AB" w:rsidRDefault="005A1261">
      <w:pPr>
        <w:tabs>
          <w:tab w:val="left" w:pos="7938"/>
        </w:tabs>
        <w:spacing w:line="276"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En cada municipio se deberán integrar cuerpos de seguridad pública, de bomberos y, en su caso, de tránsito, estos servidores públicos preferentemente serán vecinos del municipio, de los cuales el presidente municipal será el jefe inmediato.”</w:t>
      </w:r>
    </w:p>
    <w:p w14:paraId="0E0C5DEF" w14:textId="77777777" w:rsidR="00D349AB" w:rsidRDefault="005A1261">
      <w:pPr>
        <w:tabs>
          <w:tab w:val="left" w:pos="7938"/>
        </w:tabs>
        <w:spacing w:after="0" w:line="276" w:lineRule="auto"/>
        <w:ind w:left="567" w:right="560"/>
        <w:jc w:val="right"/>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0B7C5EC3" w14:textId="77777777" w:rsidR="00D349AB" w:rsidRDefault="005A126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Pr>
          <w:rFonts w:ascii="Palatino Linotype" w:eastAsia="Palatino Linotype" w:hAnsi="Palatino Linotype" w:cs="Palatino Linotype"/>
          <w:b/>
          <w:sz w:val="24"/>
          <w:szCs w:val="24"/>
        </w:rPr>
        <w:t xml:space="preserve">máxime que, desde la entrada en vigor de la Ley de Seguridad del Estado de México </w:t>
      </w:r>
      <w:r>
        <w:rPr>
          <w:rFonts w:ascii="Palatino Linotype" w:eastAsia="Palatino Linotype" w:hAnsi="Palatino Linotype" w:cs="Palatino Linotype"/>
          <w:b/>
          <w:i/>
          <w:sz w:val="24"/>
          <w:szCs w:val="24"/>
        </w:rPr>
        <w:t xml:space="preserve">-el 20 de octubre de 2011- </w:t>
      </w:r>
      <w:r>
        <w:rPr>
          <w:rFonts w:ascii="Palatino Linotype" w:eastAsia="Palatino Linotype" w:hAnsi="Palatino Linotype" w:cs="Palatino Linotype"/>
          <w:b/>
          <w:sz w:val="24"/>
          <w:szCs w:val="24"/>
        </w:rPr>
        <w:t xml:space="preserve">se desprende la atribución expresa para que, el Director de Seguridad Pública Municipal, </w:t>
      </w:r>
      <w:r>
        <w:rPr>
          <w:rFonts w:ascii="Palatino Linotype" w:eastAsia="Palatino Linotype" w:hAnsi="Palatino Linotype" w:cs="Palatino Linotype"/>
          <w:sz w:val="24"/>
          <w:szCs w:val="24"/>
        </w:rPr>
        <w:t xml:space="preserve"> entre otras cosas, </w:t>
      </w:r>
      <w:r>
        <w:rPr>
          <w:rFonts w:ascii="Palatino Linotype" w:eastAsia="Palatino Linotype" w:hAnsi="Palatino Linotype" w:cs="Palatino Linotype"/>
          <w:b/>
          <w:sz w:val="24"/>
          <w:szCs w:val="24"/>
        </w:rPr>
        <w:t>genere estadística delictiva e informe a las autoridades competentes sobre los movimientos de altas y bajas de los integrantes de las instituciones policiales a su cargo, de sus vehículos, armamento, municiones y equipo.</w:t>
      </w:r>
    </w:p>
    <w:p w14:paraId="3D4C1683" w14:textId="77777777" w:rsidR="00D349AB" w:rsidRDefault="00D349AB">
      <w:pPr>
        <w:spacing w:after="0" w:line="360" w:lineRule="auto"/>
        <w:jc w:val="both"/>
        <w:rPr>
          <w:rFonts w:ascii="Palatino Linotype" w:eastAsia="Palatino Linotype" w:hAnsi="Palatino Linotype" w:cs="Palatino Linotype"/>
          <w:b/>
          <w:sz w:val="24"/>
          <w:szCs w:val="24"/>
        </w:rPr>
      </w:pPr>
    </w:p>
    <w:p w14:paraId="2B0877DB"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las cosas, la información requerida en el presente asunto estriba dentro de las fronteras conceptuales del interés general y el alcance público, robustece lo anterior los artículos 24, fracción XII y 92, fracción XXXIV de la Ley de Transparencia y Acceso </w:t>
      </w:r>
      <w:r>
        <w:rPr>
          <w:rFonts w:ascii="Palatino Linotype" w:eastAsia="Palatino Linotype" w:hAnsi="Palatino Linotype" w:cs="Palatino Linotype"/>
          <w:sz w:val="24"/>
          <w:szCs w:val="24"/>
        </w:rPr>
        <w:lastRenderedPageBreak/>
        <w:t>a la Información Pública del Estado de México y Municipios, normatividad invocada cuyo contenido literal es el siguiente:</w:t>
      </w:r>
    </w:p>
    <w:p w14:paraId="7EEAE558" w14:textId="77777777" w:rsidR="00D349AB" w:rsidRDefault="00D349AB">
      <w:pPr>
        <w:spacing w:after="0" w:line="360" w:lineRule="auto"/>
        <w:jc w:val="both"/>
        <w:rPr>
          <w:rFonts w:ascii="Palatino Linotype" w:eastAsia="Palatino Linotype" w:hAnsi="Palatino Linotype" w:cs="Palatino Linotype"/>
          <w:sz w:val="24"/>
          <w:szCs w:val="24"/>
        </w:rPr>
      </w:pPr>
    </w:p>
    <w:p w14:paraId="146D6A8A"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24</w:t>
      </w:r>
      <w:r>
        <w:rPr>
          <w:rFonts w:ascii="Palatino Linotype" w:eastAsia="Palatino Linotype" w:hAnsi="Palatino Linotype" w:cs="Palatino Linotype"/>
          <w:i/>
        </w:rPr>
        <w:t>. Para el cumplimiento de los objetivos de esta Ley, los sujetos obligados deberán cumplir con las siguientes obligaciones, según corresponda, de acuerdo a su naturaleza:</w:t>
      </w:r>
    </w:p>
    <w:p w14:paraId="449CF67E"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a XI…</w:t>
      </w:r>
    </w:p>
    <w:p w14:paraId="54A908C1"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XII. Publicar y mantener actualizada la información relativa a las obligaciones generales de transparencia previstas en la presente Ley o determinadas así por el Instituto, y en general aquella que sea de interés público;</w:t>
      </w:r>
    </w:p>
    <w:p w14:paraId="73C1AACD"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XIII a XXV…</w:t>
      </w:r>
    </w:p>
    <w:p w14:paraId="67C280BE"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D1E60C"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a XXXIII…</w:t>
      </w:r>
    </w:p>
    <w:p w14:paraId="2E7318DA"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XXXIV. Las estadísticas que generen en cumplimiento de sus facultades, competencias o funciones con la mayor desagregación posible.</w:t>
      </w:r>
    </w:p>
    <w:p w14:paraId="108D2968"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XXXV a LII…”</w:t>
      </w:r>
    </w:p>
    <w:p w14:paraId="127A35D4" w14:textId="77777777" w:rsidR="00D349AB" w:rsidRDefault="00D349AB">
      <w:pPr>
        <w:spacing w:line="276" w:lineRule="auto"/>
        <w:ind w:left="1134" w:right="900"/>
        <w:jc w:val="both"/>
        <w:rPr>
          <w:rFonts w:ascii="Palatino Linotype" w:eastAsia="Palatino Linotype" w:hAnsi="Palatino Linotype" w:cs="Palatino Linotype"/>
          <w:i/>
        </w:rPr>
      </w:pPr>
    </w:p>
    <w:p w14:paraId="756FBE95"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constituye una obligación de transparencia común poner a disposición del público de manera permanente, actualizada, de forma sencilla, precisa y entendible, entre otros, </w:t>
      </w:r>
      <w:r>
        <w:rPr>
          <w:rFonts w:ascii="Palatino Linotype" w:eastAsia="Palatino Linotype" w:hAnsi="Palatino Linotype" w:cs="Palatino Linotype"/>
          <w:b/>
          <w:sz w:val="24"/>
          <w:szCs w:val="24"/>
          <w:u w:val="single"/>
        </w:rPr>
        <w:t>las estadísticas que generen en cumplimiento de sus facultades, competencias o funciones con la mayor desagregación posible.</w:t>
      </w:r>
    </w:p>
    <w:p w14:paraId="5AEF5FA6" w14:textId="77777777" w:rsidR="00D349AB" w:rsidRDefault="00D349AB">
      <w:pPr>
        <w:spacing w:after="0" w:line="360" w:lineRule="auto"/>
        <w:jc w:val="both"/>
        <w:rPr>
          <w:rFonts w:ascii="Palatino Linotype" w:eastAsia="Palatino Linotype" w:hAnsi="Palatino Linotype" w:cs="Palatino Linotype"/>
          <w:sz w:val="24"/>
          <w:szCs w:val="24"/>
        </w:rPr>
      </w:pPr>
    </w:p>
    <w:p w14:paraId="2C355785"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forma complementaria, resulta de nuestro particular interés el criterio 11/09 emitido por el hoy Instituto Nacional de Transparencia, Acceso a la Información y Protección de Datos Personales, que a la letra dispone lo siguiente:</w:t>
      </w:r>
    </w:p>
    <w:p w14:paraId="156B5898" w14:textId="77777777" w:rsidR="00D349AB" w:rsidRDefault="00D349AB">
      <w:pPr>
        <w:spacing w:line="360" w:lineRule="auto"/>
        <w:jc w:val="both"/>
        <w:rPr>
          <w:rFonts w:ascii="Palatino Linotype" w:eastAsia="Palatino Linotype" w:hAnsi="Palatino Linotype" w:cs="Palatino Linotype"/>
        </w:rPr>
      </w:pPr>
    </w:p>
    <w:p w14:paraId="52327970" w14:textId="77777777" w:rsidR="00D349AB" w:rsidRDefault="005A1261">
      <w:pPr>
        <w:spacing w:line="276" w:lineRule="auto"/>
        <w:ind w:left="709" w:right="701"/>
        <w:jc w:val="both"/>
        <w:rPr>
          <w:rFonts w:ascii="Palatino Linotype" w:eastAsia="Palatino Linotype" w:hAnsi="Palatino Linotype" w:cs="Palatino Linotype"/>
          <w:b/>
          <w:i/>
        </w:rPr>
      </w:pPr>
      <w:r>
        <w:rPr>
          <w:rFonts w:ascii="Palatino Linotype" w:eastAsia="Palatino Linotype" w:hAnsi="Palatino Linotype" w:cs="Palatino Linotype"/>
          <w:b/>
          <w:i/>
        </w:rPr>
        <w:t>“LA INFORMACIÓN ESTADÍSTICA ES DE NATURALEZA PÚBLICA, INDEPENDIENTEMENTE DE LA MATERIA CON LA QUE SE ENCUENTRE VINCULADA.</w:t>
      </w:r>
    </w:p>
    <w:p w14:paraId="75699CB2" w14:textId="77777777" w:rsidR="00D349AB" w:rsidRDefault="005A1261">
      <w:pPr>
        <w:spacing w:line="276" w:lineRule="auto"/>
        <w:ind w:left="709" w:right="701"/>
        <w:jc w:val="both"/>
        <w:rPr>
          <w:rFonts w:ascii="Palatino Linotype" w:eastAsia="Palatino Linotype" w:hAnsi="Palatino Linotype" w:cs="Palatino Linotype"/>
          <w:i/>
        </w:rPr>
      </w:pPr>
      <w:r>
        <w:rPr>
          <w:rFonts w:ascii="Palatino Linotype" w:eastAsia="Palatino Linotype" w:hAnsi="Palatino Linotype" w:cs="Palatino Linotype"/>
          <w:i/>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6FAD3ECA" w14:textId="77777777" w:rsidR="00D349AB" w:rsidRDefault="00D349AB">
      <w:pPr>
        <w:spacing w:after="0" w:line="360" w:lineRule="auto"/>
        <w:jc w:val="both"/>
        <w:rPr>
          <w:rFonts w:ascii="Palatino Linotype" w:eastAsia="Palatino Linotype" w:hAnsi="Palatino Linotype" w:cs="Palatino Linotype"/>
          <w:sz w:val="24"/>
          <w:szCs w:val="24"/>
        </w:rPr>
      </w:pPr>
    </w:p>
    <w:p w14:paraId="644EBB66"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las cosas, se atrae al estudio los Lineamientos para el Llenado, Entrega, Recepción, Registro, Resguardo y Consulta del Informe Policial Homologado del que, se inserta lo siguiente:</w:t>
      </w:r>
    </w:p>
    <w:p w14:paraId="3B78272D" w14:textId="77777777" w:rsidR="00D349AB" w:rsidRDefault="00D349AB">
      <w:pPr>
        <w:spacing w:after="0" w:line="360" w:lineRule="auto"/>
        <w:jc w:val="both"/>
        <w:rPr>
          <w:rFonts w:ascii="Palatino Linotype" w:eastAsia="Palatino Linotype" w:hAnsi="Palatino Linotype" w:cs="Palatino Linotype"/>
          <w:sz w:val="12"/>
          <w:szCs w:val="12"/>
        </w:rPr>
      </w:pPr>
    </w:p>
    <w:p w14:paraId="0B83AB23"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“PRIMERO. OBJETO Y ÁMBITO DE APLICACIÓN.</w:t>
      </w:r>
    </w:p>
    <w:p w14:paraId="5549239F"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El Informe Policial Homologado es el medio a través del cual </w:t>
      </w:r>
      <w:r>
        <w:rPr>
          <w:rFonts w:ascii="Palatino Linotype" w:eastAsia="Palatino Linotype" w:hAnsi="Palatino Linotype" w:cs="Palatino Linotype"/>
          <w:b/>
          <w:i/>
        </w:rPr>
        <w:t>los integrantes de las instituciones policiales documentan la información relacionada con las puestas a disposición de personas y/o de objetos derivados de su intervención</w:t>
      </w:r>
      <w:r>
        <w:rPr>
          <w:rFonts w:ascii="Palatino Linotype" w:eastAsia="Palatino Linotype" w:hAnsi="Palatino Linotype" w:cs="Palatino Linotype"/>
          <w:i/>
        </w:rPr>
        <w:t>, a las autoridades competentes.</w:t>
      </w:r>
    </w:p>
    <w:p w14:paraId="71E876A8" w14:textId="77777777" w:rsidR="00D349AB" w:rsidRDefault="00D349AB">
      <w:pPr>
        <w:spacing w:after="0" w:line="276" w:lineRule="auto"/>
        <w:ind w:left="567" w:right="560"/>
        <w:jc w:val="both"/>
        <w:rPr>
          <w:rFonts w:ascii="Palatino Linotype" w:eastAsia="Palatino Linotype" w:hAnsi="Palatino Linotype" w:cs="Palatino Linotype"/>
          <w:i/>
        </w:rPr>
      </w:pPr>
    </w:p>
    <w:p w14:paraId="7E1CFA72"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El Informe Policial Homologado tiene como objeto </w:t>
      </w:r>
      <w:proofErr w:type="spellStart"/>
      <w:r>
        <w:rPr>
          <w:rFonts w:ascii="Palatino Linotype" w:eastAsia="Palatino Linotype" w:hAnsi="Palatino Linotype" w:cs="Palatino Linotype"/>
          <w:i/>
        </w:rPr>
        <w:t>eficientar</w:t>
      </w:r>
      <w:proofErr w:type="spellEnd"/>
      <w:r>
        <w:rPr>
          <w:rFonts w:ascii="Palatino Linotype" w:eastAsia="Palatino Linotype" w:hAnsi="Palatino Linotype" w:cs="Palatino Linotype"/>
          <w:i/>
        </w:rPr>
        <w:t xml:space="preserve"> las puestas a disposición, garantizar el debido proceso, y fomentar el uso de la información para acciones de inteligencia.</w:t>
      </w:r>
    </w:p>
    <w:p w14:paraId="38C0EB83" w14:textId="77777777" w:rsidR="00D349AB" w:rsidRDefault="00D349AB">
      <w:pPr>
        <w:spacing w:after="0" w:line="276" w:lineRule="auto"/>
        <w:ind w:left="567" w:right="560"/>
        <w:jc w:val="both"/>
        <w:rPr>
          <w:rFonts w:ascii="Palatino Linotype" w:eastAsia="Palatino Linotype" w:hAnsi="Palatino Linotype" w:cs="Palatino Linotype"/>
          <w:i/>
        </w:rPr>
      </w:pPr>
    </w:p>
    <w:p w14:paraId="5C17E36B"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presentes Lineamientos tienen como objeto señalar los criterios respecto a lo siguiente:</w:t>
      </w:r>
    </w:p>
    <w:p w14:paraId="1B7C701E"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a V …</w:t>
      </w:r>
    </w:p>
    <w:p w14:paraId="0FE5E620"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VI.   Resguardo de la base de datos del IPH en el Sistema Nacional de Información en Seguridad Pública;</w:t>
      </w:r>
    </w:p>
    <w:p w14:paraId="01BA0816"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VII a IX…</w:t>
      </w:r>
    </w:p>
    <w:p w14:paraId="58D4D8C8" w14:textId="77777777" w:rsidR="00D349AB" w:rsidRDefault="00D349AB">
      <w:pPr>
        <w:spacing w:after="0" w:line="276" w:lineRule="auto"/>
        <w:ind w:left="567" w:right="560"/>
        <w:jc w:val="both"/>
        <w:rPr>
          <w:rFonts w:ascii="Palatino Linotype" w:eastAsia="Palatino Linotype" w:hAnsi="Palatino Linotype" w:cs="Palatino Linotype"/>
          <w:i/>
        </w:rPr>
      </w:pPr>
    </w:p>
    <w:p w14:paraId="788D519D"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Estos Lineamientos son de observancia obligatoria y aplicación general para</w:t>
      </w:r>
      <w:r>
        <w:rPr>
          <w:rFonts w:ascii="Palatino Linotype" w:eastAsia="Palatino Linotype" w:hAnsi="Palatino Linotype" w:cs="Palatino Linotype"/>
          <w:i/>
        </w:rPr>
        <w:t xml:space="preserve"> la Secretaría de Seguridad y Protección Ciudadana, el Secretariado Ejecutivo del Sistema Nacional de Seguridad Pública, </w:t>
      </w:r>
      <w:r>
        <w:rPr>
          <w:rFonts w:ascii="Palatino Linotype" w:eastAsia="Palatino Linotype" w:hAnsi="Palatino Linotype" w:cs="Palatino Linotype"/>
          <w:b/>
          <w:i/>
          <w:u w:val="single"/>
        </w:rPr>
        <w:t xml:space="preserve">las instituciones de seguridad pública de los tres órdenes de gobierno </w:t>
      </w:r>
      <w:r>
        <w:rPr>
          <w:rFonts w:ascii="Palatino Linotype" w:eastAsia="Palatino Linotype" w:hAnsi="Palatino Linotype" w:cs="Palatino Linotype"/>
          <w:i/>
        </w:rPr>
        <w:t>y las autoridades competentes para conocer y sancionar las infracciones administrativas.</w:t>
      </w:r>
    </w:p>
    <w:p w14:paraId="6080E686" w14:textId="77777777" w:rsidR="00D349AB" w:rsidRDefault="00D349AB">
      <w:pPr>
        <w:spacing w:after="0" w:line="276" w:lineRule="auto"/>
        <w:ind w:left="567" w:right="560"/>
        <w:jc w:val="both"/>
        <w:rPr>
          <w:rFonts w:ascii="Palatino Linotype" w:eastAsia="Palatino Linotype" w:hAnsi="Palatino Linotype" w:cs="Palatino Linotype"/>
          <w:i/>
        </w:rPr>
      </w:pPr>
    </w:p>
    <w:p w14:paraId="4C189180"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 estos Lineamientos serán:</w:t>
      </w:r>
    </w:p>
    <w:p w14:paraId="6592A7C6"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63B53AF"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    Secretarías de Seguridad Pública Municipal</w:t>
      </w:r>
      <w:r>
        <w:rPr>
          <w:rFonts w:ascii="Palatino Linotype" w:eastAsia="Palatino Linotype" w:hAnsi="Palatino Linotype" w:cs="Palatino Linotype"/>
          <w:b/>
          <w:i/>
          <w:u w:val="single"/>
        </w:rPr>
        <w:t>, Direcciones de Seguridad Pública Municipal o sus equivalentes en los municipios de cada entidad federativa;</w:t>
      </w:r>
    </w:p>
    <w:p w14:paraId="6D064AF8"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577099A" w14:textId="77777777" w:rsidR="00D349AB" w:rsidRDefault="00D349AB">
      <w:pPr>
        <w:spacing w:after="0" w:line="276" w:lineRule="auto"/>
        <w:ind w:left="567" w:right="560"/>
        <w:jc w:val="both"/>
        <w:rPr>
          <w:rFonts w:ascii="Palatino Linotype" w:eastAsia="Palatino Linotype" w:hAnsi="Palatino Linotype" w:cs="Palatino Linotype"/>
          <w:i/>
        </w:rPr>
      </w:pPr>
    </w:p>
    <w:p w14:paraId="62B81603"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“SEGUNDO. GLOSARIO DE TÉRMINOS.</w:t>
      </w:r>
    </w:p>
    <w:p w14:paraId="4B314C5A"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D4AFBAD"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i/>
        </w:rPr>
        <w:t xml:space="preserve">II.     </w:t>
      </w:r>
      <w:r>
        <w:rPr>
          <w:rFonts w:ascii="Palatino Linotype" w:eastAsia="Palatino Linotype" w:hAnsi="Palatino Linotype" w:cs="Palatino Linotype"/>
          <w:b/>
          <w:i/>
        </w:rPr>
        <w:t>Base de datos: El Subconjunto sistematizado de la información capturada en el IPH.</w:t>
      </w:r>
    </w:p>
    <w:p w14:paraId="00A5F3AB"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9819619"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 IPH: El Informe Policial Homologado de hechos probablemente delictivos o de infracciones administrativas, mismo que puede ser en versión impresa o electrónica.”</w:t>
      </w:r>
    </w:p>
    <w:p w14:paraId="7B683903" w14:textId="77777777" w:rsidR="00D349AB" w:rsidRDefault="00D349AB">
      <w:pPr>
        <w:spacing w:after="0" w:line="276" w:lineRule="auto"/>
        <w:ind w:left="567" w:right="560"/>
        <w:jc w:val="both"/>
        <w:rPr>
          <w:rFonts w:ascii="Palatino Linotype" w:eastAsia="Palatino Linotype" w:hAnsi="Palatino Linotype" w:cs="Palatino Linotype"/>
          <w:i/>
        </w:rPr>
      </w:pPr>
    </w:p>
    <w:p w14:paraId="68601E1A"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“DÉCIMO SEGUNDO. SUPERVISIÓN DEL IPH.</w:t>
      </w:r>
    </w:p>
    <w:p w14:paraId="4A6FA895" w14:textId="77777777" w:rsidR="00D349AB" w:rsidRDefault="00D349AB">
      <w:pPr>
        <w:spacing w:after="0" w:line="276" w:lineRule="auto"/>
        <w:ind w:left="567" w:right="560"/>
        <w:jc w:val="both"/>
        <w:rPr>
          <w:rFonts w:ascii="Palatino Linotype" w:eastAsia="Palatino Linotype" w:hAnsi="Palatino Linotype" w:cs="Palatino Linotype"/>
          <w:i/>
        </w:rPr>
      </w:pPr>
    </w:p>
    <w:p w14:paraId="38A32D80"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La información capturada para la base de datos del IPH podrá ser supervisada por los servidores públicos que las instituciones policiales de los tres órdenes de gobierno determinen.</w:t>
      </w:r>
    </w:p>
    <w:p w14:paraId="67156B61" w14:textId="77777777" w:rsidR="00D349AB" w:rsidRDefault="00D349AB">
      <w:pPr>
        <w:spacing w:after="0" w:line="276" w:lineRule="auto"/>
        <w:ind w:left="567" w:right="560"/>
        <w:jc w:val="both"/>
        <w:rPr>
          <w:rFonts w:ascii="Palatino Linotype" w:eastAsia="Palatino Linotype" w:hAnsi="Palatino Linotype" w:cs="Palatino Linotype"/>
          <w:i/>
        </w:rPr>
      </w:pPr>
    </w:p>
    <w:p w14:paraId="3BC546F3"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La supervisión tiene como objetivo que la base de datos esté integrada con información de calidad.</w:t>
      </w:r>
    </w:p>
    <w:p w14:paraId="1A3FA289" w14:textId="77777777" w:rsidR="00D349AB" w:rsidRDefault="00D349AB">
      <w:pPr>
        <w:spacing w:after="0" w:line="276" w:lineRule="auto"/>
        <w:ind w:left="567" w:right="560"/>
        <w:jc w:val="both"/>
        <w:rPr>
          <w:rFonts w:ascii="Palatino Linotype" w:eastAsia="Palatino Linotype" w:hAnsi="Palatino Linotype" w:cs="Palatino Linotype"/>
          <w:i/>
        </w:rPr>
      </w:pPr>
    </w:p>
    <w:p w14:paraId="164B1579"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“DÉCIMO TERCERO. ENTREGA Y RECEPCIÓN DEL IPH.</w:t>
      </w:r>
    </w:p>
    <w:p w14:paraId="5983832B" w14:textId="77777777" w:rsidR="00D349AB" w:rsidRDefault="00D349AB">
      <w:pPr>
        <w:spacing w:after="0" w:line="276" w:lineRule="auto"/>
        <w:ind w:left="567" w:right="560"/>
        <w:jc w:val="both"/>
        <w:rPr>
          <w:rFonts w:ascii="Palatino Linotype" w:eastAsia="Palatino Linotype" w:hAnsi="Palatino Linotype" w:cs="Palatino Linotype"/>
          <w:b/>
          <w:i/>
        </w:rPr>
      </w:pPr>
    </w:p>
    <w:p w14:paraId="254BFC03"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Los integrantes de las instituciones policiales de los tres órdenes de gobierno que realicen el llenado del IPH, </w:t>
      </w:r>
      <w:r>
        <w:rPr>
          <w:rFonts w:ascii="Palatino Linotype" w:eastAsia="Palatino Linotype" w:hAnsi="Palatino Linotype" w:cs="Palatino Linotype"/>
          <w:b/>
          <w:i/>
        </w:rPr>
        <w:t>deberán entregarlo junto con las personas detenidas y/o arrestadas y/o los objetos asegurados a la autoridad competente</w:t>
      </w:r>
      <w:r>
        <w:rPr>
          <w:rFonts w:ascii="Palatino Linotype" w:eastAsia="Palatino Linotype" w:hAnsi="Palatino Linotype" w:cs="Palatino Linotype"/>
          <w:i/>
        </w:rPr>
        <w:t>, según se trate de un hecho probablemente delictivo o una infracción administrativa.</w:t>
      </w:r>
    </w:p>
    <w:p w14:paraId="6F0FCE70" w14:textId="77777777" w:rsidR="00D349AB" w:rsidRDefault="00D349AB">
      <w:pPr>
        <w:spacing w:after="0" w:line="276" w:lineRule="auto"/>
        <w:ind w:left="567" w:right="560"/>
        <w:jc w:val="both"/>
        <w:rPr>
          <w:rFonts w:ascii="Palatino Linotype" w:eastAsia="Palatino Linotype" w:hAnsi="Palatino Linotype" w:cs="Palatino Linotype"/>
          <w:i/>
        </w:rPr>
      </w:pPr>
    </w:p>
    <w:p w14:paraId="4C6F863D" w14:textId="77777777" w:rsidR="00D349AB" w:rsidRDefault="005A1261">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 (…)”</w:t>
      </w:r>
    </w:p>
    <w:p w14:paraId="6D7DAD32" w14:textId="77777777" w:rsidR="00D349AB" w:rsidRDefault="00D349AB">
      <w:pPr>
        <w:spacing w:before="120" w:after="0"/>
        <w:ind w:left="567" w:right="560"/>
        <w:jc w:val="both"/>
        <w:rPr>
          <w:rFonts w:ascii="Palatino Linotype" w:eastAsia="Palatino Linotype" w:hAnsi="Palatino Linotype" w:cs="Palatino Linotype"/>
          <w:b/>
          <w:i/>
        </w:rPr>
      </w:pPr>
    </w:p>
    <w:p w14:paraId="096A4B9B" w14:textId="77777777" w:rsidR="00D349AB" w:rsidRDefault="005A1261">
      <w:pPr>
        <w:spacing w:before="120" w:after="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“DÉCIMO CUARTO. REGISTRO DE LA INFORMACIÓN EN LA BASE DE DATOS DEL IPH.</w:t>
      </w:r>
    </w:p>
    <w:p w14:paraId="4DE33746" w14:textId="77777777" w:rsidR="00D349AB" w:rsidRDefault="005A1261">
      <w:pPr>
        <w:spacing w:before="120"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El registro de la información en la base de datos se llevará a cabo conforme a lo siguiente:</w:t>
      </w:r>
    </w:p>
    <w:p w14:paraId="20CC5A97" w14:textId="77777777" w:rsidR="00D349AB" w:rsidRDefault="005A1261">
      <w:pPr>
        <w:numPr>
          <w:ilvl w:val="0"/>
          <w:numId w:val="2"/>
        </w:numPr>
        <w:pBdr>
          <w:top w:val="nil"/>
          <w:left w:val="nil"/>
          <w:bottom w:val="nil"/>
          <w:right w:val="nil"/>
          <w:between w:val="nil"/>
        </w:pBdr>
        <w:tabs>
          <w:tab w:val="left" w:pos="851"/>
          <w:tab w:val="left" w:pos="993"/>
          <w:tab w:val="left" w:pos="1418"/>
        </w:tabs>
        <w:spacing w:before="120" w:after="0" w:line="240" w:lineRule="auto"/>
        <w:ind w:left="567" w:right="560" w:firstLine="0"/>
        <w:jc w:val="both"/>
        <w:rPr>
          <w:rFonts w:ascii="Palatino Linotype" w:eastAsia="Palatino Linotype" w:hAnsi="Palatino Linotype" w:cs="Palatino Linotype"/>
          <w:i/>
        </w:rPr>
      </w:pPr>
      <w:r>
        <w:rPr>
          <w:rFonts w:ascii="Palatino Linotype" w:eastAsia="Palatino Linotype" w:hAnsi="Palatino Linotype" w:cs="Palatino Linotype"/>
          <w:b/>
          <w:i/>
        </w:rPr>
        <w:t>La captura y registro de la información suministrada a la base de datos son obligatorios y estarán a cargo de las instituciones policiales de los tres órdenes de gobierno</w:t>
      </w:r>
      <w:r>
        <w:rPr>
          <w:rFonts w:ascii="Palatino Linotype" w:eastAsia="Palatino Linotype" w:hAnsi="Palatino Linotype" w:cs="Palatino Linotype"/>
          <w:i/>
        </w:rPr>
        <w:t>;</w:t>
      </w:r>
    </w:p>
    <w:p w14:paraId="5ABC0462" w14:textId="77777777" w:rsidR="00D349AB" w:rsidRDefault="005A1261">
      <w:pPr>
        <w:tabs>
          <w:tab w:val="left" w:pos="1418"/>
        </w:tabs>
        <w:spacing w:before="120" w:after="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II. El suministro de la información se realizará con apego a los datos contenidos en el IPH;</w:t>
      </w:r>
    </w:p>
    <w:p w14:paraId="7A00FFE9" w14:textId="77777777" w:rsidR="00D349AB" w:rsidRDefault="005A1261">
      <w:pPr>
        <w:tabs>
          <w:tab w:val="left" w:pos="1418"/>
        </w:tabs>
        <w:spacing w:before="120" w:after="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III. El registro de los datos contenidos en el IPH y su digitalización se harán de manera inmediata, sin que exceda de un término máximo de veinticuatro horas contadas a partir de la hora de recepción por parte de la autoridad competente, y</w:t>
      </w:r>
    </w:p>
    <w:p w14:paraId="13668575" w14:textId="77777777" w:rsidR="00D349AB" w:rsidRDefault="005A1261">
      <w:pPr>
        <w:tabs>
          <w:tab w:val="left" w:pos="1418"/>
        </w:tabs>
        <w:spacing w:before="120" w:after="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La Secretaría garantizará la operación, disponibilidad, interconexión y mantenimiento de los componentes tecnológicos que soporten la base de datos y sistemas informáticos del IPH.”</w:t>
      </w:r>
    </w:p>
    <w:p w14:paraId="5F1A9E10" w14:textId="77777777" w:rsidR="00D349AB" w:rsidRDefault="005A1261">
      <w:pPr>
        <w:spacing w:line="276" w:lineRule="auto"/>
        <w:ind w:left="567" w:right="560"/>
        <w:jc w:val="right"/>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1B2EAD5F" w14:textId="77777777" w:rsidR="00D349AB" w:rsidRDefault="00D349AB">
      <w:pPr>
        <w:spacing w:line="276" w:lineRule="auto"/>
        <w:ind w:left="567" w:right="560"/>
        <w:jc w:val="right"/>
        <w:rPr>
          <w:rFonts w:ascii="Palatino Linotype" w:eastAsia="Palatino Linotype" w:hAnsi="Palatino Linotype" w:cs="Palatino Linotype"/>
          <w:i/>
          <w:sz w:val="10"/>
          <w:szCs w:val="10"/>
        </w:rPr>
      </w:pPr>
    </w:p>
    <w:p w14:paraId="68BDDC04" w14:textId="77777777" w:rsidR="00D349AB" w:rsidRDefault="005A126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lo anterior, se deduce que el informe policial homologado (IPH), tiene por objeto que las Instituciones policiales de los tres niveles de gobierno documenten la </w:t>
      </w:r>
      <w:r>
        <w:rPr>
          <w:rFonts w:ascii="Palatino Linotype" w:eastAsia="Palatino Linotype" w:hAnsi="Palatino Linotype" w:cs="Palatino Linotype"/>
          <w:sz w:val="24"/>
          <w:szCs w:val="24"/>
        </w:rPr>
        <w:lastRenderedPageBreak/>
        <w:t xml:space="preserve">información relacionada con las puestas a disposición de personas y/u objetos derivados de su intervención, para con ello hacer más eficiente el debido proceso y fomentar el uso de la información para acciones de inteligencia; </w:t>
      </w:r>
      <w:r>
        <w:rPr>
          <w:rFonts w:ascii="Palatino Linotype" w:eastAsia="Palatino Linotype" w:hAnsi="Palatino Linotype" w:cs="Palatino Linotype"/>
          <w:b/>
          <w:sz w:val="24"/>
          <w:szCs w:val="24"/>
        </w:rPr>
        <w:t xml:space="preserve">por lo tanto, dicho informe únicamente es entregado junto con la persona detenida o bien, con los objetos que fueron asegurados en el hecho y/o acto probablemente constitutivo de delito. </w:t>
      </w:r>
    </w:p>
    <w:p w14:paraId="56AE82BB" w14:textId="77777777" w:rsidR="00D349AB" w:rsidRDefault="00D349AB">
      <w:pPr>
        <w:spacing w:after="0" w:line="360" w:lineRule="auto"/>
        <w:jc w:val="both"/>
        <w:rPr>
          <w:rFonts w:ascii="Palatino Linotype" w:eastAsia="Palatino Linotype" w:hAnsi="Palatino Linotype" w:cs="Palatino Linotype"/>
          <w:b/>
          <w:sz w:val="24"/>
          <w:szCs w:val="24"/>
        </w:rPr>
      </w:pPr>
    </w:p>
    <w:p w14:paraId="7FDA34BE"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caso, es importante dejar claro que no se están solicitando estos documentos, sino únicamente información estadística.</w:t>
      </w:r>
    </w:p>
    <w:p w14:paraId="7126640B" w14:textId="77777777" w:rsidR="00D349AB" w:rsidRDefault="00D349AB">
      <w:pPr>
        <w:spacing w:after="0" w:line="360" w:lineRule="auto"/>
        <w:jc w:val="both"/>
        <w:rPr>
          <w:rFonts w:ascii="Palatino Linotype" w:eastAsia="Palatino Linotype" w:hAnsi="Palatino Linotype" w:cs="Palatino Linotype"/>
          <w:sz w:val="24"/>
          <w:szCs w:val="24"/>
        </w:rPr>
      </w:pPr>
    </w:p>
    <w:p w14:paraId="68D8E01F"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Bajo este orden de ideas, es evidente que el Informe Policial Homologado se entrega en el momento que un elemento policial pone a disposición a una persona u objetos recabados del lugar en el que ocurrieron los hechos delictivos y/o faltas administrativas; y, la información contenida en dicho informe es capturada en la base de datos del IPH, misma que puede ser supervisada por los servidores públicos que las instituciones policiales de los tres niveles de gobierno determinen, esto con el objetivo que la base este integrada con información de calidad.</w:t>
      </w:r>
    </w:p>
    <w:p w14:paraId="631AF547" w14:textId="77777777" w:rsidR="00D349AB" w:rsidRDefault="00D349AB">
      <w:pPr>
        <w:spacing w:after="0" w:line="360" w:lineRule="auto"/>
        <w:jc w:val="both"/>
        <w:rPr>
          <w:rFonts w:ascii="Palatino Linotype" w:eastAsia="Palatino Linotype" w:hAnsi="Palatino Linotype" w:cs="Palatino Linotype"/>
          <w:sz w:val="24"/>
          <w:szCs w:val="24"/>
        </w:rPr>
      </w:pPr>
    </w:p>
    <w:p w14:paraId="1C4093D7"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no se deja de lado que, no en todos los casos en que se conoce de una conducta delictiva se inicia una carpeta de investigación, o se agrega un informe policial homologado; pues existen diversos tipos de delitos que se pueden configurar sin que se genere el informe en comento, tal como de manera enunciativa más no limitativa es el caso de la </w:t>
      </w:r>
      <w:r>
        <w:rPr>
          <w:rFonts w:ascii="Palatino Linotype" w:eastAsia="Palatino Linotype" w:hAnsi="Palatino Linotype" w:cs="Palatino Linotype"/>
          <w:b/>
          <w:sz w:val="24"/>
          <w:szCs w:val="24"/>
        </w:rPr>
        <w:t>extorsión</w:t>
      </w:r>
      <w:r>
        <w:rPr>
          <w:rFonts w:ascii="Palatino Linotype" w:eastAsia="Palatino Linotype" w:hAnsi="Palatino Linotype" w:cs="Palatino Linotype"/>
          <w:sz w:val="24"/>
          <w:szCs w:val="24"/>
        </w:rPr>
        <w:t xml:space="preserve">, ya que este se efectúa por comunicación vía </w:t>
      </w:r>
      <w:r>
        <w:rPr>
          <w:rFonts w:ascii="Palatino Linotype" w:eastAsia="Palatino Linotype" w:hAnsi="Palatino Linotype" w:cs="Palatino Linotype"/>
          <w:sz w:val="24"/>
          <w:szCs w:val="24"/>
        </w:rPr>
        <w:lastRenderedPageBreak/>
        <w:t>celular, en la que los delincuentes plantean supuestos escenarios que incluyen situaciones de riesgo o peligro para la posible víctima y/o familiares.</w:t>
      </w:r>
    </w:p>
    <w:p w14:paraId="747459EC" w14:textId="77777777" w:rsidR="00D349AB" w:rsidRDefault="00D349AB">
      <w:pPr>
        <w:spacing w:after="0" w:line="360" w:lineRule="auto"/>
        <w:jc w:val="both"/>
        <w:rPr>
          <w:rFonts w:ascii="Palatino Linotype" w:eastAsia="Palatino Linotype" w:hAnsi="Palatino Linotype" w:cs="Palatino Linotype"/>
          <w:sz w:val="24"/>
          <w:szCs w:val="24"/>
        </w:rPr>
      </w:pPr>
    </w:p>
    <w:p w14:paraId="2EAAA321"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Sin embargo, aún y cuando no en todos los delitos que pudiera tener conocimiento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tienen intervención dichos elementos policiales y se genera el aludido informe policial homologado, eso no constituye un impedimento para que dicho ente público tenga conocimiento de aquellos delitos en los que si intervengan dichos elementos y se genere el informe de mérito, cuya información contenida en el mismo sea capturada en la base de datos del IPH, con la cual se pudiera dar atención a lo requerido por la hoy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al mayor grado de desagregación posible.</w:t>
      </w:r>
    </w:p>
    <w:p w14:paraId="6340EE25" w14:textId="77777777" w:rsidR="00D349AB" w:rsidRDefault="00D349AB">
      <w:pPr>
        <w:spacing w:after="0" w:line="360" w:lineRule="auto"/>
        <w:jc w:val="both"/>
        <w:rPr>
          <w:rFonts w:ascii="Palatino Linotype" w:eastAsia="Palatino Linotype" w:hAnsi="Palatino Linotype" w:cs="Palatino Linotype"/>
          <w:sz w:val="24"/>
          <w:szCs w:val="24"/>
        </w:rPr>
      </w:pPr>
    </w:p>
    <w:p w14:paraId="4CFCF462" w14:textId="77777777" w:rsidR="00D349AB" w:rsidRDefault="005A126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En este punto, </w:t>
      </w:r>
      <w:r>
        <w:rPr>
          <w:rFonts w:ascii="Palatino Linotype" w:eastAsia="Palatino Linotype" w:hAnsi="Palatino Linotype" w:cs="Palatino Linotype"/>
          <w:b/>
          <w:sz w:val="24"/>
          <w:szCs w:val="24"/>
        </w:rPr>
        <w:t xml:space="preserve">es preciso reiterar que la hoy parte Recurrente en su solicitud requirió  concretamente información estadística respecto de los años 2020, 2021 y 2022, relacionada con lo siguiente: 1. La incidencia delictiva, </w:t>
      </w:r>
      <w:r>
        <w:rPr>
          <w:rFonts w:ascii="Palatino Linotype" w:eastAsia="Palatino Linotype" w:hAnsi="Palatino Linotype" w:cs="Palatino Linotype"/>
          <w:sz w:val="24"/>
          <w:szCs w:val="24"/>
        </w:rPr>
        <w:t xml:space="preserve">lo cual corresponde </w:t>
      </w:r>
      <w:r>
        <w:rPr>
          <w:rFonts w:ascii="Palatino Linotype" w:eastAsia="Palatino Linotype" w:hAnsi="Palatino Linotype" w:cs="Palatino Linotype"/>
          <w:b/>
          <w:sz w:val="24"/>
          <w:szCs w:val="24"/>
        </w:rPr>
        <w:t>únicamente a los eventos, hechos y/o actos de los que se tuvo conocimiento, en donde se hizo uso de arma de fuego por elementos policiales en servicio; 2. Número, sexo y edad de policías en servicio heridos y fallecidos por arma de fuego; 3. Número de civiles heridos y fallecidos por arma de fuego, accionado por un policía de esa dependencia; 4. Número de civiles heridos y fallecidos por balas de goma o cualquier proyectil anti motín, accionado por un policía de esa dependencia; 6. Número de policías fallecidos fuera de servicio por arma de fuego; 7. Número y sexo de policías en activo; y, 8. Número de personas detenidas y armas incautadas por policías.</w:t>
      </w:r>
    </w:p>
    <w:p w14:paraId="1F381F82" w14:textId="77777777" w:rsidR="00D349AB" w:rsidRDefault="00D349AB">
      <w:pPr>
        <w:spacing w:after="0" w:line="360" w:lineRule="auto"/>
        <w:jc w:val="both"/>
        <w:rPr>
          <w:rFonts w:ascii="Palatino Linotype" w:eastAsia="Palatino Linotype" w:hAnsi="Palatino Linotype" w:cs="Palatino Linotype"/>
          <w:b/>
          <w:sz w:val="24"/>
          <w:szCs w:val="24"/>
        </w:rPr>
      </w:pPr>
    </w:p>
    <w:p w14:paraId="471D71C7"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lo anterior, si bien conforme lo señala el artículo 12 de la Ley de Transparencia y Acceso a la Información Pública del Estado de México y Municipios,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se encuentra constreñido a buscar en los expedientes formados con motivo de los delitos que conoce si existe o no, el informe policial homologado, y con base en la información contenida en el mismo llevar a cabo una investigación o procesamiento para proporcionar la información a satisfacción de la parte solicitante; como se pudo apreciar de los Lineamientos para el llenado, entrega, recepción, registro, resguardo y consulta del Informe Policial Homologado, particularmente en los lineamientos “SEGUNDO”, “DÉCIMO SEGUNDO” y “DÉCIMO CUARTO, fracción II” antes citados, se advierte la existencia de una base de datos del Informe Policial Homologado, el cual contiene de manera sistematizada la información capturada en el referido informe, y que puede ser supervisada por los servidores públicos que las instituciones policiales de los tres órdenes de gobierno determinen con el objetivo de que dicha base de datos se encuentre integrada con la información de calidad.</w:t>
      </w:r>
    </w:p>
    <w:p w14:paraId="4FA2B7EF" w14:textId="77777777" w:rsidR="00D349AB" w:rsidRDefault="00D349AB">
      <w:pPr>
        <w:spacing w:after="0" w:line="360" w:lineRule="auto"/>
        <w:jc w:val="both"/>
        <w:rPr>
          <w:rFonts w:ascii="Palatino Linotype" w:eastAsia="Palatino Linotype" w:hAnsi="Palatino Linotype" w:cs="Palatino Linotype"/>
          <w:sz w:val="24"/>
          <w:szCs w:val="24"/>
        </w:rPr>
      </w:pPr>
    </w:p>
    <w:p w14:paraId="30772118"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a pesar 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particularmente su Dirección de Seguridad Pública Municipal o su equivalente en el Municipio de Toluca, tiene dentro de sus posibilidades conocer de dicha Base de Datos del IPH; en el caso, es de analizar si la información estadística que requiere la hoy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se encuentra dentro de sus atribuciones del ente público generarla, poseerla y/o administrarla al grado de desagregación que requiere.</w:t>
      </w:r>
    </w:p>
    <w:p w14:paraId="653D6451" w14:textId="77777777" w:rsidR="00D349AB" w:rsidRDefault="00D349AB">
      <w:pPr>
        <w:spacing w:after="0" w:line="360" w:lineRule="auto"/>
        <w:jc w:val="both"/>
        <w:rPr>
          <w:rFonts w:ascii="Palatino Linotype" w:eastAsia="Palatino Linotype" w:hAnsi="Palatino Linotype" w:cs="Palatino Linotype"/>
          <w:sz w:val="24"/>
          <w:szCs w:val="24"/>
        </w:rPr>
      </w:pPr>
    </w:p>
    <w:p w14:paraId="7F3E6604"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Establecido lo anterior, a fin de conocer los datos que debe contener el informe policial homologado, que por ende obrará en la Base de Datos del IPH, debemos remitirnos al artículo 43 de la Ley General del Sistema Nacional de Seguridad Pública; el cual indica lo siguiente:</w:t>
      </w:r>
    </w:p>
    <w:p w14:paraId="17DCAB8E" w14:textId="77777777" w:rsidR="00641E23" w:rsidRDefault="00641E23">
      <w:pPr>
        <w:spacing w:after="0" w:line="360" w:lineRule="auto"/>
        <w:jc w:val="both"/>
        <w:rPr>
          <w:rFonts w:ascii="Palatino Linotype" w:eastAsia="Palatino Linotype" w:hAnsi="Palatino Linotype" w:cs="Palatino Linotype"/>
          <w:sz w:val="24"/>
          <w:szCs w:val="24"/>
        </w:rPr>
      </w:pPr>
    </w:p>
    <w:p w14:paraId="07AE230F" w14:textId="77777777" w:rsidR="00D349AB" w:rsidRDefault="005A1261">
      <w:pPr>
        <w:spacing w:after="0"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43.-</w:t>
      </w:r>
      <w:r>
        <w:rPr>
          <w:rFonts w:ascii="Palatino Linotype" w:eastAsia="Palatino Linotype" w:hAnsi="Palatino Linotype" w:cs="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3E8399F7"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El área que lo emite;</w:t>
      </w:r>
    </w:p>
    <w:p w14:paraId="59B67651"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II. El usuario capturista;</w:t>
      </w:r>
    </w:p>
    <w:p w14:paraId="47E5D63F"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III. Los Datos Generales de registro;</w:t>
      </w:r>
    </w:p>
    <w:p w14:paraId="5758FA0A"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IV. Motivo, que se clasifica en;</w:t>
      </w:r>
    </w:p>
    <w:p w14:paraId="0B7D3298" w14:textId="77777777" w:rsidR="00D349AB" w:rsidRDefault="005A1261">
      <w:pPr>
        <w:spacing w:line="240"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a) Tipo de evento, y</w:t>
      </w:r>
    </w:p>
    <w:p w14:paraId="5D0AA657"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b) Subtipo de evento.</w:t>
      </w:r>
    </w:p>
    <w:p w14:paraId="7C9C4F7D" w14:textId="77777777" w:rsidR="00D349AB" w:rsidRDefault="005A1261">
      <w:pPr>
        <w:spacing w:line="240"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V. La ubicación del evento y en su caso, los caminos;</w:t>
      </w:r>
    </w:p>
    <w:p w14:paraId="13A2603B" w14:textId="77777777" w:rsidR="00D349AB" w:rsidRDefault="005A1261">
      <w:pPr>
        <w:spacing w:line="240"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VI. La descripción de hechos, que deberá detallar modo, tiempo y lugar, entre otros datos.</w:t>
      </w:r>
    </w:p>
    <w:p w14:paraId="5752679D"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VII. Entrevistas realizadas, y</w:t>
      </w:r>
    </w:p>
    <w:p w14:paraId="0F5DC403" w14:textId="77777777" w:rsidR="00D349AB" w:rsidRDefault="005A1261">
      <w:pPr>
        <w:spacing w:line="240"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VIII. En caso de detenciones:</w:t>
      </w:r>
    </w:p>
    <w:p w14:paraId="1B354FA1"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a) Señalar los motivos de la detención;</w:t>
      </w:r>
    </w:p>
    <w:p w14:paraId="673C913A" w14:textId="77777777" w:rsidR="00D349AB" w:rsidRDefault="005A1261">
      <w:pPr>
        <w:spacing w:line="240"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b) Descripción de la persona;</w:t>
      </w:r>
    </w:p>
    <w:p w14:paraId="199C51B0"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c) El nombre del detenido y apodo, en su caso;</w:t>
      </w:r>
    </w:p>
    <w:p w14:paraId="1CF68AD5"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d) Descripción de estado físico aparente;</w:t>
      </w:r>
    </w:p>
    <w:p w14:paraId="3938C234" w14:textId="77777777" w:rsidR="00D349AB" w:rsidRDefault="005A1261">
      <w:pPr>
        <w:spacing w:line="240"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e) Objetos que le fueron encontrados;</w:t>
      </w:r>
    </w:p>
    <w:p w14:paraId="517F20E7"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f) Autoridad a la que fue puesto a disposición, y</w:t>
      </w:r>
    </w:p>
    <w:p w14:paraId="151E19DC" w14:textId="77777777" w:rsidR="00D349AB" w:rsidRDefault="005A1261">
      <w:pPr>
        <w:spacing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g) Lugar en el que fue puesto a disposición.</w:t>
      </w:r>
    </w:p>
    <w:p w14:paraId="3ED2BB87" w14:textId="77777777" w:rsidR="00D349AB" w:rsidRDefault="005A1261">
      <w:pPr>
        <w:spacing w:after="0" w:line="24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35710322" w14:textId="77777777" w:rsidR="00D349AB" w:rsidRDefault="00D349AB">
      <w:pPr>
        <w:spacing w:after="80" w:line="360" w:lineRule="auto"/>
        <w:jc w:val="both"/>
        <w:rPr>
          <w:rFonts w:ascii="Palatino Linotype" w:eastAsia="Palatino Linotype" w:hAnsi="Palatino Linotype" w:cs="Palatino Linotype"/>
          <w:sz w:val="24"/>
          <w:szCs w:val="24"/>
        </w:rPr>
      </w:pPr>
    </w:p>
    <w:p w14:paraId="4B920811" w14:textId="77777777" w:rsidR="00D349AB" w:rsidRDefault="005A1261">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desprende de lo anterior, los datos que deben obrar en el informe policial homologado, particularmente los relacionados con la solicitud de información, se encuentra </w:t>
      </w:r>
      <w:r>
        <w:rPr>
          <w:rFonts w:ascii="Palatino Linotype" w:eastAsia="Palatino Linotype" w:hAnsi="Palatino Linotype" w:cs="Palatino Linotype"/>
          <w:sz w:val="24"/>
          <w:szCs w:val="24"/>
          <w:u w:val="single"/>
        </w:rPr>
        <w:t xml:space="preserve">el tipo de evento y la ubicación del evento; en caso de detenciones, nombre y descripción de las personas detenidas, así como los motivos de la detención y los objetos que le fueron encontrados; </w:t>
      </w:r>
      <w:r>
        <w:rPr>
          <w:rFonts w:ascii="Palatino Linotype" w:eastAsia="Palatino Linotype" w:hAnsi="Palatino Linotype" w:cs="Palatino Linotype"/>
          <w:sz w:val="24"/>
          <w:szCs w:val="24"/>
        </w:rPr>
        <w:t>los cuales se relacionan con los incisos a), k) y j) de los requerimientos de la parte solicitante.</w:t>
      </w:r>
    </w:p>
    <w:p w14:paraId="3C4C506A" w14:textId="77777777" w:rsidR="00D349AB" w:rsidRDefault="005A1261">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el Lineamiento Décimo primero de los Lineamientos para el Llenado, Entrega, Recepción, Registro, Resguardo y Consulta del Informe Policial Homologado, dispone lo siguiente:</w:t>
      </w:r>
    </w:p>
    <w:p w14:paraId="56B5BCFC"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DÉCIMO PRIMERO. LLENADO DEL IPH</w:t>
      </w:r>
      <w:r>
        <w:rPr>
          <w:rFonts w:ascii="Palatino Linotype" w:eastAsia="Palatino Linotype" w:hAnsi="Palatino Linotype" w:cs="Palatino Linotype"/>
          <w:i/>
        </w:rPr>
        <w:t>.</w:t>
      </w:r>
    </w:p>
    <w:p w14:paraId="151FFE85"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Los integrantes de las </w:t>
      </w:r>
      <w:r>
        <w:rPr>
          <w:rFonts w:ascii="Palatino Linotype" w:eastAsia="Palatino Linotype" w:hAnsi="Palatino Linotype" w:cs="Palatino Linotype"/>
          <w:b/>
          <w:i/>
        </w:rPr>
        <w:t>instituciones policiales de los tres órdenes de gobierno</w:t>
      </w:r>
      <w:r>
        <w:rPr>
          <w:rFonts w:ascii="Palatino Linotype" w:eastAsia="Palatino Linotype" w:hAnsi="Palatino Linotype" w:cs="Palatino Linotype"/>
          <w:i/>
        </w:rPr>
        <w:t xml:space="preserve"> deberán registrar en el IPH la información relacionada con las puestas a disposición de personas y/o de objetos derivados de su intervención.</w:t>
      </w:r>
    </w:p>
    <w:p w14:paraId="0773E82C"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El IPH para </w:t>
      </w:r>
      <w:r>
        <w:rPr>
          <w:rFonts w:ascii="Palatino Linotype" w:eastAsia="Palatino Linotype" w:hAnsi="Palatino Linotype" w:cs="Palatino Linotype"/>
          <w:b/>
          <w:i/>
        </w:rPr>
        <w:t>hechos probablemente delictivos</w:t>
      </w:r>
      <w:r>
        <w:rPr>
          <w:rFonts w:ascii="Palatino Linotype" w:eastAsia="Palatino Linotype" w:hAnsi="Palatino Linotype" w:cs="Palatino Linotype"/>
          <w:i/>
        </w:rPr>
        <w:t xml:space="preserve"> contendrá al menos los siguientes datos:</w:t>
      </w:r>
    </w:p>
    <w:p w14:paraId="049E87C6"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El Número de Referencia o el Número de folio asignado;</w:t>
      </w:r>
    </w:p>
    <w:p w14:paraId="50CB7BB7"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datos del o los integrantes de la institución policial que lo emite;</w:t>
      </w:r>
    </w:p>
    <w:p w14:paraId="2955EB95"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Los datos de la autoridad competente que lo recibe;</w:t>
      </w:r>
    </w:p>
    <w:p w14:paraId="603B6D46"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Los datos generales de la intervención o actuación;</w:t>
      </w:r>
    </w:p>
    <w:p w14:paraId="62DBEE78"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motivo de la intervención o actuación;</w:t>
      </w:r>
    </w:p>
    <w:p w14:paraId="2A585BD8"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ubicación del o los lugares de la intervención o actuación</w:t>
      </w:r>
      <w:r>
        <w:rPr>
          <w:rFonts w:ascii="Palatino Linotype" w:eastAsia="Palatino Linotype" w:hAnsi="Palatino Linotype" w:cs="Palatino Linotype"/>
          <w:i/>
        </w:rPr>
        <w:t>;</w:t>
      </w:r>
    </w:p>
    <w:p w14:paraId="1AC836AD" w14:textId="77777777" w:rsidR="00D349AB" w:rsidRDefault="005A1261">
      <w:pPr>
        <w:spacing w:before="120" w:after="12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VII</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descripción de hechos, que deberá detallar modo, tiempo y lugar, entre otros datos. Así como, justificar razonablemente el control provisional preventivo y/o los niveles de contacto;</w:t>
      </w:r>
    </w:p>
    <w:p w14:paraId="0DE65016"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En caso de personas detenidas:</w:t>
      </w:r>
    </w:p>
    <w:p w14:paraId="579B092C"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w:t>
      </w:r>
      <w:r>
        <w:rPr>
          <w:rFonts w:ascii="Palatino Linotype" w:eastAsia="Palatino Linotype" w:hAnsi="Palatino Linotype" w:cs="Palatino Linotype"/>
          <w:i/>
        </w:rPr>
        <w:t xml:space="preserve"> El Número del Registro Nacional de Detenciones;</w:t>
      </w:r>
    </w:p>
    <w:p w14:paraId="71BBCB20" w14:textId="77777777" w:rsidR="00D349AB" w:rsidRDefault="005A1261">
      <w:pPr>
        <w:spacing w:before="120" w:after="12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b) Los motivos de la detención;</w:t>
      </w:r>
    </w:p>
    <w:p w14:paraId="4C6C8B47" w14:textId="77777777" w:rsidR="00D349AB" w:rsidRDefault="005A1261">
      <w:pPr>
        <w:spacing w:before="120" w:after="12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c) Los datos generales de la persona;</w:t>
      </w:r>
    </w:p>
    <w:p w14:paraId="7B27F7FC"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d) </w:t>
      </w:r>
      <w:r>
        <w:rPr>
          <w:rFonts w:ascii="Palatino Linotype" w:eastAsia="Palatino Linotype" w:hAnsi="Palatino Linotype" w:cs="Palatino Linotype"/>
          <w:i/>
        </w:rPr>
        <w:t>La descripción de la persona, incluyendo su estado físico aparente;</w:t>
      </w:r>
    </w:p>
    <w:p w14:paraId="47616C8B" w14:textId="77777777" w:rsidR="00D349AB" w:rsidRDefault="005A1261">
      <w:pPr>
        <w:spacing w:before="120" w:after="12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e) Las armas de fuego y/o los objetos que le fueron recolectados y/o asegurados, y</w:t>
      </w:r>
    </w:p>
    <w:p w14:paraId="7F8DDCD8"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f)</w:t>
      </w:r>
      <w:r>
        <w:rPr>
          <w:rFonts w:ascii="Palatino Linotype" w:eastAsia="Palatino Linotype" w:hAnsi="Palatino Linotype" w:cs="Palatino Linotype"/>
          <w:i/>
        </w:rPr>
        <w:t xml:space="preserve"> El lugar al que es puesta a disposición la persona;</w:t>
      </w:r>
    </w:p>
    <w:p w14:paraId="005E4E32"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IX.   En caso de lesionados y/o fallecidos, un informe del uso de la fuerza en el que se describa la conducta que lo motivó y el nivel proporcional empleado de acuerdo con lo dispuesto por los artículos 10 y 11 de la Ley Nacional sobre el Uso de la Fuerza</w:t>
      </w:r>
      <w:r>
        <w:rPr>
          <w:rFonts w:ascii="Palatino Linotype" w:eastAsia="Palatino Linotype" w:hAnsi="Palatino Linotype" w:cs="Palatino Linotype"/>
          <w:i/>
        </w:rPr>
        <w:t>. Éste será distinto al reporte pormenorizado señalado en el artículo 32 de la misma Ley;</w:t>
      </w:r>
    </w:p>
    <w:p w14:paraId="3CEA943A"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X</w:t>
      </w:r>
      <w:r>
        <w:rPr>
          <w:rFonts w:ascii="Palatino Linotype" w:eastAsia="Palatino Linotype" w:hAnsi="Palatino Linotype" w:cs="Palatino Linotype"/>
          <w:i/>
        </w:rPr>
        <w:t>. En caso de inspección de vehículo, los datos generales sobre sus características;</w:t>
      </w:r>
    </w:p>
    <w:p w14:paraId="0E455A87" w14:textId="77777777" w:rsidR="00D349AB" w:rsidRDefault="005A1261">
      <w:pPr>
        <w:spacing w:before="120" w:after="12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XI. En caso de recolección y/o aseguramiento de armas de fuego u objetos, los datos generales sobre sus características y apariencias;</w:t>
      </w:r>
    </w:p>
    <w:p w14:paraId="15AEACA9"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XII. </w:t>
      </w:r>
      <w:r>
        <w:rPr>
          <w:rFonts w:ascii="Palatino Linotype" w:eastAsia="Palatino Linotype" w:hAnsi="Palatino Linotype" w:cs="Palatino Linotype"/>
          <w:i/>
        </w:rPr>
        <w:t>En caso de preservar el lugar de la intervención o actuación, los datos generales sobre su entrega-recepción, y</w:t>
      </w:r>
    </w:p>
    <w:p w14:paraId="69228B09"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XIII</w:t>
      </w:r>
      <w:r>
        <w:rPr>
          <w:rFonts w:ascii="Palatino Linotype" w:eastAsia="Palatino Linotype" w:hAnsi="Palatino Linotype" w:cs="Palatino Linotype"/>
          <w:i/>
        </w:rPr>
        <w:t>. En caso de entrevistas, los datos generales de la persona entrevistada y el relato de la misma.</w:t>
      </w:r>
    </w:p>
    <w:p w14:paraId="6D3CC896"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FE8070C" w14:textId="77777777" w:rsidR="00D349AB" w:rsidRDefault="005A1261">
      <w:pPr>
        <w:spacing w:before="120" w:after="12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VIII. En caso de personas arrestadas:</w:t>
      </w:r>
    </w:p>
    <w:p w14:paraId="13632836"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w:t>
      </w:r>
      <w:r>
        <w:rPr>
          <w:rFonts w:ascii="Palatino Linotype" w:eastAsia="Palatino Linotype" w:hAnsi="Palatino Linotype" w:cs="Palatino Linotype"/>
          <w:i/>
        </w:rPr>
        <w:t xml:space="preserve">   El Número del Registro Nacional de Detenciones;</w:t>
      </w:r>
    </w:p>
    <w:p w14:paraId="5E0A52B7" w14:textId="77777777" w:rsidR="00D349AB" w:rsidRDefault="005A1261">
      <w:pPr>
        <w:spacing w:before="120" w:after="12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b)   Los motivos de la detención;</w:t>
      </w:r>
    </w:p>
    <w:p w14:paraId="4D143209" w14:textId="77777777" w:rsidR="00D349AB" w:rsidRDefault="005A1261">
      <w:pPr>
        <w:spacing w:before="120" w:after="120"/>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c)   Los datos generales de la persona;</w:t>
      </w:r>
    </w:p>
    <w:p w14:paraId="1AD07144"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d)   </w:t>
      </w:r>
      <w:r>
        <w:rPr>
          <w:rFonts w:ascii="Palatino Linotype" w:eastAsia="Palatino Linotype" w:hAnsi="Palatino Linotype" w:cs="Palatino Linotype"/>
          <w:i/>
        </w:rPr>
        <w:t>La descripción de la persona, incluyendo su estado físico aparente, y</w:t>
      </w:r>
    </w:p>
    <w:p w14:paraId="49960A0E"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e)   </w:t>
      </w:r>
      <w:r>
        <w:rPr>
          <w:rFonts w:ascii="Palatino Linotype" w:eastAsia="Palatino Linotype" w:hAnsi="Palatino Linotype" w:cs="Palatino Linotype"/>
          <w:i/>
        </w:rPr>
        <w:t>El lugar en el que es puesta a disposición la persona, y</w:t>
      </w:r>
    </w:p>
    <w:p w14:paraId="1C0C9873"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IX.</w:t>
      </w:r>
      <w:r>
        <w:rPr>
          <w:rFonts w:ascii="Palatino Linotype" w:eastAsia="Palatino Linotype" w:hAnsi="Palatino Linotype" w:cs="Palatino Linotype"/>
          <w:i/>
        </w:rPr>
        <w:t xml:space="preserve"> En caso de involucramiento de vehículo, los datos generales sobre sus características.</w:t>
      </w:r>
    </w:p>
    <w:p w14:paraId="2A4133B1"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En el llenado del IPH se anotará por completo la información del evento. En caso de no contar con algún dato, no se realice la actividad y/o no aplique su llenado, se deberá dejar constancia de ello, o testar o cancelar el espacio respectivo a fin de que no se haga un mal uso de él.</w:t>
      </w:r>
    </w:p>
    <w:p w14:paraId="2268E4D2" w14:textId="77777777" w:rsidR="00D349AB" w:rsidRDefault="005A1261">
      <w:pPr>
        <w:spacing w:before="120" w:after="120"/>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No se exigirá la totalidad del llenado y entrega de los Anexos cuando el caso no lo amerite.”</w:t>
      </w:r>
    </w:p>
    <w:p w14:paraId="2D1F05C3" w14:textId="77777777" w:rsidR="00D349AB" w:rsidRDefault="00D349AB">
      <w:pPr>
        <w:spacing w:after="0" w:line="360" w:lineRule="auto"/>
        <w:jc w:val="both"/>
        <w:rPr>
          <w:rFonts w:ascii="Palatino Linotype" w:eastAsia="Palatino Linotype" w:hAnsi="Palatino Linotype" w:cs="Palatino Linotype"/>
          <w:sz w:val="24"/>
          <w:szCs w:val="24"/>
        </w:rPr>
      </w:pPr>
    </w:p>
    <w:p w14:paraId="1A2CC988"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y tomando como referencia lo peticionado por la parte solicitante, únicamente se advierte que </w:t>
      </w:r>
      <w:r>
        <w:rPr>
          <w:rFonts w:ascii="Palatino Linotype" w:eastAsia="Palatino Linotype" w:hAnsi="Palatino Linotype" w:cs="Palatino Linotype"/>
          <w:b/>
          <w:sz w:val="24"/>
          <w:szCs w:val="24"/>
        </w:rPr>
        <w:t>no existe obligación para que en el informe policial homologado y por ende en la base de datos del IPH,</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obre la información relativa al número de policías de esa dependencia fallecidos fuera de servicio por arma de fuego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sino únicamente</w:t>
      </w:r>
      <w:r>
        <w:rPr>
          <w:rFonts w:ascii="Palatino Linotype" w:eastAsia="Palatino Linotype" w:hAnsi="Palatino Linotype" w:cs="Palatino Linotype"/>
          <w:sz w:val="24"/>
          <w:szCs w:val="24"/>
        </w:rPr>
        <w:t xml:space="preserve"> a tener los datos del o los integrantes de la institución policial que lo emite, el motivo de la intervención, la ubicación del o los lugares de la intervención o actuación, la descripción de hechos, que deberá detallar modo, tiempo y lugar, entre otros datos, en caso de detenciones (los motivos de la detención, los datos y descripción de la persona detenida, las armas de fuego y/o los objetos que le fueron recolectados y/o asegurados), en caso de lesionados y/o fallecidos un informe del uso de la fuerza en que se describa la conducta que lo motivó y el nivel proporcional empleado, y finalmente en caso de recolección y/o aseguramiento de armas de fuego u objetos, los datos generales sobre sus características y apariencias; datos que se relacionan en su mayoría con la información peticionada por la parte </w:t>
      </w:r>
      <w:r>
        <w:rPr>
          <w:rFonts w:ascii="Palatino Linotype" w:eastAsia="Palatino Linotype" w:hAnsi="Palatino Linotype" w:cs="Palatino Linotype"/>
          <w:b/>
          <w:sz w:val="24"/>
          <w:szCs w:val="24"/>
        </w:rPr>
        <w:t>Recurrente.</w:t>
      </w:r>
    </w:p>
    <w:p w14:paraId="433C2905" w14:textId="77777777" w:rsidR="00D349AB" w:rsidRDefault="00D349AB">
      <w:pPr>
        <w:spacing w:after="0" w:line="360" w:lineRule="auto"/>
        <w:jc w:val="both"/>
        <w:rPr>
          <w:rFonts w:ascii="Palatino Linotype" w:eastAsia="Palatino Linotype" w:hAnsi="Palatino Linotype" w:cs="Palatino Linotype"/>
          <w:sz w:val="24"/>
          <w:szCs w:val="24"/>
        </w:rPr>
      </w:pPr>
    </w:p>
    <w:p w14:paraId="75FE6AA6"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Sin embargo, en ese punto es de indicar que aun y cuando en el informe policial homologado y por ende en la Base de Datos del IPH deben obrar los datos indicados en el párrafo que antecede que se relacionan con lo requerido por la parte solicitante; </w:t>
      </w:r>
      <w:r>
        <w:rPr>
          <w:rFonts w:ascii="Palatino Linotype" w:eastAsia="Palatino Linotype" w:hAnsi="Palatino Linotype" w:cs="Palatino Linotype"/>
          <w:sz w:val="24"/>
          <w:szCs w:val="24"/>
        </w:rPr>
        <w:lastRenderedPageBreak/>
        <w:t xml:space="preserve">los mismos no obran al nivel de desagregación que requiere la parte solicitante, pues para obtenerlos al grado de detalle que los requiere implicaría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realice un procesamiento de la información que obra en la aludida base, para entregar lo peticionado de manera puntual mediante la generación de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w:t>
      </w:r>
    </w:p>
    <w:p w14:paraId="3C4E473C" w14:textId="77777777" w:rsidR="00D349AB" w:rsidRDefault="00D349AB">
      <w:pPr>
        <w:spacing w:after="0" w:line="360" w:lineRule="auto"/>
        <w:jc w:val="both"/>
        <w:rPr>
          <w:rFonts w:ascii="Palatino Linotype" w:eastAsia="Palatino Linotype" w:hAnsi="Palatino Linotype" w:cs="Palatino Linotype"/>
          <w:sz w:val="24"/>
          <w:szCs w:val="24"/>
        </w:rPr>
      </w:pPr>
    </w:p>
    <w:p w14:paraId="220F960D"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previamente citado.</w:t>
      </w:r>
    </w:p>
    <w:p w14:paraId="4AFC2E9D" w14:textId="77777777" w:rsidR="00D349AB" w:rsidRDefault="00D349AB">
      <w:pPr>
        <w:spacing w:after="0" w:line="360" w:lineRule="auto"/>
        <w:jc w:val="both"/>
        <w:rPr>
          <w:rFonts w:ascii="Palatino Linotype" w:eastAsia="Palatino Linotype" w:hAnsi="Palatino Linotype" w:cs="Palatino Linotype"/>
          <w:i/>
          <w:sz w:val="24"/>
          <w:szCs w:val="24"/>
        </w:rPr>
      </w:pPr>
    </w:p>
    <w:p w14:paraId="47951839"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tales circunstancias para el caso en particular, este Instituto no encuentra sustento legal que permita ordenar la entrega de la información conforme los intereses de la parte solicitante; no obstante, es procedente determinar las atribuciones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que, de ser el caso, en aras del principio de máxima publicidad, se ordene la entrega de la información con el mayor grado de desagregación posible.</w:t>
      </w:r>
    </w:p>
    <w:p w14:paraId="3DCF1EB8" w14:textId="77777777" w:rsidR="00D349AB" w:rsidRDefault="00D349AB">
      <w:pPr>
        <w:spacing w:after="0" w:line="360" w:lineRule="auto"/>
        <w:jc w:val="both"/>
        <w:rPr>
          <w:rFonts w:ascii="Palatino Linotype" w:eastAsia="Palatino Linotype" w:hAnsi="Palatino Linotype" w:cs="Palatino Linotype"/>
          <w:sz w:val="24"/>
          <w:szCs w:val="24"/>
        </w:rPr>
      </w:pPr>
    </w:p>
    <w:p w14:paraId="4DDA54C8" w14:textId="77777777" w:rsidR="00D349AB" w:rsidRDefault="005A1261">
      <w:pPr>
        <w:spacing w:after="0" w:line="360" w:lineRule="auto"/>
        <w:jc w:val="both"/>
      </w:pPr>
      <w:r>
        <w:rPr>
          <w:rFonts w:ascii="Palatino Linotype" w:eastAsia="Palatino Linotype" w:hAnsi="Palatino Linotype" w:cs="Palatino Linotype"/>
          <w:sz w:val="24"/>
          <w:szCs w:val="24"/>
        </w:rPr>
        <w:t xml:space="preserve">De tales circunstancias, se concluye que los sujetos obligados únicamente se encuentran constreñidos a proporcionar los documentos que den cuenta de la información solicitada, como obren en sus archivos, sin tener que elaborarlos a las necesidades de la parte </w:t>
      </w:r>
      <w:r>
        <w:rPr>
          <w:rFonts w:ascii="Palatino Linotype" w:eastAsia="Palatino Linotype" w:hAnsi="Palatino Linotype" w:cs="Palatino Linotype"/>
          <w:b/>
          <w:sz w:val="24"/>
          <w:szCs w:val="24"/>
        </w:rPr>
        <w:t>Recurrente.</w:t>
      </w:r>
      <w:r>
        <w:t xml:space="preserve"> </w:t>
      </w:r>
    </w:p>
    <w:p w14:paraId="4BF351A0" w14:textId="77777777" w:rsidR="00D349AB" w:rsidRDefault="00D349AB">
      <w:pPr>
        <w:spacing w:after="0" w:line="360" w:lineRule="auto"/>
        <w:jc w:val="both"/>
      </w:pPr>
    </w:p>
    <w:p w14:paraId="508F4037"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en el caso de que </w:t>
      </w:r>
      <w:r>
        <w:rPr>
          <w:rFonts w:ascii="Palatino Linotype" w:eastAsia="Palatino Linotype" w:hAnsi="Palatino Linotype" w:cs="Palatino Linotype"/>
          <w:b/>
          <w:sz w:val="24"/>
          <w:szCs w:val="24"/>
        </w:rPr>
        <w:t>la información relativa al evento en el que se ha hecho uso de armas de fuego por parte de algún elemento de la policía de la dependencia en servicio,</w:t>
      </w:r>
      <w:r>
        <w:rPr>
          <w:rFonts w:ascii="Palatino Linotype" w:eastAsia="Palatino Linotype" w:hAnsi="Palatino Linotype" w:cs="Palatino Linotype"/>
          <w:sz w:val="24"/>
          <w:szCs w:val="24"/>
        </w:rPr>
        <w:t xml:space="preserve">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sólo en este caso.  </w:t>
      </w:r>
    </w:p>
    <w:p w14:paraId="229F56B3" w14:textId="77777777" w:rsidR="00D349AB" w:rsidRDefault="00D349AB">
      <w:pPr>
        <w:spacing w:after="0" w:line="360" w:lineRule="auto"/>
        <w:jc w:val="both"/>
        <w:rPr>
          <w:rFonts w:ascii="Palatino Linotype" w:eastAsia="Palatino Linotype" w:hAnsi="Palatino Linotype" w:cs="Palatino Linotype"/>
          <w:sz w:val="24"/>
          <w:szCs w:val="24"/>
        </w:rPr>
      </w:pPr>
    </w:p>
    <w:p w14:paraId="55CDC6E6"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del análisis a la normatividad que regula al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 es de indicar que conforme lo dispuesto en su Bando Municipal del Ayuntamiento de Toluca, vigente en los ejercicios 2020, 2021 y 2022 de los que se requiere la información, se advierte que en el artículo 74 de dicho ordenamiento legal, son atribuciones de las autoridades municipales en materia de Seguridad Pública, entre otras, la siguientes:</w:t>
      </w:r>
    </w:p>
    <w:p w14:paraId="52545665" w14:textId="77777777" w:rsidR="00D349AB" w:rsidRDefault="00D349AB">
      <w:pPr>
        <w:spacing w:after="0" w:line="360" w:lineRule="auto"/>
        <w:jc w:val="both"/>
        <w:rPr>
          <w:rFonts w:ascii="Palatino Linotype" w:eastAsia="Palatino Linotype" w:hAnsi="Palatino Linotype" w:cs="Palatino Linotype"/>
          <w:sz w:val="24"/>
          <w:szCs w:val="24"/>
        </w:rPr>
      </w:pPr>
    </w:p>
    <w:p w14:paraId="08834FAA" w14:textId="77777777" w:rsidR="00D349AB" w:rsidRDefault="005A1261">
      <w:pPr>
        <w:spacing w:after="0" w:line="360"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“XIII. </w:t>
      </w:r>
      <w:r>
        <w:rPr>
          <w:rFonts w:ascii="Palatino Linotype" w:eastAsia="Palatino Linotype" w:hAnsi="Palatino Linotype" w:cs="Palatino Linotype"/>
          <w:b/>
          <w:i/>
          <w:u w:val="single"/>
        </w:rPr>
        <w:t>Generar informes y estadísticas sobre actividades delictivas en el municipio</w:t>
      </w:r>
      <w:r>
        <w:rPr>
          <w:rFonts w:ascii="Palatino Linotype" w:eastAsia="Palatino Linotype" w:hAnsi="Palatino Linotype" w:cs="Palatino Linotype"/>
          <w:i/>
        </w:rPr>
        <w:t>;”</w:t>
      </w:r>
    </w:p>
    <w:p w14:paraId="3093E09C" w14:textId="77777777" w:rsidR="00D349AB" w:rsidRDefault="005A1261">
      <w:pPr>
        <w:spacing w:after="0" w:line="360" w:lineRule="auto"/>
        <w:ind w:left="567" w:right="560"/>
        <w:jc w:val="right"/>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341C8ED3" w14:textId="77777777" w:rsidR="00D349AB" w:rsidRDefault="00D349AB">
      <w:pPr>
        <w:spacing w:after="0" w:line="360" w:lineRule="auto"/>
        <w:ind w:left="567" w:right="560"/>
        <w:jc w:val="right"/>
        <w:rPr>
          <w:rFonts w:ascii="Palatino Linotype" w:eastAsia="Palatino Linotype" w:hAnsi="Palatino Linotype" w:cs="Palatino Linotype"/>
          <w:i/>
          <w:sz w:val="12"/>
          <w:szCs w:val="12"/>
        </w:rPr>
      </w:pPr>
    </w:p>
    <w:p w14:paraId="469FF970"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Asimismo, del análisis al Manual de Organización de la Dirección General de Seguridad y Protección, del Ayuntamiento de Toluca 2022-2024, se desprende en el artículo 3.31., fracción XIII, la o el titular de la Dirección General de Seguridad y Protección tiene, entre otras atribuciones, la de </w:t>
      </w:r>
      <w:r>
        <w:rPr>
          <w:rFonts w:ascii="Palatino Linotype" w:eastAsia="Palatino Linotype" w:hAnsi="Palatino Linotype" w:cs="Palatino Linotype"/>
          <w:b/>
          <w:i/>
          <w:sz w:val="24"/>
          <w:szCs w:val="24"/>
        </w:rPr>
        <w:t>“Generar informes y estadística sobre actividades delictivas en el municipio”</w:t>
      </w:r>
      <w:r>
        <w:rPr>
          <w:rFonts w:ascii="Palatino Linotype" w:eastAsia="Palatino Linotype" w:hAnsi="Palatino Linotype" w:cs="Palatino Linotype"/>
          <w:b/>
          <w:sz w:val="24"/>
          <w:szCs w:val="24"/>
        </w:rPr>
        <w:t>.</w:t>
      </w:r>
    </w:p>
    <w:p w14:paraId="02310DCA"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EEAB887"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Como se desprende de lo anterior, en efecto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por conducto de la Dirección General de Seguridad y Protección tiene dentro de sus atribuciones generar informes y estadística sobre actividades delictivas; advirtiéndose que puede conocer información relacionada con lo peticionado por la hoy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los incisos del a) al h), k) y l), referidos en la solicitud de información de origen.</w:t>
      </w:r>
    </w:p>
    <w:p w14:paraId="7DB5EB15"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70885E1"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igual manera, dentro de la estructura orgánica de la Dirección General de Seguridad y Protección, se desprende la existencia del Departamento de Recursos Humanos, quien tiene dentro de sus funciones conforme el aludido Manual de Organización, la de </w:t>
      </w:r>
      <w:r>
        <w:rPr>
          <w:rFonts w:ascii="Palatino Linotype" w:eastAsia="Palatino Linotype" w:hAnsi="Palatino Linotype" w:cs="Palatino Linotype"/>
          <w:b/>
          <w:sz w:val="24"/>
          <w:szCs w:val="24"/>
        </w:rPr>
        <w:t xml:space="preserve">ingresar los datos de los miembros del cuerpo policial en el Registro Nacional de Personal de Seguridad Pública (RNPSP), así como de la plataforma estatal llamada Registro de Listado Nominal (RELINO); </w:t>
      </w:r>
      <w:r>
        <w:rPr>
          <w:rFonts w:ascii="Palatino Linotype" w:eastAsia="Palatino Linotype" w:hAnsi="Palatino Linotype" w:cs="Palatino Linotype"/>
          <w:sz w:val="24"/>
          <w:szCs w:val="24"/>
        </w:rPr>
        <w:t>atribuciones que se encuentran relacionadas con la información peticionada por la parte solicitante indicada en el inciso j) relativo al número y sexo de policías de la dependencia en activo.</w:t>
      </w:r>
    </w:p>
    <w:p w14:paraId="2D04EF51"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15DC374"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lo anterior, si bien no existe obligación para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genere la información estadística al grado de desagregación requerida por la parte recurrente; la Dirección General de Seguridad y Protección del Ayuntamiento de Toluca, cuenta con atribuciones para conocer la información que se relaciona con lo peticionado; máxime que en respuesta dicha unidad administrativa fue quien se pronunció sobre lo requerido a través de la entrega de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w:t>
      </w:r>
    </w:p>
    <w:p w14:paraId="7520087D"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8F28AF5" w14:textId="77777777" w:rsidR="00D349AB" w:rsidRDefault="005A126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atendiendo que en el presente asunto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dio respuesta por conducto de la </w:t>
      </w:r>
      <w:r>
        <w:rPr>
          <w:rFonts w:ascii="Palatino Linotype" w:eastAsia="Palatino Linotype" w:hAnsi="Palatino Linotype" w:cs="Palatino Linotype"/>
          <w:b/>
          <w:sz w:val="24"/>
          <w:szCs w:val="24"/>
        </w:rPr>
        <w:t>Dirección General de Seguridad y Protección</w:t>
      </w:r>
      <w:r>
        <w:rPr>
          <w:rFonts w:ascii="Palatino Linotype" w:eastAsia="Palatino Linotype" w:hAnsi="Palatino Linotype" w:cs="Palatino Linotype"/>
          <w:sz w:val="24"/>
          <w:szCs w:val="24"/>
        </w:rPr>
        <w:t xml:space="preserve"> a requerimiento de </w:t>
      </w:r>
      <w:r>
        <w:rPr>
          <w:rFonts w:ascii="Palatino Linotype" w:eastAsia="Palatino Linotype" w:hAnsi="Palatino Linotype" w:cs="Palatino Linotype"/>
          <w:sz w:val="24"/>
          <w:szCs w:val="24"/>
        </w:rPr>
        <w:lastRenderedPageBreak/>
        <w:t>la Titular de la Unidad de Transparencia; se colige que quien dio atención a la solicitud de información fue la unidad administrativa competente, cumpliéndose a cabalidad con el requisito de turnar la solicitud de información a las áreas competentes que puedan poseer, generar y/o administrar la información requerida.</w:t>
      </w:r>
    </w:p>
    <w:p w14:paraId="3BC9DA68" w14:textId="77777777" w:rsidR="00D349AB" w:rsidRDefault="00D349AB">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49CC95DB" w14:textId="77777777" w:rsidR="00D349AB" w:rsidRDefault="005A12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89DD6BD" w14:textId="77777777" w:rsidR="00D349AB" w:rsidRDefault="00D349AB">
      <w:pPr>
        <w:spacing w:after="0" w:line="360" w:lineRule="auto"/>
        <w:rPr>
          <w:rFonts w:ascii="Times New Roman" w:eastAsia="Times New Roman" w:hAnsi="Times New Roman" w:cs="Times New Roman"/>
          <w:sz w:val="24"/>
          <w:szCs w:val="24"/>
        </w:rPr>
      </w:pPr>
    </w:p>
    <w:p w14:paraId="6A43E4E1" w14:textId="77777777" w:rsidR="00D349AB" w:rsidRDefault="005A126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9B06BDF" w14:textId="77777777" w:rsidR="00D349AB" w:rsidRDefault="00D349AB">
      <w:pPr>
        <w:pBdr>
          <w:top w:val="nil"/>
          <w:left w:val="nil"/>
          <w:bottom w:val="nil"/>
          <w:right w:val="nil"/>
          <w:between w:val="nil"/>
        </w:pBdr>
        <w:spacing w:after="0" w:line="360" w:lineRule="auto"/>
        <w:ind w:left="360"/>
        <w:jc w:val="both"/>
        <w:rPr>
          <w:rFonts w:ascii="Palatino Linotype" w:eastAsia="Palatino Linotype" w:hAnsi="Palatino Linotype" w:cs="Palatino Linotype"/>
          <w:color w:val="000000"/>
        </w:rPr>
      </w:pPr>
    </w:p>
    <w:p w14:paraId="10272594" w14:textId="77777777" w:rsidR="00D349AB" w:rsidRDefault="005A126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8D950E4" w14:textId="77777777" w:rsidR="00D349AB" w:rsidRDefault="00D349AB">
      <w:pPr>
        <w:pBdr>
          <w:top w:val="nil"/>
          <w:left w:val="nil"/>
          <w:bottom w:val="nil"/>
          <w:right w:val="nil"/>
          <w:between w:val="nil"/>
        </w:pBdr>
        <w:ind w:left="720"/>
        <w:rPr>
          <w:rFonts w:ascii="Palatino Linotype" w:eastAsia="Palatino Linotype" w:hAnsi="Palatino Linotype" w:cs="Palatino Linotype"/>
          <w:color w:val="000000"/>
        </w:rPr>
      </w:pPr>
    </w:p>
    <w:p w14:paraId="54012886" w14:textId="77777777" w:rsidR="00D349AB" w:rsidRDefault="005A126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respuestas a los requerimientos informativos deberán notificarse al interesado en el menor tiempo posible, que no podrá exceder </w:t>
      </w:r>
      <w:r>
        <w:rPr>
          <w:rFonts w:ascii="Palatino Linotype" w:eastAsia="Palatino Linotype" w:hAnsi="Palatino Linotype" w:cs="Palatino Linotype"/>
          <w:b/>
          <w:color w:val="000000"/>
        </w:rPr>
        <w:t>quince días, contados a partir del día siguiente a la presentación de ésta.</w:t>
      </w:r>
      <w:r>
        <w:rPr>
          <w:rFonts w:ascii="Palatino Linotype" w:eastAsia="Palatino Linotype" w:hAnsi="Palatino Linotype" w:cs="Palatino Linotype"/>
          <w:color w:val="000000"/>
        </w:rPr>
        <w:t xml:space="preserve"> Excepcionalmente, el plazo referido podrá ampliarse </w:t>
      </w:r>
      <w:r>
        <w:rPr>
          <w:rFonts w:ascii="Palatino Linotype" w:eastAsia="Palatino Linotype" w:hAnsi="Palatino Linotype" w:cs="Palatino Linotype"/>
          <w:color w:val="000000"/>
        </w:rPr>
        <w:lastRenderedPageBreak/>
        <w:t>por siete días hábiles más, cuando existan razones fundadas y motivadas, a través del Comité de Transparencia;</w:t>
      </w:r>
    </w:p>
    <w:p w14:paraId="4B7C7385" w14:textId="77777777" w:rsidR="00D349AB" w:rsidRDefault="00D349AB">
      <w:pPr>
        <w:pBdr>
          <w:top w:val="nil"/>
          <w:left w:val="nil"/>
          <w:bottom w:val="nil"/>
          <w:right w:val="nil"/>
          <w:between w:val="nil"/>
        </w:pBdr>
        <w:ind w:left="720"/>
        <w:rPr>
          <w:rFonts w:ascii="Palatino Linotype" w:eastAsia="Palatino Linotype" w:hAnsi="Palatino Linotype" w:cs="Palatino Linotype"/>
          <w:color w:val="000000"/>
        </w:rPr>
      </w:pPr>
    </w:p>
    <w:p w14:paraId="0068A32A" w14:textId="77777777" w:rsidR="00D349AB" w:rsidRDefault="005A126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94840AC" w14:textId="77777777" w:rsidR="00D349AB" w:rsidRDefault="00D349AB">
      <w:pPr>
        <w:pBdr>
          <w:top w:val="nil"/>
          <w:left w:val="nil"/>
          <w:bottom w:val="nil"/>
          <w:right w:val="nil"/>
          <w:between w:val="nil"/>
        </w:pBdr>
        <w:ind w:left="720"/>
        <w:rPr>
          <w:rFonts w:ascii="Palatino Linotype" w:eastAsia="Palatino Linotype" w:hAnsi="Palatino Linotype" w:cs="Palatino Linotype"/>
          <w:b/>
          <w:color w:val="000000"/>
          <w:u w:val="single"/>
        </w:rPr>
      </w:pPr>
    </w:p>
    <w:p w14:paraId="73E5EC16" w14:textId="77777777" w:rsidR="00D349AB" w:rsidRDefault="005A126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69EFBE8" w14:textId="77777777" w:rsidR="00D349AB" w:rsidRDefault="00D349AB">
      <w:pPr>
        <w:pBdr>
          <w:top w:val="nil"/>
          <w:left w:val="nil"/>
          <w:bottom w:val="nil"/>
          <w:right w:val="nil"/>
          <w:between w:val="nil"/>
        </w:pBdr>
        <w:spacing w:after="0" w:line="360" w:lineRule="auto"/>
        <w:ind w:left="360"/>
        <w:jc w:val="both"/>
        <w:rPr>
          <w:rFonts w:ascii="Palatino Linotype" w:eastAsia="Palatino Linotype" w:hAnsi="Palatino Linotype" w:cs="Palatino Linotype"/>
          <w:b/>
          <w:color w:val="000000"/>
        </w:rPr>
      </w:pPr>
    </w:p>
    <w:p w14:paraId="2C32CD1F" w14:textId="77777777" w:rsidR="00D349AB" w:rsidRDefault="005A126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Pr>
          <w:rFonts w:ascii="Palatino Linotype" w:eastAsia="Palatino Linotype" w:hAnsi="Palatino Linotype" w:cs="Palatino Linotype"/>
        </w:rPr>
        <w:t>transcurrida</w:t>
      </w:r>
      <w:r>
        <w:rPr>
          <w:rFonts w:ascii="Palatino Linotype" w:eastAsia="Palatino Linotype" w:hAnsi="Palatino Linotype" w:cs="Palatino Linotype"/>
          <w:color w:val="000000"/>
        </w:rPr>
        <w:t xml:space="preserve"> dicha temporalidad, los Sujetos Obligados darán por concluida la solicitud y procederán de ser el caso, a la destrucción del material.</w:t>
      </w:r>
    </w:p>
    <w:p w14:paraId="33F3EFEF" w14:textId="77777777" w:rsidR="00D349AB" w:rsidRDefault="00D349AB">
      <w:pPr>
        <w:spacing w:after="0" w:line="360" w:lineRule="auto"/>
        <w:rPr>
          <w:rFonts w:ascii="Times New Roman" w:eastAsia="Times New Roman" w:hAnsi="Times New Roman" w:cs="Times New Roman"/>
          <w:sz w:val="24"/>
          <w:szCs w:val="24"/>
        </w:rPr>
      </w:pPr>
    </w:p>
    <w:p w14:paraId="30487D37" w14:textId="77777777" w:rsidR="00D349AB" w:rsidRDefault="005A1261">
      <w:p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En el caso se desprende que la Unidad de Transparencia turnó la solicitud de información al área competente que cuenta con la información de acuerdo con sus facultades, funciones y atribuciones, y esta una vez realizada la búsqueda exhaustiva </w:t>
      </w:r>
      <w:r>
        <w:rPr>
          <w:rFonts w:ascii="Palatino Linotype" w:eastAsia="Palatino Linotype" w:hAnsi="Palatino Linotype" w:cs="Palatino Linotype"/>
          <w:color w:val="000000"/>
          <w:sz w:val="24"/>
          <w:szCs w:val="24"/>
        </w:rPr>
        <w:lastRenderedPageBreak/>
        <w:t xml:space="preserve">y razonable de la documentación solicitada, se pronunció respecto de la misma y aportó parte de lo requerido como se precisará más adelante; por lo que, </w:t>
      </w:r>
      <w:r>
        <w:rPr>
          <w:rFonts w:ascii="Palatino Linotype" w:eastAsia="Palatino Linotype" w:hAnsi="Palatino Linotype" w:cs="Palatino Linotype"/>
          <w:b/>
          <w:color w:val="000000"/>
          <w:sz w:val="24"/>
          <w:szCs w:val="24"/>
          <w:u w:val="single"/>
        </w:rPr>
        <w:t>el procedimiento de búsqueda de la información se tiene por atendido. </w:t>
      </w:r>
    </w:p>
    <w:p w14:paraId="67F87534"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41B53E02" w14:textId="77777777" w:rsidR="00D349AB" w:rsidRDefault="005A1261">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que, en el caso se pronunció la unidad administrativa competente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del análisis a la información que remitió en respuesta, se desprende que la misma fue aportada de forma incompleta, como se analizará en el siguiente apartado: </w:t>
      </w:r>
    </w:p>
    <w:p w14:paraId="61189EB4"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88D4047"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B. De la solicitud de información, respuesta e informe justificado del Sujeto Obligado:</w:t>
      </w:r>
    </w:p>
    <w:p w14:paraId="2DE791F3"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27D6ECEC" w14:textId="77777777" w:rsidR="00D349AB" w:rsidRDefault="005A126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 efecto de verificar si en el caso se colmó la solicitud de información, por cuestión de método se estima pertinente insertar el siguiente cuadro de análisis, en el que se precisarán los requerimientos de la hoy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respuesta medular emitida a cada requerimiento por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los motivos de inconformidad y el contenido del informe justificado rendido por dicho ente público, como se sigue:</w:t>
      </w:r>
    </w:p>
    <w:tbl>
      <w:tblPr>
        <w:tblStyle w:val="a9"/>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4"/>
        <w:gridCol w:w="2529"/>
        <w:gridCol w:w="1433"/>
        <w:gridCol w:w="1297"/>
        <w:gridCol w:w="1262"/>
      </w:tblGrid>
      <w:tr w:rsidR="00D349AB" w14:paraId="2995D98E" w14:textId="77777777">
        <w:tc>
          <w:tcPr>
            <w:tcW w:w="9055" w:type="dxa"/>
            <w:gridSpan w:val="5"/>
            <w:shd w:val="clear" w:color="auto" w:fill="F7CBAC"/>
          </w:tcPr>
          <w:p w14:paraId="7B4BE4CF"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Recurso de revisión 02564/INFOEM/IP/RR/2023</w:t>
            </w:r>
          </w:p>
        </w:tc>
      </w:tr>
      <w:tr w:rsidR="00D349AB" w14:paraId="4508C5CD" w14:textId="77777777">
        <w:tc>
          <w:tcPr>
            <w:tcW w:w="2534" w:type="dxa"/>
            <w:shd w:val="clear" w:color="auto" w:fill="F7CBAC"/>
          </w:tcPr>
          <w:p w14:paraId="74C7D5E7" w14:textId="77777777" w:rsidR="00D349AB" w:rsidRDefault="005A1261">
            <w:pPr>
              <w:pBdr>
                <w:top w:val="nil"/>
                <w:left w:val="nil"/>
                <w:bottom w:val="nil"/>
                <w:right w:val="nil"/>
                <w:between w:val="nil"/>
              </w:pBdr>
              <w:spacing w:line="240" w:lineRule="auto"/>
              <w:ind w:left="-113" w:right="-150"/>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Requerimientos:</w:t>
            </w:r>
          </w:p>
          <w:p w14:paraId="3165FD66"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Respecto de los años 2020, 2021 y 2022, la información que a continuación se precisa, de manera desagregada por fecha, en caso de existir la misma:</w:t>
            </w:r>
          </w:p>
        </w:tc>
        <w:tc>
          <w:tcPr>
            <w:tcW w:w="2529" w:type="dxa"/>
            <w:shd w:val="clear" w:color="auto" w:fill="F7CBAC"/>
          </w:tcPr>
          <w:p w14:paraId="30B6FCE9" w14:textId="77777777" w:rsidR="00D349AB" w:rsidRDefault="005A1261">
            <w:pPr>
              <w:pBdr>
                <w:top w:val="nil"/>
                <w:left w:val="nil"/>
                <w:bottom w:val="nil"/>
                <w:right w:val="nil"/>
                <w:between w:val="nil"/>
              </w:pBdr>
              <w:spacing w:line="240" w:lineRule="auto"/>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Respuesta</w:t>
            </w:r>
          </w:p>
        </w:tc>
        <w:tc>
          <w:tcPr>
            <w:tcW w:w="1433" w:type="dxa"/>
            <w:shd w:val="clear" w:color="auto" w:fill="F7CBAC"/>
          </w:tcPr>
          <w:p w14:paraId="77113BBA" w14:textId="77777777" w:rsidR="00D349AB" w:rsidRDefault="005A1261">
            <w:pPr>
              <w:pBdr>
                <w:top w:val="nil"/>
                <w:left w:val="nil"/>
                <w:bottom w:val="nil"/>
                <w:right w:val="nil"/>
                <w:between w:val="nil"/>
              </w:pBdr>
              <w:spacing w:line="240" w:lineRule="auto"/>
              <w:ind w:right="-150"/>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 xml:space="preserve">Motivos de inconformidad </w:t>
            </w:r>
          </w:p>
        </w:tc>
        <w:tc>
          <w:tcPr>
            <w:tcW w:w="1297" w:type="dxa"/>
            <w:shd w:val="clear" w:color="auto" w:fill="F7CBAC"/>
          </w:tcPr>
          <w:p w14:paraId="6B2D3A8A" w14:textId="77777777" w:rsidR="00D349AB" w:rsidRDefault="005A1261">
            <w:pPr>
              <w:pBdr>
                <w:top w:val="nil"/>
                <w:left w:val="nil"/>
                <w:bottom w:val="nil"/>
                <w:right w:val="nil"/>
                <w:between w:val="nil"/>
              </w:pBdr>
              <w:spacing w:line="240" w:lineRule="auto"/>
              <w:ind w:right="-150"/>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Informe Justificado</w:t>
            </w:r>
          </w:p>
        </w:tc>
        <w:tc>
          <w:tcPr>
            <w:tcW w:w="1262" w:type="dxa"/>
            <w:shd w:val="clear" w:color="auto" w:fill="F7CBAC"/>
          </w:tcPr>
          <w:p w14:paraId="412BB698"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¿Colma?</w:t>
            </w:r>
          </w:p>
        </w:tc>
      </w:tr>
      <w:tr w:rsidR="00D349AB" w14:paraId="0F411D17" w14:textId="77777777">
        <w:tc>
          <w:tcPr>
            <w:tcW w:w="2534" w:type="dxa"/>
            <w:shd w:val="clear" w:color="auto" w:fill="auto"/>
          </w:tcPr>
          <w:p w14:paraId="7C99287A"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 xml:space="preserve">a) Eventos en los que se ha hecho uso de armas de fuego por parte de algún elemento </w:t>
            </w:r>
            <w:r>
              <w:rPr>
                <w:rFonts w:ascii="Palatino Linotype" w:eastAsia="Palatino Linotype" w:hAnsi="Palatino Linotype" w:cs="Palatino Linotype"/>
                <w:b/>
                <w:sz w:val="17"/>
                <w:szCs w:val="17"/>
              </w:rPr>
              <w:lastRenderedPageBreak/>
              <w:t>de la policía de esta dependencia en servicio.</w:t>
            </w:r>
          </w:p>
        </w:tc>
        <w:tc>
          <w:tcPr>
            <w:tcW w:w="2529" w:type="dxa"/>
            <w:shd w:val="clear" w:color="auto" w:fill="auto"/>
          </w:tcPr>
          <w:p w14:paraId="1AB2DCD0"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lastRenderedPageBreak/>
              <w:t xml:space="preserve">Con relación a este inciso, se indicó que en fecha seis de marzo de dos mil veinte se tuvo conocimiento de un </w:t>
            </w:r>
            <w:r>
              <w:rPr>
                <w:rFonts w:ascii="Palatino Linotype" w:eastAsia="Palatino Linotype" w:hAnsi="Palatino Linotype" w:cs="Palatino Linotype"/>
                <w:sz w:val="17"/>
                <w:szCs w:val="17"/>
              </w:rPr>
              <w:lastRenderedPageBreak/>
              <w:t xml:space="preserve">evento en la Colonia San Lorenzo Tepatitlán, en el que se vieron involucrados elementos de esa corporación, adjuntando la liga electrónica siguiente: </w:t>
            </w:r>
            <w:hyperlink r:id="rId17">
              <w:r>
                <w:rPr>
                  <w:rFonts w:ascii="Palatino Linotype" w:eastAsia="Palatino Linotype" w:hAnsi="Palatino Linotype" w:cs="Palatino Linotype"/>
                  <w:color w:val="0563C1"/>
                  <w:sz w:val="17"/>
                  <w:szCs w:val="17"/>
                  <w:u w:val="single"/>
                </w:rPr>
                <w:t>https://mvt.com.mx/policia-de-toluca-muere-y-dos-resultan-lesionados-salvando-a-mujer-violentada</w:t>
              </w:r>
            </w:hyperlink>
            <w:r>
              <w:rPr>
                <w:rFonts w:ascii="Palatino Linotype" w:eastAsia="Palatino Linotype" w:hAnsi="Palatino Linotype" w:cs="Palatino Linotype"/>
                <w:sz w:val="17"/>
                <w:szCs w:val="17"/>
              </w:rPr>
              <w:t xml:space="preserve"> para su constancia, de cuya consulta se advierte una noticia del </w:t>
            </w:r>
            <w:r>
              <w:rPr>
                <w:rFonts w:ascii="Palatino Linotype" w:eastAsia="Palatino Linotype" w:hAnsi="Palatino Linotype" w:cs="Palatino Linotype"/>
                <w:b/>
                <w:sz w:val="17"/>
                <w:szCs w:val="17"/>
              </w:rPr>
              <w:t>seis de marzo de dos mil veinte</w:t>
            </w:r>
            <w:r>
              <w:rPr>
                <w:rFonts w:ascii="Palatino Linotype" w:eastAsia="Palatino Linotype" w:hAnsi="Palatino Linotype" w:cs="Palatino Linotype"/>
                <w:sz w:val="17"/>
                <w:szCs w:val="17"/>
              </w:rPr>
              <w:t xml:space="preserve">, en la que indican que un comandante de la policía municipal de Toluca fue asesinado </w:t>
            </w:r>
            <w:r w:rsidRPr="00A61815">
              <w:rPr>
                <w:rFonts w:ascii="Palatino Linotype" w:eastAsia="Palatino Linotype" w:hAnsi="Palatino Linotype" w:cs="Palatino Linotype"/>
                <w:sz w:val="17"/>
                <w:szCs w:val="17"/>
              </w:rPr>
              <w:t>y otros dos policías resultaron lesionados</w:t>
            </w:r>
            <w:r>
              <w:rPr>
                <w:rFonts w:ascii="Palatino Linotype" w:eastAsia="Palatino Linotype" w:hAnsi="Palatino Linotype" w:cs="Palatino Linotype"/>
                <w:sz w:val="17"/>
                <w:szCs w:val="17"/>
              </w:rPr>
              <w:t>, uno de ellos con un disparo en la cabeza</w:t>
            </w:r>
            <w:r>
              <w:rPr>
                <w:sz w:val="17"/>
                <w:szCs w:val="17"/>
              </w:rPr>
              <w:t xml:space="preserve"> </w:t>
            </w:r>
            <w:r>
              <w:rPr>
                <w:rFonts w:ascii="Palatino Linotype" w:eastAsia="Palatino Linotype" w:hAnsi="Palatino Linotype" w:cs="Palatino Linotype"/>
                <w:sz w:val="17"/>
                <w:szCs w:val="17"/>
              </w:rPr>
              <w:t>cuando atendían una solicitud de auxilio por violencia intrafamiliar en San Lorenzo Tepaltitlán, y que posteriormente, tras una persecución, el sujeto agresor fue abatido por policías municipales que llegaron en apoyo.</w:t>
            </w:r>
          </w:p>
        </w:tc>
        <w:tc>
          <w:tcPr>
            <w:tcW w:w="1433" w:type="dxa"/>
            <w:vMerge w:val="restart"/>
          </w:tcPr>
          <w:p w14:paraId="5ACDE137"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lastRenderedPageBreak/>
              <w:t xml:space="preserve">El particular se adolece de la entrega de </w:t>
            </w:r>
            <w:r>
              <w:rPr>
                <w:rFonts w:ascii="Palatino Linotype" w:eastAsia="Palatino Linotype" w:hAnsi="Palatino Linotype" w:cs="Palatino Linotype"/>
                <w:sz w:val="17"/>
                <w:szCs w:val="17"/>
              </w:rPr>
              <w:lastRenderedPageBreak/>
              <w:t>información incompleta.</w:t>
            </w:r>
          </w:p>
        </w:tc>
        <w:tc>
          <w:tcPr>
            <w:tcW w:w="1297" w:type="dxa"/>
            <w:vMerge w:val="restart"/>
            <w:shd w:val="clear" w:color="auto" w:fill="auto"/>
          </w:tcPr>
          <w:p w14:paraId="2745EA07" w14:textId="77777777" w:rsidR="00D349AB" w:rsidRDefault="005A1261">
            <w:pPr>
              <w:pBdr>
                <w:top w:val="nil"/>
                <w:left w:val="nil"/>
                <w:bottom w:val="nil"/>
                <w:right w:val="nil"/>
                <w:between w:val="nil"/>
              </w:pBdr>
              <w:spacing w:line="240" w:lineRule="auto"/>
              <w:jc w:val="center"/>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lastRenderedPageBreak/>
              <w:t>Ratifica respuesta inicial</w:t>
            </w:r>
          </w:p>
        </w:tc>
        <w:tc>
          <w:tcPr>
            <w:tcW w:w="1262" w:type="dxa"/>
            <w:shd w:val="clear" w:color="auto" w:fill="auto"/>
          </w:tcPr>
          <w:p w14:paraId="402FC95D"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044CBED1" w14:textId="77777777" w:rsidR="00CD4C94" w:rsidRDefault="00CD4C94" w:rsidP="00CD4C94">
            <w:pPr>
              <w:pBdr>
                <w:top w:val="nil"/>
                <w:left w:val="nil"/>
                <w:bottom w:val="nil"/>
                <w:right w:val="nil"/>
                <w:between w:val="nil"/>
              </w:pBdr>
              <w:spacing w:line="240" w:lineRule="auto"/>
              <w:ind w:right="35"/>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 xml:space="preserve">Proporcionó el dato </w:t>
            </w:r>
            <w:r>
              <w:rPr>
                <w:rFonts w:ascii="Palatino Linotype" w:eastAsia="Palatino Linotype" w:hAnsi="Palatino Linotype" w:cs="Palatino Linotype"/>
                <w:b/>
                <w:sz w:val="17"/>
                <w:szCs w:val="17"/>
              </w:rPr>
              <w:lastRenderedPageBreak/>
              <w:t xml:space="preserve">estadístico solicitado, siendo sólo uno en el periodo solicitado. </w:t>
            </w:r>
          </w:p>
        </w:tc>
      </w:tr>
      <w:tr w:rsidR="00D349AB" w14:paraId="4188DED0" w14:textId="77777777">
        <w:tc>
          <w:tcPr>
            <w:tcW w:w="2534" w:type="dxa"/>
            <w:shd w:val="clear" w:color="auto" w:fill="auto"/>
          </w:tcPr>
          <w:p w14:paraId="5005A191"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lastRenderedPageBreak/>
              <w:t>b)</w:t>
            </w:r>
            <w:r>
              <w:rPr>
                <w:rFonts w:ascii="Palatino Linotype" w:eastAsia="Palatino Linotype" w:hAnsi="Palatino Linotype" w:cs="Palatino Linotype"/>
                <w:b/>
                <w:sz w:val="17"/>
                <w:szCs w:val="17"/>
              </w:rPr>
              <w:tab/>
              <w:t>Número de policías de esa dependencia fallecidos en servicio por arma de fuego.</w:t>
            </w:r>
          </w:p>
        </w:tc>
        <w:tc>
          <w:tcPr>
            <w:tcW w:w="2529" w:type="dxa"/>
            <w:shd w:val="clear" w:color="auto" w:fill="auto"/>
          </w:tcPr>
          <w:p w14:paraId="031429F2"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Se indica que se contesta con lo informado respecto del inciso a).</w:t>
            </w:r>
          </w:p>
          <w:p w14:paraId="3799DC77"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 xml:space="preserve">Desprendiéndose de la noticia del </w:t>
            </w:r>
            <w:r>
              <w:rPr>
                <w:rFonts w:ascii="Palatino Linotype" w:eastAsia="Palatino Linotype" w:hAnsi="Palatino Linotype" w:cs="Palatino Linotype"/>
                <w:b/>
                <w:sz w:val="17"/>
                <w:szCs w:val="17"/>
              </w:rPr>
              <w:t>seis de marzo de dos mil veinte</w:t>
            </w:r>
            <w:r>
              <w:rPr>
                <w:rFonts w:ascii="Palatino Linotype" w:eastAsia="Palatino Linotype" w:hAnsi="Palatino Linotype" w:cs="Palatino Linotype"/>
                <w:sz w:val="17"/>
                <w:szCs w:val="17"/>
              </w:rPr>
              <w:t xml:space="preserve"> aportada para atender lo requerido en el inciso a), se advierte que en el periodo solicitado, se tuvo conocimiento de </w:t>
            </w:r>
            <w:r>
              <w:rPr>
                <w:rFonts w:ascii="Palatino Linotype" w:eastAsia="Palatino Linotype" w:hAnsi="Palatino Linotype" w:cs="Palatino Linotype"/>
                <w:b/>
                <w:sz w:val="17"/>
                <w:szCs w:val="17"/>
              </w:rPr>
              <w:t>un policía fallecido,</w:t>
            </w:r>
            <w:r>
              <w:rPr>
                <w:rFonts w:ascii="Palatino Linotype" w:eastAsia="Palatino Linotype" w:hAnsi="Palatino Linotype" w:cs="Palatino Linotype"/>
                <w:sz w:val="17"/>
                <w:szCs w:val="17"/>
              </w:rPr>
              <w:t xml:space="preserve"> siendo este un comandante técnico operativo.</w:t>
            </w:r>
          </w:p>
        </w:tc>
        <w:tc>
          <w:tcPr>
            <w:tcW w:w="1433" w:type="dxa"/>
            <w:vMerge/>
          </w:tcPr>
          <w:p w14:paraId="24AB99E0"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663AEC48"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7D87720D"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502F4C24" w14:textId="77777777" w:rsidR="00CD4C94" w:rsidRDefault="00CD4C94" w:rsidP="00CD4C94">
            <w:pPr>
              <w:pBdr>
                <w:top w:val="nil"/>
                <w:left w:val="nil"/>
                <w:bottom w:val="nil"/>
                <w:right w:val="nil"/>
                <w:between w:val="nil"/>
              </w:pBdr>
              <w:spacing w:line="240" w:lineRule="auto"/>
              <w:ind w:right="35"/>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Proporcionó el dato estadístico solicitado, siendo sólo uno en el periodo solicitado.</w:t>
            </w:r>
          </w:p>
        </w:tc>
      </w:tr>
      <w:tr w:rsidR="00D349AB" w14:paraId="4D67C7AF" w14:textId="77777777">
        <w:tc>
          <w:tcPr>
            <w:tcW w:w="2534" w:type="dxa"/>
            <w:shd w:val="clear" w:color="auto" w:fill="auto"/>
          </w:tcPr>
          <w:p w14:paraId="3AD8B452"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c) Número de policías de esa dependencia heridos en servicio por arma de fuego.</w:t>
            </w:r>
          </w:p>
          <w:p w14:paraId="268A70B4" w14:textId="77777777" w:rsidR="00D349AB" w:rsidRDefault="00D349AB">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p>
        </w:tc>
        <w:tc>
          <w:tcPr>
            <w:tcW w:w="2529" w:type="dxa"/>
            <w:shd w:val="clear" w:color="auto" w:fill="auto"/>
          </w:tcPr>
          <w:p w14:paraId="281264BC"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 xml:space="preserve">Se señaló que se tenía conocimiento de un hecho suscitado en fecha </w:t>
            </w:r>
            <w:r>
              <w:rPr>
                <w:rFonts w:ascii="Palatino Linotype" w:eastAsia="Palatino Linotype" w:hAnsi="Palatino Linotype" w:cs="Palatino Linotype"/>
                <w:b/>
                <w:sz w:val="17"/>
                <w:szCs w:val="17"/>
              </w:rPr>
              <w:t>cinco de enero de dos mil veintitrés</w:t>
            </w:r>
            <w:r>
              <w:rPr>
                <w:rFonts w:ascii="Palatino Linotype" w:eastAsia="Palatino Linotype" w:hAnsi="Palatino Linotype" w:cs="Palatino Linotype"/>
                <w:sz w:val="17"/>
                <w:szCs w:val="17"/>
              </w:rPr>
              <w:t xml:space="preserve">, en donde </w:t>
            </w:r>
            <w:r w:rsidRPr="00A61815">
              <w:rPr>
                <w:rFonts w:ascii="Palatino Linotype" w:eastAsia="Palatino Linotype" w:hAnsi="Palatino Linotype" w:cs="Palatino Linotype"/>
                <w:sz w:val="17"/>
                <w:szCs w:val="17"/>
              </w:rPr>
              <w:t>un policía fue herido por arma de fuego de manera accidental.</w:t>
            </w:r>
          </w:p>
        </w:tc>
        <w:tc>
          <w:tcPr>
            <w:tcW w:w="1433" w:type="dxa"/>
            <w:vMerge/>
          </w:tcPr>
          <w:p w14:paraId="64AF54BD"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3552CBB3"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445D613A"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NO</w:t>
            </w:r>
          </w:p>
        </w:tc>
      </w:tr>
      <w:tr w:rsidR="00D349AB" w14:paraId="24319D8A" w14:textId="77777777">
        <w:tc>
          <w:tcPr>
            <w:tcW w:w="2534" w:type="dxa"/>
            <w:shd w:val="clear" w:color="auto" w:fill="auto"/>
          </w:tcPr>
          <w:p w14:paraId="216467B5"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lastRenderedPageBreak/>
              <w:t>d)</w:t>
            </w:r>
            <w:r>
              <w:rPr>
                <w:rFonts w:ascii="Palatino Linotype" w:eastAsia="Palatino Linotype" w:hAnsi="Palatino Linotype" w:cs="Palatino Linotype"/>
                <w:b/>
                <w:sz w:val="17"/>
                <w:szCs w:val="17"/>
              </w:rPr>
              <w:tab/>
              <w:t>Sexo y edad de los policías de esta dependencia fallecidos y heridos en servicio por arma de fuego.</w:t>
            </w:r>
          </w:p>
        </w:tc>
        <w:tc>
          <w:tcPr>
            <w:tcW w:w="2529" w:type="dxa"/>
            <w:shd w:val="clear" w:color="auto" w:fill="auto"/>
          </w:tcPr>
          <w:p w14:paraId="23EB4A25"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sidRPr="00A61815">
              <w:rPr>
                <w:rFonts w:ascii="Palatino Linotype" w:eastAsia="Palatino Linotype" w:hAnsi="Palatino Linotype" w:cs="Palatino Linotype"/>
                <w:sz w:val="17"/>
                <w:szCs w:val="17"/>
              </w:rPr>
              <w:t>Se indica que fue un hombre de 36 años.</w:t>
            </w:r>
          </w:p>
        </w:tc>
        <w:tc>
          <w:tcPr>
            <w:tcW w:w="1433" w:type="dxa"/>
            <w:vMerge/>
          </w:tcPr>
          <w:p w14:paraId="14883A8C"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493ABCD0"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6D6A5AFD"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sz w:val="17"/>
                <w:szCs w:val="17"/>
              </w:rPr>
            </w:pPr>
            <w:r>
              <w:rPr>
                <w:rFonts w:ascii="Palatino Linotype" w:eastAsia="Palatino Linotype" w:hAnsi="Palatino Linotype" w:cs="Palatino Linotype"/>
                <w:b/>
                <w:sz w:val="17"/>
                <w:szCs w:val="17"/>
              </w:rPr>
              <w:t>NO</w:t>
            </w:r>
          </w:p>
        </w:tc>
      </w:tr>
      <w:tr w:rsidR="00D349AB" w14:paraId="6C63CF68" w14:textId="77777777">
        <w:tc>
          <w:tcPr>
            <w:tcW w:w="2534" w:type="dxa"/>
            <w:shd w:val="clear" w:color="auto" w:fill="auto"/>
          </w:tcPr>
          <w:p w14:paraId="1E7573E7"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e)</w:t>
            </w:r>
            <w:r>
              <w:rPr>
                <w:rFonts w:ascii="Palatino Linotype" w:eastAsia="Palatino Linotype" w:hAnsi="Palatino Linotype" w:cs="Palatino Linotype"/>
                <w:b/>
                <w:sz w:val="17"/>
                <w:szCs w:val="17"/>
              </w:rPr>
              <w:tab/>
              <w:t>Número de civiles muertos por arma de fuego accionada por un policía de esa dependencia.</w:t>
            </w:r>
          </w:p>
        </w:tc>
        <w:tc>
          <w:tcPr>
            <w:tcW w:w="2529" w:type="dxa"/>
            <w:shd w:val="clear" w:color="auto" w:fill="auto"/>
          </w:tcPr>
          <w:p w14:paraId="1AEC244F"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Se precisa que se contesta con lo informado en el inciso a).</w:t>
            </w:r>
          </w:p>
          <w:p w14:paraId="7039B7CC"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b/>
                <w:sz w:val="17"/>
                <w:szCs w:val="17"/>
              </w:rPr>
            </w:pPr>
            <w:r>
              <w:rPr>
                <w:rFonts w:ascii="Palatino Linotype" w:eastAsia="Palatino Linotype" w:hAnsi="Palatino Linotype" w:cs="Palatino Linotype"/>
                <w:sz w:val="17"/>
                <w:szCs w:val="17"/>
              </w:rPr>
              <w:t xml:space="preserve">Advirtiéndose de la noticia del </w:t>
            </w:r>
            <w:r>
              <w:rPr>
                <w:rFonts w:ascii="Palatino Linotype" w:eastAsia="Palatino Linotype" w:hAnsi="Palatino Linotype" w:cs="Palatino Linotype"/>
                <w:b/>
                <w:sz w:val="17"/>
                <w:szCs w:val="17"/>
              </w:rPr>
              <w:t>seis de marzo de dos mil veinte</w:t>
            </w:r>
            <w:r>
              <w:rPr>
                <w:rFonts w:ascii="Palatino Linotype" w:eastAsia="Palatino Linotype" w:hAnsi="Palatino Linotype" w:cs="Palatino Linotype"/>
                <w:sz w:val="17"/>
                <w:szCs w:val="17"/>
              </w:rPr>
              <w:t xml:space="preserve"> aportada mediante la liga electrónica indicada en el inciso a), que con motivo del hecho suscitado cuando atendían una solicitud de auxilio por violencia intrafamiliar en San Lorenzo Tepaltitlán, tras una persecución, </w:t>
            </w:r>
            <w:r>
              <w:rPr>
                <w:rFonts w:ascii="Palatino Linotype" w:eastAsia="Palatino Linotype" w:hAnsi="Palatino Linotype" w:cs="Palatino Linotype"/>
                <w:b/>
                <w:sz w:val="17"/>
                <w:szCs w:val="17"/>
              </w:rPr>
              <w:t>el sujeto agresor fue abatido por policías municipales que llegaron en apoyo.</w:t>
            </w:r>
          </w:p>
          <w:p w14:paraId="714D09CA"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De lo anterior, se tiene que fue un civil quien falleció por policías municipales.</w:t>
            </w:r>
          </w:p>
        </w:tc>
        <w:tc>
          <w:tcPr>
            <w:tcW w:w="1433" w:type="dxa"/>
            <w:vMerge/>
          </w:tcPr>
          <w:p w14:paraId="337D6DD0"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b/>
                <w:sz w:val="17"/>
                <w:szCs w:val="17"/>
              </w:rPr>
            </w:pPr>
          </w:p>
        </w:tc>
        <w:tc>
          <w:tcPr>
            <w:tcW w:w="1297" w:type="dxa"/>
            <w:vMerge/>
            <w:shd w:val="clear" w:color="auto" w:fill="auto"/>
          </w:tcPr>
          <w:p w14:paraId="6DEA9FE6"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b/>
                <w:sz w:val="17"/>
                <w:szCs w:val="17"/>
              </w:rPr>
            </w:pPr>
          </w:p>
        </w:tc>
        <w:tc>
          <w:tcPr>
            <w:tcW w:w="1262" w:type="dxa"/>
            <w:shd w:val="clear" w:color="auto" w:fill="auto"/>
          </w:tcPr>
          <w:p w14:paraId="5D052480"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29563CB6" w14:textId="77777777" w:rsidR="00CD4C94" w:rsidRDefault="00CD4C94" w:rsidP="00CD4C94">
            <w:pPr>
              <w:pBdr>
                <w:top w:val="nil"/>
                <w:left w:val="nil"/>
                <w:bottom w:val="nil"/>
                <w:right w:val="nil"/>
                <w:between w:val="nil"/>
              </w:pBdr>
              <w:spacing w:line="240" w:lineRule="auto"/>
              <w:ind w:right="35"/>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Proporcionó el dato estadístico solicitado, siendo sólo uno en el periodo solicitado.</w:t>
            </w:r>
          </w:p>
        </w:tc>
      </w:tr>
      <w:tr w:rsidR="00D349AB" w14:paraId="5D850AC8" w14:textId="77777777">
        <w:tc>
          <w:tcPr>
            <w:tcW w:w="2534" w:type="dxa"/>
            <w:shd w:val="clear" w:color="auto" w:fill="auto"/>
          </w:tcPr>
          <w:p w14:paraId="4C18B8F3"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f)</w:t>
            </w:r>
            <w:r>
              <w:rPr>
                <w:rFonts w:ascii="Palatino Linotype" w:eastAsia="Palatino Linotype" w:hAnsi="Palatino Linotype" w:cs="Palatino Linotype"/>
                <w:b/>
                <w:sz w:val="17"/>
                <w:szCs w:val="17"/>
              </w:rPr>
              <w:tab/>
              <w:t>Número de civiles heridos por arma de fuego accionado por un policía de esa dependencia.</w:t>
            </w:r>
          </w:p>
        </w:tc>
        <w:tc>
          <w:tcPr>
            <w:tcW w:w="2529" w:type="dxa"/>
            <w:shd w:val="clear" w:color="auto" w:fill="auto"/>
          </w:tcPr>
          <w:p w14:paraId="6B7C18F8"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Se informa que no se tiene registro de un hecho como el que se solicita.</w:t>
            </w:r>
          </w:p>
        </w:tc>
        <w:tc>
          <w:tcPr>
            <w:tcW w:w="1433" w:type="dxa"/>
            <w:vMerge/>
          </w:tcPr>
          <w:p w14:paraId="12D6C201"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53DD6705"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6FC60FAB"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1C53FFB2" w14:textId="77777777" w:rsidR="00CD4C94" w:rsidRDefault="00CD4C94">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Hecho Negativo</w:t>
            </w:r>
          </w:p>
        </w:tc>
      </w:tr>
      <w:tr w:rsidR="00D349AB" w14:paraId="56AED1A9" w14:textId="77777777">
        <w:tc>
          <w:tcPr>
            <w:tcW w:w="2534" w:type="dxa"/>
            <w:shd w:val="clear" w:color="auto" w:fill="auto"/>
          </w:tcPr>
          <w:p w14:paraId="53FB808F"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g)</w:t>
            </w:r>
            <w:r>
              <w:rPr>
                <w:rFonts w:ascii="Palatino Linotype" w:eastAsia="Palatino Linotype" w:hAnsi="Palatino Linotype" w:cs="Palatino Linotype"/>
                <w:b/>
                <w:sz w:val="17"/>
                <w:szCs w:val="17"/>
              </w:rPr>
              <w:tab/>
              <w:t>Sexo y edad de los civiles muertos y heridos por arma de fuego de un policía de esa dependencia.</w:t>
            </w:r>
          </w:p>
        </w:tc>
        <w:tc>
          <w:tcPr>
            <w:tcW w:w="2529" w:type="dxa"/>
            <w:shd w:val="clear" w:color="auto" w:fill="auto"/>
          </w:tcPr>
          <w:p w14:paraId="727FC8FC"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Se informa que se contesta como en el inciso anterior, en el sentido de que no se tiene registro de un hecho como el que se solicita.</w:t>
            </w:r>
          </w:p>
        </w:tc>
        <w:tc>
          <w:tcPr>
            <w:tcW w:w="1433" w:type="dxa"/>
            <w:vMerge/>
          </w:tcPr>
          <w:p w14:paraId="2B4E5FFD"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78C52ADF"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3F0AB588"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18E2FA73" w14:textId="77777777" w:rsidR="00CD4C94" w:rsidRDefault="00CD4C94">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Hecho Negativo</w:t>
            </w:r>
          </w:p>
        </w:tc>
      </w:tr>
      <w:tr w:rsidR="00D349AB" w14:paraId="23D204E6" w14:textId="77777777">
        <w:tc>
          <w:tcPr>
            <w:tcW w:w="2534" w:type="dxa"/>
            <w:shd w:val="clear" w:color="auto" w:fill="auto"/>
          </w:tcPr>
          <w:p w14:paraId="0BAE2FF7"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h)</w:t>
            </w:r>
            <w:r>
              <w:rPr>
                <w:rFonts w:ascii="Palatino Linotype" w:eastAsia="Palatino Linotype" w:hAnsi="Palatino Linotype" w:cs="Palatino Linotype"/>
                <w:b/>
                <w:sz w:val="17"/>
                <w:szCs w:val="17"/>
              </w:rPr>
              <w:tab/>
              <w:t>Número de civiles heridos y fallecidos por balas de goma o cualquier proyectil anti motín accionado por un policía de esa dependencia.</w:t>
            </w:r>
          </w:p>
        </w:tc>
        <w:tc>
          <w:tcPr>
            <w:tcW w:w="2529" w:type="dxa"/>
            <w:shd w:val="clear" w:color="auto" w:fill="auto"/>
          </w:tcPr>
          <w:p w14:paraId="3472DBF7"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Se informa que se contesta como en el inciso anterior, en el sentido de que no se tiene registro de un hecho como el que se solicita.</w:t>
            </w:r>
          </w:p>
        </w:tc>
        <w:tc>
          <w:tcPr>
            <w:tcW w:w="1433" w:type="dxa"/>
            <w:vMerge/>
          </w:tcPr>
          <w:p w14:paraId="356D6647"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40F97993"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3DB9D6B1"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1D6E196C" w14:textId="77777777" w:rsidR="00CD4C94" w:rsidRDefault="00CD4C94">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Hecho Negativo</w:t>
            </w:r>
          </w:p>
        </w:tc>
      </w:tr>
      <w:tr w:rsidR="00D349AB" w14:paraId="31618BCE" w14:textId="77777777">
        <w:tc>
          <w:tcPr>
            <w:tcW w:w="2534" w:type="dxa"/>
            <w:shd w:val="clear" w:color="auto" w:fill="auto"/>
          </w:tcPr>
          <w:p w14:paraId="4B12BC07"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i)</w:t>
            </w:r>
            <w:r>
              <w:rPr>
                <w:rFonts w:ascii="Palatino Linotype" w:eastAsia="Palatino Linotype" w:hAnsi="Palatino Linotype" w:cs="Palatino Linotype"/>
                <w:b/>
                <w:sz w:val="17"/>
                <w:szCs w:val="17"/>
              </w:rPr>
              <w:tab/>
              <w:t>Número de policías de esta dependencia fallecidos fuera de servicio por arma de fuego.</w:t>
            </w:r>
          </w:p>
        </w:tc>
        <w:tc>
          <w:tcPr>
            <w:tcW w:w="2529" w:type="dxa"/>
            <w:shd w:val="clear" w:color="auto" w:fill="auto"/>
          </w:tcPr>
          <w:p w14:paraId="28C43588"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Se informa que no se tiene registro de un hecho como el que se solicita.</w:t>
            </w:r>
          </w:p>
        </w:tc>
        <w:tc>
          <w:tcPr>
            <w:tcW w:w="1433" w:type="dxa"/>
            <w:vMerge/>
          </w:tcPr>
          <w:p w14:paraId="0A4665D8"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49BDD53A"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12A9F009"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1C6A3435" w14:textId="77777777" w:rsidR="00CD4C94" w:rsidRDefault="00CD4C94">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Hecho Negativo</w:t>
            </w:r>
          </w:p>
        </w:tc>
      </w:tr>
      <w:tr w:rsidR="00D349AB" w14:paraId="47B785B0" w14:textId="77777777">
        <w:tc>
          <w:tcPr>
            <w:tcW w:w="2534" w:type="dxa"/>
            <w:shd w:val="clear" w:color="auto" w:fill="auto"/>
          </w:tcPr>
          <w:p w14:paraId="063D1A4F"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j)</w:t>
            </w:r>
            <w:r>
              <w:rPr>
                <w:rFonts w:ascii="Palatino Linotype" w:eastAsia="Palatino Linotype" w:hAnsi="Palatino Linotype" w:cs="Palatino Linotype"/>
                <w:b/>
                <w:sz w:val="17"/>
                <w:szCs w:val="17"/>
              </w:rPr>
              <w:tab/>
              <w:t xml:space="preserve">Número de policías de esa dependencia en activo, </w:t>
            </w:r>
            <w:r>
              <w:rPr>
                <w:rFonts w:ascii="Palatino Linotype" w:eastAsia="Palatino Linotype" w:hAnsi="Palatino Linotype" w:cs="Palatino Linotype"/>
                <w:b/>
                <w:sz w:val="17"/>
                <w:szCs w:val="17"/>
              </w:rPr>
              <w:lastRenderedPageBreak/>
              <w:t>incluyendo de ser posible el sexo de los elementos activos.</w:t>
            </w:r>
          </w:p>
        </w:tc>
        <w:tc>
          <w:tcPr>
            <w:tcW w:w="2529" w:type="dxa"/>
            <w:shd w:val="clear" w:color="auto" w:fill="auto"/>
          </w:tcPr>
          <w:p w14:paraId="7126EC36"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lastRenderedPageBreak/>
              <w:t xml:space="preserve">Mediante tabla se aporta el número de policías activos; para el dos mil veinte: 1362, </w:t>
            </w:r>
            <w:r>
              <w:rPr>
                <w:rFonts w:ascii="Palatino Linotype" w:eastAsia="Palatino Linotype" w:hAnsi="Palatino Linotype" w:cs="Palatino Linotype"/>
                <w:sz w:val="17"/>
                <w:szCs w:val="17"/>
              </w:rPr>
              <w:lastRenderedPageBreak/>
              <w:t>para dos mil veintiuno: 1927 y para dos mil veintidós: 1927; señalándose que después de realizar una búsqueda en los archivos físicos y electrónicos se localizó únicamente información del año 2022, siendo 1,927 policías activos al treinta y uno de diciembre de dos mil veintidós, obteniendo un desglose de 474 mujeres y 1,453 hombres.</w:t>
            </w:r>
          </w:p>
        </w:tc>
        <w:tc>
          <w:tcPr>
            <w:tcW w:w="1433" w:type="dxa"/>
            <w:vMerge/>
          </w:tcPr>
          <w:p w14:paraId="7D40D790"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3B9AAA92"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378E753C"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6F346299" w14:textId="77777777" w:rsidR="00CD4C94" w:rsidRDefault="00CD4C94">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lastRenderedPageBreak/>
              <w:t>Proporcionó el dato estadístico solicitado</w:t>
            </w:r>
          </w:p>
        </w:tc>
      </w:tr>
      <w:tr w:rsidR="00D349AB" w14:paraId="39C32E5A" w14:textId="77777777">
        <w:tc>
          <w:tcPr>
            <w:tcW w:w="2534" w:type="dxa"/>
            <w:shd w:val="clear" w:color="auto" w:fill="auto"/>
          </w:tcPr>
          <w:p w14:paraId="66907F63"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lastRenderedPageBreak/>
              <w:t>k)</w:t>
            </w:r>
            <w:r>
              <w:rPr>
                <w:rFonts w:ascii="Palatino Linotype" w:eastAsia="Palatino Linotype" w:hAnsi="Palatino Linotype" w:cs="Palatino Linotype"/>
                <w:b/>
                <w:sz w:val="17"/>
                <w:szCs w:val="17"/>
              </w:rPr>
              <w:tab/>
              <w:t>Número de personas detenidas por policías de esa dependencia.</w:t>
            </w:r>
          </w:p>
        </w:tc>
        <w:tc>
          <w:tcPr>
            <w:tcW w:w="2529" w:type="dxa"/>
            <w:shd w:val="clear" w:color="auto" w:fill="auto"/>
          </w:tcPr>
          <w:p w14:paraId="5073D99F"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Mediante tabla se aporta el número de personas detenidas por policías de esa dependencia; para el dos mil veinte: 1610, para dos mil veintiuno: 734 y para dos mil veintidós: 1627.</w:t>
            </w:r>
          </w:p>
        </w:tc>
        <w:tc>
          <w:tcPr>
            <w:tcW w:w="1433" w:type="dxa"/>
            <w:vMerge/>
          </w:tcPr>
          <w:p w14:paraId="07708EBE"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0420CAAC"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790BCC12"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54A0D975" w14:textId="77777777" w:rsidR="00CD4C94" w:rsidRDefault="00CD4C94">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Proporcionó el dato estadístico solicitado</w:t>
            </w:r>
          </w:p>
        </w:tc>
      </w:tr>
      <w:tr w:rsidR="00D349AB" w14:paraId="69AED0DA" w14:textId="77777777">
        <w:tc>
          <w:tcPr>
            <w:tcW w:w="2534" w:type="dxa"/>
            <w:shd w:val="clear" w:color="auto" w:fill="auto"/>
          </w:tcPr>
          <w:p w14:paraId="0FD60C2A" w14:textId="77777777" w:rsidR="00D349AB" w:rsidRDefault="005A1261">
            <w:pPr>
              <w:pBdr>
                <w:top w:val="nil"/>
                <w:left w:val="nil"/>
                <w:bottom w:val="nil"/>
                <w:right w:val="nil"/>
                <w:between w:val="nil"/>
              </w:pBdr>
              <w:tabs>
                <w:tab w:val="left" w:pos="29"/>
                <w:tab w:val="left" w:pos="171"/>
              </w:tabs>
              <w:spacing w:line="240" w:lineRule="auto"/>
              <w:ind w:right="36"/>
              <w:jc w:val="both"/>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l)</w:t>
            </w:r>
            <w:r>
              <w:rPr>
                <w:rFonts w:ascii="Palatino Linotype" w:eastAsia="Palatino Linotype" w:hAnsi="Palatino Linotype" w:cs="Palatino Linotype"/>
                <w:b/>
                <w:sz w:val="17"/>
                <w:szCs w:val="17"/>
              </w:rPr>
              <w:tab/>
              <w:t>Número de armas incautadas por policías de esa dependencia.</w:t>
            </w:r>
          </w:p>
        </w:tc>
        <w:tc>
          <w:tcPr>
            <w:tcW w:w="2529" w:type="dxa"/>
            <w:shd w:val="clear" w:color="auto" w:fill="auto"/>
          </w:tcPr>
          <w:p w14:paraId="219D5617" w14:textId="77777777" w:rsidR="00D349AB" w:rsidRDefault="005A1261">
            <w:pPr>
              <w:pBdr>
                <w:top w:val="nil"/>
                <w:left w:val="nil"/>
                <w:bottom w:val="nil"/>
                <w:right w:val="nil"/>
                <w:between w:val="nil"/>
              </w:pBdr>
              <w:spacing w:line="240" w:lineRule="auto"/>
              <w:jc w:val="both"/>
              <w:rPr>
                <w:rFonts w:ascii="Palatino Linotype" w:eastAsia="Palatino Linotype" w:hAnsi="Palatino Linotype" w:cs="Palatino Linotype"/>
                <w:sz w:val="17"/>
                <w:szCs w:val="17"/>
              </w:rPr>
            </w:pPr>
            <w:r>
              <w:rPr>
                <w:rFonts w:ascii="Palatino Linotype" w:eastAsia="Palatino Linotype" w:hAnsi="Palatino Linotype" w:cs="Palatino Linotype"/>
                <w:sz w:val="17"/>
                <w:szCs w:val="17"/>
              </w:rPr>
              <w:t>Mediante tabla se aporta el número de armas incautadas; para el dos mil veinte: 42, para dos mil veintiuno: 15 y para dos mil veintidós: 38.</w:t>
            </w:r>
          </w:p>
        </w:tc>
        <w:tc>
          <w:tcPr>
            <w:tcW w:w="1433" w:type="dxa"/>
            <w:vMerge/>
          </w:tcPr>
          <w:p w14:paraId="2BFC77FD"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97" w:type="dxa"/>
            <w:vMerge/>
            <w:shd w:val="clear" w:color="auto" w:fill="auto"/>
          </w:tcPr>
          <w:p w14:paraId="0F93F144" w14:textId="77777777" w:rsidR="00D349AB" w:rsidRDefault="00D349AB">
            <w:pPr>
              <w:widowControl w:val="0"/>
              <w:pBdr>
                <w:top w:val="nil"/>
                <w:left w:val="nil"/>
                <w:bottom w:val="nil"/>
                <w:right w:val="nil"/>
                <w:between w:val="nil"/>
              </w:pBdr>
              <w:spacing w:after="0" w:line="276" w:lineRule="auto"/>
              <w:rPr>
                <w:rFonts w:ascii="Palatino Linotype" w:eastAsia="Palatino Linotype" w:hAnsi="Palatino Linotype" w:cs="Palatino Linotype"/>
                <w:sz w:val="17"/>
                <w:szCs w:val="17"/>
              </w:rPr>
            </w:pPr>
          </w:p>
        </w:tc>
        <w:tc>
          <w:tcPr>
            <w:tcW w:w="1262" w:type="dxa"/>
            <w:shd w:val="clear" w:color="auto" w:fill="auto"/>
          </w:tcPr>
          <w:p w14:paraId="399B74B4" w14:textId="77777777" w:rsidR="00D349AB" w:rsidRDefault="005A1261">
            <w:pPr>
              <w:pBdr>
                <w:top w:val="nil"/>
                <w:left w:val="nil"/>
                <w:bottom w:val="nil"/>
                <w:right w:val="nil"/>
                <w:between w:val="nil"/>
              </w:pBdr>
              <w:spacing w:line="240" w:lineRule="auto"/>
              <w:ind w:right="35"/>
              <w:jc w:val="center"/>
              <w:rPr>
                <w:rFonts w:ascii="Palatino Linotype" w:eastAsia="Palatino Linotype" w:hAnsi="Palatino Linotype" w:cs="Palatino Linotype"/>
                <w:b/>
                <w:sz w:val="17"/>
                <w:szCs w:val="17"/>
              </w:rPr>
            </w:pPr>
            <w:r>
              <w:rPr>
                <w:rFonts w:ascii="Palatino Linotype" w:eastAsia="Palatino Linotype" w:hAnsi="Palatino Linotype" w:cs="Palatino Linotype"/>
                <w:b/>
                <w:sz w:val="17"/>
                <w:szCs w:val="17"/>
              </w:rPr>
              <w:t>SI</w:t>
            </w:r>
          </w:p>
          <w:p w14:paraId="1BD8DD4F" w14:textId="77777777" w:rsidR="00CD4C94" w:rsidRDefault="00CD4C94">
            <w:pPr>
              <w:pBdr>
                <w:top w:val="nil"/>
                <w:left w:val="nil"/>
                <w:bottom w:val="nil"/>
                <w:right w:val="nil"/>
                <w:between w:val="nil"/>
              </w:pBdr>
              <w:spacing w:line="240" w:lineRule="auto"/>
              <w:ind w:right="35"/>
              <w:jc w:val="center"/>
              <w:rPr>
                <w:rFonts w:ascii="Palatino Linotype" w:eastAsia="Palatino Linotype" w:hAnsi="Palatino Linotype" w:cs="Palatino Linotype"/>
                <w:sz w:val="17"/>
                <w:szCs w:val="17"/>
              </w:rPr>
            </w:pPr>
            <w:r>
              <w:rPr>
                <w:rFonts w:ascii="Palatino Linotype" w:eastAsia="Palatino Linotype" w:hAnsi="Palatino Linotype" w:cs="Palatino Linotype"/>
                <w:b/>
                <w:sz w:val="17"/>
                <w:szCs w:val="17"/>
              </w:rPr>
              <w:t>Proporcionó el dato estadístico solicitado</w:t>
            </w:r>
          </w:p>
        </w:tc>
      </w:tr>
    </w:tbl>
    <w:p w14:paraId="728F1B07" w14:textId="77777777" w:rsidR="00D349AB" w:rsidRDefault="00D349AB">
      <w:pPr>
        <w:spacing w:after="0" w:line="360" w:lineRule="auto"/>
        <w:jc w:val="both"/>
        <w:rPr>
          <w:rFonts w:ascii="Palatino Linotype" w:eastAsia="Palatino Linotype" w:hAnsi="Palatino Linotype" w:cs="Palatino Linotype"/>
          <w:sz w:val="24"/>
          <w:szCs w:val="24"/>
        </w:rPr>
      </w:pPr>
    </w:p>
    <w:p w14:paraId="770CC198"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principio, por cuando hace a la información requerida por la entonces parte solicitante, si bien el derecho de acceso a la información pública se satisface en aquellos casos en que se entregue el soporte documental en que conste la información pública, sin la necesidad de elaborar documentos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lo cual, toma sustento en el artículo 160 de la Ley de Transparencia y Acceso a la Información Pública del Estado de México y Municipios, el cual refiere que los sujetos obligados deberán entregar la información que obre en sus archivos.</w:t>
      </w:r>
    </w:p>
    <w:p w14:paraId="3F6BCD58" w14:textId="77777777" w:rsidR="00D349AB" w:rsidRDefault="00D349AB">
      <w:pPr>
        <w:spacing w:after="0" w:line="360" w:lineRule="auto"/>
        <w:jc w:val="both"/>
        <w:rPr>
          <w:rFonts w:ascii="Palatino Linotype" w:eastAsia="Palatino Linotype" w:hAnsi="Palatino Linotype" w:cs="Palatino Linotype"/>
          <w:sz w:val="24"/>
          <w:szCs w:val="24"/>
        </w:rPr>
      </w:pPr>
    </w:p>
    <w:p w14:paraId="25B17CD1" w14:textId="77777777" w:rsidR="00D349AB" w:rsidRDefault="005A126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En el caso se aprecia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elaboró un documento ad hoc para dar cumplimiento al derecho de acceso a la información del particular </w:t>
      </w:r>
      <w:r>
        <w:rPr>
          <w:rFonts w:ascii="Palatino Linotype" w:eastAsia="Palatino Linotype" w:hAnsi="Palatino Linotype" w:cs="Palatino Linotype"/>
          <w:b/>
          <w:sz w:val="24"/>
          <w:szCs w:val="24"/>
        </w:rPr>
        <w:t>aún y</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cuando no es </w:t>
      </w:r>
      <w:r>
        <w:rPr>
          <w:rFonts w:ascii="Palatino Linotype" w:eastAsia="Palatino Linotype" w:hAnsi="Palatino Linotype" w:cs="Palatino Linotype"/>
          <w:b/>
          <w:sz w:val="24"/>
          <w:szCs w:val="24"/>
        </w:rPr>
        <w:lastRenderedPageBreak/>
        <w:t>una obligación de las autoridades</w:t>
      </w:r>
      <w:r>
        <w:rPr>
          <w:rFonts w:ascii="Palatino Linotype" w:eastAsia="Palatino Linotype" w:hAnsi="Palatino Linotype" w:cs="Palatino Linotype"/>
          <w:sz w:val="24"/>
          <w:szCs w:val="24"/>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Pr>
          <w:rFonts w:ascii="Palatino Linotype" w:eastAsia="Palatino Linotype" w:hAnsi="Palatino Linotype" w:cs="Palatino Linotype"/>
          <w:b/>
          <w:sz w:val="24"/>
          <w:szCs w:val="24"/>
        </w:rPr>
        <w:t xml:space="preserve"> </w:t>
      </w:r>
    </w:p>
    <w:p w14:paraId="250E1B38" w14:textId="77777777" w:rsidR="00D349AB" w:rsidRDefault="00D349AB">
      <w:pPr>
        <w:spacing w:after="0" w:line="360" w:lineRule="auto"/>
        <w:jc w:val="both"/>
        <w:rPr>
          <w:rFonts w:ascii="Palatino Linotype" w:eastAsia="Palatino Linotype" w:hAnsi="Palatino Linotype" w:cs="Palatino Linotype"/>
          <w:sz w:val="24"/>
          <w:szCs w:val="24"/>
        </w:rPr>
      </w:pPr>
    </w:p>
    <w:p w14:paraId="2936FD26"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D9A716C"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Expedientes:</w:t>
      </w:r>
    </w:p>
    <w:p w14:paraId="68FE152C"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0438/08 Pemex Exploración y Producción – Alonso Lujambio Irazábal</w:t>
      </w:r>
    </w:p>
    <w:p w14:paraId="767F2A20"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1751/09 Laboratorios de Biológicos y Reactivos de México S.A. de C.V. –</w:t>
      </w:r>
    </w:p>
    <w:p w14:paraId="077FF21C"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María </w:t>
      </w:r>
      <w:proofErr w:type="spellStart"/>
      <w:r>
        <w:rPr>
          <w:rFonts w:ascii="Palatino Linotype" w:eastAsia="Palatino Linotype" w:hAnsi="Palatino Linotype" w:cs="Palatino Linotype"/>
          <w:i/>
        </w:rPr>
        <w:t>Marván</w:t>
      </w:r>
      <w:proofErr w:type="spellEnd"/>
      <w:r>
        <w:rPr>
          <w:rFonts w:ascii="Palatino Linotype" w:eastAsia="Palatino Linotype" w:hAnsi="Palatino Linotype" w:cs="Palatino Linotype"/>
          <w:i/>
        </w:rPr>
        <w:t xml:space="preserve"> Laborde</w:t>
      </w:r>
    </w:p>
    <w:p w14:paraId="5277BF9D"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2868/09 Consejo Nacional de Ciencia y Tecnología – Jacqueline </w:t>
      </w:r>
      <w:proofErr w:type="spellStart"/>
      <w:r>
        <w:rPr>
          <w:rFonts w:ascii="Palatino Linotype" w:eastAsia="Palatino Linotype" w:hAnsi="Palatino Linotype" w:cs="Palatino Linotype"/>
          <w:i/>
        </w:rPr>
        <w:t>Peschard</w:t>
      </w:r>
      <w:proofErr w:type="spellEnd"/>
    </w:p>
    <w:p w14:paraId="56FEC0A7"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Mariscal</w:t>
      </w:r>
    </w:p>
    <w:p w14:paraId="06319F9D"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5160/09 Secretaría de Hacienda y Crédito Público – Ángel Trinidad Zaldívar</w:t>
      </w:r>
    </w:p>
    <w:p w14:paraId="38C4EE73" w14:textId="77777777" w:rsidR="00D349AB" w:rsidRDefault="005A1261">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0304/10 Instituto Nacional de Cancerología – Jacqueline </w:t>
      </w:r>
      <w:proofErr w:type="spellStart"/>
      <w:r>
        <w:rPr>
          <w:rFonts w:ascii="Palatino Linotype" w:eastAsia="Palatino Linotype" w:hAnsi="Palatino Linotype" w:cs="Palatino Linotype"/>
          <w:i/>
        </w:rPr>
        <w:t>Peschard</w:t>
      </w:r>
      <w:proofErr w:type="spellEnd"/>
      <w:r>
        <w:rPr>
          <w:rFonts w:ascii="Palatino Linotype" w:eastAsia="Palatino Linotype" w:hAnsi="Palatino Linotype" w:cs="Palatino Linotype"/>
          <w:i/>
        </w:rPr>
        <w:t xml:space="preserve"> Mariscal”</w:t>
      </w:r>
    </w:p>
    <w:p w14:paraId="75FC9641" w14:textId="77777777" w:rsidR="00D349AB" w:rsidRDefault="00D349AB">
      <w:pPr>
        <w:spacing w:after="0" w:line="240" w:lineRule="auto"/>
        <w:ind w:left="567" w:right="616"/>
        <w:jc w:val="both"/>
        <w:rPr>
          <w:rFonts w:ascii="Palatino Linotype" w:eastAsia="Palatino Linotype" w:hAnsi="Palatino Linotype" w:cs="Palatino Linotype"/>
          <w:i/>
        </w:rPr>
      </w:pPr>
    </w:p>
    <w:p w14:paraId="761D2BB4"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Entonces, dado a que el criterio en mención establece que las autoridades </w:t>
      </w:r>
      <w:r>
        <w:rPr>
          <w:rFonts w:ascii="Palatino Linotype" w:eastAsia="Palatino Linotype" w:hAnsi="Palatino Linotype" w:cs="Palatino Linotype"/>
          <w:b/>
          <w:sz w:val="24"/>
          <w:szCs w:val="24"/>
        </w:rPr>
        <w:t xml:space="preserve">no están obligadas a generar documentos “ad hoc” </w:t>
      </w:r>
      <w:r>
        <w:rPr>
          <w:rFonts w:ascii="Palatino Linotype" w:eastAsia="Palatino Linotype" w:hAnsi="Palatino Linotype" w:cs="Palatino Linotype"/>
          <w:sz w:val="24"/>
          <w:szCs w:val="24"/>
        </w:rPr>
        <w:t>en contrario sensu, dicho criterio se puede interpretar resultando que las autoridades no están impedidas a generar documentos “ad hoc”, esto, siempre que con dicho documento elaborado se dé cabal cumplimiento a los requerimientos planteados.</w:t>
      </w:r>
    </w:p>
    <w:p w14:paraId="58228E67" w14:textId="77777777" w:rsidR="00D349AB" w:rsidRDefault="00D349AB">
      <w:pPr>
        <w:spacing w:after="0" w:line="360" w:lineRule="auto"/>
        <w:jc w:val="both"/>
        <w:rPr>
          <w:rFonts w:ascii="Palatino Linotype" w:eastAsia="Palatino Linotype" w:hAnsi="Palatino Linotype" w:cs="Palatino Linotype"/>
          <w:sz w:val="24"/>
          <w:szCs w:val="24"/>
        </w:rPr>
      </w:pPr>
    </w:p>
    <w:p w14:paraId="40BDE28E"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esta manera, en el caso, se analizará si con la respuesta otorgada por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mediante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xml:space="preserve"> da cabal cumplimiento a lo requerido por el </w:t>
      </w:r>
      <w:r>
        <w:rPr>
          <w:rFonts w:ascii="Palatino Linotype" w:eastAsia="Palatino Linotype" w:hAnsi="Palatino Linotype" w:cs="Palatino Linotype"/>
          <w:sz w:val="24"/>
          <w:szCs w:val="24"/>
        </w:rPr>
        <w:lastRenderedPageBreak/>
        <w:t>particular; o en su defecto, ordenar la entrega de la información requerida al mayor grado de desagregación posible.</w:t>
      </w:r>
    </w:p>
    <w:p w14:paraId="4FA932F5" w14:textId="77777777" w:rsidR="00D349AB" w:rsidRDefault="00D349AB">
      <w:pPr>
        <w:spacing w:after="0" w:line="360" w:lineRule="auto"/>
        <w:jc w:val="both"/>
        <w:rPr>
          <w:rFonts w:ascii="Palatino Linotype" w:eastAsia="Palatino Linotype" w:hAnsi="Palatino Linotype" w:cs="Palatino Linotype"/>
          <w:sz w:val="24"/>
          <w:szCs w:val="24"/>
        </w:rPr>
      </w:pPr>
    </w:p>
    <w:p w14:paraId="2914C4E3" w14:textId="77777777" w:rsidR="00CD4C94"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Precisado lo anterior, como se desprendió del cuadro de análisis, el Sujeto Obligado colmó la solicitud de información, por cuanto hace a lo requerido bajo los incisos </w:t>
      </w:r>
      <w:r>
        <w:rPr>
          <w:rFonts w:ascii="Palatino Linotype" w:eastAsia="Palatino Linotype" w:hAnsi="Palatino Linotype" w:cs="Palatino Linotype"/>
          <w:b/>
          <w:sz w:val="24"/>
          <w:szCs w:val="24"/>
        </w:rPr>
        <w:t>a), b), e</w:t>
      </w:r>
      <w:r w:rsidR="00CD4C94">
        <w:rPr>
          <w:rFonts w:ascii="Palatino Linotype" w:eastAsia="Palatino Linotype" w:hAnsi="Palatino Linotype" w:cs="Palatino Linotype"/>
          <w:b/>
          <w:sz w:val="24"/>
          <w:szCs w:val="24"/>
        </w:rPr>
        <w:t xml:space="preserve">), f), g), h), i), j), k) y l) al proporcionar la información estadística solicitada. </w:t>
      </w:r>
    </w:p>
    <w:p w14:paraId="1CD1F0D0" w14:textId="77777777" w:rsidR="00CD4C94" w:rsidRDefault="00CD4C9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D1025D1"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por lo que corresponde a los incisos </w:t>
      </w:r>
      <w:r>
        <w:rPr>
          <w:rFonts w:ascii="Palatino Linotype" w:eastAsia="Palatino Linotype" w:hAnsi="Palatino Linotype" w:cs="Palatino Linotype"/>
          <w:b/>
          <w:sz w:val="24"/>
          <w:szCs w:val="24"/>
        </w:rPr>
        <w:t>f), g)</w:t>
      </w:r>
      <w:r w:rsidR="00CD4C94">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rPr>
        <w:t>h)</w:t>
      </w:r>
      <w:r w:rsidR="00CD4C94">
        <w:rPr>
          <w:rFonts w:ascii="Palatino Linotype" w:eastAsia="Palatino Linotype" w:hAnsi="Palatino Linotype" w:cs="Palatino Linotype"/>
          <w:b/>
          <w:sz w:val="24"/>
          <w:szCs w:val="24"/>
        </w:rPr>
        <w:t xml:space="preserve"> e i)</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si bien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su respuesta indicó que no se tenía registró respecto de lo peticionado por la entonces parte solicitante; ello, se considera que actualiza un hecho negativo</w:t>
      </w:r>
      <w:r w:rsidR="00CD4C94">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entonces, si se considera el hecho negativo, es obvio que éste no puede fácticamente obrar en los archivos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ya que no puede probarse por ser lógica y materialmente imposible.</w:t>
      </w:r>
    </w:p>
    <w:p w14:paraId="2F879CFE" w14:textId="77777777" w:rsidR="00D349AB" w:rsidRDefault="00D349AB">
      <w:pPr>
        <w:spacing w:after="0" w:line="360" w:lineRule="auto"/>
        <w:jc w:val="both"/>
        <w:rPr>
          <w:rFonts w:ascii="Palatino Linotype" w:eastAsia="Palatino Linotype" w:hAnsi="Palatino Linotype" w:cs="Palatino Linotype"/>
          <w:sz w:val="24"/>
          <w:szCs w:val="24"/>
        </w:rPr>
      </w:pPr>
    </w:p>
    <w:p w14:paraId="009E7C7E"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14:paraId="5B1A946F" w14:textId="77777777" w:rsidR="00D349AB" w:rsidRDefault="00D349AB">
      <w:pPr>
        <w:spacing w:after="0" w:line="360" w:lineRule="auto"/>
        <w:jc w:val="both"/>
        <w:rPr>
          <w:rFonts w:ascii="Palatino Linotype" w:eastAsia="Palatino Linotype" w:hAnsi="Palatino Linotype" w:cs="Palatino Linotype"/>
          <w:sz w:val="24"/>
          <w:szCs w:val="24"/>
        </w:rPr>
      </w:pPr>
    </w:p>
    <w:p w14:paraId="25BD5C0A"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C80B848" w14:textId="77777777" w:rsidR="00D349AB" w:rsidRDefault="00D349AB">
      <w:pPr>
        <w:spacing w:after="0" w:line="360" w:lineRule="auto"/>
        <w:jc w:val="both"/>
        <w:rPr>
          <w:rFonts w:ascii="Palatino Linotype" w:eastAsia="Palatino Linotype" w:hAnsi="Palatino Linotype" w:cs="Palatino Linotype"/>
          <w:sz w:val="24"/>
          <w:szCs w:val="24"/>
        </w:rPr>
      </w:pPr>
    </w:p>
    <w:p w14:paraId="212A9B64" w14:textId="77777777" w:rsidR="00D349AB" w:rsidRDefault="005A1261">
      <w:pPr>
        <w:spacing w:after="0" w:line="240" w:lineRule="auto"/>
        <w:ind w:left="860" w:right="560"/>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HECHOS NEGATIVOS, NO SON SUSCEPTIBLES DE DEMOSTRACIÓN.</w:t>
      </w:r>
    </w:p>
    <w:p w14:paraId="7A982145" w14:textId="77777777" w:rsidR="00D349AB" w:rsidRDefault="005A1261">
      <w:pPr>
        <w:spacing w:after="0" w:line="240" w:lineRule="auto"/>
        <w:ind w:left="860"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Tratándose de un hecho negativo, el Juez no tiene </w:t>
      </w:r>
      <w:proofErr w:type="spellStart"/>
      <w:r>
        <w:rPr>
          <w:rFonts w:ascii="Palatino Linotype" w:eastAsia="Palatino Linotype" w:hAnsi="Palatino Linotype" w:cs="Palatino Linotype"/>
          <w:i/>
        </w:rPr>
        <w:t>por que</w:t>
      </w:r>
      <w:proofErr w:type="spellEnd"/>
      <w:r>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39413B05" w14:textId="77777777" w:rsidR="00D349AB" w:rsidRDefault="005A1261">
      <w:pPr>
        <w:spacing w:after="0" w:line="240" w:lineRule="auto"/>
        <w:ind w:left="860" w:right="560"/>
        <w:jc w:val="both"/>
        <w:rPr>
          <w:rFonts w:ascii="Palatino Linotype" w:eastAsia="Palatino Linotype" w:hAnsi="Palatino Linotype" w:cs="Palatino Linotype"/>
          <w:i/>
        </w:rPr>
      </w:pPr>
      <w:r>
        <w:rPr>
          <w:rFonts w:ascii="Palatino Linotype" w:eastAsia="Palatino Linotype" w:hAnsi="Palatino Linotype" w:cs="Palatino Linotype"/>
          <w:i/>
        </w:rPr>
        <w:t>Amparo en revisión 2022/61. José García Florín (Menor). 9 de octubre de 1961. Cinco votos. Ponente: José Rivera Pérez Campos.”</w:t>
      </w:r>
    </w:p>
    <w:p w14:paraId="1681F879" w14:textId="77777777" w:rsidR="00D349AB" w:rsidRDefault="00D349AB">
      <w:pPr>
        <w:spacing w:after="0" w:line="240" w:lineRule="auto"/>
        <w:ind w:left="860" w:right="560"/>
        <w:jc w:val="both"/>
        <w:rPr>
          <w:rFonts w:ascii="Palatino Linotype" w:eastAsia="Palatino Linotype" w:hAnsi="Palatino Linotype" w:cs="Palatino Linotype"/>
          <w:i/>
        </w:rPr>
      </w:pPr>
    </w:p>
    <w:p w14:paraId="132602A4"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sólo proporcionará la información que obra en sus archivos, lo que a</w:t>
      </w:r>
      <w:r>
        <w:rPr>
          <w:rFonts w:ascii="Palatino Linotype" w:eastAsia="Palatino Linotype" w:hAnsi="Palatino Linotype" w:cs="Palatino Linotype"/>
          <w:i/>
          <w:sz w:val="24"/>
          <w:szCs w:val="24"/>
        </w:rPr>
        <w:t xml:space="preserve"> contrario sensu</w:t>
      </w:r>
      <w:r>
        <w:rPr>
          <w:rFonts w:ascii="Palatino Linotype" w:eastAsia="Palatino Linotype" w:hAnsi="Palatino Linotype" w:cs="Palatino Linotype"/>
          <w:sz w:val="24"/>
          <w:szCs w:val="24"/>
        </w:rPr>
        <w:t xml:space="preserve"> significa que no se está obligado a proporcionar lo que no obre en sus archivos; por ende, las razones o motivos de inconformidad al respecto devienen infundados.</w:t>
      </w:r>
    </w:p>
    <w:p w14:paraId="34400866" w14:textId="77777777" w:rsidR="00D349AB" w:rsidRDefault="00D349AB">
      <w:pPr>
        <w:spacing w:after="0" w:line="360" w:lineRule="auto"/>
        <w:jc w:val="both"/>
        <w:rPr>
          <w:rFonts w:ascii="Palatino Linotype" w:eastAsia="Palatino Linotype" w:hAnsi="Palatino Linotype" w:cs="Palatino Linotype"/>
          <w:sz w:val="24"/>
          <w:szCs w:val="24"/>
        </w:rPr>
      </w:pPr>
    </w:p>
    <w:p w14:paraId="178EFB16"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Aunado a lo anterior, este Pleno considera necesario dejar claro que, al haber existido un pronunciamiento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63434026" w14:textId="77777777" w:rsidR="00D349AB" w:rsidRDefault="00D349AB">
      <w:pPr>
        <w:spacing w:after="0" w:line="360" w:lineRule="auto"/>
        <w:jc w:val="both"/>
        <w:rPr>
          <w:rFonts w:ascii="Palatino Linotype" w:eastAsia="Palatino Linotype" w:hAnsi="Palatino Linotype" w:cs="Palatino Linotype"/>
        </w:rPr>
      </w:pPr>
    </w:p>
    <w:p w14:paraId="2600E4BF" w14:textId="77777777" w:rsidR="00D349AB" w:rsidRDefault="005A1261">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Pr>
          <w:rFonts w:ascii="Palatino Linotype" w:eastAsia="Palatino Linotype" w:hAnsi="Palatino Linotype" w:cs="Palatino Linotype"/>
          <w:i/>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543F4B"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A0CD3CC" w14:textId="77777777" w:rsidR="00D349AB" w:rsidRDefault="00B045C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w:t>
      </w:r>
      <w:r w:rsidR="005A1261">
        <w:rPr>
          <w:rFonts w:ascii="Palatino Linotype" w:eastAsia="Palatino Linotype" w:hAnsi="Palatino Linotype" w:cs="Palatino Linotype"/>
          <w:sz w:val="24"/>
          <w:szCs w:val="24"/>
        </w:rPr>
        <w:t xml:space="preserve">hora, por lo que corresponde a los requerimientos contenidos en los incisos c) y e), en donde el </w:t>
      </w:r>
      <w:r w:rsidR="005A1261">
        <w:rPr>
          <w:rFonts w:ascii="Palatino Linotype" w:eastAsia="Palatino Linotype" w:hAnsi="Palatino Linotype" w:cs="Palatino Linotype"/>
          <w:b/>
          <w:sz w:val="24"/>
          <w:szCs w:val="24"/>
        </w:rPr>
        <w:t xml:space="preserve">Sujeto Obligado </w:t>
      </w:r>
      <w:r w:rsidR="005A1261">
        <w:rPr>
          <w:rFonts w:ascii="Palatino Linotype" w:eastAsia="Palatino Linotype" w:hAnsi="Palatino Linotype" w:cs="Palatino Linotype"/>
          <w:sz w:val="24"/>
          <w:szCs w:val="24"/>
        </w:rPr>
        <w:t>no colmó el derecho de acceso a la información del particular, es de indicar lo siguiente:</w:t>
      </w:r>
    </w:p>
    <w:p w14:paraId="192611C1"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483C804"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Respecto de lo requerido bajo el inciso </w:t>
      </w:r>
      <w:r>
        <w:rPr>
          <w:rFonts w:ascii="Palatino Linotype" w:eastAsia="Palatino Linotype" w:hAnsi="Palatino Linotype" w:cs="Palatino Linotype"/>
          <w:b/>
          <w:sz w:val="24"/>
          <w:szCs w:val="24"/>
        </w:rPr>
        <w:t>c),</w:t>
      </w:r>
      <w:r>
        <w:rPr>
          <w:rFonts w:ascii="Palatino Linotype" w:eastAsia="Palatino Linotype" w:hAnsi="Palatino Linotype" w:cs="Palatino Linotype"/>
          <w:sz w:val="24"/>
          <w:szCs w:val="24"/>
        </w:rPr>
        <w:t xml:space="preserve"> en efecto no se colmó lo requerido, pues si bien se señaló que se tenía conocimiento de un hecho en donde un policía fue herido por arma de fuego de manera accidental; </w:t>
      </w:r>
      <w:r>
        <w:rPr>
          <w:rFonts w:ascii="Palatino Linotype" w:eastAsia="Palatino Linotype" w:hAnsi="Palatino Linotype" w:cs="Palatino Linotype"/>
          <w:b/>
          <w:sz w:val="24"/>
          <w:szCs w:val="24"/>
        </w:rPr>
        <w:t>dicho hecho ocurrió en fecha cinco de enero de dos mil veintitrés, es decir, fuera del periodo respecto del cual la parte solicitante requirió la información.</w:t>
      </w:r>
    </w:p>
    <w:p w14:paraId="2E9D366B"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03D6F1A" w14:textId="77777777" w:rsidR="00522301" w:rsidRDefault="005223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A61815">
        <w:rPr>
          <w:rFonts w:ascii="Palatino Linotype" w:eastAsia="Palatino Linotype" w:hAnsi="Palatino Linotype" w:cs="Palatino Linotype"/>
          <w:sz w:val="24"/>
          <w:szCs w:val="24"/>
        </w:rPr>
        <w:t xml:space="preserve">Además no escapa de la óptica de este Órgano Garante que en respuesta al inciso </w:t>
      </w:r>
      <w:r w:rsidRPr="00A61815">
        <w:rPr>
          <w:rFonts w:ascii="Palatino Linotype" w:eastAsia="Palatino Linotype" w:hAnsi="Palatino Linotype" w:cs="Palatino Linotype"/>
          <w:b/>
          <w:sz w:val="24"/>
          <w:szCs w:val="24"/>
        </w:rPr>
        <w:t>a)</w:t>
      </w:r>
      <w:r w:rsidRPr="00A61815">
        <w:rPr>
          <w:rFonts w:ascii="Palatino Linotype" w:eastAsia="Palatino Linotype" w:hAnsi="Palatino Linotype" w:cs="Palatino Linotype"/>
          <w:sz w:val="24"/>
          <w:szCs w:val="24"/>
        </w:rPr>
        <w:t xml:space="preserve"> como se desprende del cuadro de análisis, de la noticia aportada se reconoce que hubo dos policías heridos en dos mil veinte, por lo que, al dar cumplimiento a la presente resolución respecto de la información que se ordene entregar deberá indicar si son todos o hubo más heridos relacionados con lo peticionado bajo el </w:t>
      </w:r>
      <w:r w:rsidRPr="00A61815">
        <w:rPr>
          <w:rFonts w:ascii="Palatino Linotype" w:eastAsia="Palatino Linotype" w:hAnsi="Palatino Linotype" w:cs="Palatino Linotype"/>
          <w:b/>
          <w:sz w:val="24"/>
          <w:szCs w:val="24"/>
        </w:rPr>
        <w:t>inciso c).</w:t>
      </w:r>
    </w:p>
    <w:p w14:paraId="2FDC162F" w14:textId="77777777" w:rsidR="00522301" w:rsidRDefault="005223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94BC578"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respecto de lo requerido bajo el inciso </w:t>
      </w:r>
      <w:r>
        <w:rPr>
          <w:rFonts w:ascii="Palatino Linotype" w:eastAsia="Palatino Linotype" w:hAnsi="Palatino Linotype" w:cs="Palatino Linotype"/>
          <w:b/>
          <w:sz w:val="24"/>
          <w:szCs w:val="24"/>
        </w:rPr>
        <w:t>d)</w:t>
      </w:r>
      <w:r>
        <w:rPr>
          <w:rFonts w:ascii="Palatino Linotype" w:eastAsia="Palatino Linotype" w:hAnsi="Palatino Linotype" w:cs="Palatino Linotype"/>
          <w:sz w:val="24"/>
          <w:szCs w:val="24"/>
        </w:rPr>
        <w:t xml:space="preserve">, recordemos que el particular requirió el sexo y edad de los policías de esa dependencia fallecidos y heridos en servicio </w:t>
      </w:r>
      <w:r>
        <w:rPr>
          <w:rFonts w:ascii="Palatino Linotype" w:eastAsia="Palatino Linotype" w:hAnsi="Palatino Linotype" w:cs="Palatino Linotype"/>
          <w:sz w:val="24"/>
          <w:szCs w:val="24"/>
        </w:rPr>
        <w:lastRenderedPageBreak/>
        <w:t xml:space="preserve">por arma de fuego; a lo cual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indicó en respuesta que sobre lo peticionado fue un hombre de 36 años.</w:t>
      </w:r>
    </w:p>
    <w:p w14:paraId="5AE34F81"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D6DE991"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Sin embargo, no se aclara si el sexo y edad de la persona que se reporta en respuesta corresponde a un policía herido o fallecido por arma de fuego; pues recordemos que se requirió sobre los dos; por lo que, dicha respuesta deja en estado de incertidumbre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al no quedar clara la información respecto de quien se aporta.</w:t>
      </w:r>
    </w:p>
    <w:p w14:paraId="5CA65A7B"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4EA15B8"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esta manera, atendiendo que sobre el inciso c) no se proporcionó la información requerida respecto del periodo solicitado</w:t>
      </w:r>
      <w:r w:rsidR="00871610">
        <w:rPr>
          <w:rFonts w:ascii="Palatino Linotype" w:eastAsia="Palatino Linotype" w:hAnsi="Palatino Linotype" w:cs="Palatino Linotype"/>
          <w:sz w:val="24"/>
          <w:szCs w:val="24"/>
        </w:rPr>
        <w:t xml:space="preserve">, pero respecto de la aportada para atender el inciso a) se advierte que en el ejercicio dos mil veinte hubo dos policías heridos; </w:t>
      </w:r>
      <w:r>
        <w:rPr>
          <w:rFonts w:ascii="Palatino Linotype" w:eastAsia="Palatino Linotype" w:hAnsi="Palatino Linotype" w:cs="Palatino Linotype"/>
          <w:sz w:val="24"/>
          <w:szCs w:val="24"/>
        </w:rPr>
        <w:t xml:space="preserve">y la entregada en el inciso d) no es clara; se tiene que respecto de dichos </w:t>
      </w:r>
      <w:r w:rsidRPr="00871610">
        <w:rPr>
          <w:rFonts w:ascii="Palatino Linotype" w:eastAsia="Palatino Linotype" w:hAnsi="Palatino Linotype" w:cs="Palatino Linotype"/>
          <w:b/>
          <w:sz w:val="24"/>
          <w:szCs w:val="24"/>
        </w:rPr>
        <w:t>incisos</w:t>
      </w:r>
      <w:r w:rsidR="00871610" w:rsidRPr="00871610">
        <w:rPr>
          <w:rFonts w:ascii="Palatino Linotype" w:eastAsia="Palatino Linotype" w:hAnsi="Palatino Linotype" w:cs="Palatino Linotype"/>
          <w:b/>
          <w:sz w:val="24"/>
          <w:szCs w:val="24"/>
        </w:rPr>
        <w:t xml:space="preserve"> c) y d)</w:t>
      </w:r>
      <w:r>
        <w:rPr>
          <w:rFonts w:ascii="Palatino Linotype" w:eastAsia="Palatino Linotype" w:hAnsi="Palatino Linotype" w:cs="Palatino Linotype"/>
          <w:sz w:val="24"/>
          <w:szCs w:val="24"/>
        </w:rPr>
        <w:t xml:space="preserve"> no se colmó el der</w:t>
      </w:r>
      <w:r w:rsidR="00B045C9">
        <w:rPr>
          <w:rFonts w:ascii="Palatino Linotype" w:eastAsia="Palatino Linotype" w:hAnsi="Palatino Linotype" w:cs="Palatino Linotype"/>
          <w:sz w:val="24"/>
          <w:szCs w:val="24"/>
        </w:rPr>
        <w:t xml:space="preserve">echo de acceso a la información, por lo que </w:t>
      </w:r>
      <w:r w:rsidR="00871610">
        <w:rPr>
          <w:rFonts w:ascii="Palatino Linotype" w:eastAsia="Palatino Linotype" w:hAnsi="Palatino Linotype" w:cs="Palatino Linotype"/>
          <w:sz w:val="24"/>
          <w:szCs w:val="24"/>
        </w:rPr>
        <w:t xml:space="preserve">el Sujeto Obligado </w:t>
      </w:r>
      <w:r w:rsidR="00B045C9">
        <w:rPr>
          <w:rFonts w:ascii="Palatino Linotype" w:eastAsia="Palatino Linotype" w:hAnsi="Palatino Linotype" w:cs="Palatino Linotype"/>
          <w:sz w:val="24"/>
          <w:szCs w:val="24"/>
        </w:rPr>
        <w:t xml:space="preserve">deberá proporcionar, el acceso al documento que </w:t>
      </w:r>
      <w:r w:rsidR="00871610">
        <w:rPr>
          <w:rFonts w:ascii="Palatino Linotype" w:eastAsia="Palatino Linotype" w:hAnsi="Palatino Linotype" w:cs="Palatino Linotype"/>
          <w:sz w:val="24"/>
          <w:szCs w:val="24"/>
        </w:rPr>
        <w:t>dé</w:t>
      </w:r>
      <w:r w:rsidR="00B045C9">
        <w:rPr>
          <w:rFonts w:ascii="Palatino Linotype" w:eastAsia="Palatino Linotype" w:hAnsi="Palatino Linotype" w:cs="Palatino Linotype"/>
          <w:sz w:val="24"/>
          <w:szCs w:val="24"/>
        </w:rPr>
        <w:t xml:space="preserve"> cuenta </w:t>
      </w:r>
      <w:r w:rsidR="00871610">
        <w:rPr>
          <w:rFonts w:ascii="Palatino Linotype" w:eastAsia="Palatino Linotype" w:hAnsi="Palatino Linotype" w:cs="Palatino Linotype"/>
          <w:sz w:val="24"/>
          <w:szCs w:val="24"/>
        </w:rPr>
        <w:t>lo siguiente</w:t>
      </w:r>
      <w:r w:rsidR="00B045C9">
        <w:rPr>
          <w:rFonts w:ascii="Palatino Linotype" w:eastAsia="Palatino Linotype" w:hAnsi="Palatino Linotype" w:cs="Palatino Linotype"/>
          <w:sz w:val="24"/>
          <w:szCs w:val="24"/>
        </w:rPr>
        <w:t xml:space="preserve">: </w:t>
      </w:r>
    </w:p>
    <w:p w14:paraId="53502968"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5515478" w14:textId="77777777" w:rsidR="00871610" w:rsidRPr="00A61815" w:rsidRDefault="005A1261">
      <w:pPr>
        <w:numPr>
          <w:ilvl w:val="0"/>
          <w:numId w:val="6"/>
        </w:numPr>
        <w:pBdr>
          <w:top w:val="nil"/>
          <w:left w:val="nil"/>
          <w:bottom w:val="nil"/>
          <w:right w:val="nil"/>
          <w:between w:val="nil"/>
        </w:pBdr>
        <w:spacing w:after="0" w:line="360" w:lineRule="auto"/>
        <w:ind w:left="360" w:right="-150"/>
        <w:jc w:val="both"/>
        <w:rPr>
          <w:rFonts w:ascii="Palatino Linotype" w:eastAsia="Palatino Linotype" w:hAnsi="Palatino Linotype" w:cs="Palatino Linotype"/>
          <w:color w:val="000000"/>
          <w:sz w:val="24"/>
          <w:szCs w:val="24"/>
        </w:rPr>
      </w:pPr>
      <w:r w:rsidRPr="00A61815">
        <w:rPr>
          <w:rFonts w:ascii="Palatino Linotype" w:eastAsia="Palatino Linotype" w:hAnsi="Palatino Linotype" w:cs="Palatino Linotype"/>
          <w:color w:val="000000"/>
          <w:sz w:val="24"/>
          <w:szCs w:val="24"/>
        </w:rPr>
        <w:t>El número policías en servicio pertenecientes al  Ayuntamiento de Toluca, heridos por arma de fuego, en los años dos mil veinte, dos mil veintiuno y dos mil veintidós</w:t>
      </w:r>
      <w:r w:rsidR="00871610" w:rsidRPr="00A61815">
        <w:rPr>
          <w:rFonts w:ascii="Palatino Linotype" w:eastAsia="Palatino Linotype" w:hAnsi="Palatino Linotype" w:cs="Palatino Linotype"/>
          <w:color w:val="000000"/>
          <w:sz w:val="24"/>
          <w:szCs w:val="24"/>
        </w:rPr>
        <w:t>, tomando como referencia lo indicado para el inciso a), debiendo precisar lo señalado en párrafos anteriores.</w:t>
      </w:r>
    </w:p>
    <w:p w14:paraId="5C2269B1" w14:textId="77777777" w:rsidR="00D349AB" w:rsidRDefault="00D349AB">
      <w:pPr>
        <w:pBdr>
          <w:top w:val="nil"/>
          <w:left w:val="nil"/>
          <w:bottom w:val="nil"/>
          <w:right w:val="nil"/>
          <w:between w:val="nil"/>
        </w:pBdr>
        <w:spacing w:after="0" w:line="360" w:lineRule="auto"/>
        <w:ind w:left="-360" w:right="-150"/>
        <w:jc w:val="both"/>
        <w:rPr>
          <w:rFonts w:ascii="Palatino Linotype" w:eastAsia="Palatino Linotype" w:hAnsi="Palatino Linotype" w:cs="Palatino Linotype"/>
          <w:sz w:val="24"/>
          <w:szCs w:val="24"/>
        </w:rPr>
      </w:pPr>
    </w:p>
    <w:p w14:paraId="2F3D8CEF" w14:textId="77777777" w:rsidR="00D349AB" w:rsidRDefault="005A1261">
      <w:pPr>
        <w:numPr>
          <w:ilvl w:val="0"/>
          <w:numId w:val="6"/>
        </w:numPr>
        <w:pBdr>
          <w:top w:val="nil"/>
          <w:left w:val="nil"/>
          <w:bottom w:val="nil"/>
          <w:right w:val="nil"/>
          <w:between w:val="nil"/>
        </w:pBdr>
        <w:spacing w:after="0" w:line="360" w:lineRule="auto"/>
        <w:ind w:left="360" w:right="-1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sexo y edad de los policías fallecidos y heridos en servicio por arma de fuego pertenecientes al  Ayuntamiento de Toluca, en los años dos mil veinte, dos mil veintiuno y dos mil veintidós.</w:t>
      </w:r>
    </w:p>
    <w:p w14:paraId="67547A4C"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EE4AEC5"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La información que se ordena, deberá entregarse al particular, de ser</w:t>
      </w:r>
      <w:r w:rsidR="00B045C9">
        <w:rPr>
          <w:rFonts w:ascii="Palatino Linotype" w:eastAsia="Palatino Linotype" w:hAnsi="Palatino Linotype" w:cs="Palatino Linotype"/>
          <w:sz w:val="24"/>
          <w:szCs w:val="24"/>
        </w:rPr>
        <w:t xml:space="preserve"> procedente en versión pública. </w:t>
      </w:r>
    </w:p>
    <w:p w14:paraId="16118A65" w14:textId="77777777" w:rsidR="00B045C9" w:rsidRDefault="00B045C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9F6FB77" w14:textId="77777777" w:rsidR="00D349AB" w:rsidRDefault="005A12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mérito de lo expuesto en líneas anteriores, al resultar parcialmente </w:t>
      </w:r>
      <w:r>
        <w:rPr>
          <w:rFonts w:ascii="Palatino Linotype" w:eastAsia="Palatino Linotype" w:hAnsi="Palatino Linotype" w:cs="Palatino Linotype"/>
          <w:b/>
          <w:sz w:val="24"/>
          <w:szCs w:val="24"/>
        </w:rPr>
        <w:t>fundados</w:t>
      </w:r>
      <w:r>
        <w:rPr>
          <w:rFonts w:ascii="Palatino Linotype" w:eastAsia="Palatino Linotype" w:hAnsi="Palatino Linotype" w:cs="Palatino Linotype"/>
          <w:sz w:val="24"/>
          <w:szCs w:val="24"/>
        </w:rPr>
        <w:t xml:space="preserve"> los motivos de inconformidad vertidos por la parte</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con fundamento en el artículo 186, fracción III, de la Ley de Transparencia y Acceso a la Información Pública del Estado de México y Municipios, se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i/>
          <w:sz w:val="24"/>
          <w:szCs w:val="24"/>
        </w:rPr>
        <w:t>Modifica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la respuesta a la solicitud de información</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origen del medio de impugnación que se resuelve, y se ordena la entrega de la información antes indicada, en los casos que aplique, en versión pública.</w:t>
      </w:r>
    </w:p>
    <w:p w14:paraId="5319D59A"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12458D4" w14:textId="77777777" w:rsidR="00D349AB" w:rsidRDefault="005A12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4"/>
          <w:szCs w:val="24"/>
        </w:rPr>
        <w:t xml:space="preserve">Quinto. Versión Pública. </w:t>
      </w:r>
      <w:r>
        <w:rPr>
          <w:rFonts w:ascii="Palatino Linotype" w:eastAsia="Palatino Linotype" w:hAnsi="Palatino Linotype" w:cs="Palatino Linotype"/>
          <w:color w:val="000000"/>
          <w:sz w:val="24"/>
          <w:szCs w:val="24"/>
        </w:rPr>
        <w:t xml:space="preserve">Finalmente, para la entrega de la información que se determina ordenar,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0A70755E" w14:textId="77777777" w:rsidR="00D349AB" w:rsidRDefault="00D349AB">
      <w:pPr>
        <w:spacing w:after="0" w:line="360" w:lineRule="auto"/>
        <w:rPr>
          <w:rFonts w:ascii="Times New Roman" w:eastAsia="Times New Roman" w:hAnsi="Times New Roman" w:cs="Times New Roman"/>
          <w:sz w:val="24"/>
          <w:szCs w:val="24"/>
        </w:rPr>
      </w:pPr>
    </w:p>
    <w:p w14:paraId="17533B0B" w14:textId="77777777" w:rsidR="00D349AB" w:rsidRDefault="005A1261">
      <w:pPr>
        <w:pBdr>
          <w:top w:val="nil"/>
          <w:left w:val="nil"/>
          <w:bottom w:val="nil"/>
          <w:right w:val="nil"/>
          <w:between w:val="nil"/>
        </w:pBdr>
        <w:spacing w:after="0" w:line="360" w:lineRule="auto"/>
        <w:ind w:right="5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Lo anterior, de conformidad con lo que señalan los artículos 3 fracciones IX, XX, XXI y XLV, 91, 132 fracciones II y III, y 143 de la Ley de Transparencia y Acceso a la Información Pública del Estado de México y Municipios que establecen:</w:t>
      </w:r>
    </w:p>
    <w:p w14:paraId="6F0CC8B2" w14:textId="77777777" w:rsidR="00D349AB" w:rsidRDefault="00D349AB">
      <w:pPr>
        <w:spacing w:after="0" w:line="240" w:lineRule="auto"/>
        <w:rPr>
          <w:rFonts w:ascii="Times New Roman" w:eastAsia="Times New Roman" w:hAnsi="Times New Roman" w:cs="Times New Roman"/>
          <w:sz w:val="24"/>
          <w:szCs w:val="24"/>
        </w:rPr>
      </w:pPr>
    </w:p>
    <w:p w14:paraId="587C3B3D"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3.</w:t>
      </w:r>
      <w:r>
        <w:rPr>
          <w:rFonts w:ascii="Palatino Linotype" w:eastAsia="Palatino Linotype" w:hAnsi="Palatino Linotype" w:cs="Palatino Linotype"/>
          <w:i/>
          <w:color w:val="000000"/>
        </w:rPr>
        <w:t xml:space="preserve"> Para los efectos de la presente Ley se entenderá por:</w:t>
      </w:r>
    </w:p>
    <w:p w14:paraId="30F986A0"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p>
    <w:p w14:paraId="6FAE7E71"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lastRenderedPageBreak/>
        <w:t>IX. Datos personales: La información concerniente a una persona, identificada o identificable según lo dispuesto por la Ley de Protección de Datos Personales del Estado de México; </w:t>
      </w:r>
    </w:p>
    <w:p w14:paraId="1435987C"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XX. Información clasificada: Aquella considerada por la presente Ley como reservada o confidencial;</w:t>
      </w:r>
    </w:p>
    <w:p w14:paraId="67278205"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B3E3C3"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XLV. Versión pública: Documento en el que se elimine, suprime o borra la información clasificada como reservada o confidencial para permitir su acceso.</w:t>
      </w:r>
    </w:p>
    <w:p w14:paraId="1D35A9E7"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p>
    <w:p w14:paraId="2EC3B259"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i/>
          <w:color w:val="000000"/>
        </w:rPr>
        <w:t>Artículo 91.</w:t>
      </w:r>
      <w:r>
        <w:rPr>
          <w:rFonts w:ascii="Palatino Linotype" w:eastAsia="Palatino Linotype" w:hAnsi="Palatino Linotype" w:cs="Palatino Linotype"/>
          <w:i/>
          <w:color w:val="000000"/>
        </w:rPr>
        <w:t xml:space="preserve"> El acceso a la información pública será restringido excepcionalmente, cuando ésta sea clasificada como reservada o confidencial.</w:t>
      </w:r>
    </w:p>
    <w:p w14:paraId="249DD959"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i/>
          <w:color w:val="000000"/>
        </w:rPr>
        <w:t>Artículo 132.</w:t>
      </w:r>
      <w:r>
        <w:rPr>
          <w:rFonts w:ascii="Palatino Linotype" w:eastAsia="Palatino Linotype" w:hAnsi="Palatino Linotype" w:cs="Palatino Linotype"/>
          <w:i/>
          <w:color w:val="000000"/>
        </w:rPr>
        <w:t xml:space="preserve"> La clasificación de la información se llevará a cabo en el momento en que:</w:t>
      </w:r>
    </w:p>
    <w:p w14:paraId="56A7FD14"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I. Se reciba una solicitud de acceso a la información;</w:t>
      </w:r>
    </w:p>
    <w:p w14:paraId="05A4C8A1"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II. Se determine mediante resolución de autoridad competente; o</w:t>
      </w:r>
    </w:p>
    <w:p w14:paraId="1DB16C3B"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III. Se generen versiones públicas para dar cumplimiento a las obligaciones de transparencia previstas en esta Ley.</w:t>
      </w:r>
    </w:p>
    <w:p w14:paraId="3A91DF90"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p>
    <w:p w14:paraId="093A5FC6"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i/>
          <w:color w:val="000000"/>
        </w:rPr>
        <w:t>Artículo 143</w:t>
      </w:r>
      <w:r>
        <w:rPr>
          <w:rFonts w:ascii="Palatino Linotype" w:eastAsia="Palatino Linotype" w:hAnsi="Palatino Linotype" w:cs="Palatino Linotype"/>
          <w:i/>
          <w:color w:val="000000"/>
        </w:rPr>
        <w:t>. Para los efectos de esta Ley se considera información confidencial, la clasificada como tal, de manera permanente, por su naturaleza, cuando:</w:t>
      </w:r>
    </w:p>
    <w:p w14:paraId="1F78D4D9"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I. Se refiera a la información privada y los datos personales concernientes a una persona física o jurídico colectiva identificada o identificable;</w:t>
      </w:r>
    </w:p>
    <w:p w14:paraId="798A38DC"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II. Los secretos bancario, fiduciario, industrial, comercial, fiscal, bursátil y postal, cuya titularidad corresponda a particulares, sujetos de derecho internacional o a sujetos obligados cuando no involucren el ejercicio de recursos públicos; y</w:t>
      </w:r>
    </w:p>
    <w:p w14:paraId="46B43A52"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III. La que presenten los particulares a los sujetos obligados, de conformidad con lo dispuesto por las leyes o los tratados internacionales.</w:t>
      </w:r>
    </w:p>
    <w:p w14:paraId="0B2E32EF"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La información confidencial no estará sujeta a temporalidad alguna y sólo podrán tener acceso a ella los titulares de la misma, sus representantes y los servidores públicos facultados para ello.</w:t>
      </w:r>
    </w:p>
    <w:p w14:paraId="0664B7D2" w14:textId="77777777" w:rsidR="00D349AB" w:rsidRDefault="005A1261">
      <w:pPr>
        <w:pBdr>
          <w:top w:val="nil"/>
          <w:left w:val="nil"/>
          <w:bottom w:val="nil"/>
          <w:right w:val="nil"/>
          <w:between w:val="nil"/>
        </w:pBdr>
        <w:spacing w:after="0" w:line="240" w:lineRule="auto"/>
        <w:ind w:left="567" w:right="616"/>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No se considerará confidencial la información que se encuentre en los registros públicos o en fuentes de acceso público, ni tampoco la que sea considerada por la presente ley como información pública.”</w:t>
      </w:r>
    </w:p>
    <w:p w14:paraId="60ECA138" w14:textId="77777777" w:rsidR="00D349AB" w:rsidRDefault="00D349AB">
      <w:pPr>
        <w:spacing w:after="0" w:line="240" w:lineRule="auto"/>
        <w:rPr>
          <w:rFonts w:ascii="Times New Roman" w:eastAsia="Times New Roman" w:hAnsi="Times New Roman" w:cs="Times New Roman"/>
          <w:sz w:val="24"/>
          <w:szCs w:val="24"/>
        </w:rPr>
      </w:pPr>
    </w:p>
    <w:p w14:paraId="70F1C871" w14:textId="77777777" w:rsidR="00D349AB" w:rsidRDefault="005A126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6A394DC"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siendo estas las siguientes:</w:t>
      </w:r>
    </w:p>
    <w:p w14:paraId="4C926E7F" w14:textId="77777777" w:rsidR="00D349AB" w:rsidRDefault="005A1261">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 “Quincuagésimo. </w:t>
      </w:r>
      <w:r>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8A5EF48" w14:textId="77777777" w:rsidR="00D349AB" w:rsidRDefault="005A1261">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primero. </w:t>
      </w:r>
      <w:r>
        <w:rPr>
          <w:rFonts w:ascii="Palatino Linotype" w:eastAsia="Palatino Linotype" w:hAnsi="Palatino Linotype" w:cs="Palatino Linotype"/>
          <w:i/>
        </w:rPr>
        <w:t xml:space="preserve">Toda acta del Comité de Transparencia deberá contener: </w:t>
      </w:r>
    </w:p>
    <w:p w14:paraId="00D95B47"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El número de sesión y fecha; </w:t>
      </w:r>
    </w:p>
    <w:p w14:paraId="2D8F5629"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del área que solicitó la clasificación de información; </w:t>
      </w:r>
    </w:p>
    <w:p w14:paraId="6EE9328B"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fundamentación legal y motivación correspondiente; </w:t>
      </w:r>
    </w:p>
    <w:p w14:paraId="0344E710"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La resolución o resoluciones aprobadas; y </w:t>
      </w:r>
    </w:p>
    <w:p w14:paraId="0561038B"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La rúbrica o firma digital de cada integrante del Comité de Transparencia. </w:t>
      </w:r>
    </w:p>
    <w:p w14:paraId="75D19DD9" w14:textId="77777777" w:rsidR="00D349AB" w:rsidRDefault="005A1261">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05A18111"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w:t>
      </w:r>
      <w:r>
        <w:rPr>
          <w:rFonts w:ascii="Palatino Linotype" w:eastAsia="Palatino Linotype" w:hAnsi="Palatino Linotype" w:cs="Palatino Linotype"/>
          <w:i/>
        </w:rPr>
        <w:t xml:space="preserve"> Los motivos y razonamientos que sustenten la confirmación o modificación de la prueba de daño;</w:t>
      </w:r>
    </w:p>
    <w:p w14:paraId="1FE11B74"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II</w:t>
      </w:r>
      <w:r>
        <w:rPr>
          <w:rFonts w:ascii="Palatino Linotype" w:eastAsia="Palatino Linotype" w:hAnsi="Palatino Linotype" w:cs="Palatino Linotype"/>
          <w:i/>
        </w:rPr>
        <w:t>. Descripción de las partes o secciones reservadas, en caso de clasificación parcial</w:t>
      </w:r>
      <w:r>
        <w:rPr>
          <w:rFonts w:ascii="Palatino Linotype" w:eastAsia="Palatino Linotype" w:hAnsi="Palatino Linotype" w:cs="Palatino Linotype"/>
          <w:b/>
          <w:i/>
        </w:rPr>
        <w:t xml:space="preserve">; </w:t>
      </w:r>
    </w:p>
    <w:p w14:paraId="19E70669"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El periodo por el que mantendrá su clasificación y fecha de expiración; y </w:t>
      </w:r>
    </w:p>
    <w:p w14:paraId="4EEDB8BE" w14:textId="77777777" w:rsidR="00D349AB" w:rsidRDefault="005A126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El nombre del titular y área encargada de realizar la versión pública del documento, en su caso. </w:t>
      </w:r>
    </w:p>
    <w:p w14:paraId="10D53F9F" w14:textId="77777777" w:rsidR="00D349AB" w:rsidRDefault="005A1261">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5FF66E22" w14:textId="77777777" w:rsidR="00D349AB" w:rsidRDefault="005A1261">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0BEBF11C" w14:textId="77777777" w:rsidR="00D349AB" w:rsidRDefault="005A1261">
      <w:pPr>
        <w:spacing w:before="120" w:after="12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 Quincuagésimo segundo</w:t>
      </w:r>
      <w:r>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58D8214" w14:textId="77777777" w:rsidR="00D349AB" w:rsidRDefault="005A1261">
      <w:pPr>
        <w:spacing w:before="120" w:after="12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el caso </w:t>
      </w:r>
      <w:proofErr w:type="spellStart"/>
      <w:r>
        <w:rPr>
          <w:rFonts w:ascii="Palatino Linotype" w:eastAsia="Palatino Linotype" w:hAnsi="Palatino Linotype" w:cs="Palatino Linotype"/>
          <w:i/>
        </w:rPr>
        <w:t>especifico</w:t>
      </w:r>
      <w:proofErr w:type="spellEnd"/>
      <w:r>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50C44156" w14:textId="77777777" w:rsidR="00D349AB" w:rsidRDefault="005A1261">
      <w:pPr>
        <w:spacing w:before="120" w:after="120" w:line="24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140B54B0" w14:textId="77777777" w:rsidR="00D349AB" w:rsidRDefault="005A1261">
      <w:pPr>
        <w:spacing w:before="120" w:after="120" w:line="24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1BCB29E" w14:textId="77777777" w:rsidR="00D349AB" w:rsidRDefault="005A1261">
      <w:pPr>
        <w:spacing w:before="120" w:after="120" w:line="24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Señalar las personas o instancias autorizadas a acceder a la información clasificada.</w:t>
      </w:r>
    </w:p>
    <w:p w14:paraId="0F1D003D" w14:textId="77777777" w:rsidR="00D349AB" w:rsidRDefault="005A1261">
      <w:pPr>
        <w:spacing w:before="120" w:after="12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69ED769" w14:textId="77777777" w:rsidR="00D349AB" w:rsidRDefault="005A1261">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relación directa con ello deberá observar el Lineamiento Quincuagésimo tercero de los Lineamientos Generales en Materia de Clasificación y Desclasificación de la </w:t>
      </w:r>
      <w:r>
        <w:rPr>
          <w:rFonts w:ascii="Palatino Linotype" w:eastAsia="Palatino Linotype" w:hAnsi="Palatino Linotype" w:cs="Palatino Linotype"/>
          <w:sz w:val="24"/>
          <w:szCs w:val="24"/>
        </w:rPr>
        <w:lastRenderedPageBreak/>
        <w:t xml:space="preserve">Información </w:t>
      </w:r>
      <w:proofErr w:type="spellStart"/>
      <w:r>
        <w:rPr>
          <w:rFonts w:ascii="Palatino Linotype" w:eastAsia="Palatino Linotype" w:hAnsi="Palatino Linotype" w:cs="Palatino Linotype"/>
          <w:sz w:val="24"/>
          <w:szCs w:val="24"/>
        </w:rPr>
        <w:t>supraindicados</w:t>
      </w:r>
      <w:proofErr w:type="spellEnd"/>
      <w:r>
        <w:rPr>
          <w:rFonts w:ascii="Palatino Linotype" w:eastAsia="Palatino Linotype" w:hAnsi="Palatino Linotype" w:cs="Palatino Linotype"/>
          <w:sz w:val="24"/>
          <w:szCs w:val="24"/>
        </w:rPr>
        <w:t>, que establece los formatos para la clasificación de los documentos, conforme a lo siguiente:</w:t>
      </w:r>
    </w:p>
    <w:p w14:paraId="76BABA46" w14:textId="77777777" w:rsidR="00D349AB" w:rsidRDefault="005A126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 </w:t>
      </w:r>
    </w:p>
    <w:p w14:paraId="7488F52E" w14:textId="77777777" w:rsidR="00D349AB" w:rsidRDefault="005A1261">
      <w:pPr>
        <w:spacing w:after="0" w:line="240" w:lineRule="auto"/>
        <w:ind w:left="851" w:right="900"/>
        <w:jc w:val="center"/>
        <w:rPr>
          <w:rFonts w:ascii="Palatino Linotype" w:eastAsia="Palatino Linotype" w:hAnsi="Palatino Linotype" w:cs="Palatino Linotype"/>
          <w:b/>
          <w:i/>
        </w:rPr>
      </w:pPr>
      <w:r>
        <w:rPr>
          <w:rFonts w:ascii="Palatino Linotype" w:eastAsia="Palatino Linotype" w:hAnsi="Palatino Linotype" w:cs="Palatino Linotype"/>
          <w:b/>
          <w:i/>
        </w:rPr>
        <w:t>CAPÍTULO VIII</w:t>
      </w:r>
    </w:p>
    <w:p w14:paraId="4532D953" w14:textId="77777777" w:rsidR="00D349AB" w:rsidRDefault="005A1261">
      <w:pPr>
        <w:spacing w:after="0" w:line="240" w:lineRule="auto"/>
        <w:ind w:left="851" w:right="900"/>
        <w:jc w:val="center"/>
        <w:rPr>
          <w:rFonts w:ascii="Palatino Linotype" w:eastAsia="Palatino Linotype" w:hAnsi="Palatino Linotype" w:cs="Palatino Linotype"/>
          <w:b/>
          <w:i/>
        </w:rPr>
      </w:pPr>
      <w:r>
        <w:rPr>
          <w:rFonts w:ascii="Palatino Linotype" w:eastAsia="Palatino Linotype" w:hAnsi="Palatino Linotype" w:cs="Palatino Linotype"/>
          <w:b/>
          <w:i/>
        </w:rPr>
        <w:t xml:space="preserve">DE LOS ELEMENTOS PARA LA CLASIFICACIÓN </w:t>
      </w:r>
    </w:p>
    <w:p w14:paraId="4AC8297B" w14:textId="77777777" w:rsidR="00D349AB" w:rsidRDefault="005A1261">
      <w:pPr>
        <w:spacing w:after="0" w:line="240" w:lineRule="auto"/>
        <w:ind w:left="851" w:right="900"/>
        <w:rPr>
          <w:rFonts w:ascii="Palatino Linotype" w:eastAsia="Palatino Linotype" w:hAnsi="Palatino Linotype" w:cs="Palatino Linotype"/>
          <w:i/>
        </w:rPr>
      </w:pPr>
      <w:r>
        <w:rPr>
          <w:rFonts w:ascii="Palatino Linotype" w:eastAsia="Palatino Linotype" w:hAnsi="Palatino Linotype" w:cs="Palatino Linotype"/>
          <w:i/>
        </w:rPr>
        <w:t>…</w:t>
      </w:r>
    </w:p>
    <w:p w14:paraId="7BEC35D6" w14:textId="77777777" w:rsidR="00D349AB" w:rsidRDefault="005A1261">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tercero. </w:t>
      </w:r>
      <w:r>
        <w:rPr>
          <w:rFonts w:ascii="Palatino Linotype" w:eastAsia="Palatino Linotype" w:hAnsi="Palatino Linotype" w:cs="Palatino Linotype"/>
          <w:b/>
          <w:i/>
          <w:u w:val="single"/>
        </w:rPr>
        <w:t>El formato para señalar la clasificación de un documento o expediente que contenga información reservada</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es el siguiente: </w:t>
      </w:r>
    </w:p>
    <w:p w14:paraId="2FDA50FF" w14:textId="77777777" w:rsidR="00D349AB" w:rsidRDefault="005A1261">
      <w:pPr>
        <w:spacing w:before="120" w:after="120" w:line="240"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noProof/>
        </w:rPr>
        <w:drawing>
          <wp:inline distT="0" distB="0" distL="0" distR="0" wp14:anchorId="0025D604" wp14:editId="468FF859">
            <wp:extent cx="4295775" cy="295275"/>
            <wp:effectExtent l="0" t="0" r="0" b="0"/>
            <wp:docPr id="21431081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b="95731"/>
                    <a:stretch>
                      <a:fillRect/>
                    </a:stretch>
                  </pic:blipFill>
                  <pic:spPr>
                    <a:xfrm>
                      <a:off x="0" y="0"/>
                      <a:ext cx="4295775" cy="295275"/>
                    </a:xfrm>
                    <a:prstGeom prst="rect">
                      <a:avLst/>
                    </a:prstGeom>
                    <a:ln/>
                  </pic:spPr>
                </pic:pic>
              </a:graphicData>
            </a:graphic>
          </wp:inline>
        </w:drawing>
      </w:r>
    </w:p>
    <w:p w14:paraId="65622305" w14:textId="77777777" w:rsidR="00D349AB" w:rsidRDefault="005A1261">
      <w:pPr>
        <w:spacing w:before="120" w:after="120" w:line="240"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noProof/>
        </w:rPr>
        <w:drawing>
          <wp:inline distT="0" distB="0" distL="0" distR="0" wp14:anchorId="1C373E36" wp14:editId="0E5A513F">
            <wp:extent cx="4343600" cy="3985508"/>
            <wp:effectExtent l="0" t="0" r="0" b="0"/>
            <wp:docPr id="21431081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t="30908" b="669"/>
                    <a:stretch>
                      <a:fillRect/>
                    </a:stretch>
                  </pic:blipFill>
                  <pic:spPr>
                    <a:xfrm>
                      <a:off x="0" y="0"/>
                      <a:ext cx="4343600" cy="3985508"/>
                    </a:xfrm>
                    <a:prstGeom prst="rect">
                      <a:avLst/>
                    </a:prstGeom>
                    <a:ln/>
                  </pic:spPr>
                </pic:pic>
              </a:graphicData>
            </a:graphic>
          </wp:inline>
        </w:drawing>
      </w:r>
    </w:p>
    <w:p w14:paraId="00E67599" w14:textId="77777777" w:rsidR="00D349AB" w:rsidRDefault="005A1261">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documentos que integren un expediente reservado en su totalidad no deberán marcarse en lo individual.</w:t>
      </w:r>
    </w:p>
    <w:p w14:paraId="243A2EF3" w14:textId="77777777" w:rsidR="00D349AB" w:rsidRDefault="005A1261">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Una vez desclasificados los expedientes, si existieren documentos que tuvieran el carácter de reservados deberán permanecer o ser marcados.”</w:t>
      </w:r>
    </w:p>
    <w:p w14:paraId="6727D4E0" w14:textId="77777777" w:rsidR="00D349AB" w:rsidRDefault="005A126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deberá observar los Lineamientos Quincuagésimo cuarto, Quincuagésimo quinto, Quincuagésimo sexto, Quincuagésimo séptimo y Quincuagésimo octavo, establecen lo siguiente:</w:t>
      </w:r>
    </w:p>
    <w:p w14:paraId="7E1E8E58" w14:textId="77777777" w:rsidR="00D349AB" w:rsidRDefault="005A1261">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Quincuagésimo cuarto. </w:t>
      </w:r>
      <w:r>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rPr>
        <w:t xml:space="preserve"> </w:t>
      </w:r>
    </w:p>
    <w:p w14:paraId="7547BCF4" w14:textId="77777777" w:rsidR="00D349AB" w:rsidRDefault="005A1261">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quinto. </w:t>
      </w:r>
      <w:r>
        <w:rPr>
          <w:rFonts w:ascii="Palatino Linotype" w:eastAsia="Palatino Linotype" w:hAnsi="Palatino Linotype" w:cs="Palatino Linotype"/>
          <w:i/>
        </w:rPr>
        <w:t xml:space="preserve">Cada área del sujeto obligado podrá designar formalmente a una o más personas como responsables del </w:t>
      </w:r>
      <w:proofErr w:type="spellStart"/>
      <w:r>
        <w:rPr>
          <w:rFonts w:ascii="Palatino Linotype" w:eastAsia="Palatino Linotype" w:hAnsi="Palatino Linotype" w:cs="Palatino Linotype"/>
          <w:i/>
        </w:rPr>
        <w:t>testado</w:t>
      </w:r>
      <w:proofErr w:type="spellEnd"/>
      <w:r>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C28C790" w14:textId="77777777" w:rsidR="00D349AB" w:rsidRDefault="005A1261">
      <w:pPr>
        <w:spacing w:before="120" w:after="120" w:line="240"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237CC0F2" w14:textId="77777777" w:rsidR="00D349AB" w:rsidRDefault="005A1261">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14:paraId="0402D165" w14:textId="77777777" w:rsidR="00D349AB" w:rsidRDefault="005A1261">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B27BC1F" w14:textId="77777777" w:rsidR="00D349AB" w:rsidRDefault="005A1261">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3E68E673" w14:textId="77777777" w:rsidR="00D349AB" w:rsidRDefault="005A1261">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95DA6E9" w14:textId="77777777" w:rsidR="00D349AB" w:rsidRDefault="005A1261">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78D93060" w14:textId="77777777" w:rsidR="00D349AB" w:rsidRDefault="005A1261">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xml:space="preserve">. Los sujetos obligados garantizarán que los sistemas o medios empleados para eliminar la información en las versiones públicas sean </w:t>
      </w:r>
      <w:r>
        <w:rPr>
          <w:rFonts w:ascii="Palatino Linotype" w:eastAsia="Palatino Linotype" w:hAnsi="Palatino Linotype" w:cs="Palatino Linotype"/>
          <w:i/>
        </w:rPr>
        <w:lastRenderedPageBreak/>
        <w:t>irreversibles, de tal forma que no permitan su recuperación o la visualización de la misma.”</w:t>
      </w:r>
    </w:p>
    <w:p w14:paraId="3F21DD1E" w14:textId="77777777" w:rsidR="00D349AB" w:rsidRDefault="005A126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12CA6B0" w14:textId="77777777" w:rsidR="00D349AB" w:rsidRDefault="005A126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En mérito de lo expuesto en líneas anteriores; devienen </w:t>
      </w:r>
      <w:r>
        <w:rPr>
          <w:rFonts w:ascii="Palatino Linotype" w:eastAsia="Palatino Linotype" w:hAnsi="Palatino Linotype" w:cs="Palatino Linotype"/>
          <w:b/>
          <w:sz w:val="24"/>
          <w:szCs w:val="24"/>
        </w:rPr>
        <w:t>fundados</w:t>
      </w:r>
      <w:r>
        <w:rPr>
          <w:rFonts w:ascii="Palatino Linotype" w:eastAsia="Palatino Linotype" w:hAnsi="Palatino Linotype" w:cs="Palatino Linotype"/>
          <w:sz w:val="24"/>
          <w:szCs w:val="24"/>
        </w:rPr>
        <w:t xml:space="preserve"> los motivos de inconformidad de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hechos valer en los recursos de revisión que nos ocupan</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siendo procedente </w:t>
      </w:r>
      <w:r>
        <w:rPr>
          <w:rFonts w:ascii="Palatino Linotype" w:eastAsia="Palatino Linotype" w:hAnsi="Palatino Linotype" w:cs="Palatino Linotype"/>
          <w:i/>
          <w:color w:val="000000"/>
          <w:sz w:val="24"/>
          <w:szCs w:val="24"/>
        </w:rPr>
        <w:t xml:space="preserve">Modificar </w:t>
      </w:r>
      <w:r>
        <w:rPr>
          <w:rFonts w:ascii="Palatino Linotype" w:eastAsia="Palatino Linotype" w:hAnsi="Palatino Linotype" w:cs="Palatino Linotype"/>
          <w:color w:val="000000"/>
          <w:sz w:val="24"/>
          <w:szCs w:val="24"/>
        </w:rPr>
        <w:t xml:space="preserve">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 conformidad con el artículo 186 fracción IIII de la Ley de Transparencia, Acceso a la Información Pública y Protección de Datos Personales del Estado de México y Municipios.</w:t>
      </w:r>
    </w:p>
    <w:p w14:paraId="790358CB" w14:textId="77777777" w:rsidR="00D349AB" w:rsidRDefault="00D349AB">
      <w:pPr>
        <w:spacing w:after="0" w:line="360" w:lineRule="auto"/>
        <w:jc w:val="both"/>
        <w:rPr>
          <w:rFonts w:ascii="Palatino Linotype" w:eastAsia="Palatino Linotype" w:hAnsi="Palatino Linotype" w:cs="Palatino Linotype"/>
          <w:sz w:val="24"/>
          <w:szCs w:val="24"/>
        </w:rPr>
      </w:pPr>
    </w:p>
    <w:p w14:paraId="1072600E"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Pr>
          <w:rFonts w:ascii="Palatino Linotype" w:eastAsia="Palatino Linotype" w:hAnsi="Palatino Linotype" w:cs="Palatino Linotype"/>
          <w:sz w:val="24"/>
          <w:szCs w:val="24"/>
        </w:rPr>
        <w:lastRenderedPageBreak/>
        <w:t>México y Municipios permite la elaboración de versiones públicas en las que se suprima aquella información relacionada con la vida privada.</w:t>
      </w:r>
    </w:p>
    <w:p w14:paraId="0EDBB9C1" w14:textId="77777777" w:rsidR="00D349AB" w:rsidRDefault="00D349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8"/>
          <w:szCs w:val="28"/>
        </w:rPr>
      </w:pPr>
    </w:p>
    <w:p w14:paraId="1E71CB3A" w14:textId="77777777" w:rsidR="00D349AB" w:rsidRDefault="005A1261">
      <w:pPr>
        <w:spacing w:after="0" w:line="360" w:lineRule="auto"/>
        <w:jc w:val="both"/>
        <w:rPr>
          <w:rFonts w:ascii="Palatino Linotype" w:eastAsia="Palatino Linotype" w:hAnsi="Palatino Linotype" w:cs="Palatino Linotype"/>
          <w:sz w:val="24"/>
          <w:szCs w:val="24"/>
        </w:rPr>
      </w:pPr>
      <w:bookmarkStart w:id="5" w:name="_heading=h.1t3h5sf" w:colFirst="0" w:colLast="0"/>
      <w:bookmarkEnd w:id="5"/>
      <w:r>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0E8E26B2" w14:textId="77777777" w:rsidR="00D349AB" w:rsidRDefault="00D349AB">
      <w:pPr>
        <w:spacing w:after="0" w:line="360" w:lineRule="auto"/>
        <w:jc w:val="both"/>
        <w:rPr>
          <w:rFonts w:ascii="Palatino Linotype" w:eastAsia="Palatino Linotype" w:hAnsi="Palatino Linotype" w:cs="Palatino Linotype"/>
          <w:sz w:val="24"/>
          <w:szCs w:val="24"/>
        </w:rPr>
      </w:pPr>
    </w:p>
    <w:p w14:paraId="7E6F3E19" w14:textId="77777777" w:rsidR="00D349AB" w:rsidRDefault="00D349AB">
      <w:pPr>
        <w:spacing w:after="0" w:line="360" w:lineRule="auto"/>
        <w:jc w:val="both"/>
        <w:rPr>
          <w:rFonts w:ascii="Palatino Linotype" w:eastAsia="Palatino Linotype" w:hAnsi="Palatino Linotype" w:cs="Palatino Linotype"/>
          <w:sz w:val="24"/>
          <w:szCs w:val="24"/>
        </w:rPr>
      </w:pPr>
    </w:p>
    <w:p w14:paraId="0CAE3135" w14:textId="77777777" w:rsidR="00D349AB" w:rsidRDefault="005A1261">
      <w:pPr>
        <w:numPr>
          <w:ilvl w:val="0"/>
          <w:numId w:val="3"/>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11A275EE" w14:textId="77777777" w:rsidR="00D349AB" w:rsidRDefault="00D349AB">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2092DD5E" w14:textId="77777777" w:rsidR="00D349AB" w:rsidRDefault="005A126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parcialmente </w:t>
      </w:r>
      <w:r>
        <w:rPr>
          <w:rFonts w:ascii="Palatino Linotype" w:eastAsia="Palatino Linotype" w:hAnsi="Palatino Linotype" w:cs="Palatino Linotype"/>
          <w:b/>
          <w:sz w:val="24"/>
          <w:szCs w:val="24"/>
        </w:rPr>
        <w:t>fundadas</w:t>
      </w:r>
      <w:r>
        <w:rPr>
          <w:rFonts w:ascii="Palatino Linotype" w:eastAsia="Palatino Linotype" w:hAnsi="Palatino Linotype" w:cs="Palatino Linotype"/>
          <w:sz w:val="24"/>
          <w:szCs w:val="24"/>
        </w:rPr>
        <w:t xml:space="preserve"> las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razones o motivos de inconformidad hechos valer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02564/INFOEM/IP/RR/2023;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la presente resolución se </w:t>
      </w:r>
      <w:r>
        <w:rPr>
          <w:rFonts w:ascii="Palatino Linotype" w:eastAsia="Palatino Linotype" w:hAnsi="Palatino Linotype" w:cs="Palatino Linotype"/>
          <w:b/>
          <w:sz w:val="24"/>
          <w:szCs w:val="24"/>
        </w:rPr>
        <w:t xml:space="preserve">Modifica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 xml:space="preserve">Sujeto Obligado. </w:t>
      </w:r>
    </w:p>
    <w:p w14:paraId="3D431193" w14:textId="77777777" w:rsidR="00D349AB" w:rsidRDefault="00D349AB">
      <w:pPr>
        <w:spacing w:after="0" w:line="360" w:lineRule="auto"/>
        <w:jc w:val="both"/>
        <w:rPr>
          <w:rFonts w:ascii="Palatino Linotype" w:eastAsia="Palatino Linotype" w:hAnsi="Palatino Linotype" w:cs="Palatino Linotype"/>
          <w:b/>
          <w:sz w:val="24"/>
          <w:szCs w:val="24"/>
        </w:rPr>
      </w:pPr>
    </w:p>
    <w:p w14:paraId="5106179B" w14:textId="77777777" w:rsidR="00D349AB" w:rsidRDefault="00D349AB">
      <w:pPr>
        <w:spacing w:after="0" w:line="360" w:lineRule="auto"/>
        <w:jc w:val="both"/>
        <w:rPr>
          <w:rFonts w:ascii="Palatino Linotype" w:eastAsia="Palatino Linotype" w:hAnsi="Palatino Linotype" w:cs="Palatino Linotype"/>
          <w:b/>
          <w:sz w:val="10"/>
          <w:szCs w:val="10"/>
        </w:rPr>
      </w:pPr>
    </w:p>
    <w:p w14:paraId="71C48207"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que, en términos de los Considerandos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haga entrega vía Sistema de Acceso a la Información Mexiquense, de ser procedente en versión pública, el o los documentos donde conste o se advierta al mayor grado de desagregación posible lo siguiente:</w:t>
      </w:r>
    </w:p>
    <w:p w14:paraId="1ABD35E4" w14:textId="77777777" w:rsidR="00D349AB" w:rsidRDefault="00D349AB">
      <w:pPr>
        <w:pBdr>
          <w:top w:val="nil"/>
          <w:left w:val="nil"/>
          <w:bottom w:val="nil"/>
          <w:right w:val="nil"/>
          <w:between w:val="nil"/>
        </w:pBdr>
        <w:spacing w:after="0" w:line="360" w:lineRule="auto"/>
        <w:ind w:left="720" w:right="-150"/>
        <w:jc w:val="both"/>
        <w:rPr>
          <w:rFonts w:ascii="Palatino Linotype" w:eastAsia="Palatino Linotype" w:hAnsi="Palatino Linotype" w:cs="Palatino Linotype"/>
          <w:color w:val="000000"/>
          <w:sz w:val="24"/>
          <w:szCs w:val="24"/>
        </w:rPr>
      </w:pPr>
    </w:p>
    <w:p w14:paraId="67C91C4E" w14:textId="77777777" w:rsidR="00D349AB" w:rsidRDefault="005A1261">
      <w:pPr>
        <w:numPr>
          <w:ilvl w:val="0"/>
          <w:numId w:val="6"/>
        </w:numPr>
        <w:pBdr>
          <w:top w:val="nil"/>
          <w:left w:val="nil"/>
          <w:bottom w:val="nil"/>
          <w:right w:val="nil"/>
          <w:between w:val="nil"/>
        </w:pBdr>
        <w:spacing w:after="0" w:line="360" w:lineRule="auto"/>
        <w:ind w:left="360" w:right="-1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El número policías en servicio pertenecientes al  Ayuntamiento de Toluca, heridos por arma de fuego, en los años dos mil veinte, dos mil veintiuno y dos mil veintidós.</w:t>
      </w:r>
    </w:p>
    <w:p w14:paraId="294FCA2F" w14:textId="77777777" w:rsidR="00D349AB" w:rsidRDefault="00D349AB">
      <w:pPr>
        <w:pBdr>
          <w:top w:val="nil"/>
          <w:left w:val="nil"/>
          <w:bottom w:val="nil"/>
          <w:right w:val="nil"/>
          <w:between w:val="nil"/>
        </w:pBdr>
        <w:spacing w:after="0" w:line="360" w:lineRule="auto"/>
        <w:ind w:left="-360" w:right="-150"/>
        <w:jc w:val="both"/>
        <w:rPr>
          <w:rFonts w:ascii="Palatino Linotype" w:eastAsia="Palatino Linotype" w:hAnsi="Palatino Linotype" w:cs="Palatino Linotype"/>
          <w:sz w:val="24"/>
          <w:szCs w:val="24"/>
        </w:rPr>
      </w:pPr>
    </w:p>
    <w:p w14:paraId="750C2B7D" w14:textId="77777777" w:rsidR="00D349AB" w:rsidRDefault="005A1261">
      <w:pPr>
        <w:numPr>
          <w:ilvl w:val="0"/>
          <w:numId w:val="6"/>
        </w:numPr>
        <w:pBdr>
          <w:top w:val="nil"/>
          <w:left w:val="nil"/>
          <w:bottom w:val="nil"/>
          <w:right w:val="nil"/>
          <w:between w:val="nil"/>
        </w:pBdr>
        <w:spacing w:after="0" w:line="360" w:lineRule="auto"/>
        <w:ind w:left="360" w:right="-1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sexo y edad de los policías fallecidos y heridos en servicio por arma de fuego pertenecientes al  Ayuntamiento de Toluca, en los años dos mil veinte, dos mil veintiuno y dos mil veintidós.</w:t>
      </w:r>
    </w:p>
    <w:p w14:paraId="6EED4003" w14:textId="77777777" w:rsidR="00D349AB" w:rsidRDefault="00D349AB">
      <w:pPr>
        <w:rPr>
          <w:rFonts w:ascii="Palatino Linotype" w:eastAsia="Palatino Linotype" w:hAnsi="Palatino Linotype" w:cs="Palatino Linotype"/>
          <w:sz w:val="24"/>
          <w:szCs w:val="24"/>
        </w:rPr>
      </w:pPr>
    </w:p>
    <w:p w14:paraId="1EBD989F" w14:textId="77777777" w:rsidR="00D349AB" w:rsidRDefault="005A1261">
      <w:pPr>
        <w:pBdr>
          <w:top w:val="nil"/>
          <w:left w:val="nil"/>
          <w:bottom w:val="nil"/>
          <w:right w:val="nil"/>
          <w:between w:val="nil"/>
        </w:pBdr>
        <w:spacing w:after="0" w:line="276" w:lineRule="auto"/>
        <w:ind w:left="426"/>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Pr>
          <w:rFonts w:ascii="Palatino Linotype" w:eastAsia="Palatino Linotype" w:hAnsi="Palatino Linotype" w:cs="Palatino Linotype"/>
          <w:b/>
          <w:i/>
          <w:color w:val="000000"/>
          <w:sz w:val="24"/>
          <w:szCs w:val="24"/>
        </w:rPr>
        <w:t>la parte Recurrente</w:t>
      </w:r>
      <w:r>
        <w:rPr>
          <w:rFonts w:ascii="Palatino Linotype" w:eastAsia="Palatino Linotype" w:hAnsi="Palatino Linotype" w:cs="Palatino Linotype"/>
          <w:i/>
          <w:color w:val="000000"/>
          <w:sz w:val="24"/>
          <w:szCs w:val="24"/>
        </w:rPr>
        <w:t>.</w:t>
      </w:r>
    </w:p>
    <w:p w14:paraId="6A94C408" w14:textId="77777777" w:rsidR="00D349AB" w:rsidRDefault="00D349AB">
      <w:pPr>
        <w:pBdr>
          <w:top w:val="nil"/>
          <w:left w:val="nil"/>
          <w:bottom w:val="nil"/>
          <w:right w:val="nil"/>
          <w:between w:val="nil"/>
        </w:pBdr>
        <w:spacing w:after="0" w:line="360" w:lineRule="auto"/>
        <w:ind w:left="426"/>
        <w:jc w:val="both"/>
        <w:rPr>
          <w:rFonts w:ascii="Palatino Linotype" w:eastAsia="Palatino Linotype" w:hAnsi="Palatino Linotype" w:cs="Palatino Linotype"/>
          <w:color w:val="000000"/>
          <w:sz w:val="24"/>
          <w:szCs w:val="24"/>
        </w:rPr>
      </w:pPr>
    </w:p>
    <w:p w14:paraId="6831508E" w14:textId="77777777" w:rsidR="00D349AB" w:rsidRDefault="005A1261">
      <w:pPr>
        <w:spacing w:after="0" w:line="360" w:lineRule="auto"/>
        <w:jc w:val="both"/>
        <w:rPr>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b/>
          <w:sz w:val="32"/>
          <w:szCs w:val="32"/>
        </w:rPr>
        <w:t xml:space="preserve">  </w:t>
      </w:r>
      <w:r>
        <w:rPr>
          <w:rFonts w:ascii="Palatino Linotype" w:eastAsia="Palatino Linotype" w:hAnsi="Palatino Linotype" w:cs="Palatino Linotype"/>
          <w:b/>
          <w:sz w:val="24"/>
          <w:szCs w:val="24"/>
        </w:rPr>
        <w:t>Notifíquese,</w:t>
      </w:r>
      <w:r>
        <w:rPr>
          <w:rFonts w:ascii="Palatino Linotype" w:eastAsia="Palatino Linotype" w:hAnsi="Palatino Linotype" w:cs="Palatino Linotype"/>
          <w:b/>
          <w:sz w:val="32"/>
          <w:szCs w:val="32"/>
        </w:rPr>
        <w:t xml:space="preserve">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sz w:val="24"/>
          <w:szCs w:val="24"/>
        </w:rPr>
        <w:t>.</w:t>
      </w:r>
    </w:p>
    <w:p w14:paraId="46EC35C5" w14:textId="77777777" w:rsidR="00D349AB" w:rsidRDefault="00D349AB">
      <w:pPr>
        <w:spacing w:after="0" w:line="360" w:lineRule="auto"/>
        <w:jc w:val="both"/>
        <w:rPr>
          <w:sz w:val="24"/>
          <w:szCs w:val="24"/>
        </w:rPr>
      </w:pPr>
    </w:p>
    <w:p w14:paraId="6ED7ACC4" w14:textId="77777777" w:rsidR="00D349AB" w:rsidRDefault="005A126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Cuarto.</w:t>
      </w:r>
      <w:r>
        <w:rPr>
          <w:rFonts w:ascii="Palatino Linotype" w:eastAsia="Palatino Linotype" w:hAnsi="Palatino Linotype" w:cs="Palatino Linotype"/>
          <w:b/>
          <w:sz w:val="32"/>
          <w:szCs w:val="32"/>
        </w:rPr>
        <w:t xml:space="preserve">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30BD21D" w14:textId="77777777" w:rsidR="00D349AB" w:rsidRDefault="00D349AB">
      <w:pPr>
        <w:spacing w:after="0" w:line="360" w:lineRule="auto"/>
        <w:jc w:val="both"/>
        <w:rPr>
          <w:rFonts w:ascii="Palatino Linotype" w:eastAsia="Palatino Linotype" w:hAnsi="Palatino Linotype" w:cs="Palatino Linotype"/>
          <w:sz w:val="24"/>
          <w:szCs w:val="24"/>
        </w:rPr>
      </w:pPr>
    </w:p>
    <w:p w14:paraId="57888690" w14:textId="77777777" w:rsidR="00D349AB" w:rsidRDefault="005A126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Notifíquese vía SAIMEX</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2B9F2EF6" w14:textId="77777777" w:rsidR="00D349AB" w:rsidRDefault="00D349AB">
      <w:pPr>
        <w:spacing w:after="0" w:line="360" w:lineRule="auto"/>
        <w:ind w:right="49"/>
        <w:jc w:val="both"/>
        <w:rPr>
          <w:rFonts w:ascii="Palatino Linotype" w:eastAsia="Palatino Linotype" w:hAnsi="Palatino Linotype" w:cs="Palatino Linotype"/>
          <w:sz w:val="24"/>
          <w:szCs w:val="24"/>
        </w:rPr>
      </w:pPr>
    </w:p>
    <w:p w14:paraId="14D95562" w14:textId="77777777" w:rsidR="00D349AB" w:rsidRDefault="005A1261">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Pr>
          <w:rFonts w:ascii="Palatino Linotype" w:eastAsia="Palatino Linotype" w:hAnsi="Palatino Linotype" w:cs="Palatino Linotype"/>
          <w:color w:val="000000"/>
          <w:sz w:val="24"/>
          <w:szCs w:val="24"/>
        </w:rPr>
        <w:t xml:space="preserve"> CUARTA </w:t>
      </w:r>
      <w:r>
        <w:rPr>
          <w:rFonts w:ascii="Palatino Linotype" w:eastAsia="Palatino Linotype" w:hAnsi="Palatino Linotype" w:cs="Palatino Linotype"/>
          <w:sz w:val="24"/>
          <w:szCs w:val="24"/>
        </w:rPr>
        <w:t xml:space="preserve">SESIÓN ORDINARIA CELEBRADA EL SEIS DE DICIEMBRE DE DOS MIL VEINTITRÉS, ANTE EL SECRETARIO TÉCNICO DEL PLENO ALEXIS TAPIA RAMÍREZ. </w:t>
      </w:r>
      <w:bookmarkStart w:id="6" w:name="_heading=h.z337ya" w:colFirst="0" w:colLast="0"/>
      <w:bookmarkEnd w:id="6"/>
    </w:p>
    <w:p w14:paraId="70AD450C"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423EE342"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01A1253C"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1E1E2280"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051E48B8"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75D86D01"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0ADAC3BA" w14:textId="77777777" w:rsidR="00D349AB" w:rsidRDefault="00D349AB">
      <w:pPr>
        <w:spacing w:after="0" w:line="360" w:lineRule="auto"/>
        <w:ind w:right="-93"/>
        <w:jc w:val="both"/>
        <w:rPr>
          <w:rFonts w:ascii="Palatino Linotype" w:eastAsia="Palatino Linotype" w:hAnsi="Palatino Linotype" w:cs="Palatino Linotype"/>
          <w:sz w:val="24"/>
          <w:szCs w:val="24"/>
        </w:rPr>
      </w:pPr>
    </w:p>
    <w:p w14:paraId="05937849" w14:textId="77777777" w:rsidR="00D349AB" w:rsidRDefault="00D349AB">
      <w:pPr>
        <w:spacing w:after="0" w:line="360" w:lineRule="auto"/>
        <w:ind w:right="-93"/>
        <w:jc w:val="both"/>
        <w:rPr>
          <w:rFonts w:ascii="Palatino Linotype" w:eastAsia="Palatino Linotype" w:hAnsi="Palatino Linotype" w:cs="Palatino Linotype"/>
          <w:color w:val="FF0000"/>
          <w:sz w:val="24"/>
          <w:szCs w:val="24"/>
        </w:rPr>
      </w:pPr>
    </w:p>
    <w:sectPr w:rsidR="00D349AB">
      <w:headerReference w:type="default" r:id="rId19"/>
      <w:footerReference w:type="default" r:id="rId20"/>
      <w:headerReference w:type="first" r:id="rId21"/>
      <w:footerReference w:type="first" r:id="rId2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5C821" w14:textId="77777777" w:rsidR="005D38B4" w:rsidRDefault="005D38B4">
      <w:pPr>
        <w:spacing w:after="0" w:line="240" w:lineRule="auto"/>
      </w:pPr>
      <w:r>
        <w:separator/>
      </w:r>
    </w:p>
  </w:endnote>
  <w:endnote w:type="continuationSeparator" w:id="0">
    <w:p w14:paraId="2DF9A639" w14:textId="77777777" w:rsidR="005D38B4" w:rsidRDefault="005D3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F277" w14:textId="77777777" w:rsidR="005A1261" w:rsidRDefault="005A126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61815">
      <w:rPr>
        <w:b/>
        <w:noProof/>
        <w:color w:val="000000"/>
        <w:sz w:val="24"/>
        <w:szCs w:val="24"/>
      </w:rPr>
      <w:t>62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61815">
      <w:rPr>
        <w:b/>
        <w:noProof/>
        <w:color w:val="000000"/>
        <w:sz w:val="24"/>
        <w:szCs w:val="24"/>
      </w:rPr>
      <w:t>63</w:t>
    </w:r>
    <w:r>
      <w:rPr>
        <w:b/>
        <w:color w:val="000000"/>
        <w:sz w:val="24"/>
        <w:szCs w:val="24"/>
      </w:rPr>
      <w:fldChar w:fldCharType="end"/>
    </w:r>
  </w:p>
  <w:p w14:paraId="19E6769B" w14:textId="77777777" w:rsidR="005A1261" w:rsidRDefault="005A126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48F6" w14:textId="77777777" w:rsidR="005A1261" w:rsidRDefault="005A126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6181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61815">
      <w:rPr>
        <w:b/>
        <w:noProof/>
        <w:color w:val="000000"/>
        <w:sz w:val="24"/>
        <w:szCs w:val="24"/>
      </w:rPr>
      <w:t>63</w:t>
    </w:r>
    <w:r>
      <w:rPr>
        <w:b/>
        <w:color w:val="000000"/>
        <w:sz w:val="24"/>
        <w:szCs w:val="24"/>
      </w:rPr>
      <w:fldChar w:fldCharType="end"/>
    </w:r>
  </w:p>
  <w:p w14:paraId="6A94E56C" w14:textId="77777777" w:rsidR="005A1261" w:rsidRDefault="005A126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E2391" w14:textId="77777777" w:rsidR="005D38B4" w:rsidRDefault="005D38B4">
      <w:pPr>
        <w:spacing w:after="0" w:line="240" w:lineRule="auto"/>
      </w:pPr>
      <w:r>
        <w:separator/>
      </w:r>
    </w:p>
  </w:footnote>
  <w:footnote w:type="continuationSeparator" w:id="0">
    <w:p w14:paraId="001489C6" w14:textId="77777777" w:rsidR="005D38B4" w:rsidRDefault="005D38B4">
      <w:pPr>
        <w:spacing w:after="0" w:line="240" w:lineRule="auto"/>
      </w:pPr>
      <w:r>
        <w:continuationSeparator/>
      </w:r>
    </w:p>
  </w:footnote>
  <w:footnote w:id="1">
    <w:p w14:paraId="769CE85F" w14:textId="77777777" w:rsidR="005A1261" w:rsidRDefault="005A126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C8B6979" w14:textId="77777777" w:rsidR="005A1261" w:rsidRDefault="005A12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C659" w14:textId="77777777" w:rsidR="005A1261" w:rsidRDefault="005A126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FE40077" wp14:editId="28F2AF99">
          <wp:simplePos x="0" y="0"/>
          <wp:positionH relativeFrom="column">
            <wp:posOffset>-746121</wp:posOffset>
          </wp:positionH>
          <wp:positionV relativeFrom="paragraph">
            <wp:posOffset>-448306</wp:posOffset>
          </wp:positionV>
          <wp:extent cx="7809876" cy="10165823"/>
          <wp:effectExtent l="0" t="0" r="0" b="0"/>
          <wp:wrapNone/>
          <wp:docPr id="21431081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b"/>
      <w:tblW w:w="5603" w:type="dxa"/>
      <w:tblInd w:w="3611" w:type="dxa"/>
      <w:tblLayout w:type="fixed"/>
      <w:tblLook w:val="0400" w:firstRow="0" w:lastRow="0" w:firstColumn="0" w:lastColumn="0" w:noHBand="0" w:noVBand="1"/>
    </w:tblPr>
    <w:tblGrid>
      <w:gridCol w:w="2551"/>
      <w:gridCol w:w="3052"/>
    </w:tblGrid>
    <w:tr w:rsidR="005A1261" w14:paraId="3089A239" w14:textId="77777777">
      <w:tc>
        <w:tcPr>
          <w:tcW w:w="2551" w:type="dxa"/>
          <w:vAlign w:val="center"/>
        </w:tcPr>
        <w:p w14:paraId="174F07B2"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DE6F674"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02564/INFOEM/IP/RR/2023</w:t>
          </w:r>
        </w:p>
      </w:tc>
    </w:tr>
    <w:tr w:rsidR="005A1261" w14:paraId="3B9B8C35" w14:textId="77777777">
      <w:trPr>
        <w:trHeight w:val="228"/>
      </w:trPr>
      <w:tc>
        <w:tcPr>
          <w:tcW w:w="2551" w:type="dxa"/>
          <w:vAlign w:val="center"/>
        </w:tcPr>
        <w:p w14:paraId="2B2135A2"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41341EC"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61D4CBCE" w14:textId="77777777" w:rsidR="005A1261" w:rsidRDefault="005A1261">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5A1261" w14:paraId="3CFA918A" w14:textId="77777777">
      <w:tc>
        <w:tcPr>
          <w:tcW w:w="2551" w:type="dxa"/>
          <w:vAlign w:val="center"/>
        </w:tcPr>
        <w:p w14:paraId="595E9615"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CB092C0"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3AE210A" w14:textId="77777777" w:rsidR="005A1261" w:rsidRDefault="005A126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C04D" w14:textId="77777777" w:rsidR="005A1261" w:rsidRDefault="005A126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147364F" wp14:editId="23FB313E">
          <wp:simplePos x="0" y="0"/>
          <wp:positionH relativeFrom="column">
            <wp:posOffset>-713101</wp:posOffset>
          </wp:positionH>
          <wp:positionV relativeFrom="paragraph">
            <wp:posOffset>-154936</wp:posOffset>
          </wp:positionV>
          <wp:extent cx="7809876" cy="10165823"/>
          <wp:effectExtent l="0" t="0" r="0" b="0"/>
          <wp:wrapNone/>
          <wp:docPr id="21431081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03" w:type="dxa"/>
      <w:tblInd w:w="3611" w:type="dxa"/>
      <w:tblLayout w:type="fixed"/>
      <w:tblLook w:val="0400" w:firstRow="0" w:lastRow="0" w:firstColumn="0" w:lastColumn="0" w:noHBand="0" w:noVBand="1"/>
    </w:tblPr>
    <w:tblGrid>
      <w:gridCol w:w="2551"/>
      <w:gridCol w:w="3052"/>
    </w:tblGrid>
    <w:tr w:rsidR="005A1261" w14:paraId="34BCA9B5" w14:textId="77777777">
      <w:tc>
        <w:tcPr>
          <w:tcW w:w="2551" w:type="dxa"/>
          <w:vAlign w:val="center"/>
        </w:tcPr>
        <w:p w14:paraId="13FA2BAF"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F6A86A7"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02564/INFOEM/IP/RR/2023</w:t>
          </w:r>
        </w:p>
      </w:tc>
    </w:tr>
    <w:tr w:rsidR="005A1261" w14:paraId="441A2186" w14:textId="77777777">
      <w:tc>
        <w:tcPr>
          <w:tcW w:w="2551" w:type="dxa"/>
          <w:vAlign w:val="center"/>
        </w:tcPr>
        <w:p w14:paraId="44C7541A"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DF250FF" w14:textId="0F8770B4" w:rsidR="005A1261" w:rsidRDefault="00C5117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w:t>
          </w:r>
        </w:p>
      </w:tc>
    </w:tr>
    <w:tr w:rsidR="005A1261" w14:paraId="55C5AF77" w14:textId="77777777">
      <w:trPr>
        <w:trHeight w:val="228"/>
      </w:trPr>
      <w:tc>
        <w:tcPr>
          <w:tcW w:w="2551" w:type="dxa"/>
          <w:vAlign w:val="center"/>
        </w:tcPr>
        <w:p w14:paraId="3984F82F"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D31E922"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EC990D2" w14:textId="77777777" w:rsidR="005A1261" w:rsidRDefault="005A1261">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5A1261" w14:paraId="61F5F256" w14:textId="77777777">
      <w:tc>
        <w:tcPr>
          <w:tcW w:w="2551" w:type="dxa"/>
          <w:vAlign w:val="center"/>
        </w:tcPr>
        <w:p w14:paraId="1BE946A5"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F47D652" w14:textId="77777777" w:rsidR="005A1261" w:rsidRDefault="005A12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35EB252" w14:textId="77777777" w:rsidR="005A1261" w:rsidRDefault="005A126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B5B6D"/>
    <w:multiLevelType w:val="multilevel"/>
    <w:tmpl w:val="4738B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E227EF4"/>
    <w:multiLevelType w:val="multilevel"/>
    <w:tmpl w:val="76CCDE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453C75"/>
    <w:multiLevelType w:val="multilevel"/>
    <w:tmpl w:val="2CB450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E9A5123"/>
    <w:multiLevelType w:val="multilevel"/>
    <w:tmpl w:val="C7E8908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5E1A77"/>
    <w:multiLevelType w:val="multilevel"/>
    <w:tmpl w:val="DF60298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3ED246A"/>
    <w:multiLevelType w:val="multilevel"/>
    <w:tmpl w:val="71EAA2DE"/>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4CE540A5"/>
    <w:multiLevelType w:val="multilevel"/>
    <w:tmpl w:val="804EC836"/>
    <w:lvl w:ilvl="0">
      <w:start w:val="1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066EFA"/>
    <w:multiLevelType w:val="multilevel"/>
    <w:tmpl w:val="86EA67B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62157FFD"/>
    <w:multiLevelType w:val="multilevel"/>
    <w:tmpl w:val="B0F88F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8"/>
  </w:num>
  <w:num w:numId="4">
    <w:abstractNumId w:val="1"/>
  </w:num>
  <w:num w:numId="5">
    <w:abstractNumId w:val="7"/>
  </w:num>
  <w:num w:numId="6">
    <w:abstractNumId w:val="6"/>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9AB"/>
    <w:rsid w:val="00377B04"/>
    <w:rsid w:val="004455FF"/>
    <w:rsid w:val="004E4F54"/>
    <w:rsid w:val="00522301"/>
    <w:rsid w:val="00576008"/>
    <w:rsid w:val="005A1261"/>
    <w:rsid w:val="005D38B4"/>
    <w:rsid w:val="00641E23"/>
    <w:rsid w:val="00871610"/>
    <w:rsid w:val="00915E4F"/>
    <w:rsid w:val="00955DFB"/>
    <w:rsid w:val="009E155C"/>
    <w:rsid w:val="00A61815"/>
    <w:rsid w:val="00B045C9"/>
    <w:rsid w:val="00BD7908"/>
    <w:rsid w:val="00C5117E"/>
    <w:rsid w:val="00CD4C94"/>
    <w:rsid w:val="00D349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4FE4A"/>
  <w15:docId w15:val="{32D2EA57-A7D4-4C8F-96F9-2E771BEED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15" w:type="dxa"/>
        <w:bottom w:w="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table" w:customStyle="1" w:styleId="a8">
    <w:basedOn w:val="TableNormal1"/>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vt.com.mx/policia-de-toluca-muere-y-dos-resultan-lesionados-salvando-a-mujer-violentad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tv.com.mx/policia-de-toluca-muere-y-dos-resultan-lesionados-salvando-a-mujer-violentad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3HbaL4C7Ck62BdSRjEsdypv1g==">CgMxLjAyCWguMmV0OTJwMDIIaC5namRneHMyCWguMzBqMHpsbDIJaC4xZm9iOXRlMgloLjN6bnlzaDcyCWguMXQzaDVzZjIIaC56MzM3eWE4AHIhMXBId0duWWpwaXZOVG1zdlJfaWs2SWZ0RUgzbXNCMW9m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14984</Words>
  <Characters>82414</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97204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2023-12-08T16:43:00Z</cp:lastPrinted>
  <dcterms:created xsi:type="dcterms:W3CDTF">2023-12-19T22:50:00Z</dcterms:created>
  <dcterms:modified xsi:type="dcterms:W3CDTF">2023-12-19T22:50:00Z</dcterms:modified>
</cp:coreProperties>
</file>