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ACED64A"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9F745B">
        <w:rPr>
          <w:rFonts w:ascii="Palatino Linotype" w:eastAsia="Palatino Linotype" w:hAnsi="Palatino Linotype" w:cs="Palatino Linotype"/>
          <w:color w:val="000000"/>
          <w:sz w:val="24"/>
          <w:szCs w:val="24"/>
          <w:lang w:val="es-ES_tradnl"/>
        </w:rPr>
        <w:t>dieciocho</w:t>
      </w:r>
      <w:r w:rsidR="00CE1BF6">
        <w:rPr>
          <w:rFonts w:ascii="Palatino Linotype" w:eastAsia="Palatino Linotype" w:hAnsi="Palatino Linotype" w:cs="Palatino Linotype"/>
          <w:color w:val="000000"/>
          <w:sz w:val="24"/>
          <w:szCs w:val="24"/>
          <w:lang w:val="es-ES_tradnl"/>
        </w:rPr>
        <w:t xml:space="preserve"> de enero de dos mil </w:t>
      </w:r>
      <w:r w:rsidR="00F03B12">
        <w:rPr>
          <w:rFonts w:ascii="Palatino Linotype" w:eastAsia="Palatino Linotype" w:hAnsi="Palatino Linotype" w:cs="Palatino Linotype"/>
          <w:color w:val="000000"/>
          <w:sz w:val="24"/>
          <w:szCs w:val="24"/>
          <w:lang w:val="es-ES_tradnl"/>
        </w:rPr>
        <w:t xml:space="preserve">veintitrés. </w:t>
      </w:r>
      <w:r w:rsidR="00CE1BF6">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0B041F34" w14:textId="2A554AAF" w:rsidR="009F745B" w:rsidRPr="009F745B" w:rsidRDefault="00CE1BF6" w:rsidP="00CE1BF6">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9F745B">
        <w:rPr>
          <w:rFonts w:ascii="Palatino Linotype" w:hAnsi="Palatino Linotype" w:cs="Arial"/>
          <w:b/>
          <w:bCs/>
          <w:sz w:val="24"/>
        </w:rPr>
        <w:t xml:space="preserve">17030/INFOEM/IP/RR/2022 y 17031/INFOEM/IP/RR/2022, </w:t>
      </w:r>
      <w:r w:rsidR="009F745B">
        <w:rPr>
          <w:rFonts w:ascii="Palatino Linotype" w:hAnsi="Palatino Linotype" w:cs="Arial"/>
          <w:sz w:val="24"/>
        </w:rPr>
        <w:t xml:space="preserve">interpuestos por el </w:t>
      </w:r>
      <w:r w:rsidR="009F745B">
        <w:rPr>
          <w:rFonts w:ascii="Palatino Linotype" w:hAnsi="Palatino Linotype" w:cs="Arial"/>
          <w:b/>
          <w:bCs/>
          <w:sz w:val="24"/>
        </w:rPr>
        <w:t>C.</w:t>
      </w:r>
      <w:r w:rsidR="00593D94">
        <w:rPr>
          <w:rFonts w:ascii="Palatino Linotype" w:hAnsi="Palatino Linotype" w:cs="Arial"/>
          <w:b/>
          <w:bCs/>
          <w:sz w:val="24"/>
        </w:rPr>
        <w:t xml:space="preserve"> XXXX</w:t>
      </w:r>
      <w:r w:rsidR="009F745B">
        <w:rPr>
          <w:rFonts w:ascii="Palatino Linotype" w:hAnsi="Palatino Linotype" w:cs="Arial"/>
          <w:b/>
          <w:bCs/>
          <w:sz w:val="24"/>
        </w:rPr>
        <w:t xml:space="preserve">, </w:t>
      </w:r>
      <w:r w:rsidR="009F745B">
        <w:rPr>
          <w:rFonts w:ascii="Palatino Linotype" w:hAnsi="Palatino Linotype" w:cs="Arial"/>
          <w:sz w:val="24"/>
        </w:rPr>
        <w:t xml:space="preserve">en contra de la falta de respuesta del </w:t>
      </w:r>
      <w:r w:rsidR="009F745B">
        <w:rPr>
          <w:rFonts w:ascii="Palatino Linotype" w:hAnsi="Palatino Linotype" w:cs="Arial"/>
          <w:b/>
          <w:bCs/>
          <w:sz w:val="24"/>
        </w:rPr>
        <w:t xml:space="preserve">Ayuntamiento de Malinalco, </w:t>
      </w:r>
      <w:r w:rsidR="009F745B">
        <w:rPr>
          <w:rFonts w:ascii="Palatino Linotype" w:hAnsi="Palatino Linotype" w:cs="Arial"/>
          <w:sz w:val="24"/>
        </w:rPr>
        <w:t xml:space="preserve">en lo subsecuente </w:t>
      </w:r>
      <w:r w:rsidR="009F745B">
        <w:rPr>
          <w:rFonts w:ascii="Palatino Linotype" w:hAnsi="Palatino Linotype" w:cs="Arial"/>
          <w:b/>
          <w:bCs/>
          <w:sz w:val="24"/>
        </w:rPr>
        <w:t xml:space="preserve">El Sujeto Obligado, </w:t>
      </w:r>
      <w:r w:rsidR="009F745B">
        <w:rPr>
          <w:rFonts w:ascii="Palatino Linotype" w:hAnsi="Palatino Linotype" w:cs="Arial"/>
          <w:sz w:val="24"/>
        </w:rPr>
        <w:t xml:space="preserve">se procede a dictar la presente resolución. </w:t>
      </w:r>
    </w:p>
    <w:p w14:paraId="738ACBEC" w14:textId="77777777" w:rsidR="00CE1BF6" w:rsidRDefault="00CE1BF6" w:rsidP="00CE1BF6">
      <w:pPr>
        <w:tabs>
          <w:tab w:val="left" w:pos="1701"/>
        </w:tabs>
        <w:spacing w:before="240" w:line="360" w:lineRule="auto"/>
        <w:jc w:val="both"/>
        <w:rPr>
          <w:rFonts w:ascii="Palatino Linotype" w:hAnsi="Palatino Linotype" w:cs="Arial"/>
          <w:sz w:val="24"/>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bookmarkStart w:id="0" w:name="_GoBack"/>
      <w:bookmarkEnd w:id="0"/>
    </w:p>
    <w:p w14:paraId="0A61C369" w14:textId="77777777" w:rsidR="00CE1BF6" w:rsidRPr="00D3218F" w:rsidRDefault="00CE1BF6" w:rsidP="00CE1BF6">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731E9C6" w14:textId="61B742BD" w:rsidR="009F745B" w:rsidRPr="009F745B" w:rsidRDefault="00CE1BF6" w:rsidP="00CE1BF6">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9F745B">
        <w:rPr>
          <w:rFonts w:ascii="Palatino Linotype" w:hAnsi="Palatino Linotype" w:cs="Arial"/>
          <w:sz w:val="24"/>
        </w:rPr>
        <w:t xml:space="preserve">doce de octubre de dos mil veintidós, </w:t>
      </w:r>
      <w:r w:rsidR="009F745B">
        <w:rPr>
          <w:rFonts w:ascii="Palatino Linotype" w:hAnsi="Palatino Linotype" w:cs="Arial"/>
          <w:b/>
          <w:bCs/>
          <w:sz w:val="24"/>
        </w:rPr>
        <w:t xml:space="preserve">El Recurrente, </w:t>
      </w:r>
      <w:r w:rsidR="009F745B">
        <w:rPr>
          <w:rFonts w:ascii="Palatino Linotype" w:hAnsi="Palatino Linotype" w:cs="Arial"/>
          <w:sz w:val="24"/>
        </w:rPr>
        <w:t xml:space="preserve">presentó a través del Sistema de Acceso a la Información Mexiquense </w:t>
      </w:r>
      <w:r w:rsidR="009F745B" w:rsidRPr="00D3218F">
        <w:rPr>
          <w:rFonts w:ascii="Palatino Linotype" w:hAnsi="Palatino Linotype" w:cs="Arial"/>
          <w:sz w:val="24"/>
        </w:rPr>
        <w:t>(</w:t>
      </w:r>
      <w:r w:rsidR="009F745B" w:rsidRPr="00D3218F">
        <w:rPr>
          <w:rFonts w:ascii="Palatino Linotype" w:hAnsi="Palatino Linotype" w:cs="Arial"/>
          <w:b/>
          <w:sz w:val="24"/>
        </w:rPr>
        <w:t>SAIMEX)</w:t>
      </w:r>
      <w:r w:rsidR="009F745B" w:rsidRPr="00D3218F">
        <w:rPr>
          <w:rFonts w:ascii="Palatino Linotype" w:hAnsi="Palatino Linotype" w:cs="Arial"/>
          <w:sz w:val="24"/>
        </w:rPr>
        <w:t xml:space="preserve"> ante </w:t>
      </w:r>
      <w:r w:rsidR="009F745B" w:rsidRPr="00D3218F">
        <w:rPr>
          <w:rFonts w:ascii="Palatino Linotype" w:hAnsi="Palatino Linotype" w:cs="Arial"/>
          <w:b/>
          <w:sz w:val="24"/>
        </w:rPr>
        <w:t>El Sujeto Obligado</w:t>
      </w:r>
      <w:r w:rsidR="009F745B" w:rsidRPr="00D3218F">
        <w:rPr>
          <w:rFonts w:ascii="Palatino Linotype" w:hAnsi="Palatino Linotype" w:cs="Arial"/>
          <w:sz w:val="24"/>
        </w:rPr>
        <w:t xml:space="preserve">, las solicitudes de acceso a la información pública, registradas bajo los números de </w:t>
      </w:r>
      <w:r w:rsidR="009F745B" w:rsidRPr="00124807">
        <w:rPr>
          <w:rFonts w:ascii="Palatino Linotype" w:hAnsi="Palatino Linotype" w:cs="Arial"/>
          <w:sz w:val="24"/>
        </w:rPr>
        <w:t>expediente</w:t>
      </w:r>
      <w:r w:rsidR="009F745B">
        <w:rPr>
          <w:rFonts w:ascii="Palatino Linotype" w:hAnsi="Palatino Linotype" w:cs="Arial"/>
          <w:sz w:val="24"/>
        </w:rPr>
        <w:t xml:space="preserve"> </w:t>
      </w:r>
      <w:r w:rsidR="009F745B">
        <w:rPr>
          <w:rFonts w:ascii="Palatino Linotype" w:hAnsi="Palatino Linotype" w:cs="Arial"/>
          <w:b/>
          <w:bCs/>
          <w:sz w:val="24"/>
        </w:rPr>
        <w:t xml:space="preserve">00352/MALINAL/IP/2022 </w:t>
      </w:r>
      <w:r w:rsidR="009F745B">
        <w:rPr>
          <w:rFonts w:ascii="Palatino Linotype" w:hAnsi="Palatino Linotype" w:cs="Arial"/>
          <w:sz w:val="24"/>
        </w:rPr>
        <w:t xml:space="preserve">y </w:t>
      </w:r>
      <w:r w:rsidR="009F745B">
        <w:rPr>
          <w:rFonts w:ascii="Palatino Linotype" w:hAnsi="Palatino Linotype" w:cs="Arial"/>
          <w:b/>
          <w:bCs/>
          <w:sz w:val="24"/>
        </w:rPr>
        <w:t xml:space="preserve">00353/MALINAL/IP/2022, </w:t>
      </w:r>
      <w:r w:rsidR="009F745B">
        <w:rPr>
          <w:rFonts w:ascii="Palatino Linotype" w:hAnsi="Palatino Linotype" w:cs="Arial"/>
          <w:sz w:val="24"/>
        </w:rPr>
        <w:t xml:space="preserve">mediante las cuales solicitó información en el tenor siguiente: </w:t>
      </w:r>
    </w:p>
    <w:p w14:paraId="5479A88A" w14:textId="77777777" w:rsidR="009F745B" w:rsidRDefault="009F745B" w:rsidP="00CE1BF6">
      <w:pPr>
        <w:spacing w:before="240" w:line="360" w:lineRule="auto"/>
        <w:jc w:val="both"/>
        <w:rPr>
          <w:rFonts w:ascii="Palatino Linotype" w:hAnsi="Palatino Linotype" w:cs="Arial"/>
          <w:sz w:val="24"/>
        </w:rPr>
      </w:pPr>
      <w:r>
        <w:rPr>
          <w:rFonts w:ascii="Palatino Linotype" w:hAnsi="Palatino Linotype" w:cs="Arial"/>
          <w:b/>
          <w:bCs/>
          <w:sz w:val="24"/>
        </w:rPr>
        <w:t xml:space="preserve">00352/MALINAL/IP/2022 </w:t>
      </w:r>
    </w:p>
    <w:p w14:paraId="70C58949" w14:textId="1B5AA214" w:rsidR="009F745B" w:rsidRPr="009F745B" w:rsidRDefault="009F745B" w:rsidP="009F745B">
      <w:pPr>
        <w:pStyle w:val="Citas"/>
        <w:rPr>
          <w:b/>
          <w:bCs/>
          <w:sz w:val="24"/>
        </w:rPr>
      </w:pPr>
      <w:r>
        <w:t xml:space="preserve">“Concurso para asignación de obra o lineamientos para la asignación, contrato de obra pública, catálogo de conceptos, pagos ejercidos como son anticipo, estimaciones de obra o finiquito, así como las fianzas recibidas por el proveedor o contratista </w:t>
      </w:r>
      <w:r>
        <w:lastRenderedPageBreak/>
        <w:t xml:space="preserve">(anticipo, cumplimiento y finiquito) de la Obra de la administración 2022-2024 conocida como la 18ª según las redes sociales oficiales (Pagina de Facebook </w:t>
      </w:r>
      <w:hyperlink r:id="rId8" w:history="1">
        <w:r w:rsidRPr="00D301DB">
          <w:rPr>
            <w:rStyle w:val="Hipervnculo"/>
          </w:rPr>
          <w:t>https://www.facebook.com/malinalcoayuntamiento</w:t>
        </w:r>
      </w:hyperlink>
      <w:r>
        <w:t xml:space="preserve"> ) relativo al DEPOSITO DE ALMACENAMIENTO DE AGUA POTABLE, en el paraje EL PUENTECITO, en caso de que se haya realizado con personal del Ayuntamiento; </w:t>
      </w:r>
      <w:proofErr w:type="spellStart"/>
      <w:r>
        <w:t>nominas</w:t>
      </w:r>
      <w:proofErr w:type="spellEnd"/>
      <w:r>
        <w:t xml:space="preserve"> y factura de materiales para dichos trabajos” </w:t>
      </w:r>
      <w:r>
        <w:rPr>
          <w:b/>
          <w:bCs/>
        </w:rPr>
        <w:t>(Sic)</w:t>
      </w:r>
    </w:p>
    <w:p w14:paraId="1642C834" w14:textId="77777777" w:rsidR="009F745B" w:rsidRDefault="009F745B" w:rsidP="00CE1BF6">
      <w:pPr>
        <w:spacing w:before="240" w:line="360" w:lineRule="auto"/>
        <w:jc w:val="both"/>
        <w:rPr>
          <w:rFonts w:ascii="Palatino Linotype" w:hAnsi="Palatino Linotype" w:cs="Arial"/>
          <w:sz w:val="24"/>
        </w:rPr>
      </w:pPr>
    </w:p>
    <w:p w14:paraId="3B98E6E4" w14:textId="7F08A7F0" w:rsidR="009F745B" w:rsidRDefault="009F745B" w:rsidP="00CE1BF6">
      <w:pPr>
        <w:spacing w:before="240" w:line="360" w:lineRule="auto"/>
        <w:jc w:val="both"/>
        <w:rPr>
          <w:rFonts w:ascii="Palatino Linotype" w:hAnsi="Palatino Linotype" w:cs="Arial"/>
          <w:b/>
          <w:bCs/>
          <w:sz w:val="24"/>
        </w:rPr>
      </w:pPr>
      <w:r>
        <w:rPr>
          <w:rFonts w:ascii="Palatino Linotype" w:hAnsi="Palatino Linotype" w:cs="Arial"/>
          <w:sz w:val="24"/>
        </w:rPr>
        <w:t xml:space="preserve"> </w:t>
      </w:r>
      <w:r>
        <w:rPr>
          <w:rFonts w:ascii="Palatino Linotype" w:hAnsi="Palatino Linotype" w:cs="Arial"/>
          <w:b/>
          <w:bCs/>
          <w:sz w:val="24"/>
        </w:rPr>
        <w:t>00353/MALINAL/IP/2022</w:t>
      </w:r>
    </w:p>
    <w:p w14:paraId="0A1F97C1" w14:textId="00FC8968" w:rsidR="009F745B" w:rsidRPr="009F745B" w:rsidRDefault="009F745B" w:rsidP="009F745B">
      <w:pPr>
        <w:pStyle w:val="Citas"/>
        <w:rPr>
          <w:b/>
          <w:bCs/>
          <w:sz w:val="24"/>
        </w:rPr>
      </w:pPr>
      <w:r>
        <w:t xml:space="preserve">“Concurso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conocida como la 19ª según las redes sociales oficiales (Pagina de Facebook </w:t>
      </w:r>
      <w:hyperlink r:id="rId9" w:history="1">
        <w:r w:rsidRPr="00D301DB">
          <w:rPr>
            <w:rStyle w:val="Hipervnculo"/>
          </w:rPr>
          <w:t>https://www.facebook.com/malinalcoayuntamiento</w:t>
        </w:r>
      </w:hyperlink>
      <w:r>
        <w:t xml:space="preserve"> ) relativo al DRENAJE PLUVIAL, en la Brecha conocida como LA PUERTA en la comunidad de SAN SIMON EL ALTO, en caso de que se haya realizado con personal del Ayuntamiento; </w:t>
      </w:r>
      <w:proofErr w:type="spellStart"/>
      <w:r>
        <w:t>nominas</w:t>
      </w:r>
      <w:proofErr w:type="spellEnd"/>
      <w:r>
        <w:t xml:space="preserve"> y factura de materiales para dichos trabajos” </w:t>
      </w:r>
      <w:r>
        <w:rPr>
          <w:b/>
          <w:bCs/>
        </w:rPr>
        <w:t>(Sic)</w:t>
      </w:r>
    </w:p>
    <w:p w14:paraId="3C2661DF" w14:textId="2AFDA89E" w:rsidR="009F745B" w:rsidRDefault="009F745B" w:rsidP="00CE1BF6">
      <w:pPr>
        <w:spacing w:before="240" w:line="360" w:lineRule="auto"/>
        <w:jc w:val="both"/>
        <w:rPr>
          <w:rFonts w:ascii="Palatino Linotype" w:hAnsi="Palatino Linotype" w:cs="Arial"/>
          <w:sz w:val="24"/>
        </w:rPr>
      </w:pPr>
    </w:p>
    <w:p w14:paraId="1284797D" w14:textId="2DA1A4BE" w:rsidR="009F745B" w:rsidRDefault="009F745B" w:rsidP="009F745B">
      <w:pPr>
        <w:spacing w:before="240" w:line="360" w:lineRule="auto"/>
        <w:jc w:val="both"/>
        <w:rPr>
          <w:rFonts w:ascii="Palatino Linotype" w:hAnsi="Palatino Linotype" w:cs="Arial"/>
          <w:sz w:val="24"/>
          <w:szCs w:val="24"/>
        </w:rPr>
      </w:pPr>
      <w:r>
        <w:rPr>
          <w:rFonts w:ascii="Palatino Linotype" w:hAnsi="Palatino Linotype" w:cs="Arial"/>
          <w:sz w:val="24"/>
          <w:szCs w:val="24"/>
        </w:rPr>
        <w:t>Adicionalmente, el particular remitió los siguientes documentos electrónicos:</w:t>
      </w:r>
    </w:p>
    <w:p w14:paraId="2D39C9CB" w14:textId="5EE37DE0" w:rsidR="009F745B" w:rsidRPr="009F745B" w:rsidRDefault="009F745B" w:rsidP="009F745B">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00352/MALINAL/IP/2022</w:t>
      </w:r>
    </w:p>
    <w:p w14:paraId="41E9233C" w14:textId="22E105A1" w:rsidR="009F745B" w:rsidRPr="009F745B" w:rsidRDefault="009F745B" w:rsidP="009F745B">
      <w:pPr>
        <w:pStyle w:val="Prrafodelista"/>
        <w:numPr>
          <w:ilvl w:val="0"/>
          <w:numId w:val="21"/>
        </w:numPr>
        <w:spacing w:before="240" w:line="360" w:lineRule="auto"/>
        <w:jc w:val="both"/>
        <w:rPr>
          <w:rFonts w:ascii="Palatino Linotype" w:hAnsi="Palatino Linotype" w:cs="Arial"/>
        </w:rPr>
      </w:pPr>
      <w:r>
        <w:rPr>
          <w:rFonts w:ascii="Palatino Linotype" w:hAnsi="Palatino Linotype" w:cs="Arial"/>
          <w:b/>
          <w:bCs/>
        </w:rPr>
        <w:lastRenderedPageBreak/>
        <w:t xml:space="preserve">“18a Deposito de Agua Potable El Puentecito.pdf”: </w:t>
      </w:r>
      <w:r>
        <w:rPr>
          <w:rFonts w:ascii="Palatino Linotype" w:hAnsi="Palatino Linotype" w:cs="Arial"/>
        </w:rPr>
        <w:t xml:space="preserve">Captura de pantalla derivado de publicación en red social, mediante el cual se informa el inicio de construcción de depósito de almacenamiento de agua potable en la comunidad del Puentecito. </w:t>
      </w:r>
    </w:p>
    <w:p w14:paraId="176C2020" w14:textId="77777777" w:rsidR="009F745B" w:rsidRDefault="009F745B" w:rsidP="009F745B">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 </w:t>
      </w:r>
    </w:p>
    <w:p w14:paraId="2534A74B" w14:textId="1F981D4B" w:rsidR="009F745B" w:rsidRDefault="009F745B" w:rsidP="009F745B">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00353/MALINAL/IP/2022</w:t>
      </w:r>
    </w:p>
    <w:p w14:paraId="29A894FF" w14:textId="3121F03B" w:rsidR="009F745B" w:rsidRPr="009F745B" w:rsidRDefault="009F745B" w:rsidP="009F745B">
      <w:pPr>
        <w:pStyle w:val="Prrafodelista"/>
        <w:numPr>
          <w:ilvl w:val="0"/>
          <w:numId w:val="22"/>
        </w:numPr>
        <w:spacing w:before="240" w:line="360" w:lineRule="auto"/>
        <w:jc w:val="both"/>
        <w:rPr>
          <w:rFonts w:ascii="Palatino Linotype" w:hAnsi="Palatino Linotype" w:cs="Arial"/>
          <w:b/>
          <w:bCs/>
        </w:rPr>
      </w:pPr>
      <w:r>
        <w:rPr>
          <w:rFonts w:ascii="Palatino Linotype" w:hAnsi="Palatino Linotype" w:cs="Arial"/>
          <w:b/>
          <w:bCs/>
        </w:rPr>
        <w:t>“</w:t>
      </w:r>
      <w:r w:rsidR="00D31339">
        <w:rPr>
          <w:rFonts w:ascii="Palatino Linotype" w:hAnsi="Palatino Linotype" w:cs="Arial"/>
          <w:b/>
          <w:bCs/>
        </w:rPr>
        <w:t xml:space="preserve">19a Drenaje Pluvial brecha LA PUERTA.pdf”: </w:t>
      </w:r>
      <w:r w:rsidR="00D31339">
        <w:rPr>
          <w:rFonts w:ascii="Palatino Linotype" w:hAnsi="Palatino Linotype" w:cs="Arial"/>
        </w:rPr>
        <w:t>Captura de pantalla derivado de publicación en red social, mediante el cual se informa el inicio de construcción de drenaje pluvial en brecha conocida como “La Puerta”</w:t>
      </w:r>
    </w:p>
    <w:p w14:paraId="19DBECA0" w14:textId="2B22562E"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p>
    <w:p w14:paraId="251172D2" w14:textId="77777777"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p>
    <w:p w14:paraId="38E4D4A4" w14:textId="77777777"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3DBE7923" w14:textId="6C2CC5E5"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Pr>
          <w:rFonts w:ascii="Palatino Linotype" w:eastAsia="Palatino Linotype" w:hAnsi="Palatino Linotype" w:cs="Palatino Linotype"/>
          <w:b/>
          <w:bCs/>
          <w:color w:val="000000"/>
          <w:sz w:val="24"/>
          <w:szCs w:val="24"/>
          <w:lang w:val="es-ES_tradnl"/>
        </w:rPr>
        <w:t xml:space="preserve">El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1626F6EB" w14:textId="3A64FA7B" w:rsidR="00CE1BF6" w:rsidRPr="00CE1BF6" w:rsidRDefault="00CE1BF6" w:rsidP="00CE1BF6">
      <w:pPr>
        <w:pStyle w:val="Prrafodelista"/>
        <w:spacing w:after="240" w:line="360" w:lineRule="auto"/>
        <w:ind w:left="0"/>
        <w:jc w:val="both"/>
        <w:rPr>
          <w:rFonts w:ascii="Palatino Linotype" w:hAnsi="Palatino Linotype" w:cs="Arial"/>
          <w:lang w:val="es-ES_tradnl"/>
        </w:rPr>
      </w:pPr>
    </w:p>
    <w:p w14:paraId="6FDB5C1A" w14:textId="77777777" w:rsidR="00CE1BF6" w:rsidRDefault="00CE1BF6" w:rsidP="00CE1BF6">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A25A258" w14:textId="10BB9D31" w:rsidR="00D31339"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En fecha </w:t>
      </w:r>
      <w:r w:rsidR="00D31339">
        <w:rPr>
          <w:rFonts w:ascii="Palatino Linotype" w:eastAsia="Palatino Linotype" w:hAnsi="Palatino Linotype" w:cs="Palatino Linotype"/>
          <w:color w:val="000000"/>
          <w:sz w:val="24"/>
          <w:szCs w:val="24"/>
          <w:lang w:val="es-ES_tradnl"/>
        </w:rPr>
        <w:t xml:space="preserve">treinta de noviembre de dos mil veintidós, </w:t>
      </w:r>
      <w:r w:rsidR="00D31339">
        <w:rPr>
          <w:rFonts w:ascii="Palatino Linotype" w:eastAsia="Palatino Linotype" w:hAnsi="Palatino Linotype" w:cs="Palatino Linotype"/>
          <w:b/>
          <w:bCs/>
          <w:color w:val="000000"/>
          <w:sz w:val="24"/>
          <w:szCs w:val="24"/>
          <w:lang w:val="es-ES_tradnl"/>
        </w:rPr>
        <w:t xml:space="preserve">El Recurrente </w:t>
      </w:r>
      <w:r w:rsidR="00D31339">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D31339">
        <w:rPr>
          <w:rFonts w:ascii="Palatino Linotype" w:eastAsia="Palatino Linotype" w:hAnsi="Palatino Linotype" w:cs="Palatino Linotype"/>
          <w:b/>
          <w:bCs/>
          <w:color w:val="000000"/>
          <w:sz w:val="24"/>
          <w:szCs w:val="24"/>
          <w:lang w:val="es-ES_tradnl"/>
        </w:rPr>
        <w:t xml:space="preserve">SAIMEX </w:t>
      </w:r>
      <w:r w:rsidR="00D31339">
        <w:rPr>
          <w:rFonts w:ascii="Palatino Linotype" w:eastAsia="Palatino Linotype" w:hAnsi="Palatino Linotype" w:cs="Palatino Linotype"/>
          <w:color w:val="000000"/>
          <w:sz w:val="24"/>
          <w:szCs w:val="24"/>
          <w:lang w:val="es-ES_tradnl"/>
        </w:rPr>
        <w:t xml:space="preserve">con los expedientes </w:t>
      </w:r>
      <w:r w:rsidR="00D31339">
        <w:rPr>
          <w:rFonts w:ascii="Palatino Linotype" w:eastAsia="Palatino Linotype" w:hAnsi="Palatino Linotype" w:cs="Palatino Linotype"/>
          <w:b/>
          <w:bCs/>
          <w:color w:val="000000"/>
          <w:sz w:val="24"/>
          <w:szCs w:val="24"/>
          <w:lang w:val="es-ES_tradnl"/>
        </w:rPr>
        <w:t xml:space="preserve">17030/INFOEM/IP/RR/2022 </w:t>
      </w:r>
      <w:r w:rsidR="00D31339">
        <w:rPr>
          <w:rFonts w:ascii="Palatino Linotype" w:eastAsia="Palatino Linotype" w:hAnsi="Palatino Linotype" w:cs="Palatino Linotype"/>
          <w:color w:val="000000"/>
          <w:sz w:val="24"/>
          <w:szCs w:val="24"/>
          <w:lang w:val="es-ES_tradnl"/>
        </w:rPr>
        <w:t xml:space="preserve">y </w:t>
      </w:r>
      <w:r w:rsidR="00D31339">
        <w:rPr>
          <w:rFonts w:ascii="Palatino Linotype" w:eastAsia="Palatino Linotype" w:hAnsi="Palatino Linotype" w:cs="Palatino Linotype"/>
          <w:b/>
          <w:bCs/>
          <w:color w:val="000000"/>
          <w:sz w:val="24"/>
          <w:szCs w:val="24"/>
          <w:lang w:val="es-ES_tradnl"/>
        </w:rPr>
        <w:t xml:space="preserve">17031/INFOEM/IP/RR/2022, </w:t>
      </w:r>
      <w:r w:rsidR="00D31339">
        <w:rPr>
          <w:rFonts w:ascii="Palatino Linotype" w:eastAsia="Palatino Linotype" w:hAnsi="Palatino Linotype" w:cs="Palatino Linotype"/>
          <w:color w:val="000000"/>
          <w:sz w:val="24"/>
          <w:szCs w:val="24"/>
          <w:lang w:val="es-ES_tradnl"/>
        </w:rPr>
        <w:t>manifestando lo siguiente:</w:t>
      </w:r>
    </w:p>
    <w:p w14:paraId="088A15EE" w14:textId="5C6084E0" w:rsidR="00D31339" w:rsidRPr="00D31339" w:rsidRDefault="00D31339"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bCs/>
          <w:color w:val="000000"/>
          <w:sz w:val="24"/>
          <w:szCs w:val="24"/>
          <w:lang w:val="es-ES_tradnl"/>
        </w:rPr>
        <w:t>17030/INFOEM/IP/RR/2022</w:t>
      </w:r>
    </w:p>
    <w:p w14:paraId="604F25CB" w14:textId="2CA858F2"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5769D77A" w14:textId="5B5E66C1" w:rsidR="00CE1BF6" w:rsidRDefault="00CE1BF6" w:rsidP="00CE1BF6">
      <w:pPr>
        <w:pStyle w:val="Citas"/>
        <w:rPr>
          <w:b/>
        </w:rPr>
      </w:pPr>
      <w:r w:rsidRPr="00D31339">
        <w:t>“</w:t>
      </w:r>
      <w:r w:rsidR="00D31339" w:rsidRPr="00D31339">
        <w:t xml:space="preserve">El ayuntamiento de Malinalco NO ha presentado la información referente a la obra </w:t>
      </w:r>
      <w:proofErr w:type="spellStart"/>
      <w:r w:rsidR="00D31339" w:rsidRPr="00D31339">
        <w:t>publica</w:t>
      </w:r>
      <w:proofErr w:type="spellEnd"/>
      <w:r w:rsidR="00D31339" w:rsidRPr="00D31339">
        <w:t xml:space="preserve"> DEPOSITO DE ALMACENAMIENTO DE AGUA POTABLE, en el paraje EL PUENTECITO</w:t>
      </w:r>
      <w:r w:rsidRPr="00D31339">
        <w:t>”</w:t>
      </w:r>
      <w:r>
        <w:t xml:space="preserve"> </w:t>
      </w:r>
      <w:r>
        <w:rPr>
          <w:b/>
        </w:rPr>
        <w:t>(Sic)</w:t>
      </w:r>
    </w:p>
    <w:p w14:paraId="127C5165" w14:textId="77777777" w:rsidR="00CE1BF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64B3CA6" w14:textId="15D5D6DF" w:rsidR="00CE1BF6" w:rsidRPr="00C00092" w:rsidRDefault="00CE1BF6" w:rsidP="00CE1BF6">
      <w:pPr>
        <w:pStyle w:val="Citas"/>
        <w:rPr>
          <w:rFonts w:eastAsia="Palatino Linotype" w:cs="Palatino Linotype"/>
          <w:b/>
          <w:sz w:val="24"/>
          <w:szCs w:val="24"/>
          <w:lang w:val="es-ES_tradnl"/>
        </w:rPr>
      </w:pPr>
      <w:r w:rsidRPr="00D31339">
        <w:t>“</w:t>
      </w:r>
      <w:r w:rsidR="00D31339" w:rsidRPr="00D31339">
        <w:t>El ayuntamiento NO ha presentado la información solicitada de acuerdo a LEY DE TRANSPARENCIA Y ACCESO A LA INFORMACIÓN PÚBLICA DEL ESTADO DE MÉXICO Y MUNICIPIOS</w:t>
      </w:r>
      <w:r w:rsidRPr="00D31339">
        <w:t>”</w:t>
      </w:r>
      <w:r>
        <w:t xml:space="preserve"> </w:t>
      </w:r>
      <w:r>
        <w:rPr>
          <w:b/>
        </w:rPr>
        <w:t>(Sic)</w:t>
      </w:r>
    </w:p>
    <w:p w14:paraId="7E73458C" w14:textId="5EEB5045" w:rsidR="00CE1BF6" w:rsidRDefault="00CE1BF6" w:rsidP="00CE1BF6">
      <w:pPr>
        <w:spacing w:before="240" w:line="360" w:lineRule="auto"/>
        <w:jc w:val="both"/>
        <w:rPr>
          <w:rFonts w:ascii="Palatino Linotype" w:hAnsi="Palatino Linotype" w:cs="Arial"/>
          <w:b/>
          <w:sz w:val="28"/>
        </w:rPr>
      </w:pPr>
    </w:p>
    <w:p w14:paraId="6066EA7C" w14:textId="71AB9310" w:rsidR="00D31339" w:rsidRPr="00D31339" w:rsidRDefault="00D31339" w:rsidP="00D313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bCs/>
          <w:color w:val="000000"/>
          <w:sz w:val="24"/>
          <w:szCs w:val="24"/>
          <w:lang w:val="es-ES_tradnl"/>
        </w:rPr>
        <w:t>17031/INFOEM/IP/RR/2022</w:t>
      </w:r>
    </w:p>
    <w:p w14:paraId="1F971126" w14:textId="77777777" w:rsidR="00D31339" w:rsidRDefault="00D31339" w:rsidP="00D3133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01799775" w14:textId="33B36F0E" w:rsidR="00D31339" w:rsidRDefault="00D31339" w:rsidP="00D31339">
      <w:pPr>
        <w:pStyle w:val="Citas"/>
        <w:rPr>
          <w:b/>
        </w:rPr>
      </w:pPr>
      <w:r w:rsidRPr="00D31339">
        <w:t xml:space="preserve">“El ayuntamiento municipal de Malinalco NO ha presentado la información solicitada referente a la obra </w:t>
      </w:r>
      <w:proofErr w:type="spellStart"/>
      <w:r w:rsidRPr="00D31339">
        <w:t>publica</w:t>
      </w:r>
      <w:proofErr w:type="spellEnd"/>
      <w:r w:rsidRPr="00D31339">
        <w:t xml:space="preserve"> relativo al DRENAJE PLUVIAL, en la Brecha conocida como LA PUERTA en la comunidad de SAN SIMON EL ALTO,”</w:t>
      </w:r>
      <w:r>
        <w:t xml:space="preserve"> </w:t>
      </w:r>
      <w:r>
        <w:rPr>
          <w:b/>
        </w:rPr>
        <w:t>(Sic)</w:t>
      </w:r>
    </w:p>
    <w:p w14:paraId="30B413E9" w14:textId="77777777" w:rsidR="00D31339" w:rsidRDefault="00D31339" w:rsidP="00D3133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076C922A" w14:textId="07A89F6B" w:rsidR="00D31339" w:rsidRPr="00C00092" w:rsidRDefault="00D31339" w:rsidP="00D31339">
      <w:pPr>
        <w:pStyle w:val="Citas"/>
        <w:rPr>
          <w:rFonts w:eastAsia="Palatino Linotype" w:cs="Palatino Linotype"/>
          <w:b/>
          <w:sz w:val="24"/>
          <w:szCs w:val="24"/>
          <w:lang w:val="es-ES_tradnl"/>
        </w:rPr>
      </w:pPr>
      <w:r w:rsidRPr="00D31339">
        <w:lastRenderedPageBreak/>
        <w:t>“El ayuntamiento municipal de Malinalco no ha presentado la información de acuerdo a LEY DE TRANSPARENCIA Y ACCESO A LA INFORMACIÓN PÚBLICA DEL ESTADO DE MÉXICO Y MUNICIPIOS”</w:t>
      </w:r>
      <w:r>
        <w:t xml:space="preserve"> </w:t>
      </w:r>
      <w:r>
        <w:rPr>
          <w:b/>
        </w:rPr>
        <w:t>(Sic)</w:t>
      </w:r>
    </w:p>
    <w:p w14:paraId="4D9E60C8" w14:textId="3621CB35" w:rsidR="00D31339" w:rsidRPr="00D31339" w:rsidRDefault="00D31339" w:rsidP="00CE1BF6">
      <w:pPr>
        <w:spacing w:before="240" w:line="360" w:lineRule="auto"/>
        <w:jc w:val="both"/>
        <w:rPr>
          <w:rFonts w:ascii="Palatino Linotype" w:hAnsi="Palatino Linotype" w:cs="Arial"/>
          <w:sz w:val="24"/>
          <w:szCs w:val="24"/>
          <w:lang w:val="es-ES_tradnl"/>
        </w:rPr>
      </w:pPr>
      <w:r w:rsidRPr="00D31339">
        <w:rPr>
          <w:rFonts w:ascii="Palatino Linotype" w:hAnsi="Palatino Linotype" w:cs="Arial"/>
          <w:bCs/>
          <w:sz w:val="24"/>
          <w:szCs w:val="24"/>
          <w:lang w:val="es-ES_tradnl"/>
        </w:rPr>
        <w:t>De manera comple</w:t>
      </w:r>
      <w:r>
        <w:rPr>
          <w:rFonts w:ascii="Palatino Linotype" w:hAnsi="Palatino Linotype" w:cs="Arial"/>
          <w:bCs/>
          <w:sz w:val="24"/>
          <w:szCs w:val="24"/>
          <w:lang w:val="es-ES_tradnl"/>
        </w:rPr>
        <w:t xml:space="preserve">mentaria, el particular adjuntó los documentos electrónicos </w:t>
      </w:r>
      <w:r w:rsidR="006B413D">
        <w:rPr>
          <w:rFonts w:ascii="Palatino Linotype" w:hAnsi="Palatino Linotype" w:cs="Arial"/>
          <w:bCs/>
          <w:sz w:val="24"/>
          <w:szCs w:val="24"/>
          <w:lang w:val="es-ES_tradnl"/>
        </w:rPr>
        <w:t>“</w:t>
      </w:r>
      <w:r>
        <w:rPr>
          <w:rFonts w:ascii="Palatino Linotype" w:hAnsi="Palatino Linotype" w:cs="Arial"/>
          <w:b/>
          <w:bCs/>
        </w:rPr>
        <w:t xml:space="preserve">18a </w:t>
      </w:r>
      <w:proofErr w:type="spellStart"/>
      <w:r>
        <w:rPr>
          <w:rFonts w:ascii="Palatino Linotype" w:hAnsi="Palatino Linotype" w:cs="Arial"/>
          <w:b/>
          <w:bCs/>
        </w:rPr>
        <w:t>Deposito</w:t>
      </w:r>
      <w:proofErr w:type="spellEnd"/>
      <w:r>
        <w:rPr>
          <w:rFonts w:ascii="Palatino Linotype" w:hAnsi="Palatino Linotype" w:cs="Arial"/>
          <w:b/>
          <w:bCs/>
        </w:rPr>
        <w:t xml:space="preserve"> de Agua Potable El Puentecito.pdf” </w:t>
      </w:r>
      <w:r>
        <w:rPr>
          <w:rFonts w:ascii="Palatino Linotype" w:hAnsi="Palatino Linotype" w:cs="Arial"/>
        </w:rPr>
        <w:t>y “</w:t>
      </w:r>
      <w:r>
        <w:rPr>
          <w:rFonts w:ascii="Palatino Linotype" w:hAnsi="Palatino Linotype" w:cs="Arial"/>
          <w:b/>
          <w:bCs/>
        </w:rPr>
        <w:t xml:space="preserve">19a Drenaje Pluvial brecha LA PUERTA.pdf” </w:t>
      </w:r>
      <w:r w:rsidRPr="00D31339">
        <w:rPr>
          <w:rFonts w:ascii="Palatino Linotype" w:hAnsi="Palatino Linotype" w:cs="Arial"/>
          <w:sz w:val="24"/>
          <w:szCs w:val="24"/>
        </w:rPr>
        <w:t>descritos en párrafos</w:t>
      </w:r>
      <w:r>
        <w:rPr>
          <w:rFonts w:ascii="Palatino Linotype" w:hAnsi="Palatino Linotype" w:cs="Arial"/>
        </w:rPr>
        <w:t xml:space="preserve"> </w:t>
      </w:r>
      <w:r w:rsidRPr="00D31339">
        <w:rPr>
          <w:rFonts w:ascii="Palatino Linotype" w:hAnsi="Palatino Linotype" w:cs="Arial"/>
          <w:sz w:val="24"/>
          <w:szCs w:val="24"/>
        </w:rPr>
        <w:t>precedentes</w:t>
      </w:r>
      <w:r>
        <w:rPr>
          <w:rFonts w:ascii="Palatino Linotype" w:hAnsi="Palatino Linotype" w:cs="Arial"/>
        </w:rPr>
        <w:t xml:space="preserve">. </w:t>
      </w:r>
    </w:p>
    <w:p w14:paraId="7E500F46" w14:textId="77777777" w:rsidR="00D31339" w:rsidRDefault="00D31339" w:rsidP="00CE1BF6">
      <w:pPr>
        <w:spacing w:before="240" w:line="360" w:lineRule="auto"/>
        <w:jc w:val="both"/>
        <w:rPr>
          <w:rFonts w:ascii="Palatino Linotype" w:hAnsi="Palatino Linotype" w:cs="Arial"/>
          <w:b/>
          <w:sz w:val="28"/>
        </w:rPr>
      </w:pPr>
    </w:p>
    <w:p w14:paraId="333F87B9" w14:textId="77777777" w:rsidR="00CE1BF6" w:rsidRPr="000316DC" w:rsidRDefault="00CE1BF6" w:rsidP="00CE1BF6">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6ABEBDC9" w14:textId="392922D0" w:rsidR="00241AEF" w:rsidRDefault="00241AEF" w:rsidP="00241AEF">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 xml:space="preserve">José Martínez Vilchis y Luis Gustavo Parra Noriega, en </w:t>
      </w:r>
      <w:r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Pr>
          <w:rFonts w:ascii="Palatino Linotype" w:hAnsi="Palatino Linotype" w:cs="Arial"/>
        </w:rPr>
        <w:t xml:space="preserve"> </w:t>
      </w:r>
      <w:r w:rsidR="00D31339">
        <w:rPr>
          <w:rFonts w:ascii="Palatino Linotype" w:hAnsi="Palatino Linotype" w:cs="Arial"/>
        </w:rPr>
        <w:t xml:space="preserve">uno y cinco de diciembre de dos mil veintidós,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5C54F694" w14:textId="77777777" w:rsidR="00CE1BF6" w:rsidRDefault="00CE1BF6" w:rsidP="00CE1BF6">
      <w:pPr>
        <w:pStyle w:val="Prrafodelista"/>
        <w:spacing w:line="360" w:lineRule="auto"/>
        <w:ind w:left="0"/>
        <w:jc w:val="both"/>
        <w:rPr>
          <w:rFonts w:ascii="Palatino Linotype" w:hAnsi="Palatino Linotype" w:cs="Arial"/>
        </w:rPr>
      </w:pPr>
    </w:p>
    <w:p w14:paraId="428484ED" w14:textId="77777777" w:rsidR="00CE1BF6" w:rsidRPr="00696379" w:rsidRDefault="00CE1BF6" w:rsidP="00CE1BF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696379">
        <w:rPr>
          <w:rFonts w:ascii="Palatino Linotype" w:hAnsi="Palatino Linotype" w:cs="Arial"/>
          <w:b/>
          <w:sz w:val="28"/>
          <w:szCs w:val="28"/>
        </w:rPr>
        <w:t>. De la acumulación.</w:t>
      </w:r>
    </w:p>
    <w:p w14:paraId="70EC46EB" w14:textId="05868403" w:rsidR="00CE1BF6" w:rsidRDefault="00CE1BF6" w:rsidP="00CE1BF6">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D31339">
        <w:rPr>
          <w:rFonts w:ascii="Palatino Linotype" w:hAnsi="Palatino Linotype" w:cs="Arial"/>
        </w:rPr>
        <w:t xml:space="preserve">Cuadragésima Quinta Sesión Ordinaria, de fecha catorce de diciembre de dos mil veintidós, </w:t>
      </w:r>
      <w:r>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77804475" w14:textId="77777777" w:rsidR="00CE1BF6" w:rsidRPr="00CA418F" w:rsidRDefault="00CE1BF6" w:rsidP="00CE1BF6">
      <w:pPr>
        <w:spacing w:after="0" w:line="360" w:lineRule="auto"/>
        <w:jc w:val="both"/>
        <w:rPr>
          <w:rFonts w:ascii="Palatino Linotype" w:hAnsi="Palatino Linotype"/>
          <w:sz w:val="24"/>
          <w:szCs w:val="24"/>
        </w:rPr>
      </w:pPr>
      <w:r w:rsidRPr="00696379">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F275B" w14:textId="77777777" w:rsidR="00CE1BF6" w:rsidRPr="007D54D0" w:rsidRDefault="00CE1BF6" w:rsidP="00CE1BF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3C25826F" w14:textId="77777777" w:rsidR="00CE1BF6" w:rsidRPr="00A6274E" w:rsidRDefault="00CE1BF6" w:rsidP="00CE1BF6">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609B4E5" w14:textId="77777777" w:rsidR="00CE1BF6" w:rsidRDefault="00CE1BF6" w:rsidP="00CE1BF6">
      <w:pPr>
        <w:spacing w:before="240" w:line="360" w:lineRule="auto"/>
        <w:ind w:left="851" w:right="851"/>
        <w:jc w:val="both"/>
        <w:rPr>
          <w:rFonts w:ascii="Palatino Linotype" w:hAnsi="Palatino Linotype"/>
          <w:i/>
        </w:rPr>
      </w:pPr>
    </w:p>
    <w:p w14:paraId="3D6D5D21" w14:textId="77777777" w:rsidR="00CE1BF6" w:rsidRPr="001D1D00" w:rsidRDefault="00CE1BF6" w:rsidP="00CE1BF6">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279A8DB6" w14:textId="77777777" w:rsidR="00CE1BF6" w:rsidRPr="006F2470" w:rsidRDefault="00CE1BF6" w:rsidP="00CE1BF6">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F3B46F9" w14:textId="77777777" w:rsidR="00CE1BF6" w:rsidRDefault="00CE1BF6" w:rsidP="00CE1BF6">
      <w:pPr>
        <w:spacing w:before="240" w:line="360" w:lineRule="auto"/>
        <w:jc w:val="both"/>
        <w:rPr>
          <w:rFonts w:ascii="Palatino Linotype" w:hAnsi="Palatino Linotype" w:cs="Arial"/>
          <w:sz w:val="24"/>
          <w:szCs w:val="24"/>
        </w:rPr>
      </w:pPr>
    </w:p>
    <w:p w14:paraId="501E9FB7" w14:textId="77777777" w:rsidR="00CE1BF6" w:rsidRDefault="00CE1BF6" w:rsidP="00CE1BF6">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AA36EDC" w14:textId="444D2C8D" w:rsidR="006B413D" w:rsidRPr="006B413D" w:rsidRDefault="00241AEF" w:rsidP="00241AEF">
      <w:pPr>
        <w:spacing w:before="240" w:line="360" w:lineRule="auto"/>
        <w:jc w:val="both"/>
        <w:rPr>
          <w:rFonts w:ascii="Palatino Linotype" w:hAnsi="Palatino Linotype" w:cs="Arial"/>
          <w:sz w:val="24"/>
          <w:szCs w:val="24"/>
        </w:rPr>
      </w:pPr>
      <w:r w:rsidRPr="006B413D">
        <w:rPr>
          <w:rFonts w:ascii="Palatino Linotype" w:hAnsi="Palatino Linotype" w:cs="Arial"/>
          <w:sz w:val="24"/>
          <w:szCs w:val="24"/>
        </w:rPr>
        <w:lastRenderedPageBreak/>
        <w:t xml:space="preserve">Así, una vez transcurrido el término legal referido, se advierte que </w:t>
      </w:r>
      <w:r w:rsidRPr="006B413D">
        <w:rPr>
          <w:rFonts w:ascii="Palatino Linotype" w:hAnsi="Palatino Linotype" w:cs="Arial"/>
          <w:b/>
          <w:sz w:val="24"/>
          <w:szCs w:val="24"/>
        </w:rPr>
        <w:t xml:space="preserve">El Sujeto Obligado </w:t>
      </w:r>
      <w:r w:rsidRPr="006B413D">
        <w:rPr>
          <w:rFonts w:ascii="Palatino Linotype" w:hAnsi="Palatino Linotype" w:cs="Arial"/>
          <w:sz w:val="24"/>
          <w:szCs w:val="24"/>
        </w:rPr>
        <w:t xml:space="preserve">fue omiso en presentar sus informes justificados; </w:t>
      </w:r>
      <w:r w:rsidR="006B413D" w:rsidRPr="006B413D">
        <w:rPr>
          <w:rFonts w:ascii="Palatino Linotype" w:hAnsi="Palatino Linotype" w:cs="Arial"/>
          <w:sz w:val="24"/>
          <w:szCs w:val="24"/>
        </w:rPr>
        <w:t xml:space="preserve">en contraste, únicamente en el expediente electrónico relativo al recurso de revisión </w:t>
      </w:r>
      <w:r w:rsidR="006B413D" w:rsidRPr="006B413D">
        <w:rPr>
          <w:rFonts w:ascii="Palatino Linotype" w:hAnsi="Palatino Linotype" w:cs="Arial"/>
          <w:b/>
          <w:bCs/>
          <w:sz w:val="24"/>
          <w:szCs w:val="24"/>
        </w:rPr>
        <w:t xml:space="preserve">17030/INFOEM/IP/RR/2022, </w:t>
      </w:r>
      <w:r w:rsidR="006B413D" w:rsidRPr="006B413D">
        <w:rPr>
          <w:rFonts w:ascii="Palatino Linotype" w:hAnsi="Palatino Linotype" w:cs="Arial"/>
          <w:sz w:val="24"/>
          <w:szCs w:val="24"/>
        </w:rPr>
        <w:t xml:space="preserve">el particular rindió los alegatos, pruebas o manifestaciones estimadas pertinentes, consistentes en el documento electrónico </w:t>
      </w:r>
      <w:r w:rsidR="006B413D" w:rsidRPr="006B413D">
        <w:rPr>
          <w:rFonts w:ascii="Palatino Linotype" w:hAnsi="Palatino Linotype" w:cs="Arial"/>
          <w:bCs/>
          <w:sz w:val="24"/>
          <w:szCs w:val="24"/>
          <w:lang w:val="es-ES_tradnl"/>
        </w:rPr>
        <w:t>“</w:t>
      </w:r>
      <w:r w:rsidR="006B413D" w:rsidRPr="006B413D">
        <w:rPr>
          <w:rFonts w:ascii="Palatino Linotype" w:hAnsi="Palatino Linotype" w:cs="Arial"/>
          <w:b/>
          <w:bCs/>
          <w:sz w:val="24"/>
          <w:szCs w:val="24"/>
        </w:rPr>
        <w:t xml:space="preserve">18a </w:t>
      </w:r>
      <w:proofErr w:type="spellStart"/>
      <w:r w:rsidR="006B413D" w:rsidRPr="006B413D">
        <w:rPr>
          <w:rFonts w:ascii="Palatino Linotype" w:hAnsi="Palatino Linotype" w:cs="Arial"/>
          <w:b/>
          <w:bCs/>
          <w:sz w:val="24"/>
          <w:szCs w:val="24"/>
        </w:rPr>
        <w:t>Deposito</w:t>
      </w:r>
      <w:proofErr w:type="spellEnd"/>
      <w:r w:rsidR="006B413D" w:rsidRPr="006B413D">
        <w:rPr>
          <w:rFonts w:ascii="Palatino Linotype" w:hAnsi="Palatino Linotype" w:cs="Arial"/>
          <w:b/>
          <w:bCs/>
          <w:sz w:val="24"/>
          <w:szCs w:val="24"/>
        </w:rPr>
        <w:t xml:space="preserve"> de Agua Potable El Puentecito.pdf”, </w:t>
      </w:r>
      <w:r w:rsidR="006B413D" w:rsidRPr="006B413D">
        <w:rPr>
          <w:rFonts w:ascii="Palatino Linotype" w:hAnsi="Palatino Linotype" w:cs="Arial"/>
          <w:sz w:val="24"/>
          <w:szCs w:val="24"/>
        </w:rPr>
        <w:t xml:space="preserve">cuyo contenido fue descrito en </w:t>
      </w:r>
      <w:r w:rsidR="006B413D">
        <w:rPr>
          <w:rFonts w:ascii="Palatino Linotype" w:hAnsi="Palatino Linotype" w:cs="Arial"/>
          <w:sz w:val="24"/>
          <w:szCs w:val="24"/>
        </w:rPr>
        <w:t xml:space="preserve">párrafos anteriores. </w:t>
      </w:r>
    </w:p>
    <w:p w14:paraId="2DD5E808" w14:textId="57FF7467" w:rsidR="00241AEF" w:rsidRDefault="00241AEF" w:rsidP="00241AEF">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6B413D">
        <w:rPr>
          <w:rFonts w:ascii="Palatino Linotype" w:hAnsi="Palatino Linotype" w:cs="Arial"/>
          <w:b/>
          <w:bCs/>
          <w:sz w:val="24"/>
          <w:szCs w:val="24"/>
        </w:rPr>
        <w:t xml:space="preserve">nueve de enero de los corrientes,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 xml:space="preserve">Constitución Política del Estado Libre y </w:t>
      </w:r>
      <w:r w:rsidRPr="00582D89">
        <w:rPr>
          <w:rFonts w:ascii="Palatino Linotype" w:hAnsi="Palatino Linotype"/>
          <w:b/>
          <w:color w:val="000000" w:themeColor="text1"/>
          <w:sz w:val="24"/>
          <w:szCs w:val="24"/>
        </w:rPr>
        <w:lastRenderedPageBreak/>
        <w:t>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638EACF7" w14:textId="77777777" w:rsidR="006B413D"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B29ED7" w14:textId="77777777" w:rsidR="004F14BE" w:rsidRDefault="004F14B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514E66">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024C397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al</w:t>
      </w:r>
      <w:r w:rsidRPr="006B413D">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6B413D">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lastRenderedPageBreak/>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w:t>
      </w:r>
      <w:r w:rsidRPr="00CF0F1D">
        <w:lastRenderedPageBreak/>
        <w:t>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793F0BE8"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las solicitudes de información, </w:t>
      </w:r>
      <w:r w:rsidR="006B413D">
        <w:rPr>
          <w:rFonts w:ascii="Palatino Linotype" w:hAnsi="Palatino Linotype"/>
          <w:b/>
          <w:bCs/>
          <w:sz w:val="24"/>
          <w:szCs w:val="24"/>
        </w:rPr>
        <w:t xml:space="preserve">El Recurrente </w:t>
      </w:r>
      <w:r w:rsidR="006B413D">
        <w:rPr>
          <w:rFonts w:ascii="Palatino Linotype" w:hAnsi="Palatino Linotype"/>
          <w:sz w:val="24"/>
          <w:szCs w:val="24"/>
        </w:rPr>
        <w:t>peticionó lo siguiente:</w:t>
      </w:r>
    </w:p>
    <w:p w14:paraId="25CF08DF" w14:textId="77777777" w:rsidR="006B413D" w:rsidRDefault="006B413D" w:rsidP="006B413D">
      <w:pPr>
        <w:spacing w:before="240" w:line="360" w:lineRule="auto"/>
        <w:jc w:val="both"/>
        <w:rPr>
          <w:rFonts w:ascii="Palatino Linotype" w:hAnsi="Palatino Linotype" w:cs="Arial"/>
          <w:sz w:val="24"/>
        </w:rPr>
      </w:pPr>
      <w:r>
        <w:rPr>
          <w:rFonts w:ascii="Palatino Linotype" w:hAnsi="Palatino Linotype" w:cs="Arial"/>
          <w:b/>
          <w:bCs/>
          <w:sz w:val="24"/>
        </w:rPr>
        <w:t xml:space="preserve">00352/MALINAL/IP/2022 </w:t>
      </w:r>
    </w:p>
    <w:p w14:paraId="129427C2" w14:textId="77777777" w:rsidR="006B413D" w:rsidRPr="009F745B" w:rsidRDefault="006B413D" w:rsidP="006B413D">
      <w:pPr>
        <w:pStyle w:val="Citas"/>
        <w:rPr>
          <w:b/>
          <w:bCs/>
          <w:sz w:val="24"/>
        </w:rPr>
      </w:pPr>
      <w:r>
        <w:t xml:space="preserve">“Concurso para asignación de obra o lineamientos para la asignación, contrato de obra pública, catálogo de conceptos, pagos ejercidos como son anticipo, estimaciones </w:t>
      </w:r>
      <w:r>
        <w:lastRenderedPageBreak/>
        <w:t xml:space="preserve">de obra o finiquito, así como las fianzas recibidas por el proveedor o contratista (anticipo, cumplimiento y finiquito) de la Obra de la administración 2022-2024 conocida como la 18ª según las redes sociales oficiales (Pagina de Facebook </w:t>
      </w:r>
      <w:hyperlink r:id="rId10" w:history="1">
        <w:r w:rsidRPr="00D301DB">
          <w:rPr>
            <w:rStyle w:val="Hipervnculo"/>
          </w:rPr>
          <w:t>https://www.facebook.com/malinalcoayuntamiento</w:t>
        </w:r>
      </w:hyperlink>
      <w:r>
        <w:t xml:space="preserve"> ) relativo al DEPOSITO DE ALMACENAMIENTO DE AGUA POTABLE, en el paraje EL PUENTECITO, en caso de que se haya realizado con personal del Ayuntamiento; </w:t>
      </w:r>
      <w:proofErr w:type="spellStart"/>
      <w:r>
        <w:t>nominas</w:t>
      </w:r>
      <w:proofErr w:type="spellEnd"/>
      <w:r>
        <w:t xml:space="preserve"> y factura de materiales para dichos trabajos” </w:t>
      </w:r>
      <w:r>
        <w:rPr>
          <w:b/>
          <w:bCs/>
        </w:rPr>
        <w:t>(Sic)</w:t>
      </w:r>
    </w:p>
    <w:p w14:paraId="58C601A9" w14:textId="77777777" w:rsidR="006B413D" w:rsidRDefault="006B413D" w:rsidP="006B413D">
      <w:pPr>
        <w:spacing w:before="240" w:line="360" w:lineRule="auto"/>
        <w:jc w:val="both"/>
        <w:rPr>
          <w:rFonts w:ascii="Palatino Linotype" w:hAnsi="Palatino Linotype" w:cs="Arial"/>
          <w:sz w:val="24"/>
        </w:rPr>
      </w:pPr>
    </w:p>
    <w:p w14:paraId="3F3A9579" w14:textId="77777777" w:rsidR="006B413D" w:rsidRDefault="006B413D" w:rsidP="006B413D">
      <w:pPr>
        <w:spacing w:before="240" w:line="360" w:lineRule="auto"/>
        <w:jc w:val="both"/>
        <w:rPr>
          <w:rFonts w:ascii="Palatino Linotype" w:hAnsi="Palatino Linotype" w:cs="Arial"/>
          <w:b/>
          <w:bCs/>
          <w:sz w:val="24"/>
        </w:rPr>
      </w:pPr>
      <w:r>
        <w:rPr>
          <w:rFonts w:ascii="Palatino Linotype" w:hAnsi="Palatino Linotype" w:cs="Arial"/>
          <w:sz w:val="24"/>
        </w:rPr>
        <w:t xml:space="preserve"> </w:t>
      </w:r>
      <w:r>
        <w:rPr>
          <w:rFonts w:ascii="Palatino Linotype" w:hAnsi="Palatino Linotype" w:cs="Arial"/>
          <w:b/>
          <w:bCs/>
          <w:sz w:val="24"/>
        </w:rPr>
        <w:t>00353/MALINAL/IP/2022</w:t>
      </w:r>
    </w:p>
    <w:p w14:paraId="45851E12" w14:textId="77777777" w:rsidR="006B413D" w:rsidRPr="009F745B" w:rsidRDefault="006B413D" w:rsidP="006B413D">
      <w:pPr>
        <w:pStyle w:val="Citas"/>
        <w:rPr>
          <w:b/>
          <w:bCs/>
          <w:sz w:val="24"/>
        </w:rPr>
      </w:pPr>
      <w:r>
        <w:t xml:space="preserve">“Concurso para asignación de obra o lineamientos para la asignación, contrato de obra pública, catálogo de conceptos, pagos ejercidos como son anticipo, estimaciones de obra o finiquito, así como las fianzas recibidas por el proveedor o contratista (anticipo, cumplimiento y finiquito) de la Obra de la administración 2022-2024 conocida como la 19ª según las redes sociales oficiales (Pagina de Facebook </w:t>
      </w:r>
      <w:hyperlink r:id="rId11" w:history="1">
        <w:r w:rsidRPr="00D301DB">
          <w:rPr>
            <w:rStyle w:val="Hipervnculo"/>
          </w:rPr>
          <w:t>https://www.facebook.com/malinalcoayuntamiento</w:t>
        </w:r>
      </w:hyperlink>
      <w:r>
        <w:t xml:space="preserve"> ) relativo al DRENAJE PLUVIAL, en la Brecha conocida como LA PUERTA en la comunidad de SAN SIMON EL ALTO, en caso de que se haya realizado con personal del Ayuntamiento; </w:t>
      </w:r>
      <w:proofErr w:type="spellStart"/>
      <w:r>
        <w:t>nominas</w:t>
      </w:r>
      <w:proofErr w:type="spellEnd"/>
      <w:r>
        <w:t xml:space="preserve"> y factura de materiales para dichos trabajos” </w:t>
      </w:r>
      <w:r>
        <w:rPr>
          <w:b/>
          <w:bCs/>
        </w:rPr>
        <w:t>(Sic)</w:t>
      </w:r>
    </w:p>
    <w:p w14:paraId="47A3F4EA" w14:textId="77777777" w:rsidR="00BD6BE1" w:rsidRPr="006B413D" w:rsidRDefault="00BD6BE1" w:rsidP="004F14BE">
      <w:pPr>
        <w:pStyle w:val="Prrafodelista"/>
        <w:autoSpaceDE w:val="0"/>
        <w:autoSpaceDN w:val="0"/>
        <w:adjustRightInd w:val="0"/>
        <w:spacing w:line="360" w:lineRule="auto"/>
        <w:ind w:left="0"/>
        <w:jc w:val="both"/>
        <w:rPr>
          <w:rFonts w:ascii="Palatino Linotype" w:hAnsi="Palatino Linotype" w:cs="Arial"/>
          <w:lang w:val="es-MX"/>
        </w:rPr>
      </w:pPr>
    </w:p>
    <w:p w14:paraId="3026232B" w14:textId="1C0F3644"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 xml:space="preserve">se distingue que se adolece, de forma toral, de la falta de respuesta a la solicitud de acceso a la información pública, </w:t>
      </w:r>
      <w:r w:rsidRPr="00CF0F1D">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422006CE" w14:textId="77777777" w:rsidR="004F14BE" w:rsidRPr="00CF0F1D" w:rsidRDefault="004F14BE" w:rsidP="004F14BE">
      <w:pPr>
        <w:pStyle w:val="Sinespaciado"/>
      </w:pP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202C23D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672B37F0" w14:textId="77777777"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58672706" w14:textId="7E279EE8"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w:t>
      </w:r>
      <w:r w:rsidR="00997314">
        <w:rPr>
          <w:rFonts w:ascii="Palatino Linotype" w:hAnsi="Palatino Linotype" w:cs="Arial"/>
          <w:b/>
        </w:rPr>
        <w:t>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fue omiso en responder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hecha</w:t>
      </w:r>
      <w:r>
        <w:rPr>
          <w:rFonts w:ascii="Palatino Linotype" w:hAnsi="Palatino Linotype" w:cs="Arial"/>
        </w:rPr>
        <w:t>s</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4D61F2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lastRenderedPageBreak/>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6B413D">
        <w:rPr>
          <w:rFonts w:ascii="Palatino Linotype" w:eastAsia="MS Mincho" w:hAnsi="Palatino Linotype"/>
          <w:lang w:val="es-ES_tradnl"/>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w:t>
      </w:r>
      <w:r w:rsidRPr="00CF0F1D">
        <w:rPr>
          <w:rFonts w:ascii="Palatino Linotype" w:hAnsi="Palatino Linotype" w:cs="Arial"/>
        </w:rPr>
        <w:lastRenderedPageBreak/>
        <w:t>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44B174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135EC98" w14:textId="0CC2386C"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27022B0B" w14:textId="77777777" w:rsidR="00A720C4" w:rsidRDefault="00A720C4" w:rsidP="004F14BE">
      <w:pPr>
        <w:pStyle w:val="Prrafodelista"/>
        <w:autoSpaceDE w:val="0"/>
        <w:autoSpaceDN w:val="0"/>
        <w:adjustRightInd w:val="0"/>
        <w:spacing w:line="360" w:lineRule="auto"/>
        <w:ind w:left="0"/>
        <w:jc w:val="both"/>
        <w:rPr>
          <w:rFonts w:ascii="Palatino Linotype" w:hAnsi="Palatino Linotype" w:cs="Arial"/>
        </w:rPr>
      </w:pPr>
    </w:p>
    <w:p w14:paraId="0AFDCDE4" w14:textId="77777777" w:rsidR="00583E1D" w:rsidRPr="00474B40"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6380230" w14:textId="334B8194" w:rsidR="004F14BE" w:rsidRDefault="004F14BE" w:rsidP="00474B40">
      <w:pPr>
        <w:pStyle w:val="Prrafodelista"/>
        <w:numPr>
          <w:ilvl w:val="0"/>
          <w:numId w:val="20"/>
        </w:numPr>
        <w:autoSpaceDE w:val="0"/>
        <w:autoSpaceDN w:val="0"/>
        <w:adjustRightInd w:val="0"/>
        <w:spacing w:line="360" w:lineRule="auto"/>
        <w:jc w:val="both"/>
        <w:rPr>
          <w:rFonts w:ascii="Palatino Linotype" w:hAnsi="Palatino Linotype"/>
          <w:b/>
          <w:iCs/>
        </w:rPr>
      </w:pPr>
      <w:r w:rsidRPr="00474B40">
        <w:rPr>
          <w:rFonts w:ascii="Palatino Linotype" w:hAnsi="Palatino Linotype"/>
          <w:b/>
          <w:iCs/>
        </w:rPr>
        <w:lastRenderedPageBreak/>
        <w:t xml:space="preserve">Vista a los Órganos de Control Interno </w:t>
      </w:r>
    </w:p>
    <w:p w14:paraId="72B6D863" w14:textId="77777777" w:rsidR="006B413D" w:rsidRPr="00474B40" w:rsidRDefault="006B413D" w:rsidP="006B413D">
      <w:pPr>
        <w:pStyle w:val="Prrafodelista"/>
        <w:autoSpaceDE w:val="0"/>
        <w:autoSpaceDN w:val="0"/>
        <w:adjustRightInd w:val="0"/>
        <w:spacing w:line="360" w:lineRule="auto"/>
        <w:ind w:left="720"/>
        <w:jc w:val="both"/>
        <w:rPr>
          <w:rFonts w:ascii="Palatino Linotype" w:hAnsi="Palatino Linotype"/>
          <w:b/>
          <w:iCs/>
        </w:rPr>
      </w:pPr>
    </w:p>
    <w:p w14:paraId="1DB8BE9C"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r w:rsidRPr="006B413D">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B413D">
        <w:rPr>
          <w:rFonts w:ascii="Palatino Linotype" w:eastAsia="MS Mincho" w:hAnsi="Palatino Linotype"/>
          <w:b/>
          <w:sz w:val="24"/>
          <w:szCs w:val="24"/>
          <w:lang w:val="es-ES_tradnl"/>
        </w:rPr>
        <w:t>Sujeto Obligado</w:t>
      </w:r>
      <w:r w:rsidRPr="006B413D">
        <w:rPr>
          <w:rFonts w:ascii="Palatino Linotype" w:eastAsia="MS Mincho" w:hAnsi="Palatino Linotype"/>
          <w:sz w:val="24"/>
          <w:szCs w:val="24"/>
          <w:lang w:val="es-ES_tradnl"/>
        </w:rPr>
        <w:t>.</w:t>
      </w:r>
    </w:p>
    <w:p w14:paraId="537531F9"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p>
    <w:p w14:paraId="520B0C5A" w14:textId="77777777" w:rsidR="004F14BE" w:rsidRPr="006B413D" w:rsidRDefault="004F14BE" w:rsidP="004F14BE">
      <w:pPr>
        <w:spacing w:line="360" w:lineRule="auto"/>
        <w:contextualSpacing/>
        <w:jc w:val="both"/>
        <w:rPr>
          <w:rFonts w:ascii="Palatino Linotype" w:eastAsia="MS Mincho" w:hAnsi="Palatino Linotype"/>
          <w:sz w:val="24"/>
          <w:szCs w:val="24"/>
        </w:rPr>
      </w:pPr>
      <w:r w:rsidRPr="006B413D">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62020ED2" w14:textId="45826ABA" w:rsidR="004F14BE" w:rsidRPr="00CF0F1D" w:rsidRDefault="00474B40" w:rsidP="00474B40">
      <w:pPr>
        <w:pStyle w:val="Citas"/>
      </w:pPr>
      <w:r>
        <w:rPr>
          <w:b/>
        </w:rPr>
        <w:t>“</w:t>
      </w:r>
      <w:r w:rsidR="004F14BE" w:rsidRPr="00CF0F1D">
        <w:rPr>
          <w:b/>
        </w:rPr>
        <w:t>Artículo 36.</w:t>
      </w:r>
      <w:r w:rsidR="004F14BE" w:rsidRPr="00CF0F1D">
        <w:t xml:space="preserve"> El Instituto tendrá, en el ámbito de su competencia, las siguientes atribuciones:</w:t>
      </w:r>
    </w:p>
    <w:p w14:paraId="03FF7911" w14:textId="77777777" w:rsidR="004F14BE" w:rsidRPr="00CF0F1D" w:rsidRDefault="004F14BE" w:rsidP="00474B40">
      <w:pPr>
        <w:pStyle w:val="Citas"/>
      </w:pPr>
      <w:r w:rsidRPr="00CF0F1D">
        <w:t>(…)</w:t>
      </w:r>
    </w:p>
    <w:p w14:paraId="7AD42E6E" w14:textId="35AA3CC5" w:rsidR="004F14BE" w:rsidRPr="00474B40" w:rsidRDefault="004F14BE" w:rsidP="00474B40">
      <w:pPr>
        <w:pStyle w:val="Citas"/>
        <w:rPr>
          <w:b/>
          <w:bCs/>
        </w:rPr>
      </w:pPr>
      <w:r w:rsidRPr="00CF0F1D">
        <w:t>X. Hacer del conocimiento del órgano de control interno o equivalente de cada Sujeto Obligado las infracciones a esta Ley;</w:t>
      </w:r>
      <w:r w:rsidR="00474B40">
        <w:t xml:space="preserve">” </w:t>
      </w:r>
      <w:r w:rsidR="00474B40">
        <w:rPr>
          <w:b/>
          <w:bCs/>
        </w:rPr>
        <w:t>(Sic)</w:t>
      </w:r>
    </w:p>
    <w:p w14:paraId="39062713" w14:textId="77777777" w:rsidR="004F14BE" w:rsidRPr="00CF0F1D" w:rsidRDefault="004F14BE" w:rsidP="004F14BE">
      <w:pPr>
        <w:spacing w:line="360" w:lineRule="auto"/>
        <w:contextualSpacing/>
        <w:jc w:val="both"/>
        <w:rPr>
          <w:rFonts w:ascii="Palatino Linotype" w:eastAsia="MS Mincho" w:hAnsi="Palatino Linotype"/>
        </w:rPr>
      </w:pPr>
    </w:p>
    <w:p w14:paraId="3C15DA25" w14:textId="77777777" w:rsidR="004F14BE" w:rsidRPr="006B4EB1" w:rsidRDefault="004F14BE" w:rsidP="004F14BE">
      <w:pPr>
        <w:spacing w:line="360" w:lineRule="auto"/>
        <w:contextualSpacing/>
        <w:jc w:val="both"/>
        <w:rPr>
          <w:rFonts w:ascii="Palatino Linotype" w:eastAsia="MS Mincho" w:hAnsi="Palatino Linotype" w:cs="Arial"/>
          <w:sz w:val="24"/>
          <w:szCs w:val="24"/>
        </w:rPr>
      </w:pPr>
      <w:r w:rsidRPr="006B4EB1">
        <w:rPr>
          <w:rFonts w:ascii="Palatino Linotype" w:eastAsia="MS Mincho" w:hAnsi="Palatino Linotype"/>
          <w:sz w:val="24"/>
          <w:szCs w:val="24"/>
        </w:rPr>
        <w:t xml:space="preserve">Asimismo, este Pleno hará del conocimiento del órgano de control de este Instituto de las infracciones en que el </w:t>
      </w:r>
      <w:r w:rsidRPr="006B4EB1">
        <w:rPr>
          <w:rFonts w:ascii="Palatino Linotype" w:eastAsia="MS Mincho" w:hAnsi="Palatino Linotype"/>
          <w:b/>
          <w:sz w:val="24"/>
          <w:szCs w:val="24"/>
        </w:rPr>
        <w:t>Sujeto Obligado</w:t>
      </w:r>
      <w:r w:rsidRPr="006B4EB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B4EB1">
        <w:rPr>
          <w:rFonts w:ascii="Palatino Linotype" w:eastAsia="MS Mincho" w:hAnsi="Palatino Linotype" w:cs="Arial"/>
          <w:sz w:val="24"/>
          <w:szCs w:val="24"/>
        </w:rPr>
        <w:t xml:space="preserve">en la Ley </w:t>
      </w:r>
      <w:r w:rsidRPr="006B4EB1">
        <w:rPr>
          <w:rFonts w:ascii="Palatino Linotype" w:eastAsia="MS Mincho" w:hAnsi="Palatino Linotype" w:cs="Arial"/>
          <w:sz w:val="24"/>
          <w:szCs w:val="24"/>
        </w:rPr>
        <w:lastRenderedPageBreak/>
        <w:t>de Transparencia Acceso a la Información Pública del Estado de México y Municipios específicamente en sus artículos 190, 222 y 223, que señalan lo siguiente:</w:t>
      </w:r>
    </w:p>
    <w:p w14:paraId="22FD671B" w14:textId="0E408DDC" w:rsidR="004F14BE" w:rsidRPr="00CF0F1D" w:rsidRDefault="00474B40" w:rsidP="00474B40">
      <w:pPr>
        <w:pStyle w:val="Citas"/>
      </w:pPr>
      <w:r>
        <w:rPr>
          <w:b/>
        </w:rPr>
        <w:t>“</w:t>
      </w:r>
      <w:r w:rsidR="004F14BE" w:rsidRPr="00CF0F1D">
        <w:rPr>
          <w:b/>
        </w:rPr>
        <w:t>Artículo 190.</w:t>
      </w:r>
      <w:r w:rsidR="004F14BE" w:rsidRPr="00CF0F1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693A64" w14:textId="77777777" w:rsidR="004F14BE" w:rsidRPr="00CF0F1D" w:rsidRDefault="004F14BE" w:rsidP="00474B40">
      <w:pPr>
        <w:pStyle w:val="Citas"/>
      </w:pPr>
      <w:r w:rsidRPr="00CF0F1D">
        <w:rPr>
          <w:b/>
        </w:rPr>
        <w:t>Artículo 222.</w:t>
      </w:r>
      <w:r w:rsidRPr="00CF0F1D">
        <w:t xml:space="preserve"> Son causas de responsabilidad administrativa de los servidores públicos de los sujetos obligados, por incumplimiento de las obligaciones establecidas en la materia de la presente Ley, las siguientes:</w:t>
      </w:r>
    </w:p>
    <w:p w14:paraId="55F20863" w14:textId="77777777" w:rsidR="004F14BE" w:rsidRPr="00CF0F1D" w:rsidRDefault="004F14BE" w:rsidP="00474B40">
      <w:pPr>
        <w:pStyle w:val="Citas"/>
      </w:pPr>
      <w:r w:rsidRPr="00CF0F1D">
        <w:t>(…)</w:t>
      </w:r>
    </w:p>
    <w:p w14:paraId="413893C2" w14:textId="77777777" w:rsidR="004F14BE" w:rsidRPr="00CF0F1D" w:rsidRDefault="004F14BE" w:rsidP="00474B40">
      <w:pPr>
        <w:pStyle w:val="Citas"/>
        <w:rPr>
          <w:b/>
        </w:rPr>
      </w:pPr>
      <w:r w:rsidRPr="00CF0F1D">
        <w:rPr>
          <w:b/>
        </w:rPr>
        <w:t xml:space="preserve">I. Cualquier acto u </w:t>
      </w:r>
      <w:r w:rsidRPr="00CF0F1D">
        <w:rPr>
          <w:b/>
          <w:u w:val="single"/>
        </w:rPr>
        <w:t>omisión</w:t>
      </w:r>
      <w:r w:rsidRPr="00CF0F1D">
        <w:rPr>
          <w:b/>
        </w:rPr>
        <w:t xml:space="preserve"> que provoque la suspensión o deficiencia en la atención de las solicitudes de información;</w:t>
      </w:r>
    </w:p>
    <w:p w14:paraId="3289527E" w14:textId="77777777" w:rsidR="004F14BE" w:rsidRPr="00CF0F1D" w:rsidRDefault="004F14BE" w:rsidP="00474B40">
      <w:pPr>
        <w:pStyle w:val="Citas"/>
      </w:pPr>
      <w:r w:rsidRPr="00CF0F1D">
        <w:rPr>
          <w:b/>
          <w:u w:val="single"/>
        </w:rPr>
        <w:t>II. La falta de respuesta a las solicitudes de información en los plazos señalados en la normatividad aplicable</w:t>
      </w:r>
      <w:r w:rsidRPr="00CF0F1D">
        <w:t>;</w:t>
      </w:r>
    </w:p>
    <w:p w14:paraId="592E7D85" w14:textId="77777777" w:rsidR="004F14BE" w:rsidRPr="00CF0F1D" w:rsidRDefault="004F14BE" w:rsidP="00474B40">
      <w:pPr>
        <w:pStyle w:val="Citas"/>
      </w:pPr>
      <w:r w:rsidRPr="00CF0F1D">
        <w:t>(…)</w:t>
      </w:r>
    </w:p>
    <w:p w14:paraId="679237AC" w14:textId="36E17333" w:rsidR="004F14BE" w:rsidRPr="00474B40" w:rsidRDefault="004F14BE" w:rsidP="00474B40">
      <w:pPr>
        <w:pStyle w:val="Citas"/>
        <w:rPr>
          <w:b/>
          <w:bCs/>
        </w:rPr>
      </w:pPr>
      <w:r w:rsidRPr="00CF0F1D">
        <w:rPr>
          <w:b/>
        </w:rPr>
        <w:t>Artículo 223.</w:t>
      </w:r>
      <w:r w:rsidRPr="00CF0F1D">
        <w:t xml:space="preserve"> El Instituto dará vista a la Contraloría Interna y Órgano de Control y Vigilancia en términos de la Ley de Responsabilidades de los Servidores Públicos </w:t>
      </w:r>
      <w:r w:rsidRPr="00CF0F1D">
        <w:lastRenderedPageBreak/>
        <w:t>del Estado y Municipios, para que determine el grado de responsabilidad de quienes incumplan con las obligaciones de la presente Ley.</w:t>
      </w:r>
      <w:r w:rsidR="00474B40">
        <w:t xml:space="preserve">” </w:t>
      </w:r>
      <w:r w:rsidR="00474B40">
        <w:rPr>
          <w:b/>
          <w:bCs/>
        </w:rPr>
        <w:t>(Sic)</w:t>
      </w:r>
    </w:p>
    <w:p w14:paraId="6F6EB1F3" w14:textId="77777777" w:rsidR="004F14BE" w:rsidRPr="00CF0F1D" w:rsidRDefault="004F14BE" w:rsidP="00474B40">
      <w:pPr>
        <w:pStyle w:val="Citas"/>
        <w:rPr>
          <w:rFonts w:eastAsia="Calibri"/>
          <w:color w:val="000000"/>
          <w:lang w:eastAsia="es-MX"/>
        </w:rPr>
      </w:pPr>
    </w:p>
    <w:p w14:paraId="04ADA9C6" w14:textId="76592D47" w:rsidR="004F14BE" w:rsidRPr="006B413D" w:rsidRDefault="004F14BE" w:rsidP="004F14BE">
      <w:pPr>
        <w:spacing w:line="360" w:lineRule="auto"/>
        <w:contextualSpacing/>
        <w:jc w:val="both"/>
        <w:rPr>
          <w:rFonts w:ascii="Palatino Linotype" w:hAnsi="Palatino Linotype" w:cs="Arial"/>
          <w:color w:val="222222"/>
          <w:sz w:val="24"/>
          <w:szCs w:val="24"/>
        </w:rPr>
      </w:pPr>
      <w:r w:rsidRPr="006B413D">
        <w:rPr>
          <w:rFonts w:ascii="Palatino Linotype" w:hAnsi="Palatino Linotype" w:cs="Arial"/>
          <w:color w:val="000000"/>
          <w:sz w:val="24"/>
          <w:szCs w:val="24"/>
        </w:rPr>
        <w:t xml:space="preserve">Por lo que es menester en este asunto, </w:t>
      </w:r>
      <w:r w:rsidRPr="006B413D">
        <w:rPr>
          <w:rFonts w:ascii="Palatino Linotype" w:hAnsi="Palatino Linotype" w:cs="Arial"/>
          <w:color w:val="222222"/>
          <w:sz w:val="24"/>
          <w:szCs w:val="24"/>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2B02EA" w14:textId="4B1BAA3E" w:rsidR="00A720C4" w:rsidRDefault="00A720C4" w:rsidP="004F14BE">
      <w:pPr>
        <w:spacing w:line="360" w:lineRule="auto"/>
        <w:contextualSpacing/>
        <w:jc w:val="both"/>
        <w:rPr>
          <w:rFonts w:ascii="Palatino Linotype" w:hAnsi="Palatino Linotype" w:cs="Arial"/>
          <w:color w:val="222222"/>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rPr>
        <w:lastRenderedPageBreak/>
        <w:t>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xml:space="preserve">, la cual es única e irrepetible y </w:t>
      </w:r>
      <w:r w:rsidRPr="001571EB">
        <w:rPr>
          <w:rFonts w:ascii="Palatino Linotype" w:hAnsi="Palatino Linotype" w:cs="Arial"/>
          <w:sz w:val="24"/>
          <w:szCs w:val="24"/>
        </w:rPr>
        <w:lastRenderedPageBreak/>
        <w:t>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77777777"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F5EE130" w14:textId="75F1F861" w:rsidR="00A720C4" w:rsidRDefault="00A720C4" w:rsidP="004F14BE">
      <w:pPr>
        <w:spacing w:line="360" w:lineRule="auto"/>
        <w:contextualSpacing/>
        <w:jc w:val="both"/>
        <w:rPr>
          <w:rFonts w:ascii="Palatino Linotype" w:hAnsi="Palatino Linotype" w:cs="Arial"/>
          <w:color w:val="222222"/>
        </w:rPr>
      </w:pPr>
    </w:p>
    <w:p w14:paraId="07CB52EF" w14:textId="667DDF99" w:rsidR="006B413D" w:rsidRPr="006B413D"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las solicitudes de información </w:t>
      </w:r>
      <w:r w:rsidR="006B413D">
        <w:rPr>
          <w:rFonts w:ascii="Palatino Linotype" w:hAnsi="Palatino Linotype" w:cs="Arial"/>
          <w:b/>
          <w:bCs/>
          <w:sz w:val="24"/>
          <w:szCs w:val="24"/>
        </w:rPr>
        <w:t xml:space="preserve">00352/MALINAL/IP/2022 y 00353/MALINAL/IP/2022, </w:t>
      </w:r>
      <w:r w:rsidR="006B413D">
        <w:rPr>
          <w:rFonts w:ascii="Palatino Linotype" w:hAnsi="Palatino Linotype" w:cs="Arial"/>
          <w:sz w:val="24"/>
          <w:szCs w:val="24"/>
        </w:rPr>
        <w:t xml:space="preserve">que han sido materia del presente fallo. </w:t>
      </w:r>
    </w:p>
    <w:p w14:paraId="746D51FF" w14:textId="77777777" w:rsidR="004F14BE" w:rsidRPr="00CF0F1D" w:rsidRDefault="004F14BE" w:rsidP="004F14BE">
      <w:pPr>
        <w:autoSpaceDE w:val="0"/>
        <w:autoSpaceDN w:val="0"/>
        <w:adjustRightInd w:val="0"/>
        <w:spacing w:line="360" w:lineRule="auto"/>
        <w:jc w:val="both"/>
        <w:rPr>
          <w:rFonts w:ascii="Palatino Linotype" w:hAnsi="Palatino Linotype"/>
        </w:rPr>
      </w:pPr>
      <w:r w:rsidRPr="00CF0F1D">
        <w:rPr>
          <w:rFonts w:ascii="Palatino Linotype" w:hAnsi="Palatino Linotype"/>
        </w:rPr>
        <w:lastRenderedPageBreak/>
        <w:t>Por lo antes expuesto y fundado es de resolverse y;</w:t>
      </w:r>
    </w:p>
    <w:p w14:paraId="1FAB34B8" w14:textId="18578995" w:rsidR="006A360F" w:rsidRPr="004F14BE"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283F489" w14:textId="77777777"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43E23AFA"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A720C4">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0F18BCF5"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w:t>
      </w:r>
      <w:r>
        <w:rPr>
          <w:rFonts w:ascii="Palatino Linotype" w:eastAsiaTheme="minorHAnsi" w:hAnsi="Palatino Linotype" w:cstheme="minorBidi"/>
          <w:bCs/>
          <w:color w:val="222222"/>
          <w:sz w:val="24"/>
          <w:szCs w:val="24"/>
          <w:lang w:val="es-ES_tradnl"/>
        </w:rPr>
        <w:t>s</w:t>
      </w:r>
      <w:r w:rsidRPr="00883102">
        <w:rPr>
          <w:rFonts w:ascii="Palatino Linotype" w:eastAsiaTheme="minorHAnsi" w:hAnsi="Palatino Linotype" w:cstheme="minorBidi"/>
          <w:bCs/>
          <w:color w:val="222222"/>
          <w:sz w:val="24"/>
          <w:szCs w:val="24"/>
          <w:lang w:val="es-ES_tradnl"/>
        </w:rPr>
        <w:t xml:space="preserve"> solicitud</w:t>
      </w:r>
      <w:r>
        <w:rPr>
          <w:rFonts w:ascii="Palatino Linotype" w:eastAsiaTheme="minorHAnsi" w:hAnsi="Palatino Linotype" w:cstheme="minorBidi"/>
          <w:bCs/>
          <w:color w:val="222222"/>
          <w:sz w:val="24"/>
          <w:szCs w:val="24"/>
          <w:lang w:val="es-ES_tradnl"/>
        </w:rPr>
        <w:t>es</w:t>
      </w:r>
      <w:r w:rsidRPr="00883102">
        <w:rPr>
          <w:rFonts w:ascii="Palatino Linotype" w:eastAsiaTheme="minorHAnsi" w:hAnsi="Palatino Linotype" w:cstheme="minorBidi"/>
          <w:bCs/>
          <w:color w:val="222222"/>
          <w:sz w:val="24"/>
          <w:szCs w:val="24"/>
          <w:lang w:val="es-ES_tradnl"/>
        </w:rPr>
        <w:t xml:space="preserve"> de información </w:t>
      </w:r>
      <w:r w:rsidR="000C7D30">
        <w:rPr>
          <w:rFonts w:ascii="Palatino Linotype" w:hAnsi="Palatino Linotype" w:cs="Arial"/>
          <w:b/>
          <w:bCs/>
          <w:sz w:val="24"/>
          <w:szCs w:val="24"/>
        </w:rPr>
        <w:t xml:space="preserve">00352/MALINAL/IP/2022 y 00353/MALINAL/IP/2022 </w:t>
      </w:r>
      <w:r w:rsidR="000C7D30">
        <w:rPr>
          <w:rFonts w:ascii="Palatino Linotype" w:hAnsi="Palatino Linotype" w:cs="Arial"/>
          <w:sz w:val="24"/>
          <w:szCs w:val="24"/>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79ABB533"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B0FA4B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 xml:space="preserve">CUARTO. Notifíquese </w:t>
      </w:r>
      <w:r>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0176C2BA" w14:textId="77777777" w:rsidR="006215C1" w:rsidRPr="00883102" w:rsidRDefault="006215C1" w:rsidP="006215C1">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5643A547"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C28881B" w14:textId="77777777" w:rsidR="00A720C4" w:rsidRPr="00883102" w:rsidRDefault="00A720C4"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E8B991D" w14:textId="77777777" w:rsidR="006215C1" w:rsidRPr="00883102" w:rsidRDefault="006215C1"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w:t>
      </w:r>
      <w:r w:rsidRPr="00883102">
        <w:rPr>
          <w:rFonts w:ascii="Palatino Linotype" w:eastAsia="Palatino Linotype" w:hAnsi="Palatino Linotype" w:cs="Palatino Linotype"/>
          <w:color w:val="000000"/>
          <w:sz w:val="24"/>
          <w:szCs w:val="24"/>
          <w:lang w:val="es-ES_tradnl"/>
        </w:rPr>
        <w:lastRenderedPageBreak/>
        <w:t>manera parcial, se actuará de conformidad con lo previsto en los artículos 213, 214, 216 y 217 de la Ley en cita.</w:t>
      </w:r>
    </w:p>
    <w:p w14:paraId="05D0F0B8" w14:textId="3BAF6F6D" w:rsidR="006A360F" w:rsidRPr="006215C1"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lang w:val="es-ES_tradnl"/>
        </w:rPr>
      </w:pPr>
    </w:p>
    <w:p w14:paraId="3A2CADD4" w14:textId="77777777" w:rsidR="000C7D30" w:rsidRPr="00917744" w:rsidRDefault="000C7D30" w:rsidP="000C7D3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SEGUNDA SESIÓN ORDINARIA CELEBRADA EL DIECIOCHO DE ENERO DE DOS MIL VEINTITRÉS, ANTE EL </w:t>
      </w:r>
      <w:r w:rsidRPr="00917744">
        <w:rPr>
          <w:rFonts w:ascii="Palatino Linotype" w:hAnsi="Palatino Linotype" w:cs="Arial"/>
          <w:sz w:val="23"/>
          <w:szCs w:val="23"/>
        </w:rPr>
        <w:t xml:space="preserve">SECRETARIO TÉCNICO DEL PLENO, ALEXIS TAPIA RAMÍREZ. </w:t>
      </w:r>
    </w:p>
    <w:p w14:paraId="5F156DF6" w14:textId="77777777" w:rsidR="000C7D30" w:rsidRPr="00663DF5" w:rsidRDefault="000C7D30" w:rsidP="000C7D30">
      <w:pPr>
        <w:pStyle w:val="Citas"/>
        <w:tabs>
          <w:tab w:val="left" w:pos="7470"/>
        </w:tabs>
        <w:ind w:left="0" w:right="72"/>
        <w:rPr>
          <w:bCs/>
          <w:i w:val="0"/>
          <w:iCs/>
          <w:sz w:val="18"/>
          <w:szCs w:val="18"/>
        </w:rPr>
      </w:pPr>
      <w:r w:rsidRPr="00663DF5">
        <w:rPr>
          <w:bCs/>
          <w:i w:val="0"/>
          <w:iCs/>
          <w:sz w:val="18"/>
          <w:szCs w:val="18"/>
        </w:rPr>
        <w:t>CCR/JCMA</w:t>
      </w:r>
    </w:p>
    <w:p w14:paraId="6872C767" w14:textId="0F1DC2D9" w:rsidR="006215C1"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03C8C139" wp14:editId="7753149F">
                <wp:simplePos x="0" y="0"/>
                <wp:positionH relativeFrom="column">
                  <wp:posOffset>43815</wp:posOffset>
                </wp:positionH>
                <wp:positionV relativeFrom="paragraph">
                  <wp:posOffset>279400</wp:posOffset>
                </wp:positionV>
                <wp:extent cx="6038850" cy="30480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38850" cy="304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DED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22pt" to="478.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" strokecolor="#5b9bd5 [3204]" strokeweight=".5pt">
                <v:stroke joinstyle="miter"/>
              </v:line>
            </w:pict>
          </mc:Fallback>
        </mc:AlternateContent>
      </w:r>
    </w:p>
    <w:p w14:paraId="36C2CC30" w14:textId="6A201CDC"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1905F2" w14:textId="6E05D81F"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411AD7" w14:textId="69AF946D"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DE1036" w14:textId="5520AFB2"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12"/>
      <w:headerReference w:type="default" r:id="rId13"/>
      <w:footerReference w:type="default" r:id="rId14"/>
      <w:headerReference w:type="first" r:id="rId15"/>
      <w:footerReference w:type="first" r:id="rId16"/>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0F4A" w14:textId="77777777" w:rsidR="00E770DC" w:rsidRDefault="00E770DC" w:rsidP="00F2498E">
      <w:pPr>
        <w:spacing w:after="0" w:line="240" w:lineRule="auto"/>
      </w:pPr>
      <w:r>
        <w:separator/>
      </w:r>
    </w:p>
  </w:endnote>
  <w:endnote w:type="continuationSeparator" w:id="0">
    <w:p w14:paraId="6E596E38" w14:textId="77777777" w:rsidR="00E770DC" w:rsidRDefault="00E770D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93D9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93D94">
      <w:rPr>
        <w:rFonts w:ascii="Palatino Linotype" w:hAnsi="Palatino Linotype"/>
        <w:b/>
        <w:bCs/>
        <w:noProof/>
        <w:sz w:val="20"/>
      </w:rPr>
      <w:t>33</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93D9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93D94">
      <w:rPr>
        <w:rFonts w:ascii="Palatino Linotype" w:hAnsi="Palatino Linotype"/>
        <w:b/>
        <w:bCs/>
        <w:noProof/>
        <w:sz w:val="20"/>
      </w:rPr>
      <w:t>33</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7E03F" w14:textId="77777777" w:rsidR="00E770DC" w:rsidRDefault="00E770DC" w:rsidP="00F2498E">
      <w:pPr>
        <w:spacing w:after="0" w:line="240" w:lineRule="auto"/>
      </w:pPr>
      <w:r>
        <w:separator/>
      </w:r>
    </w:p>
  </w:footnote>
  <w:footnote w:type="continuationSeparator" w:id="0">
    <w:p w14:paraId="03A8736F" w14:textId="77777777" w:rsidR="00E770DC" w:rsidRDefault="00E770DC"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E770DC">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EB6D20F" w:rsidR="00A27FD0" w:rsidRPr="00096248" w:rsidRDefault="009F745B"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17030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r w:rsidR="00CE1BF6">
            <w:rPr>
              <w:rFonts w:ascii="Palatino Linotype" w:hAnsi="Palatino Linotype" w:cs="Arial"/>
              <w:b/>
              <w:bCs/>
              <w:sz w:val="24"/>
              <w:szCs w:val="24"/>
            </w:rPr>
            <w:t xml:space="preserve">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FA52138"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9F745B">
            <w:rPr>
              <w:rFonts w:ascii="Palatino Linotype" w:hAnsi="Palatino Linotype" w:cs="Arial"/>
              <w:sz w:val="24"/>
              <w:szCs w:val="24"/>
            </w:rPr>
            <w:t>Malinalco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E770DC">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35E90CE" w:rsidR="00A27FD0" w:rsidRPr="00096248" w:rsidRDefault="009F745B"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17030</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r w:rsidR="00CE1BF6">
            <w:rPr>
              <w:rFonts w:ascii="Palatino Linotype" w:hAnsi="Palatino Linotype" w:cs="Arial"/>
              <w:b/>
              <w:bCs/>
              <w:sz w:val="24"/>
              <w:szCs w:val="24"/>
            </w:rPr>
            <w:t xml:space="preserve">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85EA119" w:rsidR="00A27FD0" w:rsidRPr="00C50FCD" w:rsidRDefault="00593D94" w:rsidP="00C50FCD">
          <w:pPr>
            <w:pStyle w:val="Prrafodelista"/>
            <w:spacing w:after="120"/>
            <w:ind w:left="720" w:right="68"/>
            <w:jc w:val="right"/>
            <w:rPr>
              <w:rFonts w:ascii="Palatino Linotype" w:hAnsi="Palatino Linotype" w:cs="Arial"/>
            </w:rPr>
          </w:pPr>
          <w:r>
            <w:rPr>
              <w:rFonts w:ascii="Palatino Linotype" w:hAnsi="Palatino Linotype" w:cs="Arial"/>
            </w:rPr>
            <w:t>XXXXXXX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B08D957"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9F745B">
            <w:rPr>
              <w:rFonts w:ascii="Palatino Linotype" w:hAnsi="Palatino Linotype" w:cs="Arial"/>
              <w:sz w:val="24"/>
              <w:szCs w:val="24"/>
            </w:rPr>
            <w:t>Malinalco</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E770DC">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D94"/>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770DC"/>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linalcoayuntamient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alinalcoayuntamient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ebook.com/malinalcoayuntamiento" TargetMode="External"/><Relationship Id="rId4" Type="http://schemas.openxmlformats.org/officeDocument/2006/relationships/settings" Target="settings.xml"/><Relationship Id="rId9" Type="http://schemas.openxmlformats.org/officeDocument/2006/relationships/hyperlink" Target="https://www.facebook.com/malinalcoayuntamient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6492-193F-44B6-B363-C1D048DE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33</Pages>
  <Words>6502</Words>
  <Characters>35767</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2019-06-13T15:30:00Z</cp:lastPrinted>
  <dcterms:created xsi:type="dcterms:W3CDTF">2022-12-19T16:17:00Z</dcterms:created>
  <dcterms:modified xsi:type="dcterms:W3CDTF">2023-01-27T16:24:00Z</dcterms:modified>
</cp:coreProperties>
</file>