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DA" w:rsidRPr="002911B7" w:rsidRDefault="00DC6E11">
      <w:pPr>
        <w:spacing w:after="0" w:line="360" w:lineRule="auto"/>
        <w:ind w:right="49"/>
        <w:jc w:val="both"/>
        <w:rPr>
          <w:rFonts w:ascii="Palatino Linotype" w:eastAsia="Palatino Linotype" w:hAnsi="Palatino Linotype" w:cs="Palatino Linotype"/>
          <w:sz w:val="24"/>
          <w:szCs w:val="24"/>
        </w:rPr>
      </w:pPr>
      <w:bookmarkStart w:id="0" w:name="_GoBack"/>
      <w:bookmarkEnd w:id="0"/>
      <w:r w:rsidRPr="002911B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diez de mayo de dos mil veintitrés.  </w:t>
      </w:r>
    </w:p>
    <w:p w:rsidR="00422DDA" w:rsidRPr="002911B7" w:rsidRDefault="00422DDA">
      <w:pPr>
        <w:spacing w:after="0" w:line="360" w:lineRule="auto"/>
        <w:ind w:right="49"/>
        <w:jc w:val="center"/>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Visto el expediente relativo al recurso de revisión </w:t>
      </w:r>
      <w:r w:rsidRPr="002911B7">
        <w:rPr>
          <w:rFonts w:ascii="Palatino Linotype" w:eastAsia="Palatino Linotype" w:hAnsi="Palatino Linotype" w:cs="Palatino Linotype"/>
          <w:b/>
          <w:sz w:val="24"/>
          <w:szCs w:val="24"/>
        </w:rPr>
        <w:t>14369/INFOEM/IP/RR/2022</w:t>
      </w:r>
      <w:r w:rsidRPr="002911B7">
        <w:rPr>
          <w:rFonts w:ascii="Palatino Linotype" w:eastAsia="Palatino Linotype" w:hAnsi="Palatino Linotype" w:cs="Palatino Linotype"/>
          <w:sz w:val="24"/>
          <w:szCs w:val="24"/>
        </w:rPr>
        <w:t xml:space="preserve">, interpuesto por </w:t>
      </w:r>
      <w:r w:rsidRPr="002911B7">
        <w:rPr>
          <w:rFonts w:ascii="Palatino Linotype" w:eastAsia="Palatino Linotype" w:hAnsi="Palatino Linotype" w:cs="Palatino Linotype"/>
          <w:b/>
          <w:sz w:val="24"/>
          <w:szCs w:val="24"/>
        </w:rPr>
        <w:t>una persona usuaria del Sistema de Acceso a la Información Mexiquense</w:t>
      </w:r>
      <w:r w:rsidRPr="002911B7">
        <w:rPr>
          <w:rFonts w:ascii="Palatino Linotype" w:eastAsia="Palatino Linotype" w:hAnsi="Palatino Linotype" w:cs="Palatino Linotype"/>
          <w:sz w:val="24"/>
          <w:szCs w:val="24"/>
        </w:rPr>
        <w:t xml:space="preserve">, al cual en lo sucesivo se le denominará el </w:t>
      </w:r>
      <w:r w:rsidRPr="002911B7">
        <w:rPr>
          <w:rFonts w:ascii="Palatino Linotype" w:eastAsia="Palatino Linotype" w:hAnsi="Palatino Linotype" w:cs="Palatino Linotype"/>
          <w:b/>
          <w:sz w:val="24"/>
          <w:szCs w:val="24"/>
        </w:rPr>
        <w:t>RECURRENTE</w:t>
      </w:r>
      <w:r w:rsidRPr="002911B7">
        <w:rPr>
          <w:rFonts w:ascii="Palatino Linotype" w:eastAsia="Palatino Linotype" w:hAnsi="Palatino Linotype" w:cs="Palatino Linotype"/>
          <w:sz w:val="24"/>
          <w:szCs w:val="24"/>
        </w:rPr>
        <w:t xml:space="preserve">, en contra de la respuesta a su solicitud de información identificada con número de folio </w:t>
      </w:r>
      <w:r w:rsidRPr="002911B7">
        <w:rPr>
          <w:rFonts w:ascii="Palatino Linotype" w:eastAsia="Palatino Linotype" w:hAnsi="Palatino Linotype" w:cs="Palatino Linotype"/>
          <w:b/>
          <w:sz w:val="24"/>
          <w:szCs w:val="24"/>
        </w:rPr>
        <w:t>04227/METEPEC/IP/2022</w:t>
      </w:r>
      <w:r w:rsidRPr="002911B7">
        <w:rPr>
          <w:rFonts w:ascii="Palatino Linotype" w:eastAsia="Palatino Linotype" w:hAnsi="Palatino Linotype" w:cs="Palatino Linotype"/>
          <w:sz w:val="24"/>
          <w:szCs w:val="24"/>
        </w:rPr>
        <w:t xml:space="preserve"> proporcionada por parte del </w:t>
      </w:r>
      <w:r w:rsidRPr="002911B7">
        <w:rPr>
          <w:rFonts w:ascii="Palatino Linotype" w:eastAsia="Palatino Linotype" w:hAnsi="Palatino Linotype" w:cs="Palatino Linotype"/>
          <w:b/>
          <w:sz w:val="24"/>
          <w:szCs w:val="24"/>
        </w:rPr>
        <w:t>Ayuntamiento de Metepec</w:t>
      </w:r>
      <w:r w:rsidRPr="002911B7">
        <w:rPr>
          <w:rFonts w:ascii="Palatino Linotype" w:eastAsia="Palatino Linotype" w:hAnsi="Palatino Linotype" w:cs="Palatino Linotype"/>
          <w:sz w:val="24"/>
          <w:szCs w:val="24"/>
        </w:rPr>
        <w:t xml:space="preserve">, en lo sucesivo el </w:t>
      </w:r>
      <w:r w:rsidRPr="002911B7">
        <w:rPr>
          <w:rFonts w:ascii="Palatino Linotype" w:eastAsia="Palatino Linotype" w:hAnsi="Palatino Linotype" w:cs="Palatino Linotype"/>
          <w:b/>
          <w:sz w:val="24"/>
          <w:szCs w:val="24"/>
        </w:rPr>
        <w:t>SUJETO OBLIGADO</w:t>
      </w:r>
      <w:r w:rsidRPr="002911B7">
        <w:rPr>
          <w:rFonts w:ascii="Palatino Linotype" w:eastAsia="Palatino Linotype" w:hAnsi="Palatino Linotype" w:cs="Palatino Linotype"/>
          <w:sz w:val="24"/>
          <w:szCs w:val="24"/>
        </w:rPr>
        <w:t>; se procede a dictar la presente resolución, con base en los siguientes:</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center"/>
        <w:rPr>
          <w:rFonts w:ascii="Palatino Linotype" w:eastAsia="Palatino Linotype" w:hAnsi="Palatino Linotype" w:cs="Palatino Linotype"/>
          <w:b/>
          <w:sz w:val="24"/>
          <w:szCs w:val="24"/>
        </w:rPr>
      </w:pPr>
      <w:r w:rsidRPr="002911B7">
        <w:rPr>
          <w:rFonts w:ascii="Palatino Linotype" w:eastAsia="Palatino Linotype" w:hAnsi="Palatino Linotype" w:cs="Palatino Linotype"/>
          <w:b/>
          <w:sz w:val="24"/>
          <w:szCs w:val="24"/>
        </w:rPr>
        <w:t>I.</w:t>
      </w:r>
      <w:r w:rsidRPr="002911B7">
        <w:rPr>
          <w:rFonts w:ascii="Palatino Linotype" w:eastAsia="Palatino Linotype" w:hAnsi="Palatino Linotype" w:cs="Palatino Linotype"/>
          <w:b/>
          <w:sz w:val="24"/>
          <w:szCs w:val="24"/>
        </w:rPr>
        <w:tab/>
        <w:t>A N T E C E D E N T E S</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Solicitud de acceso a la información.</w:t>
      </w:r>
      <w:r w:rsidRPr="002911B7">
        <w:rPr>
          <w:rFonts w:ascii="Palatino Linotype" w:eastAsia="Palatino Linotype" w:hAnsi="Palatino Linotype" w:cs="Palatino Linotype"/>
          <w:sz w:val="24"/>
          <w:szCs w:val="24"/>
        </w:rPr>
        <w:t xml:space="preserve"> Con fecha </w:t>
      </w:r>
      <w:r w:rsidRPr="002911B7">
        <w:rPr>
          <w:rFonts w:ascii="Palatino Linotype" w:eastAsia="Palatino Linotype" w:hAnsi="Palatino Linotype" w:cs="Palatino Linotype"/>
          <w:b/>
          <w:sz w:val="24"/>
          <w:szCs w:val="24"/>
        </w:rPr>
        <w:t>quince de agosto de dos mil veintidós</w:t>
      </w:r>
      <w:r w:rsidRPr="002911B7">
        <w:rPr>
          <w:rFonts w:ascii="Palatino Linotype" w:eastAsia="Palatino Linotype" w:hAnsi="Palatino Linotype" w:cs="Palatino Linotype"/>
          <w:sz w:val="24"/>
          <w:szCs w:val="24"/>
        </w:rPr>
        <w:t xml:space="preserve">, la parte </w:t>
      </w:r>
      <w:r w:rsidRPr="002911B7">
        <w:rPr>
          <w:rFonts w:ascii="Palatino Linotype" w:eastAsia="Palatino Linotype" w:hAnsi="Palatino Linotype" w:cs="Palatino Linotype"/>
          <w:b/>
          <w:sz w:val="24"/>
          <w:szCs w:val="24"/>
        </w:rPr>
        <w:t>RECURRENTE</w:t>
      </w:r>
      <w:r w:rsidRPr="002911B7">
        <w:rPr>
          <w:rFonts w:ascii="Palatino Linotype" w:eastAsia="Palatino Linotype" w:hAnsi="Palatino Linotype" w:cs="Palatino Linotype"/>
          <w:sz w:val="24"/>
          <w:szCs w:val="24"/>
        </w:rPr>
        <w:t xml:space="preserve"> formuló solicitud de acceso a información pública al</w:t>
      </w:r>
      <w:r w:rsidRPr="002911B7">
        <w:rPr>
          <w:rFonts w:ascii="Palatino Linotype" w:eastAsia="Palatino Linotype" w:hAnsi="Palatino Linotype" w:cs="Palatino Linotype"/>
          <w:b/>
          <w:sz w:val="24"/>
          <w:szCs w:val="24"/>
        </w:rPr>
        <w:t xml:space="preserve"> SUJETO OBLIGADO</w:t>
      </w:r>
      <w:r w:rsidRPr="002911B7">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rsidR="00422DDA" w:rsidRPr="002911B7" w:rsidRDefault="00422DD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2911B7">
        <w:rPr>
          <w:rFonts w:ascii="Palatino Linotype" w:eastAsia="Palatino Linotype" w:hAnsi="Palatino Linotype" w:cs="Palatino Linotype"/>
          <w:i/>
        </w:rPr>
        <w:t xml:space="preserve">“Se solicita los comprobantes de pago del impuesto sobre diversiones y </w:t>
      </w:r>
      <w:proofErr w:type="spellStart"/>
      <w:r w:rsidRPr="002911B7">
        <w:rPr>
          <w:rFonts w:ascii="Palatino Linotype" w:eastAsia="Palatino Linotype" w:hAnsi="Palatino Linotype" w:cs="Palatino Linotype"/>
          <w:i/>
        </w:rPr>
        <w:t>espectaculos</w:t>
      </w:r>
      <w:proofErr w:type="spellEnd"/>
      <w:r w:rsidRPr="002911B7">
        <w:rPr>
          <w:rFonts w:ascii="Palatino Linotype" w:eastAsia="Palatino Linotype" w:hAnsi="Palatino Linotype" w:cs="Palatino Linotype"/>
          <w:i/>
        </w:rPr>
        <w:t xml:space="preserve"> </w:t>
      </w:r>
      <w:proofErr w:type="spellStart"/>
      <w:r w:rsidRPr="002911B7">
        <w:rPr>
          <w:rFonts w:ascii="Palatino Linotype" w:eastAsia="Palatino Linotype" w:hAnsi="Palatino Linotype" w:cs="Palatino Linotype"/>
          <w:i/>
        </w:rPr>
        <w:t>publicos</w:t>
      </w:r>
      <w:proofErr w:type="spellEnd"/>
      <w:r w:rsidRPr="002911B7">
        <w:rPr>
          <w:rFonts w:ascii="Palatino Linotype" w:eastAsia="Palatino Linotype" w:hAnsi="Palatino Linotype" w:cs="Palatino Linotype"/>
          <w:i/>
        </w:rPr>
        <w:t xml:space="preserve">””. </w:t>
      </w:r>
    </w:p>
    <w:p w:rsidR="00422DDA" w:rsidRPr="002911B7" w:rsidRDefault="00422DDA">
      <w:pPr>
        <w:spacing w:after="0" w:line="360" w:lineRule="auto"/>
        <w:ind w:left="567" w:right="560"/>
        <w:jc w:val="both"/>
        <w:rPr>
          <w:rFonts w:ascii="Palatino Linotype" w:eastAsia="Palatino Linotype" w:hAnsi="Palatino Linotype" w:cs="Palatino Linotype"/>
          <w:i/>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Modalidad elegida para la entrega de la información:</w:t>
      </w:r>
      <w:r w:rsidRPr="002911B7">
        <w:rPr>
          <w:rFonts w:ascii="Palatino Linotype" w:eastAsia="Palatino Linotype" w:hAnsi="Palatino Linotype" w:cs="Palatino Linotype"/>
          <w:sz w:val="24"/>
          <w:szCs w:val="24"/>
        </w:rPr>
        <w:t xml:space="preserve"> a través del Sistema de Acceso a la Información Mexiquense (SAIMEX). </w:t>
      </w:r>
    </w:p>
    <w:p w:rsidR="00422DDA" w:rsidRPr="002911B7" w:rsidRDefault="00DC6E1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lastRenderedPageBreak/>
        <w:t>Respuesta.</w:t>
      </w:r>
      <w:r w:rsidRPr="002911B7">
        <w:rPr>
          <w:rFonts w:ascii="Palatino Linotype" w:eastAsia="Palatino Linotype" w:hAnsi="Palatino Linotype" w:cs="Palatino Linotype"/>
          <w:sz w:val="24"/>
          <w:szCs w:val="24"/>
        </w:rPr>
        <w:t xml:space="preserve"> Con fecha </w:t>
      </w:r>
      <w:r w:rsidRPr="002911B7">
        <w:rPr>
          <w:rFonts w:ascii="Palatino Linotype" w:eastAsia="Palatino Linotype" w:hAnsi="Palatino Linotype" w:cs="Palatino Linotype"/>
          <w:b/>
          <w:sz w:val="24"/>
          <w:szCs w:val="24"/>
        </w:rPr>
        <w:t>cinco de septiembre de dos mil veintidós</w:t>
      </w:r>
      <w:r w:rsidRPr="002911B7">
        <w:rPr>
          <w:rFonts w:ascii="Palatino Linotype" w:eastAsia="Palatino Linotype" w:hAnsi="Palatino Linotype" w:cs="Palatino Linotype"/>
          <w:sz w:val="24"/>
          <w:szCs w:val="24"/>
        </w:rPr>
        <w:t xml:space="preserve">, el </w:t>
      </w:r>
      <w:r w:rsidRPr="002911B7">
        <w:rPr>
          <w:rFonts w:ascii="Palatino Linotype" w:eastAsia="Palatino Linotype" w:hAnsi="Palatino Linotype" w:cs="Palatino Linotype"/>
          <w:b/>
          <w:sz w:val="24"/>
          <w:szCs w:val="24"/>
        </w:rPr>
        <w:t>SUJETO OBLIGADO</w:t>
      </w:r>
      <w:r w:rsidRPr="002911B7">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276" w:lineRule="auto"/>
        <w:ind w:left="851"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22DDA" w:rsidRPr="002911B7" w:rsidRDefault="00DC6E11">
      <w:pPr>
        <w:spacing w:after="0" w:line="276" w:lineRule="auto"/>
        <w:ind w:left="851"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rsidR="00422DDA" w:rsidRPr="002911B7" w:rsidRDefault="00422DDA">
      <w:pPr>
        <w:spacing w:after="0" w:line="360" w:lineRule="auto"/>
        <w:ind w:right="49"/>
        <w:jc w:val="both"/>
        <w:rPr>
          <w:rFonts w:ascii="Palatino Linotype" w:eastAsia="Palatino Linotype" w:hAnsi="Palatino Linotype" w:cs="Palatino Linotype"/>
          <w:i/>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El Sujeto Obligado a su respuesta adjuntó el documento que se describe a continuación:  </w:t>
      </w:r>
    </w:p>
    <w:p w:rsidR="00422DDA" w:rsidRPr="002911B7" w:rsidRDefault="00DC6E11">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11B7">
        <w:rPr>
          <w:rFonts w:ascii="Palatino Linotype" w:eastAsia="Palatino Linotype" w:hAnsi="Palatino Linotype" w:cs="Palatino Linotype"/>
        </w:rPr>
        <w:t xml:space="preserve">Oficio número TM/1914/2022 de fecha veintitrés de agosto de dos mil veintidós, signado por el Tesorero Municipal, mediante el cual hace del conocimiento del </w:t>
      </w:r>
      <w:r w:rsidRPr="002911B7">
        <w:rPr>
          <w:rFonts w:ascii="Palatino Linotype" w:eastAsia="Palatino Linotype" w:hAnsi="Palatino Linotype" w:cs="Palatino Linotype"/>
        </w:rPr>
        <w:lastRenderedPageBreak/>
        <w:t xml:space="preserve">Director de Transparencia y Gobierno Abierto que la información solicitada, constituye un cúmulo de documentos de un volumen considerable, lo cual requiere procesamiento y revisión para verificar si contiene información que deba ser clasificada como confidencial o reservarla, cuya entrega y procesamiento sobrepasa las capacidades técnicas, administrativas y humanas de la Tesorería, debido a que: </w:t>
      </w:r>
    </w:p>
    <w:p w:rsidR="00422DDA" w:rsidRPr="002911B7" w:rsidRDefault="00422DDA">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rsidR="00422DDA" w:rsidRPr="002911B7" w:rsidRDefault="00DC6E11">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11B7">
        <w:rPr>
          <w:rFonts w:ascii="Palatino Linotype" w:eastAsia="Palatino Linotype" w:hAnsi="Palatino Linotype" w:cs="Palatino Linotype"/>
        </w:rPr>
        <w:t xml:space="preserve">El personal que atiende los requerimientos en materia de trasparencia y acceso a la información es reducido, sólo se cuenta con una persona adscrita a la Tesorería Municipal, encargada de realizar el proceso de búsqueda de la información. </w:t>
      </w:r>
    </w:p>
    <w:p w:rsidR="00422DDA" w:rsidRPr="002911B7" w:rsidRDefault="00DC6E11">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11B7">
        <w:rPr>
          <w:rFonts w:ascii="Palatino Linotype" w:eastAsia="Palatino Linotype" w:hAnsi="Palatino Linotype" w:cs="Palatino Linotype"/>
        </w:rPr>
        <w:t xml:space="preserve">El plazo legal que prevé la Ley de Transparencia es insuficiente para la Tesorería Municipal para atender las solicitudes de información. </w:t>
      </w:r>
    </w:p>
    <w:p w:rsidR="00422DDA" w:rsidRPr="002911B7" w:rsidRDefault="00DC6E11">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11B7">
        <w:rPr>
          <w:rFonts w:ascii="Palatino Linotype" w:eastAsia="Palatino Linotype" w:hAnsi="Palatino Linotype" w:cs="Palatino Linotype"/>
        </w:rPr>
        <w:t xml:space="preserve">Sólo se disponen de dos computadoras con el programa oportuno para elaborar las versiones públicas necesarias para atender las solicitudes de información, aunado a ello, solamente se cuenta con escáner de la Dirección de la Tesorería, ya que las otras pertenecen a las demás áreas que componen la Tesorería. </w:t>
      </w:r>
    </w:p>
    <w:p w:rsidR="00422DDA" w:rsidRPr="002911B7" w:rsidRDefault="00422DDA">
      <w:pPr>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p>
    <w:p w:rsidR="00422DDA" w:rsidRPr="002911B7" w:rsidRDefault="00DC6E11">
      <w:p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2911B7">
        <w:rPr>
          <w:rFonts w:ascii="Palatino Linotype" w:eastAsia="Palatino Linotype" w:hAnsi="Palatino Linotype" w:cs="Palatino Linotype"/>
        </w:rPr>
        <w:t xml:space="preserve">Es así que, se pone a disposición del Particular la información en cualquiera de las modalidades que refiere la Ley, las cuales tengan capacidades de almacenamiento como USB o consulta directa. </w:t>
      </w:r>
    </w:p>
    <w:p w:rsidR="00422DDA" w:rsidRPr="002911B7" w:rsidRDefault="00422DDA">
      <w:p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
    <w:p w:rsidR="00422DDA" w:rsidRPr="002911B7" w:rsidRDefault="00DC6E1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 xml:space="preserve">Interposición del Recurso de Revisión: </w:t>
      </w:r>
      <w:r w:rsidRPr="002911B7">
        <w:rPr>
          <w:rFonts w:ascii="Palatino Linotype" w:eastAsia="Palatino Linotype" w:hAnsi="Palatino Linotype" w:cs="Palatino Linotype"/>
          <w:sz w:val="24"/>
          <w:szCs w:val="24"/>
        </w:rPr>
        <w:t xml:space="preserve">El Particular, derivado de la respuesta del </w:t>
      </w:r>
      <w:r w:rsidRPr="002911B7">
        <w:rPr>
          <w:rFonts w:ascii="Palatino Linotype" w:eastAsia="Palatino Linotype" w:hAnsi="Palatino Linotype" w:cs="Palatino Linotype"/>
          <w:b/>
          <w:sz w:val="24"/>
          <w:szCs w:val="24"/>
        </w:rPr>
        <w:t>SUJETO OBLIGADO</w:t>
      </w:r>
      <w:r w:rsidRPr="002911B7">
        <w:rPr>
          <w:rFonts w:ascii="Palatino Linotype" w:eastAsia="Palatino Linotype" w:hAnsi="Palatino Linotype" w:cs="Palatino Linotype"/>
          <w:sz w:val="24"/>
          <w:szCs w:val="24"/>
        </w:rPr>
        <w:t xml:space="preserve"> interpuso Recurso de Revisión a través del </w:t>
      </w:r>
      <w:r w:rsidRPr="002911B7">
        <w:rPr>
          <w:rFonts w:ascii="Palatino Linotype" w:eastAsia="Palatino Linotype" w:hAnsi="Palatino Linotype" w:cs="Palatino Linotype"/>
          <w:b/>
          <w:sz w:val="24"/>
          <w:szCs w:val="24"/>
        </w:rPr>
        <w:t>SAIMEX</w:t>
      </w:r>
      <w:r w:rsidRPr="002911B7">
        <w:rPr>
          <w:rFonts w:ascii="Palatino Linotype" w:eastAsia="Palatino Linotype" w:hAnsi="Palatino Linotype" w:cs="Palatino Linotype"/>
          <w:sz w:val="24"/>
          <w:szCs w:val="24"/>
        </w:rPr>
        <w:t xml:space="preserve"> en fecha </w:t>
      </w:r>
      <w:r w:rsidRPr="002911B7">
        <w:rPr>
          <w:rFonts w:ascii="Palatino Linotype" w:eastAsia="Palatino Linotype" w:hAnsi="Palatino Linotype" w:cs="Palatino Linotype"/>
          <w:b/>
          <w:sz w:val="24"/>
          <w:szCs w:val="24"/>
        </w:rPr>
        <w:t>cinco de septiembre de dos mil veintidós</w:t>
      </w:r>
      <w:r w:rsidRPr="002911B7">
        <w:rPr>
          <w:rFonts w:ascii="Palatino Linotype" w:eastAsia="Palatino Linotype" w:hAnsi="Palatino Linotype" w:cs="Palatino Linotype"/>
          <w:sz w:val="24"/>
          <w:szCs w:val="24"/>
        </w:rPr>
        <w:t>, a través del cual expresó lo siguiente:</w:t>
      </w:r>
    </w:p>
    <w:p w:rsidR="00422DDA" w:rsidRPr="002911B7" w:rsidRDefault="00422DD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422DDA" w:rsidRPr="002911B7" w:rsidRDefault="00DC6E11">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2911B7">
        <w:rPr>
          <w:rFonts w:ascii="Palatino Linotype" w:eastAsia="Palatino Linotype" w:hAnsi="Palatino Linotype" w:cs="Palatino Linotype"/>
          <w:b/>
          <w:sz w:val="24"/>
          <w:szCs w:val="24"/>
        </w:rPr>
        <w:t xml:space="preserve">Acto impugnado. </w:t>
      </w:r>
      <w:r w:rsidRPr="002911B7">
        <w:rPr>
          <w:rFonts w:ascii="Palatino Linotype" w:eastAsia="Palatino Linotype" w:hAnsi="Palatino Linotype" w:cs="Palatino Linotype"/>
        </w:rPr>
        <w:t>“</w:t>
      </w:r>
      <w:r w:rsidRPr="002911B7">
        <w:rPr>
          <w:rFonts w:ascii="Palatino Linotype" w:eastAsia="Palatino Linotype" w:hAnsi="Palatino Linotype" w:cs="Palatino Linotype"/>
          <w:i/>
        </w:rPr>
        <w:t>la respuesta del sujeto obligado”.</w:t>
      </w:r>
    </w:p>
    <w:p w:rsidR="00422DDA" w:rsidRPr="002911B7" w:rsidRDefault="00422DDA">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rsidR="00422DDA" w:rsidRPr="002911B7" w:rsidRDefault="00DC6E11">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rPr>
      </w:pPr>
      <w:r w:rsidRPr="002911B7">
        <w:rPr>
          <w:rFonts w:ascii="Palatino Linotype" w:eastAsia="Palatino Linotype" w:hAnsi="Palatino Linotype" w:cs="Palatino Linotype"/>
          <w:b/>
          <w:sz w:val="24"/>
          <w:szCs w:val="24"/>
        </w:rPr>
        <w:lastRenderedPageBreak/>
        <w:t xml:space="preserve">Razones o motivos de la inconformidad: </w:t>
      </w:r>
      <w:r w:rsidRPr="002911B7">
        <w:rPr>
          <w:rFonts w:ascii="Palatino Linotype" w:eastAsia="Palatino Linotype" w:hAnsi="Palatino Linotype" w:cs="Palatino Linotype"/>
        </w:rPr>
        <w:t>“</w:t>
      </w:r>
      <w:r w:rsidRPr="002911B7">
        <w:rPr>
          <w:rFonts w:ascii="Palatino Linotype" w:eastAsia="Palatino Linotype" w:hAnsi="Palatino Linotype" w:cs="Palatino Linotype"/>
          <w:i/>
        </w:rPr>
        <w:t xml:space="preserve">no entrega la </w:t>
      </w:r>
      <w:proofErr w:type="spellStart"/>
      <w:r w:rsidRPr="002911B7">
        <w:rPr>
          <w:rFonts w:ascii="Palatino Linotype" w:eastAsia="Palatino Linotype" w:hAnsi="Palatino Linotype" w:cs="Palatino Linotype"/>
          <w:i/>
        </w:rPr>
        <w:t>informacion</w:t>
      </w:r>
      <w:proofErr w:type="spellEnd"/>
      <w:r w:rsidRPr="002911B7">
        <w:rPr>
          <w:rFonts w:ascii="Palatino Linotype" w:eastAsia="Palatino Linotype" w:hAnsi="Palatino Linotype" w:cs="Palatino Linotype"/>
          <w:i/>
        </w:rPr>
        <w:t xml:space="preserve">, cambia de manera indebida la entrega de la </w:t>
      </w:r>
      <w:proofErr w:type="spellStart"/>
      <w:r w:rsidRPr="002911B7">
        <w:rPr>
          <w:rFonts w:ascii="Palatino Linotype" w:eastAsia="Palatino Linotype" w:hAnsi="Palatino Linotype" w:cs="Palatino Linotype"/>
          <w:i/>
        </w:rPr>
        <w:t>informacion</w:t>
      </w:r>
      <w:proofErr w:type="spellEnd"/>
      <w:r w:rsidRPr="002911B7">
        <w:rPr>
          <w:rFonts w:ascii="Palatino Linotype" w:eastAsia="Palatino Linotype" w:hAnsi="Palatino Linotype" w:cs="Palatino Linotype"/>
          <w:i/>
        </w:rPr>
        <w:t xml:space="preserve"> a consulta directa, </w:t>
      </w:r>
      <w:proofErr w:type="spellStart"/>
      <w:r w:rsidRPr="002911B7">
        <w:rPr>
          <w:rFonts w:ascii="Palatino Linotype" w:eastAsia="Palatino Linotype" w:hAnsi="Palatino Linotype" w:cs="Palatino Linotype"/>
          <w:i/>
        </w:rPr>
        <w:t>razon</w:t>
      </w:r>
      <w:proofErr w:type="spellEnd"/>
      <w:r w:rsidRPr="002911B7">
        <w:rPr>
          <w:rFonts w:ascii="Palatino Linotype" w:eastAsia="Palatino Linotype" w:hAnsi="Palatino Linotype" w:cs="Palatino Linotype"/>
          <w:i/>
        </w:rPr>
        <w:t xml:space="preserve"> por la cual viola mi derecho al acceso a la </w:t>
      </w:r>
      <w:proofErr w:type="spellStart"/>
      <w:r w:rsidRPr="002911B7">
        <w:rPr>
          <w:rFonts w:ascii="Palatino Linotype" w:eastAsia="Palatino Linotype" w:hAnsi="Palatino Linotype" w:cs="Palatino Linotype"/>
          <w:i/>
        </w:rPr>
        <w:t>informacion</w:t>
      </w:r>
      <w:proofErr w:type="spellEnd"/>
      <w:r w:rsidRPr="002911B7">
        <w:rPr>
          <w:rFonts w:ascii="Palatino Linotype" w:eastAsia="Palatino Linotype" w:hAnsi="Palatino Linotype" w:cs="Palatino Linotype"/>
          <w:i/>
        </w:rPr>
        <w:t>”. (Sic)</w:t>
      </w:r>
    </w:p>
    <w:p w:rsidR="00422DDA" w:rsidRPr="002911B7" w:rsidRDefault="00422DDA">
      <w:pPr>
        <w:spacing w:after="0" w:line="276" w:lineRule="auto"/>
        <w:ind w:right="49"/>
        <w:jc w:val="both"/>
        <w:rPr>
          <w:rFonts w:ascii="Palatino Linotype" w:eastAsia="Palatino Linotype" w:hAnsi="Palatino Linotype" w:cs="Palatino Linotype"/>
          <w:sz w:val="24"/>
          <w:szCs w:val="24"/>
        </w:rPr>
      </w:pPr>
    </w:p>
    <w:p w:rsidR="00422DDA" w:rsidRPr="002911B7" w:rsidRDefault="00DC6E1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Turno.</w:t>
      </w:r>
      <w:r w:rsidRPr="002911B7">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2911B7">
        <w:rPr>
          <w:rFonts w:ascii="Palatino Linotype" w:eastAsia="Palatino Linotype" w:hAnsi="Palatino Linotype" w:cs="Palatino Linotype"/>
          <w:b/>
          <w:sz w:val="24"/>
          <w:szCs w:val="24"/>
        </w:rPr>
        <w:t>14369/INFOEM/IP/RR/2022</w:t>
      </w:r>
      <w:r w:rsidRPr="002911B7">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rsidR="00422DDA" w:rsidRPr="002911B7" w:rsidRDefault="00422DD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422DDA" w:rsidRPr="002911B7" w:rsidRDefault="00DC6E1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Admisión del recurso de revisión</w:t>
      </w:r>
      <w:r w:rsidRPr="002911B7">
        <w:rPr>
          <w:rFonts w:ascii="Palatino Linotype" w:eastAsia="Palatino Linotype" w:hAnsi="Palatino Linotype" w:cs="Palatino Linotype"/>
          <w:sz w:val="24"/>
          <w:szCs w:val="24"/>
        </w:rPr>
        <w:t xml:space="preserve">: En fecha </w:t>
      </w:r>
      <w:r w:rsidRPr="002911B7">
        <w:rPr>
          <w:rFonts w:ascii="Palatino Linotype" w:eastAsia="Palatino Linotype" w:hAnsi="Palatino Linotype" w:cs="Palatino Linotype"/>
          <w:b/>
          <w:sz w:val="24"/>
          <w:szCs w:val="24"/>
        </w:rPr>
        <w:t>ocho de septiembre de dos mil veintidós</w:t>
      </w:r>
      <w:r w:rsidRPr="002911B7">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422DDA" w:rsidRPr="002911B7" w:rsidRDefault="00422DDA">
      <w:pPr>
        <w:pBdr>
          <w:top w:val="nil"/>
          <w:left w:val="nil"/>
          <w:bottom w:val="nil"/>
          <w:right w:val="nil"/>
          <w:between w:val="nil"/>
        </w:pBdr>
        <w:ind w:left="720"/>
        <w:rPr>
          <w:rFonts w:ascii="Palatino Linotype" w:eastAsia="Palatino Linotype" w:hAnsi="Palatino Linotype" w:cs="Palatino Linotype"/>
          <w:sz w:val="24"/>
          <w:szCs w:val="24"/>
        </w:rPr>
      </w:pPr>
    </w:p>
    <w:p w:rsidR="00422DDA" w:rsidRPr="002911B7" w:rsidRDefault="00DC6E1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 xml:space="preserve">Notificación del Requerimiento de Información Adicional. </w:t>
      </w:r>
      <w:r w:rsidRPr="002911B7">
        <w:rPr>
          <w:rFonts w:ascii="Palatino Linotype" w:eastAsia="Palatino Linotype" w:hAnsi="Palatino Linotype" w:cs="Palatino Linotype"/>
          <w:sz w:val="24"/>
          <w:szCs w:val="24"/>
        </w:rPr>
        <w:t xml:space="preserve">En fecha </w:t>
      </w:r>
      <w:r w:rsidRPr="002911B7">
        <w:rPr>
          <w:rFonts w:ascii="Palatino Linotype" w:eastAsia="Palatino Linotype" w:hAnsi="Palatino Linotype" w:cs="Palatino Linotype"/>
          <w:b/>
          <w:sz w:val="24"/>
          <w:szCs w:val="24"/>
        </w:rPr>
        <w:t>veinticuatro de abril de dos mil veintitrés</w:t>
      </w:r>
      <w:r w:rsidRPr="002911B7">
        <w:rPr>
          <w:rFonts w:ascii="Palatino Linotype" w:eastAsia="Palatino Linotype" w:hAnsi="Palatino Linotype" w:cs="Palatino Linotype"/>
          <w:sz w:val="24"/>
          <w:szCs w:val="24"/>
        </w:rPr>
        <w:t>, se notificó al Ayuntamiento de Metepec el requerimiento de información adicional e invitación a registrar su reporte de incidencias, a través de correo electrónico, tal como se advierte a continuación:</w:t>
      </w:r>
    </w:p>
    <w:p w:rsidR="00422DDA" w:rsidRPr="002911B7" w:rsidRDefault="00DC6E11">
      <w:pPr>
        <w:pBdr>
          <w:top w:val="nil"/>
          <w:left w:val="nil"/>
          <w:bottom w:val="nil"/>
          <w:right w:val="nil"/>
          <w:between w:val="nil"/>
        </w:pBdr>
        <w:spacing w:after="0" w:line="360" w:lineRule="auto"/>
        <w:ind w:right="49"/>
        <w:rPr>
          <w:rFonts w:ascii="Palatino Linotype" w:eastAsia="Palatino Linotype" w:hAnsi="Palatino Linotype" w:cs="Palatino Linotype"/>
          <w:sz w:val="24"/>
          <w:szCs w:val="24"/>
        </w:rPr>
      </w:pPr>
      <w:r w:rsidRPr="002911B7">
        <w:rPr>
          <w:rFonts w:ascii="Palatino Linotype" w:eastAsia="Palatino Linotype" w:hAnsi="Palatino Linotype" w:cs="Palatino Linotype"/>
          <w:noProof/>
          <w:sz w:val="24"/>
          <w:szCs w:val="24"/>
        </w:rPr>
        <w:lastRenderedPageBreak/>
        <w:drawing>
          <wp:inline distT="0" distB="0" distL="0" distR="0">
            <wp:extent cx="5756275" cy="2536825"/>
            <wp:effectExtent l="0" t="0" r="0" b="0"/>
            <wp:docPr id="1038907554" name="image2.png"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 Correo electrónico&#10;&#10;Descripción generada automáticamente"/>
                    <pic:cNvPicPr preferRelativeResize="0"/>
                  </pic:nvPicPr>
                  <pic:blipFill>
                    <a:blip r:embed="rId8"/>
                    <a:srcRect/>
                    <a:stretch>
                      <a:fillRect/>
                    </a:stretch>
                  </pic:blipFill>
                  <pic:spPr>
                    <a:xfrm>
                      <a:off x="0" y="0"/>
                      <a:ext cx="5756275" cy="2536825"/>
                    </a:xfrm>
                    <a:prstGeom prst="rect">
                      <a:avLst/>
                    </a:prstGeom>
                    <a:ln/>
                  </pic:spPr>
                </pic:pic>
              </a:graphicData>
            </a:graphic>
          </wp:inline>
        </w:drawing>
      </w:r>
    </w:p>
    <w:p w:rsidR="00422DDA" w:rsidRPr="002911B7" w:rsidRDefault="00422DDA">
      <w:pPr>
        <w:pBdr>
          <w:top w:val="nil"/>
          <w:left w:val="nil"/>
          <w:bottom w:val="nil"/>
          <w:right w:val="nil"/>
          <w:between w:val="nil"/>
        </w:pBdr>
        <w:spacing w:after="0" w:line="360" w:lineRule="auto"/>
        <w:ind w:right="49"/>
        <w:rPr>
          <w:rFonts w:ascii="Palatino Linotype" w:eastAsia="Palatino Linotype" w:hAnsi="Palatino Linotype" w:cs="Palatino Linotype"/>
          <w:sz w:val="24"/>
          <w:szCs w:val="24"/>
        </w:rPr>
      </w:pPr>
    </w:p>
    <w:p w:rsidR="00422DDA" w:rsidRPr="002911B7" w:rsidRDefault="00DC6E1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 xml:space="preserve">Desahogo del Requerimiento de Información Adicional. </w:t>
      </w:r>
      <w:r w:rsidRPr="002911B7">
        <w:rPr>
          <w:rFonts w:ascii="Palatino Linotype" w:eastAsia="Palatino Linotype" w:hAnsi="Palatino Linotype" w:cs="Palatino Linotype"/>
          <w:sz w:val="24"/>
          <w:szCs w:val="24"/>
        </w:rPr>
        <w:t xml:space="preserve">En fecha </w:t>
      </w:r>
      <w:r w:rsidRPr="002911B7">
        <w:rPr>
          <w:rFonts w:ascii="Palatino Linotype" w:eastAsia="Palatino Linotype" w:hAnsi="Palatino Linotype" w:cs="Palatino Linotype"/>
          <w:b/>
          <w:sz w:val="24"/>
          <w:szCs w:val="24"/>
        </w:rPr>
        <w:t>veintiséis de abril de dos mil veintidós</w:t>
      </w:r>
      <w:r w:rsidRPr="002911B7">
        <w:rPr>
          <w:rFonts w:ascii="Palatino Linotype" w:eastAsia="Palatino Linotype" w:hAnsi="Palatino Linotype" w:cs="Palatino Linotype"/>
          <w:sz w:val="24"/>
          <w:szCs w:val="24"/>
        </w:rPr>
        <w:t xml:space="preserve">, el Sujeto Obligado desahogó el requerimiento de información adicional a través de un oficio de fecha veinticinco de abril de dos mil veintitrés, signado por el Tesorero Municipal, mediante el cual ratificó el cambio de modalidad propuesto en respuesta. </w:t>
      </w:r>
    </w:p>
    <w:p w:rsidR="00422DDA" w:rsidRPr="002911B7" w:rsidRDefault="00422DD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422DDA" w:rsidRPr="002911B7" w:rsidRDefault="00DC6E11">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 xml:space="preserve">Informe Justificado. </w:t>
      </w:r>
      <w:r w:rsidRPr="002911B7">
        <w:rPr>
          <w:rFonts w:ascii="Palatino Linotype" w:eastAsia="Palatino Linotype" w:hAnsi="Palatino Linotype" w:cs="Palatino Linotype"/>
          <w:sz w:val="24"/>
          <w:szCs w:val="24"/>
        </w:rPr>
        <w:t xml:space="preserve">En fecha </w:t>
      </w:r>
      <w:r w:rsidRPr="002911B7">
        <w:rPr>
          <w:rFonts w:ascii="Palatino Linotype" w:eastAsia="Palatino Linotype" w:hAnsi="Palatino Linotype" w:cs="Palatino Linotype"/>
          <w:b/>
          <w:sz w:val="24"/>
          <w:szCs w:val="24"/>
        </w:rPr>
        <w:t>veintiséis y veintiocho de abril de dos mil veintitrés</w:t>
      </w:r>
      <w:r w:rsidRPr="002911B7">
        <w:rPr>
          <w:rFonts w:ascii="Palatino Linotype" w:eastAsia="Palatino Linotype" w:hAnsi="Palatino Linotype" w:cs="Palatino Linotype"/>
          <w:sz w:val="24"/>
          <w:szCs w:val="24"/>
        </w:rPr>
        <w:t xml:space="preserve">, el Sujeto Obligado rindió su informe justificado a través de los oficios que se describen a continuación: </w:t>
      </w:r>
    </w:p>
    <w:p w:rsidR="00422DDA" w:rsidRPr="002911B7" w:rsidRDefault="00422DD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422DDA" w:rsidRPr="002911B7" w:rsidRDefault="00DC6E11">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11B7">
        <w:rPr>
          <w:rFonts w:ascii="Palatino Linotype" w:eastAsia="Palatino Linotype" w:hAnsi="Palatino Linotype" w:cs="Palatino Linotype"/>
        </w:rPr>
        <w:t xml:space="preserve">Oficio de fecha veinticinco de abril de dos mil veintitrés, signado por el Tesorero Municipal, mediante el cual informó lo siguiente: </w:t>
      </w:r>
    </w:p>
    <w:p w:rsidR="00422DDA" w:rsidRPr="002911B7" w:rsidRDefault="00422DDA">
      <w:pPr>
        <w:pBdr>
          <w:top w:val="nil"/>
          <w:left w:val="nil"/>
          <w:bottom w:val="nil"/>
          <w:right w:val="nil"/>
          <w:between w:val="nil"/>
        </w:pBdr>
        <w:spacing w:after="0" w:line="360" w:lineRule="auto"/>
        <w:ind w:left="780" w:right="49"/>
        <w:jc w:val="both"/>
        <w:rPr>
          <w:rFonts w:ascii="Palatino Linotype" w:eastAsia="Palatino Linotype" w:hAnsi="Palatino Linotype" w:cs="Palatino Linotype"/>
        </w:rPr>
      </w:pPr>
    </w:p>
    <w:p w:rsidR="00422DDA" w:rsidRPr="002911B7" w:rsidRDefault="00DC6E11">
      <w:pPr>
        <w:pBdr>
          <w:top w:val="nil"/>
          <w:left w:val="nil"/>
          <w:bottom w:val="nil"/>
          <w:right w:val="nil"/>
          <w:between w:val="nil"/>
        </w:pBdr>
        <w:spacing w:after="0" w:line="360" w:lineRule="auto"/>
        <w:ind w:left="780" w:right="49"/>
        <w:jc w:val="both"/>
        <w:rPr>
          <w:rFonts w:ascii="Palatino Linotype" w:eastAsia="Palatino Linotype" w:hAnsi="Palatino Linotype" w:cs="Palatino Linotype"/>
        </w:rPr>
      </w:pPr>
      <w:r w:rsidRPr="002911B7">
        <w:rPr>
          <w:rFonts w:ascii="Palatino Linotype" w:eastAsia="Palatino Linotype" w:hAnsi="Palatino Linotype" w:cs="Palatino Linotype"/>
          <w:noProof/>
        </w:rPr>
        <w:lastRenderedPageBreak/>
        <w:drawing>
          <wp:inline distT="0" distB="0" distL="0" distR="0">
            <wp:extent cx="4991797" cy="3677163"/>
            <wp:effectExtent l="0" t="0" r="0" b="0"/>
            <wp:docPr id="103890755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991797" cy="3677163"/>
                    </a:xfrm>
                    <a:prstGeom prst="rect">
                      <a:avLst/>
                    </a:prstGeom>
                    <a:ln/>
                  </pic:spPr>
                </pic:pic>
              </a:graphicData>
            </a:graphic>
          </wp:inline>
        </w:drawing>
      </w:r>
    </w:p>
    <w:p w:rsidR="00422DDA" w:rsidRPr="002911B7" w:rsidRDefault="00DC6E11">
      <w:pPr>
        <w:pBdr>
          <w:top w:val="nil"/>
          <w:left w:val="nil"/>
          <w:bottom w:val="nil"/>
          <w:right w:val="nil"/>
          <w:between w:val="nil"/>
        </w:pBdr>
        <w:spacing w:after="0" w:line="360" w:lineRule="auto"/>
        <w:ind w:left="780" w:right="49"/>
        <w:jc w:val="both"/>
        <w:rPr>
          <w:rFonts w:ascii="Palatino Linotype" w:eastAsia="Palatino Linotype" w:hAnsi="Palatino Linotype" w:cs="Palatino Linotype"/>
        </w:rPr>
      </w:pPr>
      <w:r w:rsidRPr="002911B7">
        <w:rPr>
          <w:rFonts w:ascii="Palatino Linotype" w:eastAsia="Palatino Linotype" w:hAnsi="Palatino Linotype" w:cs="Palatino Linotype"/>
          <w:noProof/>
        </w:rPr>
        <w:drawing>
          <wp:inline distT="0" distB="0" distL="0" distR="0">
            <wp:extent cx="4982270" cy="2286319"/>
            <wp:effectExtent l="0" t="0" r="0" b="0"/>
            <wp:docPr id="10389075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982270" cy="2286319"/>
                    </a:xfrm>
                    <a:prstGeom prst="rect">
                      <a:avLst/>
                    </a:prstGeom>
                    <a:ln/>
                  </pic:spPr>
                </pic:pic>
              </a:graphicData>
            </a:graphic>
          </wp:inline>
        </w:drawing>
      </w:r>
    </w:p>
    <w:p w:rsidR="00422DDA" w:rsidRPr="002911B7" w:rsidRDefault="00DC6E11">
      <w:pPr>
        <w:pBdr>
          <w:top w:val="nil"/>
          <w:left w:val="nil"/>
          <w:bottom w:val="nil"/>
          <w:right w:val="nil"/>
          <w:between w:val="nil"/>
        </w:pBdr>
        <w:spacing w:after="0" w:line="360" w:lineRule="auto"/>
        <w:ind w:left="780" w:right="49"/>
        <w:jc w:val="center"/>
        <w:rPr>
          <w:rFonts w:ascii="Palatino Linotype" w:eastAsia="Palatino Linotype" w:hAnsi="Palatino Linotype" w:cs="Palatino Linotype"/>
        </w:rPr>
      </w:pPr>
      <w:r w:rsidRPr="002911B7">
        <w:rPr>
          <w:rFonts w:ascii="Palatino Linotype" w:eastAsia="Palatino Linotype" w:hAnsi="Palatino Linotype" w:cs="Palatino Linotype"/>
        </w:rPr>
        <w:t>…</w:t>
      </w:r>
    </w:p>
    <w:p w:rsidR="00422DDA" w:rsidRPr="002911B7" w:rsidRDefault="00DC6E11">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911B7">
        <w:rPr>
          <w:rFonts w:ascii="Palatino Linotype" w:eastAsia="Palatino Linotype" w:hAnsi="Palatino Linotype" w:cs="Palatino Linotype"/>
        </w:rPr>
        <w:t xml:space="preserve">Oficio de fecha veintisiete de abril de dos mil veintitrés, signado por el Director General de Informática mediante el cual informa que el reporte de incidencia técnica </w:t>
      </w:r>
      <w:r w:rsidRPr="002911B7">
        <w:rPr>
          <w:rFonts w:ascii="Palatino Linotype" w:eastAsia="Palatino Linotype" w:hAnsi="Palatino Linotype" w:cs="Palatino Linotype"/>
        </w:rPr>
        <w:lastRenderedPageBreak/>
        <w:t xml:space="preserve">ha quedado registrado en la bitácora de incidencias, toda vez que se trata de subir un peso de 667 GB, lo cual sobrepasa las capacidades técnicas del Sistema SAIMEX.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Documentos que se pusieron a disposición del Particular en fecha </w:t>
      </w:r>
      <w:r w:rsidRPr="002911B7">
        <w:rPr>
          <w:rFonts w:ascii="Palatino Linotype" w:eastAsia="Palatino Linotype" w:hAnsi="Palatino Linotype" w:cs="Palatino Linotype"/>
          <w:b/>
          <w:sz w:val="24"/>
          <w:szCs w:val="24"/>
        </w:rPr>
        <w:t xml:space="preserve">dos de mayo de dos mil veintitrés.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El Particular no realizó manifestaciones al respecto.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8. Cierre de instrucción</w:t>
      </w:r>
      <w:r w:rsidRPr="002911B7">
        <w:rPr>
          <w:rFonts w:ascii="Palatino Linotype" w:eastAsia="Palatino Linotype" w:hAnsi="Palatino Linotype" w:cs="Palatino Linotype"/>
          <w:sz w:val="24"/>
          <w:szCs w:val="24"/>
        </w:rPr>
        <w:t xml:space="preserve">. En fecha </w:t>
      </w:r>
      <w:r w:rsidRPr="002911B7">
        <w:rPr>
          <w:rFonts w:ascii="Palatino Linotype" w:eastAsia="Palatino Linotype" w:hAnsi="Palatino Linotype" w:cs="Palatino Linotype"/>
          <w:b/>
          <w:sz w:val="24"/>
          <w:szCs w:val="24"/>
        </w:rPr>
        <w:t>nueve de mayo de dos mil veintitrés</w:t>
      </w:r>
      <w:r w:rsidRPr="002911B7">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rsidR="00422DDA" w:rsidRPr="002911B7" w:rsidRDefault="00422DD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FC0A32" w:rsidRPr="002911B7" w:rsidRDefault="00FC0A32" w:rsidP="00FC0A32">
      <w:pPr>
        <w:numPr>
          <w:ilvl w:val="0"/>
          <w:numId w:val="7"/>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Ampliación de plazo:</w:t>
      </w:r>
      <w:r w:rsidRPr="002911B7">
        <w:rPr>
          <w:rFonts w:ascii="Palatino Linotype" w:eastAsia="Palatino Linotype" w:hAnsi="Palatino Linotype" w:cs="Palatino Linotype"/>
          <w:sz w:val="24"/>
          <w:szCs w:val="24"/>
        </w:rPr>
        <w:t xml:space="preserve"> El </w:t>
      </w:r>
      <w:r w:rsidRPr="002911B7">
        <w:rPr>
          <w:rFonts w:ascii="Palatino Linotype" w:eastAsia="Palatino Linotype" w:hAnsi="Palatino Linotype" w:cs="Palatino Linotype"/>
          <w:b/>
          <w:sz w:val="24"/>
          <w:szCs w:val="24"/>
        </w:rPr>
        <w:t>once de mayo de dos mil veintitrés</w:t>
      </w:r>
      <w:r w:rsidRPr="002911B7">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FC0A32" w:rsidRPr="002911B7" w:rsidRDefault="00FC0A32" w:rsidP="00FC0A32">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rsidR="00FC0A32" w:rsidRPr="002911B7" w:rsidRDefault="00FC0A32" w:rsidP="00FC0A32">
      <w:pPr>
        <w:spacing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w:t>
      </w:r>
      <w:r w:rsidRPr="002911B7">
        <w:rPr>
          <w:rFonts w:ascii="Palatino Linotype" w:eastAsia="Palatino Linotype" w:hAnsi="Palatino Linotype" w:cs="Palatino Linotype"/>
          <w:sz w:val="24"/>
          <w:szCs w:val="24"/>
        </w:rPr>
        <w:lastRenderedPageBreak/>
        <w:t>circunstancia atípica que ha rebasado las capacidades técnicas y humanas del personal encargado de la proyección de las resoluciones a dichos medios de impugnación.</w:t>
      </w: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 </w:t>
      </w: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p>
    <w:p w:rsidR="00FC0A32" w:rsidRPr="002911B7" w:rsidRDefault="00FC0A32" w:rsidP="00FC0A32">
      <w:pPr>
        <w:tabs>
          <w:tab w:val="left" w:pos="709"/>
        </w:tabs>
        <w:spacing w:after="0" w:line="360" w:lineRule="auto"/>
        <w:ind w:left="567" w:right="560"/>
        <w:jc w:val="both"/>
        <w:rPr>
          <w:rFonts w:ascii="Palatino Linotype" w:eastAsia="Palatino Linotype" w:hAnsi="Palatino Linotype" w:cs="Palatino Linotype"/>
        </w:rPr>
      </w:pPr>
      <w:r w:rsidRPr="002911B7">
        <w:rPr>
          <w:rFonts w:ascii="Palatino Linotype" w:eastAsia="Palatino Linotype" w:hAnsi="Palatino Linotype" w:cs="Palatino Linotype"/>
          <w:b/>
          <w:sz w:val="24"/>
          <w:szCs w:val="24"/>
        </w:rPr>
        <w:lastRenderedPageBreak/>
        <w:t>a</w:t>
      </w:r>
      <w:r w:rsidRPr="002911B7">
        <w:rPr>
          <w:rFonts w:ascii="Palatino Linotype" w:eastAsia="Palatino Linotype" w:hAnsi="Palatino Linotype" w:cs="Palatino Linotype"/>
          <w:b/>
        </w:rPr>
        <w:t>)    Complejidad del asunto:</w:t>
      </w:r>
      <w:r w:rsidRPr="002911B7">
        <w:rPr>
          <w:rFonts w:ascii="Palatino Linotype" w:eastAsia="Palatino Linotype" w:hAnsi="Palatino Linotype" w:cs="Palatino Linotype"/>
        </w:rPr>
        <w:t xml:space="preserve"> La complejidad de la prueba, la pluralidad de sujetos procesales, el tiempo transcurrido, las características y contexto del recurso.</w:t>
      </w:r>
    </w:p>
    <w:p w:rsidR="00FC0A32" w:rsidRPr="002911B7" w:rsidRDefault="00FC0A32" w:rsidP="00FC0A32">
      <w:pPr>
        <w:tabs>
          <w:tab w:val="left" w:pos="709"/>
        </w:tabs>
        <w:spacing w:after="0" w:line="360" w:lineRule="auto"/>
        <w:ind w:left="567" w:right="560"/>
        <w:jc w:val="both"/>
        <w:rPr>
          <w:rFonts w:ascii="Palatino Linotype" w:eastAsia="Palatino Linotype" w:hAnsi="Palatino Linotype" w:cs="Palatino Linotype"/>
        </w:rPr>
      </w:pPr>
      <w:r w:rsidRPr="002911B7">
        <w:rPr>
          <w:rFonts w:ascii="Palatino Linotype" w:eastAsia="Palatino Linotype" w:hAnsi="Palatino Linotype" w:cs="Palatino Linotype"/>
          <w:b/>
        </w:rPr>
        <w:t>b)   Actividad Procesal del interesado</w:t>
      </w:r>
      <w:r w:rsidRPr="002911B7">
        <w:rPr>
          <w:rFonts w:ascii="Palatino Linotype" w:eastAsia="Palatino Linotype" w:hAnsi="Palatino Linotype" w:cs="Palatino Linotype"/>
        </w:rPr>
        <w:t>: Acciones u omisiones del interesado.</w:t>
      </w:r>
    </w:p>
    <w:p w:rsidR="00FC0A32" w:rsidRPr="002911B7" w:rsidRDefault="00FC0A32" w:rsidP="00FC0A32">
      <w:pPr>
        <w:tabs>
          <w:tab w:val="left" w:pos="851"/>
        </w:tabs>
        <w:spacing w:after="0" w:line="360" w:lineRule="auto"/>
        <w:ind w:left="567" w:right="560"/>
        <w:jc w:val="both"/>
        <w:rPr>
          <w:rFonts w:ascii="Palatino Linotype" w:eastAsia="Palatino Linotype" w:hAnsi="Palatino Linotype" w:cs="Palatino Linotype"/>
        </w:rPr>
      </w:pPr>
      <w:r w:rsidRPr="002911B7">
        <w:rPr>
          <w:rFonts w:ascii="Palatino Linotype" w:eastAsia="Palatino Linotype" w:hAnsi="Palatino Linotype" w:cs="Palatino Linotype"/>
          <w:b/>
        </w:rPr>
        <w:t>c)  Conducta de la Autoridad:</w:t>
      </w:r>
      <w:r w:rsidRPr="002911B7">
        <w:rPr>
          <w:rFonts w:ascii="Palatino Linotype" w:eastAsia="Palatino Linotype" w:hAnsi="Palatino Linotype" w:cs="Palatino Linotype"/>
        </w:rPr>
        <w:t xml:space="preserve"> Las Acciones u omisiones realizadas en el procedimiento. Así como si la autoridad actuó con la debida diligencia.</w:t>
      </w:r>
    </w:p>
    <w:p w:rsidR="00FC0A32" w:rsidRPr="002911B7" w:rsidRDefault="00FC0A32" w:rsidP="00FC0A32">
      <w:pPr>
        <w:tabs>
          <w:tab w:val="left" w:pos="851"/>
        </w:tabs>
        <w:spacing w:after="0" w:line="360" w:lineRule="auto"/>
        <w:ind w:left="567" w:right="560"/>
        <w:jc w:val="both"/>
        <w:rPr>
          <w:rFonts w:ascii="Palatino Linotype" w:eastAsia="Palatino Linotype" w:hAnsi="Palatino Linotype" w:cs="Palatino Linotype"/>
        </w:rPr>
      </w:pPr>
      <w:r w:rsidRPr="002911B7">
        <w:rPr>
          <w:rFonts w:ascii="Palatino Linotype" w:eastAsia="Palatino Linotype" w:hAnsi="Palatino Linotype" w:cs="Palatino Linotype"/>
          <w:b/>
        </w:rPr>
        <w:t>d) La afectación generada en la situación jurídica de la persona involucrada en el proceso:</w:t>
      </w:r>
      <w:r w:rsidRPr="002911B7">
        <w:rPr>
          <w:rFonts w:ascii="Palatino Linotype" w:eastAsia="Palatino Linotype" w:hAnsi="Palatino Linotype" w:cs="Palatino Linotype"/>
        </w:rPr>
        <w:t xml:space="preserve"> Violación a sus derechos humanos.</w:t>
      </w:r>
    </w:p>
    <w:p w:rsidR="00FC0A32" w:rsidRPr="002911B7" w:rsidRDefault="00FC0A32" w:rsidP="00FC0A32">
      <w:pPr>
        <w:tabs>
          <w:tab w:val="left" w:pos="851"/>
        </w:tabs>
        <w:spacing w:after="0" w:line="360" w:lineRule="auto"/>
        <w:ind w:left="567" w:right="560"/>
        <w:jc w:val="both"/>
        <w:rPr>
          <w:rFonts w:ascii="Palatino Linotype" w:eastAsia="Palatino Linotype" w:hAnsi="Palatino Linotype" w:cs="Palatino Linotype"/>
        </w:rPr>
      </w:pP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 </w:t>
      </w: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Argumento que encuentra sustento en la jurisprudencia P</w:t>
      </w:r>
      <w:proofErr w:type="gramStart"/>
      <w:r w:rsidRPr="002911B7">
        <w:rPr>
          <w:rFonts w:ascii="Palatino Linotype" w:eastAsia="Palatino Linotype" w:hAnsi="Palatino Linotype" w:cs="Palatino Linotype"/>
          <w:sz w:val="24"/>
          <w:szCs w:val="24"/>
        </w:rPr>
        <w:t>./</w:t>
      </w:r>
      <w:proofErr w:type="gramEnd"/>
      <w:r w:rsidRPr="002911B7">
        <w:rPr>
          <w:rFonts w:ascii="Palatino Linotype" w:eastAsia="Palatino Linotype" w:hAnsi="Palatino Linotype" w:cs="Palatino Linotype"/>
          <w:sz w:val="24"/>
          <w:szCs w:val="24"/>
        </w:rPr>
        <w:t>J. 32/92 emitida por el Pleno de la Suprema Corte de Justicia de la Nación de rubro “</w:t>
      </w:r>
      <w:r w:rsidRPr="002911B7">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2911B7">
        <w:rPr>
          <w:rFonts w:ascii="Palatino Linotype" w:eastAsia="Palatino Linotype" w:hAnsi="Palatino Linotype" w:cs="Palatino Linotype"/>
          <w:sz w:val="24"/>
          <w:szCs w:val="24"/>
        </w:rPr>
        <w:t>, visible en la Gaceta del Seminario Judicial de la Federación con el registro digital 205635.</w:t>
      </w: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 </w:t>
      </w: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p>
    <w:p w:rsidR="00FC0A32" w:rsidRPr="002911B7" w:rsidRDefault="00FC0A32" w:rsidP="00FC0A32">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FC0A32" w:rsidRPr="002911B7" w:rsidRDefault="00FC0A32" w:rsidP="00FC0A32">
      <w:pPr>
        <w:spacing w:after="0" w:line="360" w:lineRule="auto"/>
        <w:ind w:right="49"/>
        <w:jc w:val="both"/>
        <w:rPr>
          <w:rFonts w:ascii="Palatino Linotype" w:eastAsia="Palatino Linotype" w:hAnsi="Palatino Linotype" w:cs="Palatino Linotype"/>
        </w:rPr>
      </w:pPr>
      <w:r w:rsidRPr="002911B7">
        <w:rPr>
          <w:rFonts w:ascii="Palatino Linotype" w:eastAsia="Palatino Linotype" w:hAnsi="Palatino Linotype" w:cs="Palatino Linotype"/>
          <w:sz w:val="24"/>
          <w:szCs w:val="24"/>
        </w:rPr>
        <w:t xml:space="preserve"> </w:t>
      </w:r>
    </w:p>
    <w:p w:rsidR="00FC0A32" w:rsidRPr="002911B7" w:rsidRDefault="00FC0A32" w:rsidP="00FC0A32">
      <w:pPr>
        <w:spacing w:after="0" w:line="360" w:lineRule="auto"/>
        <w:ind w:left="567" w:right="560"/>
        <w:jc w:val="both"/>
        <w:rPr>
          <w:rFonts w:ascii="Palatino Linotype" w:eastAsia="Palatino Linotype" w:hAnsi="Palatino Linotype" w:cs="Palatino Linotype"/>
        </w:rPr>
      </w:pPr>
      <w:r w:rsidRPr="002911B7">
        <w:rPr>
          <w:rFonts w:ascii="Palatino Linotype" w:eastAsia="Palatino Linotype" w:hAnsi="Palatino Linotype" w:cs="Palatino Linotype"/>
          <w:b/>
        </w:rPr>
        <w:t xml:space="preserve"> “PLAZO RAZONABLE PARA RESOLVER. DIMENSIÓN Y EFECTOS DE ESTE CONCEPTO CUANDO SE ADUCE EXCESIVA CARGA DE TRABAJO.”</w:t>
      </w:r>
      <w:r w:rsidRPr="002911B7">
        <w:rPr>
          <w:rFonts w:ascii="Palatino Linotype" w:eastAsia="Palatino Linotype" w:hAnsi="Palatino Linotype" w:cs="Palatino Linotype"/>
        </w:rPr>
        <w:t xml:space="preserve"> consultable en el Seminario Judicial de la Federación y su gaceta, con el registro digital 2002351.</w:t>
      </w:r>
    </w:p>
    <w:p w:rsidR="00FC0A32" w:rsidRPr="002911B7" w:rsidRDefault="00FC0A32" w:rsidP="00FC0A32">
      <w:pPr>
        <w:spacing w:after="0" w:line="360" w:lineRule="auto"/>
        <w:ind w:left="567" w:right="560"/>
        <w:jc w:val="both"/>
        <w:rPr>
          <w:rFonts w:ascii="Palatino Linotype" w:eastAsia="Palatino Linotype" w:hAnsi="Palatino Linotype" w:cs="Palatino Linotype"/>
        </w:rPr>
      </w:pPr>
      <w:r w:rsidRPr="002911B7">
        <w:rPr>
          <w:rFonts w:ascii="Palatino Linotype" w:eastAsia="Palatino Linotype" w:hAnsi="Palatino Linotype" w:cs="Palatino Linotype"/>
        </w:rPr>
        <w:t xml:space="preserve"> </w:t>
      </w:r>
    </w:p>
    <w:p w:rsidR="00FC0A32" w:rsidRPr="002911B7" w:rsidRDefault="00FC0A32" w:rsidP="00FC0A32">
      <w:pPr>
        <w:spacing w:after="0" w:line="360" w:lineRule="auto"/>
        <w:ind w:left="567" w:right="560"/>
        <w:jc w:val="both"/>
        <w:rPr>
          <w:rFonts w:ascii="Palatino Linotype" w:eastAsia="Palatino Linotype" w:hAnsi="Palatino Linotype" w:cs="Palatino Linotype"/>
        </w:rPr>
      </w:pPr>
      <w:r w:rsidRPr="002911B7">
        <w:rPr>
          <w:rFonts w:ascii="Palatino Linotype" w:eastAsia="Palatino Linotype" w:hAnsi="Palatino Linotype" w:cs="Palatino Linotype"/>
          <w:b/>
        </w:rPr>
        <w:t>“PLAZO RAZONABLE PARA RESOLVER. CONCEPTO Y ELEMENTOS QUE LO INTEGRAN A LA LUZ DEL DERECHO INTERNACIONAL DE LOS DERECHOS HUMANOS.”,</w:t>
      </w:r>
      <w:r w:rsidRPr="002911B7">
        <w:rPr>
          <w:rFonts w:ascii="Palatino Linotype" w:eastAsia="Palatino Linotype" w:hAnsi="Palatino Linotype" w:cs="Palatino Linotype"/>
        </w:rPr>
        <w:t xml:space="preserve"> visible en el Seminario Judicial de la Federación y su gaceta, con el registro digital 2002350.</w:t>
      </w:r>
    </w:p>
    <w:p w:rsidR="00FC0A32" w:rsidRPr="002911B7" w:rsidRDefault="00FC0A32" w:rsidP="00FC0A32">
      <w:pPr>
        <w:spacing w:after="0" w:line="360" w:lineRule="auto"/>
        <w:ind w:left="567" w:right="560"/>
        <w:jc w:val="both"/>
        <w:rPr>
          <w:rFonts w:ascii="Palatino Linotype" w:eastAsia="Palatino Linotype" w:hAnsi="Palatino Linotype" w:cs="Palatino Linotype"/>
          <w:sz w:val="24"/>
          <w:szCs w:val="24"/>
        </w:rPr>
      </w:pPr>
    </w:p>
    <w:p w:rsidR="00FC0A32" w:rsidRPr="002911B7" w:rsidRDefault="00FC0A32" w:rsidP="00FC0A3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FC0A32" w:rsidRPr="002911B7" w:rsidRDefault="00FC0A3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center"/>
        <w:rPr>
          <w:rFonts w:ascii="Palatino Linotype" w:eastAsia="Palatino Linotype" w:hAnsi="Palatino Linotype" w:cs="Palatino Linotype"/>
          <w:b/>
          <w:sz w:val="24"/>
          <w:szCs w:val="24"/>
        </w:rPr>
      </w:pPr>
      <w:r w:rsidRPr="002911B7">
        <w:rPr>
          <w:rFonts w:ascii="Palatino Linotype" w:eastAsia="Palatino Linotype" w:hAnsi="Palatino Linotype" w:cs="Palatino Linotype"/>
          <w:b/>
          <w:sz w:val="24"/>
          <w:szCs w:val="24"/>
        </w:rPr>
        <w:t>II.</w:t>
      </w:r>
      <w:r w:rsidRPr="002911B7">
        <w:rPr>
          <w:rFonts w:ascii="Palatino Linotype" w:eastAsia="Palatino Linotype" w:hAnsi="Palatino Linotype" w:cs="Palatino Linotype"/>
          <w:b/>
          <w:sz w:val="24"/>
          <w:szCs w:val="24"/>
        </w:rPr>
        <w:tab/>
        <w:t>C O N S I D E R A N D O:</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Primero. Competencia.</w:t>
      </w:r>
      <w:r w:rsidRPr="002911B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 xml:space="preserve">Segundo. Oportunidad y </w:t>
      </w:r>
      <w:proofErr w:type="spellStart"/>
      <w:r w:rsidRPr="002911B7">
        <w:rPr>
          <w:rFonts w:ascii="Palatino Linotype" w:eastAsia="Palatino Linotype" w:hAnsi="Palatino Linotype" w:cs="Palatino Linotype"/>
          <w:b/>
          <w:sz w:val="24"/>
          <w:szCs w:val="24"/>
        </w:rPr>
        <w:t>Procedibilidad</w:t>
      </w:r>
      <w:proofErr w:type="spellEnd"/>
      <w:r w:rsidRPr="002911B7">
        <w:rPr>
          <w:rFonts w:ascii="Palatino Linotype" w:eastAsia="Palatino Linotype" w:hAnsi="Palatino Linotype" w:cs="Palatino Linotype"/>
          <w:b/>
          <w:sz w:val="24"/>
          <w:szCs w:val="24"/>
        </w:rPr>
        <w:t xml:space="preserve"> del Recurso de Revisión.</w:t>
      </w:r>
      <w:r w:rsidRPr="002911B7">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2911B7">
        <w:rPr>
          <w:rFonts w:ascii="Palatino Linotype" w:eastAsia="Palatino Linotype" w:hAnsi="Palatino Linotype" w:cs="Palatino Linotype"/>
          <w:sz w:val="24"/>
          <w:szCs w:val="24"/>
        </w:rPr>
        <w:lastRenderedPageBreak/>
        <w:t>procedibilidad</w:t>
      </w:r>
      <w:proofErr w:type="spellEnd"/>
      <w:r w:rsidRPr="002911B7">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2911B7">
        <w:rPr>
          <w:rFonts w:ascii="Palatino Linotype" w:eastAsia="Palatino Linotype" w:hAnsi="Palatino Linotype" w:cs="Palatino Linotype"/>
          <w:b/>
          <w:sz w:val="24"/>
          <w:szCs w:val="24"/>
        </w:rPr>
        <w:t>SUJETO OBLIGADO</w:t>
      </w:r>
      <w:r w:rsidRPr="002911B7">
        <w:rPr>
          <w:rFonts w:ascii="Palatino Linotype" w:eastAsia="Palatino Linotype" w:hAnsi="Palatino Linotype" w:cs="Palatino Linotype"/>
          <w:sz w:val="24"/>
          <w:szCs w:val="24"/>
        </w:rPr>
        <w:t xml:space="preserve"> remitió la respuesta a la solicitud de información el </w:t>
      </w:r>
      <w:r w:rsidRPr="002911B7">
        <w:rPr>
          <w:rFonts w:ascii="Palatino Linotype" w:eastAsia="Palatino Linotype" w:hAnsi="Palatino Linotype" w:cs="Palatino Linotype"/>
          <w:b/>
          <w:sz w:val="24"/>
          <w:szCs w:val="24"/>
        </w:rPr>
        <w:t>siete de diciembre de dos mil veintidós</w:t>
      </w:r>
      <w:r w:rsidRPr="002911B7">
        <w:rPr>
          <w:rFonts w:ascii="Palatino Linotype" w:eastAsia="Palatino Linotype" w:hAnsi="Palatino Linotype" w:cs="Palatino Linotype"/>
          <w:sz w:val="24"/>
          <w:szCs w:val="24"/>
        </w:rPr>
        <w:t xml:space="preserve">, mientras que el recurso de revisión interpuesto por la parte </w:t>
      </w:r>
      <w:r w:rsidRPr="002911B7">
        <w:rPr>
          <w:rFonts w:ascii="Palatino Linotype" w:eastAsia="Palatino Linotype" w:hAnsi="Palatino Linotype" w:cs="Palatino Linotype"/>
          <w:b/>
          <w:sz w:val="24"/>
          <w:szCs w:val="24"/>
        </w:rPr>
        <w:t xml:space="preserve">RECURRENTE </w:t>
      </w:r>
      <w:r w:rsidRPr="002911B7">
        <w:rPr>
          <w:rFonts w:ascii="Palatino Linotype" w:eastAsia="Palatino Linotype" w:hAnsi="Palatino Linotype" w:cs="Palatino Linotype"/>
          <w:sz w:val="24"/>
          <w:szCs w:val="24"/>
        </w:rPr>
        <w:t xml:space="preserve">se tuvo por presentado el mismo día en que tuvo conocimiento de la respuesta.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422DDA" w:rsidRPr="002911B7" w:rsidRDefault="00422DD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422DDA" w:rsidRPr="002911B7" w:rsidRDefault="00DC6E11">
      <w:pPr>
        <w:pBdr>
          <w:top w:val="nil"/>
          <w:left w:val="nil"/>
          <w:bottom w:val="nil"/>
          <w:right w:val="nil"/>
          <w:between w:val="nil"/>
        </w:pBdr>
        <w:spacing w:before="120" w:after="12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rPr>
        <w:t>“RECURSO DE RECLAMACIÓN. SU INTERPOSICIÓN NO ES EXTEMPORÁNEA SI SE REALIZA ANTES DE QUE INICIE EL PLAZO PARA HACERLO</w:t>
      </w:r>
      <w:r w:rsidRPr="002911B7">
        <w:rPr>
          <w:rFonts w:ascii="Palatino Linotype" w:eastAsia="Palatino Linotype" w:hAnsi="Palatino Linotype" w:cs="Palatino Linotype"/>
          <w:i/>
        </w:rPr>
        <w:t xml:space="preserve">. Conforme al artículo 104, párrafo segundo, de la Ley de Amparo, el recurso de reclamación podrá interponerse por cualquiera de las partes, por escrito, dentro del </w:t>
      </w:r>
      <w:r w:rsidRPr="002911B7">
        <w:rPr>
          <w:rFonts w:ascii="Palatino Linotype" w:eastAsia="Palatino Linotype" w:hAnsi="Palatino Linotype" w:cs="Palatino Linotype"/>
          <w:i/>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22DDA" w:rsidRPr="002911B7" w:rsidRDefault="00422DDA">
      <w:pPr>
        <w:pBdr>
          <w:top w:val="nil"/>
          <w:left w:val="nil"/>
          <w:bottom w:val="nil"/>
          <w:right w:val="nil"/>
          <w:between w:val="nil"/>
        </w:pBdr>
        <w:spacing w:before="120" w:after="120" w:line="276" w:lineRule="auto"/>
        <w:ind w:left="567" w:right="843"/>
        <w:jc w:val="both"/>
        <w:rPr>
          <w:rFonts w:ascii="Palatino Linotype" w:eastAsia="Palatino Linotype" w:hAnsi="Palatino Linotype" w:cs="Palatino Linotype"/>
          <w:i/>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2911B7">
        <w:rPr>
          <w:rFonts w:ascii="Palatino Linotype" w:eastAsia="Palatino Linotype" w:hAnsi="Palatino Linotype" w:cs="Palatino Linotype"/>
          <w:b/>
          <w:sz w:val="24"/>
          <w:szCs w:val="24"/>
        </w:rPr>
        <w:t>SUJETO OBLIGADO</w:t>
      </w:r>
      <w:r w:rsidRPr="002911B7">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Es de suma importancia mencionar que si bien la parte no proporcionó un nombre o seudónimo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"Las solicitudes </w:t>
      </w:r>
      <w:r w:rsidRPr="002911B7">
        <w:rPr>
          <w:rFonts w:ascii="Palatino Linotype" w:eastAsia="Palatino Linotype" w:hAnsi="Palatino Linotype" w:cs="Palatino Linotype"/>
          <w:b/>
          <w:i/>
          <w:u w:val="single"/>
        </w:rPr>
        <w:t>anónimas</w:t>
      </w:r>
      <w:r w:rsidRPr="002911B7">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2911B7">
        <w:rPr>
          <w:rFonts w:ascii="Palatino Linotype" w:eastAsia="Palatino Linotype" w:hAnsi="Palatino Linotype" w:cs="Palatino Linotype"/>
          <w:b/>
          <w:sz w:val="24"/>
          <w:szCs w:val="24"/>
        </w:rPr>
        <w:t>SAIMEX</w:t>
      </w:r>
      <w:r w:rsidRPr="002911B7">
        <w:rPr>
          <w:rFonts w:ascii="Palatino Linotype" w:eastAsia="Palatino Linotype" w:hAnsi="Palatino Linotype" w:cs="Palatino Linotype"/>
          <w:sz w:val="24"/>
          <w:szCs w:val="24"/>
        </w:rPr>
        <w:t xml:space="preserve">.  </w:t>
      </w: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lastRenderedPageBreak/>
        <w:t>Finalmente, resulta procedente la interposición del recurso de revisión al rubro anotado, toda vez que se actualizan las hipótesis de procedencia previstas en el artículo 179, fracciones I y VIII de la Ley de la materia, que a la letra dice:</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w:t>
      </w:r>
      <w:r w:rsidRPr="002911B7">
        <w:rPr>
          <w:rFonts w:ascii="Palatino Linotype" w:eastAsia="Palatino Linotype" w:hAnsi="Palatino Linotype" w:cs="Palatino Linotype"/>
          <w:b/>
          <w:i/>
        </w:rPr>
        <w:t>Artículo 179.</w:t>
      </w:r>
      <w:r w:rsidRPr="002911B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I. La negativa a la información solicitada</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VIII. La notificación, entrega o puesta a disposición de información en una modalidad o formato distinto al solicitado;”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Tercero. Materia de la revisión</w:t>
      </w:r>
      <w:r w:rsidRPr="002911B7">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Organismo Garante de Transparencia y Acceso a la Información se pronunciará será en determinar, si se actualizan las hipótesis previstas en las fracciones I y VIII del artículo 179 de la Ley en la materia.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Cuarto.</w:t>
      </w:r>
      <w:r w:rsidRPr="002911B7">
        <w:rPr>
          <w:rFonts w:ascii="Palatino Linotype" w:eastAsia="Palatino Linotype" w:hAnsi="Palatino Linotype" w:cs="Palatino Linotype"/>
          <w:sz w:val="24"/>
          <w:szCs w:val="24"/>
        </w:rPr>
        <w:t xml:space="preserve"> </w:t>
      </w:r>
      <w:r w:rsidRPr="002911B7">
        <w:rPr>
          <w:rFonts w:ascii="Palatino Linotype" w:eastAsia="Palatino Linotype" w:hAnsi="Palatino Linotype" w:cs="Palatino Linotype"/>
          <w:b/>
          <w:sz w:val="24"/>
          <w:szCs w:val="24"/>
        </w:rPr>
        <w:t>Estudio de fondo del asunto.</w:t>
      </w:r>
      <w:r w:rsidRPr="002911B7">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2911B7">
        <w:rPr>
          <w:rFonts w:ascii="Palatino Linotype" w:eastAsia="Palatino Linotype" w:hAnsi="Palatino Linotype" w:cs="Palatino Linotype"/>
          <w:sz w:val="24"/>
          <w:szCs w:val="24"/>
        </w:rPr>
        <w:lastRenderedPageBreak/>
        <w:t>lo prevén los arábigos 1 párrafos primero, segundo y tercero y 6 apartado A fracciones I, II, III, IV, V, VI y VII que a la letra señalan:</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b/>
          <w:i/>
        </w:rPr>
        <w:t>Artículo 1o.</w:t>
      </w:r>
      <w:r w:rsidRPr="002911B7">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w:t>
      </w:r>
    </w:p>
    <w:p w:rsidR="00422DDA" w:rsidRPr="002911B7" w:rsidRDefault="00DC6E11">
      <w:pPr>
        <w:spacing w:after="0" w:line="276" w:lineRule="auto"/>
        <w:ind w:left="567" w:right="560"/>
        <w:jc w:val="both"/>
        <w:rPr>
          <w:rFonts w:ascii="Palatino Linotype" w:eastAsia="Palatino Linotype" w:hAnsi="Palatino Linotype" w:cs="Palatino Linotype"/>
          <w:b/>
          <w:i/>
        </w:rPr>
      </w:pPr>
      <w:r w:rsidRPr="002911B7">
        <w:rPr>
          <w:rFonts w:ascii="Palatino Linotype" w:eastAsia="Palatino Linotype" w:hAnsi="Palatino Linotype" w:cs="Palatino Linotype"/>
          <w:b/>
          <w:i/>
        </w:rPr>
        <w:t>“Artículo 6o.</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lastRenderedPageBreak/>
        <w:t xml:space="preserve"> II. La información que se refiere a la vida privada y los datos personales será protegida en los términos y con las excepciones que fijen las leyes.</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lastRenderedPageBreak/>
        <w:t>“</w:t>
      </w:r>
      <w:r w:rsidRPr="002911B7">
        <w:rPr>
          <w:rFonts w:ascii="Palatino Linotype" w:eastAsia="Palatino Linotype" w:hAnsi="Palatino Linotype" w:cs="Palatino Linotype"/>
          <w:b/>
          <w:i/>
        </w:rPr>
        <w:t>Artículo 4.</w:t>
      </w:r>
      <w:r w:rsidRPr="002911B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422DDA" w:rsidRPr="002911B7" w:rsidRDefault="00422DDA">
      <w:pPr>
        <w:spacing w:after="0" w:line="360" w:lineRule="auto"/>
        <w:ind w:left="567" w:right="560"/>
        <w:jc w:val="both"/>
        <w:rPr>
          <w:rFonts w:ascii="Palatino Linotype" w:eastAsia="Palatino Linotype" w:hAnsi="Palatino Linotype" w:cs="Palatino Linotype"/>
          <w:i/>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w:t>
      </w:r>
      <w:r w:rsidRPr="002911B7">
        <w:rPr>
          <w:rFonts w:ascii="Palatino Linotype" w:eastAsia="Palatino Linotype" w:hAnsi="Palatino Linotype" w:cs="Palatino Linotype"/>
          <w:b/>
          <w:i/>
        </w:rPr>
        <w:t>Artículo 12.</w:t>
      </w:r>
      <w:r w:rsidRPr="002911B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lastRenderedPageBreak/>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560"/>
        <w:jc w:val="both"/>
        <w:rPr>
          <w:rFonts w:ascii="Palatino Linotype" w:eastAsia="Palatino Linotype" w:hAnsi="Palatino Linotype" w:cs="Palatino Linotype"/>
          <w:b/>
          <w:i/>
        </w:rPr>
      </w:pPr>
      <w:r w:rsidRPr="002911B7">
        <w:rPr>
          <w:rFonts w:ascii="Palatino Linotype" w:eastAsia="Palatino Linotype" w:hAnsi="Palatino Linotype" w:cs="Palatino Linotype"/>
          <w:b/>
          <w:i/>
        </w:rPr>
        <w:t>Criterio 03/17</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b/>
          <w:i/>
        </w:rPr>
        <w:t xml:space="preserve">“NO EXISTE OBLIGACIÓN DE ELABORAR DOCUMENTOS AD HOC PARA ATENDER LAS SOLICITUDES DE ACCESO A LA INFORMACIÓN. </w:t>
      </w:r>
      <w:r w:rsidRPr="002911B7">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22DDA" w:rsidRPr="002911B7" w:rsidRDefault="00422DDA">
      <w:pPr>
        <w:spacing w:after="0" w:line="360" w:lineRule="auto"/>
        <w:ind w:left="567" w:right="560"/>
        <w:jc w:val="both"/>
        <w:rPr>
          <w:rFonts w:ascii="Palatino Linotype" w:eastAsia="Palatino Linotype" w:hAnsi="Palatino Linotype" w:cs="Palatino Linotype"/>
          <w:b/>
          <w:i/>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w:t>
      </w:r>
      <w:r w:rsidRPr="002911B7">
        <w:rPr>
          <w:rFonts w:ascii="Palatino Linotype" w:eastAsia="Palatino Linotype" w:hAnsi="Palatino Linotype" w:cs="Palatino Linotype"/>
          <w:sz w:val="24"/>
          <w:szCs w:val="24"/>
        </w:rPr>
        <w:lastRenderedPageBreak/>
        <w:t>lo que implica que es deber de los Sujetos Obligados, garantizar el Derecho de Acceso a la Información Pública.</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22DDA" w:rsidRPr="002911B7" w:rsidRDefault="00422DDA">
      <w:pPr>
        <w:spacing w:after="0" w:line="360" w:lineRule="auto"/>
        <w:ind w:left="567" w:right="560"/>
        <w:jc w:val="both"/>
        <w:rPr>
          <w:rFonts w:ascii="Palatino Linotype" w:eastAsia="Palatino Linotype" w:hAnsi="Palatino Linotype" w:cs="Palatino Linotype"/>
          <w:i/>
        </w:rPr>
      </w:pP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w:t>
      </w:r>
      <w:r w:rsidRPr="002911B7">
        <w:rPr>
          <w:rFonts w:ascii="Palatino Linotype" w:eastAsia="Palatino Linotype" w:hAnsi="Palatino Linotype" w:cs="Palatino Linotype"/>
          <w:b/>
          <w:i/>
        </w:rPr>
        <w:t>Artículo 3.</w:t>
      </w:r>
      <w:r w:rsidRPr="002911B7">
        <w:rPr>
          <w:rFonts w:ascii="Palatino Linotype" w:eastAsia="Palatino Linotype" w:hAnsi="Palatino Linotype" w:cs="Palatino Linotype"/>
          <w:i/>
        </w:rPr>
        <w:t xml:space="preserve"> Para los efectos de la presente Ley se entenderá por:</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b/>
          <w:i/>
        </w:rPr>
        <w:t>XI. Documento:</w:t>
      </w:r>
      <w:r w:rsidRPr="002911B7">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2911B7">
        <w:rPr>
          <w:rFonts w:ascii="Palatino Linotype" w:eastAsia="Palatino Linotype" w:hAnsi="Palatino Linotype" w:cs="Palatino Linotype"/>
          <w:i/>
        </w:rPr>
        <w:lastRenderedPageBreak/>
        <w:t>servidores públicos e integrantes, sin importar su fuente o fecha de elaboración. Los documentos podrán estar en cualquier medio, sea escrito, impreso, sonoro, visual, electrónico, informático u holográfico…” (Sic)</w:t>
      </w:r>
    </w:p>
    <w:p w:rsidR="00422DDA" w:rsidRPr="002911B7" w:rsidRDefault="00422DDA">
      <w:pPr>
        <w:spacing w:after="0" w:line="276" w:lineRule="auto"/>
        <w:ind w:left="567" w:right="560"/>
        <w:jc w:val="both"/>
        <w:rPr>
          <w:rFonts w:ascii="Palatino Linotype" w:eastAsia="Palatino Linotype" w:hAnsi="Palatino Linotype" w:cs="Palatino Linotype"/>
          <w:i/>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560"/>
        <w:jc w:val="both"/>
        <w:rPr>
          <w:rFonts w:ascii="Palatino Linotype" w:eastAsia="Palatino Linotype" w:hAnsi="Palatino Linotype" w:cs="Palatino Linotype"/>
          <w:b/>
          <w:i/>
        </w:rPr>
      </w:pPr>
      <w:r w:rsidRPr="002911B7">
        <w:rPr>
          <w:rFonts w:ascii="Palatino Linotype" w:eastAsia="Palatino Linotype" w:hAnsi="Palatino Linotype" w:cs="Palatino Linotype"/>
          <w:i/>
        </w:rPr>
        <w:t>“</w:t>
      </w:r>
      <w:r w:rsidRPr="002911B7">
        <w:rPr>
          <w:rFonts w:ascii="Palatino Linotype" w:eastAsia="Palatino Linotype" w:hAnsi="Palatino Linotype" w:cs="Palatino Linotype"/>
          <w:b/>
          <w:i/>
        </w:rPr>
        <w:t>CRITERIO 0002-11</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2911B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En consecuencia el acceso a la información se refiere a que se cumplan cualquiera de los siguientes tres supuestos:</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1)</w:t>
      </w:r>
      <w:r w:rsidRPr="002911B7">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2)</w:t>
      </w:r>
      <w:r w:rsidRPr="002911B7">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w:t>
      </w:r>
      <w:r w:rsidRPr="002911B7">
        <w:rPr>
          <w:rFonts w:ascii="Palatino Linotype" w:eastAsia="Palatino Linotype" w:hAnsi="Palatino Linotype" w:cs="Palatino Linotype"/>
          <w:sz w:val="24"/>
          <w:szCs w:val="24"/>
        </w:rPr>
        <w:lastRenderedPageBreak/>
        <w:t>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De las actuaciones que integran el expediente electrónico, se procede al análisis de los agravios hechos valer por el Recurrente, relativos a la negativa a la información solicitada y la notificación, entrega o puesta a disposición de información en una modalidad o formato distinto al solicitado, lo que actualiza las causales de procedencia previstas en las fracciones I y VIII del artículo 179 de la Ley de Transparencia y Acceso a la Información Pública del Estado de México y Municipios.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numPr>
          <w:ilvl w:val="0"/>
          <w:numId w:val="4"/>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b/>
        </w:rPr>
      </w:pPr>
      <w:r w:rsidRPr="002911B7">
        <w:rPr>
          <w:rFonts w:ascii="Palatino Linotype" w:eastAsia="Palatino Linotype" w:hAnsi="Palatino Linotype" w:cs="Palatino Linotype"/>
          <w:b/>
        </w:rPr>
        <w:t>Comprobantes de pago del impuesto sobre diversiones y espectáculos públicos</w:t>
      </w:r>
    </w:p>
    <w:p w:rsidR="00422DDA" w:rsidRPr="002911B7" w:rsidRDefault="00422DDA">
      <w:pPr>
        <w:pBdr>
          <w:top w:val="nil"/>
          <w:left w:val="nil"/>
          <w:bottom w:val="nil"/>
          <w:right w:val="nil"/>
          <w:between w:val="nil"/>
        </w:pBdr>
        <w:tabs>
          <w:tab w:val="left" w:pos="851"/>
          <w:tab w:val="left" w:pos="993"/>
        </w:tabs>
        <w:spacing w:after="0" w:line="360" w:lineRule="auto"/>
        <w:ind w:left="567" w:right="49"/>
        <w:jc w:val="both"/>
        <w:rPr>
          <w:rFonts w:ascii="Palatino Linotype" w:eastAsia="Palatino Linotype" w:hAnsi="Palatino Linotype" w:cs="Palatino Linotype"/>
          <w:b/>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El Sujeto Obligado, a través de su Tesorero Municipal refirió que la información solicitada sobrepasaba las capacidades técnicas, administrativas y humanas tanto de la unidad administrativa, como del Sistema de Acceso a la Información Mexiquense.</w:t>
      </w: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Derivado de ello, el Particular se inconformó arguyendo que el Sujeto Obligado cambiaba de manera indebida la entrega de la información a consulta directa, situación que viola el derecho de acceso a la información pública.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Posteriormente, mediante informe justificado, el Sujeto Obligado ratificó su respuesta inicial,  arguyendo que la información solicitada excedía la capacidad del Sistema de Acceso a la Información Mexiquense, que una parte de la información se encontraba digitalizada y la mayoría en físico, que únicamente se contaba con una persona para realizar el trabajo de búsqueda, escaneo y revisión de la información, es por lo que, se ponía a disposición del particular la información en todas las modalidades de almacenamiento o en su caso, en consulta directa y también, adjuntó el oficio signado por la Dirección General de Informática de este Organismo Garante en el cual se mencionaba la incidencia registrada por el Sujeto Obligado.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Dicho lo anterior, en principio, es necesario señalar que el Particular no refirió la temporalidad de la cual deseaba obtener la información, por lo que, de conformidad con el Criterio 03/19 emitido por el Instituto Nacional de Transparencia, Acceso a la Información y Protección de Datos Personales, cuando se adviertan elementos que permitan identificar la temporalidad de la información solicitada, esta se referirá al año inmediato anterior a partir de la fecha en que se presentó la solicitud de información, tal como se advierte a continuación:</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rPr>
        <w:t xml:space="preserve">Periodo de búsqueda de la información. </w:t>
      </w:r>
      <w:r w:rsidRPr="002911B7">
        <w:rPr>
          <w:rFonts w:ascii="Palatino Linotype" w:eastAsia="Palatino Linotype" w:hAnsi="Palatino Linotype" w:cs="Palatino Linotype"/>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lastRenderedPageBreak/>
        <w:t xml:space="preserve">En ese entendido, se colige que el Particular requiere obtener los </w:t>
      </w:r>
      <w:r w:rsidRPr="002911B7">
        <w:rPr>
          <w:rFonts w:ascii="Palatino Linotype" w:eastAsia="Palatino Linotype" w:hAnsi="Palatino Linotype" w:cs="Palatino Linotype"/>
          <w:b/>
          <w:sz w:val="24"/>
          <w:szCs w:val="24"/>
        </w:rPr>
        <w:t xml:space="preserve">comprobantes de pago del impuesto sobre diversiones y espectáculos públicos del quince de agosto de dos mil veintiuno al quince de agosto de dos mil veintidós.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Referido esto, resulta importante traer a colación lo que establece el Glosario de Términos Hacendarios que emite el Instituto Hacendario del Estado de México, se entiende como </w:t>
      </w:r>
      <w:r w:rsidRPr="002911B7">
        <w:rPr>
          <w:rFonts w:ascii="Palatino Linotype" w:eastAsia="Palatino Linotype" w:hAnsi="Palatino Linotype" w:cs="Palatino Linotype"/>
          <w:b/>
          <w:i/>
          <w:sz w:val="24"/>
          <w:szCs w:val="24"/>
        </w:rPr>
        <w:t xml:space="preserve">“comprobante” </w:t>
      </w:r>
      <w:r w:rsidRPr="002911B7">
        <w:rPr>
          <w:rFonts w:ascii="Palatino Linotype" w:eastAsia="Palatino Linotype" w:hAnsi="Palatino Linotype" w:cs="Palatino Linotype"/>
          <w:sz w:val="24"/>
          <w:szCs w:val="24"/>
        </w:rPr>
        <w:t>al documento que sirve de prueba</w:t>
      </w:r>
      <w:r w:rsidRPr="002911B7">
        <w:rPr>
          <w:rFonts w:ascii="Palatino Linotype" w:eastAsia="Palatino Linotype" w:hAnsi="Palatino Linotype" w:cs="Palatino Linotype"/>
          <w:b/>
          <w:sz w:val="24"/>
          <w:szCs w:val="24"/>
        </w:rPr>
        <w:t xml:space="preserve"> </w:t>
      </w:r>
      <w:r w:rsidRPr="002911B7">
        <w:rPr>
          <w:rFonts w:ascii="Palatino Linotype" w:eastAsia="Palatino Linotype" w:hAnsi="Palatino Linotype" w:cs="Palatino Linotype"/>
          <w:sz w:val="24"/>
          <w:szCs w:val="24"/>
        </w:rPr>
        <w:t xml:space="preserve">de un desembolso en efectivo; ejemplos: una factura pagada, un cheque cancelado, un recibo de caja chica, una copia al carbón de un cheque, en otras palabras, </w:t>
      </w:r>
      <w:r w:rsidRPr="002911B7">
        <w:rPr>
          <w:rFonts w:ascii="Palatino Linotype" w:eastAsia="Palatino Linotype" w:hAnsi="Palatino Linotype" w:cs="Palatino Linotype"/>
          <w:b/>
          <w:sz w:val="24"/>
          <w:szCs w:val="24"/>
          <w:u w:val="single"/>
        </w:rPr>
        <w:t xml:space="preserve">es el documento que sirve como evidencia respecto al desembolso del efectivo. </w:t>
      </w:r>
    </w:p>
    <w:p w:rsidR="00422DDA" w:rsidRPr="002911B7" w:rsidRDefault="00422DDA">
      <w:pPr>
        <w:spacing w:after="0" w:line="360" w:lineRule="auto"/>
        <w:ind w:right="-7"/>
        <w:jc w:val="both"/>
        <w:rPr>
          <w:rFonts w:ascii="Palatino Linotype" w:eastAsia="Palatino Linotype" w:hAnsi="Palatino Linotype" w:cs="Palatino Linotype"/>
          <w:sz w:val="24"/>
          <w:szCs w:val="24"/>
        </w:rPr>
      </w:pPr>
    </w:p>
    <w:p w:rsidR="00422DDA" w:rsidRPr="002911B7" w:rsidRDefault="00DC6E11">
      <w:pPr>
        <w:spacing w:after="0" w:line="360" w:lineRule="auto"/>
        <w:ind w:right="-7"/>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En relación con lo solicitado, el pago del impuesto sobre juegos y espectáculos públicos es un impuesto al que están obligados las personas físicas y jurídicas colectivas que obtengan ingresos por la explotación de juegos y espectáculos públicos, de conformidad con el artículo 122 y sus consecutivos del Código Financiero del Estado de México y Municipios, que a la letra establece lo siguiente:</w:t>
      </w:r>
    </w:p>
    <w:p w:rsidR="00422DDA" w:rsidRPr="002911B7" w:rsidRDefault="00DC6E11">
      <w:pPr>
        <w:spacing w:after="0" w:line="360" w:lineRule="auto"/>
        <w:ind w:right="-7"/>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 </w:t>
      </w: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rPr>
        <w:t>Artículo 122.-</w:t>
      </w:r>
      <w:r w:rsidRPr="002911B7">
        <w:rPr>
          <w:rFonts w:ascii="Palatino Linotype" w:eastAsia="Palatino Linotype" w:hAnsi="Palatino Linotype" w:cs="Palatino Linotype"/>
          <w:i/>
        </w:rPr>
        <w:t xml:space="preserve"> Están obligadas al pago de este impuesto las personas físicas o jurídicas colectivas que obtengan ingresos por la explotación de juegos y espectáculos públicos. Para efectos de este impuesto se entenderá como:</w:t>
      </w:r>
    </w:p>
    <w:p w:rsidR="00422DDA" w:rsidRPr="002911B7" w:rsidRDefault="00422DDA">
      <w:pPr>
        <w:spacing w:after="0" w:line="240" w:lineRule="auto"/>
        <w:ind w:left="567" w:right="843"/>
        <w:jc w:val="both"/>
        <w:rPr>
          <w:rFonts w:ascii="Palatino Linotype" w:eastAsia="Palatino Linotype" w:hAnsi="Palatino Linotype" w:cs="Palatino Linotype"/>
          <w:i/>
        </w:rPr>
      </w:pP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 I. Juego.- Las máquinas o aparatos de recreación o azar autorizados, cuya finalidad es la diversión o entretenimiento de las personas que mediante el pago de cierta suma de dinero tienen acceso a ellos. </w:t>
      </w:r>
    </w:p>
    <w:p w:rsidR="00422DDA" w:rsidRPr="002911B7" w:rsidRDefault="00422DDA">
      <w:pPr>
        <w:spacing w:after="0" w:line="240" w:lineRule="auto"/>
        <w:ind w:left="567" w:right="843"/>
        <w:jc w:val="both"/>
        <w:rPr>
          <w:rFonts w:ascii="Palatino Linotype" w:eastAsia="Palatino Linotype" w:hAnsi="Palatino Linotype" w:cs="Palatino Linotype"/>
          <w:i/>
        </w:rPr>
      </w:pP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II. Espectáculo público.- Toda función, evento, exposiciones, exhibiciones, ferias y actos de esparcimiento, sean teatrales, deportivos, musicales o de cualquier otra naturaleza </w:t>
      </w:r>
      <w:r w:rsidRPr="002911B7">
        <w:rPr>
          <w:rFonts w:ascii="Palatino Linotype" w:eastAsia="Palatino Linotype" w:hAnsi="Palatino Linotype" w:cs="Palatino Linotype"/>
          <w:i/>
        </w:rPr>
        <w:lastRenderedPageBreak/>
        <w:t>semejante que se verifiquen en teatros, calles, plazas, locales abiertos o cerrados y que para presenciarlos se cobre una determinada cantidad de dinero.</w:t>
      </w:r>
    </w:p>
    <w:p w:rsidR="00422DDA" w:rsidRPr="002911B7" w:rsidRDefault="00422DDA">
      <w:pPr>
        <w:spacing w:after="0" w:line="240" w:lineRule="auto"/>
        <w:ind w:left="567" w:right="843"/>
        <w:jc w:val="both"/>
        <w:rPr>
          <w:rFonts w:ascii="Palatino Linotype" w:eastAsia="Palatino Linotype" w:hAnsi="Palatino Linotype" w:cs="Palatino Linotype"/>
          <w:i/>
        </w:rPr>
      </w:pP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Los Ayuntamientos por acuerdo de Cabildo podrán destinar un porcentaje de los ingresos que se obtengan de la celebración de espectáculos públicos, al Sistema Municipal para el Desarrollo Integral de la Familia. </w:t>
      </w:r>
    </w:p>
    <w:p w:rsidR="00422DDA" w:rsidRPr="002911B7" w:rsidRDefault="00422DDA">
      <w:pPr>
        <w:spacing w:after="0" w:line="240" w:lineRule="auto"/>
        <w:ind w:left="567" w:right="843"/>
        <w:jc w:val="both"/>
        <w:rPr>
          <w:rFonts w:ascii="Palatino Linotype" w:eastAsia="Palatino Linotype" w:hAnsi="Palatino Linotype" w:cs="Palatino Linotype"/>
          <w:i/>
        </w:rPr>
      </w:pP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rPr>
        <w:t>Artículo 123.-</w:t>
      </w:r>
      <w:r w:rsidRPr="002911B7">
        <w:rPr>
          <w:rFonts w:ascii="Palatino Linotype" w:eastAsia="Palatino Linotype" w:hAnsi="Palatino Linotype" w:cs="Palatino Linotype"/>
          <w:i/>
        </w:rPr>
        <w:t xml:space="preserve"> Este impuesto se calculará y determinará aplicando al total de los ingresos percibidos, durante el período de explotación autorizado, la siguiente tarifa: </w:t>
      </w:r>
    </w:p>
    <w:p w:rsidR="00422DDA" w:rsidRPr="002911B7" w:rsidRDefault="00422DDA">
      <w:pPr>
        <w:spacing w:after="0" w:line="240" w:lineRule="auto"/>
        <w:ind w:left="567" w:right="843"/>
        <w:jc w:val="both"/>
        <w:rPr>
          <w:rFonts w:ascii="Palatino Linotype" w:eastAsia="Palatino Linotype" w:hAnsi="Palatino Linotype" w:cs="Palatino Linotype"/>
          <w:i/>
        </w:rPr>
      </w:pP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I. Tratándose de juegos mecánicos, destreza, azar o simuladores explotados por personas físicas o jurídicas colectivas que no cuenten con establecimiento debidamente constituido, la tasa del 10%. Cuando se trate de juegos mecánicos, destreza, azar o simuladores explotados por personas físicas o jurídicas colectivas que cuenten con establecimiento debidamente constituido, la tasa del 5%. </w:t>
      </w:r>
    </w:p>
    <w:p w:rsidR="00422DDA" w:rsidRPr="002911B7" w:rsidRDefault="00422DDA">
      <w:pPr>
        <w:spacing w:after="0" w:line="240" w:lineRule="auto"/>
        <w:ind w:left="567" w:right="843"/>
        <w:jc w:val="both"/>
        <w:rPr>
          <w:rFonts w:ascii="Palatino Linotype" w:eastAsia="Palatino Linotype" w:hAnsi="Palatino Linotype" w:cs="Palatino Linotype"/>
          <w:i/>
        </w:rPr>
      </w:pP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II. Tratándose de espectáculos públicos explotados por personas físicas o jurídicas colectivas que no cuenten con establecimiento debidamente constituido, la tasa del 10%. Cuando se trate de espectáculos públicos explotados por personas físicas o jurídicas colectivas que cuenten con establecimiento debidamente constituido, la tasa del 5%. III. Tratándose de espectáculos públicos de tipo cultural, teatral y circense la tasa del 3%. </w:t>
      </w:r>
    </w:p>
    <w:p w:rsidR="00422DDA" w:rsidRPr="002911B7" w:rsidRDefault="00422DDA">
      <w:pPr>
        <w:spacing w:after="0" w:line="240" w:lineRule="auto"/>
        <w:ind w:left="567" w:right="843"/>
        <w:jc w:val="both"/>
        <w:rPr>
          <w:rFonts w:ascii="Palatino Linotype" w:eastAsia="Palatino Linotype" w:hAnsi="Palatino Linotype" w:cs="Palatino Linotype"/>
          <w:i/>
        </w:rPr>
      </w:pP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La tesorería autorizará la venta de boletos que se utilicen para el acceso a un espectáculo público, incluyendo los de cortesía, los cuales en ambos casos, deberán ser foliados progresivamente, contener código de barras en su caso, precios de cada localidad con número y letra, lugar, fecha y horario del evento. </w:t>
      </w:r>
    </w:p>
    <w:p w:rsidR="00422DDA" w:rsidRPr="002911B7" w:rsidRDefault="00422DDA">
      <w:pPr>
        <w:spacing w:after="0" w:line="240" w:lineRule="auto"/>
        <w:ind w:left="567" w:right="843"/>
        <w:jc w:val="both"/>
        <w:rPr>
          <w:rFonts w:ascii="Palatino Linotype" w:eastAsia="Palatino Linotype" w:hAnsi="Palatino Linotype" w:cs="Palatino Linotype"/>
          <w:i/>
        </w:rPr>
      </w:pP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Se deberá informar previamente a la autoridad fiscalizadora, el sistema a utilizar para la venta de boletos por medios electrónicos, a fin de realizar la determinación del impuesto.</w:t>
      </w:r>
    </w:p>
    <w:p w:rsidR="00422DDA" w:rsidRPr="002911B7" w:rsidRDefault="00422DDA">
      <w:pPr>
        <w:spacing w:after="0" w:line="240" w:lineRule="auto"/>
        <w:ind w:left="567" w:right="843"/>
        <w:jc w:val="both"/>
        <w:rPr>
          <w:rFonts w:ascii="Palatino Linotype" w:eastAsia="Palatino Linotype" w:hAnsi="Palatino Linotype" w:cs="Palatino Linotype"/>
          <w:i/>
        </w:rPr>
      </w:pP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Previo a la autorización de diversiones, juegos y espectáculos públicos, los organizadores de los mismos deberán exhibir, ante la Tesorería Municipal, el 100% del impuesto, considerando el aforo establecido en las autorizaciones, de acuerdo con la capacidad física del lugar. </w:t>
      </w:r>
    </w:p>
    <w:p w:rsidR="00422DDA" w:rsidRPr="002911B7" w:rsidRDefault="00422DDA">
      <w:pPr>
        <w:spacing w:after="0" w:line="240" w:lineRule="auto"/>
        <w:ind w:left="567" w:right="843"/>
        <w:jc w:val="both"/>
        <w:rPr>
          <w:rFonts w:ascii="Palatino Linotype" w:eastAsia="Palatino Linotype" w:hAnsi="Palatino Linotype" w:cs="Palatino Linotype"/>
          <w:i/>
        </w:rPr>
      </w:pP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Los boletos de cortesía no excederán del 5% del boletaje vendido. </w:t>
      </w:r>
    </w:p>
    <w:p w:rsidR="00422DDA" w:rsidRPr="002911B7" w:rsidRDefault="00DC6E11">
      <w:pPr>
        <w:spacing w:after="0" w:line="240"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Las máquinas de entretenimiento de audio, vídeo, vídeo juegos, eléctricas y electrónicas, mesas de aire, futbolitos, y los juegos de computadora que se activen con monedas, fichas, </w:t>
      </w:r>
      <w:r w:rsidRPr="002911B7">
        <w:rPr>
          <w:rFonts w:ascii="Palatino Linotype" w:eastAsia="Palatino Linotype" w:hAnsi="Palatino Linotype" w:cs="Palatino Linotype"/>
          <w:i/>
        </w:rPr>
        <w:lastRenderedPageBreak/>
        <w:t xml:space="preserve">tarjetas magnéticas o cualquier otro dispositivo y que impliquen interacción de uno o varios usuarios con dichas máquinas o aparatos, pagarán mensualmente 2.0 veces el valor diario de la Unidad de Medida y Actualización vigente por cada una. </w:t>
      </w:r>
    </w:p>
    <w:p w:rsidR="00422DDA" w:rsidRPr="002911B7" w:rsidRDefault="00422DDA">
      <w:pPr>
        <w:spacing w:after="0" w:line="240" w:lineRule="auto"/>
        <w:ind w:left="567" w:right="843"/>
        <w:jc w:val="both"/>
        <w:rPr>
          <w:rFonts w:ascii="Palatino Linotype" w:eastAsia="Palatino Linotype" w:hAnsi="Palatino Linotype" w:cs="Palatino Linotype"/>
          <w:i/>
        </w:rPr>
      </w:pPr>
    </w:p>
    <w:p w:rsidR="00422DDA" w:rsidRPr="002911B7" w:rsidRDefault="00DC6E11">
      <w:pPr>
        <w:spacing w:after="0" w:line="240" w:lineRule="auto"/>
        <w:ind w:left="567" w:right="843"/>
        <w:jc w:val="both"/>
        <w:rPr>
          <w:rFonts w:ascii="Palatino Linotype" w:eastAsia="Palatino Linotype" w:hAnsi="Palatino Linotype" w:cs="Palatino Linotype"/>
          <w:i/>
          <w:sz w:val="24"/>
          <w:szCs w:val="24"/>
        </w:rPr>
      </w:pPr>
      <w:r w:rsidRPr="002911B7">
        <w:rPr>
          <w:rFonts w:ascii="Palatino Linotype" w:eastAsia="Palatino Linotype" w:hAnsi="Palatino Linotype" w:cs="Palatino Linotype"/>
          <w:b/>
          <w:i/>
        </w:rPr>
        <w:t>Artículo 124.-</w:t>
      </w:r>
      <w:r w:rsidRPr="002911B7">
        <w:rPr>
          <w:rFonts w:ascii="Palatino Linotype" w:eastAsia="Palatino Linotype" w:hAnsi="Palatino Linotype" w:cs="Palatino Linotype"/>
          <w:i/>
        </w:rPr>
        <w:t xml:space="preserve"> Los contribuyentes que habitualmente realicen actividades por las que se cause este impuesto lo pagarán dentro de los primeros diecisiete días de cada mes; y quienes realicen actividades que lo causen de manera temporal lo deberán pagar diario en la tesorería.</w:t>
      </w:r>
    </w:p>
    <w:p w:rsidR="00422DDA" w:rsidRPr="002911B7" w:rsidRDefault="00422DDA">
      <w:pPr>
        <w:spacing w:after="0" w:line="360" w:lineRule="auto"/>
        <w:ind w:right="-7"/>
        <w:jc w:val="both"/>
        <w:rPr>
          <w:rFonts w:ascii="Palatino Linotype" w:eastAsia="Palatino Linotype" w:hAnsi="Palatino Linotype" w:cs="Palatino Linotype"/>
          <w:sz w:val="24"/>
          <w:szCs w:val="24"/>
        </w:rPr>
      </w:pPr>
    </w:p>
    <w:p w:rsidR="00422DDA" w:rsidRPr="002911B7" w:rsidRDefault="00DC6E11">
      <w:pPr>
        <w:spacing w:after="0" w:line="360" w:lineRule="auto"/>
        <w:ind w:right="-7"/>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Hasta aquí se tienen las siguientes consideraciones:</w:t>
      </w:r>
    </w:p>
    <w:p w:rsidR="00422DDA" w:rsidRPr="002911B7" w:rsidRDefault="00422DDA">
      <w:pPr>
        <w:spacing w:after="0" w:line="360" w:lineRule="auto"/>
        <w:ind w:right="-7"/>
        <w:jc w:val="both"/>
        <w:rPr>
          <w:rFonts w:ascii="Palatino Linotype" w:eastAsia="Palatino Linotype" w:hAnsi="Palatino Linotype" w:cs="Palatino Linotype"/>
          <w:sz w:val="24"/>
          <w:szCs w:val="24"/>
        </w:rPr>
      </w:pPr>
    </w:p>
    <w:p w:rsidR="00422DDA" w:rsidRPr="002911B7" w:rsidRDefault="00DC6E11">
      <w:pPr>
        <w:numPr>
          <w:ilvl w:val="0"/>
          <w:numId w:val="4"/>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2911B7">
        <w:rPr>
          <w:rFonts w:ascii="Palatino Linotype" w:eastAsia="Palatino Linotype" w:hAnsi="Palatino Linotype" w:cs="Palatino Linotype"/>
        </w:rPr>
        <w:t xml:space="preserve">Las personas que obtengan ingresos por la explotación de juegos y espectáculos públicos deberán pagar el impuesto sobre diversiones, juegos y espectáculos. </w:t>
      </w:r>
    </w:p>
    <w:p w:rsidR="00422DDA" w:rsidRPr="002911B7" w:rsidRDefault="00DC6E11">
      <w:pPr>
        <w:numPr>
          <w:ilvl w:val="0"/>
          <w:numId w:val="4"/>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2911B7">
        <w:rPr>
          <w:rFonts w:ascii="Palatino Linotype" w:eastAsia="Palatino Linotype" w:hAnsi="Palatino Linotype" w:cs="Palatino Linotype"/>
        </w:rPr>
        <w:t xml:space="preserve">El impuesto se calculará y determinará aplicando al total de los ingresos percibidos. </w:t>
      </w:r>
    </w:p>
    <w:p w:rsidR="00422DDA" w:rsidRPr="002911B7" w:rsidRDefault="00DC6E11">
      <w:pPr>
        <w:numPr>
          <w:ilvl w:val="0"/>
          <w:numId w:val="4"/>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2911B7">
        <w:rPr>
          <w:rFonts w:ascii="Palatino Linotype" w:eastAsia="Palatino Linotype" w:hAnsi="Palatino Linotype" w:cs="Palatino Linotype"/>
        </w:rPr>
        <w:t xml:space="preserve">El impuesto deberá ser pagado durante los primeros diecisiete días de cada mes, por quienes realicen actividades que lo causen.  </w:t>
      </w:r>
    </w:p>
    <w:p w:rsidR="00422DDA" w:rsidRPr="002911B7" w:rsidRDefault="00422DDA">
      <w:pPr>
        <w:pBdr>
          <w:top w:val="nil"/>
          <w:left w:val="nil"/>
          <w:bottom w:val="nil"/>
          <w:right w:val="nil"/>
          <w:between w:val="nil"/>
        </w:pBdr>
        <w:spacing w:after="0" w:line="360" w:lineRule="auto"/>
        <w:ind w:left="1080" w:right="-7"/>
        <w:jc w:val="both"/>
        <w:rPr>
          <w:rFonts w:ascii="Palatino Linotype" w:eastAsia="Palatino Linotype" w:hAnsi="Palatino Linotype" w:cs="Palatino Linotype"/>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En tal contexto, el Código Financiero del Estado de México, establece en su artículo 344 lo siguiente: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rPr>
        <w:t>Artículo 344.-</w:t>
      </w:r>
      <w:r w:rsidRPr="002911B7">
        <w:rPr>
          <w:rFonts w:ascii="Palatino Linotype" w:eastAsia="Palatino Linotype" w:hAnsi="Palatino Linotype" w:cs="Palatino Linotype"/>
          <w:i/>
        </w:rPr>
        <w:t xml:space="preserve"> </w:t>
      </w:r>
      <w:r w:rsidRPr="002911B7">
        <w:rPr>
          <w:rFonts w:ascii="Palatino Linotype" w:eastAsia="Palatino Linotype" w:hAnsi="Palatino Linotype" w:cs="Palatino Linotype"/>
          <w:b/>
          <w:i/>
          <w:u w:val="single"/>
        </w:rPr>
        <w:t>Los Entes Públicos, a través de cualquiera de sus unidades administrativas</w:t>
      </w:r>
      <w:r w:rsidRPr="002911B7">
        <w:rPr>
          <w:rFonts w:ascii="Palatino Linotype" w:eastAsia="Palatino Linotype" w:hAnsi="Palatino Linotype" w:cs="Palatino Linotype"/>
          <w:i/>
        </w:rPr>
        <w:t xml:space="preserve">, de acuerdo con su naturaleza jurídica y según corresponda, </w:t>
      </w:r>
      <w:r w:rsidRPr="002911B7">
        <w:rPr>
          <w:rFonts w:ascii="Palatino Linotype" w:eastAsia="Palatino Linotype" w:hAnsi="Palatino Linotype" w:cs="Palatino Linotype"/>
          <w:b/>
          <w:i/>
          <w:u w:val="single"/>
        </w:rPr>
        <w:t>registrarán contablemente el efecto patrimonial y presupuestal de las operaciones financieras que realicen, en el momento en que ocurran, con base en el sistema y políticas de registro establecidas</w:t>
      </w:r>
      <w:r w:rsidRPr="002911B7">
        <w:rPr>
          <w:rFonts w:ascii="Palatino Linotype" w:eastAsia="Palatino Linotype" w:hAnsi="Palatino Linotype" w:cs="Palatino Linotype"/>
          <w:i/>
        </w:rPr>
        <w:t xml:space="preserve">, en el caso de los Municipios, se hará por la Tesorería. </w:t>
      </w:r>
    </w:p>
    <w:p w:rsidR="00422DDA" w:rsidRPr="002911B7" w:rsidRDefault="00422DDA">
      <w:pPr>
        <w:spacing w:after="0" w:line="276" w:lineRule="auto"/>
        <w:ind w:left="567" w:right="843"/>
        <w:jc w:val="both"/>
        <w:rPr>
          <w:rFonts w:ascii="Palatino Linotype" w:eastAsia="Palatino Linotype" w:hAnsi="Palatino Linotype" w:cs="Palatino Linotype"/>
          <w:i/>
        </w:rPr>
      </w:pP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u w:val="single"/>
        </w:rPr>
        <w:t>Todo registro contable y presupuestal deberá estar soportado con los documentos comprobatorios originales o en medios electrónicos, los que deberán permanecer en custodia y conservación</w:t>
      </w:r>
      <w:r w:rsidRPr="002911B7">
        <w:rPr>
          <w:rFonts w:ascii="Palatino Linotype" w:eastAsia="Palatino Linotype" w:hAnsi="Palatino Linotype" w:cs="Palatino Linotype"/>
          <w:i/>
        </w:rPr>
        <w:t xml:space="preserve"> de los Entes Públicos a través de las unidades administrativas que ejercieron el gasto y a disposición de los Órganos de </w:t>
      </w:r>
      <w:r w:rsidRPr="002911B7">
        <w:rPr>
          <w:rFonts w:ascii="Palatino Linotype" w:eastAsia="Palatino Linotype" w:hAnsi="Palatino Linotype" w:cs="Palatino Linotype"/>
          <w:i/>
        </w:rPr>
        <w:lastRenderedPageBreak/>
        <w:t xml:space="preserve">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rsidR="00422DDA" w:rsidRPr="002911B7" w:rsidRDefault="00422DDA">
      <w:pPr>
        <w:spacing w:after="0" w:line="276" w:lineRule="auto"/>
        <w:ind w:left="567" w:right="843"/>
        <w:jc w:val="both"/>
        <w:rPr>
          <w:rFonts w:ascii="Palatino Linotype" w:eastAsia="Palatino Linotype" w:hAnsi="Palatino Linotype" w:cs="Palatino Linotype"/>
          <w:i/>
        </w:rPr>
      </w:pP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Tratándose de documentos de carácter histórico, se estará a lo dispuesto por la legislación de la materia.</w:t>
      </w:r>
    </w:p>
    <w:p w:rsidR="00422DDA" w:rsidRPr="002911B7" w:rsidRDefault="00422DDA">
      <w:pPr>
        <w:spacing w:after="0" w:line="360" w:lineRule="auto"/>
        <w:ind w:right="49"/>
        <w:jc w:val="both"/>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2911B7">
        <w:rPr>
          <w:rFonts w:ascii="Palatino Linotype" w:eastAsia="Palatino Linotype" w:hAnsi="Palatino Linotype" w:cs="Palatino Linotype"/>
          <w:i/>
          <w:sz w:val="24"/>
          <w:szCs w:val="24"/>
        </w:rPr>
        <w:t>Glosario de Términos Administrativos</w:t>
      </w:r>
      <w:r w:rsidRPr="002911B7">
        <w:rPr>
          <w:rFonts w:ascii="Palatino Linotype" w:eastAsia="Palatino Linotype" w:hAnsi="Palatino Linotype" w:cs="Palatino Linotype"/>
          <w:sz w:val="24"/>
          <w:szCs w:val="24"/>
        </w:rPr>
        <w:t xml:space="preserve"> y el </w:t>
      </w:r>
      <w:r w:rsidRPr="002911B7">
        <w:rPr>
          <w:rFonts w:ascii="Palatino Linotype" w:eastAsia="Palatino Linotype" w:hAnsi="Palatino Linotype" w:cs="Palatino Linotype"/>
          <w:i/>
          <w:sz w:val="24"/>
          <w:szCs w:val="24"/>
        </w:rPr>
        <w:t xml:space="preserve">Glosario de Términos para el Proceso de Planeación, Programación, </w:t>
      </w:r>
      <w:proofErr w:type="spellStart"/>
      <w:r w:rsidRPr="002911B7">
        <w:rPr>
          <w:rFonts w:ascii="Palatino Linotype" w:eastAsia="Palatino Linotype" w:hAnsi="Palatino Linotype" w:cs="Palatino Linotype"/>
          <w:i/>
          <w:sz w:val="24"/>
          <w:szCs w:val="24"/>
        </w:rPr>
        <w:t>Presupuestación</w:t>
      </w:r>
      <w:proofErr w:type="spellEnd"/>
      <w:r w:rsidRPr="002911B7">
        <w:rPr>
          <w:rFonts w:ascii="Palatino Linotype" w:eastAsia="Palatino Linotype" w:hAnsi="Palatino Linotype" w:cs="Palatino Linotype"/>
          <w:i/>
          <w:sz w:val="24"/>
          <w:szCs w:val="24"/>
        </w:rPr>
        <w:t xml:space="preserve"> y Evaluación en la Administración Pública</w:t>
      </w:r>
      <w:r w:rsidRPr="002911B7">
        <w:rPr>
          <w:rFonts w:ascii="Palatino Linotype" w:eastAsia="Palatino Linotype" w:hAnsi="Palatino Linotype" w:cs="Palatino Linotype"/>
          <w:sz w:val="24"/>
          <w:szCs w:val="24"/>
        </w:rPr>
        <w:t xml:space="preserve">, definen los registros como: </w:t>
      </w:r>
    </w:p>
    <w:p w:rsidR="00422DDA" w:rsidRPr="002911B7" w:rsidRDefault="00422DDA">
      <w:pPr>
        <w:spacing w:after="0" w:line="360" w:lineRule="auto"/>
        <w:ind w:left="567" w:right="560"/>
        <w:jc w:val="both"/>
        <w:rPr>
          <w:rFonts w:ascii="Palatino Linotype" w:eastAsia="Palatino Linotype" w:hAnsi="Palatino Linotype" w:cs="Palatino Linotype"/>
          <w:i/>
        </w:rPr>
      </w:pP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b/>
          <w:i/>
        </w:rPr>
        <w:t xml:space="preserve">Registro contable. </w:t>
      </w:r>
      <w:r w:rsidRPr="002911B7">
        <w:rPr>
          <w:rFonts w:ascii="Palatino Linotype" w:eastAsia="Palatino Linotype" w:hAnsi="Palatino Linotype" w:cs="Palatino Linotype"/>
          <w:i/>
        </w:rPr>
        <w:t xml:space="preserve">Asiento que se realiza en los libros de contabilidad de las actividades relacionadas con el ingreso y egreso de un ente económico. </w:t>
      </w:r>
    </w:p>
    <w:p w:rsidR="00422DDA" w:rsidRPr="002911B7" w:rsidRDefault="00422DDA">
      <w:pPr>
        <w:spacing w:after="0" w:line="276" w:lineRule="auto"/>
        <w:ind w:left="567" w:right="560"/>
        <w:jc w:val="both"/>
        <w:rPr>
          <w:rFonts w:ascii="Palatino Linotype" w:eastAsia="Palatino Linotype" w:hAnsi="Palatino Linotype" w:cs="Palatino Linotype"/>
          <w:i/>
        </w:rPr>
      </w:pP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b/>
          <w:i/>
        </w:rPr>
        <w:t xml:space="preserve">Registro Presupuestario. </w:t>
      </w:r>
      <w:r w:rsidRPr="002911B7">
        <w:rPr>
          <w:rFonts w:ascii="Palatino Linotype" w:eastAsia="Palatino Linotype" w:hAnsi="Palatino Linotype" w:cs="Palatino Linotype"/>
          <w:i/>
        </w:rPr>
        <w:t xml:space="preserve">Asiento contable de las erogaciones realizadas por las dependencias y entidades con relación a la asignación, modificación y ejercicio de los recursos presupuestarios que se les hayan autorizado.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De los preceptos citados, se colige que los entes fiscalizables</w:t>
      </w:r>
      <w:r w:rsidRPr="002911B7">
        <w:rPr>
          <w:rFonts w:ascii="Palatino Linotype" w:eastAsia="Palatino Linotype" w:hAnsi="Palatino Linotype" w:cs="Palatino Linotype"/>
          <w:b/>
          <w:sz w:val="24"/>
          <w:szCs w:val="24"/>
          <w:u w:val="single"/>
        </w:rPr>
        <w:t xml:space="preserve"> deben contar con una unidad administrativa que registra contablemente el efecto patrimonial y presupuestal de las operaciones financieras</w:t>
      </w:r>
      <w:r w:rsidRPr="002911B7">
        <w:rPr>
          <w:rFonts w:ascii="Palatino Linotype" w:eastAsia="Palatino Linotype" w:hAnsi="Palatino Linotype" w:cs="Palatino Linotype"/>
          <w:sz w:val="24"/>
          <w:szCs w:val="24"/>
        </w:rPr>
        <w:t xml:space="preserve"> que realizan y por lo general, se encuentran en las denominadas </w:t>
      </w:r>
      <w:r w:rsidRPr="002911B7">
        <w:rPr>
          <w:rFonts w:ascii="Palatino Linotype" w:eastAsia="Palatino Linotype" w:hAnsi="Palatino Linotype" w:cs="Palatino Linotype"/>
          <w:i/>
          <w:sz w:val="24"/>
          <w:szCs w:val="24"/>
        </w:rPr>
        <w:t xml:space="preserve">pólizas contables </w:t>
      </w:r>
      <w:r w:rsidRPr="002911B7">
        <w:rPr>
          <w:rFonts w:ascii="Palatino Linotype" w:eastAsia="Palatino Linotype" w:hAnsi="Palatino Linotype" w:cs="Palatino Linotype"/>
          <w:sz w:val="24"/>
          <w:szCs w:val="24"/>
        </w:rPr>
        <w:t xml:space="preserve">las cuales son aquellos documentos </w:t>
      </w:r>
      <w:r w:rsidRPr="002911B7">
        <w:rPr>
          <w:rFonts w:ascii="Palatino Linotype" w:eastAsia="Palatino Linotype" w:hAnsi="Palatino Linotype" w:cs="Palatino Linotype"/>
          <w:sz w:val="24"/>
          <w:szCs w:val="24"/>
        </w:rPr>
        <w:lastRenderedPageBreak/>
        <w:t xml:space="preserve">en los que se asientan en forma individual todas y cada una de las operaciones desarrolladas por una institución, así como la información necesaria para la identificación de estas. </w:t>
      </w:r>
    </w:p>
    <w:p w:rsidR="00422DDA" w:rsidRPr="002911B7" w:rsidRDefault="00422DDA">
      <w:pPr>
        <w:spacing w:after="0" w:line="360" w:lineRule="auto"/>
        <w:ind w:right="-7"/>
        <w:jc w:val="both"/>
        <w:rPr>
          <w:rFonts w:ascii="Palatino Linotype" w:eastAsia="Palatino Linotype" w:hAnsi="Palatino Linotype" w:cs="Palatino Linotype"/>
          <w:sz w:val="24"/>
          <w:szCs w:val="24"/>
        </w:rPr>
      </w:pPr>
    </w:p>
    <w:p w:rsidR="00422DDA" w:rsidRPr="002911B7" w:rsidRDefault="00DC6E11">
      <w:pPr>
        <w:spacing w:after="0" w:line="360" w:lineRule="auto"/>
        <w:ind w:right="-7"/>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En lo que respecta al Sujeto Obligado, el Código de Reglamentación establece lo siguiente: </w:t>
      </w:r>
    </w:p>
    <w:p w:rsidR="00DC6E11" w:rsidRPr="002911B7" w:rsidRDefault="00DC6E11">
      <w:pPr>
        <w:spacing w:after="0" w:line="360" w:lineRule="auto"/>
        <w:ind w:right="-7"/>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rPr>
        <w:t>Artículo 3.47.-</w:t>
      </w:r>
      <w:r w:rsidRPr="002911B7">
        <w:rPr>
          <w:rFonts w:ascii="Palatino Linotype" w:eastAsia="Palatino Linotype" w:hAnsi="Palatino Linotype" w:cs="Palatino Linotype"/>
          <w:i/>
        </w:rPr>
        <w:t xml:space="preserve">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w:t>
      </w:r>
    </w:p>
    <w:p w:rsidR="00422DDA" w:rsidRPr="002911B7" w:rsidRDefault="00422DDA">
      <w:pPr>
        <w:spacing w:after="0" w:line="276" w:lineRule="auto"/>
        <w:ind w:left="567" w:right="843"/>
        <w:jc w:val="both"/>
        <w:rPr>
          <w:rFonts w:ascii="Palatino Linotype" w:eastAsia="Palatino Linotype" w:hAnsi="Palatino Linotype" w:cs="Palatino Linotype"/>
          <w:i/>
        </w:rPr>
      </w:pP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rPr>
        <w:t>Artículo 3.49.-</w:t>
      </w:r>
      <w:r w:rsidRPr="002911B7">
        <w:rPr>
          <w:rFonts w:ascii="Palatino Linotype" w:eastAsia="Palatino Linotype" w:hAnsi="Palatino Linotype" w:cs="Palatino Linotype"/>
          <w:i/>
        </w:rPr>
        <w:t xml:space="preserve"> Para el cumplimiento de sus atribuciones y facultades la Tesorería Municipal contará con: </w:t>
      </w: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I. Unidad de Apoyo Técnico; </w:t>
      </w: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rPr>
        <w:t>II. Subdirección de Ingresos;</w:t>
      </w:r>
      <w:r w:rsidRPr="002911B7">
        <w:rPr>
          <w:rFonts w:ascii="Palatino Linotype" w:eastAsia="Palatino Linotype" w:hAnsi="Palatino Linotype" w:cs="Palatino Linotype"/>
          <w:i/>
        </w:rPr>
        <w:t xml:space="preserve"> </w:t>
      </w: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III. Subdirección de Egresos; y </w:t>
      </w: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IV. Subdirección de Catastro.</w:t>
      </w:r>
    </w:p>
    <w:p w:rsidR="00422DDA" w:rsidRPr="002911B7" w:rsidRDefault="00422DDA">
      <w:pPr>
        <w:spacing w:after="0" w:line="276" w:lineRule="auto"/>
        <w:ind w:left="567" w:right="843"/>
        <w:jc w:val="both"/>
        <w:rPr>
          <w:rFonts w:ascii="Palatino Linotype" w:eastAsia="Palatino Linotype" w:hAnsi="Palatino Linotype" w:cs="Palatino Linotype"/>
          <w:i/>
        </w:rPr>
      </w:pP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rPr>
        <w:t>Artículo 3.52.-</w:t>
      </w:r>
      <w:r w:rsidRPr="002911B7">
        <w:rPr>
          <w:rFonts w:ascii="Palatino Linotype" w:eastAsia="Palatino Linotype" w:hAnsi="Palatino Linotype" w:cs="Palatino Linotype"/>
          <w:i/>
        </w:rPr>
        <w:t xml:space="preserve"> Para el cumplimiento de sus atribuciones y facultades la Subdirección de Ingresos contará con: </w:t>
      </w: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I. Caja General; y </w:t>
      </w:r>
    </w:p>
    <w:p w:rsidR="00422DDA" w:rsidRPr="002911B7" w:rsidRDefault="00DC6E11">
      <w:pPr>
        <w:spacing w:after="0" w:line="276" w:lineRule="auto"/>
        <w:ind w:left="567" w:right="843"/>
        <w:jc w:val="both"/>
        <w:rPr>
          <w:rFonts w:ascii="Palatino Linotype" w:eastAsia="Palatino Linotype" w:hAnsi="Palatino Linotype" w:cs="Palatino Linotype"/>
          <w:b/>
          <w:i/>
          <w:u w:val="single"/>
        </w:rPr>
      </w:pPr>
      <w:r w:rsidRPr="002911B7">
        <w:rPr>
          <w:rFonts w:ascii="Palatino Linotype" w:eastAsia="Palatino Linotype" w:hAnsi="Palatino Linotype" w:cs="Palatino Linotype"/>
          <w:b/>
          <w:i/>
          <w:u w:val="single"/>
        </w:rPr>
        <w:t>II. Departamento de Recaudación, Notificación y Cobro Coactivo.</w:t>
      </w:r>
    </w:p>
    <w:p w:rsidR="00422DDA" w:rsidRPr="002911B7" w:rsidRDefault="00422DDA">
      <w:pPr>
        <w:spacing w:after="0" w:line="276" w:lineRule="auto"/>
        <w:ind w:left="567" w:right="843"/>
        <w:jc w:val="both"/>
        <w:rPr>
          <w:rFonts w:ascii="Palatino Linotype" w:eastAsia="Palatino Linotype" w:hAnsi="Palatino Linotype" w:cs="Palatino Linotype"/>
          <w:b/>
          <w:i/>
          <w:u w:val="single"/>
        </w:rPr>
      </w:pP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rPr>
        <w:t>Artículo 3.54.-</w:t>
      </w:r>
      <w:r w:rsidRPr="002911B7">
        <w:rPr>
          <w:rFonts w:ascii="Palatino Linotype" w:eastAsia="Palatino Linotype" w:hAnsi="Palatino Linotype" w:cs="Palatino Linotype"/>
          <w:i/>
        </w:rPr>
        <w:t xml:space="preserve"> El Departamento de Recaudación, Notificación y Cobro Coactivo; tendrá las siguientes funciones:</w:t>
      </w: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w:t>
      </w:r>
    </w:p>
    <w:p w:rsidR="00422DDA" w:rsidRPr="002911B7" w:rsidRDefault="00DC6E11">
      <w:pPr>
        <w:spacing w:after="0" w:line="276" w:lineRule="auto"/>
        <w:ind w:left="567" w:right="843"/>
        <w:jc w:val="both"/>
        <w:rPr>
          <w:rFonts w:ascii="Palatino Linotype" w:eastAsia="Palatino Linotype" w:hAnsi="Palatino Linotype" w:cs="Palatino Linotype"/>
          <w:i/>
          <w:sz w:val="24"/>
          <w:szCs w:val="24"/>
        </w:rPr>
      </w:pPr>
      <w:r w:rsidRPr="002911B7">
        <w:rPr>
          <w:rFonts w:ascii="Palatino Linotype" w:eastAsia="Palatino Linotype" w:hAnsi="Palatino Linotype" w:cs="Palatino Linotype"/>
          <w:i/>
        </w:rPr>
        <w:lastRenderedPageBreak/>
        <w:t>XI. Determinar la cuantía de los impuestos, derechos, productos, aprovechamientos y otros ingresos municipales, de acuerdo a la normatividad aplicable para cada ejercicio fiscal;</w:t>
      </w:r>
    </w:p>
    <w:p w:rsidR="00422DDA" w:rsidRPr="002911B7" w:rsidRDefault="00422DDA">
      <w:pPr>
        <w:spacing w:after="0" w:line="276" w:lineRule="auto"/>
        <w:ind w:left="567" w:right="843"/>
        <w:jc w:val="both"/>
        <w:rPr>
          <w:rFonts w:ascii="Palatino Linotype" w:eastAsia="Palatino Linotype" w:hAnsi="Palatino Linotype" w:cs="Palatino Linotype"/>
          <w:i/>
          <w:sz w:val="24"/>
          <w:szCs w:val="24"/>
        </w:rPr>
      </w:pP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b/>
          <w:i/>
        </w:rPr>
        <w:t>Artículo 9.109.-</w:t>
      </w:r>
      <w:r w:rsidRPr="002911B7">
        <w:rPr>
          <w:rFonts w:ascii="Palatino Linotype" w:eastAsia="Palatino Linotype" w:hAnsi="Palatino Linotype" w:cs="Palatino Linotype"/>
          <w:i/>
        </w:rPr>
        <w:t xml:space="preserve"> Son atribuciones de la Tesorería Municipal </w:t>
      </w:r>
      <w:r w:rsidRPr="002911B7">
        <w:rPr>
          <w:rFonts w:ascii="Palatino Linotype" w:eastAsia="Palatino Linotype" w:hAnsi="Palatino Linotype" w:cs="Palatino Linotype"/>
          <w:b/>
          <w:i/>
          <w:u w:val="single"/>
        </w:rPr>
        <w:t>en materia de eventos públicos</w:t>
      </w:r>
      <w:r w:rsidRPr="002911B7">
        <w:rPr>
          <w:rFonts w:ascii="Palatino Linotype" w:eastAsia="Palatino Linotype" w:hAnsi="Palatino Linotype" w:cs="Palatino Linotype"/>
          <w:i/>
        </w:rPr>
        <w:t>, las siguientes:</w:t>
      </w:r>
    </w:p>
    <w:p w:rsidR="00422DDA" w:rsidRPr="002911B7" w:rsidRDefault="00422DDA">
      <w:pPr>
        <w:spacing w:after="0" w:line="276" w:lineRule="auto"/>
        <w:ind w:left="567" w:right="843"/>
        <w:jc w:val="both"/>
        <w:rPr>
          <w:rFonts w:ascii="Palatino Linotype" w:eastAsia="Palatino Linotype" w:hAnsi="Palatino Linotype" w:cs="Palatino Linotype"/>
          <w:i/>
        </w:rPr>
      </w:pP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I. Autorizar la venta de los boletos que se utilicen para el acceso a un espectáculo público, incluyendo los de cortesía los cuales, en ambos casos, deberán ser foliados progresivamente contener código de barras en su caso, precio en cada localidad con número y letra, lugar, fecha y horario del evento; </w:t>
      </w: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II. Solicitar a los organizadores de eventos públicos información sobre el sistema a utilizar para la venta de boletos por medios electrónicos a fin de realizar la determinación del impuesto; </w:t>
      </w:r>
    </w:p>
    <w:p w:rsidR="00422DDA" w:rsidRPr="002911B7" w:rsidRDefault="00DC6E11">
      <w:pPr>
        <w:spacing w:after="0" w:line="276" w:lineRule="auto"/>
        <w:ind w:left="567" w:right="843"/>
        <w:jc w:val="both"/>
        <w:rPr>
          <w:rFonts w:ascii="Palatino Linotype" w:eastAsia="Palatino Linotype" w:hAnsi="Palatino Linotype" w:cs="Palatino Linotype"/>
          <w:b/>
          <w:i/>
        </w:rPr>
      </w:pPr>
      <w:r w:rsidRPr="002911B7">
        <w:rPr>
          <w:rFonts w:ascii="Palatino Linotype" w:eastAsia="Palatino Linotype" w:hAnsi="Palatino Linotype" w:cs="Palatino Linotype"/>
          <w:b/>
          <w:i/>
        </w:rPr>
        <w:t>III. Requerir, previa autorización de las Unidades Administrativas competentes para la realización del evento el 100% del impuesto considerando el aforo establecido en las autorizaciones, de acuerdo con la capacidad física del lugar;</w:t>
      </w:r>
    </w:p>
    <w:p w:rsidR="00422DDA" w:rsidRPr="002911B7" w:rsidRDefault="00DC6E11">
      <w:pPr>
        <w:spacing w:after="0" w:line="276" w:lineRule="auto"/>
        <w:ind w:left="567" w:right="843"/>
        <w:jc w:val="both"/>
        <w:rPr>
          <w:rFonts w:ascii="Palatino Linotype" w:eastAsia="Palatino Linotype" w:hAnsi="Palatino Linotype" w:cs="Palatino Linotype"/>
          <w:i/>
        </w:rPr>
      </w:pPr>
      <w:r w:rsidRPr="002911B7">
        <w:rPr>
          <w:rFonts w:ascii="Palatino Linotype" w:eastAsia="Palatino Linotype" w:hAnsi="Palatino Linotype" w:cs="Palatino Linotype"/>
          <w:i/>
        </w:rPr>
        <w:t xml:space="preserve">IV. Inspeccionar los sistemas mecánicos y/o electrónicos para la venta o control de los boletos, en el caso de que sean utilizados, a través de los interventores que para tal efecto designe; </w:t>
      </w:r>
    </w:p>
    <w:p w:rsidR="00422DDA" w:rsidRPr="002911B7" w:rsidRDefault="00DC6E11">
      <w:pPr>
        <w:spacing w:after="0" w:line="276" w:lineRule="auto"/>
        <w:ind w:left="567" w:right="843"/>
        <w:jc w:val="both"/>
        <w:rPr>
          <w:rFonts w:ascii="Palatino Linotype" w:eastAsia="Palatino Linotype" w:hAnsi="Palatino Linotype" w:cs="Palatino Linotype"/>
          <w:b/>
          <w:i/>
          <w:u w:val="single"/>
        </w:rPr>
      </w:pPr>
      <w:r w:rsidRPr="002911B7">
        <w:rPr>
          <w:rFonts w:ascii="Palatino Linotype" w:eastAsia="Palatino Linotype" w:hAnsi="Palatino Linotype" w:cs="Palatino Linotype"/>
          <w:b/>
          <w:i/>
          <w:u w:val="single"/>
        </w:rPr>
        <w:t xml:space="preserve">V. Recaudar y expedir el comprobante de pago del impuesto sobre diversiones y espectáculos públicos de conformidad con el Código Financiero; y </w:t>
      </w:r>
    </w:p>
    <w:p w:rsidR="00422DDA" w:rsidRPr="002911B7" w:rsidRDefault="00DC6E11">
      <w:pPr>
        <w:spacing w:after="0" w:line="276" w:lineRule="auto"/>
        <w:ind w:left="567" w:right="843"/>
        <w:jc w:val="both"/>
        <w:rPr>
          <w:rFonts w:ascii="Palatino Linotype" w:eastAsia="Palatino Linotype" w:hAnsi="Palatino Linotype" w:cs="Palatino Linotype"/>
          <w:i/>
          <w:sz w:val="24"/>
          <w:szCs w:val="24"/>
        </w:rPr>
      </w:pPr>
      <w:r w:rsidRPr="002911B7">
        <w:rPr>
          <w:rFonts w:ascii="Palatino Linotype" w:eastAsia="Palatino Linotype" w:hAnsi="Palatino Linotype" w:cs="Palatino Linotype"/>
          <w:i/>
        </w:rPr>
        <w:t>VI. Las demás que le confieran el presente ordenamiento y otras disposiciones jurídicas aplicables.</w:t>
      </w:r>
    </w:p>
    <w:p w:rsidR="00422DDA" w:rsidRPr="002911B7" w:rsidRDefault="00422DDA">
      <w:pPr>
        <w:spacing w:after="0" w:line="360" w:lineRule="auto"/>
        <w:ind w:right="-7"/>
        <w:jc w:val="both"/>
        <w:rPr>
          <w:rFonts w:ascii="Palatino Linotype" w:eastAsia="Palatino Linotype" w:hAnsi="Palatino Linotype" w:cs="Palatino Linotype"/>
          <w:sz w:val="24"/>
          <w:szCs w:val="24"/>
        </w:rPr>
      </w:pPr>
    </w:p>
    <w:p w:rsidR="00422DDA" w:rsidRPr="002911B7" w:rsidRDefault="00DC6E11">
      <w:pPr>
        <w:spacing w:after="0" w:line="360" w:lineRule="auto"/>
        <w:ind w:right="-7"/>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De ello, se advierte que el Sujeto Obligado cuenta con las facultades, atribuciones y competencias para generar, administrar y poseer la información relacionada con los comprobantes de pago del impuesto sobre diversiones y espectáculos públicos, toda vez que cuenta con unidades administrativas responsables de esta información. </w:t>
      </w:r>
    </w:p>
    <w:p w:rsidR="00422DDA" w:rsidRPr="002911B7" w:rsidRDefault="00422DDA">
      <w:pPr>
        <w:spacing w:after="0" w:line="360" w:lineRule="auto"/>
        <w:ind w:right="-7"/>
        <w:jc w:val="both"/>
        <w:rPr>
          <w:rFonts w:ascii="Palatino Linotype" w:eastAsia="Palatino Linotype" w:hAnsi="Palatino Linotype" w:cs="Palatino Linotype"/>
          <w:sz w:val="24"/>
          <w:szCs w:val="24"/>
        </w:rPr>
      </w:pPr>
    </w:p>
    <w:p w:rsidR="00422DDA" w:rsidRPr="002911B7" w:rsidRDefault="00DC6E11">
      <w:pPr>
        <w:spacing w:after="0" w:line="360" w:lineRule="auto"/>
        <w:ind w:right="-7"/>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lastRenderedPageBreak/>
        <w:t xml:space="preserve">Del mismo modo, es de mencionar que de las actuaciones que obran en el expediente electrónico, </w:t>
      </w:r>
      <w:r w:rsidRPr="002911B7">
        <w:rPr>
          <w:rFonts w:ascii="Palatino Linotype" w:eastAsia="Palatino Linotype" w:hAnsi="Palatino Linotype" w:cs="Palatino Linotype"/>
          <w:b/>
          <w:sz w:val="24"/>
          <w:szCs w:val="24"/>
          <w:u w:val="single"/>
        </w:rPr>
        <w:t xml:space="preserve">se advierte que la unidad administrativa competente, a saber, la </w:t>
      </w:r>
      <w:r w:rsidRPr="002911B7">
        <w:rPr>
          <w:rFonts w:ascii="Palatino Linotype" w:eastAsia="Palatino Linotype" w:hAnsi="Palatino Linotype" w:cs="Palatino Linotype"/>
          <w:b/>
          <w:i/>
          <w:sz w:val="24"/>
          <w:szCs w:val="24"/>
          <w:u w:val="single"/>
        </w:rPr>
        <w:t xml:space="preserve">Tesorería Municipal </w:t>
      </w:r>
      <w:r w:rsidRPr="002911B7">
        <w:rPr>
          <w:rFonts w:ascii="Palatino Linotype" w:eastAsia="Palatino Linotype" w:hAnsi="Palatino Linotype" w:cs="Palatino Linotype"/>
          <w:b/>
          <w:sz w:val="24"/>
          <w:szCs w:val="24"/>
          <w:u w:val="single"/>
        </w:rPr>
        <w:t>dio atención a la solicitud de información y fue quien propuso el cambio de modalidad</w:t>
      </w:r>
      <w:r w:rsidRPr="002911B7">
        <w:rPr>
          <w:rFonts w:ascii="Palatino Linotype" w:eastAsia="Palatino Linotype" w:hAnsi="Palatino Linotype" w:cs="Palatino Linotype"/>
          <w:sz w:val="24"/>
          <w:szCs w:val="24"/>
        </w:rPr>
        <w:t xml:space="preserve"> de entrega de la misma, situación que se estudiará al tenor de lo siguiente: </w:t>
      </w:r>
    </w:p>
    <w:p w:rsidR="00422DDA" w:rsidRPr="002911B7" w:rsidRDefault="00422DDA">
      <w:pPr>
        <w:spacing w:after="0" w:line="360" w:lineRule="auto"/>
        <w:ind w:right="-7"/>
        <w:jc w:val="both"/>
        <w:rPr>
          <w:rFonts w:ascii="Palatino Linotype" w:eastAsia="Palatino Linotype" w:hAnsi="Palatino Linotype" w:cs="Palatino Linotype"/>
          <w:sz w:val="24"/>
          <w:szCs w:val="24"/>
        </w:rPr>
      </w:pPr>
    </w:p>
    <w:p w:rsidR="00422DDA" w:rsidRPr="002911B7" w:rsidRDefault="00DC6E11">
      <w:pPr>
        <w:pBdr>
          <w:top w:val="nil"/>
          <w:left w:val="nil"/>
          <w:bottom w:val="nil"/>
          <w:right w:val="nil"/>
          <w:between w:val="nil"/>
        </w:pBdr>
        <w:spacing w:after="0" w:line="360" w:lineRule="auto"/>
        <w:ind w:left="567"/>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w:t>
      </w:r>
      <w:r w:rsidRPr="002911B7">
        <w:rPr>
          <w:rFonts w:ascii="Palatino Linotype" w:eastAsia="Palatino Linotype" w:hAnsi="Palatino Linotype" w:cs="Palatino Linotype"/>
          <w:b/>
          <w:sz w:val="24"/>
          <w:szCs w:val="24"/>
        </w:rPr>
        <w:tab/>
        <w:t>Del cambio de modalidad.</w:t>
      </w:r>
      <w:r w:rsidRPr="002911B7">
        <w:rPr>
          <w:rFonts w:ascii="Palatino Linotype" w:eastAsia="Palatino Linotype" w:hAnsi="Palatino Linotype" w:cs="Palatino Linotype"/>
          <w:sz w:val="24"/>
          <w:szCs w:val="24"/>
        </w:rPr>
        <w:t xml:space="preserve"> </w:t>
      </w:r>
    </w:p>
    <w:p w:rsidR="00422DDA" w:rsidRPr="002911B7" w:rsidRDefault="00422DDA">
      <w:pPr>
        <w:pBdr>
          <w:top w:val="nil"/>
          <w:left w:val="nil"/>
          <w:bottom w:val="nil"/>
          <w:right w:val="nil"/>
          <w:between w:val="nil"/>
        </w:pBdr>
        <w:spacing w:after="0" w:line="360" w:lineRule="auto"/>
        <w:ind w:left="720"/>
        <w:jc w:val="both"/>
        <w:rPr>
          <w:rFonts w:ascii="Palatino Linotype" w:eastAsia="Palatino Linotype" w:hAnsi="Palatino Linotype" w:cs="Palatino Linotype"/>
          <w:sz w:val="24"/>
          <w:szCs w:val="24"/>
        </w:rPr>
      </w:pPr>
    </w:p>
    <w:p w:rsidR="00422DDA" w:rsidRPr="002911B7" w:rsidRDefault="00DC6E1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En principio, es de recordar que el Recurrente al momento de presentar la solicitud de información que dio origen al Recurso de Revisión que nos ocupa, eligió como modalidad de entrega </w:t>
      </w:r>
      <w:r w:rsidRPr="002911B7">
        <w:rPr>
          <w:rFonts w:ascii="Palatino Linotype" w:eastAsia="Palatino Linotype" w:hAnsi="Palatino Linotype" w:cs="Palatino Linotype"/>
          <w:i/>
          <w:sz w:val="24"/>
          <w:szCs w:val="24"/>
        </w:rPr>
        <w:t>“Sistema de Acceso a la Información Pública Mexiquense”</w:t>
      </w:r>
      <w:r w:rsidRPr="002911B7">
        <w:rPr>
          <w:rFonts w:ascii="Palatino Linotype" w:eastAsia="Palatino Linotype" w:hAnsi="Palatino Linotype" w:cs="Palatino Linotype"/>
          <w:sz w:val="24"/>
          <w:szCs w:val="24"/>
        </w:rPr>
        <w:t>, tal como se aprecia a continuación:</w:t>
      </w:r>
    </w:p>
    <w:p w:rsidR="00422DDA" w:rsidRPr="002911B7" w:rsidRDefault="00422DD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422DDA" w:rsidRPr="002911B7" w:rsidRDefault="00DC6E11">
      <w:pPr>
        <w:pBdr>
          <w:top w:val="nil"/>
          <w:left w:val="nil"/>
          <w:bottom w:val="nil"/>
          <w:right w:val="nil"/>
          <w:between w:val="nil"/>
        </w:pBdr>
        <w:spacing w:after="0" w:line="360" w:lineRule="auto"/>
        <w:jc w:val="both"/>
      </w:pPr>
      <w:r w:rsidRPr="002911B7">
        <w:rPr>
          <w:noProof/>
        </w:rPr>
        <w:drawing>
          <wp:inline distT="0" distB="0" distL="0" distR="0">
            <wp:extent cx="5756275" cy="1829435"/>
            <wp:effectExtent l="0" t="0" r="0" b="0"/>
            <wp:docPr id="1038907558" name="image5.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5.png" descr="Texto&#10;&#10;Descripción generada automáticamente con confianza media"/>
                    <pic:cNvPicPr preferRelativeResize="0"/>
                  </pic:nvPicPr>
                  <pic:blipFill>
                    <a:blip r:embed="rId11"/>
                    <a:srcRect/>
                    <a:stretch>
                      <a:fillRect/>
                    </a:stretch>
                  </pic:blipFill>
                  <pic:spPr>
                    <a:xfrm>
                      <a:off x="0" y="0"/>
                      <a:ext cx="5756275" cy="1829435"/>
                    </a:xfrm>
                    <a:prstGeom prst="rect">
                      <a:avLst/>
                    </a:prstGeom>
                    <a:ln/>
                  </pic:spPr>
                </pic:pic>
              </a:graphicData>
            </a:graphic>
          </wp:inline>
        </w:drawing>
      </w:r>
      <w:r w:rsidRPr="002911B7">
        <w:t xml:space="preserve"> </w:t>
      </w:r>
      <w:r w:rsidRPr="002911B7">
        <w:rPr>
          <w:noProof/>
        </w:rPr>
        <mc:AlternateContent>
          <mc:Choice Requires="wpg">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1371600</wp:posOffset>
                </wp:positionV>
                <wp:extent cx="5762625" cy="533400"/>
                <wp:effectExtent l="0" t="0" r="0" b="0"/>
                <wp:wrapNone/>
                <wp:docPr id="1038907551" name="Rectángulo 1038907551"/>
                <wp:cNvGraphicFramePr/>
                <a:graphic xmlns:a="http://schemas.openxmlformats.org/drawingml/2006/main">
                  <a:graphicData uri="http://schemas.microsoft.com/office/word/2010/wordprocessingShape">
                    <wps:wsp>
                      <wps:cNvSpPr/>
                      <wps:spPr>
                        <a:xfrm>
                          <a:off x="2483738" y="3532350"/>
                          <a:ext cx="5724525" cy="495300"/>
                        </a:xfrm>
                        <a:prstGeom prst="rect">
                          <a:avLst/>
                        </a:prstGeom>
                        <a:noFill/>
                        <a:ln w="38100" cap="flat" cmpd="sng">
                          <a:solidFill>
                            <a:srgbClr val="FF0000"/>
                          </a:solidFill>
                          <a:prstDash val="solid"/>
                          <a:miter lim="800000"/>
                          <a:headEnd type="none" w="sm" len="sm"/>
                          <a:tailEnd type="none" w="sm" len="sm"/>
                        </a:ln>
                      </wps:spPr>
                      <wps:txbx>
                        <w:txbxContent>
                          <w:p w:rsidR="00422DDA" w:rsidRDefault="00422DD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1371600</wp:posOffset>
                </wp:positionV>
                <wp:extent cx="5762625" cy="533400"/>
                <wp:effectExtent b="0" l="0" r="0" t="0"/>
                <wp:wrapNone/>
                <wp:docPr id="103890755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762625" cy="533400"/>
                        </a:xfrm>
                        <a:prstGeom prst="rect"/>
                        <a:ln/>
                      </pic:spPr>
                    </pic:pic>
                  </a:graphicData>
                </a:graphic>
              </wp:anchor>
            </w:drawing>
          </mc:Fallback>
        </mc:AlternateContent>
      </w:r>
    </w:p>
    <w:p w:rsidR="00422DDA" w:rsidRPr="002911B7" w:rsidRDefault="00422DDA">
      <w:pPr>
        <w:pBdr>
          <w:top w:val="nil"/>
          <w:left w:val="nil"/>
          <w:bottom w:val="nil"/>
          <w:right w:val="nil"/>
          <w:between w:val="nil"/>
        </w:pBdr>
        <w:spacing w:line="360" w:lineRule="auto"/>
        <w:jc w:val="both"/>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De tal forma que resulta necesario traer a colación que el artículo 155, fracción V de la Ley de Transparencia y Acceso a la Información Pública del Estado de México y Municipios precisa que, para presentar una solicitud de información, el particular </w:t>
      </w:r>
      <w:r w:rsidRPr="002911B7">
        <w:rPr>
          <w:rFonts w:ascii="Palatino Linotype" w:eastAsia="Palatino Linotype" w:hAnsi="Palatino Linotype" w:cs="Palatino Linotype"/>
          <w:sz w:val="24"/>
          <w:szCs w:val="24"/>
        </w:rPr>
        <w:lastRenderedPageBreak/>
        <w:t>podrá señalar la modalidad en la que prefiere se otorgue el acceso a esta, tal como se observa a la literalidad:</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line="276" w:lineRule="auto"/>
        <w:ind w:left="567" w:right="567"/>
        <w:jc w:val="both"/>
        <w:rPr>
          <w:rFonts w:ascii="Palatino Linotype" w:eastAsia="Palatino Linotype" w:hAnsi="Palatino Linotype" w:cs="Palatino Linotype"/>
          <w:i/>
        </w:rPr>
      </w:pPr>
      <w:r w:rsidRPr="002911B7">
        <w:rPr>
          <w:rFonts w:ascii="Palatino Linotype" w:eastAsia="Palatino Linotype" w:hAnsi="Palatino Linotype" w:cs="Palatino Linotype"/>
          <w:b/>
          <w:i/>
        </w:rPr>
        <w:t>Artículo 155.</w:t>
      </w:r>
      <w:r w:rsidRPr="002911B7">
        <w:rPr>
          <w:rFonts w:ascii="Palatino Linotype" w:eastAsia="Palatino Linotype" w:hAnsi="Palatino Linotype" w:cs="Palatino Linotype"/>
          <w:i/>
        </w:rPr>
        <w:t xml:space="preserve"> Para presentar una solicitud por escrito, no se podrán exigir mayores requisitos que los siguientes:</w:t>
      </w:r>
    </w:p>
    <w:p w:rsidR="00422DDA" w:rsidRPr="002911B7" w:rsidRDefault="00DC6E11">
      <w:pPr>
        <w:spacing w:line="276" w:lineRule="auto"/>
        <w:ind w:left="567" w:right="567"/>
        <w:jc w:val="both"/>
        <w:rPr>
          <w:rFonts w:ascii="Palatino Linotype" w:eastAsia="Palatino Linotype" w:hAnsi="Palatino Linotype" w:cs="Palatino Linotype"/>
          <w:i/>
        </w:rPr>
      </w:pPr>
      <w:r w:rsidRPr="002911B7">
        <w:rPr>
          <w:rFonts w:ascii="Palatino Linotype" w:eastAsia="Palatino Linotype" w:hAnsi="Palatino Linotype" w:cs="Palatino Linotype"/>
          <w:i/>
        </w:rPr>
        <w:t>…</w:t>
      </w:r>
    </w:p>
    <w:p w:rsidR="00422DDA" w:rsidRPr="002911B7" w:rsidRDefault="00DC6E11">
      <w:pPr>
        <w:spacing w:line="276" w:lineRule="auto"/>
        <w:ind w:left="567" w:right="567"/>
        <w:jc w:val="both"/>
        <w:rPr>
          <w:rFonts w:ascii="Palatino Linotype" w:eastAsia="Palatino Linotype" w:hAnsi="Palatino Linotype" w:cs="Palatino Linotype"/>
          <w:i/>
        </w:rPr>
      </w:pPr>
      <w:r w:rsidRPr="002911B7">
        <w:rPr>
          <w:rFonts w:ascii="Palatino Linotype" w:eastAsia="Palatino Linotype" w:hAnsi="Palatino Linotype" w:cs="Palatino Linotype"/>
          <w:i/>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422DDA" w:rsidRPr="002911B7" w:rsidRDefault="00DC6E11">
      <w:pPr>
        <w:spacing w:after="0" w:line="276" w:lineRule="auto"/>
        <w:ind w:left="567" w:right="567"/>
        <w:jc w:val="both"/>
        <w:rPr>
          <w:rFonts w:ascii="Palatino Linotype" w:eastAsia="Palatino Linotype" w:hAnsi="Palatino Linotype" w:cs="Palatino Linotype"/>
          <w:i/>
        </w:rPr>
      </w:pPr>
      <w:r w:rsidRPr="002911B7">
        <w:rPr>
          <w:rFonts w:ascii="Palatino Linotype" w:eastAsia="Palatino Linotype" w:hAnsi="Palatino Linotype" w:cs="Palatino Linotype"/>
          <w:i/>
        </w:rPr>
        <w:t>…</w:t>
      </w:r>
    </w:p>
    <w:p w:rsidR="00422DDA" w:rsidRPr="002911B7" w:rsidRDefault="00422DDA">
      <w:pPr>
        <w:spacing w:after="0" w:line="360" w:lineRule="auto"/>
        <w:ind w:left="567" w:right="567"/>
        <w:jc w:val="both"/>
        <w:rPr>
          <w:rFonts w:ascii="Palatino Linotype" w:eastAsia="Palatino Linotype" w:hAnsi="Palatino Linotype" w:cs="Palatino Linotype"/>
          <w:i/>
        </w:rPr>
      </w:pPr>
    </w:p>
    <w:p w:rsidR="00422DDA" w:rsidRPr="002911B7" w:rsidRDefault="00DC6E11">
      <w:pPr>
        <w:spacing w:after="0" w:line="360" w:lineRule="auto"/>
        <w:ind w:right="-28"/>
        <w:jc w:val="both"/>
        <w:rPr>
          <w:rFonts w:ascii="Palatino Linotype" w:eastAsia="Palatino Linotype" w:hAnsi="Palatino Linotype" w:cs="Palatino Linotype"/>
          <w:b/>
          <w:sz w:val="24"/>
          <w:szCs w:val="24"/>
        </w:rPr>
      </w:pPr>
      <w:r w:rsidRPr="002911B7">
        <w:rPr>
          <w:rFonts w:ascii="Palatino Linotype" w:eastAsia="Palatino Linotype" w:hAnsi="Palatino Linotype" w:cs="Palatino Linotype"/>
          <w:sz w:val="24"/>
          <w:szCs w:val="24"/>
        </w:rPr>
        <w:t xml:space="preserve">El artículo 158, dispone que, de manera excepcional, cuando de manera fundada y motivada lo determine el Sujeto Obligado, </w:t>
      </w:r>
      <w:r w:rsidRPr="002911B7">
        <w:rPr>
          <w:rFonts w:ascii="Palatino Linotype" w:eastAsia="Palatino Linotype" w:hAnsi="Palatino Linotype" w:cs="Palatino Linotype"/>
          <w:b/>
          <w:sz w:val="24"/>
          <w:szCs w:val="24"/>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422DDA" w:rsidRPr="002911B7" w:rsidRDefault="00422DDA">
      <w:pPr>
        <w:spacing w:line="360" w:lineRule="auto"/>
        <w:ind w:right="49"/>
        <w:jc w:val="both"/>
        <w:rPr>
          <w:rFonts w:ascii="Palatino Linotype" w:eastAsia="Palatino Linotype" w:hAnsi="Palatino Linotype" w:cs="Palatino Linotype"/>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2911B7">
        <w:rPr>
          <w:rFonts w:ascii="Palatino Linotype" w:eastAsia="Palatino Linotype" w:hAnsi="Palatino Linotype" w:cs="Palatino Linotype"/>
          <w:b/>
          <w:sz w:val="24"/>
          <w:szCs w:val="24"/>
        </w:rPr>
        <w:t>se deberá fundar y motivar dicha necesidad</w:t>
      </w:r>
      <w:r w:rsidRPr="002911B7">
        <w:rPr>
          <w:rFonts w:ascii="Palatino Linotype" w:eastAsia="Palatino Linotype" w:hAnsi="Palatino Linotype" w:cs="Palatino Linotype"/>
          <w:sz w:val="24"/>
          <w:szCs w:val="24"/>
        </w:rPr>
        <w:t xml:space="preserve">, como se advierte a continuación: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567"/>
        <w:jc w:val="both"/>
        <w:rPr>
          <w:rFonts w:ascii="Palatino Linotype" w:eastAsia="Palatino Linotype" w:hAnsi="Palatino Linotype" w:cs="Palatino Linotype"/>
          <w:i/>
        </w:rPr>
      </w:pPr>
      <w:r w:rsidRPr="002911B7">
        <w:rPr>
          <w:rFonts w:ascii="Palatino Linotype" w:eastAsia="Palatino Linotype" w:hAnsi="Palatino Linotype" w:cs="Palatino Linotype"/>
          <w:b/>
          <w:i/>
        </w:rPr>
        <w:lastRenderedPageBreak/>
        <w:t>Artículo 164.</w:t>
      </w:r>
      <w:r w:rsidRPr="002911B7">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422DDA" w:rsidRPr="002911B7" w:rsidRDefault="00DC6E11">
      <w:pPr>
        <w:spacing w:line="276" w:lineRule="auto"/>
        <w:ind w:left="567" w:right="567"/>
        <w:jc w:val="both"/>
        <w:rPr>
          <w:rFonts w:ascii="Palatino Linotype" w:eastAsia="Palatino Linotype" w:hAnsi="Palatino Linotype" w:cs="Palatino Linotype"/>
          <w:i/>
        </w:rPr>
      </w:pPr>
      <w:r w:rsidRPr="002911B7">
        <w:rPr>
          <w:rFonts w:ascii="Palatino Linotype" w:eastAsia="Palatino Linotype" w:hAnsi="Palatino Linotype" w:cs="Palatino Linotype"/>
          <w:i/>
        </w:rPr>
        <w:t>En cualquier caso, se deberá fundar y motivar la necesidad de ofrecer otras modalidades.</w:t>
      </w:r>
    </w:p>
    <w:p w:rsidR="00DC6E11" w:rsidRPr="002911B7" w:rsidRDefault="00DC6E11">
      <w:pPr>
        <w:spacing w:line="276" w:lineRule="auto"/>
        <w:ind w:left="567" w:right="567"/>
        <w:jc w:val="both"/>
        <w:rPr>
          <w:rFonts w:ascii="Palatino Linotype" w:eastAsia="Palatino Linotype" w:hAnsi="Palatino Linotype" w:cs="Palatino Linotype"/>
          <w:i/>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b/>
          <w:sz w:val="24"/>
          <w:szCs w:val="24"/>
        </w:rPr>
      </w:pPr>
      <w:r w:rsidRPr="002911B7">
        <w:rPr>
          <w:rFonts w:ascii="Palatino Linotype" w:eastAsia="Palatino Linotype" w:hAnsi="Palatino Linotype" w:cs="Palatino Linotype"/>
          <w:sz w:val="24"/>
          <w:szCs w:val="24"/>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2911B7">
        <w:rPr>
          <w:rFonts w:ascii="Palatino Linotype" w:eastAsia="Palatino Linotype" w:hAnsi="Palatino Linotype" w:cs="Palatino Linotype"/>
          <w:b/>
          <w:sz w:val="24"/>
          <w:szCs w:val="24"/>
        </w:rPr>
        <w:t xml:space="preserve">se acredite la imposibilidad de atenderla.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Por lo anterior, en caso de impedimento, los sujetos obligados deberán ofrecer al particular otras modalidades de entrega a la solicitada, tal como lo establece el Criterio 08/17 emitido por el Pleno del Instituto Nacional de Transparencia, Acceso a la Información y Protección de Datos Personales, el cual establece lo siguiente: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line="276" w:lineRule="auto"/>
        <w:ind w:left="567" w:right="567"/>
        <w:jc w:val="both"/>
        <w:rPr>
          <w:rFonts w:ascii="Palatino Linotype" w:eastAsia="Palatino Linotype" w:hAnsi="Palatino Linotype" w:cs="Palatino Linotype"/>
          <w:b/>
          <w:i/>
          <w:u w:val="single"/>
        </w:rPr>
      </w:pPr>
      <w:r w:rsidRPr="002911B7">
        <w:rPr>
          <w:rFonts w:ascii="Palatino Linotype" w:eastAsia="Palatino Linotype" w:hAnsi="Palatino Linotype" w:cs="Palatino Linotype"/>
          <w:b/>
          <w:i/>
        </w:rPr>
        <w:t>Modalidad de entrega. Procedencia de proporcionar la información solicitada en una diversa a la elegida por el solicitante.</w:t>
      </w:r>
      <w:r w:rsidRPr="002911B7">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w:t>
      </w:r>
      <w:r w:rsidRPr="002911B7">
        <w:rPr>
          <w:rFonts w:ascii="Palatino Linotype" w:eastAsia="Palatino Linotype" w:hAnsi="Palatino Linotype" w:cs="Palatino Linotype"/>
          <w:i/>
        </w:rPr>
        <w:lastRenderedPageBreak/>
        <w:t xml:space="preserve">la modalidad elegida, la obligación de acceso a la información se tendrá por cumplida cuando el sujeto obligado: </w:t>
      </w:r>
      <w:r w:rsidRPr="002911B7">
        <w:rPr>
          <w:rFonts w:ascii="Palatino Linotype" w:eastAsia="Palatino Linotype" w:hAnsi="Palatino Linotype" w:cs="Palatino Linotype"/>
          <w:b/>
          <w:i/>
          <w:u w:val="single"/>
        </w:rPr>
        <w:t>a) justifique el impedimento para atender la misma y b) se notifique al particular la disposición de la información en todas las modalidades que permita el documento de que se trate, procurando reducir, en todo momento, los costos de entrega.</w:t>
      </w:r>
    </w:p>
    <w:p w:rsidR="00422DDA" w:rsidRPr="002911B7" w:rsidRDefault="00422DDA">
      <w:pPr>
        <w:spacing w:line="276" w:lineRule="auto"/>
        <w:ind w:left="567" w:right="567"/>
        <w:jc w:val="both"/>
        <w:rPr>
          <w:rFonts w:ascii="Palatino Linotype" w:eastAsia="Palatino Linotype" w:hAnsi="Palatino Linotype" w:cs="Palatino Linotype"/>
          <w:i/>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Es así que, se desprende que, cuando no sea posible atender la modalidad elegida por los solicitantes, el sujeto obligado deberá justificar el impedimento para atender esta y notificar al particular la puesta a disposición de la </w:t>
      </w:r>
      <w:r w:rsidRPr="002911B7">
        <w:rPr>
          <w:rFonts w:ascii="Palatino Linotype" w:eastAsia="Palatino Linotype" w:hAnsi="Palatino Linotype" w:cs="Palatino Linotype"/>
          <w:b/>
          <w:sz w:val="24"/>
          <w:szCs w:val="24"/>
          <w:u w:val="single"/>
        </w:rPr>
        <w:t>información en todas las modalidades que lo permitan, procurando reducir los costos de entrega.</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Ahora bien, en el caso concreto, el Sujeto Obligado, a través de su Tesorería Municipal en respuesta refirió que la información solicitada sobrepasaba las capacidades técnicas, administrativas y humanas para poder ser entregada a través del Sistema de Acceso a la Información Mexiquense, situación que sustentó mediante los siguientes argumentos: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u w:val="single"/>
        </w:rPr>
      </w:pPr>
      <w:r w:rsidRPr="002911B7">
        <w:rPr>
          <w:rFonts w:ascii="Palatino Linotype" w:eastAsia="Palatino Linotype" w:hAnsi="Palatino Linotype" w:cs="Palatino Linotype"/>
          <w:sz w:val="24"/>
          <w:szCs w:val="24"/>
        </w:rPr>
        <w:t xml:space="preserve">La Tesorería Municipal cuenta con una persona adscrita encargada de realizar el proceso de búsqueda de la información, esto es, extraer los documentos de las carpetas y expedientes, escanearlos, analizar la documentación, realizar la versión pública y los cuadros de clasificación. </w:t>
      </w:r>
    </w:p>
    <w:p w:rsidR="00422DDA" w:rsidRPr="002911B7" w:rsidRDefault="00DC6E1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u w:val="single"/>
        </w:rPr>
      </w:pPr>
      <w:r w:rsidRPr="002911B7">
        <w:rPr>
          <w:rFonts w:ascii="Palatino Linotype" w:eastAsia="Palatino Linotype" w:hAnsi="Palatino Linotype" w:cs="Palatino Linotype"/>
          <w:sz w:val="24"/>
          <w:szCs w:val="24"/>
        </w:rPr>
        <w:t xml:space="preserve">El plazo legal es insuficiente para atender lo solicitado, ya que se cuentan con diversas solicitudes de información que vencen en los próximos plazos y de las cuales también se requiere realizar un proceso de revisión. </w:t>
      </w:r>
    </w:p>
    <w:p w:rsidR="00422DDA" w:rsidRPr="002911B7" w:rsidRDefault="00DC6E1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u w:val="single"/>
        </w:rPr>
      </w:pPr>
      <w:r w:rsidRPr="002911B7">
        <w:rPr>
          <w:rFonts w:ascii="Palatino Linotype" w:eastAsia="Palatino Linotype" w:hAnsi="Palatino Linotype" w:cs="Palatino Linotype"/>
          <w:sz w:val="24"/>
          <w:szCs w:val="24"/>
        </w:rPr>
        <w:lastRenderedPageBreak/>
        <w:t xml:space="preserve">La Tesorería Municipal, únicamente cuenta con dos computadoras para elaborar versiones públicas y con un solo escáner de la Dirección de la Tesorería, herramientas que no están a disposición todo el tiempo, lo que genera pausas en el proceso de tratamiento a los documentos. </w:t>
      </w:r>
    </w:p>
    <w:p w:rsidR="00422DDA" w:rsidRPr="002911B7" w:rsidRDefault="00422DDA">
      <w:pPr>
        <w:spacing w:after="0" w:line="360" w:lineRule="auto"/>
        <w:ind w:right="49"/>
        <w:jc w:val="both"/>
        <w:rPr>
          <w:rFonts w:ascii="Palatino Linotype" w:eastAsia="Palatino Linotype" w:hAnsi="Palatino Linotype" w:cs="Palatino Linotype"/>
          <w:b/>
          <w:sz w:val="24"/>
          <w:szCs w:val="24"/>
          <w:u w:val="single"/>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En el mismo orden de ideas, la Tesorería Municipal refirió que, se ponía a disposición la información en cualquiera de sus modalidades: USB o consulta directa, refiriendo el procedimiento a seguir para obtener la información en cada una de las modalidades. </w:t>
      </w: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 </w:t>
      </w: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Derivado de la inconformidad del Recurrente, mediante informe justificado, la Tesorería Municipal reiteró la imposibilidad de entregar la información a través del Sistema de Acceso a la Información Mexiquense, mencionando lo siguiente: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El peso de la información excede la capacidad del </w:t>
      </w:r>
      <w:proofErr w:type="spellStart"/>
      <w:r w:rsidRPr="002911B7">
        <w:rPr>
          <w:rFonts w:ascii="Palatino Linotype" w:eastAsia="Palatino Linotype" w:hAnsi="Palatino Linotype" w:cs="Palatino Linotype"/>
          <w:sz w:val="24"/>
          <w:szCs w:val="24"/>
        </w:rPr>
        <w:t>Saimex</w:t>
      </w:r>
      <w:proofErr w:type="spellEnd"/>
      <w:r w:rsidRPr="002911B7">
        <w:rPr>
          <w:rFonts w:ascii="Palatino Linotype" w:eastAsia="Palatino Linotype" w:hAnsi="Palatino Linotype" w:cs="Palatino Linotype"/>
          <w:sz w:val="24"/>
          <w:szCs w:val="24"/>
        </w:rPr>
        <w:t>.</w:t>
      </w:r>
    </w:p>
    <w:p w:rsidR="00422DDA" w:rsidRPr="002911B7" w:rsidRDefault="00DC6E11">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La información se encuentra en su mayoría en físico y parte digitalizada. </w:t>
      </w:r>
    </w:p>
    <w:p w:rsidR="00422DDA" w:rsidRPr="002911B7" w:rsidRDefault="00DC6E11">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Se cuenta con una persona para realizar el trabajo de búsqueda, escaneo y revisión de la información.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Asimismo, remitió un oficio de fecha veintisiete de abril de dos mil veintitrés, signado por el Director General de Informática, el cual refiere que la información que el Ayuntamiento pretende subir al sistema es de un aproximado de 667 GB, lo cual sobrepasa las capacidades técnicas del mismo, tal como se advierte a continuación: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center"/>
        <w:rPr>
          <w:rFonts w:ascii="Palatino Linotype" w:eastAsia="Palatino Linotype" w:hAnsi="Palatino Linotype" w:cs="Palatino Linotype"/>
          <w:sz w:val="24"/>
          <w:szCs w:val="24"/>
        </w:rPr>
      </w:pPr>
      <w:r w:rsidRPr="002911B7">
        <w:rPr>
          <w:rFonts w:ascii="Palatino Linotype" w:eastAsia="Palatino Linotype" w:hAnsi="Palatino Linotype" w:cs="Palatino Linotype"/>
          <w:noProof/>
          <w:sz w:val="24"/>
          <w:szCs w:val="24"/>
        </w:rPr>
        <w:lastRenderedPageBreak/>
        <w:drawing>
          <wp:inline distT="0" distB="0" distL="0" distR="0">
            <wp:extent cx="4583222" cy="4017493"/>
            <wp:effectExtent l="0" t="0" r="0" b="0"/>
            <wp:docPr id="1038907557" name="image4.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Texto, Carta&#10;&#10;Descripción generada automáticamente"/>
                    <pic:cNvPicPr preferRelativeResize="0"/>
                  </pic:nvPicPr>
                  <pic:blipFill>
                    <a:blip r:embed="rId13"/>
                    <a:srcRect/>
                    <a:stretch>
                      <a:fillRect/>
                    </a:stretch>
                  </pic:blipFill>
                  <pic:spPr>
                    <a:xfrm>
                      <a:off x="0" y="0"/>
                      <a:ext cx="4583222" cy="4017493"/>
                    </a:xfrm>
                    <a:prstGeom prst="rect">
                      <a:avLst/>
                    </a:prstGeom>
                    <a:ln/>
                  </pic:spPr>
                </pic:pic>
              </a:graphicData>
            </a:graphic>
          </wp:inline>
        </w:drawing>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Es así que, este Instituto no tiene atribuciones para pronunciarse sobre la veracidad de lo señalado, apoya lo anterior, el Criterio 31/10, emitido por el Pleno del entonces Instituto Federal de Acceso a la Información y Protección de Datos, que a la literalidad refiere lo siguiente: </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276" w:lineRule="auto"/>
        <w:ind w:left="567" w:right="560"/>
        <w:jc w:val="both"/>
        <w:rPr>
          <w:rFonts w:ascii="Palatino Linotype" w:eastAsia="Palatino Linotype" w:hAnsi="Palatino Linotype" w:cs="Palatino Linotype"/>
          <w:i/>
        </w:rPr>
      </w:pPr>
      <w:r w:rsidRPr="002911B7">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2911B7">
        <w:rPr>
          <w:rFonts w:ascii="Palatino Linotype" w:eastAsia="Palatino Linotype" w:hAnsi="Palatino Linotype" w:cs="Palatino Linotype"/>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2911B7">
        <w:rPr>
          <w:rFonts w:ascii="Palatino Linotype" w:eastAsia="Palatino Linotype" w:hAnsi="Palatino Linotype" w:cs="Palatino Linotype"/>
          <w:i/>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22DDA" w:rsidRPr="002911B7" w:rsidRDefault="00422DDA">
      <w:pPr>
        <w:spacing w:line="360" w:lineRule="auto"/>
        <w:jc w:val="both"/>
        <w:rPr>
          <w:rFonts w:ascii="Palatino Linotype" w:eastAsia="Palatino Linotype" w:hAnsi="Palatino Linotype" w:cs="Palatino Linotype"/>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Conforme a lo anterior, se considera que el Sujeto Obligado precisó las razones por las cuales la información solicitada implicaba un análisis, estudio y procesamiento de información, que sobrepasaba las capacidades técnicas del Sistema de Acceso a la Información Mexiquense y, por ende, acreditó de manera fundada y motivada, </w:t>
      </w:r>
      <w:r w:rsidRPr="002911B7">
        <w:rPr>
          <w:rFonts w:ascii="Palatino Linotype" w:eastAsia="Palatino Linotype" w:hAnsi="Palatino Linotype" w:cs="Palatino Linotype"/>
          <w:b/>
          <w:sz w:val="24"/>
          <w:szCs w:val="24"/>
          <w:u w:val="single"/>
        </w:rPr>
        <w:t>el cambio de modalidad</w:t>
      </w:r>
      <w:r w:rsidRPr="002911B7">
        <w:rPr>
          <w:rFonts w:ascii="Palatino Linotype" w:eastAsia="Palatino Linotype" w:hAnsi="Palatino Linotype" w:cs="Palatino Linotype"/>
          <w:sz w:val="24"/>
          <w:szCs w:val="24"/>
          <w:u w:val="single"/>
        </w:rPr>
        <w:t xml:space="preserve"> </w:t>
      </w:r>
      <w:r w:rsidRPr="002911B7">
        <w:rPr>
          <w:rFonts w:ascii="Palatino Linotype" w:eastAsia="Palatino Linotype" w:hAnsi="Palatino Linotype" w:cs="Palatino Linotype"/>
          <w:b/>
          <w:sz w:val="24"/>
          <w:szCs w:val="24"/>
          <w:u w:val="single"/>
        </w:rPr>
        <w:t>para atender la presente el requerimiento de información.</w:t>
      </w:r>
      <w:r w:rsidRPr="002911B7">
        <w:rPr>
          <w:rFonts w:ascii="Palatino Linotype" w:eastAsia="Palatino Linotype" w:hAnsi="Palatino Linotype" w:cs="Palatino Linotype"/>
          <w:sz w:val="24"/>
          <w:szCs w:val="24"/>
        </w:rPr>
        <w:t xml:space="preserve"> </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Aunado a ello, el Sujeto Obligado proporcionó al Particular la posibilidad de entregarle la información requerida en otras modalidades tales como: copia simple o certificada, a través de disco compacto, medios de almacenamiento (USB), e incluso su envió a través de correo certificado previo pago de los costos de reproducción correspondientes; es así que como se mencionó el Ayuntamiento además de que, acreditó la entrega de la información mediante una modalidad distinta a la solicitada, también refirió la posibilidad de entregarla a través de todos los medios por los cuales pudiera entregar la misma.</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Ahora bien, si bien es cierto, el Sujeto Obligado en respuesta había señalado la imposibilidad de entregar la información a través del Sistema de Acceso a la Información Mexiquense, también lo es que, este no había remitido el Reporte de </w:t>
      </w:r>
      <w:r w:rsidRPr="002911B7">
        <w:rPr>
          <w:rFonts w:ascii="Palatino Linotype" w:eastAsia="Palatino Linotype" w:hAnsi="Palatino Linotype" w:cs="Palatino Linotype"/>
          <w:sz w:val="24"/>
          <w:szCs w:val="24"/>
        </w:rPr>
        <w:lastRenderedPageBreak/>
        <w:t xml:space="preserve">Incidencias correspondiente, es decir, no había observado cabalmente las formalidades que permitieran tener por acreditado el cambio de modalidad de entrega de la información. </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No obstante, mediante </w:t>
      </w:r>
      <w:r w:rsidRPr="002911B7">
        <w:rPr>
          <w:rFonts w:ascii="Palatino Linotype" w:eastAsia="Palatino Linotype" w:hAnsi="Palatino Linotype" w:cs="Palatino Linotype"/>
          <w:b/>
          <w:sz w:val="24"/>
          <w:szCs w:val="24"/>
        </w:rPr>
        <w:t xml:space="preserve">informe justificado </w:t>
      </w:r>
      <w:r w:rsidRPr="002911B7">
        <w:rPr>
          <w:rFonts w:ascii="Palatino Linotype" w:eastAsia="Palatino Linotype" w:hAnsi="Palatino Linotype" w:cs="Palatino Linotype"/>
          <w:sz w:val="24"/>
          <w:szCs w:val="24"/>
        </w:rPr>
        <w:t xml:space="preserve">remitió el oficio signado por el Director General de Informática de este Organismo, mediante el cual se acreditó la imposibilidad técnica para entregar la información a través del Sistema de Acceso a la Información Mexiquense. </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Por lo anterior,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900" w:firstLine="567"/>
        <w:jc w:val="both"/>
        <w:rPr>
          <w:sz w:val="24"/>
          <w:szCs w:val="24"/>
        </w:rPr>
      </w:pPr>
      <w:r w:rsidRPr="002911B7">
        <w:rPr>
          <w:rFonts w:ascii="Palatino Linotype" w:eastAsia="Palatino Linotype" w:hAnsi="Palatino Linotype" w:cs="Palatino Linotype"/>
          <w:sz w:val="24"/>
          <w:szCs w:val="24"/>
        </w:rPr>
        <w:t>a) Cuando el sujeto obligado modifique el acto impugnado y;</w:t>
      </w:r>
    </w:p>
    <w:p w:rsidR="00422DDA" w:rsidRPr="002911B7" w:rsidRDefault="00DC6E11">
      <w:pPr>
        <w:spacing w:after="0" w:line="360" w:lineRule="auto"/>
        <w:ind w:right="900" w:firstLine="567"/>
        <w:jc w:val="both"/>
        <w:rPr>
          <w:sz w:val="24"/>
          <w:szCs w:val="24"/>
        </w:rPr>
      </w:pPr>
      <w:r w:rsidRPr="002911B7">
        <w:rPr>
          <w:rFonts w:ascii="Palatino Linotype" w:eastAsia="Palatino Linotype" w:hAnsi="Palatino Linotype" w:cs="Palatino Linotype"/>
          <w:sz w:val="24"/>
          <w:szCs w:val="24"/>
        </w:rPr>
        <w:t>b) Cuando el sujeto obligado revoque el acto impugnado.</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Quedando en ambos casos el acto combatido sin materia o sin efectos.</w:t>
      </w:r>
    </w:p>
    <w:p w:rsidR="00422DDA" w:rsidRPr="002911B7" w:rsidRDefault="00422DDA">
      <w:pPr>
        <w:spacing w:after="0" w:line="360" w:lineRule="auto"/>
        <w:jc w:val="both"/>
        <w:rPr>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Como se observa de lo anterior, un acto impugnado es </w:t>
      </w:r>
      <w:r w:rsidRPr="002911B7">
        <w:rPr>
          <w:rFonts w:ascii="Palatino Linotype" w:eastAsia="Palatino Linotype" w:hAnsi="Palatino Linotype" w:cs="Palatino Linotype"/>
          <w:b/>
          <w:sz w:val="24"/>
          <w:szCs w:val="24"/>
        </w:rPr>
        <w:t>modificado</w:t>
      </w:r>
      <w:r w:rsidRPr="002911B7">
        <w:rPr>
          <w:rFonts w:ascii="Palatino Linotype" w:eastAsia="Palatino Linotype" w:hAnsi="Palatino Linotype" w:cs="Palatino Linotype"/>
          <w:sz w:val="24"/>
          <w:szCs w:val="24"/>
        </w:rPr>
        <w:t xml:space="preserve"> en aquellos casos en los que el sujeto obligado subsana las deficiencias que hubiera tenido en primer momento, quedando satisfecho el derecho subjetivo accionado por la parte recurrente. </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lastRenderedPageBreak/>
        <w:t>Por lo que hace a la</w:t>
      </w:r>
      <w:r w:rsidRPr="002911B7">
        <w:rPr>
          <w:rFonts w:ascii="Palatino Linotype" w:eastAsia="Palatino Linotype" w:hAnsi="Palatino Linotype" w:cs="Palatino Linotype"/>
          <w:b/>
          <w:sz w:val="24"/>
          <w:szCs w:val="24"/>
        </w:rPr>
        <w:t xml:space="preserve"> revocación</w:t>
      </w:r>
      <w:r w:rsidRPr="002911B7">
        <w:rPr>
          <w:rFonts w:ascii="Palatino Linotype" w:eastAsia="Palatino Linotype" w:hAnsi="Palatino Linotype" w:cs="Palatino Linotype"/>
          <w:sz w:val="24"/>
          <w:szCs w:val="24"/>
        </w:rPr>
        <w:t>, esta se actualiza cuando el sujeto obligado</w:t>
      </w:r>
      <w:r w:rsidRPr="002911B7">
        <w:rPr>
          <w:rFonts w:ascii="Palatino Linotype" w:eastAsia="Palatino Linotype" w:hAnsi="Palatino Linotype" w:cs="Palatino Linotype"/>
          <w:b/>
          <w:sz w:val="24"/>
          <w:szCs w:val="24"/>
        </w:rPr>
        <w:t xml:space="preserve"> </w:t>
      </w:r>
      <w:r w:rsidRPr="002911B7">
        <w:rPr>
          <w:rFonts w:ascii="Palatino Linotype" w:eastAsia="Palatino Linotype" w:hAnsi="Palatino Linotype" w:cs="Palatino Linotype"/>
          <w:sz w:val="24"/>
          <w:szCs w:val="24"/>
        </w:rPr>
        <w:t>deja sin efectos su actuar y en su lugar emite otra con las características y cualidades suficientes para dejar satisfecho el ejercicio del derecho al acceso a la información pública.</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En ese tenor, un acto impugnado queda sin efectos, cuando aun existiendo jurídicamente ya no genera ninguna consecuencia legal.</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En tanto, en el presente caso toda vez que el Sujeto Obligado mediante informe justificado remitió el reporte de incidencias que acreditaba la incapacidad de entrega de la información a través de la modalidad solicitada por el Particular; dejó sin materia el presente recurso de revisión, actualizándose entonces la causal prevista en la fracción III del artículo 192 de la Ley de la Materia vigente en la Entidad.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Además de lo anterior, el Sujeto Obligado deberá hacer del conocimiento del Particular que la información estará disponible, por un plazo mínimo de sesenta días naturales, a partir de la fecha en que se ponga a disposición del Recurrente la información, en términos del segundo párrafo del artículo 166 de la Ley de Transparencia y Acceso a la Información Pública del Estado de México y Municipios.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 xml:space="preserve">Si dentro del transcurso del término señalado en el párrafo anterior, el Particular acude por la información, el Sujeto Obligado levantará un acta de hechos misma que deberá ser remitida a este Instituto, por conducto de la Secretaría Técnica del Pleno, junto con el acuse de recibo de la información del Particular, sin embargo, si una vez fenecido el plazo, no acudiera por los documentos ordenados, el Sujeto Obligado </w:t>
      </w:r>
      <w:r w:rsidRPr="002911B7">
        <w:rPr>
          <w:rFonts w:ascii="Palatino Linotype" w:eastAsia="Palatino Linotype" w:hAnsi="Palatino Linotype" w:cs="Palatino Linotype"/>
          <w:sz w:val="24"/>
          <w:szCs w:val="24"/>
        </w:rPr>
        <w:lastRenderedPageBreak/>
        <w:t xml:space="preserve">mediante acuerdo dará por concluida la solicitud  podrá, de ser el caso, realizar la destrucción del material en el que se reprodujo, situación que también deberá informar a este Instituto, por el mismo conducto. </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Pr="002911B7" w:rsidRDefault="00DC6E11">
      <w:pPr>
        <w:spacing w:after="0" w:line="360" w:lineRule="auto"/>
        <w:ind w:right="49"/>
        <w:jc w:val="center"/>
        <w:rPr>
          <w:rFonts w:ascii="Palatino Linotype" w:eastAsia="Palatino Linotype" w:hAnsi="Palatino Linotype" w:cs="Palatino Linotype"/>
          <w:b/>
          <w:sz w:val="24"/>
          <w:szCs w:val="24"/>
        </w:rPr>
      </w:pPr>
      <w:r w:rsidRPr="002911B7">
        <w:rPr>
          <w:rFonts w:ascii="Palatino Linotype" w:eastAsia="Palatino Linotype" w:hAnsi="Palatino Linotype" w:cs="Palatino Linotype"/>
          <w:b/>
          <w:sz w:val="24"/>
          <w:szCs w:val="24"/>
        </w:rPr>
        <w:t>R E S U E L V E</w:t>
      </w:r>
    </w:p>
    <w:p w:rsidR="00422DDA" w:rsidRPr="002911B7" w:rsidRDefault="00422DDA">
      <w:pPr>
        <w:spacing w:after="0" w:line="360" w:lineRule="auto"/>
        <w:ind w:left="1080"/>
        <w:rPr>
          <w:rFonts w:ascii="Palatino Linotype" w:eastAsia="Palatino Linotype" w:hAnsi="Palatino Linotype" w:cs="Palatino Linotype"/>
          <w:b/>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 xml:space="preserve">PRIMERO. </w:t>
      </w:r>
      <w:r w:rsidRPr="002911B7">
        <w:rPr>
          <w:rFonts w:ascii="Palatino Linotype" w:eastAsia="Palatino Linotype" w:hAnsi="Palatino Linotype" w:cs="Palatino Linotype"/>
          <w:sz w:val="24"/>
          <w:szCs w:val="24"/>
          <w:highlight w:val="white"/>
        </w:rPr>
        <w:t xml:space="preserve">Se </w:t>
      </w:r>
      <w:r w:rsidRPr="002911B7">
        <w:rPr>
          <w:rFonts w:ascii="Palatino Linotype" w:eastAsia="Palatino Linotype" w:hAnsi="Palatino Linotype" w:cs="Palatino Linotype"/>
          <w:b/>
          <w:sz w:val="24"/>
          <w:szCs w:val="24"/>
          <w:highlight w:val="white"/>
        </w:rPr>
        <w:t>SOBRESEE</w:t>
      </w:r>
      <w:r w:rsidRPr="002911B7">
        <w:rPr>
          <w:rFonts w:ascii="Palatino Linotype" w:eastAsia="Palatino Linotype" w:hAnsi="Palatino Linotype" w:cs="Palatino Linotype"/>
          <w:sz w:val="24"/>
          <w:szCs w:val="24"/>
          <w:highlight w:val="white"/>
        </w:rPr>
        <w:t xml:space="preserve"> el recurso de revisión número </w:t>
      </w:r>
      <w:r w:rsidRPr="002911B7">
        <w:rPr>
          <w:rFonts w:ascii="Palatino Linotype" w:eastAsia="Palatino Linotype" w:hAnsi="Palatino Linotype" w:cs="Palatino Linotype"/>
          <w:b/>
          <w:sz w:val="24"/>
          <w:szCs w:val="24"/>
        </w:rPr>
        <w:t>14369/INFOEM/IP/RR/2022</w:t>
      </w:r>
      <w:r w:rsidRPr="002911B7">
        <w:rPr>
          <w:rFonts w:ascii="Palatino Linotype" w:eastAsia="Palatino Linotype" w:hAnsi="Palatino Linotype" w:cs="Palatino Linotype"/>
          <w:sz w:val="24"/>
          <w:szCs w:val="24"/>
        </w:rPr>
        <w:t xml:space="preserve">, de conformidad con lo dispuesto en la fracción III del artículo 192 de la Ley de Transparencia de la Entidad, porque al modificar la respuesta a la solicitud de acceso a la información </w:t>
      </w:r>
      <w:r w:rsidRPr="002911B7">
        <w:rPr>
          <w:rFonts w:ascii="Palatino Linotype" w:eastAsia="Palatino Linotype" w:hAnsi="Palatino Linotype" w:cs="Palatino Linotype"/>
          <w:b/>
          <w:sz w:val="24"/>
          <w:szCs w:val="24"/>
        </w:rPr>
        <w:t xml:space="preserve">04227/METEPEC/IP/2022 </w:t>
      </w:r>
      <w:r w:rsidRPr="002911B7">
        <w:rPr>
          <w:rFonts w:ascii="Palatino Linotype" w:eastAsia="Palatino Linotype" w:hAnsi="Palatino Linotype" w:cs="Palatino Linotype"/>
          <w:sz w:val="24"/>
          <w:szCs w:val="24"/>
        </w:rPr>
        <w:t>el Recurso de Revisión quedó sin materia en términos del Considerando Tercero de la presente resolución.</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360" w:lineRule="auto"/>
        <w:jc w:val="both"/>
        <w:rPr>
          <w:rFonts w:ascii="Palatino Linotype" w:eastAsia="Palatino Linotype" w:hAnsi="Palatino Linotype" w:cs="Palatino Linotype"/>
          <w:b/>
          <w:sz w:val="24"/>
          <w:szCs w:val="24"/>
        </w:rPr>
      </w:pPr>
      <w:r w:rsidRPr="002911B7">
        <w:rPr>
          <w:rFonts w:ascii="Palatino Linotype" w:eastAsia="Palatino Linotype" w:hAnsi="Palatino Linotype" w:cs="Palatino Linotype"/>
          <w:b/>
          <w:sz w:val="24"/>
          <w:szCs w:val="24"/>
          <w:highlight w:val="white"/>
        </w:rPr>
        <w:t xml:space="preserve">SEGUNDO. </w:t>
      </w:r>
      <w:r w:rsidRPr="002911B7">
        <w:rPr>
          <w:rFonts w:ascii="Palatino Linotype" w:eastAsia="Palatino Linotype" w:hAnsi="Palatino Linotype" w:cs="Palatino Linotype"/>
          <w:b/>
          <w:sz w:val="24"/>
          <w:szCs w:val="24"/>
        </w:rPr>
        <w:t xml:space="preserve">Notifíquese, </w:t>
      </w:r>
      <w:r w:rsidRPr="002911B7">
        <w:rPr>
          <w:rFonts w:ascii="Palatino Linotype" w:eastAsia="Palatino Linotype" w:hAnsi="Palatino Linotype" w:cs="Palatino Linotype"/>
          <w:sz w:val="24"/>
          <w:szCs w:val="24"/>
        </w:rPr>
        <w:t xml:space="preserve">vía </w:t>
      </w:r>
      <w:r w:rsidRPr="002911B7">
        <w:rPr>
          <w:rFonts w:ascii="Palatino Linotype" w:eastAsia="Palatino Linotype" w:hAnsi="Palatino Linotype" w:cs="Palatino Linotype"/>
          <w:b/>
          <w:sz w:val="24"/>
          <w:szCs w:val="24"/>
        </w:rPr>
        <w:t xml:space="preserve">SAIMEX, </w:t>
      </w:r>
      <w:r w:rsidRPr="002911B7">
        <w:rPr>
          <w:rFonts w:ascii="Palatino Linotype" w:eastAsia="Palatino Linotype" w:hAnsi="Palatino Linotype" w:cs="Palatino Linotype"/>
          <w:sz w:val="24"/>
          <w:szCs w:val="24"/>
        </w:rPr>
        <w:t xml:space="preserve">al Titular de la Unidad de Transparencia del </w:t>
      </w:r>
      <w:r w:rsidRPr="002911B7">
        <w:rPr>
          <w:rFonts w:ascii="Palatino Linotype" w:eastAsia="Palatino Linotype" w:hAnsi="Palatino Linotype" w:cs="Palatino Linotype"/>
          <w:b/>
          <w:sz w:val="24"/>
          <w:szCs w:val="24"/>
        </w:rPr>
        <w:t>SUJETO OBLIGADO</w:t>
      </w:r>
      <w:r w:rsidRPr="002911B7">
        <w:rPr>
          <w:rFonts w:ascii="Palatino Linotype" w:eastAsia="Palatino Linotype" w:hAnsi="Palatino Linotype" w:cs="Palatino Linotype"/>
          <w:sz w:val="24"/>
          <w:szCs w:val="24"/>
        </w:rPr>
        <w:t xml:space="preserve"> la presente resolución, para su conocimiento.</w:t>
      </w:r>
    </w:p>
    <w:p w:rsidR="00422DDA" w:rsidRPr="002911B7" w:rsidRDefault="00422DDA">
      <w:pPr>
        <w:spacing w:after="0" w:line="360" w:lineRule="auto"/>
        <w:jc w:val="both"/>
        <w:rPr>
          <w:rFonts w:ascii="Palatino Linotype" w:eastAsia="Palatino Linotype" w:hAnsi="Palatino Linotype" w:cs="Palatino Linotype"/>
          <w:sz w:val="24"/>
          <w:szCs w:val="24"/>
        </w:rPr>
      </w:pPr>
    </w:p>
    <w:p w:rsidR="00422DDA" w:rsidRPr="002911B7" w:rsidRDefault="00DC6E11">
      <w:pPr>
        <w:spacing w:after="0" w:line="360" w:lineRule="auto"/>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b/>
          <w:sz w:val="24"/>
          <w:szCs w:val="24"/>
        </w:rPr>
        <w:t xml:space="preserve">TERCERO. Notifíquese </w:t>
      </w:r>
      <w:r w:rsidRPr="002911B7">
        <w:rPr>
          <w:rFonts w:ascii="Palatino Linotype" w:eastAsia="Palatino Linotype" w:hAnsi="Palatino Linotype" w:cs="Palatino Linotype"/>
          <w:b/>
          <w:sz w:val="24"/>
          <w:szCs w:val="24"/>
          <w:highlight w:val="white"/>
        </w:rPr>
        <w:t>vía SAIMEX</w:t>
      </w:r>
      <w:r w:rsidRPr="002911B7">
        <w:rPr>
          <w:rFonts w:ascii="Palatino Linotype" w:eastAsia="Palatino Linotype" w:hAnsi="Palatino Linotype" w:cs="Palatino Linotype"/>
          <w:sz w:val="24"/>
          <w:szCs w:val="24"/>
        </w:rPr>
        <w:t xml:space="preserve">, al </w:t>
      </w:r>
      <w:r w:rsidRPr="002911B7">
        <w:rPr>
          <w:rFonts w:ascii="Palatino Linotype" w:eastAsia="Palatino Linotype" w:hAnsi="Palatino Linotype" w:cs="Palatino Linotype"/>
          <w:b/>
          <w:sz w:val="24"/>
          <w:szCs w:val="24"/>
        </w:rPr>
        <w:t>RECURRENTE</w:t>
      </w:r>
      <w:r w:rsidRPr="002911B7">
        <w:rPr>
          <w:rFonts w:ascii="Palatino Linotype" w:eastAsia="Palatino Linotype" w:hAnsi="Palatino Linotype" w:cs="Palatino Linotype"/>
          <w:sz w:val="24"/>
          <w:szCs w:val="24"/>
        </w:rPr>
        <w:t xml:space="preserve"> la presente resolución; así como, que de conformidad con lo establecido en el artículo 196 de la Ley de </w:t>
      </w:r>
      <w:r w:rsidRPr="002911B7">
        <w:rPr>
          <w:rFonts w:ascii="Palatino Linotype" w:eastAsia="Palatino Linotype" w:hAnsi="Palatino Linotype" w:cs="Palatino Linotype"/>
          <w:sz w:val="24"/>
          <w:szCs w:val="24"/>
        </w:rPr>
        <w:lastRenderedPageBreak/>
        <w:t>Transparencia y Acceso a la Información Pública del Estado de México y Municipios, podrá impugnar vía Juicio de Amparo en los términos de las leyes aplicables.</w:t>
      </w:r>
    </w:p>
    <w:p w:rsidR="00422DDA" w:rsidRPr="002911B7" w:rsidRDefault="00422DDA">
      <w:pPr>
        <w:spacing w:after="0" w:line="360" w:lineRule="auto"/>
        <w:ind w:right="49"/>
        <w:jc w:val="both"/>
        <w:rPr>
          <w:rFonts w:ascii="Palatino Linotype" w:eastAsia="Palatino Linotype" w:hAnsi="Palatino Linotype" w:cs="Palatino Linotype"/>
          <w:sz w:val="24"/>
          <w:szCs w:val="24"/>
        </w:rPr>
      </w:pPr>
    </w:p>
    <w:p w:rsidR="00422DDA" w:rsidRDefault="00DC6E11">
      <w:pPr>
        <w:spacing w:after="0" w:line="360" w:lineRule="auto"/>
        <w:ind w:right="49"/>
        <w:jc w:val="both"/>
        <w:rPr>
          <w:rFonts w:ascii="Palatino Linotype" w:eastAsia="Palatino Linotype" w:hAnsi="Palatino Linotype" w:cs="Palatino Linotype"/>
          <w:sz w:val="24"/>
          <w:szCs w:val="24"/>
        </w:rPr>
      </w:pPr>
      <w:r w:rsidRPr="002911B7">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SÉPTIMA SESIÓN ORDINARIA CELEBRADA EL DIEZ DE MAYO DE DOS MIL VEINTITRÉS, ANTE EL SECRETARIO TÉCNICO DEL PLENO ALEXIS TAPIA RAMÍREZ.</w:t>
      </w:r>
    </w:p>
    <w:p w:rsidR="00F84B70" w:rsidRDefault="00F84B70">
      <w:pPr>
        <w:spacing w:after="0" w:line="360" w:lineRule="auto"/>
        <w:ind w:right="49"/>
        <w:jc w:val="both"/>
        <w:rPr>
          <w:rFonts w:ascii="Palatino Linotype" w:eastAsia="Palatino Linotype" w:hAnsi="Palatino Linotype" w:cs="Palatino Linotype"/>
          <w:sz w:val="24"/>
          <w:szCs w:val="24"/>
        </w:rPr>
      </w:pPr>
    </w:p>
    <w:p w:rsidR="00F84B70" w:rsidRDefault="00F84B70">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376525</wp:posOffset>
                </wp:positionH>
                <wp:positionV relativeFrom="paragraph">
                  <wp:posOffset>80748</wp:posOffset>
                </wp:positionV>
                <wp:extent cx="5252484" cy="3264196"/>
                <wp:effectExtent l="0" t="0" r="24765" b="31750"/>
                <wp:wrapNone/>
                <wp:docPr id="1" name="Conector recto 1"/>
                <wp:cNvGraphicFramePr/>
                <a:graphic xmlns:a="http://schemas.openxmlformats.org/drawingml/2006/main">
                  <a:graphicData uri="http://schemas.microsoft.com/office/word/2010/wordprocessingShape">
                    <wps:wsp>
                      <wps:cNvCnPr/>
                      <wps:spPr>
                        <a:xfrm>
                          <a:off x="0" y="0"/>
                          <a:ext cx="5252484" cy="32641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0284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65pt,6.35pt" to="443.25pt,2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" strokecolor="#5b9bd5 [3204]" strokeweight=".5pt">
                <v:stroke joinstyle="miter"/>
              </v:line>
            </w:pict>
          </mc:Fallback>
        </mc:AlternateContent>
      </w:r>
    </w:p>
    <w:p w:rsidR="00F84B70" w:rsidRDefault="00F84B70">
      <w:pPr>
        <w:spacing w:after="0" w:line="360" w:lineRule="auto"/>
        <w:ind w:right="49"/>
        <w:jc w:val="both"/>
        <w:rPr>
          <w:rFonts w:ascii="Palatino Linotype" w:eastAsia="Palatino Linotype" w:hAnsi="Palatino Linotype" w:cs="Palatino Linotype"/>
          <w:sz w:val="24"/>
          <w:szCs w:val="24"/>
        </w:rPr>
      </w:pPr>
    </w:p>
    <w:p w:rsidR="00F84B70" w:rsidRDefault="00F84B70">
      <w:pPr>
        <w:spacing w:after="0" w:line="360" w:lineRule="auto"/>
        <w:ind w:right="49"/>
        <w:jc w:val="both"/>
        <w:rPr>
          <w:rFonts w:ascii="Palatino Linotype" w:eastAsia="Palatino Linotype" w:hAnsi="Palatino Linotype" w:cs="Palatino Linotype"/>
          <w:sz w:val="24"/>
          <w:szCs w:val="24"/>
        </w:rPr>
      </w:pPr>
    </w:p>
    <w:p w:rsidR="00F84B70" w:rsidRDefault="00F84B70">
      <w:pPr>
        <w:spacing w:after="0" w:line="360" w:lineRule="auto"/>
        <w:ind w:right="49"/>
        <w:jc w:val="both"/>
        <w:rPr>
          <w:rFonts w:ascii="Palatino Linotype" w:eastAsia="Palatino Linotype" w:hAnsi="Palatino Linotype" w:cs="Palatino Linotype"/>
          <w:sz w:val="24"/>
          <w:szCs w:val="24"/>
        </w:rPr>
      </w:pPr>
    </w:p>
    <w:p w:rsidR="00F84B70" w:rsidRDefault="00F84B70">
      <w:pPr>
        <w:spacing w:after="0" w:line="360" w:lineRule="auto"/>
        <w:ind w:right="49"/>
        <w:jc w:val="both"/>
        <w:rPr>
          <w:rFonts w:ascii="Palatino Linotype" w:eastAsia="Palatino Linotype" w:hAnsi="Palatino Linotype" w:cs="Palatino Linotype"/>
          <w:sz w:val="24"/>
          <w:szCs w:val="24"/>
        </w:rPr>
      </w:pPr>
    </w:p>
    <w:p w:rsidR="00F84B70" w:rsidRDefault="00F84B70">
      <w:pPr>
        <w:spacing w:after="0" w:line="360" w:lineRule="auto"/>
        <w:ind w:right="49"/>
        <w:jc w:val="both"/>
        <w:rPr>
          <w:rFonts w:ascii="Palatino Linotype" w:eastAsia="Palatino Linotype" w:hAnsi="Palatino Linotype" w:cs="Palatino Linotype"/>
          <w:sz w:val="24"/>
          <w:szCs w:val="24"/>
        </w:rPr>
      </w:pPr>
    </w:p>
    <w:p w:rsidR="00F84B70" w:rsidRDefault="00F84B70">
      <w:pPr>
        <w:spacing w:after="0" w:line="360" w:lineRule="auto"/>
        <w:ind w:right="49"/>
        <w:jc w:val="both"/>
        <w:rPr>
          <w:rFonts w:ascii="Palatino Linotype" w:eastAsia="Palatino Linotype" w:hAnsi="Palatino Linotype" w:cs="Palatino Linotype"/>
          <w:sz w:val="24"/>
          <w:szCs w:val="24"/>
        </w:rPr>
      </w:pPr>
    </w:p>
    <w:p w:rsidR="00F84B70" w:rsidRDefault="00F84B70">
      <w:pPr>
        <w:spacing w:after="0" w:line="360" w:lineRule="auto"/>
        <w:ind w:right="49"/>
        <w:jc w:val="both"/>
        <w:rPr>
          <w:rFonts w:ascii="Palatino Linotype" w:eastAsia="Palatino Linotype" w:hAnsi="Palatino Linotype" w:cs="Palatino Linotype"/>
          <w:sz w:val="24"/>
          <w:szCs w:val="24"/>
        </w:rPr>
      </w:pPr>
    </w:p>
    <w:p w:rsidR="00F84B70" w:rsidRDefault="00F84B70">
      <w:pPr>
        <w:spacing w:after="0" w:line="360" w:lineRule="auto"/>
        <w:ind w:right="49"/>
        <w:jc w:val="both"/>
        <w:rPr>
          <w:rFonts w:ascii="Palatino Linotype" w:eastAsia="Palatino Linotype" w:hAnsi="Palatino Linotype" w:cs="Palatino Linotype"/>
          <w:sz w:val="24"/>
          <w:szCs w:val="24"/>
        </w:rPr>
      </w:pPr>
    </w:p>
    <w:p w:rsidR="00F84B70" w:rsidRDefault="00F84B70">
      <w:pPr>
        <w:spacing w:after="0" w:line="360" w:lineRule="auto"/>
        <w:ind w:right="49"/>
        <w:jc w:val="both"/>
        <w:rPr>
          <w:rFonts w:ascii="Palatino Linotype" w:eastAsia="Palatino Linotype" w:hAnsi="Palatino Linotype" w:cs="Palatino Linotype"/>
          <w:sz w:val="24"/>
          <w:szCs w:val="24"/>
        </w:rPr>
      </w:pPr>
    </w:p>
    <w:p w:rsidR="00F84B70" w:rsidRDefault="00F84B70">
      <w:pPr>
        <w:spacing w:after="0" w:line="360" w:lineRule="auto"/>
        <w:ind w:right="49"/>
        <w:jc w:val="both"/>
        <w:rPr>
          <w:rFonts w:ascii="Palatino Linotype" w:eastAsia="Palatino Linotype" w:hAnsi="Palatino Linotype" w:cs="Palatino Linotype"/>
          <w:sz w:val="24"/>
          <w:szCs w:val="24"/>
        </w:rPr>
      </w:pPr>
    </w:p>
    <w:p w:rsidR="00F84B70" w:rsidRPr="002911B7" w:rsidRDefault="00F84B70">
      <w:pPr>
        <w:spacing w:after="0" w:line="360" w:lineRule="auto"/>
        <w:ind w:right="49"/>
        <w:jc w:val="both"/>
        <w:rPr>
          <w:rFonts w:ascii="Palatino Linotype" w:eastAsia="Palatino Linotype" w:hAnsi="Palatino Linotype" w:cs="Palatino Linotype"/>
          <w:sz w:val="28"/>
          <w:szCs w:val="28"/>
        </w:rPr>
      </w:pPr>
    </w:p>
    <w:sectPr w:rsidR="00F84B70" w:rsidRPr="002911B7">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AC6" w:rsidRDefault="00440AC6">
      <w:pPr>
        <w:spacing w:after="0" w:line="240" w:lineRule="auto"/>
      </w:pPr>
      <w:r>
        <w:separator/>
      </w:r>
    </w:p>
  </w:endnote>
  <w:endnote w:type="continuationSeparator" w:id="0">
    <w:p w:rsidR="00440AC6" w:rsidRDefault="0044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DDA" w:rsidRDefault="00DC6E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3206C">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3206C">
      <w:rPr>
        <w:b/>
        <w:noProof/>
        <w:color w:val="000000"/>
        <w:sz w:val="24"/>
        <w:szCs w:val="24"/>
      </w:rPr>
      <w:t>40</w:t>
    </w:r>
    <w:r>
      <w:rPr>
        <w:b/>
        <w:color w:val="000000"/>
        <w:sz w:val="24"/>
        <w:szCs w:val="24"/>
      </w:rPr>
      <w:fldChar w:fldCharType="end"/>
    </w:r>
  </w:p>
  <w:p w:rsidR="00422DDA" w:rsidRDefault="00422DD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DDA" w:rsidRDefault="00DC6E1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3206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3206C">
      <w:rPr>
        <w:b/>
        <w:noProof/>
        <w:color w:val="000000"/>
        <w:sz w:val="24"/>
        <w:szCs w:val="24"/>
      </w:rPr>
      <w:t>40</w:t>
    </w:r>
    <w:r>
      <w:rPr>
        <w:b/>
        <w:color w:val="000000"/>
        <w:sz w:val="24"/>
        <w:szCs w:val="24"/>
      </w:rPr>
      <w:fldChar w:fldCharType="end"/>
    </w:r>
  </w:p>
  <w:p w:rsidR="00422DDA" w:rsidRDefault="00422DD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AC6" w:rsidRDefault="00440AC6">
      <w:pPr>
        <w:spacing w:after="0" w:line="240" w:lineRule="auto"/>
      </w:pPr>
      <w:r>
        <w:separator/>
      </w:r>
    </w:p>
  </w:footnote>
  <w:footnote w:type="continuationSeparator" w:id="0">
    <w:p w:rsidR="00440AC6" w:rsidRDefault="00440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DDA" w:rsidRDefault="00DC6E1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-753109</wp:posOffset>
          </wp:positionH>
          <wp:positionV relativeFrom="paragraph">
            <wp:posOffset>-402589</wp:posOffset>
          </wp:positionV>
          <wp:extent cx="7809865" cy="10165715"/>
          <wp:effectExtent l="0" t="0" r="0" b="0"/>
          <wp:wrapNone/>
          <wp:docPr id="10389075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422DDA">
      <w:tc>
        <w:tcPr>
          <w:tcW w:w="2551" w:type="dxa"/>
          <w:vAlign w:val="center"/>
        </w:tcPr>
        <w:p w:rsidR="00422DDA" w:rsidRDefault="00DC6E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422DDA" w:rsidRDefault="00DC6E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14369/INFOEM/IP/RR/2022</w:t>
          </w:r>
        </w:p>
      </w:tc>
    </w:tr>
    <w:tr w:rsidR="00422DDA">
      <w:trPr>
        <w:trHeight w:val="55"/>
      </w:trPr>
      <w:tc>
        <w:tcPr>
          <w:tcW w:w="2551" w:type="dxa"/>
          <w:vAlign w:val="center"/>
        </w:tcPr>
        <w:p w:rsidR="00422DDA" w:rsidRDefault="00DC6E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422DDA" w:rsidRDefault="00DC6E11">
          <w:pPr>
            <w:jc w:val="both"/>
            <w:rPr>
              <w:rFonts w:ascii="Palatino Linotype" w:eastAsia="Palatino Linotype" w:hAnsi="Palatino Linotype" w:cs="Palatino Linotype"/>
              <w:sz w:val="36"/>
              <w:szCs w:val="36"/>
            </w:rPr>
          </w:pPr>
          <w:r>
            <w:rPr>
              <w:rFonts w:ascii="Palatino Linotype" w:eastAsia="Palatino Linotype" w:hAnsi="Palatino Linotype" w:cs="Palatino Linotype"/>
              <w:b/>
            </w:rPr>
            <w:t>Ayuntamiento de Metepec</w:t>
          </w:r>
        </w:p>
      </w:tc>
    </w:tr>
    <w:tr w:rsidR="00422DDA">
      <w:tc>
        <w:tcPr>
          <w:tcW w:w="2551" w:type="dxa"/>
          <w:vAlign w:val="center"/>
        </w:tcPr>
        <w:p w:rsidR="00422DDA" w:rsidRDefault="00DC6E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422DDA" w:rsidRDefault="00DC6E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422DDA" w:rsidRDefault="00422DD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DDA" w:rsidRDefault="00DC6E1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simplePos x="0" y="0"/>
          <wp:positionH relativeFrom="column">
            <wp:posOffset>-761364</wp:posOffset>
          </wp:positionH>
          <wp:positionV relativeFrom="paragraph">
            <wp:posOffset>-166369</wp:posOffset>
          </wp:positionV>
          <wp:extent cx="7809876" cy="10165823"/>
          <wp:effectExtent l="0" t="0" r="0" b="0"/>
          <wp:wrapNone/>
          <wp:docPr id="10389075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422DDA">
      <w:tc>
        <w:tcPr>
          <w:tcW w:w="2551" w:type="dxa"/>
          <w:vAlign w:val="center"/>
        </w:tcPr>
        <w:p w:rsidR="00422DDA" w:rsidRDefault="00DC6E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422DDA" w:rsidRDefault="00DC6E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14369/INFOEM/IP/RR/2022</w:t>
          </w:r>
        </w:p>
      </w:tc>
    </w:tr>
    <w:tr w:rsidR="00422DDA">
      <w:tc>
        <w:tcPr>
          <w:tcW w:w="2551" w:type="dxa"/>
          <w:vAlign w:val="center"/>
        </w:tcPr>
        <w:p w:rsidR="00422DDA" w:rsidRDefault="00DC6E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rsidR="00422DDA" w:rsidRDefault="00422DD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422DDA">
      <w:trPr>
        <w:trHeight w:val="55"/>
      </w:trPr>
      <w:tc>
        <w:tcPr>
          <w:tcW w:w="2551" w:type="dxa"/>
          <w:vAlign w:val="center"/>
        </w:tcPr>
        <w:p w:rsidR="00422DDA" w:rsidRDefault="00DC6E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422DDA" w:rsidRDefault="00DC6E11">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Metepec</w:t>
          </w:r>
        </w:p>
      </w:tc>
    </w:tr>
    <w:tr w:rsidR="00422DDA">
      <w:tc>
        <w:tcPr>
          <w:tcW w:w="2551" w:type="dxa"/>
          <w:vAlign w:val="center"/>
        </w:tcPr>
        <w:p w:rsidR="00422DDA" w:rsidRDefault="00DC6E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422DDA" w:rsidRDefault="00DC6E1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422DDA" w:rsidRDefault="00DC6E1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15097"/>
    <w:multiLevelType w:val="multilevel"/>
    <w:tmpl w:val="D4AEAC7C"/>
    <w:lvl w:ilvl="0">
      <w:start w:val="3"/>
      <w:numFmt w:val="bullet"/>
      <w:lvlText w:val="-"/>
      <w:lvlJc w:val="left"/>
      <w:pPr>
        <w:ind w:left="1080" w:hanging="360"/>
      </w:pPr>
      <w:rPr>
        <w:rFonts w:ascii="Palatino Linotype" w:eastAsia="Palatino Linotype" w:hAnsi="Palatino Linotype" w:cs="Palatino Linotype"/>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1EBC441E"/>
    <w:multiLevelType w:val="multilevel"/>
    <w:tmpl w:val="07B85C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6E50C9"/>
    <w:multiLevelType w:val="multilevel"/>
    <w:tmpl w:val="C568A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E6E2AC2"/>
    <w:multiLevelType w:val="multilevel"/>
    <w:tmpl w:val="0A6AE70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5F969E6"/>
    <w:multiLevelType w:val="multilevel"/>
    <w:tmpl w:val="C6B0D13A"/>
    <w:lvl w:ilvl="0">
      <w:start w:val="1"/>
      <w:numFmt w:val="bullet"/>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A4C712D"/>
    <w:multiLevelType w:val="multilevel"/>
    <w:tmpl w:val="487E730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nsid w:val="5ED677E8"/>
    <w:multiLevelType w:val="multilevel"/>
    <w:tmpl w:val="ACE8D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DA"/>
    <w:rsid w:val="002911B7"/>
    <w:rsid w:val="00422DDA"/>
    <w:rsid w:val="00440AC6"/>
    <w:rsid w:val="0085330B"/>
    <w:rsid w:val="00C86F60"/>
    <w:rsid w:val="00D22E61"/>
    <w:rsid w:val="00DC6E11"/>
    <w:rsid w:val="00E3206C"/>
    <w:rsid w:val="00F84B70"/>
    <w:rsid w:val="00FC0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8CCB5-98CB-4576-AE16-A4D537B8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OK23pP6ewILj/W5krIcUvybcgg==">AMUW2mVX4WKpkO4qlzFZd0YKpmjGntmyu1t6LyCEFk+rSbQ1Nxe7Jar74+at+zm6hm6UUhp28QvEfsVnM40MMRZIrmLm9MHABwvLyZuwdqsBlviu5QMaZk+QA+ypWlE1RcrXeiQM41YM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9160</Words>
  <Characters>50383</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USUARIO</cp:lastModifiedBy>
  <cp:revision>2</cp:revision>
  <cp:lastPrinted>2023-05-12T15:55:00Z</cp:lastPrinted>
  <dcterms:created xsi:type="dcterms:W3CDTF">2023-05-17T20:30:00Z</dcterms:created>
  <dcterms:modified xsi:type="dcterms:W3CDTF">2023-05-17T20:30:00Z</dcterms:modified>
</cp:coreProperties>
</file>