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7BAA3"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veintitrés. </w:t>
      </w:r>
    </w:p>
    <w:p w14:paraId="5E9FD6F4" w14:textId="197D554A"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b/>
        </w:rPr>
        <w:t>VISTO</w:t>
      </w:r>
      <w:r w:rsidRPr="00F24792">
        <w:rPr>
          <w:rFonts w:ascii="Palatino Linotype" w:eastAsia="Palatino Linotype" w:hAnsi="Palatino Linotype" w:cs="Palatino Linotype"/>
        </w:rPr>
        <w:t xml:space="preserve"> el expediente formado con motivo del recurso de revisión </w:t>
      </w:r>
      <w:r w:rsidRPr="00F24792">
        <w:rPr>
          <w:rFonts w:ascii="Palatino Linotype" w:eastAsia="Palatino Linotype" w:hAnsi="Palatino Linotype" w:cs="Palatino Linotype"/>
          <w:b/>
        </w:rPr>
        <w:t>01229/INFOEM/IP/RR/2023</w:t>
      </w:r>
      <w:r w:rsidRPr="00F24792">
        <w:rPr>
          <w:rFonts w:ascii="Palatino Linotype" w:eastAsia="Palatino Linotype" w:hAnsi="Palatino Linotype" w:cs="Palatino Linotype"/>
        </w:rPr>
        <w:t xml:space="preserve">, interpuesto por </w:t>
      </w:r>
      <w:r w:rsidR="00FB5473">
        <w:rPr>
          <w:rFonts w:ascii="Palatino Linotype" w:eastAsia="Palatino Linotype" w:hAnsi="Palatino Linotype" w:cs="Palatino Linotype"/>
          <w:b/>
        </w:rPr>
        <w:t>XXXX XXXXXXX XXXXXX</w:t>
      </w:r>
      <w:r w:rsidRPr="00F24792">
        <w:rPr>
          <w:rFonts w:ascii="Palatino Linotype" w:eastAsia="Palatino Linotype" w:hAnsi="Palatino Linotype" w:cs="Palatino Linotype"/>
          <w:b/>
        </w:rPr>
        <w:t>,</w:t>
      </w:r>
      <w:r w:rsidRPr="00F24792">
        <w:rPr>
          <w:rFonts w:ascii="Palatino Linotype" w:eastAsia="Palatino Linotype" w:hAnsi="Palatino Linotype" w:cs="Palatino Linotype"/>
        </w:rPr>
        <w:t xml:space="preserve"> en lo sucesivo</w:t>
      </w:r>
      <w:r w:rsidRPr="00F24792">
        <w:rPr>
          <w:rFonts w:ascii="Palatino Linotype" w:eastAsia="Palatino Linotype" w:hAnsi="Palatino Linotype" w:cs="Palatino Linotype"/>
          <w:b/>
        </w:rPr>
        <w:t xml:space="preserve"> </w:t>
      </w:r>
      <w:r w:rsidRPr="00F24792">
        <w:rPr>
          <w:rFonts w:ascii="Palatino Linotype" w:eastAsia="Palatino Linotype" w:hAnsi="Palatino Linotype" w:cs="Palatino Linotype"/>
        </w:rPr>
        <w:t xml:space="preserve">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en contra de la respuesta a su solicitud por parte del </w:t>
      </w:r>
      <w:r w:rsidRPr="00F24792">
        <w:rPr>
          <w:rFonts w:ascii="Palatino Linotype" w:eastAsia="Palatino Linotype" w:hAnsi="Palatino Linotype" w:cs="Palatino Linotype"/>
          <w:b/>
        </w:rPr>
        <w:t xml:space="preserve">Secretaría de Cultura y Turismo, </w:t>
      </w:r>
      <w:r w:rsidRPr="00F24792">
        <w:rPr>
          <w:rFonts w:ascii="Palatino Linotype" w:eastAsia="Palatino Linotype" w:hAnsi="Palatino Linotype" w:cs="Palatino Linotype"/>
        </w:rPr>
        <w:t xml:space="preserve">en lo sucesivo 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 xml:space="preserve">se procede a dictar la presente resolución con base en los siguientes: </w:t>
      </w:r>
    </w:p>
    <w:p w14:paraId="35064361" w14:textId="77777777" w:rsidR="00FA7D54" w:rsidRPr="00F24792" w:rsidRDefault="00591239">
      <w:pPr>
        <w:spacing w:before="240" w:after="240" w:line="360" w:lineRule="auto"/>
        <w:jc w:val="center"/>
        <w:rPr>
          <w:rFonts w:ascii="Palatino Linotype" w:eastAsia="Palatino Linotype" w:hAnsi="Palatino Linotype" w:cs="Palatino Linotype"/>
          <w:b/>
        </w:rPr>
      </w:pPr>
      <w:r w:rsidRPr="00F24792">
        <w:rPr>
          <w:rFonts w:ascii="Palatino Linotype" w:eastAsia="Palatino Linotype" w:hAnsi="Palatino Linotype" w:cs="Palatino Linotype"/>
          <w:b/>
        </w:rPr>
        <w:t>I. A N T E C E D E N T E S</w:t>
      </w:r>
    </w:p>
    <w:p w14:paraId="4C53B9ED"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b/>
        </w:rPr>
        <w:t>1. Solicitud de acceso a la información.</w:t>
      </w:r>
      <w:r w:rsidRPr="00F24792">
        <w:rPr>
          <w:rFonts w:ascii="Palatino Linotype" w:eastAsia="Palatino Linotype" w:hAnsi="Palatino Linotype" w:cs="Palatino Linotype"/>
        </w:rPr>
        <w:t xml:space="preserve"> Con fecha </w:t>
      </w:r>
      <w:r w:rsidRPr="00F24792">
        <w:rPr>
          <w:rFonts w:ascii="Palatino Linotype" w:eastAsia="Palatino Linotype" w:hAnsi="Palatino Linotype" w:cs="Palatino Linotype"/>
          <w:b/>
        </w:rPr>
        <w:t>siete de febrero de dos mil veintitrés,</w:t>
      </w:r>
      <w:r w:rsidRPr="00F24792">
        <w:rPr>
          <w:rFonts w:ascii="Palatino Linotype" w:eastAsia="Palatino Linotype" w:hAnsi="Palatino Linotype" w:cs="Palatino Linotype"/>
        </w:rPr>
        <w:t xml:space="preserve"> la parte </w:t>
      </w:r>
      <w:r w:rsidRPr="00F24792">
        <w:rPr>
          <w:rFonts w:ascii="Palatino Linotype" w:eastAsia="Palatino Linotype" w:hAnsi="Palatino Linotype" w:cs="Palatino Linotype"/>
          <w:b/>
        </w:rPr>
        <w:t xml:space="preserve">Recurrente </w:t>
      </w:r>
      <w:r w:rsidRPr="00F24792">
        <w:rPr>
          <w:rFonts w:ascii="Palatino Linotype" w:eastAsia="Palatino Linotype" w:hAnsi="Palatino Linotype" w:cs="Palatino Linotype"/>
        </w:rPr>
        <w:t xml:space="preserve">presentó, a través del Sistema de Acceso a la Información Mexiquense, en lo subsecuente el </w:t>
      </w:r>
      <w:r w:rsidRPr="00F24792">
        <w:rPr>
          <w:rFonts w:ascii="Palatino Linotype" w:eastAsia="Palatino Linotype" w:hAnsi="Palatino Linotype" w:cs="Palatino Linotype"/>
          <w:b/>
        </w:rPr>
        <w:t>SAIMEX,</w:t>
      </w:r>
      <w:r w:rsidRPr="00F24792">
        <w:rPr>
          <w:rFonts w:ascii="Palatino Linotype" w:eastAsia="Palatino Linotype" w:hAnsi="Palatino Linotype" w:cs="Palatino Linotype"/>
        </w:rPr>
        <w:t xml:space="preserve"> ante 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la solicitud de acceso a la información pública, a la que se le asignó el número</w:t>
      </w:r>
      <w:r w:rsidRPr="00F24792">
        <w:rPr>
          <w:rFonts w:ascii="Palatino Linotype" w:eastAsia="Palatino Linotype" w:hAnsi="Palatino Linotype" w:cs="Palatino Linotype"/>
          <w:b/>
        </w:rPr>
        <w:t xml:space="preserve"> 00035/SCTUR/IP/2023, </w:t>
      </w:r>
      <w:r w:rsidRPr="00F24792">
        <w:rPr>
          <w:rFonts w:ascii="Palatino Linotype" w:eastAsia="Palatino Linotype" w:hAnsi="Palatino Linotype" w:cs="Palatino Linotype"/>
        </w:rPr>
        <w:t xml:space="preserve">mediante la cual requirió la información siguiente: </w:t>
      </w:r>
    </w:p>
    <w:p w14:paraId="4310A332" w14:textId="77777777" w:rsidR="00FA7D54" w:rsidRPr="00F24792" w:rsidRDefault="00591239">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F24792">
        <w:rPr>
          <w:rFonts w:ascii="Palatino Linotype" w:eastAsia="Palatino Linotype" w:hAnsi="Palatino Linotype" w:cs="Palatino Linotype"/>
          <w:i/>
          <w:sz w:val="22"/>
          <w:szCs w:val="22"/>
        </w:rPr>
        <w:t xml:space="preserve">“1.- Cuántos programas de Desarrollo Social tiene la Secretaría de Cultura y Turismo. 2.- Cuales son las Reglas de operación desde 2017 hasta 2023 de cada uno de los Programas Sociales. 3.- Cuál ha sido el recurso asignado para cada programa desde 2017 hasta 2023. 4.- en qué capítulos de gasto y partidas presupuestales se han ejercido tales recursos. 5.- Cuantas evaluaciones desde 2013 hasta 2023 y de que tipo, se han realizado a dichos programas sociales. 6.-Cómo se determina la funcionalidad, cobertura e impacto de los programas sociales en cada ejercicio fiscal.7.- donde se pueden consultar las evaluaciones que se han realizado y si no las han hecho cuál ha sido el motivo. 8.- que ordenamiento jurídico regula, sustenta y/o mandata la realización de evaluaciones a programas </w:t>
      </w:r>
      <w:r w:rsidRPr="00F24792">
        <w:rPr>
          <w:rFonts w:ascii="Palatino Linotype" w:eastAsia="Palatino Linotype" w:hAnsi="Palatino Linotype" w:cs="Palatino Linotype"/>
          <w:i/>
          <w:sz w:val="22"/>
          <w:szCs w:val="22"/>
        </w:rPr>
        <w:lastRenderedPageBreak/>
        <w:t>sociales en el Estado de México. 9.- cuantos y cuales municipios se han beneficiado de cada programa social desde 2013 hasta 2023 y 10.- cuantas personas de cada municipio se han beneficiado de cada programa social desde 2013 hasta 2023.</w:t>
      </w:r>
      <w:r w:rsidRPr="00F24792">
        <w:rPr>
          <w:rFonts w:ascii="Palatino Linotype" w:eastAsia="Palatino Linotype" w:hAnsi="Palatino Linotype" w:cs="Palatino Linotype"/>
          <w:b/>
          <w:i/>
          <w:sz w:val="22"/>
          <w:szCs w:val="22"/>
        </w:rPr>
        <w:t>”</w:t>
      </w:r>
      <w:r w:rsidRPr="00F24792">
        <w:rPr>
          <w:rFonts w:ascii="Palatino Linotype" w:eastAsia="Palatino Linotype" w:hAnsi="Palatino Linotype" w:cs="Palatino Linotype"/>
          <w:i/>
          <w:sz w:val="22"/>
          <w:szCs w:val="22"/>
        </w:rPr>
        <w:t xml:space="preserve"> (sic) </w:t>
      </w:r>
    </w:p>
    <w:p w14:paraId="705196CB" w14:textId="77777777" w:rsidR="00FA7D54" w:rsidRPr="00F24792" w:rsidRDefault="00591239">
      <w:pPr>
        <w:spacing w:before="240"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no adjuntó archivos.</w:t>
      </w:r>
    </w:p>
    <w:p w14:paraId="0512DD97"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b/>
        </w:rPr>
        <w:t>Modalidad de Entrega:</w:t>
      </w:r>
      <w:r w:rsidRPr="00F24792">
        <w:rPr>
          <w:rFonts w:ascii="Palatino Linotype" w:eastAsia="Palatino Linotype" w:hAnsi="Palatino Linotype" w:cs="Palatino Linotype"/>
        </w:rPr>
        <w:t xml:space="preserve"> a través </w:t>
      </w:r>
      <w:r w:rsidRPr="00F24792">
        <w:rPr>
          <w:rFonts w:ascii="Palatino Linotype" w:eastAsia="Palatino Linotype" w:hAnsi="Palatino Linotype" w:cs="Palatino Linotype"/>
          <w:b/>
        </w:rPr>
        <w:t>de SAIMEX</w:t>
      </w:r>
    </w:p>
    <w:p w14:paraId="3FCB9670" w14:textId="77777777" w:rsidR="00FA7D54" w:rsidRPr="00F24792" w:rsidRDefault="00591239">
      <w:pPr>
        <w:spacing w:before="240" w:after="240" w:line="360" w:lineRule="auto"/>
        <w:jc w:val="both"/>
        <w:rPr>
          <w:rFonts w:ascii="Palatino Linotype" w:eastAsia="Palatino Linotype" w:hAnsi="Palatino Linotype" w:cs="Palatino Linotype"/>
        </w:rPr>
      </w:pPr>
      <w:bookmarkStart w:id="1" w:name="_heading=h.3dy6vkm" w:colFirst="0" w:colLast="0"/>
      <w:bookmarkEnd w:id="1"/>
      <w:r w:rsidRPr="00F24792">
        <w:rPr>
          <w:rFonts w:ascii="Palatino Linotype" w:eastAsia="Palatino Linotype" w:hAnsi="Palatino Linotype" w:cs="Palatino Linotype"/>
          <w:b/>
        </w:rPr>
        <w:t xml:space="preserve">2. Incompetencia Parcial. </w:t>
      </w:r>
      <w:r w:rsidRPr="00F24792">
        <w:rPr>
          <w:rFonts w:ascii="Palatino Linotype" w:eastAsia="Palatino Linotype" w:hAnsi="Palatino Linotype" w:cs="Palatino Linotype"/>
        </w:rPr>
        <w:t>Con fecha</w:t>
      </w:r>
      <w:r w:rsidRPr="00F24792">
        <w:rPr>
          <w:rFonts w:ascii="Palatino Linotype" w:eastAsia="Palatino Linotype" w:hAnsi="Palatino Linotype" w:cs="Palatino Linotype"/>
          <w:b/>
        </w:rPr>
        <w:t xml:space="preserve"> ocho de febrero de dos mil veintitrés</w:t>
      </w:r>
      <w:r w:rsidRPr="00F24792">
        <w:rPr>
          <w:rFonts w:ascii="Palatino Linotype" w:eastAsia="Palatino Linotype" w:hAnsi="Palatino Linotype" w:cs="Palatino Linotype"/>
        </w:rPr>
        <w:t xml:space="preserve">, 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notificó la incompetencia parcial para atender la solicitud de información, en los siguientes términos:</w:t>
      </w:r>
    </w:p>
    <w:p w14:paraId="00572374" w14:textId="77777777" w:rsidR="00FA7D54" w:rsidRPr="00F24792" w:rsidRDefault="00591239">
      <w:pPr>
        <w:spacing w:before="120" w:after="120"/>
        <w:ind w:left="851" w:right="902"/>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i/>
          <w:sz w:val="22"/>
          <w:szCs w:val="22"/>
        </w:rPr>
        <w:t xml:space="preserve">“Con fundamento en el Artículo 167 de la Ley de Transparencia y Acceso a la Información Pública del Estado de México y Municipios, que a la letra dice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r w:rsidRPr="00F24792">
        <w:rPr>
          <w:rFonts w:ascii="Palatino Linotype" w:eastAsia="Palatino Linotype" w:hAnsi="Palatino Linotype" w:cs="Palatino Linotype"/>
          <w:b/>
          <w:i/>
          <w:sz w:val="22"/>
          <w:szCs w:val="22"/>
        </w:rPr>
        <w:t>le informamos que el Instituto de Investigación y Fomento de las Artesanías del Estado de México; Organismo Público Descentralizado de la Secretaría de Cultura y Turismo, también es competente para conocer de su solicitud de información,</w:t>
      </w:r>
      <w:r w:rsidRPr="00F24792">
        <w:rPr>
          <w:rFonts w:ascii="Palatino Linotype" w:eastAsia="Palatino Linotype" w:hAnsi="Palatino Linotype" w:cs="Palatino Linotype"/>
          <w:i/>
          <w:sz w:val="22"/>
          <w:szCs w:val="22"/>
        </w:rPr>
        <w:t xml:space="preserve"> por lo que su dirección, número de telefónico oficial y correo electrónico oficial, y para recibir solicitudes de información pública, se pueden consultar el siguiente link: </w:t>
      </w:r>
      <w:hyperlink r:id="rId8">
        <w:r w:rsidRPr="00F24792">
          <w:rPr>
            <w:rFonts w:ascii="Palatino Linotype" w:eastAsia="Palatino Linotype" w:hAnsi="Palatino Linotype" w:cs="Palatino Linotype"/>
            <w:i/>
            <w:sz w:val="22"/>
            <w:szCs w:val="22"/>
            <w:u w:val="single"/>
          </w:rPr>
          <w:t>https://www.ipomex.org.mx/ipo3/lgt/indice/IIFAEM/art_92_xvi/4.web?token=03AFY_a8WJRtAqMA4KoA1o4r_rM2twOcdqDyC21Ym-Fld8WbD4heOUfM341wlysIVUT2KUwmP606bwX--XMJ6zhWNy9jDVOeQkUaKXdsNCET11bdvzLgZmRGjXcTBRMmyl7d58W0fgbGBKxvZrXLoEj5huiFq5aA4uwa3FSWXoMV9waqs0hw-V0QckLHwNhTFKefEGbYRWEaaaiz3QJNuCmbXAHClAP6YKG_17IHdj2EJV2EMGzTwkACVEMKFmvzxP_MkPsNy2txd1sqzSt_O7IQuhZKXK6iLjF2exKqcdUNEje90tcb8NukReG7N5thAUbvWPpq8fXKkn4C50HcOSXfwZWdQQaQl3YppHDB4szwWBUPwMq8OSIJMwvR8JxA-2DpPMwZtzum-QFpKDbpCfHSzogHTn3yCKITMAhobaORZqKK3n4fL1pDIFXJOezywNCvt</w:t>
        </w:r>
        <w:r w:rsidRPr="00F24792">
          <w:rPr>
            <w:rFonts w:ascii="Palatino Linotype" w:eastAsia="Palatino Linotype" w:hAnsi="Palatino Linotype" w:cs="Palatino Linotype"/>
            <w:i/>
            <w:sz w:val="22"/>
            <w:szCs w:val="22"/>
            <w:u w:val="single"/>
          </w:rPr>
          <w:lastRenderedPageBreak/>
          <w:t>hbdS6Br2701tuY653J0Q428Qd7EdJ81SvjWzhihh2sUBmQAUc-MHEZn9dch5T6q6XNjqMtrOtgoYIUuwyapYKIqYc92NNpg</w:t>
        </w:r>
      </w:hyperlink>
      <w:r w:rsidRPr="00F24792">
        <w:rPr>
          <w:rFonts w:ascii="Palatino Linotype" w:eastAsia="Palatino Linotype" w:hAnsi="Palatino Linotype" w:cs="Palatino Linotype"/>
          <w:i/>
          <w:sz w:val="22"/>
          <w:szCs w:val="22"/>
        </w:rPr>
        <w:t xml:space="preserve">” (sic) </w:t>
      </w:r>
    </w:p>
    <w:p w14:paraId="29F7C7AC" w14:textId="77777777" w:rsidR="00FA7D54" w:rsidRPr="00F24792" w:rsidRDefault="00591239">
      <w:pPr>
        <w:spacing w:before="240"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adjuntó el archivo “</w:t>
      </w:r>
      <w:r w:rsidRPr="00F24792">
        <w:rPr>
          <w:rFonts w:ascii="Palatino Linotype" w:eastAsia="Palatino Linotype" w:hAnsi="Palatino Linotype" w:cs="Palatino Linotype"/>
          <w:i/>
        </w:rPr>
        <w:t>Artículo 167 (Incompetencia IIFAEM).docx</w:t>
      </w:r>
      <w:r w:rsidRPr="00F24792">
        <w:rPr>
          <w:rFonts w:ascii="Palatino Linotype" w:eastAsia="Palatino Linotype" w:hAnsi="Palatino Linotype" w:cs="Palatino Linotype"/>
        </w:rPr>
        <w:t>”, cuyo contenido es el siguiente:</w:t>
      </w:r>
    </w:p>
    <w:p w14:paraId="21B3E39C" w14:textId="77777777" w:rsidR="00FA7D54" w:rsidRPr="00F24792" w:rsidRDefault="00591239">
      <w:pPr>
        <w:spacing w:before="240" w:after="240" w:line="360" w:lineRule="auto"/>
        <w:jc w:val="both"/>
        <w:rPr>
          <w:rFonts w:ascii="Palatino Linotype" w:eastAsia="Palatino Linotype" w:hAnsi="Palatino Linotype" w:cs="Palatino Linotype"/>
          <w:b/>
        </w:rPr>
      </w:pPr>
      <w:r w:rsidRPr="00F24792">
        <w:rPr>
          <w:noProof/>
        </w:rPr>
        <w:drawing>
          <wp:inline distT="0" distB="0" distL="0" distR="0" wp14:anchorId="0304A52C" wp14:editId="644138C9">
            <wp:extent cx="5612130" cy="4495800"/>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612130" cy="4495800"/>
                    </a:xfrm>
                    <a:prstGeom prst="rect">
                      <a:avLst/>
                    </a:prstGeom>
                    <a:ln/>
                  </pic:spPr>
                </pic:pic>
              </a:graphicData>
            </a:graphic>
          </wp:inline>
        </w:drawing>
      </w:r>
    </w:p>
    <w:p w14:paraId="0D2F9C89" w14:textId="77777777" w:rsidR="00FA7D54" w:rsidRPr="00F24792" w:rsidRDefault="00591239">
      <w:pPr>
        <w:spacing w:before="240" w:after="240" w:line="360" w:lineRule="auto"/>
        <w:jc w:val="both"/>
        <w:rPr>
          <w:rFonts w:ascii="Palatino Linotype" w:eastAsia="Palatino Linotype" w:hAnsi="Palatino Linotype" w:cs="Palatino Linotype"/>
          <w:b/>
        </w:rPr>
      </w:pPr>
      <w:r w:rsidRPr="00F24792">
        <w:rPr>
          <w:rFonts w:ascii="Palatino Linotype" w:eastAsia="Palatino Linotype" w:hAnsi="Palatino Linotype" w:cs="Palatino Linotype"/>
          <w:b/>
        </w:rPr>
        <w:t xml:space="preserve">3. Respuesta. </w:t>
      </w:r>
      <w:r w:rsidRPr="00F24792">
        <w:rPr>
          <w:rFonts w:ascii="Palatino Linotype" w:eastAsia="Palatino Linotype" w:hAnsi="Palatino Linotype" w:cs="Palatino Linotype"/>
        </w:rPr>
        <w:t>Con fecha</w:t>
      </w:r>
      <w:r w:rsidRPr="00F24792">
        <w:rPr>
          <w:rFonts w:ascii="Palatino Linotype" w:eastAsia="Palatino Linotype" w:hAnsi="Palatino Linotype" w:cs="Palatino Linotype"/>
          <w:b/>
        </w:rPr>
        <w:t xml:space="preserve"> veintisiete de febrero de dos mil veintitrés</w:t>
      </w:r>
      <w:r w:rsidRPr="00F24792">
        <w:rPr>
          <w:rFonts w:ascii="Palatino Linotype" w:eastAsia="Palatino Linotype" w:hAnsi="Palatino Linotype" w:cs="Palatino Linotype"/>
        </w:rPr>
        <w:t xml:space="preserve">, 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694E478" w14:textId="77777777" w:rsidR="00FA7D54" w:rsidRPr="00F24792" w:rsidRDefault="00591239">
      <w:pPr>
        <w:spacing w:before="240" w:after="240"/>
        <w:ind w:left="851" w:right="902"/>
        <w:jc w:val="both"/>
        <w:rPr>
          <w:rFonts w:ascii="Palatino Linotype" w:eastAsia="Palatino Linotype" w:hAnsi="Palatino Linotype" w:cs="Palatino Linotype"/>
          <w:b/>
          <w:i/>
          <w:sz w:val="22"/>
          <w:szCs w:val="22"/>
        </w:rPr>
      </w:pPr>
      <w:r w:rsidRPr="00F24792">
        <w:rPr>
          <w:rFonts w:ascii="Palatino Linotype" w:eastAsia="Palatino Linotype" w:hAnsi="Palatino Linotype" w:cs="Palatino Linotype"/>
          <w:i/>
          <w:sz w:val="22"/>
          <w:szCs w:val="22"/>
        </w:rPr>
        <w:t>“…Se adjunta archivo...” (sic)</w:t>
      </w:r>
    </w:p>
    <w:p w14:paraId="490DD258" w14:textId="77777777" w:rsidR="00FA7D54" w:rsidRPr="00F24792" w:rsidRDefault="00591239">
      <w:pPr>
        <w:spacing w:before="240"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lastRenderedPageBreak/>
        <w:t xml:space="preserve">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adjuntó los siguientes archivos:</w:t>
      </w:r>
    </w:p>
    <w:p w14:paraId="324B5276" w14:textId="77777777" w:rsidR="00FA7D54" w:rsidRPr="00F24792" w:rsidRDefault="00591239">
      <w:pPr>
        <w:spacing w:before="240"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t>- “</w:t>
      </w:r>
      <w:r w:rsidRPr="00F24792">
        <w:rPr>
          <w:rFonts w:ascii="Palatino Linotype" w:eastAsia="Palatino Linotype" w:hAnsi="Palatino Linotype" w:cs="Palatino Linotype"/>
          <w:i/>
        </w:rPr>
        <w:t>0035 SR respuesta.pdf</w:t>
      </w:r>
      <w:r w:rsidRPr="00F24792">
        <w:rPr>
          <w:rFonts w:ascii="Palatino Linotype" w:eastAsia="Palatino Linotype" w:hAnsi="Palatino Linotype" w:cs="Palatino Linotype"/>
        </w:rPr>
        <w:t>”, que contiene lo siguiente:</w:t>
      </w:r>
    </w:p>
    <w:p w14:paraId="0EA74034" w14:textId="77777777" w:rsidR="00FA7D54" w:rsidRPr="00F24792" w:rsidRDefault="00591239">
      <w:pPr>
        <w:spacing w:before="240" w:after="240" w:line="360" w:lineRule="auto"/>
        <w:ind w:right="49"/>
        <w:jc w:val="center"/>
        <w:rPr>
          <w:rFonts w:ascii="Palatino Linotype" w:eastAsia="Palatino Linotype" w:hAnsi="Palatino Linotype" w:cs="Palatino Linotype"/>
        </w:rPr>
      </w:pPr>
      <w:r w:rsidRPr="00F24792">
        <w:rPr>
          <w:noProof/>
        </w:rPr>
        <w:drawing>
          <wp:inline distT="0" distB="0" distL="0" distR="0" wp14:anchorId="352C72E1" wp14:editId="053FF5E3">
            <wp:extent cx="4860000" cy="5972599"/>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t="-2" b="10074"/>
                    <a:stretch>
                      <a:fillRect/>
                    </a:stretch>
                  </pic:blipFill>
                  <pic:spPr>
                    <a:xfrm>
                      <a:off x="0" y="0"/>
                      <a:ext cx="4860000" cy="5972599"/>
                    </a:xfrm>
                    <a:prstGeom prst="rect">
                      <a:avLst/>
                    </a:prstGeom>
                    <a:ln/>
                  </pic:spPr>
                </pic:pic>
              </a:graphicData>
            </a:graphic>
          </wp:inline>
        </w:drawing>
      </w:r>
    </w:p>
    <w:p w14:paraId="4156BB5F" w14:textId="77777777" w:rsidR="00FA7D54" w:rsidRPr="00F24792" w:rsidRDefault="00591239">
      <w:pPr>
        <w:spacing w:before="240" w:after="240" w:line="360" w:lineRule="auto"/>
        <w:ind w:right="49"/>
        <w:jc w:val="center"/>
        <w:rPr>
          <w:rFonts w:ascii="Palatino Linotype" w:eastAsia="Palatino Linotype" w:hAnsi="Palatino Linotype" w:cs="Palatino Linotype"/>
        </w:rPr>
      </w:pPr>
      <w:r w:rsidRPr="00F24792">
        <w:rPr>
          <w:noProof/>
        </w:rPr>
        <w:lastRenderedPageBreak/>
        <w:drawing>
          <wp:inline distT="0" distB="0" distL="0" distR="0" wp14:anchorId="01C8B845" wp14:editId="0C51E864">
            <wp:extent cx="4860000" cy="552489"/>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t="91071" b="610"/>
                    <a:stretch>
                      <a:fillRect/>
                    </a:stretch>
                  </pic:blipFill>
                  <pic:spPr>
                    <a:xfrm>
                      <a:off x="0" y="0"/>
                      <a:ext cx="4860000" cy="552489"/>
                    </a:xfrm>
                    <a:prstGeom prst="rect">
                      <a:avLst/>
                    </a:prstGeom>
                    <a:ln/>
                  </pic:spPr>
                </pic:pic>
              </a:graphicData>
            </a:graphic>
          </wp:inline>
        </w:drawing>
      </w:r>
    </w:p>
    <w:p w14:paraId="375EF2FF" w14:textId="77777777" w:rsidR="00FA7D54" w:rsidRPr="00F24792" w:rsidRDefault="00591239">
      <w:pPr>
        <w:spacing w:before="240" w:after="240" w:line="360" w:lineRule="auto"/>
        <w:ind w:right="49"/>
        <w:jc w:val="center"/>
        <w:rPr>
          <w:rFonts w:ascii="Palatino Linotype" w:eastAsia="Palatino Linotype" w:hAnsi="Palatino Linotype" w:cs="Palatino Linotype"/>
        </w:rPr>
      </w:pPr>
      <w:r w:rsidRPr="00F24792">
        <w:rPr>
          <w:noProof/>
        </w:rPr>
        <w:drawing>
          <wp:inline distT="0" distB="0" distL="0" distR="0" wp14:anchorId="3D4CF615" wp14:editId="4C89657A">
            <wp:extent cx="4860000" cy="5067660"/>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b="24107"/>
                    <a:stretch>
                      <a:fillRect/>
                    </a:stretch>
                  </pic:blipFill>
                  <pic:spPr>
                    <a:xfrm>
                      <a:off x="0" y="0"/>
                      <a:ext cx="4860000" cy="5067660"/>
                    </a:xfrm>
                    <a:prstGeom prst="rect">
                      <a:avLst/>
                    </a:prstGeom>
                    <a:ln/>
                  </pic:spPr>
                </pic:pic>
              </a:graphicData>
            </a:graphic>
          </wp:inline>
        </w:drawing>
      </w:r>
    </w:p>
    <w:p w14:paraId="509CDF0D" w14:textId="77777777" w:rsidR="00FA7D54" w:rsidRPr="00F24792" w:rsidRDefault="00591239">
      <w:pPr>
        <w:spacing w:before="240" w:after="240" w:line="360" w:lineRule="auto"/>
        <w:ind w:right="49"/>
        <w:jc w:val="center"/>
        <w:rPr>
          <w:rFonts w:ascii="Palatino Linotype" w:eastAsia="Palatino Linotype" w:hAnsi="Palatino Linotype" w:cs="Palatino Linotype"/>
        </w:rPr>
      </w:pPr>
      <w:r w:rsidRPr="00F24792">
        <w:rPr>
          <w:noProof/>
        </w:rPr>
        <w:lastRenderedPageBreak/>
        <w:drawing>
          <wp:inline distT="0" distB="0" distL="0" distR="0" wp14:anchorId="4E06CC6A" wp14:editId="75DCE934">
            <wp:extent cx="4680000" cy="1641959"/>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708" b="73950"/>
                    <a:stretch>
                      <a:fillRect/>
                    </a:stretch>
                  </pic:blipFill>
                  <pic:spPr>
                    <a:xfrm>
                      <a:off x="0" y="0"/>
                      <a:ext cx="4680000" cy="1641959"/>
                    </a:xfrm>
                    <a:prstGeom prst="rect">
                      <a:avLst/>
                    </a:prstGeom>
                    <a:ln/>
                  </pic:spPr>
                </pic:pic>
              </a:graphicData>
            </a:graphic>
          </wp:inline>
        </w:drawing>
      </w:r>
      <w:r w:rsidRPr="00F24792">
        <w:rPr>
          <w:noProof/>
        </w:rPr>
        <w:drawing>
          <wp:inline distT="0" distB="0" distL="0" distR="0" wp14:anchorId="36EB62E8" wp14:editId="7F3E3139">
            <wp:extent cx="4680000" cy="2614531"/>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49613" b="10034"/>
                    <a:stretch>
                      <a:fillRect/>
                    </a:stretch>
                  </pic:blipFill>
                  <pic:spPr>
                    <a:xfrm>
                      <a:off x="0" y="0"/>
                      <a:ext cx="4680000" cy="2614531"/>
                    </a:xfrm>
                    <a:prstGeom prst="rect">
                      <a:avLst/>
                    </a:prstGeom>
                    <a:ln/>
                  </pic:spPr>
                </pic:pic>
              </a:graphicData>
            </a:graphic>
          </wp:inline>
        </w:drawing>
      </w:r>
    </w:p>
    <w:p w14:paraId="2D25DB54" w14:textId="77777777" w:rsidR="00FA7D54" w:rsidRPr="00F24792" w:rsidRDefault="00591239">
      <w:pPr>
        <w:ind w:right="51"/>
        <w:jc w:val="center"/>
        <w:rPr>
          <w:rFonts w:ascii="Palatino Linotype" w:eastAsia="Palatino Linotype" w:hAnsi="Palatino Linotype" w:cs="Palatino Linotype"/>
        </w:rPr>
      </w:pPr>
      <w:r w:rsidRPr="00F24792">
        <w:rPr>
          <w:rFonts w:ascii="Palatino Linotype" w:eastAsia="Palatino Linotype" w:hAnsi="Palatino Linotype" w:cs="Palatino Linotype"/>
        </w:rPr>
        <w:t>…</w:t>
      </w:r>
    </w:p>
    <w:p w14:paraId="205BE4AF" w14:textId="77777777" w:rsidR="00FA7D54" w:rsidRPr="00F24792" w:rsidRDefault="00591239">
      <w:pPr>
        <w:spacing w:before="240" w:after="240" w:line="360" w:lineRule="auto"/>
        <w:ind w:right="49"/>
        <w:jc w:val="center"/>
        <w:rPr>
          <w:rFonts w:ascii="Palatino Linotype" w:eastAsia="Palatino Linotype" w:hAnsi="Palatino Linotype" w:cs="Palatino Linotype"/>
        </w:rPr>
      </w:pPr>
      <w:r w:rsidRPr="00F24792">
        <w:rPr>
          <w:noProof/>
        </w:rPr>
        <w:drawing>
          <wp:inline distT="0" distB="0" distL="0" distR="0" wp14:anchorId="0FF35AD6" wp14:editId="05F0726D">
            <wp:extent cx="4608000" cy="2359370"/>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r="3739"/>
                    <a:stretch>
                      <a:fillRect/>
                    </a:stretch>
                  </pic:blipFill>
                  <pic:spPr>
                    <a:xfrm>
                      <a:off x="0" y="0"/>
                      <a:ext cx="4608000" cy="2359370"/>
                    </a:xfrm>
                    <a:prstGeom prst="rect">
                      <a:avLst/>
                    </a:prstGeom>
                    <a:ln/>
                  </pic:spPr>
                </pic:pic>
              </a:graphicData>
            </a:graphic>
          </wp:inline>
        </w:drawing>
      </w:r>
    </w:p>
    <w:p w14:paraId="0060C5C6" w14:textId="77777777" w:rsidR="00FA7D54" w:rsidRPr="00F24792" w:rsidRDefault="00591239">
      <w:pPr>
        <w:spacing w:before="240"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lastRenderedPageBreak/>
        <w:t>- “</w:t>
      </w:r>
      <w:r w:rsidRPr="00F24792">
        <w:rPr>
          <w:rFonts w:ascii="Palatino Linotype" w:eastAsia="Palatino Linotype" w:hAnsi="Palatino Linotype" w:cs="Palatino Linotype"/>
          <w:i/>
        </w:rPr>
        <w:t>SOLICITUD DE INFORMACIÓN 0035SCTURIP2023.pdf</w:t>
      </w:r>
      <w:r w:rsidRPr="00F24792">
        <w:rPr>
          <w:rFonts w:ascii="Palatino Linotype" w:eastAsia="Palatino Linotype" w:hAnsi="Palatino Linotype" w:cs="Palatino Linotype"/>
        </w:rPr>
        <w:t>”, que contiene la respuesta a los puntos 3 y 4 de la solicitud, como se observa a continuación:</w:t>
      </w:r>
    </w:p>
    <w:p w14:paraId="1B8FF940" w14:textId="77777777" w:rsidR="00FA7D54" w:rsidRPr="00F24792" w:rsidRDefault="00591239">
      <w:pPr>
        <w:spacing w:before="240" w:after="240" w:line="360" w:lineRule="auto"/>
        <w:ind w:right="49"/>
        <w:jc w:val="center"/>
        <w:rPr>
          <w:rFonts w:ascii="Palatino Linotype" w:eastAsia="Palatino Linotype" w:hAnsi="Palatino Linotype" w:cs="Palatino Linotype"/>
        </w:rPr>
      </w:pPr>
      <w:r w:rsidRPr="00F24792">
        <w:rPr>
          <w:noProof/>
        </w:rPr>
        <w:drawing>
          <wp:inline distT="0" distB="0" distL="0" distR="0" wp14:anchorId="7462794A" wp14:editId="00D406D8">
            <wp:extent cx="4860000" cy="5395051"/>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860000" cy="5395051"/>
                    </a:xfrm>
                    <a:prstGeom prst="rect">
                      <a:avLst/>
                    </a:prstGeom>
                    <a:ln/>
                  </pic:spPr>
                </pic:pic>
              </a:graphicData>
            </a:graphic>
          </wp:inline>
        </w:drawing>
      </w:r>
    </w:p>
    <w:p w14:paraId="7D59C831" w14:textId="77777777" w:rsidR="00FA7D54" w:rsidRPr="00F24792" w:rsidRDefault="00591239">
      <w:pPr>
        <w:spacing w:before="240" w:after="240" w:line="360" w:lineRule="auto"/>
        <w:ind w:right="49"/>
        <w:jc w:val="both"/>
        <w:rPr>
          <w:rFonts w:ascii="Palatino Linotype" w:eastAsia="Palatino Linotype" w:hAnsi="Palatino Linotype" w:cs="Palatino Linotype"/>
          <w:b/>
        </w:rPr>
      </w:pPr>
      <w:r w:rsidRPr="00F24792">
        <w:rPr>
          <w:rFonts w:ascii="Palatino Linotype" w:eastAsia="Palatino Linotype" w:hAnsi="Palatino Linotype" w:cs="Palatino Linotype"/>
          <w:b/>
        </w:rPr>
        <w:t xml:space="preserve">4. Interposición del recurso de revisión. </w:t>
      </w:r>
      <w:r w:rsidRPr="00F24792">
        <w:rPr>
          <w:rFonts w:ascii="Palatino Linotype" w:eastAsia="Palatino Linotype" w:hAnsi="Palatino Linotype" w:cs="Palatino Linotype"/>
        </w:rPr>
        <w:t xml:space="preserve">Inconforme con los términos de la respuesta emitida por parte del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xml:space="preserve">, el </w:t>
      </w:r>
      <w:r w:rsidRPr="00F24792">
        <w:rPr>
          <w:rFonts w:ascii="Palatino Linotype" w:eastAsia="Palatino Linotype" w:hAnsi="Palatino Linotype" w:cs="Palatino Linotype"/>
          <w:b/>
        </w:rPr>
        <w:t xml:space="preserve">tres de marzo de dos mil </w:t>
      </w:r>
      <w:r w:rsidRPr="00F24792">
        <w:rPr>
          <w:rFonts w:ascii="Palatino Linotype" w:eastAsia="Palatino Linotype" w:hAnsi="Palatino Linotype" w:cs="Palatino Linotype"/>
          <w:b/>
        </w:rPr>
        <w:lastRenderedPageBreak/>
        <w:t>veintitrés,</w:t>
      </w:r>
      <w:r w:rsidRPr="00F24792">
        <w:rPr>
          <w:rFonts w:ascii="Palatino Linotype" w:eastAsia="Palatino Linotype" w:hAnsi="Palatino Linotype" w:cs="Palatino Linotype"/>
        </w:rPr>
        <w:t xml:space="preserve"> 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interpuso el recurso de revisión a través de </w:t>
      </w:r>
      <w:r w:rsidRPr="00F24792">
        <w:rPr>
          <w:rFonts w:ascii="Palatino Linotype" w:eastAsia="Palatino Linotype" w:hAnsi="Palatino Linotype" w:cs="Palatino Linotype"/>
          <w:b/>
        </w:rPr>
        <w:t xml:space="preserve">SAIMEX, </w:t>
      </w:r>
      <w:r w:rsidRPr="00F24792">
        <w:rPr>
          <w:rFonts w:ascii="Palatino Linotype" w:eastAsia="Palatino Linotype" w:hAnsi="Palatino Linotype" w:cs="Palatino Linotype"/>
        </w:rPr>
        <w:t>en donde se manifestó de la siguiente manera:</w:t>
      </w:r>
    </w:p>
    <w:p w14:paraId="7861F403" w14:textId="77777777" w:rsidR="00FA7D54" w:rsidRPr="00F24792" w:rsidRDefault="00591239">
      <w:pPr>
        <w:tabs>
          <w:tab w:val="left" w:pos="2745"/>
        </w:tabs>
        <w:spacing w:before="240" w:after="240" w:line="360" w:lineRule="auto"/>
        <w:jc w:val="both"/>
        <w:rPr>
          <w:rFonts w:ascii="Palatino Linotype" w:eastAsia="Palatino Linotype" w:hAnsi="Palatino Linotype" w:cs="Palatino Linotype"/>
          <w:b/>
        </w:rPr>
      </w:pPr>
      <w:r w:rsidRPr="00F24792">
        <w:rPr>
          <w:rFonts w:ascii="Palatino Linotype" w:eastAsia="Palatino Linotype" w:hAnsi="Palatino Linotype" w:cs="Palatino Linotype"/>
          <w:b/>
        </w:rPr>
        <w:t xml:space="preserve">Acto impugnado: </w:t>
      </w:r>
    </w:p>
    <w:p w14:paraId="60DB0CCD" w14:textId="77777777" w:rsidR="00FA7D54" w:rsidRPr="00F24792" w:rsidRDefault="00591239">
      <w:pPr>
        <w:tabs>
          <w:tab w:val="left" w:pos="2745"/>
        </w:tabs>
        <w:spacing w:before="240" w:after="240"/>
        <w:ind w:left="851" w:right="900"/>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i/>
          <w:sz w:val="22"/>
          <w:szCs w:val="22"/>
        </w:rPr>
        <w:t xml:space="preserve">“La información </w:t>
      </w:r>
      <w:proofErr w:type="spellStart"/>
      <w:r w:rsidRPr="00F24792">
        <w:rPr>
          <w:rFonts w:ascii="Palatino Linotype" w:eastAsia="Palatino Linotype" w:hAnsi="Palatino Linotype" w:cs="Palatino Linotype"/>
          <w:i/>
          <w:sz w:val="22"/>
          <w:szCs w:val="22"/>
        </w:rPr>
        <w:t>esta</w:t>
      </w:r>
      <w:proofErr w:type="spellEnd"/>
      <w:r w:rsidRPr="00F24792">
        <w:rPr>
          <w:rFonts w:ascii="Palatino Linotype" w:eastAsia="Palatino Linotype" w:hAnsi="Palatino Linotype" w:cs="Palatino Linotype"/>
          <w:i/>
          <w:sz w:val="22"/>
          <w:szCs w:val="22"/>
        </w:rPr>
        <w:t xml:space="preserve"> incompleta” (sic)</w:t>
      </w:r>
    </w:p>
    <w:p w14:paraId="4E86FC19" w14:textId="77777777" w:rsidR="00FA7D54" w:rsidRPr="00F24792" w:rsidRDefault="00591239">
      <w:pPr>
        <w:spacing w:line="360" w:lineRule="auto"/>
        <w:jc w:val="both"/>
        <w:rPr>
          <w:rFonts w:ascii="Palatino Linotype" w:eastAsia="Palatino Linotype" w:hAnsi="Palatino Linotype" w:cs="Palatino Linotype"/>
        </w:rPr>
      </w:pPr>
      <w:bookmarkStart w:id="2" w:name="_heading=h.30j0zll" w:colFirst="0" w:colLast="0"/>
      <w:bookmarkEnd w:id="2"/>
      <w:r w:rsidRPr="00F24792">
        <w:rPr>
          <w:rFonts w:ascii="Palatino Linotype" w:eastAsia="Palatino Linotype" w:hAnsi="Palatino Linotype" w:cs="Palatino Linotype"/>
          <w:b/>
        </w:rPr>
        <w:t>Y Razones o motivos de inconformidad</w:t>
      </w:r>
      <w:r w:rsidRPr="00F24792">
        <w:rPr>
          <w:rFonts w:ascii="Palatino Linotype" w:eastAsia="Palatino Linotype" w:hAnsi="Palatino Linotype" w:cs="Palatino Linotype"/>
        </w:rPr>
        <w:t xml:space="preserve">: </w:t>
      </w:r>
    </w:p>
    <w:p w14:paraId="2B822CF1" w14:textId="77777777" w:rsidR="00FA7D54" w:rsidRPr="00F24792" w:rsidRDefault="00591239">
      <w:pPr>
        <w:tabs>
          <w:tab w:val="left" w:pos="2745"/>
        </w:tabs>
        <w:spacing w:before="240" w:after="240"/>
        <w:ind w:left="851" w:right="900"/>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i/>
          <w:sz w:val="22"/>
          <w:szCs w:val="22"/>
        </w:rPr>
        <w:t>“</w:t>
      </w:r>
      <w:r w:rsidRPr="00F24792">
        <w:rPr>
          <w:rFonts w:ascii="Palatino Linotype" w:eastAsia="Palatino Linotype" w:hAnsi="Palatino Linotype" w:cs="Palatino Linotype"/>
          <w:b/>
          <w:i/>
          <w:sz w:val="22"/>
          <w:szCs w:val="22"/>
        </w:rPr>
        <w:t xml:space="preserve">No especifican </w:t>
      </w:r>
      <w:r w:rsidRPr="00F24792">
        <w:rPr>
          <w:rFonts w:ascii="Palatino Linotype" w:eastAsia="Palatino Linotype" w:hAnsi="Palatino Linotype" w:cs="Palatino Linotype"/>
          <w:b/>
          <w:i/>
          <w:sz w:val="22"/>
          <w:szCs w:val="22"/>
          <w:u w:val="single"/>
        </w:rPr>
        <w:t>cuál es la razón de no haber realizado ninguna evaluación al Programa salario Rosa por la Cultura Comunitaria</w:t>
      </w:r>
      <w:r w:rsidRPr="00F24792">
        <w:rPr>
          <w:rFonts w:ascii="Palatino Linotype" w:eastAsia="Palatino Linotype" w:hAnsi="Palatino Linotype" w:cs="Palatino Linotype"/>
          <w:i/>
          <w:sz w:val="22"/>
          <w:szCs w:val="22"/>
        </w:rPr>
        <w:t>, aún y cuando es una obligación de acuerdo a ley de programas sociales del Estado de México y es parte de un ejercicio de transparencia en el ejercicio de los recursos, siendo del interés público dichas evaluaciones.” (sic)</w:t>
      </w:r>
    </w:p>
    <w:p w14:paraId="3C02D592" w14:textId="77777777" w:rsidR="00FA7D54" w:rsidRPr="00F24792" w:rsidRDefault="00591239">
      <w:pPr>
        <w:spacing w:before="240" w:after="240" w:line="360" w:lineRule="auto"/>
        <w:ind w:right="51"/>
        <w:jc w:val="both"/>
        <w:rPr>
          <w:rFonts w:ascii="Palatino Linotype" w:eastAsia="Palatino Linotype" w:hAnsi="Palatino Linotype" w:cs="Palatino Linotype"/>
        </w:rPr>
      </w:pPr>
      <w:r w:rsidRPr="00F24792">
        <w:rPr>
          <w:rFonts w:ascii="Palatino Linotype" w:eastAsia="Palatino Linotype" w:hAnsi="Palatino Linotype" w:cs="Palatino Linotype"/>
          <w:b/>
        </w:rPr>
        <w:t xml:space="preserve">5. Turno. </w:t>
      </w:r>
      <w:r w:rsidRPr="00F2479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24792">
        <w:rPr>
          <w:rFonts w:ascii="Palatino Linotype" w:eastAsia="Palatino Linotype" w:hAnsi="Palatino Linotype" w:cs="Palatino Linotype"/>
          <w:b/>
        </w:rPr>
        <w:t xml:space="preserve">Guadalupe Ramírez Peña, </w:t>
      </w:r>
      <w:r w:rsidRPr="00F24792">
        <w:rPr>
          <w:rFonts w:ascii="Palatino Linotype" w:eastAsia="Palatino Linotype" w:hAnsi="Palatino Linotype" w:cs="Palatino Linotype"/>
        </w:rPr>
        <w:t xml:space="preserve">a efecto de que analizara sobre su admisión o su </w:t>
      </w:r>
      <w:proofErr w:type="spellStart"/>
      <w:r w:rsidRPr="00F24792">
        <w:rPr>
          <w:rFonts w:ascii="Palatino Linotype" w:eastAsia="Palatino Linotype" w:hAnsi="Palatino Linotype" w:cs="Palatino Linotype"/>
        </w:rPr>
        <w:t>desechamiento</w:t>
      </w:r>
      <w:proofErr w:type="spellEnd"/>
      <w:r w:rsidRPr="00F24792">
        <w:rPr>
          <w:rFonts w:ascii="Palatino Linotype" w:eastAsia="Palatino Linotype" w:hAnsi="Palatino Linotype" w:cs="Palatino Linotype"/>
        </w:rPr>
        <w:t>.</w:t>
      </w:r>
    </w:p>
    <w:p w14:paraId="53C80879"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b/>
        </w:rPr>
        <w:t>6. Admisión del Recurso de revisión.</w:t>
      </w:r>
      <w:r w:rsidRPr="00F24792">
        <w:rPr>
          <w:rFonts w:ascii="Palatino Linotype" w:eastAsia="Palatino Linotype" w:hAnsi="Palatino Linotype" w:cs="Palatino Linotype"/>
        </w:rPr>
        <w:t xml:space="preserve"> Con fecha</w:t>
      </w:r>
      <w:r w:rsidRPr="00F24792">
        <w:rPr>
          <w:rFonts w:ascii="Palatino Linotype" w:eastAsia="Palatino Linotype" w:hAnsi="Palatino Linotype" w:cs="Palatino Linotype"/>
          <w:b/>
        </w:rPr>
        <w:t xml:space="preserve"> dieciséis de marzo de dos mil veintitrés, </w:t>
      </w:r>
      <w:r w:rsidRPr="00F2479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presentara su informe justificado.</w:t>
      </w:r>
    </w:p>
    <w:p w14:paraId="3BF9D9E8" w14:textId="77777777" w:rsidR="00FA7D54" w:rsidRPr="00F24792" w:rsidRDefault="00591239">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F24792">
        <w:rPr>
          <w:rFonts w:ascii="Palatino Linotype" w:eastAsia="Palatino Linotype" w:hAnsi="Palatino Linotype" w:cs="Palatino Linotype"/>
          <w:b/>
        </w:rPr>
        <w:lastRenderedPageBreak/>
        <w:t>7. Manifestaciones</w:t>
      </w:r>
      <w:r w:rsidRPr="00F24792">
        <w:rPr>
          <w:rFonts w:ascii="Palatino Linotype" w:eastAsia="Palatino Linotype" w:hAnsi="Palatino Linotype" w:cs="Palatino Linotype"/>
        </w:rPr>
        <w:t xml:space="preserve">. En fecha </w:t>
      </w:r>
      <w:r w:rsidRPr="00F24792">
        <w:rPr>
          <w:rFonts w:ascii="Palatino Linotype" w:eastAsia="Palatino Linotype" w:hAnsi="Palatino Linotype" w:cs="Palatino Linotype"/>
          <w:b/>
        </w:rPr>
        <w:t xml:space="preserve">veintisiete de marzo de dos mil </w:t>
      </w:r>
      <w:proofErr w:type="gramStart"/>
      <w:r w:rsidRPr="00F24792">
        <w:rPr>
          <w:rFonts w:ascii="Palatino Linotype" w:eastAsia="Palatino Linotype" w:hAnsi="Palatino Linotype" w:cs="Palatino Linotype"/>
          <w:b/>
        </w:rPr>
        <w:t xml:space="preserve">veintitrés, </w:t>
      </w:r>
      <w:r w:rsidRPr="00F24792">
        <w:rPr>
          <w:rFonts w:ascii="Palatino Linotype" w:eastAsia="Palatino Linotype" w:hAnsi="Palatino Linotype" w:cs="Palatino Linotype"/>
        </w:rPr>
        <w:t xml:space="preserve"> el</w:t>
      </w:r>
      <w:proofErr w:type="gramEnd"/>
      <w:r w:rsidRPr="00F24792">
        <w:rPr>
          <w:rFonts w:ascii="Palatino Linotype" w:eastAsia="Palatino Linotype" w:hAnsi="Palatino Linotype" w:cs="Palatino Linotype"/>
        </w:rPr>
        <w:t xml:space="preserve"> S</w:t>
      </w:r>
      <w:r w:rsidRPr="00F24792">
        <w:rPr>
          <w:rFonts w:ascii="Palatino Linotype" w:eastAsia="Palatino Linotype" w:hAnsi="Palatino Linotype" w:cs="Palatino Linotype"/>
          <w:b/>
        </w:rPr>
        <w:t xml:space="preserve">ujeto Obligado </w:t>
      </w:r>
      <w:r w:rsidRPr="00F24792">
        <w:rPr>
          <w:rFonts w:ascii="Palatino Linotype" w:eastAsia="Palatino Linotype" w:hAnsi="Palatino Linotype" w:cs="Palatino Linotype"/>
        </w:rPr>
        <w:t xml:space="preserve">remitió, a través de SAIMEX, el oficio número 22600002A/0342/2023, de fecha veinticuatro de marzo de dos mil veintitrés, signado por el Director General de Patrimonio y Servicios Culturales del Valle de Toluca, quien, en atención a los motivos de inconformidad aducidos por la parte </w:t>
      </w:r>
      <w:r w:rsidRPr="00F24792">
        <w:rPr>
          <w:rFonts w:ascii="Palatino Linotype" w:eastAsia="Palatino Linotype" w:hAnsi="Palatino Linotype" w:cs="Palatino Linotype"/>
          <w:b/>
        </w:rPr>
        <w:t xml:space="preserve">Recurrente, </w:t>
      </w:r>
      <w:r w:rsidRPr="00F24792">
        <w:rPr>
          <w:rFonts w:ascii="Palatino Linotype" w:eastAsia="Palatino Linotype" w:hAnsi="Palatino Linotype" w:cs="Palatino Linotype"/>
        </w:rPr>
        <w:t>refirió lo siguiente:</w:t>
      </w:r>
    </w:p>
    <w:p w14:paraId="7B296BD9" w14:textId="77777777" w:rsidR="00FA7D54" w:rsidRPr="00F24792" w:rsidRDefault="00591239">
      <w:pPr>
        <w:spacing w:before="240" w:after="240" w:line="360" w:lineRule="auto"/>
        <w:jc w:val="center"/>
        <w:rPr>
          <w:rFonts w:ascii="Palatino Linotype" w:eastAsia="Palatino Linotype" w:hAnsi="Palatino Linotype" w:cs="Palatino Linotype"/>
        </w:rPr>
      </w:pPr>
      <w:r w:rsidRPr="00F24792">
        <w:rPr>
          <w:noProof/>
        </w:rPr>
        <w:drawing>
          <wp:inline distT="0" distB="0" distL="0" distR="0" wp14:anchorId="611742CA" wp14:editId="546A33AC">
            <wp:extent cx="4860000" cy="3484155"/>
            <wp:effectExtent l="0" t="0" r="0" b="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4860000" cy="3484155"/>
                    </a:xfrm>
                    <a:prstGeom prst="rect">
                      <a:avLst/>
                    </a:prstGeom>
                    <a:ln/>
                  </pic:spPr>
                </pic:pic>
              </a:graphicData>
            </a:graphic>
          </wp:inline>
        </w:drawing>
      </w:r>
    </w:p>
    <w:p w14:paraId="7F1B6A7A"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Una vez analizado el documento referido, el mismo se hizo del conocimiento de la persona solicitante con la finalidad de que manifestara lo que a su derecho estimara conveniente, siendo omisa en ejercer dicha prerrogativa.</w:t>
      </w:r>
    </w:p>
    <w:p w14:paraId="59D0B3E5"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b/>
        </w:rPr>
        <w:t>8. Ampliación del término para resolver</w:t>
      </w:r>
      <w:r w:rsidRPr="00F24792">
        <w:rPr>
          <w:rFonts w:ascii="Palatino Linotype" w:eastAsia="Palatino Linotype" w:hAnsi="Palatino Linotype" w:cs="Palatino Linotype"/>
        </w:rPr>
        <w:t xml:space="preserve">. En fecha </w:t>
      </w:r>
      <w:r w:rsidRPr="00F24792">
        <w:rPr>
          <w:rFonts w:ascii="Palatino Linotype" w:eastAsia="Palatino Linotype" w:hAnsi="Palatino Linotype" w:cs="Palatino Linotype"/>
          <w:b/>
        </w:rPr>
        <w:t>veintinueve de mayo de dos mil veintitrés</w:t>
      </w:r>
      <w:r w:rsidRPr="00F24792">
        <w:rPr>
          <w:rFonts w:ascii="Palatino Linotype" w:eastAsia="Palatino Linotype" w:hAnsi="Palatino Linotype" w:cs="Palatino Linotype"/>
        </w:rPr>
        <w:t xml:space="preserve">, se amplió el término para resolver el recurso de revisión en términos del </w:t>
      </w:r>
      <w:r w:rsidRPr="00F24792">
        <w:rPr>
          <w:rFonts w:ascii="Palatino Linotype" w:eastAsia="Palatino Linotype" w:hAnsi="Palatino Linotype" w:cs="Palatino Linotype"/>
        </w:rPr>
        <w:lastRenderedPageBreak/>
        <w:t>artículo 181 párrafo tercero de la Ley de Transparencia y Acceso a la Información Pública del Estado de México y Municipios.</w:t>
      </w:r>
    </w:p>
    <w:p w14:paraId="36922F7C"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213472FA"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42BACDF"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93CEDD"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F24792">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2373C4D6" w14:textId="77777777" w:rsidR="00FA7D54" w:rsidRPr="00F24792" w:rsidRDefault="00591239">
      <w:pPr>
        <w:spacing w:before="240" w:after="240" w:line="360" w:lineRule="auto"/>
        <w:jc w:val="both"/>
        <w:rPr>
          <w:rFonts w:ascii="Palatino Linotype" w:eastAsia="Palatino Linotype" w:hAnsi="Palatino Linotype" w:cs="Palatino Linotype"/>
          <w:strike/>
        </w:rPr>
      </w:pPr>
      <w:r w:rsidRPr="00F2479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B530356" w14:textId="77777777" w:rsidR="00FA7D54" w:rsidRPr="00F24792" w:rsidRDefault="00591239">
      <w:pPr>
        <w:numPr>
          <w:ilvl w:val="0"/>
          <w:numId w:val="1"/>
        </w:num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AB3B98F" w14:textId="77777777" w:rsidR="00FA7D54" w:rsidRPr="00F24792" w:rsidRDefault="00591239">
      <w:pPr>
        <w:numPr>
          <w:ilvl w:val="0"/>
          <w:numId w:val="1"/>
        </w:num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Actividad Procesal del interesado. Acciones u omisiones del interesado.</w:t>
      </w:r>
    </w:p>
    <w:p w14:paraId="4BE26915" w14:textId="77777777" w:rsidR="00FA7D54" w:rsidRPr="00F24792" w:rsidRDefault="00591239">
      <w:pPr>
        <w:numPr>
          <w:ilvl w:val="0"/>
          <w:numId w:val="1"/>
        </w:num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Conducta de la Autoridad: Las Acciones u omisiones realizadas en el procedimiento. Así como si la autoridad actuó con la debida diligencia.</w:t>
      </w:r>
    </w:p>
    <w:p w14:paraId="47E62511" w14:textId="77777777" w:rsidR="00FA7D54" w:rsidRPr="00F24792" w:rsidRDefault="00591239">
      <w:pPr>
        <w:spacing w:before="240" w:after="240" w:line="360" w:lineRule="auto"/>
        <w:ind w:left="567"/>
        <w:jc w:val="both"/>
        <w:rPr>
          <w:rFonts w:ascii="Palatino Linotype" w:eastAsia="Palatino Linotype" w:hAnsi="Palatino Linotype" w:cs="Palatino Linotype"/>
        </w:rPr>
      </w:pPr>
      <w:r w:rsidRPr="00F24792">
        <w:rPr>
          <w:rFonts w:ascii="Palatino Linotype" w:eastAsia="Palatino Linotype" w:hAnsi="Palatino Linotype" w:cs="Palatino Linotype"/>
        </w:rPr>
        <w:t>d) La afectación generada en la situación jurídica de la persona involucrada en el proceso: Violación a sus derechos humanos.</w:t>
      </w:r>
    </w:p>
    <w:p w14:paraId="6328E03B"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2F1638" w14:textId="77777777" w:rsidR="00FA7D54" w:rsidRPr="00F24792" w:rsidRDefault="00591239">
      <w:pPr>
        <w:spacing w:before="240" w:after="240" w:line="360" w:lineRule="auto"/>
        <w:jc w:val="both"/>
        <w:rPr>
          <w:rFonts w:ascii="Palatino Linotype" w:eastAsia="Palatino Linotype" w:hAnsi="Palatino Linotype" w:cs="Palatino Linotype"/>
          <w:b/>
        </w:rPr>
      </w:pPr>
      <w:r w:rsidRPr="00F24792">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F2479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24792">
        <w:rPr>
          <w:rFonts w:ascii="Palatino Linotype" w:eastAsia="Palatino Linotype" w:hAnsi="Palatino Linotype" w:cs="Palatino Linotype"/>
        </w:rPr>
        <w:t>, visible en la Gaceta del Seminario Judicial de la Federación con el registro digital 205635.</w:t>
      </w:r>
    </w:p>
    <w:p w14:paraId="53743391"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EB179F"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4F5EF59" w14:textId="77777777" w:rsidR="00FA7D54" w:rsidRPr="00F24792" w:rsidRDefault="00591239">
      <w:pPr>
        <w:spacing w:before="240" w:after="240"/>
        <w:ind w:left="851" w:right="902"/>
        <w:jc w:val="both"/>
        <w:rPr>
          <w:rFonts w:ascii="Palatino Linotype" w:eastAsia="Palatino Linotype" w:hAnsi="Palatino Linotype" w:cs="Palatino Linotype"/>
          <w:sz w:val="22"/>
          <w:szCs w:val="22"/>
        </w:rPr>
      </w:pPr>
      <w:r w:rsidRPr="00F24792">
        <w:rPr>
          <w:rFonts w:ascii="Palatino Linotype" w:eastAsia="Palatino Linotype" w:hAnsi="Palatino Linotype" w:cs="Palatino Linotype"/>
        </w:rPr>
        <w:t xml:space="preserve"> </w:t>
      </w:r>
      <w:r w:rsidRPr="00F24792">
        <w:rPr>
          <w:rFonts w:ascii="Palatino Linotype" w:eastAsia="Palatino Linotype" w:hAnsi="Palatino Linotype" w:cs="Palatino Linotype"/>
          <w:i/>
          <w:sz w:val="22"/>
          <w:szCs w:val="22"/>
        </w:rPr>
        <w:t>“</w:t>
      </w:r>
      <w:r w:rsidRPr="00F24792">
        <w:rPr>
          <w:rFonts w:ascii="Palatino Linotype" w:eastAsia="Palatino Linotype" w:hAnsi="Palatino Linotype" w:cs="Palatino Linotype"/>
          <w:b/>
          <w:i/>
          <w:sz w:val="22"/>
          <w:szCs w:val="22"/>
        </w:rPr>
        <w:t>PLAZO RAZONABLE PARA RESOLVER. DIMENSIÓN Y EFECTOS DE ESTE CONCEPTO CUANDO SE ADUCE EXCESIVA CARGA DE TRABAJO</w:t>
      </w:r>
      <w:r w:rsidRPr="00F24792">
        <w:rPr>
          <w:rFonts w:ascii="Palatino Linotype" w:eastAsia="Palatino Linotype" w:hAnsi="Palatino Linotype" w:cs="Palatino Linotype"/>
          <w:i/>
          <w:sz w:val="22"/>
          <w:szCs w:val="22"/>
        </w:rPr>
        <w:t>.”</w:t>
      </w:r>
      <w:r w:rsidRPr="00F24792">
        <w:rPr>
          <w:rFonts w:ascii="Palatino Linotype" w:eastAsia="Palatino Linotype" w:hAnsi="Palatino Linotype" w:cs="Palatino Linotype"/>
          <w:sz w:val="22"/>
          <w:szCs w:val="22"/>
        </w:rPr>
        <w:t xml:space="preserve"> consultable en el Seminario Judicial de la Federación y su gaceta, con el registro digital 2002351.</w:t>
      </w:r>
    </w:p>
    <w:p w14:paraId="19EC1934" w14:textId="77777777" w:rsidR="00FA7D54" w:rsidRPr="00F24792" w:rsidRDefault="00591239">
      <w:pPr>
        <w:spacing w:before="240" w:after="240"/>
        <w:ind w:left="851" w:right="902"/>
        <w:jc w:val="both"/>
        <w:rPr>
          <w:rFonts w:ascii="Palatino Linotype" w:eastAsia="Palatino Linotype" w:hAnsi="Palatino Linotype" w:cs="Palatino Linotype"/>
          <w:sz w:val="22"/>
          <w:szCs w:val="22"/>
        </w:rPr>
      </w:pPr>
      <w:r w:rsidRPr="00F24792">
        <w:rPr>
          <w:rFonts w:ascii="Palatino Linotype" w:eastAsia="Palatino Linotype" w:hAnsi="Palatino Linotype" w:cs="Palatino Linotype"/>
          <w:i/>
          <w:sz w:val="22"/>
          <w:szCs w:val="22"/>
        </w:rPr>
        <w:lastRenderedPageBreak/>
        <w:t>“</w:t>
      </w:r>
      <w:r w:rsidRPr="00F2479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24792">
        <w:rPr>
          <w:rFonts w:ascii="Palatino Linotype" w:eastAsia="Palatino Linotype" w:hAnsi="Palatino Linotype" w:cs="Palatino Linotype"/>
          <w:i/>
          <w:sz w:val="22"/>
          <w:szCs w:val="22"/>
        </w:rPr>
        <w:t>.”</w:t>
      </w:r>
      <w:r w:rsidRPr="00F24792">
        <w:rPr>
          <w:rFonts w:ascii="Palatino Linotype" w:eastAsia="Palatino Linotype" w:hAnsi="Palatino Linotype" w:cs="Palatino Linotype"/>
          <w:sz w:val="22"/>
          <w:szCs w:val="22"/>
        </w:rPr>
        <w:t>, visible en el Seminario Judicial de la Federación y su gaceta, con el registro digital 2002350.</w:t>
      </w:r>
    </w:p>
    <w:p w14:paraId="118F9AB6"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D2F0225"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b/>
        </w:rPr>
        <w:t xml:space="preserve">9. Cierre de instrucción. </w:t>
      </w:r>
      <w:r w:rsidRPr="00F2479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F24792">
        <w:rPr>
          <w:rFonts w:ascii="Palatino Linotype" w:eastAsia="Palatino Linotype" w:hAnsi="Palatino Linotype" w:cs="Palatino Linotype"/>
          <w:b/>
        </w:rPr>
        <w:t>veintisiete de septiembre de dos mil veintitrés</w:t>
      </w:r>
      <w:r w:rsidRPr="00F24792">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1F7230F7"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ACD404E" w14:textId="77777777" w:rsidR="00FA7D54" w:rsidRPr="00F24792" w:rsidRDefault="00591239">
      <w:pPr>
        <w:widowControl w:val="0"/>
        <w:spacing w:before="240" w:after="240" w:line="360" w:lineRule="auto"/>
        <w:jc w:val="center"/>
        <w:rPr>
          <w:rFonts w:ascii="Palatino Linotype" w:eastAsia="Palatino Linotype" w:hAnsi="Palatino Linotype" w:cs="Palatino Linotype"/>
          <w:b/>
        </w:rPr>
      </w:pPr>
      <w:r w:rsidRPr="00F24792">
        <w:rPr>
          <w:rFonts w:ascii="Palatino Linotype" w:eastAsia="Palatino Linotype" w:hAnsi="Palatino Linotype" w:cs="Palatino Linotype"/>
          <w:b/>
        </w:rPr>
        <w:t>II. C O N S I D E R A N D O S</w:t>
      </w:r>
    </w:p>
    <w:p w14:paraId="2F28E29A"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b/>
        </w:rPr>
        <w:t>Primero. Competencia.</w:t>
      </w:r>
      <w:r w:rsidRPr="00F2479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Pr="00F24792">
        <w:rPr>
          <w:rFonts w:ascii="Palatino Linotype" w:eastAsia="Palatino Linotype" w:hAnsi="Palatino Linotype" w:cs="Palatino Linotype"/>
        </w:rPr>
        <w:lastRenderedPageBreak/>
        <w:t>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E8A07EF" w14:textId="77777777" w:rsidR="00FA7D54" w:rsidRPr="00F24792" w:rsidRDefault="00591239">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F24792">
        <w:rPr>
          <w:rFonts w:ascii="Palatino Linotype" w:eastAsia="Palatino Linotype" w:hAnsi="Palatino Linotype" w:cs="Palatino Linotype"/>
          <w:b/>
        </w:rPr>
        <w:t>Segundo. Oportunidad y Procedibilidad del Recurso de Revisión</w:t>
      </w:r>
      <w:r w:rsidRPr="00F2479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05F3B6F"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 xml:space="preserve">remitió la respuesta a la solicitud de información el día </w:t>
      </w:r>
      <w:r w:rsidRPr="00F24792">
        <w:rPr>
          <w:rFonts w:ascii="Palatino Linotype" w:eastAsia="Palatino Linotype" w:hAnsi="Palatino Linotype" w:cs="Palatino Linotype"/>
          <w:b/>
        </w:rPr>
        <w:t xml:space="preserve">veintisiete de febrero de dos mil veintitrés, </w:t>
      </w:r>
      <w:r w:rsidRPr="00F24792">
        <w:rPr>
          <w:rFonts w:ascii="Palatino Linotype" w:eastAsia="Palatino Linotype" w:hAnsi="Palatino Linotype" w:cs="Palatino Linotype"/>
        </w:rPr>
        <w:t xml:space="preserve">mientras que el recurso de revisión interpuesto por 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se tuvo por presentado el día </w:t>
      </w:r>
      <w:r w:rsidRPr="00F24792">
        <w:rPr>
          <w:rFonts w:ascii="Palatino Linotype" w:eastAsia="Palatino Linotype" w:hAnsi="Palatino Linotype" w:cs="Palatino Linotype"/>
          <w:b/>
        </w:rPr>
        <w:t>tres de marzo de dos mil veintitrés</w:t>
      </w:r>
      <w:r w:rsidRPr="00F24792">
        <w:rPr>
          <w:rFonts w:ascii="Palatino Linotype" w:eastAsia="Palatino Linotype" w:hAnsi="Palatino Linotype" w:cs="Palatino Linotype"/>
        </w:rPr>
        <w:t>, esto es, al tercer día hábil posterior en que tuvo conocimiento de la respuesta impugnada.</w:t>
      </w:r>
    </w:p>
    <w:p w14:paraId="0077E27A" w14:textId="77777777" w:rsidR="00FA7D54" w:rsidRPr="00F24792" w:rsidRDefault="00591239">
      <w:pPr>
        <w:tabs>
          <w:tab w:val="left" w:pos="7938"/>
        </w:tabs>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F24792">
        <w:rPr>
          <w:rFonts w:ascii="Palatino Linotype" w:eastAsia="Palatino Linotype" w:hAnsi="Palatino Linotype" w:cs="Palatino Linotype"/>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w:t>
      </w:r>
      <w:r w:rsidRPr="00F24792">
        <w:rPr>
          <w:rFonts w:ascii="Palatino Linotype" w:eastAsia="Palatino Linotype" w:hAnsi="Palatino Linotype" w:cs="Palatino Linotype"/>
        </w:rPr>
        <w:lastRenderedPageBreak/>
        <w:t>Municipios, en atención a que fue presentado mediante el formato visible en el SAIMEX.</w:t>
      </w:r>
    </w:p>
    <w:p w14:paraId="12380AEF"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Finalmente, se advierte que resulta procedente la interposición del recurso, según lo manifestado por 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en sus motivos de inconformidad, de acuerdo al artículo 179, fracción V del ordenamiento legal citado, que a la letra dice: </w:t>
      </w:r>
    </w:p>
    <w:p w14:paraId="0B08378A" w14:textId="77777777" w:rsidR="00FA7D54" w:rsidRPr="00F24792" w:rsidRDefault="00591239">
      <w:pPr>
        <w:spacing w:before="120" w:after="120"/>
        <w:ind w:left="851" w:right="902"/>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i/>
          <w:sz w:val="22"/>
          <w:szCs w:val="22"/>
        </w:rPr>
        <w:t>“</w:t>
      </w:r>
      <w:r w:rsidRPr="00F24792">
        <w:rPr>
          <w:rFonts w:ascii="Palatino Linotype" w:eastAsia="Palatino Linotype" w:hAnsi="Palatino Linotype" w:cs="Palatino Linotype"/>
          <w:b/>
          <w:i/>
          <w:sz w:val="22"/>
          <w:szCs w:val="22"/>
        </w:rPr>
        <w:t>Artículo 179.</w:t>
      </w:r>
      <w:r w:rsidRPr="00F2479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5475766" w14:textId="77777777" w:rsidR="00FA7D54" w:rsidRPr="00F24792" w:rsidRDefault="00591239">
      <w:pPr>
        <w:spacing w:before="120" w:after="120"/>
        <w:ind w:left="1134"/>
        <w:rPr>
          <w:rFonts w:ascii="Palatino Linotype" w:eastAsia="Palatino Linotype" w:hAnsi="Palatino Linotype" w:cs="Palatino Linotype"/>
          <w:b/>
          <w:i/>
          <w:sz w:val="22"/>
          <w:szCs w:val="22"/>
        </w:rPr>
      </w:pPr>
      <w:r w:rsidRPr="00F24792">
        <w:rPr>
          <w:rFonts w:ascii="Palatino Linotype" w:eastAsia="Palatino Linotype" w:hAnsi="Palatino Linotype" w:cs="Palatino Linotype"/>
          <w:b/>
          <w:i/>
          <w:sz w:val="22"/>
          <w:szCs w:val="22"/>
        </w:rPr>
        <w:t>...</w:t>
      </w:r>
    </w:p>
    <w:p w14:paraId="2CF0D755" w14:textId="77777777" w:rsidR="00FA7D54" w:rsidRPr="00F24792" w:rsidRDefault="00591239">
      <w:pPr>
        <w:spacing w:before="120" w:after="120"/>
        <w:ind w:left="1134"/>
        <w:rPr>
          <w:rFonts w:ascii="Palatino Linotype" w:eastAsia="Palatino Linotype" w:hAnsi="Palatino Linotype" w:cs="Palatino Linotype"/>
          <w:i/>
          <w:sz w:val="22"/>
          <w:szCs w:val="22"/>
        </w:rPr>
      </w:pPr>
      <w:r w:rsidRPr="00F24792">
        <w:rPr>
          <w:rFonts w:ascii="Palatino Linotype" w:eastAsia="Palatino Linotype" w:hAnsi="Palatino Linotype" w:cs="Palatino Linotype"/>
          <w:b/>
          <w:i/>
        </w:rPr>
        <w:t xml:space="preserve">V. </w:t>
      </w:r>
      <w:r w:rsidRPr="00F24792">
        <w:rPr>
          <w:rFonts w:ascii="Palatino Linotype" w:eastAsia="Palatino Linotype" w:hAnsi="Palatino Linotype" w:cs="Palatino Linotype"/>
          <w:i/>
        </w:rPr>
        <w:t>La entrega de información incompleta</w:t>
      </w:r>
      <w:r w:rsidRPr="00F24792">
        <w:rPr>
          <w:rFonts w:ascii="Palatino Linotype" w:eastAsia="Palatino Linotype" w:hAnsi="Palatino Linotype" w:cs="Palatino Linotype"/>
          <w:i/>
          <w:sz w:val="22"/>
          <w:szCs w:val="22"/>
        </w:rPr>
        <w:t>;”</w:t>
      </w:r>
    </w:p>
    <w:p w14:paraId="2E81AFFF"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b/>
        </w:rPr>
        <w:t>Tercero. Análisis de las causales de sobreseimiento del recurso de revisión.</w:t>
      </w:r>
      <w:r w:rsidRPr="00F24792">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w:t>
      </w:r>
      <w:r w:rsidRPr="00F24792">
        <w:rPr>
          <w:rFonts w:ascii="Palatino Linotype" w:eastAsia="Palatino Linotype" w:hAnsi="Palatino Linotype" w:cs="Palatino Linotype"/>
          <w:vertAlign w:val="superscript"/>
        </w:rPr>
        <w:footnoteReference w:id="1"/>
      </w:r>
      <w:r w:rsidRPr="00F24792">
        <w:rPr>
          <w:rFonts w:ascii="Palatino Linotype" w:eastAsia="Palatino Linotype" w:hAnsi="Palatino Linotype" w:cs="Palatino Linotype"/>
        </w:rPr>
        <w:t xml:space="preserve"> en relación con el diverso 186 fracción I</w:t>
      </w:r>
      <w:r w:rsidRPr="00F24792">
        <w:rPr>
          <w:rFonts w:ascii="Palatino Linotype" w:eastAsia="Palatino Linotype" w:hAnsi="Palatino Linotype" w:cs="Palatino Linotype"/>
          <w:vertAlign w:val="superscript"/>
        </w:rPr>
        <w:footnoteReference w:id="2"/>
      </w:r>
      <w:r w:rsidRPr="00F24792">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xml:space="preserve"> </w:t>
      </w:r>
    </w:p>
    <w:p w14:paraId="4049947E" w14:textId="77777777" w:rsidR="00FA7D54" w:rsidRPr="00F24792" w:rsidRDefault="00591239">
      <w:pPr>
        <w:tabs>
          <w:tab w:val="left" w:pos="7513"/>
        </w:tabs>
        <w:spacing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lastRenderedPageBreak/>
        <w:t>Para una mejor comprensión del asunto, de las constancias que obran en el expediente electrónico, valoradas anteriormente, destacan por su importancia los antecedentes siguientes:</w:t>
      </w:r>
    </w:p>
    <w:p w14:paraId="61D26ADB" w14:textId="77777777" w:rsidR="00FA7D54" w:rsidRPr="00F24792" w:rsidRDefault="00591239">
      <w:pPr>
        <w:tabs>
          <w:tab w:val="left" w:pos="7513"/>
        </w:tabs>
        <w:spacing w:before="240"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En la solicitud de información materia del presente recurso, la parte solicitante requirió al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xml:space="preserve"> lo siguiente:</w:t>
      </w:r>
    </w:p>
    <w:p w14:paraId="605A3F87"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1. Cuántos programas de Desarrollo Social tiene la Secretaría de Cultura y Turismo. </w:t>
      </w:r>
    </w:p>
    <w:p w14:paraId="0144146F"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2. Cuáles son las Reglas de operación desde 2017 hasta 2023 de cada uno de los Programas Sociales. </w:t>
      </w:r>
    </w:p>
    <w:p w14:paraId="2BD09980"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3. Cuál ha sido el recurso asignado para cada programa desde 2017 hasta 2023. </w:t>
      </w:r>
    </w:p>
    <w:p w14:paraId="7C9D9FA9"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t>4. En qué capítulos de gasto y partidas presupuestales se han ejercido tales recursos.</w:t>
      </w:r>
    </w:p>
    <w:p w14:paraId="46030BC5"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5. Cuantas evaluaciones desde 2013 hasta 2023 y de qué tipo, se han realizado a dichos programas sociales. </w:t>
      </w:r>
    </w:p>
    <w:p w14:paraId="7DE7600D"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t>6. Cómo se determina la funcionalidad, cobertura e impacto de los programas sociales en cada ejercicio fiscal.</w:t>
      </w:r>
    </w:p>
    <w:p w14:paraId="305CCA9C"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7. Donde se pueden consultar las evaluaciones que se han realizado y </w:t>
      </w:r>
      <w:r w:rsidRPr="00F24792">
        <w:rPr>
          <w:rFonts w:ascii="Palatino Linotype" w:eastAsia="Palatino Linotype" w:hAnsi="Palatino Linotype" w:cs="Palatino Linotype"/>
          <w:b/>
        </w:rPr>
        <w:t>si no las han hecho cuál ha sido el motivo</w:t>
      </w:r>
      <w:r w:rsidRPr="00F24792">
        <w:rPr>
          <w:rFonts w:ascii="Palatino Linotype" w:eastAsia="Palatino Linotype" w:hAnsi="Palatino Linotype" w:cs="Palatino Linotype"/>
        </w:rPr>
        <w:t xml:space="preserve">. </w:t>
      </w:r>
    </w:p>
    <w:p w14:paraId="72D58E1F"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lastRenderedPageBreak/>
        <w:t>8. Qué ordenamiento jurídico regula, sustenta y/o mandata la realización de evaluaciones a programas sociales en el Estado de México.</w:t>
      </w:r>
    </w:p>
    <w:p w14:paraId="05BA3819"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t>9. Cuántos y cuáles municipios se han beneficiado de cada programa social desde 2013 hasta 2023.</w:t>
      </w:r>
    </w:p>
    <w:p w14:paraId="5406BBDF" w14:textId="77777777" w:rsidR="00FA7D54" w:rsidRPr="00F24792" w:rsidRDefault="00591239">
      <w:pPr>
        <w:tabs>
          <w:tab w:val="left" w:pos="7513"/>
        </w:tabs>
        <w:spacing w:before="240" w:after="240" w:line="360" w:lineRule="auto"/>
        <w:ind w:left="426" w:right="49"/>
        <w:jc w:val="both"/>
        <w:rPr>
          <w:rFonts w:ascii="Palatino Linotype" w:eastAsia="Palatino Linotype" w:hAnsi="Palatino Linotype" w:cs="Palatino Linotype"/>
        </w:rPr>
      </w:pPr>
      <w:r w:rsidRPr="00F24792">
        <w:rPr>
          <w:rFonts w:ascii="Palatino Linotype" w:eastAsia="Palatino Linotype" w:hAnsi="Palatino Linotype" w:cs="Palatino Linotype"/>
        </w:rPr>
        <w:t>10. Cuántas personas de cada municipio se han beneficiado de cada programa social desde 2013 hasta 2023.</w:t>
      </w:r>
    </w:p>
    <w:p w14:paraId="21623AF9" w14:textId="77777777" w:rsidR="00FA7D54" w:rsidRPr="00F24792" w:rsidRDefault="00591239">
      <w:pPr>
        <w:spacing w:before="240"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En atención a la solicitud de información, 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a través de la Unidad de Transparencia, notificó a la persona solicitante dos documentos mediante los cuales se da respuesta a los puntos 1, 2, 3, 4, 5, 6, 7, 8, 9 y 10 de la solicitud, como se observa en el antecedente 3 de la presente resolución.</w:t>
      </w:r>
    </w:p>
    <w:p w14:paraId="507D1795" w14:textId="77777777" w:rsidR="00FA7D54" w:rsidRPr="00F24792" w:rsidRDefault="00591239">
      <w:pPr>
        <w:spacing w:before="240" w:after="240" w:line="360" w:lineRule="auto"/>
        <w:ind w:right="49"/>
        <w:jc w:val="both"/>
        <w:rPr>
          <w:rFonts w:ascii="Palatino Linotype" w:eastAsia="Palatino Linotype" w:hAnsi="Palatino Linotype" w:cs="Palatino Linotype"/>
          <w:i/>
        </w:rPr>
      </w:pPr>
      <w:r w:rsidRPr="00F24792">
        <w:rPr>
          <w:rFonts w:ascii="Palatino Linotype" w:eastAsia="Palatino Linotype" w:hAnsi="Palatino Linotype" w:cs="Palatino Linotype"/>
        </w:rPr>
        <w:t xml:space="preserve">No obstante, al no estar conforme con los términos de la respuesta emitida, la persona solicitante interpuso el recurso de revisión que nos ocupa, mediante el cual manifestó, como motivo de inconformidad que </w:t>
      </w:r>
      <w:r w:rsidRPr="00F24792">
        <w:rPr>
          <w:rFonts w:ascii="Palatino Linotype" w:eastAsia="Palatino Linotype" w:hAnsi="Palatino Linotype" w:cs="Palatino Linotype"/>
          <w:i/>
        </w:rPr>
        <w:t>“</w:t>
      </w:r>
      <w:r w:rsidRPr="00F24792">
        <w:rPr>
          <w:rFonts w:ascii="Palatino Linotype" w:eastAsia="Palatino Linotype" w:hAnsi="Palatino Linotype" w:cs="Palatino Linotype"/>
          <w:b/>
          <w:i/>
        </w:rPr>
        <w:t>No especifican cuál es la razón de no haber realizado ninguna evaluación al Programa salario Rosa por la Cultura Comunitaria</w:t>
      </w:r>
      <w:r w:rsidRPr="00F24792">
        <w:rPr>
          <w:rFonts w:ascii="Palatino Linotype" w:eastAsia="Palatino Linotype" w:hAnsi="Palatino Linotype" w:cs="Palatino Linotype"/>
          <w:i/>
        </w:rPr>
        <w:t>, aún y cuando es una obligación de acuerdo a ley de programas sociales del Estado de México y es parte de un ejercicio de transparencia en el ejercicio de los recursos, siendo del interés público dichas evaluaciones.” (sic)</w:t>
      </w:r>
    </w:p>
    <w:p w14:paraId="69FE80A6" w14:textId="77777777" w:rsidR="00FA7D54" w:rsidRPr="00F24792" w:rsidRDefault="00591239">
      <w:pPr>
        <w:spacing w:before="240" w:after="240" w:line="360" w:lineRule="auto"/>
        <w:jc w:val="both"/>
        <w:rPr>
          <w:rFonts w:ascii="Palatino Linotype" w:eastAsia="Palatino Linotype" w:hAnsi="Palatino Linotype" w:cs="Palatino Linotype"/>
          <w:b/>
          <w:i/>
        </w:rPr>
      </w:pPr>
      <w:r w:rsidRPr="00F24792">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 xml:space="preserve">pues 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manifestó, de manera expresa, su inconformidad respecto de que </w:t>
      </w:r>
      <w:r w:rsidRPr="00F24792">
        <w:rPr>
          <w:rFonts w:ascii="Palatino Linotype" w:eastAsia="Palatino Linotype" w:hAnsi="Palatino Linotype" w:cs="Palatino Linotype"/>
          <w:b/>
          <w:i/>
        </w:rPr>
        <w:t xml:space="preserve">no se especificó cuál es la razón </w:t>
      </w:r>
      <w:r w:rsidRPr="00F24792">
        <w:rPr>
          <w:rFonts w:ascii="Palatino Linotype" w:eastAsia="Palatino Linotype" w:hAnsi="Palatino Linotype" w:cs="Palatino Linotype"/>
          <w:b/>
          <w:i/>
        </w:rPr>
        <w:lastRenderedPageBreak/>
        <w:t>de no haber realizado ninguna evaluación al Programa salario Rosa por la Cultura Comunitaria.</w:t>
      </w:r>
    </w:p>
    <w:p w14:paraId="639A521E"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satisface la solicitud presentada, respecto de los requerimientos que no fueron combatidos.</w:t>
      </w:r>
    </w:p>
    <w:p w14:paraId="324D45BB" w14:textId="77777777" w:rsidR="00FA7D54" w:rsidRPr="00F24792" w:rsidRDefault="00591239">
      <w:pPr>
        <w:spacing w:before="240" w:after="36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Lo anterior es así, debido a que cuando 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impugna la respuesta del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978E1F0" w14:textId="77777777" w:rsidR="00FA7D54" w:rsidRPr="00F24792" w:rsidRDefault="00591239">
      <w:pPr>
        <w:spacing w:before="240" w:after="360"/>
        <w:ind w:left="851" w:right="900"/>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b/>
          <w:i/>
          <w:sz w:val="22"/>
          <w:szCs w:val="22"/>
        </w:rPr>
        <w:t xml:space="preserve">“REVISIÓN EN AMPARO. LOS RESOLUTIVOS NO COMBATIDOS DEBEN DECLARARSE FIRMES. </w:t>
      </w:r>
      <w:r w:rsidRPr="00F24792">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D808736" w14:textId="77777777" w:rsidR="00FA7D54" w:rsidRPr="00F24792" w:rsidRDefault="00591239">
      <w:pPr>
        <w:spacing w:before="240" w:after="240" w:line="360" w:lineRule="auto"/>
        <w:jc w:val="both"/>
        <w:rPr>
          <w:rFonts w:ascii="Palatino Linotype" w:eastAsia="Palatino Linotype" w:hAnsi="Palatino Linotype" w:cs="Palatino Linotype"/>
        </w:rPr>
      </w:pPr>
      <w:bookmarkStart w:id="6" w:name="_heading=h.17dp8vu" w:colFirst="0" w:colLast="0"/>
      <w:bookmarkEnd w:id="6"/>
      <w:r w:rsidRPr="00F24792">
        <w:rPr>
          <w:rFonts w:ascii="Palatino Linotype" w:eastAsia="Palatino Linotype" w:hAnsi="Palatino Linotype" w:cs="Palatino Linotype"/>
        </w:rPr>
        <w:lastRenderedPageBreak/>
        <w:t>Consecuentemente, se insiste, ante la falta de impugnación eficaz, la respuesta entregada debe declararse consentida por persona solicitante.</w:t>
      </w:r>
    </w:p>
    <w:p w14:paraId="16CFDFFC"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3FD09752" w14:textId="77777777" w:rsidR="00FA7D54" w:rsidRPr="00F24792" w:rsidRDefault="0059123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i/>
          <w:sz w:val="22"/>
          <w:szCs w:val="22"/>
        </w:rPr>
        <w:t>“</w:t>
      </w:r>
      <w:r w:rsidRPr="00F24792">
        <w:rPr>
          <w:rFonts w:ascii="Palatino Linotype" w:eastAsia="Palatino Linotype" w:hAnsi="Palatino Linotype" w:cs="Palatino Linotype"/>
          <w:b/>
          <w:i/>
          <w:sz w:val="22"/>
          <w:szCs w:val="22"/>
        </w:rPr>
        <w:t xml:space="preserve">Actos consentidos tácitamente. Improcedencia de su análisis. </w:t>
      </w:r>
      <w:r w:rsidRPr="00F24792">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049F749"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0A084D5" w14:textId="77777777" w:rsidR="00FA7D54" w:rsidRPr="00F24792" w:rsidRDefault="00591239">
      <w:pPr>
        <w:ind w:left="851" w:right="900"/>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b/>
          <w:i/>
          <w:smallCaps/>
          <w:sz w:val="22"/>
          <w:szCs w:val="22"/>
        </w:rPr>
        <w:t xml:space="preserve">“ACTOS CONSENTIDOS. SON LOS QUE NO SE IMPUGNAN MEDIANTE EL RECURSO IDÓNEO. </w:t>
      </w:r>
      <w:r w:rsidRPr="00F24792">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F24792">
        <w:rPr>
          <w:rFonts w:ascii="Palatino Linotype" w:eastAsia="Palatino Linotype" w:hAnsi="Palatino Linotype" w:cs="Palatino Linotype"/>
          <w:i/>
          <w:sz w:val="22"/>
          <w:szCs w:val="22"/>
        </w:rPr>
        <w:t>ya que</w:t>
      </w:r>
      <w:proofErr w:type="gramEnd"/>
      <w:r w:rsidRPr="00F24792">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914CCFF" w14:textId="77777777" w:rsidR="00FA7D54" w:rsidRPr="00F24792" w:rsidRDefault="00591239">
      <w:pPr>
        <w:spacing w:before="240"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Asimismo, no pasa desapercibido que la persona solicitante, pretendió se le informara sobre las razones o motivos por los cuales 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 xml:space="preserve">no realizó alguna evaluación al Programa salario Rosa por la Cultura Comunitaria, situación que conlleva a precisar que con tal pronunciamiento no pretendió ejercer su derecho de acceso a la información pública; sino que por este medio presentó una interrogante cuya finalidad es obligar a la autoridad a que actúe en el sentido de </w:t>
      </w:r>
      <w:r w:rsidRPr="00F24792">
        <w:rPr>
          <w:rFonts w:ascii="Palatino Linotype" w:eastAsia="Palatino Linotype" w:hAnsi="Palatino Linotype" w:cs="Palatino Linotype"/>
        </w:rPr>
        <w:lastRenderedPageBreak/>
        <w:t xml:space="preserve">contestar lo solicitado, que no es factible atenderse vía acceso a la información pública, toda vez, que la atención a dicho cuestionamiento no se puede colmar con documentos que obren en los archivos del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w:t>
      </w:r>
    </w:p>
    <w:p w14:paraId="0E0948F4" w14:textId="77777777" w:rsidR="00FA7D54" w:rsidRPr="00F24792" w:rsidRDefault="00591239">
      <w:pPr>
        <w:spacing w:before="240" w:after="240" w:line="360" w:lineRule="auto"/>
        <w:jc w:val="both"/>
        <w:rPr>
          <w:rFonts w:ascii="Palatino Linotype" w:eastAsia="Palatino Linotype" w:hAnsi="Palatino Linotype" w:cs="Palatino Linotype"/>
          <w:i/>
        </w:rPr>
      </w:pPr>
      <w:r w:rsidRPr="00F24792">
        <w:rPr>
          <w:rFonts w:ascii="Palatino Linotype" w:eastAsia="Palatino Linotype" w:hAnsi="Palatino Linotype" w:cs="Palatino Linotype"/>
        </w:rPr>
        <w:t xml:space="preserve">A efecto de sustentar lo anterior, es preciso mencionar que David Cienfuegos Salgado, concibe al derecho de petición como </w:t>
      </w:r>
      <w:r w:rsidRPr="00F24792">
        <w:rPr>
          <w:rFonts w:ascii="Palatino Linotype" w:eastAsia="Palatino Linotype" w:hAnsi="Palatino Linotype" w:cs="Palatino Linotype"/>
          <w:i/>
        </w:rPr>
        <w:t>“</w:t>
      </w:r>
      <w:r w:rsidRPr="00F24792">
        <w:rPr>
          <w:rFonts w:ascii="Palatino Linotype" w:eastAsia="Palatino Linotype" w:hAnsi="Palatino Linotype" w:cs="Palatino Linotype"/>
          <w:b/>
          <w:i/>
          <w:u w:val="single"/>
        </w:rPr>
        <w:t>el derecho de toda persona a ser escuchado por quienes ejercen el poder públic</w:t>
      </w:r>
      <w:r w:rsidRPr="00F24792">
        <w:rPr>
          <w:rFonts w:ascii="Palatino Linotype" w:eastAsia="Palatino Linotype" w:hAnsi="Palatino Linotype" w:cs="Palatino Linotype"/>
          <w:i/>
        </w:rPr>
        <w:t>o.</w:t>
      </w:r>
      <w:r w:rsidRPr="00F24792">
        <w:rPr>
          <w:rFonts w:ascii="Palatino Linotype" w:eastAsia="Palatino Linotype" w:hAnsi="Palatino Linotype" w:cs="Palatino Linotype"/>
          <w:i/>
          <w:vertAlign w:val="superscript"/>
        </w:rPr>
        <w:t xml:space="preserve"> </w:t>
      </w:r>
      <w:r w:rsidRPr="00F24792">
        <w:rPr>
          <w:rFonts w:ascii="Palatino Linotype" w:eastAsia="Palatino Linotype" w:hAnsi="Palatino Linotype" w:cs="Palatino Linotype"/>
          <w:i/>
          <w:vertAlign w:val="superscript"/>
        </w:rPr>
        <w:footnoteReference w:id="3"/>
      </w:r>
      <w:r w:rsidRPr="00F24792">
        <w:rPr>
          <w:rFonts w:ascii="Palatino Linotype" w:eastAsia="Palatino Linotype" w:hAnsi="Palatino Linotype" w:cs="Palatino Linotype"/>
          <w:i/>
        </w:rPr>
        <w:t xml:space="preserve">” (Sic) </w:t>
      </w:r>
    </w:p>
    <w:p w14:paraId="154064DA"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De la misma manera, Miguel Carbonell en su libro “Los derechos fundamentales” refiere que el </w:t>
      </w:r>
      <w:r w:rsidRPr="00F24792">
        <w:rPr>
          <w:rFonts w:ascii="Palatino Linotype" w:eastAsia="Palatino Linotype" w:hAnsi="Palatino Linotype" w:cs="Palatino Linotype"/>
          <w:u w:val="single"/>
        </w:rPr>
        <w:t>derecho de petición se ha entendido de dos distintitas maneras</w:t>
      </w:r>
      <w:r w:rsidRPr="00F24792">
        <w:rPr>
          <w:rFonts w:ascii="Palatino Linotype" w:eastAsia="Palatino Linotype" w:hAnsi="Palatino Linotype" w:cs="Palatino Linotype"/>
        </w:rPr>
        <w:t xml:space="preserve">, a saber: como un derecho fundamental de participación política ya que </w:t>
      </w:r>
      <w:r w:rsidRPr="00F24792">
        <w:rPr>
          <w:rFonts w:ascii="Palatino Linotype" w:eastAsia="Palatino Linotype" w:hAnsi="Palatino Linotype" w:cs="Palatino Linotype"/>
          <w:u w:val="single"/>
        </w:rPr>
        <w:t xml:space="preserve">permite a los particulares trasladar a las autoridades sus </w:t>
      </w:r>
      <w:r w:rsidRPr="00F24792">
        <w:rPr>
          <w:rFonts w:ascii="Palatino Linotype" w:eastAsia="Palatino Linotype" w:hAnsi="Palatino Linotype" w:cs="Palatino Linotype"/>
          <w:b/>
          <w:u w:val="single"/>
        </w:rPr>
        <w:t>inquietudes, quejas</w:t>
      </w:r>
      <w:r w:rsidRPr="00F24792">
        <w:rPr>
          <w:rFonts w:ascii="Palatino Linotype" w:eastAsia="Palatino Linotype" w:hAnsi="Palatino Linotype" w:cs="Palatino Linotype"/>
          <w:u w:val="single"/>
        </w:rPr>
        <w:t>, sugerencias</w:t>
      </w:r>
      <w:r w:rsidRPr="00F24792">
        <w:rPr>
          <w:rFonts w:ascii="Palatino Linotype" w:eastAsia="Palatino Linotype" w:hAnsi="Palatino Linotype" w:cs="Palatino Linotype"/>
        </w:rPr>
        <w:t xml:space="preserve"> y requerimientos en cualquier materia o asunto; y como una </w:t>
      </w:r>
      <w:r w:rsidRPr="00F24792">
        <w:rPr>
          <w:rFonts w:ascii="Palatino Linotype" w:eastAsia="Palatino Linotype" w:hAnsi="Palatino Linotype" w:cs="Palatino Linotype"/>
          <w:b/>
        </w:rPr>
        <w:t>forma específica de la libertad de expresión</w:t>
      </w:r>
      <w:r w:rsidRPr="00F24792">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F24792">
        <w:rPr>
          <w:rFonts w:ascii="Palatino Linotype" w:eastAsia="Palatino Linotype" w:hAnsi="Palatino Linotype" w:cs="Palatino Linotype"/>
          <w:vertAlign w:val="superscript"/>
        </w:rPr>
        <w:footnoteReference w:id="4"/>
      </w:r>
    </w:p>
    <w:p w14:paraId="6269B91D" w14:textId="77777777" w:rsidR="00FA7D54" w:rsidRPr="00F24792" w:rsidRDefault="00591239">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Por otro lado, el autor anteriormente citado, indica que el </w:t>
      </w:r>
      <w:r w:rsidRPr="00F24792">
        <w:rPr>
          <w:rFonts w:ascii="Palatino Linotype" w:eastAsia="Palatino Linotype" w:hAnsi="Palatino Linotype" w:cs="Palatino Linotype"/>
          <w:b/>
          <w:u w:val="single"/>
        </w:rPr>
        <w:t>derecho de acceso a la información pública</w:t>
      </w:r>
      <w:r w:rsidRPr="00F24792">
        <w:rPr>
          <w:rFonts w:ascii="Palatino Linotype" w:eastAsia="Palatino Linotype" w:hAnsi="Palatino Linotype" w:cs="Palatino Linotype"/>
        </w:rPr>
        <w:t xml:space="preserve"> es el derecho de conocer la </w:t>
      </w:r>
      <w:r w:rsidRPr="00F24792">
        <w:rPr>
          <w:rFonts w:ascii="Palatino Linotype" w:eastAsia="Palatino Linotype" w:hAnsi="Palatino Linotype" w:cs="Palatino Linotype"/>
          <w:u w:val="single"/>
        </w:rPr>
        <w:t>información de carácter público que se genera o está en posesión de los órganos del poder público</w:t>
      </w:r>
      <w:r w:rsidRPr="00F24792">
        <w:rPr>
          <w:rFonts w:ascii="Palatino Linotype" w:eastAsia="Palatino Linotype" w:hAnsi="Palatino Linotype" w:cs="Palatino Linotype"/>
        </w:rPr>
        <w:t xml:space="preserve"> o de los sujetos </w:t>
      </w:r>
      <w:r w:rsidRPr="00F24792">
        <w:rPr>
          <w:rFonts w:ascii="Palatino Linotype" w:eastAsia="Palatino Linotype" w:hAnsi="Palatino Linotype" w:cs="Palatino Linotype"/>
        </w:rPr>
        <w:lastRenderedPageBreak/>
        <w:t>que utilizan o se benefician con recursos provenientes del Estado, es el derecho que tienen los ciudadanos para acceder a documentos y datos que obren en el poder del gobierno.</w:t>
      </w:r>
    </w:p>
    <w:p w14:paraId="0CEF770A" w14:textId="77777777" w:rsidR="00FA7D54" w:rsidRPr="00F24792" w:rsidRDefault="00591239">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F24792">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F24792">
        <w:rPr>
          <w:rFonts w:ascii="Palatino Linotype" w:eastAsia="Palatino Linotype" w:hAnsi="Palatino Linotype" w:cs="Palatino Linotype"/>
          <w:vertAlign w:val="superscript"/>
        </w:rPr>
        <w:footnoteReference w:id="5"/>
      </w:r>
    </w:p>
    <w:p w14:paraId="59B66484" w14:textId="77777777" w:rsidR="00FA7D54" w:rsidRPr="00F24792" w:rsidRDefault="00591239">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De lo anterior se puede concluir que la distinción entre el </w:t>
      </w:r>
      <w:r w:rsidRPr="00F24792">
        <w:rPr>
          <w:rFonts w:ascii="Palatino Linotype" w:eastAsia="Palatino Linotype" w:hAnsi="Palatino Linotype" w:cs="Palatino Linotype"/>
          <w:b/>
        </w:rPr>
        <w:t>derecho de petición</w:t>
      </w:r>
      <w:r w:rsidRPr="00F24792">
        <w:rPr>
          <w:rFonts w:ascii="Palatino Linotype" w:eastAsia="Palatino Linotype" w:hAnsi="Palatino Linotype" w:cs="Palatino Linotype"/>
        </w:rPr>
        <w:t xml:space="preserve"> y el derecho de acceso a la información descansa, principalmente, en que </w:t>
      </w:r>
      <w:r w:rsidRPr="00F24792">
        <w:rPr>
          <w:rFonts w:ascii="Palatino Linotype" w:eastAsia="Palatino Linotype" w:hAnsi="Palatino Linotype" w:cs="Palatino Linotype"/>
          <w:u w:val="single"/>
        </w:rPr>
        <w:t>la pretensión del peticionario consiste generalmente en obligar a la autoridad responsable a que actúe en el sentido de contestar lo solicitado</w:t>
      </w:r>
      <w:r w:rsidRPr="00F24792">
        <w:rPr>
          <w:rFonts w:ascii="Palatino Linotype" w:eastAsia="Palatino Linotype" w:hAnsi="Palatino Linotype" w:cs="Palatino Linotype"/>
        </w:rPr>
        <w:t>, mientras que en el</w:t>
      </w:r>
      <w:r w:rsidRPr="00F24792">
        <w:rPr>
          <w:rFonts w:ascii="Palatino Linotype" w:eastAsia="Palatino Linotype" w:hAnsi="Palatino Linotype" w:cs="Palatino Linotype"/>
          <w:b/>
        </w:rPr>
        <w:t xml:space="preserve"> derecho de acceso a la información pública </w:t>
      </w:r>
      <w:r w:rsidRPr="00F24792">
        <w:rPr>
          <w:rFonts w:ascii="Palatino Linotype" w:eastAsia="Palatino Linotype" w:hAnsi="Palatino Linotype" w:cs="Palatino Linotype"/>
          <w:u w:val="single"/>
        </w:rPr>
        <w:t>la pretensión radica en que se permita el acceso a datos y todo tipo de documentación que tenga el carácter de información pública, que sea generada, administrada o se encuentre en posesión de los considerados Sujetos Obligados</w:t>
      </w:r>
      <w:r w:rsidRPr="00F24792">
        <w:rPr>
          <w:rFonts w:ascii="Palatino Linotype" w:eastAsia="Palatino Linotype" w:hAnsi="Palatino Linotype" w:cs="Palatino Linotype"/>
        </w:rPr>
        <w:t xml:space="preserve"> por la Ley de la Materia.</w:t>
      </w:r>
    </w:p>
    <w:p w14:paraId="453B0A66" w14:textId="77777777" w:rsidR="00FA7D54" w:rsidRPr="00F24792" w:rsidRDefault="00591239">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Con base a lo anterior, tenemos que 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a través de su solicitud requirió conocer la razón por la cual no se realizó alguna evaluación al Programa salario Rosa por la Cultura Comunitaria, por consiguiente, la entrega de una razón o la respuesta o atención a pronunciamientos que </w:t>
      </w:r>
      <w:r w:rsidRPr="00F24792">
        <w:rPr>
          <w:rFonts w:ascii="Palatino Linotype" w:eastAsia="Palatino Linotype" w:hAnsi="Palatino Linotype" w:cs="Palatino Linotype"/>
          <w:u w:val="single"/>
        </w:rPr>
        <w:t>no encuentren en soporte documental alguno</w:t>
      </w:r>
      <w:r w:rsidRPr="00F24792">
        <w:rPr>
          <w:rFonts w:ascii="Palatino Linotype" w:eastAsia="Palatino Linotype" w:hAnsi="Palatino Linotype" w:cs="Palatino Linotype"/>
        </w:rPr>
        <w:t xml:space="preserve">, no es algo que la Ley de la Materia establezca como atribución, </w:t>
      </w:r>
      <w:r w:rsidRPr="00F24792">
        <w:rPr>
          <w:rFonts w:ascii="Palatino Linotype" w:eastAsia="Palatino Linotype" w:hAnsi="Palatino Linotype" w:cs="Palatino Linotype"/>
        </w:rPr>
        <w:lastRenderedPageBreak/>
        <w:t xml:space="preserve">derecho o facultad; pues ello </w:t>
      </w:r>
      <w:r w:rsidRPr="00F24792">
        <w:rPr>
          <w:rFonts w:ascii="Palatino Linotype" w:eastAsia="Palatino Linotype" w:hAnsi="Palatino Linotype" w:cs="Palatino Linotype"/>
          <w:u w:val="single"/>
        </w:rPr>
        <w:t>implicaría emitir un juicio de valor referente a cuestionamientos realizados</w:t>
      </w:r>
      <w:r w:rsidRPr="00F24792">
        <w:rPr>
          <w:rFonts w:ascii="Palatino Linotype" w:eastAsia="Palatino Linotype" w:hAnsi="Palatino Linotype" w:cs="Palatino Linotype"/>
        </w:rPr>
        <w:t xml:space="preserve">, los cuales como ha quedado explicado, al constituir </w:t>
      </w:r>
      <w:r w:rsidRPr="00F24792">
        <w:rPr>
          <w:rFonts w:ascii="Palatino Linotype" w:eastAsia="Palatino Linotype" w:hAnsi="Palatino Linotype" w:cs="Palatino Linotype"/>
          <w:b/>
          <w:u w:val="single"/>
        </w:rPr>
        <w:t>interrogantes, inquietudes, quejas y manifestaciones</w:t>
      </w:r>
      <w:r w:rsidRPr="00F24792">
        <w:rPr>
          <w:rFonts w:ascii="Palatino Linotype" w:eastAsia="Palatino Linotype" w:hAnsi="Palatino Linotype" w:cs="Palatino Linotype"/>
        </w:rPr>
        <w:t xml:space="preserve"> resultan estar encaminadas a ser satisfechas en ejercicio del derecho de petición.</w:t>
      </w:r>
    </w:p>
    <w:p w14:paraId="050ABADB" w14:textId="77777777" w:rsidR="00FA7D54" w:rsidRPr="00F24792" w:rsidRDefault="00591239">
      <w:pPr>
        <w:spacing w:before="240" w:after="240" w:line="360" w:lineRule="auto"/>
        <w:ind w:right="49"/>
        <w:jc w:val="both"/>
        <w:rPr>
          <w:rFonts w:ascii="Palatino Linotype" w:eastAsia="Palatino Linotype" w:hAnsi="Palatino Linotype" w:cs="Palatino Linotype"/>
          <w:b/>
          <w:u w:val="single"/>
        </w:rPr>
      </w:pPr>
      <w:r w:rsidRPr="00F24792">
        <w:rPr>
          <w:rFonts w:ascii="Palatino Linotype" w:eastAsia="Palatino Linotype" w:hAnsi="Palatino Linotype" w:cs="Palatino Linotype"/>
        </w:rPr>
        <w:t xml:space="preserve">No obstante de ello, con la finalidad de garantizar el derecho de acceso a la información de 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aun sin tener la obligación de hacerlo, en la etapa de manifestaciones, a través del</w:t>
      </w:r>
      <w:r w:rsidRPr="00F24792">
        <w:rPr>
          <w:rFonts w:ascii="Palatino Linotype" w:eastAsia="Palatino Linotype" w:hAnsi="Palatino Linotype" w:cs="Palatino Linotype"/>
          <w:b/>
        </w:rPr>
        <w:t xml:space="preserve"> </w:t>
      </w:r>
      <w:r w:rsidRPr="00F24792">
        <w:rPr>
          <w:rFonts w:ascii="Palatino Linotype" w:eastAsia="Palatino Linotype" w:hAnsi="Palatino Linotype" w:cs="Palatino Linotype"/>
        </w:rPr>
        <w:t xml:space="preserve">Director General de Patrimonio y Servicios Culturales del Valle de Toluca 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xml:space="preserve"> precisó que las Reglas de Operación del programa de Desarrollo Social Salario Rosa por la Cultura Comunitaria, en su numeral 16 Evaluación, establece que se podrá realizar una evaluación externa (especial, de diseño, de procesos, de desempeño, de consistencia y resultados o de impacto), coordinada por el Consejo de Investigación y Evaluación de la Política Social, CIEPS, que permita mejorar el Programa, de conformidad con lo dispuesto en la Ley y demás normatividad aplicable, </w:t>
      </w:r>
      <w:r w:rsidRPr="00F24792">
        <w:rPr>
          <w:rFonts w:ascii="Palatino Linotype" w:eastAsia="Palatino Linotype" w:hAnsi="Palatino Linotype" w:cs="Palatino Linotype"/>
          <w:b/>
        </w:rPr>
        <w:t xml:space="preserve">de donde </w:t>
      </w:r>
      <w:r w:rsidRPr="00F24792">
        <w:rPr>
          <w:rFonts w:ascii="Palatino Linotype" w:eastAsia="Palatino Linotype" w:hAnsi="Palatino Linotype" w:cs="Palatino Linotype"/>
          <w:b/>
          <w:u w:val="single"/>
        </w:rPr>
        <w:t>se desprende la posibilidad de considerar realizar una evaluación externa</w:t>
      </w:r>
      <w:r w:rsidRPr="00F24792">
        <w:rPr>
          <w:rFonts w:ascii="Palatino Linotype" w:eastAsia="Palatino Linotype" w:hAnsi="Palatino Linotype" w:cs="Palatino Linotype"/>
          <w:b/>
        </w:rPr>
        <w:t xml:space="preserve">, sin embargo, </w:t>
      </w:r>
      <w:r w:rsidRPr="00F24792">
        <w:rPr>
          <w:rFonts w:ascii="Palatino Linotype" w:eastAsia="Palatino Linotype" w:hAnsi="Palatino Linotype" w:cs="Palatino Linotype"/>
          <w:b/>
          <w:u w:val="single"/>
        </w:rPr>
        <w:t>no se establece la obligatoriedad para realizarla.</w:t>
      </w:r>
    </w:p>
    <w:p w14:paraId="07AF2832" w14:textId="77777777" w:rsidR="00FA7D54" w:rsidRPr="00F24792" w:rsidRDefault="00591239">
      <w:pPr>
        <w:spacing w:before="240" w:after="240" w:line="360" w:lineRule="auto"/>
        <w:ind w:right="49"/>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Asimismo, señaló que existe una evaluación de diseño a los programas que integran la estrategia salario rosa, la cual puede ser consultada en la dirección electrónica: </w:t>
      </w:r>
      <w:hyperlink r:id="rId16">
        <w:r w:rsidRPr="00F24792">
          <w:rPr>
            <w:rFonts w:ascii="Palatino Linotype" w:eastAsia="Palatino Linotype" w:hAnsi="Palatino Linotype" w:cs="Palatino Linotype"/>
            <w:u w:val="single"/>
          </w:rPr>
          <w:t>https://www.undp.org/es/mexico/news/recomendaciones-del-pnud-la-estrategia-salario-rosa-contribuir%C3%A1n-fortalecer-el-dise%C3%B1o-de-los-nueve-programas-que-la-integran</w:t>
        </w:r>
      </w:hyperlink>
      <w:r w:rsidRPr="00F24792">
        <w:rPr>
          <w:rFonts w:ascii="Palatino Linotype" w:eastAsia="Palatino Linotype" w:hAnsi="Palatino Linotype" w:cs="Palatino Linotype"/>
        </w:rPr>
        <w:t>, cuyo contenido es el siguiente:</w:t>
      </w:r>
    </w:p>
    <w:p w14:paraId="65A5C853" w14:textId="77777777" w:rsidR="00FA7D54" w:rsidRPr="00F24792" w:rsidRDefault="00591239">
      <w:pPr>
        <w:spacing w:before="240" w:after="240"/>
        <w:ind w:right="49"/>
        <w:jc w:val="center"/>
        <w:rPr>
          <w:rFonts w:ascii="Palatino Linotype" w:eastAsia="Palatino Linotype" w:hAnsi="Palatino Linotype" w:cs="Palatino Linotype"/>
        </w:rPr>
      </w:pPr>
      <w:r w:rsidRPr="00F24792">
        <w:rPr>
          <w:noProof/>
        </w:rPr>
        <w:lastRenderedPageBreak/>
        <w:drawing>
          <wp:inline distT="0" distB="0" distL="0" distR="0" wp14:anchorId="094D2F32" wp14:editId="71183F3E">
            <wp:extent cx="4860000" cy="3287291"/>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t="747"/>
                    <a:stretch>
                      <a:fillRect/>
                    </a:stretch>
                  </pic:blipFill>
                  <pic:spPr>
                    <a:xfrm>
                      <a:off x="0" y="0"/>
                      <a:ext cx="4860000" cy="3287291"/>
                    </a:xfrm>
                    <a:prstGeom prst="rect">
                      <a:avLst/>
                    </a:prstGeom>
                    <a:ln/>
                  </pic:spPr>
                </pic:pic>
              </a:graphicData>
            </a:graphic>
          </wp:inline>
        </w:drawing>
      </w:r>
      <w:r w:rsidRPr="00F24792">
        <w:rPr>
          <w:noProof/>
        </w:rPr>
        <w:drawing>
          <wp:inline distT="0" distB="0" distL="0" distR="0" wp14:anchorId="4A3F2290" wp14:editId="731DBDA9">
            <wp:extent cx="4860000" cy="4019835"/>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1" b="22462"/>
                    <a:stretch>
                      <a:fillRect/>
                    </a:stretch>
                  </pic:blipFill>
                  <pic:spPr>
                    <a:xfrm>
                      <a:off x="0" y="0"/>
                      <a:ext cx="4860000" cy="4019835"/>
                    </a:xfrm>
                    <a:prstGeom prst="rect">
                      <a:avLst/>
                    </a:prstGeom>
                    <a:ln/>
                  </pic:spPr>
                </pic:pic>
              </a:graphicData>
            </a:graphic>
          </wp:inline>
        </w:drawing>
      </w:r>
    </w:p>
    <w:tbl>
      <w:tblPr>
        <w:tblStyle w:val="a9"/>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42"/>
        <w:gridCol w:w="2943"/>
        <w:gridCol w:w="2943"/>
      </w:tblGrid>
      <w:tr w:rsidR="00F24792" w:rsidRPr="00F24792" w14:paraId="43F6BDE9" w14:textId="77777777">
        <w:tc>
          <w:tcPr>
            <w:tcW w:w="2942" w:type="dxa"/>
          </w:tcPr>
          <w:p w14:paraId="240300E7" w14:textId="77777777" w:rsidR="00FA7D54" w:rsidRPr="00F24792" w:rsidRDefault="00591239">
            <w:pPr>
              <w:spacing w:before="240" w:after="240"/>
              <w:ind w:right="49"/>
              <w:jc w:val="center"/>
              <w:rPr>
                <w:rFonts w:ascii="Palatino Linotype" w:eastAsia="Palatino Linotype" w:hAnsi="Palatino Linotype" w:cs="Palatino Linotype"/>
              </w:rPr>
            </w:pPr>
            <w:r w:rsidRPr="00F24792">
              <w:rPr>
                <w:noProof/>
              </w:rPr>
              <w:lastRenderedPageBreak/>
              <w:drawing>
                <wp:inline distT="0" distB="0" distL="0" distR="0" wp14:anchorId="5701E3F2" wp14:editId="7E9295F3">
                  <wp:extent cx="1620000" cy="2002909"/>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620000" cy="2002909"/>
                          </a:xfrm>
                          <a:prstGeom prst="rect">
                            <a:avLst/>
                          </a:prstGeom>
                          <a:ln/>
                        </pic:spPr>
                      </pic:pic>
                    </a:graphicData>
                  </a:graphic>
                </wp:inline>
              </w:drawing>
            </w:r>
          </w:p>
        </w:tc>
        <w:tc>
          <w:tcPr>
            <w:tcW w:w="2943" w:type="dxa"/>
          </w:tcPr>
          <w:p w14:paraId="22467536" w14:textId="77777777" w:rsidR="00FA7D54" w:rsidRPr="00F24792" w:rsidRDefault="00591239">
            <w:pPr>
              <w:spacing w:before="240" w:after="240"/>
              <w:ind w:right="49"/>
              <w:jc w:val="center"/>
              <w:rPr>
                <w:rFonts w:ascii="Palatino Linotype" w:eastAsia="Palatino Linotype" w:hAnsi="Palatino Linotype" w:cs="Palatino Linotype"/>
              </w:rPr>
            </w:pPr>
            <w:r w:rsidRPr="00F24792">
              <w:rPr>
                <w:noProof/>
              </w:rPr>
              <w:drawing>
                <wp:inline distT="0" distB="0" distL="0" distR="0" wp14:anchorId="588F7FB7" wp14:editId="142373D0">
                  <wp:extent cx="1620000" cy="1658043"/>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620000" cy="1658043"/>
                          </a:xfrm>
                          <a:prstGeom prst="rect">
                            <a:avLst/>
                          </a:prstGeom>
                          <a:ln/>
                        </pic:spPr>
                      </pic:pic>
                    </a:graphicData>
                  </a:graphic>
                </wp:inline>
              </w:drawing>
            </w:r>
          </w:p>
        </w:tc>
        <w:tc>
          <w:tcPr>
            <w:tcW w:w="2943" w:type="dxa"/>
          </w:tcPr>
          <w:p w14:paraId="040B638D" w14:textId="77777777" w:rsidR="00FA7D54" w:rsidRPr="00F24792" w:rsidRDefault="00591239">
            <w:pPr>
              <w:spacing w:before="240" w:after="240"/>
              <w:ind w:right="49"/>
              <w:jc w:val="center"/>
              <w:rPr>
                <w:rFonts w:ascii="Palatino Linotype" w:eastAsia="Palatino Linotype" w:hAnsi="Palatino Linotype" w:cs="Palatino Linotype"/>
              </w:rPr>
            </w:pPr>
            <w:r w:rsidRPr="00F24792">
              <w:rPr>
                <w:noProof/>
              </w:rPr>
              <w:drawing>
                <wp:inline distT="0" distB="0" distL="0" distR="0" wp14:anchorId="2F1EAE5B" wp14:editId="4713B0F3">
                  <wp:extent cx="1620000" cy="1787809"/>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1620000" cy="1787809"/>
                          </a:xfrm>
                          <a:prstGeom prst="rect">
                            <a:avLst/>
                          </a:prstGeom>
                          <a:ln/>
                        </pic:spPr>
                      </pic:pic>
                    </a:graphicData>
                  </a:graphic>
                </wp:inline>
              </w:drawing>
            </w:r>
          </w:p>
        </w:tc>
      </w:tr>
    </w:tbl>
    <w:p w14:paraId="6BE07B7E"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Cabe señalar que la información fue proporcionada por la Dirección General de Patrimonio y Servicios Culturales del Valle de Toluca, unidad administrativa que tiene como objetivo dirigir, coordinar, promover y fomentar el desarrollo cultural y artístico del Estado de México en el Valle de Toluca, mediante actividades de rescate y preservación del patrimonio cultural; el resguardo, la exposición y la divulgación del acervo cultural de los museos, bibliotecas, hemerotecas, cineteca y archivos; la operación de los Centros Regionales de Cultura, y la realización de actividades artísticas, literarias y de fomento a la lectura, para lo cual se le encomienda el desempeño de las siguientes funciones:</w:t>
      </w:r>
    </w:p>
    <w:p w14:paraId="1DEE878A"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Formular, diseñar y asegurar el cumplimiento de objetivos y metas del Programa Anual de Operación (POA). </w:t>
      </w:r>
    </w:p>
    <w:p w14:paraId="62D268DC"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Trabajar en coordinación con las unidades administrativas que integran la Secretaría de Cultura y Turismo para consolidar al Estado de México como un referente cultural, artístico, turístico y deportivo.</w:t>
      </w:r>
    </w:p>
    <w:p w14:paraId="3D0DB4CF"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b/>
        </w:rPr>
        <w:lastRenderedPageBreak/>
        <w:t>− Presidir la Secretaría Técnica del Comité para la asignación de becas, apoyos y estímulos</w:t>
      </w:r>
      <w:r w:rsidRPr="00F24792">
        <w:rPr>
          <w:rFonts w:ascii="Palatino Linotype" w:eastAsia="Palatino Linotype" w:hAnsi="Palatino Linotype" w:cs="Palatino Linotype"/>
        </w:rPr>
        <w:t xml:space="preserve"> de la Dirección General de Servicios Culturales del Valle de Toluca de la Secretaría de Cultura y Turismo y asegurar el cumplimiento de los acuerdos tomados en el mismo.</w:t>
      </w:r>
    </w:p>
    <w:p w14:paraId="51DE50D3"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Promover lo necesario para que las bibliotecas, hemerotecas, cineteca y museos establecidos sean administrados eficazmente, a fin de cumplir con los objetivos para las cuales fueron creados. </w:t>
      </w:r>
    </w:p>
    <w:p w14:paraId="58CF9082"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Coordinar los trabajos de conservación del patrimonio artístico, cultural e histórico que sean administrados por la Secretaría, observando en todo momento la normatividad en la materia. </w:t>
      </w:r>
    </w:p>
    <w:p w14:paraId="2DE7AD9C"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Vigilar la operación y administración de los Centros Regionales en apego a los lineamientos de operación correspondiente. </w:t>
      </w:r>
    </w:p>
    <w:p w14:paraId="2BFC001B" w14:textId="77777777" w:rsidR="00FA7D54" w:rsidRPr="00F24792" w:rsidRDefault="00591239">
      <w:pPr>
        <w:spacing w:before="240" w:after="240" w:line="360" w:lineRule="auto"/>
        <w:ind w:left="426"/>
        <w:jc w:val="both"/>
        <w:rPr>
          <w:rFonts w:ascii="Palatino Linotype" w:eastAsia="Palatino Linotype" w:hAnsi="Palatino Linotype" w:cs="Palatino Linotype"/>
          <w:b/>
        </w:rPr>
      </w:pPr>
      <w:r w:rsidRPr="00F24792">
        <w:rPr>
          <w:rFonts w:ascii="Palatino Linotype" w:eastAsia="Palatino Linotype" w:hAnsi="Palatino Linotype" w:cs="Palatino Linotype"/>
          <w:b/>
        </w:rPr>
        <w:t>− Coordinar y ejecutar programas, proyectos y acciones que fomenten el desarrollo cultural en la Zona del Valle de Toluca.</w:t>
      </w:r>
    </w:p>
    <w:p w14:paraId="7D9CDBC1"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 Fomentar el rescate y promoción de los valores culturales, articulando canales de comunicación y trabajo entre los distintos sectores de la sociedad mexiquense. </w:t>
      </w:r>
    </w:p>
    <w:p w14:paraId="05A7740D" w14:textId="77777777" w:rsidR="00FA7D54" w:rsidRPr="00F24792" w:rsidRDefault="00591239">
      <w:pPr>
        <w:spacing w:before="240" w:after="240" w:line="360" w:lineRule="auto"/>
        <w:ind w:left="426"/>
        <w:jc w:val="both"/>
        <w:rPr>
          <w:rFonts w:ascii="Palatino Linotype" w:eastAsia="Palatino Linotype" w:hAnsi="Palatino Linotype" w:cs="Palatino Linotype"/>
          <w:b/>
        </w:rPr>
      </w:pPr>
      <w:r w:rsidRPr="00F24792">
        <w:rPr>
          <w:rFonts w:ascii="Palatino Linotype" w:eastAsia="Palatino Linotype" w:hAnsi="Palatino Linotype" w:cs="Palatino Linotype"/>
        </w:rPr>
        <w:t xml:space="preserve">− Suscribir convenios de colaboración, coordinación, concertación o asociación con autoridades federales, estales o municipales, así como con los sectores social y privado, para </w:t>
      </w:r>
      <w:r w:rsidRPr="00F24792">
        <w:rPr>
          <w:rFonts w:ascii="Palatino Linotype" w:eastAsia="Palatino Linotype" w:hAnsi="Palatino Linotype" w:cs="Palatino Linotype"/>
          <w:b/>
        </w:rPr>
        <w:t xml:space="preserve">planear, organizar, coordinar, promover, ejecutar y evaluar las </w:t>
      </w:r>
      <w:r w:rsidRPr="00F24792">
        <w:rPr>
          <w:rFonts w:ascii="Palatino Linotype" w:eastAsia="Palatino Linotype" w:hAnsi="Palatino Linotype" w:cs="Palatino Linotype"/>
          <w:b/>
        </w:rPr>
        <w:lastRenderedPageBreak/>
        <w:t>políticas,</w:t>
      </w:r>
      <w:r w:rsidRPr="00F24792">
        <w:rPr>
          <w:rFonts w:ascii="Palatino Linotype" w:eastAsia="Palatino Linotype" w:hAnsi="Palatino Linotype" w:cs="Palatino Linotype"/>
        </w:rPr>
        <w:t xml:space="preserve"> </w:t>
      </w:r>
      <w:r w:rsidRPr="00F24792">
        <w:rPr>
          <w:rFonts w:ascii="Palatino Linotype" w:eastAsia="Palatino Linotype" w:hAnsi="Palatino Linotype" w:cs="Palatino Linotype"/>
          <w:b/>
        </w:rPr>
        <w:t>programas y acciones necesarias para la preservación del patrimonio cultural y el desarrollo de la cultura en el Estado de México.</w:t>
      </w:r>
    </w:p>
    <w:p w14:paraId="041BD0CC"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 Atender los requerimientos de información de los entes auditores e informar en todo momento a la persona superior jerárquica. </w:t>
      </w:r>
    </w:p>
    <w:p w14:paraId="3A25CCD2"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Realizar las gestiones necesarias, ante las autoridades federales competentes, para el rescate y protección de los bienes patrimoniales y artísticos de la entidad. </w:t>
      </w:r>
    </w:p>
    <w:p w14:paraId="572F5C4B"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Solicitar a la o al representante legal de la Secretaría la suscripción de convenios con dependencias del ámbito federal, estatal o municipal.</w:t>
      </w:r>
    </w:p>
    <w:p w14:paraId="4EF49870"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Asistir al representante legal de la Secretaría en la suscripción de los convenios solicitados para su firma; así como dar seguimiento a los mismos hasta su total cumplimiento, informando a la o el titular de la Secretaría. </w:t>
      </w:r>
    </w:p>
    <w:p w14:paraId="1888EFCF"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Controlar y administrar las bibliotecas a su cargo, hemerotecas, cineteca, museos y el Archivo Histórico del Estado, así como someter a la consideración de la o el titular de la Secretaría los lineamientos y políticas para su funcionamiento. </w:t>
      </w:r>
    </w:p>
    <w:p w14:paraId="586499FC"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Dirigir las acciones relacionadas con asesoraría a los ayuntamientos, en materia de operación y gestión de las casas de cultura municipal. </w:t>
      </w:r>
    </w:p>
    <w:p w14:paraId="267444D2"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Promover las gestiones conducentes para la adquisición de bienes artísticos y valores culturales de propiedad particular, ya sea por compraventa o mediante cualquier otra figura jurídica. </w:t>
      </w:r>
    </w:p>
    <w:p w14:paraId="5580F1D2"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lastRenderedPageBreak/>
        <w:t xml:space="preserve">− Impulsar, de manera coordinada con los ayuntamientos, acciones para la protección y resguardo de archivos históricos municipales. </w:t>
      </w:r>
    </w:p>
    <w:p w14:paraId="4EC9F4B5"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Someter a consideración de la o del titular de la Secretaría los programas operativos y de enseñanza artística y cultural y de preservación, y en su caso ejecutarlos. </w:t>
      </w:r>
    </w:p>
    <w:p w14:paraId="34BDA16A"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 Promover las obras literarias de autoras y autores, tanto mexiquenses como nacionales, así como estimular y fomentar el interés por la literatura entre la población del Estado. </w:t>
      </w:r>
    </w:p>
    <w:p w14:paraId="69E63B4B"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Dar seguimiento al cumplimiento de los convenios o instrumentos jurídicos en los que asista al representante legal de la Secretaría e informar a la o al titular de la dependencia la conclusión de éstos.</w:t>
      </w:r>
    </w:p>
    <w:p w14:paraId="407D99A4" w14:textId="77777777" w:rsidR="00FA7D54" w:rsidRPr="00F24792" w:rsidRDefault="00591239">
      <w:pPr>
        <w:spacing w:before="240" w:after="240" w:line="360" w:lineRule="auto"/>
        <w:ind w:left="426"/>
        <w:jc w:val="both"/>
        <w:rPr>
          <w:rFonts w:ascii="Palatino Linotype" w:eastAsia="Palatino Linotype" w:hAnsi="Palatino Linotype" w:cs="Palatino Linotype"/>
        </w:rPr>
      </w:pPr>
      <w:r w:rsidRPr="00F24792">
        <w:rPr>
          <w:rFonts w:ascii="Palatino Linotype" w:eastAsia="Palatino Linotype" w:hAnsi="Palatino Linotype" w:cs="Palatino Linotype"/>
        </w:rPr>
        <w:t>− Desarrollar las demás funciones inherentes al área de su competencia.</w:t>
      </w:r>
    </w:p>
    <w:p w14:paraId="2D7C09E9"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Asimismo, que como lo menciona el servidor público habilitado, las Reglas de Operación del Programa de Desarrollo Social Salario Rosa por la Cultura Comunitaria, cuyo propósito contribuir a elevar el ingreso económico de las mujeres de 18 a 59 años de edad que habitan en el Estado de México, que se encuentren en condición de pobreza, se dediquen al trabajo del hogar, no perciban remuneración y </w:t>
      </w:r>
      <w:r w:rsidRPr="00F24792">
        <w:rPr>
          <w:rFonts w:ascii="Palatino Linotype" w:eastAsia="Palatino Linotype" w:hAnsi="Palatino Linotype" w:cs="Palatino Linotype"/>
          <w:b/>
        </w:rPr>
        <w:t>realicen actividades orientadas a la promoción del patrimonio cultural inmaterial del Estado de México</w:t>
      </w:r>
      <w:r w:rsidRPr="00F24792">
        <w:rPr>
          <w:rFonts w:ascii="Palatino Linotype" w:eastAsia="Palatino Linotype" w:hAnsi="Palatino Linotype" w:cs="Palatino Linotype"/>
        </w:rPr>
        <w:t xml:space="preserve">, </w:t>
      </w:r>
      <w:r w:rsidRPr="00F24792">
        <w:rPr>
          <w:rFonts w:ascii="Palatino Linotype" w:eastAsia="Palatino Linotype" w:hAnsi="Palatino Linotype" w:cs="Palatino Linotype"/>
          <w:b/>
        </w:rPr>
        <w:t xml:space="preserve">mediante el otorgamiento de transferencias monetarias, capacitación para el desarrollo humano, actividades de desarrollo comunitario y actividades para propiciar el emprendimiento en sus diferentes </w:t>
      </w:r>
      <w:r w:rsidRPr="00F24792">
        <w:rPr>
          <w:rFonts w:ascii="Palatino Linotype" w:eastAsia="Palatino Linotype" w:hAnsi="Palatino Linotype" w:cs="Palatino Linotype"/>
          <w:b/>
        </w:rPr>
        <w:lastRenderedPageBreak/>
        <w:t>fases</w:t>
      </w:r>
      <w:r w:rsidRPr="00F24792">
        <w:rPr>
          <w:rFonts w:ascii="Palatino Linotype" w:eastAsia="Palatino Linotype" w:hAnsi="Palatino Linotype" w:cs="Palatino Linotype"/>
        </w:rPr>
        <w:t>, establecen que el programa es sujeto a evaluación a través del Consejo de Investigación y Evaluación de la Política Social, CIEPS, dicha facultad es potestativa, pues las Reglas de operación no establecen dicha atribución como obligatoria, ni establecen un periodo determinado para realizar algún tipo de evaluación, como se lee en seguida:</w:t>
      </w:r>
    </w:p>
    <w:p w14:paraId="0A95079D"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noProof/>
        </w:rPr>
        <w:drawing>
          <wp:inline distT="0" distB="0" distL="0" distR="0" wp14:anchorId="59783696" wp14:editId="73D3104D">
            <wp:extent cx="5612130" cy="66675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b="41699"/>
                    <a:stretch>
                      <a:fillRect/>
                    </a:stretch>
                  </pic:blipFill>
                  <pic:spPr>
                    <a:xfrm>
                      <a:off x="0" y="0"/>
                      <a:ext cx="5612130" cy="666750"/>
                    </a:xfrm>
                    <a:prstGeom prst="rect">
                      <a:avLst/>
                    </a:prstGeom>
                    <a:ln/>
                  </pic:spPr>
                </pic:pic>
              </a:graphicData>
            </a:graphic>
          </wp:inline>
        </w:drawing>
      </w:r>
    </w:p>
    <w:p w14:paraId="1251CEF4"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En este orden de ideas, se estima que la información remitida por el </w:t>
      </w:r>
      <w:r w:rsidRPr="00F24792">
        <w:rPr>
          <w:rFonts w:ascii="Palatino Linotype" w:eastAsia="Palatino Linotype" w:hAnsi="Palatino Linotype" w:cs="Palatino Linotype"/>
          <w:b/>
        </w:rPr>
        <w:t xml:space="preserve">Sujeto Obligado </w:t>
      </w:r>
      <w:r w:rsidRPr="00F24792">
        <w:rPr>
          <w:rFonts w:ascii="Palatino Linotype" w:eastAsia="Palatino Linotype" w:hAnsi="Palatino Linotype" w:cs="Palatino Linotype"/>
        </w:rPr>
        <w:t>en la etapa de manifestaciones</w:t>
      </w:r>
      <w:r w:rsidRPr="00F24792">
        <w:rPr>
          <w:rFonts w:ascii="Palatino Linotype" w:eastAsia="Palatino Linotype" w:hAnsi="Palatino Linotype" w:cs="Palatino Linotype"/>
          <w:b/>
        </w:rPr>
        <w:t xml:space="preserve"> </w:t>
      </w:r>
      <w:r w:rsidRPr="00F24792">
        <w:rPr>
          <w:rFonts w:ascii="Palatino Linotype" w:eastAsia="Palatino Linotype" w:hAnsi="Palatino Linotype" w:cs="Palatino Linotype"/>
        </w:rPr>
        <w:t>es suficiente para tener por atendido el derecho de acceso a la información de la persona solicitante, máxime que misma se hizo de su conocimiento con la finalidad de que manifestara lo que a su derecho estimara conveniente, sin que ejerciera dicha prerrogativa hasta el momento de decretar el cierre de instrucción correspondiente, por lo que se entiende que con la información remitida ha quedado satisfecha.</w:t>
      </w:r>
    </w:p>
    <w:p w14:paraId="677D33F7"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Con base en lo expuesto, se estima que el presente caso actualiza el supuesto previsto en el artículo 192, fracción III de la Ley de Transparencia y Acceso a la Información Pública del Estado de México y Municipios vigente, a saber:</w:t>
      </w:r>
    </w:p>
    <w:p w14:paraId="493F75F4" w14:textId="77777777" w:rsidR="00FA7D54" w:rsidRPr="00F24792" w:rsidRDefault="00591239">
      <w:pPr>
        <w:spacing w:before="240" w:after="240"/>
        <w:ind w:left="851" w:right="900"/>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i/>
          <w:sz w:val="22"/>
          <w:szCs w:val="22"/>
        </w:rPr>
        <w:t>“</w:t>
      </w:r>
      <w:r w:rsidRPr="00F24792">
        <w:rPr>
          <w:rFonts w:ascii="Palatino Linotype" w:eastAsia="Palatino Linotype" w:hAnsi="Palatino Linotype" w:cs="Palatino Linotype"/>
          <w:b/>
          <w:i/>
          <w:sz w:val="22"/>
          <w:szCs w:val="22"/>
        </w:rPr>
        <w:t>Artículo 192</w:t>
      </w:r>
      <w:r w:rsidRPr="00F24792">
        <w:rPr>
          <w:rFonts w:ascii="Palatino Linotype" w:eastAsia="Palatino Linotype" w:hAnsi="Palatino Linotype" w:cs="Palatino Linotype"/>
          <w:i/>
          <w:sz w:val="22"/>
          <w:szCs w:val="22"/>
        </w:rPr>
        <w:t xml:space="preserve">. </w:t>
      </w:r>
      <w:r w:rsidRPr="00F24792">
        <w:rPr>
          <w:rFonts w:ascii="Palatino Linotype" w:eastAsia="Palatino Linotype" w:hAnsi="Palatino Linotype" w:cs="Palatino Linotype"/>
          <w:b/>
          <w:i/>
          <w:sz w:val="22"/>
          <w:szCs w:val="22"/>
        </w:rPr>
        <w:t>El recurso será sobreseído</w:t>
      </w:r>
      <w:r w:rsidRPr="00F24792">
        <w:rPr>
          <w:rFonts w:ascii="Palatino Linotype" w:eastAsia="Palatino Linotype" w:hAnsi="Palatino Linotype" w:cs="Palatino Linotype"/>
          <w:i/>
          <w:sz w:val="22"/>
          <w:szCs w:val="22"/>
        </w:rPr>
        <w:t xml:space="preserve">, </w:t>
      </w:r>
      <w:r w:rsidRPr="00F24792">
        <w:rPr>
          <w:rFonts w:ascii="Palatino Linotype" w:eastAsia="Palatino Linotype" w:hAnsi="Palatino Linotype" w:cs="Palatino Linotype"/>
          <w:b/>
          <w:i/>
          <w:sz w:val="22"/>
          <w:szCs w:val="22"/>
        </w:rPr>
        <w:t>en todo o en parte,</w:t>
      </w:r>
      <w:r w:rsidRPr="00F24792">
        <w:rPr>
          <w:rFonts w:ascii="Palatino Linotype" w:eastAsia="Palatino Linotype" w:hAnsi="Palatino Linotype" w:cs="Palatino Linotype"/>
          <w:i/>
          <w:sz w:val="22"/>
          <w:szCs w:val="22"/>
        </w:rPr>
        <w:t xml:space="preserve"> </w:t>
      </w:r>
      <w:r w:rsidRPr="00F24792">
        <w:rPr>
          <w:rFonts w:ascii="Palatino Linotype" w:eastAsia="Palatino Linotype" w:hAnsi="Palatino Linotype" w:cs="Palatino Linotype"/>
          <w:b/>
          <w:i/>
          <w:sz w:val="22"/>
          <w:szCs w:val="22"/>
        </w:rPr>
        <w:t>cuando una vez admitido, se actualicen alguno de los siguientes supuestos</w:t>
      </w:r>
      <w:r w:rsidRPr="00F24792">
        <w:rPr>
          <w:rFonts w:ascii="Palatino Linotype" w:eastAsia="Palatino Linotype" w:hAnsi="Palatino Linotype" w:cs="Palatino Linotype"/>
          <w:i/>
          <w:sz w:val="22"/>
          <w:szCs w:val="22"/>
        </w:rPr>
        <w:t xml:space="preserve">: </w:t>
      </w:r>
    </w:p>
    <w:p w14:paraId="229CE8B6" w14:textId="77777777" w:rsidR="00FA7D54" w:rsidRPr="00F24792" w:rsidRDefault="00591239">
      <w:pPr>
        <w:spacing w:before="240" w:after="240"/>
        <w:ind w:left="1134" w:right="900"/>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i/>
          <w:sz w:val="22"/>
          <w:szCs w:val="22"/>
        </w:rPr>
        <w:t>(…)</w:t>
      </w:r>
    </w:p>
    <w:p w14:paraId="78984423" w14:textId="77777777" w:rsidR="00FA7D54" w:rsidRPr="00F24792" w:rsidRDefault="00591239">
      <w:pPr>
        <w:spacing w:before="240" w:after="240"/>
        <w:ind w:left="1134" w:right="900"/>
        <w:jc w:val="both"/>
        <w:rPr>
          <w:rFonts w:ascii="Palatino Linotype" w:eastAsia="Palatino Linotype" w:hAnsi="Palatino Linotype" w:cs="Palatino Linotype"/>
          <w:i/>
          <w:sz w:val="22"/>
          <w:szCs w:val="22"/>
        </w:rPr>
      </w:pPr>
      <w:r w:rsidRPr="00F24792">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F24792">
        <w:rPr>
          <w:rFonts w:ascii="Palatino Linotype" w:eastAsia="Palatino Linotype" w:hAnsi="Palatino Linotype" w:cs="Palatino Linotype"/>
          <w:i/>
          <w:sz w:val="22"/>
          <w:szCs w:val="22"/>
        </w:rPr>
        <w:t>”</w:t>
      </w:r>
    </w:p>
    <w:p w14:paraId="047AF17F"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lastRenderedPageBreak/>
        <w:t>De lo establecido en el precepto legal citado se advierte que el sobreseimiento del recurso de revisión procede en los siguientes casos</w:t>
      </w:r>
    </w:p>
    <w:p w14:paraId="7B8F557F" w14:textId="77777777" w:rsidR="00FA7D54" w:rsidRPr="00F24792" w:rsidRDefault="00591239">
      <w:pPr>
        <w:spacing w:before="240" w:after="240" w:line="360" w:lineRule="auto"/>
        <w:ind w:left="284"/>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a) Cuando el sujeto obligado modifique el acto impugnado. </w:t>
      </w:r>
    </w:p>
    <w:p w14:paraId="44CFEA77" w14:textId="77777777" w:rsidR="00FA7D54" w:rsidRPr="00F24792" w:rsidRDefault="00591239">
      <w:pPr>
        <w:spacing w:before="240" w:after="240" w:line="360" w:lineRule="auto"/>
        <w:ind w:left="284"/>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b) Cuando el sujeto obligado revoque el acto impugnado; </w:t>
      </w:r>
    </w:p>
    <w:p w14:paraId="77629E7C"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Quedando en ambos casos el acto combatido sin materia o sin efectos.</w:t>
      </w:r>
    </w:p>
    <w:p w14:paraId="1D66F149" w14:textId="77777777" w:rsidR="00FA7D54" w:rsidRPr="00F24792" w:rsidRDefault="00591239">
      <w:pPr>
        <w:spacing w:before="240" w:after="240" w:line="360" w:lineRule="auto"/>
        <w:jc w:val="both"/>
        <w:rPr>
          <w:rFonts w:ascii="Palatino Linotype" w:eastAsia="Palatino Linotype" w:hAnsi="Palatino Linotype" w:cs="Palatino Linotype"/>
          <w:b/>
        </w:rPr>
      </w:pPr>
      <w:r w:rsidRPr="00F24792">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w:t>
      </w:r>
      <w:r w:rsidRPr="00F24792">
        <w:rPr>
          <w:rFonts w:ascii="Palatino Linotype" w:eastAsia="Palatino Linotype" w:hAnsi="Palatino Linotype" w:cs="Palatino Linotype"/>
          <w:b/>
        </w:rPr>
        <w:t>Recurrente.</w:t>
      </w:r>
    </w:p>
    <w:p w14:paraId="11434946"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5D5ECE68"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14:paraId="19214CAB"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En tanto que, un acto impugnado queda sin materia, cuando ha sido satisfecha la pretensión del recurrente de manera que el Sujeto Obligado entrega una </w:t>
      </w:r>
      <w:proofErr w:type="gramStart"/>
      <w:r w:rsidRPr="00F24792">
        <w:rPr>
          <w:rFonts w:ascii="Palatino Linotype" w:eastAsia="Palatino Linotype" w:hAnsi="Palatino Linotype" w:cs="Palatino Linotype"/>
        </w:rPr>
        <w:t>respuesta</w:t>
      </w:r>
      <w:proofErr w:type="gramEnd"/>
      <w:r w:rsidRPr="00F24792">
        <w:rPr>
          <w:rFonts w:ascii="Palatino Linotype" w:eastAsia="Palatino Linotype" w:hAnsi="Palatino Linotype" w:cs="Palatino Linotype"/>
        </w:rPr>
        <w:t xml:space="preserve"> </w:t>
      </w:r>
      <w:r w:rsidRPr="00F24792">
        <w:rPr>
          <w:rFonts w:ascii="Palatino Linotype" w:eastAsia="Palatino Linotype" w:hAnsi="Palatino Linotype" w:cs="Palatino Linotype"/>
        </w:rPr>
        <w:lastRenderedPageBreak/>
        <w:t>aunque sea posterior a los términos previstos en la ley y mediante ésta concede la información solicitada.</w:t>
      </w:r>
    </w:p>
    <w:p w14:paraId="2D86EA47"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De lo hasta aquí expuesto, resulta evidente que 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xml:space="preserve"> modificó la respuesta a la solicitud de acceso a la información pública de la persona solicitante, aunque ello haya sido de manera posterior a su respuesta inicial, información que se hizo del conocimiento de 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con la finalidad de que manifestara lo que a su derecho estimara conveniente, sin que obre constancia en el expediente electrónico de que hubiera ejercido dicha prerrogativa, presumiendo en consecuencia, que dicha información satisface su pretensión.</w:t>
      </w:r>
    </w:p>
    <w:p w14:paraId="2BD67B70"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rPr>
        <w:t xml:space="preserve">Por tal motivo, debe tenerse </w:t>
      </w:r>
      <w:proofErr w:type="gramStart"/>
      <w:r w:rsidRPr="00F24792">
        <w:rPr>
          <w:rFonts w:ascii="Palatino Linotype" w:eastAsia="Palatino Linotype" w:hAnsi="Palatino Linotype" w:cs="Palatino Linotype"/>
        </w:rPr>
        <w:t>que</w:t>
      </w:r>
      <w:proofErr w:type="gramEnd"/>
      <w:r w:rsidRPr="00F24792">
        <w:rPr>
          <w:rFonts w:ascii="Palatino Linotype" w:eastAsia="Palatino Linotype" w:hAnsi="Palatino Linotype" w:cs="Palatino Linotype"/>
        </w:rPr>
        <w:t xml:space="preserve"> con lo entregado por 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5E4A42C4" w14:textId="77777777" w:rsidR="00FA7D54" w:rsidRPr="00F24792" w:rsidRDefault="00591239">
      <w:pPr>
        <w:spacing w:before="240" w:after="240" w:line="360" w:lineRule="auto"/>
        <w:jc w:val="both"/>
        <w:rPr>
          <w:rFonts w:ascii="Palatino Linotype" w:eastAsia="Palatino Linotype" w:hAnsi="Palatino Linotype" w:cs="Palatino Linotype"/>
          <w:b/>
        </w:rPr>
      </w:pPr>
      <w:r w:rsidRPr="00F24792">
        <w:rPr>
          <w:rFonts w:ascii="Palatino Linotype" w:eastAsia="Palatino Linotype" w:hAnsi="Palatino Linotype" w:cs="Palatino Linotype"/>
        </w:rPr>
        <w:t xml:space="preserve">Siendo el </w:t>
      </w:r>
      <w:r w:rsidRPr="00F24792">
        <w:rPr>
          <w:rFonts w:ascii="Palatino Linotype" w:eastAsia="Palatino Linotype" w:hAnsi="Palatino Linotype" w:cs="Palatino Linotype"/>
          <w:i/>
        </w:rPr>
        <w:t>sobreseimiento</w:t>
      </w:r>
      <w:r w:rsidRPr="00F24792">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w:t>
      </w:r>
      <w:r w:rsidRPr="00F24792">
        <w:rPr>
          <w:rFonts w:ascii="Palatino Linotype" w:eastAsia="Palatino Linotype" w:hAnsi="Palatino Linotype" w:cs="Palatino Linotype"/>
        </w:rPr>
        <w:lastRenderedPageBreak/>
        <w:t xml:space="preserve">con rubro: </w:t>
      </w:r>
      <w:r w:rsidRPr="00F24792">
        <w:rPr>
          <w:rFonts w:ascii="Palatino Linotype" w:eastAsia="Palatino Linotype" w:hAnsi="Palatino Linotype" w:cs="Palatino Linotype"/>
          <w:b/>
        </w:rPr>
        <w:t>SOBRESEIMIENTO, NO PERMITE ENTRAR AL ESTUDIO DE LAS CUESTIONES DE FONDO</w:t>
      </w:r>
      <w:r w:rsidRPr="00F24792">
        <w:rPr>
          <w:rFonts w:ascii="Palatino Linotype" w:eastAsia="Palatino Linotype" w:hAnsi="Palatino Linotype" w:cs="Palatino Linotype"/>
          <w:b/>
          <w:vertAlign w:val="superscript"/>
        </w:rPr>
        <w:footnoteReference w:id="6"/>
      </w:r>
      <w:r w:rsidRPr="00F24792">
        <w:rPr>
          <w:rFonts w:ascii="Palatino Linotype" w:eastAsia="Palatino Linotype" w:hAnsi="Palatino Linotype" w:cs="Palatino Linotype"/>
          <w:b/>
        </w:rPr>
        <w:t>.</w:t>
      </w:r>
    </w:p>
    <w:p w14:paraId="61F03331" w14:textId="77777777" w:rsidR="00FA7D54" w:rsidRPr="00F24792" w:rsidRDefault="00591239">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F24792">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6E8BE69" w14:textId="77777777" w:rsidR="00FA7D54" w:rsidRPr="00F24792" w:rsidRDefault="0059123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F24792">
        <w:rPr>
          <w:rFonts w:ascii="Palatino Linotype" w:eastAsia="Palatino Linotype" w:hAnsi="Palatino Linotype" w:cs="Palatino Linotype"/>
          <w:b/>
        </w:rPr>
        <w:t>III. R E S U E L V E</w:t>
      </w:r>
    </w:p>
    <w:p w14:paraId="39DD934B" w14:textId="77777777" w:rsidR="00FA7D54" w:rsidRPr="00F24792" w:rsidRDefault="00591239">
      <w:pPr>
        <w:spacing w:before="160" w:line="360" w:lineRule="auto"/>
        <w:jc w:val="both"/>
        <w:rPr>
          <w:rFonts w:ascii="Palatino Linotype" w:eastAsia="Palatino Linotype" w:hAnsi="Palatino Linotype" w:cs="Palatino Linotype"/>
        </w:rPr>
      </w:pPr>
      <w:bookmarkStart w:id="7" w:name="_heading=h.1fob9te" w:colFirst="0" w:colLast="0"/>
      <w:bookmarkEnd w:id="7"/>
      <w:r w:rsidRPr="00F24792">
        <w:rPr>
          <w:rFonts w:ascii="Palatino Linotype" w:eastAsia="Palatino Linotype" w:hAnsi="Palatino Linotype" w:cs="Palatino Linotype"/>
          <w:b/>
        </w:rPr>
        <w:t xml:space="preserve">Primero. </w:t>
      </w:r>
      <w:r w:rsidRPr="00F24792">
        <w:rPr>
          <w:rFonts w:ascii="Palatino Linotype" w:eastAsia="Palatino Linotype" w:hAnsi="Palatino Linotype" w:cs="Palatino Linotype"/>
        </w:rPr>
        <w:t>Se</w:t>
      </w:r>
      <w:r w:rsidRPr="00F24792">
        <w:rPr>
          <w:rFonts w:ascii="Palatino Linotype" w:eastAsia="Palatino Linotype" w:hAnsi="Palatino Linotype" w:cs="Palatino Linotype"/>
          <w:b/>
        </w:rPr>
        <w:t xml:space="preserve"> Sobresee </w:t>
      </w:r>
      <w:r w:rsidRPr="00F24792">
        <w:rPr>
          <w:rFonts w:ascii="Palatino Linotype" w:eastAsia="Palatino Linotype" w:hAnsi="Palatino Linotype" w:cs="Palatino Linotype"/>
        </w:rPr>
        <w:t xml:space="preserve">el recurso de revisión número </w:t>
      </w:r>
      <w:r w:rsidRPr="00F24792">
        <w:rPr>
          <w:rFonts w:ascii="Palatino Linotype" w:eastAsia="Palatino Linotype" w:hAnsi="Palatino Linotype" w:cs="Palatino Linotype"/>
          <w:b/>
        </w:rPr>
        <w:t xml:space="preserve">01229/INFOEM/IP/RR/2023, </w:t>
      </w:r>
      <w:r w:rsidRPr="00F24792">
        <w:rPr>
          <w:rFonts w:ascii="Palatino Linotype" w:eastAsia="Palatino Linotype" w:hAnsi="Palatino Linotype" w:cs="Palatino Linotype"/>
        </w:rPr>
        <w:t xml:space="preserve">porque al </w:t>
      </w:r>
      <w:r w:rsidRPr="00F24792">
        <w:rPr>
          <w:rFonts w:ascii="Palatino Linotype" w:eastAsia="Palatino Linotype" w:hAnsi="Palatino Linotype" w:cs="Palatino Linotype"/>
          <w:b/>
        </w:rPr>
        <w:t>modificar la respuesta</w:t>
      </w:r>
      <w:r w:rsidRPr="00F24792">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F24792">
        <w:rPr>
          <w:rFonts w:ascii="Palatino Linotype" w:eastAsia="Palatino Linotype" w:hAnsi="Palatino Linotype" w:cs="Palatino Linotype"/>
          <w:b/>
        </w:rPr>
        <w:t xml:space="preserve">Tercero </w:t>
      </w:r>
      <w:r w:rsidRPr="00F24792">
        <w:rPr>
          <w:rFonts w:ascii="Palatino Linotype" w:eastAsia="Palatino Linotype" w:hAnsi="Palatino Linotype" w:cs="Palatino Linotype"/>
        </w:rPr>
        <w:t>de la presente Resolución.</w:t>
      </w:r>
    </w:p>
    <w:p w14:paraId="04687339" w14:textId="77777777" w:rsidR="00FA7D54" w:rsidRPr="00F24792" w:rsidRDefault="00591239">
      <w:pPr>
        <w:spacing w:before="240" w:after="240"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b/>
        </w:rPr>
        <w:t xml:space="preserve">Segundo. Notifíquese, </w:t>
      </w:r>
      <w:r w:rsidRPr="00F24792">
        <w:rPr>
          <w:rFonts w:ascii="Palatino Linotype" w:eastAsia="Palatino Linotype" w:hAnsi="Palatino Linotype" w:cs="Palatino Linotype"/>
        </w:rPr>
        <w:t>vía</w:t>
      </w:r>
      <w:r w:rsidRPr="00F24792">
        <w:rPr>
          <w:rFonts w:ascii="Palatino Linotype" w:eastAsia="Palatino Linotype" w:hAnsi="Palatino Linotype" w:cs="Palatino Linotype"/>
          <w:b/>
        </w:rPr>
        <w:t xml:space="preserve"> SAIMEX</w:t>
      </w:r>
      <w:r w:rsidRPr="00F24792">
        <w:rPr>
          <w:rFonts w:ascii="Palatino Linotype" w:eastAsia="Palatino Linotype" w:hAnsi="Palatino Linotype" w:cs="Palatino Linotype"/>
          <w:b/>
          <w:i/>
        </w:rPr>
        <w:t xml:space="preserve">, </w:t>
      </w:r>
      <w:r w:rsidRPr="00F24792">
        <w:rPr>
          <w:rFonts w:ascii="Palatino Linotype" w:eastAsia="Palatino Linotype" w:hAnsi="Palatino Linotype" w:cs="Palatino Linotype"/>
        </w:rPr>
        <w:t xml:space="preserve">al Titular de la Unidad de Transparencia del </w:t>
      </w:r>
      <w:r w:rsidRPr="00F24792">
        <w:rPr>
          <w:rFonts w:ascii="Palatino Linotype" w:eastAsia="Palatino Linotype" w:hAnsi="Palatino Linotype" w:cs="Palatino Linotype"/>
          <w:b/>
        </w:rPr>
        <w:t>Sujeto Obligado</w:t>
      </w:r>
      <w:r w:rsidRPr="00F24792">
        <w:rPr>
          <w:rFonts w:ascii="Palatino Linotype" w:eastAsia="Palatino Linotype" w:hAnsi="Palatino Linotype" w:cs="Palatino Linotype"/>
        </w:rPr>
        <w:t xml:space="preserve"> la presente resolución, para su conocimiento.</w:t>
      </w:r>
    </w:p>
    <w:p w14:paraId="3619166B" w14:textId="77777777" w:rsidR="00FA7D54" w:rsidRPr="00F24792" w:rsidRDefault="00591239">
      <w:pPr>
        <w:spacing w:before="240" w:after="240" w:line="360" w:lineRule="auto"/>
        <w:jc w:val="both"/>
        <w:rPr>
          <w:rFonts w:ascii="Palatino Linotype" w:eastAsia="Palatino Linotype" w:hAnsi="Palatino Linotype" w:cs="Palatino Linotype"/>
        </w:rPr>
      </w:pPr>
      <w:bookmarkStart w:id="8" w:name="_heading=h.26in1rg" w:colFirst="0" w:colLast="0"/>
      <w:bookmarkEnd w:id="8"/>
      <w:r w:rsidRPr="00F24792">
        <w:rPr>
          <w:rFonts w:ascii="Palatino Linotype" w:eastAsia="Palatino Linotype" w:hAnsi="Palatino Linotype" w:cs="Palatino Linotype"/>
          <w:b/>
        </w:rPr>
        <w:t xml:space="preserve">Tercero. Notifíquese, </w:t>
      </w:r>
      <w:r w:rsidRPr="00F24792">
        <w:rPr>
          <w:rFonts w:ascii="Palatino Linotype" w:eastAsia="Palatino Linotype" w:hAnsi="Palatino Linotype" w:cs="Palatino Linotype"/>
        </w:rPr>
        <w:t>vía</w:t>
      </w:r>
      <w:r w:rsidRPr="00F24792">
        <w:rPr>
          <w:rFonts w:ascii="Palatino Linotype" w:eastAsia="Palatino Linotype" w:hAnsi="Palatino Linotype" w:cs="Palatino Linotype"/>
          <w:b/>
        </w:rPr>
        <w:t xml:space="preserve"> SAIMEX</w:t>
      </w:r>
      <w:r w:rsidRPr="00F24792">
        <w:rPr>
          <w:rFonts w:ascii="Palatino Linotype" w:eastAsia="Palatino Linotype" w:hAnsi="Palatino Linotype" w:cs="Palatino Linotype"/>
        </w:rPr>
        <w:t>, a</w:t>
      </w:r>
      <w:r w:rsidRPr="00F24792">
        <w:rPr>
          <w:rFonts w:ascii="Palatino Linotype" w:eastAsia="Palatino Linotype" w:hAnsi="Palatino Linotype" w:cs="Palatino Linotype"/>
          <w:b/>
        </w:rPr>
        <w:t xml:space="preserve"> </w:t>
      </w:r>
      <w:r w:rsidRPr="00F24792">
        <w:rPr>
          <w:rFonts w:ascii="Palatino Linotype" w:eastAsia="Palatino Linotype" w:hAnsi="Palatino Linotype" w:cs="Palatino Linotype"/>
        </w:rPr>
        <w:t xml:space="preserve">la parte </w:t>
      </w:r>
      <w:r w:rsidRPr="00F24792">
        <w:rPr>
          <w:rFonts w:ascii="Palatino Linotype" w:eastAsia="Palatino Linotype" w:hAnsi="Palatino Linotype" w:cs="Palatino Linotype"/>
          <w:b/>
        </w:rPr>
        <w:t>Recurrente</w:t>
      </w:r>
      <w:r w:rsidRPr="00F24792">
        <w:rPr>
          <w:rFonts w:ascii="Palatino Linotype" w:eastAsia="Palatino Linotype" w:hAnsi="Palatino Linotype" w:cs="Palatino Linotype"/>
        </w:rPr>
        <w:t xml:space="preserve"> la presente resolución, así como, que de conformidad con lo establecido en el artículo 196 de la Ley de </w:t>
      </w:r>
      <w:r w:rsidRPr="00F24792">
        <w:rPr>
          <w:rFonts w:ascii="Palatino Linotype" w:eastAsia="Palatino Linotype" w:hAnsi="Palatino Linotype" w:cs="Palatino Linotype"/>
        </w:rPr>
        <w:lastRenderedPageBreak/>
        <w:t>Transparencia y Acceso a la Información Pública del Estado de México y Municipios, podrá impugnarla vía el Juicio de Amparo en los términos de las leyes aplicables.</w:t>
      </w:r>
    </w:p>
    <w:p w14:paraId="7B7DCFFF" w14:textId="77777777" w:rsidR="00FA7D54" w:rsidRPr="00F24792" w:rsidRDefault="00591239">
      <w:pPr>
        <w:spacing w:line="360" w:lineRule="auto"/>
        <w:jc w:val="both"/>
        <w:rPr>
          <w:rFonts w:ascii="Palatino Linotype" w:eastAsia="Palatino Linotype" w:hAnsi="Palatino Linotype" w:cs="Palatino Linotype"/>
        </w:rPr>
      </w:pPr>
      <w:bookmarkStart w:id="9" w:name="_heading=h.3rdcrjn" w:colFirst="0" w:colLast="0"/>
      <w:bookmarkEnd w:id="9"/>
      <w:r w:rsidRPr="00F2479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TRIGÉSIMO SEXTA  SESIÓN ORDINARIA, CELEBRADA EL TRES DE OCTUBRE DE DOS MIL VEINTITRÉS, ANTE EL SECRETARIO TÉCNICO DEL PLENO ALEXIS TAPIA RAMÍREZ.</w:t>
      </w:r>
    </w:p>
    <w:bookmarkStart w:id="10" w:name="_heading=h.1t3h5sf" w:colFirst="0" w:colLast="0"/>
    <w:bookmarkEnd w:id="10"/>
    <w:p w14:paraId="24A174A1" w14:textId="77777777" w:rsidR="00FA7D54" w:rsidRPr="00F24792" w:rsidRDefault="00196D1F">
      <w:pPr>
        <w:spacing w:line="360" w:lineRule="auto"/>
        <w:jc w:val="both"/>
        <w:rPr>
          <w:rFonts w:ascii="Palatino Linotype" w:eastAsia="Palatino Linotype" w:hAnsi="Palatino Linotype" w:cs="Palatino Linotype"/>
        </w:rPr>
      </w:pPr>
      <w:r w:rsidRPr="00F24792">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032544D3" wp14:editId="47CE0707">
                <wp:simplePos x="0" y="0"/>
                <wp:positionH relativeFrom="margin">
                  <wp:align>right</wp:align>
                </wp:positionH>
                <wp:positionV relativeFrom="paragraph">
                  <wp:posOffset>27941</wp:posOffset>
                </wp:positionV>
                <wp:extent cx="5505450" cy="374332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505450" cy="3743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67D32"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2pt" to="815.8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" strokecolor="black [3200]" strokeweight="2pt">
                <v:shadow on="t" color="black" opacity="24903f" origin=",.5" offset="0,.55556mm"/>
                <w10:wrap anchorx="margin"/>
              </v:line>
            </w:pict>
          </mc:Fallback>
        </mc:AlternateContent>
      </w:r>
    </w:p>
    <w:p w14:paraId="61041C3A" w14:textId="77777777" w:rsidR="00FA7D54" w:rsidRPr="00F24792" w:rsidRDefault="00FA7D54">
      <w:pPr>
        <w:spacing w:line="360" w:lineRule="auto"/>
        <w:jc w:val="both"/>
        <w:rPr>
          <w:rFonts w:ascii="Palatino Linotype" w:eastAsia="Palatino Linotype" w:hAnsi="Palatino Linotype" w:cs="Palatino Linotype"/>
        </w:rPr>
      </w:pPr>
    </w:p>
    <w:p w14:paraId="75BBD1CE" w14:textId="77777777" w:rsidR="00FA7D54" w:rsidRPr="00F24792" w:rsidRDefault="00FA7D54">
      <w:pPr>
        <w:spacing w:line="360" w:lineRule="auto"/>
        <w:jc w:val="both"/>
        <w:rPr>
          <w:rFonts w:ascii="Palatino Linotype" w:eastAsia="Palatino Linotype" w:hAnsi="Palatino Linotype" w:cs="Palatino Linotype"/>
        </w:rPr>
      </w:pPr>
    </w:p>
    <w:p w14:paraId="416CCBE3" w14:textId="77777777" w:rsidR="00FA7D54" w:rsidRPr="00F24792" w:rsidRDefault="00FA7D54">
      <w:pPr>
        <w:spacing w:line="360" w:lineRule="auto"/>
        <w:jc w:val="both"/>
        <w:rPr>
          <w:rFonts w:ascii="Palatino Linotype" w:eastAsia="Palatino Linotype" w:hAnsi="Palatino Linotype" w:cs="Palatino Linotype"/>
        </w:rPr>
      </w:pPr>
    </w:p>
    <w:p w14:paraId="05D6ADA4" w14:textId="77777777" w:rsidR="00FA7D54" w:rsidRPr="00F24792" w:rsidRDefault="00FA7D54">
      <w:pPr>
        <w:spacing w:line="360" w:lineRule="auto"/>
        <w:jc w:val="both"/>
        <w:rPr>
          <w:rFonts w:ascii="Palatino Linotype" w:eastAsia="Palatino Linotype" w:hAnsi="Palatino Linotype" w:cs="Palatino Linotype"/>
        </w:rPr>
      </w:pPr>
    </w:p>
    <w:p w14:paraId="17D02ED1" w14:textId="77777777" w:rsidR="00FA7D54" w:rsidRPr="00F24792" w:rsidRDefault="00FA7D54">
      <w:pPr>
        <w:spacing w:line="360" w:lineRule="auto"/>
        <w:jc w:val="both"/>
        <w:rPr>
          <w:rFonts w:ascii="Palatino Linotype" w:eastAsia="Palatino Linotype" w:hAnsi="Palatino Linotype" w:cs="Palatino Linotype"/>
        </w:rPr>
      </w:pPr>
    </w:p>
    <w:p w14:paraId="28A0D148" w14:textId="77777777" w:rsidR="00FA7D54" w:rsidRPr="00F24792" w:rsidRDefault="00FA7D54">
      <w:pPr>
        <w:spacing w:line="360" w:lineRule="auto"/>
        <w:jc w:val="both"/>
        <w:rPr>
          <w:rFonts w:ascii="Palatino Linotype" w:eastAsia="Palatino Linotype" w:hAnsi="Palatino Linotype" w:cs="Palatino Linotype"/>
        </w:rPr>
      </w:pPr>
    </w:p>
    <w:p w14:paraId="3C898A54" w14:textId="77777777" w:rsidR="00FA7D54" w:rsidRPr="00F24792" w:rsidRDefault="00FA7D54">
      <w:pPr>
        <w:spacing w:line="360" w:lineRule="auto"/>
        <w:jc w:val="both"/>
        <w:rPr>
          <w:rFonts w:ascii="Palatino Linotype" w:eastAsia="Palatino Linotype" w:hAnsi="Palatino Linotype" w:cs="Palatino Linotype"/>
        </w:rPr>
      </w:pPr>
    </w:p>
    <w:p w14:paraId="038C83D3" w14:textId="77777777" w:rsidR="00FA7D54" w:rsidRPr="00F24792" w:rsidRDefault="00FA7D54">
      <w:pPr>
        <w:spacing w:line="360" w:lineRule="auto"/>
        <w:jc w:val="both"/>
        <w:rPr>
          <w:rFonts w:ascii="Palatino Linotype" w:eastAsia="Palatino Linotype" w:hAnsi="Palatino Linotype" w:cs="Palatino Linotype"/>
        </w:rPr>
      </w:pPr>
    </w:p>
    <w:p w14:paraId="40A9D7D2" w14:textId="77777777" w:rsidR="00FA7D54" w:rsidRPr="00F24792" w:rsidRDefault="00FA7D54">
      <w:pPr>
        <w:spacing w:line="360" w:lineRule="auto"/>
        <w:jc w:val="both"/>
        <w:rPr>
          <w:rFonts w:ascii="Palatino Linotype" w:eastAsia="Palatino Linotype" w:hAnsi="Palatino Linotype" w:cs="Palatino Linotype"/>
        </w:rPr>
      </w:pPr>
    </w:p>
    <w:p w14:paraId="4EC96689" w14:textId="77777777" w:rsidR="00FA7D54" w:rsidRPr="00F24792" w:rsidRDefault="00FA7D54">
      <w:pPr>
        <w:spacing w:line="360" w:lineRule="auto"/>
        <w:jc w:val="both"/>
        <w:rPr>
          <w:rFonts w:ascii="Palatino Linotype" w:eastAsia="Palatino Linotype" w:hAnsi="Palatino Linotype" w:cs="Palatino Linotype"/>
        </w:rPr>
      </w:pPr>
    </w:p>
    <w:p w14:paraId="1F6F680B" w14:textId="77777777" w:rsidR="00FA7D54" w:rsidRPr="00F24792" w:rsidRDefault="00FA7D54">
      <w:pPr>
        <w:spacing w:line="360" w:lineRule="auto"/>
        <w:jc w:val="both"/>
        <w:rPr>
          <w:rFonts w:ascii="Palatino Linotype" w:eastAsia="Palatino Linotype" w:hAnsi="Palatino Linotype" w:cs="Palatino Linotype"/>
        </w:rPr>
      </w:pPr>
    </w:p>
    <w:p w14:paraId="0FF73269" w14:textId="77777777" w:rsidR="00FA7D54" w:rsidRPr="00F24792" w:rsidRDefault="00FA7D54">
      <w:pPr>
        <w:spacing w:line="360" w:lineRule="auto"/>
        <w:jc w:val="both"/>
        <w:rPr>
          <w:rFonts w:ascii="Palatino Linotype" w:eastAsia="Palatino Linotype" w:hAnsi="Palatino Linotype" w:cs="Palatino Linotype"/>
        </w:rPr>
      </w:pPr>
    </w:p>
    <w:p w14:paraId="19559367" w14:textId="77777777" w:rsidR="00FA7D54" w:rsidRPr="00F24792" w:rsidRDefault="00FA7D54">
      <w:pPr>
        <w:spacing w:line="360" w:lineRule="auto"/>
        <w:jc w:val="both"/>
        <w:rPr>
          <w:rFonts w:ascii="Palatino Linotype" w:eastAsia="Palatino Linotype" w:hAnsi="Palatino Linotype" w:cs="Palatino Linotype"/>
        </w:rPr>
      </w:pPr>
    </w:p>
    <w:sectPr w:rsidR="00FA7D54" w:rsidRPr="00F24792">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52ED6" w14:textId="77777777" w:rsidR="009E2867" w:rsidRDefault="009E2867">
      <w:r>
        <w:separator/>
      </w:r>
    </w:p>
  </w:endnote>
  <w:endnote w:type="continuationSeparator" w:id="0">
    <w:p w14:paraId="5F26083F" w14:textId="77777777" w:rsidR="009E2867" w:rsidRDefault="009E2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74D3" w14:textId="77777777" w:rsidR="00FA7D54" w:rsidRDefault="0059123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666F">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666F">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2B2DB66B" w14:textId="77777777" w:rsidR="00FA7D54" w:rsidRDefault="00FA7D5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9B26" w14:textId="77777777" w:rsidR="00FA7D54" w:rsidRDefault="0059123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666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666F">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7F43EF78" w14:textId="77777777" w:rsidR="00FA7D54" w:rsidRDefault="00FA7D5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0701C" w14:textId="77777777" w:rsidR="009E2867" w:rsidRDefault="009E2867">
      <w:r>
        <w:separator/>
      </w:r>
    </w:p>
  </w:footnote>
  <w:footnote w:type="continuationSeparator" w:id="0">
    <w:p w14:paraId="76365CF9" w14:textId="77777777" w:rsidR="009E2867" w:rsidRDefault="009E2867">
      <w:r>
        <w:continuationSeparator/>
      </w:r>
    </w:p>
  </w:footnote>
  <w:footnote w:id="1">
    <w:p w14:paraId="076CF824" w14:textId="77777777" w:rsidR="00FA7D54" w:rsidRDefault="00591239">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16"/>
          <w:szCs w:val="16"/>
        </w:rPr>
        <w:t xml:space="preserve"> </w:t>
      </w:r>
      <w:r>
        <w:rPr>
          <w:rFonts w:ascii="Palatino Linotype" w:eastAsia="Palatino Linotype" w:hAnsi="Palatino Linotype" w:cs="Palatino Linotype"/>
          <w:b/>
          <w:color w:val="000000"/>
          <w:sz w:val="16"/>
          <w:szCs w:val="16"/>
        </w:rPr>
        <w:t>Artículo 192.</w:t>
      </w:r>
      <w:r>
        <w:rPr>
          <w:rFonts w:ascii="Palatino Linotype" w:eastAsia="Palatino Linotype" w:hAnsi="Palatino Linotype" w:cs="Palatino Linotype"/>
          <w:color w:val="000000"/>
          <w:sz w:val="16"/>
          <w:szCs w:val="16"/>
        </w:rPr>
        <w:t xml:space="preserve"> El recurso será sobreseído, en todo o en parte, cuando una vez admitido, se actualicen alguno de los siguientes supuestos:</w:t>
      </w:r>
    </w:p>
    <w:p w14:paraId="7A782443" w14:textId="77777777" w:rsidR="00FA7D54" w:rsidRDefault="00591239">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III. El sujeto obligado responsable del acto lo modifique o revoque de tal manera que el recurso de revisión quede sin materia;</w:t>
      </w:r>
    </w:p>
  </w:footnote>
  <w:footnote w:id="2">
    <w:p w14:paraId="6E141E77" w14:textId="77777777" w:rsidR="00FA7D54" w:rsidRDefault="00591239">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186</w:t>
      </w:r>
      <w:r>
        <w:rPr>
          <w:rFonts w:ascii="Palatino Linotype" w:eastAsia="Palatino Linotype" w:hAnsi="Palatino Linotype" w:cs="Palatino Linotype"/>
          <w:color w:val="000000"/>
          <w:sz w:val="16"/>
          <w:szCs w:val="16"/>
        </w:rPr>
        <w:t>. Las resoluciones del Instituto podrán:</w:t>
      </w:r>
    </w:p>
    <w:p w14:paraId="14E1AC73" w14:textId="77777777" w:rsidR="00FA7D54" w:rsidRDefault="00591239">
      <w:pPr>
        <w:pBdr>
          <w:top w:val="nil"/>
          <w:left w:val="nil"/>
          <w:bottom w:val="nil"/>
          <w:right w:val="nil"/>
          <w:between w:val="nil"/>
        </w:pBdr>
        <w:rPr>
          <w:rFonts w:ascii="Cambria" w:eastAsia="Cambria" w:hAnsi="Cambria" w:cs="Cambria"/>
          <w:color w:val="000000"/>
          <w:sz w:val="16"/>
          <w:szCs w:val="16"/>
        </w:rPr>
      </w:pPr>
      <w:r>
        <w:rPr>
          <w:rFonts w:ascii="Palatino Linotype" w:eastAsia="Palatino Linotype" w:hAnsi="Palatino Linotype" w:cs="Palatino Linotype"/>
          <w:color w:val="000000"/>
          <w:sz w:val="16"/>
          <w:szCs w:val="16"/>
        </w:rPr>
        <w:t>I. Desechar o sobreseer el recurso;</w:t>
      </w:r>
    </w:p>
  </w:footnote>
  <w:footnote w:id="3">
    <w:p w14:paraId="30A17CF0" w14:textId="77777777" w:rsidR="00FA7D54" w:rsidRDefault="00591239">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4">
    <w:p w14:paraId="3E42CFC4" w14:textId="77777777" w:rsidR="00FA7D54" w:rsidRDefault="00591239">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5">
    <w:p w14:paraId="24295E1C" w14:textId="77777777" w:rsidR="00FA7D54" w:rsidRDefault="00591239">
      <w:pPr>
        <w:pBdr>
          <w:top w:val="nil"/>
          <w:left w:val="nil"/>
          <w:bottom w:val="nil"/>
          <w:right w:val="nil"/>
          <w:between w:val="nil"/>
        </w:pBdr>
        <w:spacing w:after="120" w:line="198"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 w:id="6">
    <w:p w14:paraId="620C0BB9" w14:textId="77777777" w:rsidR="00FA7D54" w:rsidRDefault="00591239">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032A90DA" w14:textId="77777777" w:rsidR="00FA7D54" w:rsidRDefault="0059123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8EA1" w14:textId="77777777" w:rsidR="00FA7D54" w:rsidRDefault="00591239">
    <w:pPr>
      <w:rPr>
        <w:rFonts w:ascii="Cambria" w:eastAsia="Cambria" w:hAnsi="Cambria" w:cs="Cambria"/>
        <w:color w:val="000000"/>
      </w:rPr>
    </w:pPr>
    <w:r>
      <w:rPr>
        <w:noProof/>
      </w:rPr>
      <w:drawing>
        <wp:anchor distT="0" distB="0" distL="0" distR="0" simplePos="0" relativeHeight="251658240" behindDoc="1" locked="0" layoutInCell="1" hidden="0" allowOverlap="1" wp14:anchorId="5C2F8144" wp14:editId="257EF2EF">
          <wp:simplePos x="0" y="0"/>
          <wp:positionH relativeFrom="column">
            <wp:posOffset>-1080121</wp:posOffset>
          </wp:positionH>
          <wp:positionV relativeFrom="paragraph">
            <wp:posOffset>-488299</wp:posOffset>
          </wp:positionV>
          <wp:extent cx="7809865" cy="10165715"/>
          <wp:effectExtent l="0" t="0" r="0" b="0"/>
          <wp:wrapNone/>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FA7D54" w14:paraId="3CAFCCDA" w14:textId="77777777">
      <w:tc>
        <w:tcPr>
          <w:tcW w:w="2489" w:type="dxa"/>
          <w:shd w:val="clear" w:color="auto" w:fill="auto"/>
        </w:tcPr>
        <w:p w14:paraId="39296731" w14:textId="77777777" w:rsidR="00FA7D54" w:rsidRDefault="005912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4689F31" w14:textId="77777777" w:rsidR="00FA7D54" w:rsidRDefault="0059123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01229/INFOEM/IP/RR/2023</w:t>
          </w:r>
        </w:p>
      </w:tc>
    </w:tr>
    <w:tr w:rsidR="00FA7D54" w14:paraId="789EC722" w14:textId="77777777">
      <w:trPr>
        <w:trHeight w:val="228"/>
      </w:trPr>
      <w:tc>
        <w:tcPr>
          <w:tcW w:w="2489" w:type="dxa"/>
          <w:shd w:val="clear" w:color="auto" w:fill="auto"/>
          <w:vAlign w:val="center"/>
        </w:tcPr>
        <w:p w14:paraId="3F52ADEC" w14:textId="77777777" w:rsidR="00FA7D54" w:rsidRDefault="005912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1E711B2" w14:textId="77777777" w:rsidR="00FA7D54" w:rsidRDefault="0059123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Cultura y Turismo</w:t>
          </w:r>
        </w:p>
      </w:tc>
    </w:tr>
    <w:tr w:rsidR="00FA7D54" w14:paraId="0CF09A53" w14:textId="77777777">
      <w:tc>
        <w:tcPr>
          <w:tcW w:w="2489" w:type="dxa"/>
          <w:shd w:val="clear" w:color="auto" w:fill="auto"/>
          <w:vAlign w:val="center"/>
        </w:tcPr>
        <w:p w14:paraId="7E4A4BA6" w14:textId="77777777" w:rsidR="00FA7D54" w:rsidRDefault="0059123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3451984" w14:textId="77777777" w:rsidR="00FA7D54" w:rsidRDefault="0059123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5D0C91" w14:textId="77777777" w:rsidR="00FA7D54" w:rsidRDefault="0059123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6FD8" w14:textId="77777777" w:rsidR="00FA7D54" w:rsidRDefault="0059123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23A7D83" wp14:editId="68EDD764">
          <wp:simplePos x="0" y="0"/>
          <wp:positionH relativeFrom="column">
            <wp:posOffset>-1079499</wp:posOffset>
          </wp:positionH>
          <wp:positionV relativeFrom="paragraph">
            <wp:posOffset>-328929</wp:posOffset>
          </wp:positionV>
          <wp:extent cx="7809865" cy="10165715"/>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670" w:type="dxa"/>
      <w:tblInd w:w="3261" w:type="dxa"/>
      <w:tblLayout w:type="fixed"/>
      <w:tblLook w:val="0400" w:firstRow="0" w:lastRow="0" w:firstColumn="0" w:lastColumn="0" w:noHBand="0" w:noVBand="1"/>
    </w:tblPr>
    <w:tblGrid>
      <w:gridCol w:w="2551"/>
      <w:gridCol w:w="3119"/>
    </w:tblGrid>
    <w:tr w:rsidR="00FA7D54" w14:paraId="11FDA2A7" w14:textId="77777777">
      <w:tc>
        <w:tcPr>
          <w:tcW w:w="2551" w:type="dxa"/>
          <w:shd w:val="clear" w:color="auto" w:fill="auto"/>
          <w:vAlign w:val="center"/>
        </w:tcPr>
        <w:p w14:paraId="17988A1D" w14:textId="77777777" w:rsidR="00FA7D54" w:rsidRDefault="005912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1F72971" w14:textId="77777777" w:rsidR="00FA7D54" w:rsidRDefault="0059123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01229/INFOEM/IP/RR/2023</w:t>
          </w:r>
        </w:p>
      </w:tc>
    </w:tr>
    <w:tr w:rsidR="00FA7D54" w14:paraId="7430C2A3" w14:textId="77777777">
      <w:trPr>
        <w:trHeight w:val="130"/>
      </w:trPr>
      <w:tc>
        <w:tcPr>
          <w:tcW w:w="2551" w:type="dxa"/>
          <w:shd w:val="clear" w:color="auto" w:fill="auto"/>
          <w:vAlign w:val="center"/>
        </w:tcPr>
        <w:p w14:paraId="4A55A8E6" w14:textId="77777777" w:rsidR="00FA7D54" w:rsidRDefault="005912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33D5D4A" w14:textId="0EBA13E5" w:rsidR="00FA7D54" w:rsidRDefault="00FB5473">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w:t>
          </w:r>
        </w:p>
      </w:tc>
    </w:tr>
    <w:tr w:rsidR="00FA7D54" w14:paraId="74308C36" w14:textId="77777777">
      <w:trPr>
        <w:trHeight w:val="228"/>
      </w:trPr>
      <w:tc>
        <w:tcPr>
          <w:tcW w:w="2551" w:type="dxa"/>
          <w:shd w:val="clear" w:color="auto" w:fill="auto"/>
          <w:vAlign w:val="center"/>
        </w:tcPr>
        <w:p w14:paraId="0DA7D07E" w14:textId="77777777" w:rsidR="00FA7D54" w:rsidRDefault="005912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9F62D30" w14:textId="77777777" w:rsidR="00FA7D54" w:rsidRDefault="0059123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Cultura y Turismo</w:t>
          </w:r>
        </w:p>
      </w:tc>
    </w:tr>
    <w:tr w:rsidR="00FA7D54" w14:paraId="41E184EF" w14:textId="77777777">
      <w:tc>
        <w:tcPr>
          <w:tcW w:w="2551" w:type="dxa"/>
          <w:shd w:val="clear" w:color="auto" w:fill="auto"/>
          <w:vAlign w:val="center"/>
        </w:tcPr>
        <w:p w14:paraId="057FE48A" w14:textId="77777777" w:rsidR="00FA7D54" w:rsidRDefault="005912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66F2B6C" w14:textId="77777777" w:rsidR="00FA7D54" w:rsidRDefault="0059123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3B58F3B" w14:textId="77777777" w:rsidR="00FA7D54" w:rsidRDefault="00FA7D54">
    <w:pPr>
      <w:pBdr>
        <w:top w:val="nil"/>
        <w:left w:val="nil"/>
        <w:bottom w:val="nil"/>
        <w:right w:val="nil"/>
        <w:between w:val="nil"/>
      </w:pBdr>
      <w:tabs>
        <w:tab w:val="center" w:pos="4252"/>
        <w:tab w:val="right" w:pos="8504"/>
      </w:tabs>
      <w:rPr>
        <w:rFonts w:ascii="Cambria" w:eastAsia="Cambria" w:hAnsi="Cambria" w:cs="Cambria"/>
        <w:color w:val="000000"/>
      </w:rPr>
    </w:pPr>
  </w:p>
  <w:p w14:paraId="67448C12" w14:textId="77777777" w:rsidR="00FA7D54" w:rsidRDefault="00FA7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D476E"/>
    <w:multiLevelType w:val="multilevel"/>
    <w:tmpl w:val="27B848E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A3F052B"/>
    <w:multiLevelType w:val="multilevel"/>
    <w:tmpl w:val="F28A4B0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D54"/>
    <w:rsid w:val="00196D1F"/>
    <w:rsid w:val="00376AA9"/>
    <w:rsid w:val="0052666F"/>
    <w:rsid w:val="00591239"/>
    <w:rsid w:val="0082382D"/>
    <w:rsid w:val="008C60C9"/>
    <w:rsid w:val="009E2867"/>
    <w:rsid w:val="00F24792"/>
    <w:rsid w:val="00FA7D54"/>
    <w:rsid w:val="00FB54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A8997"/>
  <w15:docId w15:val="{4094D101-534A-4B90-B1C3-C1BBEFC6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115" w:type="dxa"/>
        <w:right w:w="115"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5"/>
    <w:tblPr>
      <w:tblStyleRowBandSize w:val="1"/>
      <w:tblStyleColBandSize w:val="1"/>
      <w:tblCellMar>
        <w:left w:w="115" w:type="dxa"/>
        <w:right w:w="115" w:type="dxa"/>
      </w:tblCellMar>
    </w:tblPr>
  </w:style>
  <w:style w:type="table" w:customStyle="1" w:styleId="17">
    <w:name w:val="17"/>
    <w:basedOn w:val="TableNormal5"/>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IIFAEM/art_92_xvi/4.web?token=03AFY_a8WJRtAqMA4KoA1o4r_rM2twOcdqDyC21Ym-Fld8WbD4heOUfM341wlysIVUT2KUwmP606bwX--XMJ6zhWNy9jDVOeQkUaKXdsNCET11bdvzLgZmRGjXcTBRMmyl7d58W0fgbGBKxvZrXLoEj5huiFq5aA4uwa3FSWXoMV9waqs0hw-V0QckLHwNhTFKefEGbYRWEaaaiz3QJNuCmbXAHClAP6YKG_17IHdj2EJV2EMGzTwkACVEMKFmvzxP_MkPsNy2txd1sqzSt_O7IQuhZKXK6iLjF2exKqcdUNEje90tcb8NukReG7N5thAUbvWPpq8fXKkn4C50HcOSXfwZWdQQaQl3YppHDB4szwWBUPwMq8OSIJMwvR8JxA-2DpPMwZtzum-QFpKDbpCfHSzogHTn3yCKITMAhobaORZqKK3n4fL1pDIFXJOezywNCvthbdS6Br2701tuY653J0Q428Qd7EdJ81SvjWzhihh2sUBmQAUc-MHEZn9dch5T6q6XNjqMtrOtgoYIUuwyapYKIqYc92NNpg"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undp.org/es/mexico/news/recomendaciones-del-pnud-la-estrategia-salario-rosa-contribuir%C3%A1n-fortalecer-el-dise%C3%B1o-de-los-nueve-programas-que-la-integran"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PbJ0CAygu9hpKSDXktWbkcbdmA==">CgMxLjAyCGguZ2pkZ3hzMgloLjNkeTZ2a20yCWguMzBqMHpsbDIJaC4yczhleW8xMghoLnR5amN3dDIJaC4zem55c2g3MgloLjE3ZHA4dnUyCWguMWZvYjl0ZTIJaC4yNmluMXJnMgloLjNyZGNyam4yCWguMXQzaDVzZjgAciExSXNYSzRqUlptNGZlVnB1RElSQUd1MUxsWmI1dmQtRHk=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5923</Words>
  <Characters>32581</Characters>
  <Application>Microsoft Office Word</Application>
  <DocSecurity>4</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2023-10-04T16:35:00Z</cp:lastPrinted>
  <dcterms:created xsi:type="dcterms:W3CDTF">2023-10-26T21:12:00Z</dcterms:created>
  <dcterms:modified xsi:type="dcterms:W3CDTF">2023-10-26T21:12:00Z</dcterms:modified>
</cp:coreProperties>
</file>