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8644F6" w:rsidRDefault="009F09BC" w:rsidP="008644F6">
      <w:pPr>
        <w:tabs>
          <w:tab w:val="left" w:pos="3465"/>
        </w:tabs>
        <w:spacing w:line="360" w:lineRule="auto"/>
        <w:jc w:val="both"/>
        <w:rPr>
          <w:rFonts w:ascii="Palatino Linotype" w:hAnsi="Palatino Linotype"/>
          <w:color w:val="000000" w:themeColor="text1"/>
        </w:rPr>
      </w:pPr>
      <w:r w:rsidRPr="008644F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D51999">
        <w:rPr>
          <w:rFonts w:ascii="Palatino Linotype" w:hAnsi="Palatino Linotype"/>
          <w:color w:val="000000" w:themeColor="text1"/>
        </w:rPr>
        <w:t xml:space="preserve">veintisiete (27) de </w:t>
      </w:r>
      <w:r w:rsidR="00247898" w:rsidRPr="008644F6">
        <w:rPr>
          <w:rFonts w:ascii="Palatino Linotype" w:hAnsi="Palatino Linotype"/>
          <w:color w:val="000000" w:themeColor="text1"/>
        </w:rPr>
        <w:t>septiembre</w:t>
      </w:r>
      <w:r w:rsidR="00E61C13" w:rsidRPr="008644F6">
        <w:rPr>
          <w:rFonts w:ascii="Palatino Linotype" w:hAnsi="Palatino Linotype"/>
          <w:color w:val="000000" w:themeColor="text1"/>
        </w:rPr>
        <w:t xml:space="preserve"> de dos mil </w:t>
      </w:r>
      <w:r w:rsidR="004D465B" w:rsidRPr="008644F6">
        <w:rPr>
          <w:rFonts w:ascii="Palatino Linotype" w:hAnsi="Palatino Linotype"/>
          <w:color w:val="000000" w:themeColor="text1"/>
        </w:rPr>
        <w:t>veintitrés</w:t>
      </w:r>
      <w:r w:rsidRPr="008644F6">
        <w:rPr>
          <w:rFonts w:ascii="Palatino Linotype" w:hAnsi="Palatino Linotype"/>
          <w:color w:val="000000" w:themeColor="text1"/>
        </w:rPr>
        <w:t>.</w:t>
      </w:r>
    </w:p>
    <w:p w:rsidR="00247898" w:rsidRPr="008644F6" w:rsidRDefault="00247898" w:rsidP="008644F6">
      <w:pPr>
        <w:tabs>
          <w:tab w:val="left" w:pos="3465"/>
        </w:tabs>
        <w:spacing w:line="360" w:lineRule="auto"/>
        <w:jc w:val="both"/>
        <w:rPr>
          <w:rFonts w:ascii="Palatino Linotype" w:hAnsi="Palatino Linotype"/>
          <w:color w:val="000000" w:themeColor="text1"/>
        </w:rPr>
      </w:pPr>
    </w:p>
    <w:p w:rsidR="009F09BC" w:rsidRPr="008644F6" w:rsidRDefault="009F09BC" w:rsidP="008644F6">
      <w:pPr>
        <w:spacing w:line="360" w:lineRule="auto"/>
        <w:jc w:val="both"/>
        <w:rPr>
          <w:rFonts w:ascii="Palatino Linotype" w:hAnsi="Palatino Linotype"/>
          <w:color w:val="000000" w:themeColor="text1"/>
        </w:rPr>
      </w:pPr>
      <w:r w:rsidRPr="008644F6">
        <w:rPr>
          <w:rFonts w:ascii="Palatino Linotype" w:hAnsi="Palatino Linotype"/>
          <w:b/>
          <w:color w:val="000000" w:themeColor="text1"/>
        </w:rPr>
        <w:t>VISTO</w:t>
      </w:r>
      <w:r w:rsidRPr="008644F6">
        <w:rPr>
          <w:rFonts w:ascii="Palatino Linotype" w:hAnsi="Palatino Linotype"/>
          <w:color w:val="000000" w:themeColor="text1"/>
        </w:rPr>
        <w:t xml:space="preserve"> </w:t>
      </w:r>
      <w:r w:rsidR="008A699B" w:rsidRPr="008644F6">
        <w:rPr>
          <w:rFonts w:ascii="Palatino Linotype" w:hAnsi="Palatino Linotype"/>
          <w:color w:val="000000" w:themeColor="text1"/>
        </w:rPr>
        <w:t>e</w:t>
      </w:r>
      <w:r w:rsidRPr="008644F6">
        <w:rPr>
          <w:rFonts w:ascii="Palatino Linotype" w:hAnsi="Palatino Linotype"/>
          <w:color w:val="000000" w:themeColor="text1"/>
        </w:rPr>
        <w:t xml:space="preserve">l expediente electrónico formado con motivo del recurso de revisión </w:t>
      </w:r>
      <w:r w:rsidR="003F6817">
        <w:rPr>
          <w:rFonts w:ascii="Palatino Linotype" w:hAnsi="Palatino Linotype"/>
          <w:b/>
          <w:color w:val="000000" w:themeColor="text1"/>
        </w:rPr>
        <w:t>04768/INFOEM/IP/RR/2023</w:t>
      </w:r>
      <w:r w:rsidRPr="008644F6">
        <w:rPr>
          <w:rFonts w:ascii="Palatino Linotype" w:hAnsi="Palatino Linotype"/>
          <w:color w:val="000000" w:themeColor="text1"/>
        </w:rPr>
        <w:t>,</w:t>
      </w:r>
      <w:r w:rsidRPr="008644F6">
        <w:rPr>
          <w:rFonts w:ascii="Palatino Linotype" w:hAnsi="Palatino Linotype" w:cs="Arial"/>
          <w:b/>
          <w:bCs/>
          <w:color w:val="000000" w:themeColor="text1"/>
        </w:rPr>
        <w:t xml:space="preserve"> </w:t>
      </w:r>
      <w:r w:rsidRPr="008644F6">
        <w:rPr>
          <w:rFonts w:ascii="Palatino Linotype" w:hAnsi="Palatino Linotype"/>
          <w:color w:val="000000" w:themeColor="text1"/>
        </w:rPr>
        <w:t xml:space="preserve">promovido por </w:t>
      </w:r>
      <w:r w:rsidR="006C6E54" w:rsidRPr="008644F6">
        <w:rPr>
          <w:rFonts w:ascii="Palatino Linotype" w:hAnsi="Palatino Linotype"/>
          <w:b/>
          <w:color w:val="000000" w:themeColor="text1"/>
        </w:rPr>
        <w:t>una persona que no proporcionó datos de identificación</w:t>
      </w:r>
      <w:r w:rsidRPr="008644F6">
        <w:rPr>
          <w:rFonts w:ascii="Palatino Linotype" w:hAnsi="Palatino Linotype"/>
          <w:color w:val="000000" w:themeColor="text1"/>
        </w:rPr>
        <w:t xml:space="preserve">, a quien en lo sucesivo se le identificará como </w:t>
      </w:r>
      <w:r w:rsidR="00C860B1" w:rsidRPr="008644F6">
        <w:rPr>
          <w:rFonts w:ascii="Palatino Linotype" w:hAnsi="Palatino Linotype"/>
          <w:b/>
          <w:color w:val="000000" w:themeColor="text1"/>
        </w:rPr>
        <w:t>EL RECURRENTE</w:t>
      </w:r>
      <w:r w:rsidRPr="008644F6">
        <w:rPr>
          <w:rFonts w:ascii="Palatino Linotype" w:hAnsi="Palatino Linotype" w:cs="Arial"/>
          <w:color w:val="000000" w:themeColor="text1"/>
        </w:rPr>
        <w:t xml:space="preserve">, en contra de la respuesta del </w:t>
      </w:r>
      <w:r w:rsidR="006C6E54" w:rsidRPr="008644F6">
        <w:rPr>
          <w:rFonts w:ascii="Palatino Linotype" w:hAnsi="Palatino Linotype" w:cs="Arial"/>
          <w:b/>
          <w:color w:val="000000" w:themeColor="text1"/>
        </w:rPr>
        <w:t>Ayuntamiento de Zinacantepec</w:t>
      </w:r>
      <w:r w:rsidRPr="008644F6">
        <w:rPr>
          <w:rFonts w:ascii="Palatino Linotype" w:hAnsi="Palatino Linotype" w:cs="Arial"/>
          <w:b/>
          <w:color w:val="000000" w:themeColor="text1"/>
        </w:rPr>
        <w:t>,</w:t>
      </w:r>
      <w:r w:rsidRPr="008644F6">
        <w:rPr>
          <w:rFonts w:ascii="Palatino Linotype" w:hAnsi="Palatino Linotype"/>
          <w:b/>
          <w:color w:val="000000" w:themeColor="text1"/>
        </w:rPr>
        <w:t xml:space="preserve"> </w:t>
      </w:r>
      <w:r w:rsidRPr="008644F6">
        <w:rPr>
          <w:rFonts w:ascii="Palatino Linotype" w:hAnsi="Palatino Linotype"/>
          <w:color w:val="000000" w:themeColor="text1"/>
        </w:rPr>
        <w:t xml:space="preserve">en </w:t>
      </w:r>
      <w:r w:rsidR="00FF1CE3">
        <w:rPr>
          <w:rFonts w:ascii="Palatino Linotype" w:hAnsi="Palatino Linotype"/>
          <w:color w:val="000000" w:themeColor="text1"/>
        </w:rPr>
        <w:t>adelante</w:t>
      </w:r>
      <w:r w:rsidRPr="008644F6">
        <w:rPr>
          <w:rFonts w:ascii="Palatino Linotype" w:hAnsi="Palatino Linotype"/>
          <w:color w:val="000000" w:themeColor="text1"/>
        </w:rPr>
        <w:t xml:space="preserve"> el</w:t>
      </w:r>
      <w:r w:rsidRPr="008644F6">
        <w:rPr>
          <w:rFonts w:ascii="Palatino Linotype" w:hAnsi="Palatino Linotype"/>
          <w:b/>
          <w:color w:val="000000" w:themeColor="text1"/>
        </w:rPr>
        <w:t xml:space="preserve"> SUJETO OBLIGADO</w:t>
      </w:r>
      <w:r w:rsidRPr="008644F6">
        <w:rPr>
          <w:rFonts w:ascii="Palatino Linotype" w:hAnsi="Palatino Linotype"/>
          <w:color w:val="000000" w:themeColor="text1"/>
        </w:rPr>
        <w:t>, se procede a dictar la presente resolución, con base en los siguientes:</w:t>
      </w:r>
    </w:p>
    <w:p w:rsidR="009F09BC" w:rsidRPr="008644F6" w:rsidRDefault="009F09BC" w:rsidP="008644F6">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8644F6">
        <w:rPr>
          <w:rFonts w:ascii="Palatino Linotype" w:hAnsi="Palatino Linotype"/>
          <w:b/>
          <w:color w:val="000000" w:themeColor="text1"/>
          <w:sz w:val="24"/>
          <w:szCs w:val="24"/>
        </w:rPr>
        <w:t>ANTECEDENTES</w:t>
      </w:r>
      <w:bookmarkEnd w:id="0"/>
      <w:bookmarkEnd w:id="1"/>
      <w:bookmarkEnd w:id="2"/>
    </w:p>
    <w:p w:rsidR="00247898" w:rsidRPr="008644F6" w:rsidRDefault="00247898" w:rsidP="008644F6">
      <w:pPr>
        <w:spacing w:line="360" w:lineRule="auto"/>
        <w:rPr>
          <w:rFonts w:ascii="Palatino Linotype" w:hAnsi="Palatino Linotype"/>
        </w:rPr>
      </w:pPr>
    </w:p>
    <w:p w:rsidR="009F09BC" w:rsidRPr="008644F6" w:rsidRDefault="003F6817" w:rsidP="008644F6">
      <w:pPr>
        <w:pStyle w:val="Prrafodelista"/>
        <w:numPr>
          <w:ilvl w:val="0"/>
          <w:numId w:val="15"/>
        </w:numPr>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El diez</w:t>
      </w:r>
      <w:r w:rsidR="009F09BC" w:rsidRPr="008644F6">
        <w:rPr>
          <w:rFonts w:ascii="Palatino Linotype" w:eastAsia="Calibri" w:hAnsi="Palatino Linotype" w:cs="Arial"/>
          <w:color w:val="000000" w:themeColor="text1"/>
          <w:lang w:val="es-ES"/>
        </w:rPr>
        <w:t xml:space="preserve"> </w:t>
      </w:r>
      <w:r w:rsidR="00FF1CE3">
        <w:rPr>
          <w:rFonts w:ascii="Palatino Linotype" w:eastAsia="Calibri" w:hAnsi="Palatino Linotype" w:cs="Arial"/>
          <w:color w:val="000000" w:themeColor="text1"/>
          <w:lang w:val="es-ES"/>
        </w:rPr>
        <w:t xml:space="preserve">de </w:t>
      </w:r>
      <w:r>
        <w:rPr>
          <w:rFonts w:ascii="Palatino Linotype" w:eastAsia="Calibri" w:hAnsi="Palatino Linotype" w:cs="Arial"/>
          <w:color w:val="000000" w:themeColor="text1"/>
          <w:lang w:val="es-ES"/>
        </w:rPr>
        <w:t>julio</w:t>
      </w:r>
      <w:r w:rsidR="007F3122">
        <w:rPr>
          <w:rFonts w:ascii="Palatino Linotype" w:eastAsia="Calibri" w:hAnsi="Palatino Linotype" w:cs="Arial"/>
          <w:color w:val="000000" w:themeColor="text1"/>
          <w:lang w:val="es-ES"/>
        </w:rPr>
        <w:t xml:space="preserve"> </w:t>
      </w:r>
      <w:r w:rsidR="00E61C13" w:rsidRPr="008644F6">
        <w:rPr>
          <w:rFonts w:ascii="Palatino Linotype" w:eastAsia="Calibri" w:hAnsi="Palatino Linotype" w:cs="Arial"/>
          <w:color w:val="000000" w:themeColor="text1"/>
          <w:lang w:val="es-ES"/>
        </w:rPr>
        <w:t xml:space="preserve">de dos mil </w:t>
      </w:r>
      <w:r w:rsidR="004D465B" w:rsidRPr="008644F6">
        <w:rPr>
          <w:rFonts w:ascii="Palatino Linotype" w:eastAsia="Calibri" w:hAnsi="Palatino Linotype" w:cs="Arial"/>
          <w:color w:val="000000" w:themeColor="text1"/>
          <w:lang w:val="es-ES"/>
        </w:rPr>
        <w:t>veintitrés</w:t>
      </w:r>
      <w:r w:rsidR="009F09BC" w:rsidRPr="008644F6">
        <w:rPr>
          <w:rFonts w:ascii="Palatino Linotype" w:hAnsi="Palatino Linotype"/>
          <w:b/>
          <w:color w:val="000000" w:themeColor="text1"/>
        </w:rPr>
        <w:t xml:space="preserve">, </w:t>
      </w:r>
      <w:r w:rsidR="009F09BC" w:rsidRPr="008644F6">
        <w:rPr>
          <w:rFonts w:ascii="Palatino Linotype" w:eastAsia="Calibri" w:hAnsi="Palatino Linotype" w:cs="Arial"/>
          <w:color w:val="000000" w:themeColor="text1"/>
          <w:lang w:val="es-ES"/>
        </w:rPr>
        <w:t xml:space="preserve">se presentó ante el </w:t>
      </w:r>
      <w:r w:rsidR="009F09BC" w:rsidRPr="008644F6">
        <w:rPr>
          <w:rFonts w:ascii="Palatino Linotype" w:eastAsia="Calibri" w:hAnsi="Palatino Linotype" w:cs="Arial"/>
          <w:b/>
          <w:color w:val="000000" w:themeColor="text1"/>
          <w:lang w:val="es-ES"/>
        </w:rPr>
        <w:t>SUJETO OBLIGADO</w:t>
      </w:r>
      <w:r w:rsidR="009F09BC" w:rsidRPr="008644F6">
        <w:rPr>
          <w:rFonts w:ascii="Palatino Linotype" w:eastAsia="Calibri" w:hAnsi="Palatino Linotype" w:cs="Arial"/>
          <w:color w:val="000000" w:themeColor="text1"/>
        </w:rPr>
        <w:t xml:space="preserve"> vía </w:t>
      </w:r>
      <w:r w:rsidR="008A699B" w:rsidRPr="008644F6">
        <w:rPr>
          <w:rFonts w:ascii="Palatino Linotype" w:eastAsia="Calibri" w:hAnsi="Palatino Linotype" w:cs="Arial"/>
          <w:color w:val="000000" w:themeColor="text1"/>
          <w:lang w:val="es-ES"/>
        </w:rPr>
        <w:t>SAIMEX, la solicitud</w:t>
      </w:r>
      <w:r w:rsidR="009F09BC" w:rsidRPr="008644F6">
        <w:rPr>
          <w:rFonts w:ascii="Palatino Linotype" w:eastAsia="Calibri" w:hAnsi="Palatino Linotype" w:cs="Arial"/>
          <w:color w:val="000000" w:themeColor="text1"/>
          <w:lang w:val="es-ES"/>
        </w:rPr>
        <w:t xml:space="preserve"> de información pública</w:t>
      </w:r>
      <w:r w:rsidR="008A699B" w:rsidRPr="008644F6">
        <w:rPr>
          <w:rFonts w:ascii="Palatino Linotype" w:eastAsia="Calibri" w:hAnsi="Palatino Linotype" w:cs="Arial"/>
          <w:color w:val="000000" w:themeColor="text1"/>
          <w:lang w:val="es-ES"/>
        </w:rPr>
        <w:t xml:space="preserve"> registrada</w:t>
      </w:r>
      <w:r w:rsidR="009F09BC" w:rsidRPr="008644F6">
        <w:rPr>
          <w:rFonts w:ascii="Palatino Linotype" w:eastAsia="Calibri" w:hAnsi="Palatino Linotype" w:cs="Arial"/>
          <w:color w:val="000000" w:themeColor="text1"/>
          <w:lang w:val="es-ES"/>
        </w:rPr>
        <w:t xml:space="preserve"> con </w:t>
      </w:r>
      <w:r w:rsidR="008A699B" w:rsidRPr="008644F6">
        <w:rPr>
          <w:rFonts w:ascii="Palatino Linotype" w:eastAsia="Calibri" w:hAnsi="Palatino Linotype" w:cs="Arial"/>
          <w:color w:val="000000" w:themeColor="text1"/>
          <w:lang w:val="es-ES"/>
        </w:rPr>
        <w:t xml:space="preserve">el </w:t>
      </w:r>
      <w:r w:rsidR="009F09BC" w:rsidRPr="008644F6">
        <w:rPr>
          <w:rFonts w:ascii="Palatino Linotype" w:eastAsia="Calibri" w:hAnsi="Palatino Linotype" w:cs="Arial"/>
          <w:color w:val="000000" w:themeColor="text1"/>
          <w:lang w:val="es-ES"/>
        </w:rPr>
        <w:t>número</w:t>
      </w:r>
      <w:r w:rsidR="009F09BC" w:rsidRPr="008644F6">
        <w:rPr>
          <w:rFonts w:ascii="Palatino Linotype" w:hAnsi="Palatino Linotype"/>
          <w:b/>
          <w:bCs/>
          <w:color w:val="000000" w:themeColor="text1"/>
        </w:rPr>
        <w:t xml:space="preserve"> </w:t>
      </w:r>
      <w:r w:rsidR="007F3122">
        <w:rPr>
          <w:rFonts w:ascii="Palatino Linotype" w:hAnsi="Palatino Linotype"/>
          <w:b/>
          <w:bCs/>
          <w:color w:val="000000" w:themeColor="text1"/>
        </w:rPr>
        <w:t>00510/ZINACANT/IP/2023</w:t>
      </w:r>
      <w:r w:rsidR="009F09BC" w:rsidRPr="008644F6">
        <w:rPr>
          <w:rFonts w:ascii="Palatino Linotype" w:hAnsi="Palatino Linotype"/>
          <w:b/>
          <w:bCs/>
          <w:color w:val="000000" w:themeColor="text1"/>
        </w:rPr>
        <w:t xml:space="preserve">; </w:t>
      </w:r>
      <w:r w:rsidR="00FF1CE3">
        <w:rPr>
          <w:rFonts w:ascii="Palatino Linotype" w:eastAsia="Calibri" w:hAnsi="Palatino Linotype" w:cs="Arial"/>
          <w:color w:val="000000" w:themeColor="text1"/>
          <w:lang w:val="es-ES"/>
        </w:rPr>
        <w:t xml:space="preserve">en la que </w:t>
      </w:r>
      <w:r w:rsidR="009F09BC" w:rsidRPr="008644F6">
        <w:rPr>
          <w:rFonts w:ascii="Palatino Linotype" w:eastAsia="Calibri" w:hAnsi="Palatino Linotype" w:cs="Arial"/>
          <w:color w:val="000000" w:themeColor="text1"/>
          <w:lang w:val="es-ES"/>
        </w:rPr>
        <w:t>solicitó la siguiente información:</w:t>
      </w:r>
    </w:p>
    <w:p w:rsidR="008A699B" w:rsidRPr="008644F6" w:rsidRDefault="008A699B" w:rsidP="008644F6">
      <w:pPr>
        <w:pStyle w:val="Prrafodelista"/>
        <w:spacing w:line="360" w:lineRule="auto"/>
        <w:ind w:left="0"/>
        <w:jc w:val="both"/>
        <w:rPr>
          <w:rFonts w:ascii="Palatino Linotype" w:eastAsia="Calibri" w:hAnsi="Palatino Linotype" w:cs="Arial"/>
          <w:color w:val="000000" w:themeColor="text1"/>
          <w:lang w:val="es-ES"/>
        </w:rPr>
      </w:pPr>
    </w:p>
    <w:p w:rsidR="009F09BC" w:rsidRPr="008644F6" w:rsidRDefault="00EB1CE2" w:rsidP="008644F6">
      <w:pPr>
        <w:pStyle w:val="Prrafodelista"/>
        <w:spacing w:line="360" w:lineRule="auto"/>
        <w:ind w:left="425" w:right="476"/>
        <w:jc w:val="both"/>
        <w:rPr>
          <w:rFonts w:ascii="Palatino Linotype" w:hAnsi="Palatino Linotype"/>
          <w:i/>
          <w:color w:val="000000" w:themeColor="text1"/>
        </w:rPr>
      </w:pPr>
      <w:r w:rsidRPr="008644F6">
        <w:rPr>
          <w:rFonts w:ascii="Palatino Linotype" w:hAnsi="Palatino Linotype"/>
          <w:i/>
          <w:color w:val="000000" w:themeColor="text1"/>
        </w:rPr>
        <w:t>“</w:t>
      </w:r>
      <w:r w:rsidR="003F6817" w:rsidRPr="003F6817">
        <w:rPr>
          <w:rFonts w:ascii="Palatino Linotype" w:hAnsi="Palatino Linotype"/>
          <w:i/>
          <w:color w:val="000000" w:themeColor="text1"/>
        </w:rPr>
        <w:t>Que se necesita para ser regidor</w:t>
      </w:r>
      <w:r w:rsidR="008A699B" w:rsidRPr="008644F6">
        <w:rPr>
          <w:rFonts w:ascii="Palatino Linotype" w:hAnsi="Palatino Linotype"/>
          <w:i/>
          <w:color w:val="000000" w:themeColor="text1"/>
        </w:rPr>
        <w:t>”</w:t>
      </w:r>
    </w:p>
    <w:p w:rsidR="008A699B" w:rsidRPr="008644F6" w:rsidRDefault="008A699B" w:rsidP="008644F6">
      <w:pPr>
        <w:pStyle w:val="Prrafodelista"/>
        <w:spacing w:line="360" w:lineRule="auto"/>
        <w:ind w:left="851" w:right="34"/>
        <w:jc w:val="both"/>
        <w:rPr>
          <w:rFonts w:ascii="Palatino Linotype" w:hAnsi="Palatino Linotype"/>
          <w:color w:val="000000" w:themeColor="text1"/>
        </w:rPr>
      </w:pPr>
    </w:p>
    <w:p w:rsidR="009F09BC" w:rsidRPr="008644F6" w:rsidRDefault="009F09BC" w:rsidP="008644F6">
      <w:pPr>
        <w:pStyle w:val="Prrafodelista"/>
        <w:numPr>
          <w:ilvl w:val="0"/>
          <w:numId w:val="23"/>
        </w:numPr>
        <w:spacing w:line="360" w:lineRule="auto"/>
        <w:ind w:left="709" w:right="34" w:hanging="283"/>
        <w:jc w:val="both"/>
        <w:rPr>
          <w:rFonts w:ascii="Palatino Linotype" w:hAnsi="Palatino Linotype"/>
          <w:color w:val="000000" w:themeColor="text1"/>
        </w:rPr>
      </w:pPr>
      <w:r w:rsidRPr="008644F6">
        <w:rPr>
          <w:rFonts w:ascii="Palatino Linotype" w:eastAsia="Times New Roman" w:hAnsi="Palatino Linotype" w:cs="Arial"/>
          <w:color w:val="000000" w:themeColor="text1"/>
          <w:lang w:val="es-ES"/>
        </w:rPr>
        <w:t>Se eligió como modalidad de entrega de la información</w:t>
      </w:r>
      <w:r w:rsidRPr="008644F6">
        <w:rPr>
          <w:rFonts w:ascii="Palatino Linotype" w:hAnsi="Palatino Linotype"/>
          <w:color w:val="000000" w:themeColor="text1"/>
        </w:rPr>
        <w:t xml:space="preserve">: A través del </w:t>
      </w:r>
      <w:r w:rsidRPr="008644F6">
        <w:rPr>
          <w:rFonts w:ascii="Palatino Linotype" w:hAnsi="Palatino Linotype"/>
          <w:b/>
          <w:color w:val="000000" w:themeColor="text1"/>
        </w:rPr>
        <w:t>SAIMEX</w:t>
      </w:r>
      <w:r w:rsidR="0069487D" w:rsidRPr="008644F6">
        <w:rPr>
          <w:rFonts w:ascii="Palatino Linotype" w:hAnsi="Palatino Linotype"/>
          <w:b/>
          <w:color w:val="000000" w:themeColor="text1"/>
        </w:rPr>
        <w:t>.</w:t>
      </w:r>
    </w:p>
    <w:p w:rsidR="00F54259" w:rsidRPr="008644F6" w:rsidRDefault="00F54259" w:rsidP="008644F6">
      <w:pPr>
        <w:pStyle w:val="Prrafodelista"/>
        <w:tabs>
          <w:tab w:val="left" w:pos="0"/>
        </w:tabs>
        <w:spacing w:line="360" w:lineRule="auto"/>
        <w:ind w:left="0" w:right="49"/>
        <w:jc w:val="both"/>
        <w:rPr>
          <w:rFonts w:ascii="Palatino Linotype" w:hAnsi="Palatino Linotype" w:cs="Arial"/>
          <w:i/>
          <w:color w:val="000000" w:themeColor="text1"/>
        </w:rPr>
      </w:pPr>
    </w:p>
    <w:p w:rsidR="00E61C13" w:rsidRPr="003F6817" w:rsidRDefault="00C860B1" w:rsidP="003F6817">
      <w:pPr>
        <w:pStyle w:val="Prrafodelista"/>
        <w:numPr>
          <w:ilvl w:val="0"/>
          <w:numId w:val="15"/>
        </w:numPr>
        <w:spacing w:line="360" w:lineRule="auto"/>
        <w:ind w:left="0" w:firstLine="0"/>
        <w:jc w:val="both"/>
        <w:rPr>
          <w:rFonts w:ascii="Palatino Linotype" w:hAnsi="Palatino Linotype" w:cs="Arial"/>
          <w:i/>
          <w:color w:val="000000" w:themeColor="text1"/>
        </w:rPr>
      </w:pPr>
      <w:r w:rsidRPr="008644F6">
        <w:rPr>
          <w:rFonts w:ascii="Palatino Linotype" w:hAnsi="Palatino Linotype" w:cs="Arial"/>
          <w:color w:val="000000" w:themeColor="text1"/>
        </w:rPr>
        <w:lastRenderedPageBreak/>
        <w:t xml:space="preserve">El </w:t>
      </w:r>
      <w:r w:rsidR="003F6817">
        <w:rPr>
          <w:rFonts w:ascii="Palatino Linotype" w:eastAsia="Calibri" w:hAnsi="Palatino Linotype" w:cs="Arial"/>
          <w:color w:val="000000" w:themeColor="text1"/>
          <w:lang w:val="es-ES"/>
        </w:rPr>
        <w:t>veintitrés</w:t>
      </w:r>
      <w:r w:rsidR="006C6E54" w:rsidRPr="008644F6">
        <w:rPr>
          <w:rFonts w:ascii="Palatino Linotype" w:hAnsi="Palatino Linotype" w:cs="Arial"/>
          <w:color w:val="000000" w:themeColor="text1"/>
        </w:rPr>
        <w:t xml:space="preserve"> de agosto</w:t>
      </w:r>
      <w:r w:rsidR="002C4997" w:rsidRPr="008644F6">
        <w:rPr>
          <w:rFonts w:ascii="Palatino Linotype" w:hAnsi="Palatino Linotype" w:cs="Arial"/>
          <w:color w:val="000000" w:themeColor="text1"/>
        </w:rPr>
        <w:t xml:space="preserve"> de dos mil </w:t>
      </w:r>
      <w:r w:rsidR="004D465B" w:rsidRPr="008644F6">
        <w:rPr>
          <w:rFonts w:ascii="Palatino Linotype" w:hAnsi="Palatino Linotype" w:cs="Arial"/>
          <w:color w:val="000000" w:themeColor="text1"/>
        </w:rPr>
        <w:t>veintitrés</w:t>
      </w:r>
      <w:r w:rsidR="009F09BC" w:rsidRPr="008644F6">
        <w:rPr>
          <w:rFonts w:ascii="Palatino Linotype" w:hAnsi="Palatino Linotype" w:cs="Arial"/>
          <w:color w:val="000000" w:themeColor="text1"/>
        </w:rPr>
        <w:t xml:space="preserve">, el </w:t>
      </w:r>
      <w:r w:rsidR="009F09BC" w:rsidRPr="008644F6">
        <w:rPr>
          <w:rFonts w:ascii="Palatino Linotype" w:hAnsi="Palatino Linotype" w:cs="Arial"/>
          <w:b/>
          <w:color w:val="000000" w:themeColor="text1"/>
        </w:rPr>
        <w:t>SUJETO OBLIGADO,</w:t>
      </w:r>
      <w:r w:rsidR="00EB1CE2" w:rsidRPr="008644F6">
        <w:rPr>
          <w:rFonts w:ascii="Palatino Linotype" w:hAnsi="Palatino Linotype" w:cs="Arial"/>
          <w:color w:val="000000" w:themeColor="text1"/>
        </w:rPr>
        <w:t xml:space="preserve"> dio respuesta a través del </w:t>
      </w:r>
      <w:r w:rsidR="00EB1CE2" w:rsidRPr="003F6817">
        <w:rPr>
          <w:rFonts w:ascii="Palatino Linotype" w:eastAsia="Calibri" w:hAnsi="Palatino Linotype" w:cs="Arial"/>
          <w:color w:val="000000" w:themeColor="text1"/>
          <w:lang w:val="es-ES"/>
        </w:rPr>
        <w:t>archivo</w:t>
      </w:r>
      <w:r w:rsidR="00EB1CE2" w:rsidRPr="008644F6">
        <w:rPr>
          <w:rFonts w:ascii="Palatino Linotype" w:hAnsi="Palatino Linotype" w:cs="Arial"/>
          <w:color w:val="000000" w:themeColor="text1"/>
        </w:rPr>
        <w:t xml:space="preserve"> electrónico denominado </w:t>
      </w:r>
      <w:r w:rsidR="003F6817" w:rsidRPr="003F6817">
        <w:rPr>
          <w:rFonts w:ascii="Palatino Linotype" w:hAnsi="Palatino Linotype" w:cs="Arial"/>
          <w:b/>
          <w:i/>
          <w:color w:val="000000" w:themeColor="text1"/>
        </w:rPr>
        <w:t>NOVENA.pdf</w:t>
      </w:r>
      <w:r w:rsidR="00EB1CE2" w:rsidRPr="008644F6">
        <w:rPr>
          <w:rFonts w:ascii="Palatino Linotype" w:hAnsi="Palatino Linotype" w:cs="Arial"/>
          <w:b/>
          <w:i/>
          <w:color w:val="000000" w:themeColor="text1"/>
        </w:rPr>
        <w:t>,</w:t>
      </w:r>
      <w:r w:rsidR="00EB1CE2" w:rsidRPr="008644F6">
        <w:rPr>
          <w:rFonts w:ascii="Palatino Linotype" w:hAnsi="Palatino Linotype" w:cs="Arial"/>
          <w:i/>
          <w:color w:val="000000" w:themeColor="text1"/>
        </w:rPr>
        <w:t xml:space="preserve"> </w:t>
      </w:r>
      <w:r w:rsidR="00A02DF4" w:rsidRPr="008644F6">
        <w:rPr>
          <w:rFonts w:ascii="Palatino Linotype" w:hAnsi="Palatino Linotype" w:cs="Arial"/>
          <w:color w:val="000000" w:themeColor="text1"/>
        </w:rPr>
        <w:t xml:space="preserve">de </w:t>
      </w:r>
      <w:r w:rsidR="00EB1CE2" w:rsidRPr="008644F6">
        <w:rPr>
          <w:rFonts w:ascii="Palatino Linotype" w:hAnsi="Palatino Linotype" w:cs="Arial"/>
          <w:color w:val="000000" w:themeColor="text1"/>
        </w:rPr>
        <w:t>cuyo contenido</w:t>
      </w:r>
      <w:r w:rsidR="003F6817">
        <w:rPr>
          <w:rFonts w:ascii="Palatino Linotype" w:hAnsi="Palatino Linotype" w:cs="Arial"/>
          <w:color w:val="000000" w:themeColor="text1"/>
        </w:rPr>
        <w:t xml:space="preserve"> al caso concreto se desprenden lo siguiente:</w:t>
      </w:r>
    </w:p>
    <w:p w:rsidR="003F6817" w:rsidRPr="003F6817" w:rsidRDefault="003F6817" w:rsidP="003F6817">
      <w:pPr>
        <w:spacing w:line="360" w:lineRule="auto"/>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w:drawing>
          <wp:inline distT="0" distB="0" distL="0" distR="0">
            <wp:extent cx="5607050" cy="3657600"/>
            <wp:effectExtent l="19050" t="19050" r="1270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0" cy="3657600"/>
                    </a:xfrm>
                    <a:prstGeom prst="rect">
                      <a:avLst/>
                    </a:prstGeom>
                    <a:noFill/>
                    <a:ln>
                      <a:solidFill>
                        <a:schemeClr val="tx1"/>
                      </a:solidFill>
                    </a:ln>
                  </pic:spPr>
                </pic:pic>
              </a:graphicData>
            </a:graphic>
          </wp:inline>
        </w:drawing>
      </w:r>
    </w:p>
    <w:p w:rsidR="00A02DF4" w:rsidRPr="008644F6" w:rsidRDefault="00A02DF4" w:rsidP="008644F6">
      <w:pPr>
        <w:pStyle w:val="Prrafodelista"/>
        <w:tabs>
          <w:tab w:val="left" w:pos="0"/>
        </w:tabs>
        <w:spacing w:line="360" w:lineRule="auto"/>
        <w:ind w:left="360" w:right="49"/>
        <w:jc w:val="both"/>
        <w:rPr>
          <w:rFonts w:ascii="Palatino Linotype" w:hAnsi="Palatino Linotype" w:cs="Arial"/>
          <w:i/>
          <w:color w:val="000000" w:themeColor="text1"/>
        </w:rPr>
      </w:pPr>
    </w:p>
    <w:p w:rsidR="009F09BC" w:rsidRPr="008644F6" w:rsidRDefault="009F09BC" w:rsidP="008644F6">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8644F6">
        <w:rPr>
          <w:rFonts w:ascii="Palatino Linotype" w:eastAsia="Times New Roman" w:hAnsi="Palatino Linotype" w:cs="Arial"/>
          <w:color w:val="000000" w:themeColor="text1"/>
          <w:lang w:val="es-ES"/>
        </w:rPr>
        <w:t>E</w:t>
      </w:r>
      <w:r w:rsidR="002C4997" w:rsidRPr="008644F6">
        <w:rPr>
          <w:rFonts w:ascii="Palatino Linotype" w:eastAsia="Times New Roman" w:hAnsi="Palatino Linotype" w:cs="Arial"/>
          <w:color w:val="000000" w:themeColor="text1"/>
          <w:lang w:val="es-ES"/>
        </w:rPr>
        <w:t xml:space="preserve">l </w:t>
      </w:r>
      <w:r w:rsidR="002B65A0">
        <w:rPr>
          <w:rFonts w:ascii="Palatino Linotype" w:eastAsia="Times New Roman" w:hAnsi="Palatino Linotype" w:cs="Arial"/>
          <w:color w:val="000000" w:themeColor="text1"/>
          <w:lang w:val="es-ES"/>
        </w:rPr>
        <w:t>veintitrés</w:t>
      </w:r>
      <w:r w:rsidR="00222E80" w:rsidRPr="008644F6">
        <w:rPr>
          <w:rFonts w:ascii="Palatino Linotype" w:eastAsia="Times New Roman" w:hAnsi="Palatino Linotype" w:cs="Arial"/>
          <w:color w:val="000000" w:themeColor="text1"/>
          <w:lang w:val="es-ES"/>
        </w:rPr>
        <w:t xml:space="preserve"> de agosto</w:t>
      </w:r>
      <w:r w:rsidRPr="008644F6">
        <w:rPr>
          <w:rFonts w:ascii="Palatino Linotype" w:eastAsia="Times New Roman" w:hAnsi="Palatino Linotype" w:cs="Arial"/>
          <w:color w:val="000000" w:themeColor="text1"/>
          <w:lang w:val="es-ES"/>
        </w:rPr>
        <w:t xml:space="preserve"> de </w:t>
      </w:r>
      <w:r w:rsidR="00025C53" w:rsidRPr="008644F6">
        <w:rPr>
          <w:rFonts w:ascii="Palatino Linotype" w:eastAsia="Times New Roman" w:hAnsi="Palatino Linotype" w:cs="Arial"/>
          <w:color w:val="000000" w:themeColor="text1"/>
          <w:lang w:val="es-ES"/>
        </w:rPr>
        <w:t xml:space="preserve">dos mil </w:t>
      </w:r>
      <w:r w:rsidR="004D465B" w:rsidRPr="008644F6">
        <w:rPr>
          <w:rFonts w:ascii="Palatino Linotype" w:eastAsia="Times New Roman" w:hAnsi="Palatino Linotype" w:cs="Arial"/>
          <w:color w:val="000000" w:themeColor="text1"/>
          <w:lang w:val="es-ES"/>
        </w:rPr>
        <w:t>veintitrés</w:t>
      </w:r>
      <w:r w:rsidRPr="008644F6">
        <w:rPr>
          <w:rFonts w:ascii="Palatino Linotype" w:eastAsia="Times New Roman" w:hAnsi="Palatino Linotype" w:cs="Arial"/>
          <w:color w:val="000000" w:themeColor="text1"/>
          <w:lang w:val="es-ES"/>
        </w:rPr>
        <w:t xml:space="preserve">, el particular interpuso </w:t>
      </w:r>
      <w:r w:rsidR="002C4997" w:rsidRPr="008644F6">
        <w:rPr>
          <w:rFonts w:ascii="Palatino Linotype" w:eastAsia="Times New Roman" w:hAnsi="Palatino Linotype" w:cs="Arial"/>
          <w:color w:val="000000" w:themeColor="text1"/>
          <w:lang w:val="es-ES"/>
        </w:rPr>
        <w:t>e</w:t>
      </w:r>
      <w:r w:rsidRPr="008644F6">
        <w:rPr>
          <w:rFonts w:ascii="Palatino Linotype" w:eastAsia="Times New Roman" w:hAnsi="Palatino Linotype" w:cs="Arial"/>
          <w:color w:val="000000" w:themeColor="text1"/>
          <w:lang w:val="es-ES"/>
        </w:rPr>
        <w:t>l recurso de revisión en contra de la respuesta, manifestando l</w:t>
      </w:r>
      <w:r w:rsidR="002C4997" w:rsidRPr="008644F6">
        <w:rPr>
          <w:rFonts w:ascii="Palatino Linotype" w:eastAsia="Times New Roman" w:hAnsi="Palatino Linotype" w:cs="Arial"/>
          <w:color w:val="000000" w:themeColor="text1"/>
          <w:lang w:val="es-ES"/>
        </w:rPr>
        <w:t>a</w:t>
      </w:r>
      <w:r w:rsidRPr="008644F6">
        <w:rPr>
          <w:rFonts w:ascii="Palatino Linotype" w:eastAsia="Times New Roman" w:hAnsi="Palatino Linotype" w:cs="Arial"/>
          <w:color w:val="000000" w:themeColor="text1"/>
          <w:lang w:val="es-ES"/>
        </w:rPr>
        <w:t xml:space="preserve">s </w:t>
      </w:r>
      <w:r w:rsidR="002C4997" w:rsidRPr="008644F6">
        <w:rPr>
          <w:rFonts w:ascii="Palatino Linotype" w:eastAsia="Times New Roman" w:hAnsi="Palatino Linotype" w:cs="Arial"/>
          <w:color w:val="000000" w:themeColor="text1"/>
          <w:lang w:val="es-ES"/>
        </w:rPr>
        <w:t>siguientes</w:t>
      </w:r>
      <w:r w:rsidRPr="008644F6">
        <w:rPr>
          <w:rFonts w:ascii="Palatino Linotype" w:eastAsia="Times New Roman" w:hAnsi="Palatino Linotype" w:cs="Arial"/>
          <w:color w:val="000000" w:themeColor="text1"/>
          <w:lang w:val="es-ES"/>
        </w:rPr>
        <w:t xml:space="preserve"> razones o motivos de inconformidad:</w:t>
      </w:r>
    </w:p>
    <w:p w:rsidR="009F09BC" w:rsidRPr="00FF1CE3" w:rsidRDefault="009F09BC" w:rsidP="008644F6">
      <w:pPr>
        <w:pStyle w:val="Prrafodelista"/>
        <w:tabs>
          <w:tab w:val="left" w:pos="0"/>
        </w:tabs>
        <w:spacing w:line="360" w:lineRule="auto"/>
        <w:ind w:left="0" w:right="49"/>
        <w:jc w:val="both"/>
        <w:rPr>
          <w:rFonts w:ascii="Palatino Linotype" w:hAnsi="Palatino Linotype" w:cs="Arial"/>
          <w:i/>
          <w:color w:val="000000" w:themeColor="text1"/>
          <w:sz w:val="22"/>
        </w:rPr>
      </w:pPr>
    </w:p>
    <w:p w:rsidR="009F09BC" w:rsidRPr="00FF1CE3" w:rsidRDefault="009F09BC" w:rsidP="008644F6">
      <w:pPr>
        <w:pStyle w:val="Prrafodelista"/>
        <w:numPr>
          <w:ilvl w:val="0"/>
          <w:numId w:val="23"/>
        </w:numPr>
        <w:spacing w:line="360" w:lineRule="auto"/>
        <w:jc w:val="both"/>
        <w:rPr>
          <w:rFonts w:ascii="Palatino Linotype" w:hAnsi="Palatino Linotype"/>
          <w:i/>
          <w:color w:val="000000" w:themeColor="text1"/>
          <w:sz w:val="22"/>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FF1CE3">
        <w:rPr>
          <w:rStyle w:val="Ttulo2Car"/>
          <w:rFonts w:ascii="Palatino Linotype" w:hAnsi="Palatino Linotype"/>
          <w:b/>
          <w:color w:val="000000" w:themeColor="text1"/>
          <w:sz w:val="22"/>
          <w:szCs w:val="24"/>
        </w:rPr>
        <w:t>Acto impugnado</w:t>
      </w:r>
      <w:bookmarkEnd w:id="3"/>
      <w:r w:rsidRPr="00FF1CE3">
        <w:rPr>
          <w:rStyle w:val="Ttulo2Car"/>
          <w:rFonts w:ascii="Palatino Linotype" w:hAnsi="Palatino Linotype"/>
          <w:b/>
          <w:color w:val="000000" w:themeColor="text1"/>
          <w:sz w:val="22"/>
          <w:szCs w:val="24"/>
        </w:rPr>
        <w:t xml:space="preserve">: </w:t>
      </w:r>
      <w:r w:rsidRPr="00FF1CE3">
        <w:rPr>
          <w:rStyle w:val="Ttulo2Car"/>
          <w:rFonts w:ascii="Palatino Linotype" w:hAnsi="Palatino Linotype"/>
          <w:i/>
          <w:color w:val="000000" w:themeColor="text1"/>
          <w:sz w:val="22"/>
          <w:szCs w:val="24"/>
        </w:rPr>
        <w:t>“</w:t>
      </w:r>
      <w:bookmarkEnd w:id="4"/>
      <w:bookmarkEnd w:id="5"/>
      <w:bookmarkEnd w:id="6"/>
      <w:bookmarkEnd w:id="7"/>
      <w:bookmarkEnd w:id="8"/>
      <w:bookmarkEnd w:id="9"/>
      <w:bookmarkEnd w:id="10"/>
      <w:r w:rsidR="00222E80" w:rsidRPr="00FF1CE3">
        <w:rPr>
          <w:rStyle w:val="Ttulo2Car"/>
          <w:rFonts w:ascii="Palatino Linotype" w:hAnsi="Palatino Linotype"/>
          <w:i/>
          <w:color w:val="000000" w:themeColor="text1"/>
          <w:sz w:val="22"/>
          <w:szCs w:val="24"/>
        </w:rPr>
        <w:t>NO ENTREGA INFORMACIÓN</w:t>
      </w:r>
      <w:r w:rsidRPr="00FF1CE3">
        <w:rPr>
          <w:rFonts w:ascii="Palatino Linotype" w:hAnsi="Palatino Linotype"/>
          <w:color w:val="000000" w:themeColor="text1"/>
          <w:sz w:val="22"/>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FF1CE3" w:rsidRDefault="009F09BC" w:rsidP="008644F6">
      <w:pPr>
        <w:spacing w:line="360" w:lineRule="auto"/>
        <w:jc w:val="both"/>
        <w:rPr>
          <w:rFonts w:ascii="Palatino Linotype" w:hAnsi="Palatino Linotype"/>
          <w:i/>
          <w:color w:val="000000" w:themeColor="text1"/>
          <w:sz w:val="22"/>
        </w:rPr>
      </w:pPr>
    </w:p>
    <w:p w:rsidR="009F09BC" w:rsidRPr="00FF1CE3" w:rsidRDefault="009F09BC" w:rsidP="008644F6">
      <w:pPr>
        <w:pStyle w:val="Prrafodelista"/>
        <w:numPr>
          <w:ilvl w:val="0"/>
          <w:numId w:val="23"/>
        </w:numPr>
        <w:spacing w:line="360" w:lineRule="auto"/>
        <w:jc w:val="both"/>
        <w:rPr>
          <w:rFonts w:ascii="Palatino Linotype" w:hAnsi="Palatino Linotype"/>
          <w:i/>
          <w:color w:val="000000" w:themeColor="text1"/>
          <w:sz w:val="22"/>
        </w:rPr>
      </w:pPr>
      <w:bookmarkStart w:id="127" w:name="_Toc53584977"/>
      <w:bookmarkStart w:id="128" w:name="_Toc60925404"/>
      <w:bookmarkStart w:id="129" w:name="_Toc81364834"/>
      <w:bookmarkStart w:id="130" w:name="_Toc81390611"/>
      <w:bookmarkStart w:id="131" w:name="_Toc82611034"/>
      <w:bookmarkStart w:id="132" w:name="_Toc83128577"/>
      <w:r w:rsidRPr="00FF1CE3">
        <w:rPr>
          <w:rStyle w:val="Ttulo2Car"/>
          <w:rFonts w:ascii="Palatino Linotype" w:hAnsi="Palatino Linotype"/>
          <w:b/>
          <w:color w:val="000000" w:themeColor="text1"/>
          <w:sz w:val="22"/>
          <w:szCs w:val="24"/>
        </w:rPr>
        <w:t>Razones o Motivos de inconformidad:</w:t>
      </w:r>
      <w:bookmarkEnd w:id="68"/>
      <w:bookmarkEnd w:id="127"/>
      <w:bookmarkEnd w:id="128"/>
      <w:bookmarkEnd w:id="129"/>
      <w:bookmarkEnd w:id="130"/>
      <w:bookmarkEnd w:id="131"/>
      <w:bookmarkEnd w:id="132"/>
      <w:r w:rsidRPr="00FF1CE3">
        <w:rPr>
          <w:rFonts w:ascii="Palatino Linotype" w:hAnsi="Palatino Linotype"/>
          <w:b/>
          <w:color w:val="000000" w:themeColor="text1"/>
          <w:sz w:val="22"/>
        </w:rPr>
        <w:t xml:space="preserve"> </w:t>
      </w:r>
      <w:r w:rsidRPr="00FF1CE3">
        <w:rPr>
          <w:rFonts w:ascii="Palatino Linotype" w:hAnsi="Palatino Linotype"/>
          <w:i/>
          <w:color w:val="000000" w:themeColor="text1"/>
          <w:sz w:val="22"/>
        </w:rPr>
        <w:t>“</w:t>
      </w:r>
      <w:r w:rsidR="00222E80" w:rsidRPr="00FF1CE3">
        <w:rPr>
          <w:rFonts w:ascii="Palatino Linotype" w:hAnsi="Palatino Linotype"/>
          <w:i/>
          <w:color w:val="000000" w:themeColor="text1"/>
          <w:sz w:val="22"/>
        </w:rPr>
        <w:t>NO ENTREGA INFORMACIÓN</w:t>
      </w:r>
      <w:r w:rsidRPr="00FF1CE3">
        <w:rPr>
          <w:rFonts w:ascii="Palatino Linotype" w:hAnsi="Palatino Linotype"/>
          <w:i/>
          <w:color w:val="000000" w:themeColor="text1"/>
          <w:sz w:val="22"/>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EB1CE2" w:rsidRPr="00FF1CE3" w:rsidRDefault="00EB1CE2" w:rsidP="008644F6">
      <w:pPr>
        <w:pStyle w:val="Prrafodelista"/>
        <w:spacing w:line="360" w:lineRule="auto"/>
        <w:jc w:val="both"/>
        <w:rPr>
          <w:rFonts w:ascii="Palatino Linotype" w:hAnsi="Palatino Linotype"/>
          <w:i/>
          <w:color w:val="000000" w:themeColor="text1"/>
          <w:sz w:val="22"/>
        </w:rPr>
      </w:pPr>
    </w:p>
    <w:p w:rsidR="009F09BC" w:rsidRPr="008644F6" w:rsidRDefault="00CC5B2F" w:rsidP="008644F6">
      <w:pPr>
        <w:pStyle w:val="Prrafodelista"/>
        <w:numPr>
          <w:ilvl w:val="0"/>
          <w:numId w:val="15"/>
        </w:numPr>
        <w:spacing w:line="360" w:lineRule="auto"/>
        <w:ind w:left="0" w:firstLine="0"/>
        <w:jc w:val="both"/>
        <w:rPr>
          <w:rFonts w:ascii="Palatino Linotype" w:hAnsi="Palatino Linotype"/>
          <w:i/>
          <w:color w:val="000000" w:themeColor="text1"/>
        </w:rPr>
      </w:pPr>
      <w:r w:rsidRPr="008644F6">
        <w:rPr>
          <w:rFonts w:ascii="Palatino Linotype" w:eastAsia="Calibri" w:hAnsi="Palatino Linotype" w:cs="Arial"/>
          <w:color w:val="000000" w:themeColor="text1"/>
          <w:lang w:val="es-ES"/>
        </w:rPr>
        <w:lastRenderedPageBreak/>
        <w:t>La Comisionada</w:t>
      </w:r>
      <w:r w:rsidR="009F09BC" w:rsidRPr="008644F6">
        <w:rPr>
          <w:rFonts w:ascii="Palatino Linotype" w:eastAsia="Calibri" w:hAnsi="Palatino Linotype" w:cs="Arial"/>
          <w:color w:val="000000" w:themeColor="text1"/>
          <w:lang w:val="es-ES"/>
        </w:rPr>
        <w:t xml:space="preserve"> Ponente con fundamento en lo dispuesto por el artículo 185 fracción II de la ley de la materia, a través del acuerdo de admisión de fecha </w:t>
      </w:r>
      <w:r w:rsidR="002B65A0">
        <w:rPr>
          <w:rFonts w:ascii="Palatino Linotype" w:eastAsia="Calibri" w:hAnsi="Palatino Linotype" w:cs="Arial"/>
          <w:color w:val="000000" w:themeColor="text1"/>
          <w:lang w:val="es-ES"/>
        </w:rPr>
        <w:t>veintiocho</w:t>
      </w:r>
      <w:r w:rsidR="006313B5" w:rsidRPr="008644F6">
        <w:rPr>
          <w:rFonts w:ascii="Palatino Linotype" w:eastAsia="Calibri" w:hAnsi="Palatino Linotype" w:cs="Arial"/>
          <w:color w:val="000000" w:themeColor="text1"/>
          <w:lang w:val="es-ES"/>
        </w:rPr>
        <w:t xml:space="preserve"> </w:t>
      </w:r>
      <w:r w:rsidR="004D465B" w:rsidRPr="008644F6">
        <w:rPr>
          <w:rFonts w:ascii="Palatino Linotype" w:eastAsia="Calibri" w:hAnsi="Palatino Linotype" w:cs="Arial"/>
          <w:color w:val="000000" w:themeColor="text1"/>
          <w:lang w:val="es-ES"/>
        </w:rPr>
        <w:t xml:space="preserve">de </w:t>
      </w:r>
      <w:r w:rsidR="006313B5" w:rsidRPr="008644F6">
        <w:rPr>
          <w:rFonts w:ascii="Palatino Linotype" w:eastAsia="Calibri" w:hAnsi="Palatino Linotype" w:cs="Arial"/>
          <w:color w:val="000000" w:themeColor="text1"/>
          <w:lang w:val="es-ES"/>
        </w:rPr>
        <w:t>agost</w:t>
      </w:r>
      <w:r w:rsidR="004D465B" w:rsidRPr="008644F6">
        <w:rPr>
          <w:rFonts w:ascii="Palatino Linotype" w:eastAsia="Calibri" w:hAnsi="Palatino Linotype" w:cs="Arial"/>
          <w:color w:val="000000" w:themeColor="text1"/>
          <w:lang w:val="es-ES"/>
        </w:rPr>
        <w:t>o</w:t>
      </w:r>
      <w:r w:rsidR="009F09BC" w:rsidRPr="008644F6">
        <w:rPr>
          <w:rFonts w:ascii="Palatino Linotype" w:eastAsia="Calibri" w:hAnsi="Palatino Linotype" w:cs="Arial"/>
          <w:color w:val="000000" w:themeColor="text1"/>
          <w:lang w:val="es-ES"/>
        </w:rPr>
        <w:t xml:space="preserve"> del año en curso, puso a disposición de las partes el expediente electrónico </w:t>
      </w:r>
      <w:r w:rsidR="009F09BC" w:rsidRPr="008644F6">
        <w:rPr>
          <w:rFonts w:ascii="Palatino Linotype" w:eastAsia="Calibri" w:hAnsi="Palatino Linotype" w:cs="Arial"/>
          <w:color w:val="000000" w:themeColor="text1"/>
        </w:rPr>
        <w:t xml:space="preserve">vía </w:t>
      </w:r>
      <w:r w:rsidR="009F09BC" w:rsidRPr="008644F6">
        <w:rPr>
          <w:rFonts w:ascii="Palatino Linotype" w:eastAsia="Calibri" w:hAnsi="Palatino Linotype" w:cs="Arial"/>
          <w:b/>
          <w:color w:val="000000" w:themeColor="text1"/>
          <w:lang w:val="es-ES"/>
        </w:rPr>
        <w:t xml:space="preserve">SAIMEX </w:t>
      </w:r>
      <w:r w:rsidR="009F09BC" w:rsidRPr="008644F6">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009F09BC" w:rsidRPr="008644F6">
        <w:rPr>
          <w:rFonts w:ascii="Palatino Linotype" w:eastAsia="Calibri" w:hAnsi="Palatino Linotype" w:cs="Arial"/>
          <w:b/>
          <w:color w:val="000000" w:themeColor="text1"/>
          <w:lang w:val="es-ES"/>
        </w:rPr>
        <w:t>SUJETO OBLIGADO</w:t>
      </w:r>
      <w:r w:rsidR="009F09BC" w:rsidRPr="008644F6">
        <w:rPr>
          <w:rFonts w:ascii="Palatino Linotype" w:eastAsia="Calibri" w:hAnsi="Palatino Linotype" w:cs="Arial"/>
          <w:color w:val="000000" w:themeColor="text1"/>
          <w:lang w:val="es-ES"/>
        </w:rPr>
        <w:t xml:space="preserve"> presentará el Informe Justificado procedente.</w:t>
      </w:r>
    </w:p>
    <w:p w:rsidR="009F09BC" w:rsidRPr="008644F6" w:rsidRDefault="009F09BC" w:rsidP="008644F6">
      <w:pPr>
        <w:pStyle w:val="Prrafodelista"/>
        <w:spacing w:line="360" w:lineRule="auto"/>
        <w:ind w:left="0"/>
        <w:jc w:val="both"/>
        <w:rPr>
          <w:rFonts w:ascii="Palatino Linotype" w:hAnsi="Palatino Linotype"/>
          <w:color w:val="000000" w:themeColor="text1"/>
        </w:rPr>
      </w:pPr>
    </w:p>
    <w:p w:rsidR="009F09BC" w:rsidRPr="008644F6" w:rsidRDefault="009F09BC" w:rsidP="008644F6">
      <w:pPr>
        <w:pStyle w:val="Prrafodelista"/>
        <w:numPr>
          <w:ilvl w:val="0"/>
          <w:numId w:val="15"/>
        </w:numPr>
        <w:spacing w:line="360" w:lineRule="auto"/>
        <w:ind w:left="0" w:firstLine="0"/>
        <w:jc w:val="both"/>
        <w:rPr>
          <w:rFonts w:ascii="Palatino Linotype" w:hAnsi="Palatino Linotype"/>
          <w:color w:val="000000" w:themeColor="text1"/>
        </w:rPr>
      </w:pPr>
      <w:r w:rsidRPr="008644F6">
        <w:rPr>
          <w:rFonts w:ascii="Palatino Linotype" w:hAnsi="Palatino Linotype"/>
          <w:color w:val="000000" w:themeColor="text1"/>
        </w:rPr>
        <w:t xml:space="preserve">El </w:t>
      </w:r>
      <w:r w:rsidRPr="008644F6">
        <w:rPr>
          <w:rFonts w:ascii="Palatino Linotype" w:hAnsi="Palatino Linotype"/>
          <w:b/>
          <w:color w:val="000000" w:themeColor="text1"/>
        </w:rPr>
        <w:t xml:space="preserve">SUJETO </w:t>
      </w:r>
      <w:r w:rsidRPr="008644F6">
        <w:rPr>
          <w:rFonts w:ascii="Palatino Linotype" w:eastAsia="Calibri" w:hAnsi="Palatino Linotype" w:cs="Arial"/>
          <w:b/>
          <w:color w:val="000000" w:themeColor="text1"/>
          <w:lang w:val="es-ES"/>
        </w:rPr>
        <w:t>OBLIGADO</w:t>
      </w:r>
      <w:r w:rsidR="007A6A1A" w:rsidRPr="008644F6">
        <w:rPr>
          <w:rFonts w:ascii="Palatino Linotype" w:hAnsi="Palatino Linotype"/>
          <w:color w:val="000000" w:themeColor="text1"/>
        </w:rPr>
        <w:t xml:space="preserve"> </w:t>
      </w:r>
      <w:r w:rsidR="006313B5" w:rsidRPr="008644F6">
        <w:rPr>
          <w:rFonts w:ascii="Palatino Linotype" w:hAnsi="Palatino Linotype"/>
          <w:color w:val="000000" w:themeColor="text1"/>
        </w:rPr>
        <w:t xml:space="preserve">fue omiso en rendir el informe justificado correspondiente. </w:t>
      </w:r>
      <w:r w:rsidRPr="008644F6">
        <w:rPr>
          <w:rFonts w:ascii="Palatino Linotype" w:hAnsi="Palatino Linotype"/>
          <w:color w:val="000000" w:themeColor="text1"/>
        </w:rPr>
        <w:t xml:space="preserve">Por su parte </w:t>
      </w:r>
      <w:r w:rsidR="00A56791" w:rsidRPr="008644F6">
        <w:rPr>
          <w:rFonts w:ascii="Palatino Linotype" w:hAnsi="Palatino Linotype"/>
          <w:b/>
          <w:color w:val="000000" w:themeColor="text1"/>
        </w:rPr>
        <w:t>EL</w:t>
      </w:r>
      <w:r w:rsidRPr="008644F6">
        <w:rPr>
          <w:rFonts w:ascii="Palatino Linotype" w:hAnsi="Palatino Linotype"/>
          <w:b/>
          <w:color w:val="000000" w:themeColor="text1"/>
        </w:rPr>
        <w:t xml:space="preserve"> PARTICULAR </w:t>
      </w:r>
      <w:r w:rsidR="00D5729F" w:rsidRPr="008644F6">
        <w:rPr>
          <w:rFonts w:ascii="Palatino Linotype" w:hAnsi="Palatino Linotype"/>
          <w:color w:val="000000" w:themeColor="text1"/>
        </w:rPr>
        <w:t>fue omiso</w:t>
      </w:r>
      <w:r w:rsidR="00267A08" w:rsidRPr="008644F6">
        <w:rPr>
          <w:rFonts w:ascii="Palatino Linotype" w:hAnsi="Palatino Linotype"/>
          <w:color w:val="000000" w:themeColor="text1"/>
        </w:rPr>
        <w:t xml:space="preserve"> en realizar manifestaciones que a su derecho conviniera y asistiera</w:t>
      </w:r>
      <w:r w:rsidRPr="008644F6">
        <w:rPr>
          <w:rFonts w:ascii="Palatino Linotype" w:hAnsi="Palatino Linotype"/>
          <w:color w:val="000000" w:themeColor="text1"/>
        </w:rPr>
        <w:t>.</w:t>
      </w:r>
    </w:p>
    <w:p w:rsidR="00ED6E75" w:rsidRPr="008644F6" w:rsidRDefault="00ED6E75" w:rsidP="008644F6">
      <w:pPr>
        <w:pStyle w:val="Prrafodelista"/>
        <w:spacing w:line="360" w:lineRule="auto"/>
        <w:ind w:left="0"/>
        <w:jc w:val="both"/>
        <w:rPr>
          <w:rFonts w:ascii="Palatino Linotype" w:hAnsi="Palatino Linotype"/>
          <w:color w:val="000000" w:themeColor="text1"/>
        </w:rPr>
      </w:pPr>
    </w:p>
    <w:p w:rsidR="00A56791" w:rsidRPr="008644F6" w:rsidRDefault="007601B1" w:rsidP="008644F6">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8644F6">
        <w:rPr>
          <w:rFonts w:ascii="Palatino Linotype" w:hAnsi="Palatino Linotype"/>
          <w:color w:val="000000" w:themeColor="text1"/>
        </w:rPr>
        <w:t xml:space="preserve">Finalmente </w:t>
      </w:r>
      <w:r w:rsidR="00D367B4" w:rsidRPr="008644F6">
        <w:rPr>
          <w:rFonts w:ascii="Palatino Linotype" w:hAnsi="Palatino Linotype"/>
          <w:color w:val="000000" w:themeColor="text1"/>
        </w:rPr>
        <w:t xml:space="preserve">mediante acuerdo de día </w:t>
      </w:r>
      <w:r w:rsidR="002B65A0">
        <w:rPr>
          <w:rFonts w:ascii="Palatino Linotype" w:hAnsi="Palatino Linotype"/>
          <w:color w:val="000000" w:themeColor="text1"/>
        </w:rPr>
        <w:t>cator</w:t>
      </w:r>
      <w:r w:rsidR="00BD0DDD" w:rsidRPr="008644F6">
        <w:rPr>
          <w:rFonts w:ascii="Palatino Linotype" w:hAnsi="Palatino Linotype"/>
          <w:color w:val="000000" w:themeColor="text1"/>
        </w:rPr>
        <w:t>ce</w:t>
      </w:r>
      <w:r w:rsidR="006313B5" w:rsidRPr="008644F6">
        <w:rPr>
          <w:rFonts w:ascii="Palatino Linotype" w:hAnsi="Palatino Linotype"/>
          <w:color w:val="000000" w:themeColor="text1"/>
        </w:rPr>
        <w:t xml:space="preserve"> de septiembre del año en curso, se</w:t>
      </w:r>
      <w:r w:rsidR="0001674C" w:rsidRPr="008644F6">
        <w:rPr>
          <w:rFonts w:ascii="Palatino Linotype" w:hAnsi="Palatino Linotype"/>
          <w:color w:val="000000" w:themeColor="text1"/>
        </w:rPr>
        <w:t xml:space="preserve"> d</w:t>
      </w:r>
      <w:r w:rsidR="006672E1" w:rsidRPr="008644F6">
        <w:rPr>
          <w:rFonts w:ascii="Palatino Linotype" w:hAnsi="Palatino Linotype"/>
          <w:color w:val="000000" w:themeColor="text1"/>
        </w:rPr>
        <w:t>ecretó el cierre de instrucción</w:t>
      </w:r>
      <w:r w:rsidR="0001674C" w:rsidRPr="008644F6">
        <w:rPr>
          <w:rFonts w:ascii="Palatino Linotype" w:hAnsi="Palatino Linotype"/>
          <w:color w:val="000000" w:themeColor="text1"/>
        </w:rPr>
        <w:t xml:space="preserve">, </w:t>
      </w:r>
      <w:r w:rsidR="009F09BC" w:rsidRPr="008644F6">
        <w:rPr>
          <w:rFonts w:ascii="Palatino Linotype" w:hAnsi="Palatino Linotype" w:cs="Arial"/>
          <w:color w:val="000000" w:themeColor="text1"/>
        </w:rPr>
        <w:t>por lo que no habie</w:t>
      </w:r>
      <w:r w:rsidR="002B65A0">
        <w:rPr>
          <w:rFonts w:ascii="Palatino Linotype" w:hAnsi="Palatino Linotype" w:cs="Arial"/>
          <w:color w:val="000000" w:themeColor="text1"/>
        </w:rPr>
        <w:t xml:space="preserve">ndo más que hacer constar, y </w:t>
      </w:r>
    </w:p>
    <w:p w:rsidR="007601B1" w:rsidRPr="008644F6" w:rsidRDefault="007601B1" w:rsidP="008644F6">
      <w:pPr>
        <w:pStyle w:val="Prrafodelista"/>
        <w:spacing w:line="360" w:lineRule="auto"/>
        <w:jc w:val="both"/>
        <w:rPr>
          <w:rFonts w:ascii="Palatino Linotype" w:hAnsi="Palatino Linotype"/>
          <w:b/>
          <w:color w:val="000000" w:themeColor="text1"/>
        </w:rPr>
      </w:pPr>
    </w:p>
    <w:p w:rsidR="009F09BC" w:rsidRPr="008644F6" w:rsidRDefault="009F09BC" w:rsidP="008644F6">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8644F6">
        <w:rPr>
          <w:rFonts w:ascii="Palatino Linotype" w:hAnsi="Palatino Linotype"/>
          <w:b/>
          <w:color w:val="000000" w:themeColor="text1"/>
          <w:sz w:val="24"/>
          <w:szCs w:val="24"/>
        </w:rPr>
        <w:t>CONSIDERANDO</w:t>
      </w:r>
      <w:bookmarkEnd w:id="133"/>
      <w:bookmarkEnd w:id="134"/>
    </w:p>
    <w:p w:rsidR="009F09BC" w:rsidRPr="008644F6" w:rsidRDefault="009F09BC" w:rsidP="008644F6">
      <w:pPr>
        <w:spacing w:line="360" w:lineRule="auto"/>
        <w:jc w:val="center"/>
        <w:rPr>
          <w:rFonts w:ascii="Palatino Linotype" w:hAnsi="Palatino Linotype"/>
          <w:color w:val="000000" w:themeColor="text1"/>
          <w:lang w:val="es-MX" w:eastAsia="en-US"/>
        </w:rPr>
      </w:pPr>
    </w:p>
    <w:p w:rsidR="009F09BC" w:rsidRPr="008644F6" w:rsidRDefault="009F09BC" w:rsidP="008644F6">
      <w:pPr>
        <w:pStyle w:val="Ttulo2"/>
        <w:spacing w:before="0" w:line="360" w:lineRule="auto"/>
        <w:jc w:val="both"/>
        <w:rPr>
          <w:rFonts w:ascii="Palatino Linotype" w:hAnsi="Palatino Linotype"/>
          <w:b/>
          <w:color w:val="000000" w:themeColor="text1"/>
          <w:sz w:val="24"/>
          <w:szCs w:val="24"/>
        </w:rPr>
      </w:pPr>
      <w:bookmarkStart w:id="135" w:name="_Toc491791303"/>
      <w:bookmarkStart w:id="136" w:name="_Toc83128579"/>
      <w:r w:rsidRPr="008644F6">
        <w:rPr>
          <w:rFonts w:ascii="Palatino Linotype" w:hAnsi="Palatino Linotype"/>
          <w:b/>
          <w:color w:val="000000" w:themeColor="text1"/>
          <w:sz w:val="24"/>
          <w:szCs w:val="24"/>
        </w:rPr>
        <w:t>PRIMERO. De la competencia</w:t>
      </w:r>
      <w:bookmarkEnd w:id="135"/>
      <w:bookmarkEnd w:id="136"/>
    </w:p>
    <w:p w:rsidR="009F09BC" w:rsidRPr="008644F6" w:rsidRDefault="009F09BC" w:rsidP="008644F6">
      <w:pPr>
        <w:spacing w:line="360" w:lineRule="auto"/>
        <w:jc w:val="both"/>
        <w:rPr>
          <w:rFonts w:ascii="Palatino Linotype" w:hAnsi="Palatino Linotype"/>
          <w:color w:val="000000" w:themeColor="text1"/>
          <w:lang w:val="es-MX" w:eastAsia="en-US"/>
        </w:rPr>
      </w:pPr>
    </w:p>
    <w:p w:rsidR="00353F1D" w:rsidRPr="008644F6" w:rsidRDefault="006313B5" w:rsidP="008644F6">
      <w:pPr>
        <w:pStyle w:val="Prrafodelista"/>
        <w:numPr>
          <w:ilvl w:val="0"/>
          <w:numId w:val="15"/>
        </w:numPr>
        <w:spacing w:line="360" w:lineRule="auto"/>
        <w:ind w:left="0" w:firstLine="0"/>
        <w:jc w:val="both"/>
        <w:rPr>
          <w:rFonts w:ascii="Palatino Linotype" w:hAnsi="Palatino Linotype"/>
          <w:color w:val="000000" w:themeColor="text1"/>
        </w:rPr>
      </w:pPr>
      <w:r w:rsidRPr="008644F6">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8644F6">
        <w:rPr>
          <w:rFonts w:ascii="Palatino Linotype" w:eastAsia="Calibri" w:hAnsi="Palatino Linotype" w:cs="Arial"/>
          <w:color w:val="000000" w:themeColor="text1"/>
        </w:rPr>
        <w:t>fracción</w:t>
      </w:r>
      <w:r w:rsidRPr="008644F6">
        <w:rPr>
          <w:rFonts w:ascii="Palatino Linotype" w:hAnsi="Palatino Linotype"/>
        </w:rPr>
        <w:t xml:space="preserve"> IV de la Constitución Política de los Estados Unidos Mexicanos; 5, párrafos trigésimo segundo, trigésimo tercero y trigésimo cuarto, fracciones IV y V, de la </w:t>
      </w:r>
      <w:r w:rsidRPr="008644F6">
        <w:rPr>
          <w:rFonts w:ascii="Palatino Linotype" w:hAnsi="Palatino Linotype"/>
        </w:rPr>
        <w:lastRenderedPageBreak/>
        <w:t>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9F09BC" w:rsidRPr="008644F6" w:rsidRDefault="009F09BC" w:rsidP="008644F6">
      <w:pPr>
        <w:pStyle w:val="Prrafodelista"/>
        <w:spacing w:line="360" w:lineRule="auto"/>
        <w:ind w:left="0"/>
        <w:jc w:val="both"/>
        <w:rPr>
          <w:rFonts w:ascii="Palatino Linotype" w:eastAsia="Calibri" w:hAnsi="Palatino Linotype" w:cs="Times New Roman"/>
          <w:b/>
          <w:color w:val="000000" w:themeColor="text1"/>
          <w:lang w:val="es-ES"/>
        </w:rPr>
      </w:pPr>
    </w:p>
    <w:p w:rsidR="009F09BC" w:rsidRPr="008644F6" w:rsidRDefault="009F09BC" w:rsidP="008644F6">
      <w:pPr>
        <w:pStyle w:val="Ttulo2"/>
        <w:spacing w:before="0" w:line="360" w:lineRule="auto"/>
        <w:jc w:val="both"/>
        <w:rPr>
          <w:rFonts w:ascii="Palatino Linotype" w:hAnsi="Palatino Linotype"/>
          <w:b/>
          <w:color w:val="000000" w:themeColor="text1"/>
          <w:sz w:val="24"/>
          <w:szCs w:val="24"/>
        </w:rPr>
      </w:pPr>
      <w:bookmarkStart w:id="137" w:name="_Toc491791304"/>
      <w:bookmarkStart w:id="138" w:name="_Toc83128580"/>
      <w:r w:rsidRPr="008644F6">
        <w:rPr>
          <w:rFonts w:ascii="Palatino Linotype" w:hAnsi="Palatino Linotype"/>
          <w:b/>
          <w:color w:val="000000" w:themeColor="text1"/>
          <w:sz w:val="24"/>
          <w:szCs w:val="24"/>
        </w:rPr>
        <w:t>SEGUNDO. De la oportunidad y procedencia.</w:t>
      </w:r>
      <w:bookmarkEnd w:id="137"/>
      <w:bookmarkEnd w:id="138"/>
    </w:p>
    <w:p w:rsidR="00A56791" w:rsidRPr="008644F6" w:rsidRDefault="00A56791" w:rsidP="008644F6">
      <w:pPr>
        <w:spacing w:line="360" w:lineRule="auto"/>
        <w:jc w:val="both"/>
        <w:rPr>
          <w:rFonts w:ascii="Palatino Linotype" w:hAnsi="Palatino Linotype"/>
        </w:rPr>
      </w:pPr>
    </w:p>
    <w:p w:rsidR="009F09BC" w:rsidRPr="008644F6" w:rsidRDefault="00425842" w:rsidP="008644F6">
      <w:pPr>
        <w:pStyle w:val="Prrafodelista"/>
        <w:numPr>
          <w:ilvl w:val="0"/>
          <w:numId w:val="15"/>
        </w:numPr>
        <w:spacing w:line="360" w:lineRule="auto"/>
        <w:ind w:left="0" w:firstLine="0"/>
        <w:jc w:val="both"/>
        <w:rPr>
          <w:rFonts w:ascii="Palatino Linotype" w:hAnsi="Palatino Linotype"/>
          <w:color w:val="000000" w:themeColor="text1"/>
        </w:rPr>
      </w:pPr>
      <w:r w:rsidRPr="008644F6">
        <w:rPr>
          <w:rFonts w:ascii="Palatino Linotype" w:eastAsia="Calibri" w:hAnsi="Palatino Linotype" w:cs="Arial"/>
          <w:color w:val="000000" w:themeColor="text1"/>
        </w:rPr>
        <w:t>El</w:t>
      </w:r>
      <w:r w:rsidR="00AD63B4" w:rsidRPr="008644F6">
        <w:rPr>
          <w:rFonts w:ascii="Palatino Linotype" w:eastAsia="Calibri" w:hAnsi="Palatino Linotype" w:cs="Arial"/>
          <w:color w:val="000000" w:themeColor="text1"/>
        </w:rPr>
        <w:t xml:space="preserve"> </w:t>
      </w:r>
      <w:r w:rsidR="009F09BC" w:rsidRPr="008644F6">
        <w:rPr>
          <w:rFonts w:ascii="Palatino Linotype" w:eastAsia="Calibri" w:hAnsi="Palatino Linotype" w:cs="Arial"/>
          <w:color w:val="000000" w:themeColor="text1"/>
        </w:rPr>
        <w:t xml:space="preserve">medio de impugnación fue presentado a través del </w:t>
      </w:r>
      <w:r w:rsidR="009F09BC" w:rsidRPr="008644F6">
        <w:rPr>
          <w:rFonts w:ascii="Palatino Linotype" w:eastAsia="Calibri" w:hAnsi="Palatino Linotype" w:cs="Arial"/>
          <w:b/>
          <w:color w:val="000000" w:themeColor="text1"/>
        </w:rPr>
        <w:t>SAIMEX,</w:t>
      </w:r>
      <w:r w:rsidR="009F09BC" w:rsidRPr="008644F6">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009F09BC" w:rsidRPr="008644F6">
        <w:rPr>
          <w:rFonts w:ascii="Palatino Linotype" w:eastAsia="Calibri" w:hAnsi="Palatino Linotype" w:cs="Arial"/>
          <w:b/>
          <w:color w:val="000000" w:themeColor="text1"/>
        </w:rPr>
        <w:t>SUJETO OBLIGADO</w:t>
      </w:r>
      <w:r w:rsidRPr="008644F6">
        <w:rPr>
          <w:rFonts w:ascii="Palatino Linotype" w:eastAsia="Calibri" w:hAnsi="Palatino Linotype" w:cs="Arial"/>
          <w:color w:val="000000" w:themeColor="text1"/>
        </w:rPr>
        <w:t xml:space="preserve"> entregó su</w:t>
      </w:r>
      <w:r w:rsidR="009F09BC" w:rsidRPr="008644F6">
        <w:rPr>
          <w:rFonts w:ascii="Palatino Linotype" w:eastAsia="Calibri" w:hAnsi="Palatino Linotype" w:cs="Arial"/>
          <w:color w:val="000000" w:themeColor="text1"/>
        </w:rPr>
        <w:t xml:space="preserve"> respuesta </w:t>
      </w:r>
      <w:r w:rsidRPr="008644F6">
        <w:rPr>
          <w:rFonts w:ascii="Palatino Linotype" w:eastAsia="Calibri" w:hAnsi="Palatino Linotype" w:cs="Arial"/>
          <w:color w:val="000000" w:themeColor="text1"/>
        </w:rPr>
        <w:t>e</w:t>
      </w:r>
      <w:r w:rsidR="00E55966" w:rsidRPr="008644F6">
        <w:rPr>
          <w:rFonts w:ascii="Palatino Linotype" w:eastAsia="Calibri" w:hAnsi="Palatino Linotype" w:cs="Arial"/>
          <w:color w:val="000000" w:themeColor="text1"/>
        </w:rPr>
        <w:t xml:space="preserve">l </w:t>
      </w:r>
      <w:r w:rsidR="002B65A0" w:rsidRPr="008644F6">
        <w:rPr>
          <w:rFonts w:ascii="Palatino Linotype" w:eastAsia="Calibri" w:hAnsi="Palatino Linotype" w:cs="Arial"/>
          <w:color w:val="000000" w:themeColor="text1"/>
        </w:rPr>
        <w:t>veinti</w:t>
      </w:r>
      <w:r w:rsidR="002B65A0">
        <w:rPr>
          <w:rFonts w:ascii="Palatino Linotype" w:eastAsia="Calibri" w:hAnsi="Palatino Linotype" w:cs="Arial"/>
          <w:color w:val="000000" w:themeColor="text1"/>
        </w:rPr>
        <w:t>trés</w:t>
      </w:r>
      <w:r w:rsidR="00EE150A" w:rsidRPr="008644F6">
        <w:rPr>
          <w:rFonts w:ascii="Palatino Linotype" w:eastAsia="Calibri" w:hAnsi="Palatino Linotype" w:cs="Arial"/>
          <w:color w:val="000000" w:themeColor="text1"/>
        </w:rPr>
        <w:t xml:space="preserve"> </w:t>
      </w:r>
      <w:r w:rsidR="006313B5" w:rsidRPr="008644F6">
        <w:rPr>
          <w:rFonts w:ascii="Palatino Linotype" w:eastAsia="Calibri" w:hAnsi="Palatino Linotype" w:cs="Arial"/>
          <w:color w:val="000000" w:themeColor="text1"/>
        </w:rPr>
        <w:t>de agost</w:t>
      </w:r>
      <w:r w:rsidR="00EB1CE2" w:rsidRPr="008644F6">
        <w:rPr>
          <w:rFonts w:ascii="Palatino Linotype" w:eastAsia="Calibri" w:hAnsi="Palatino Linotype" w:cs="Arial"/>
          <w:color w:val="000000" w:themeColor="text1"/>
        </w:rPr>
        <w:t>o</w:t>
      </w:r>
      <w:r w:rsidRPr="008644F6">
        <w:rPr>
          <w:rFonts w:ascii="Palatino Linotype" w:eastAsia="Calibri" w:hAnsi="Palatino Linotype" w:cs="Arial"/>
          <w:color w:val="000000" w:themeColor="text1"/>
        </w:rPr>
        <w:t xml:space="preserve"> de dos mil </w:t>
      </w:r>
      <w:r w:rsidR="004D465B" w:rsidRPr="008644F6">
        <w:rPr>
          <w:rFonts w:ascii="Palatino Linotype" w:eastAsia="Calibri" w:hAnsi="Palatino Linotype" w:cs="Arial"/>
          <w:color w:val="000000" w:themeColor="text1"/>
        </w:rPr>
        <w:t>veintitrés</w:t>
      </w:r>
      <w:r w:rsidR="009F09BC" w:rsidRPr="008644F6">
        <w:rPr>
          <w:rFonts w:ascii="Palatino Linotype" w:eastAsia="Calibri" w:hAnsi="Palatino Linotype" w:cs="Arial"/>
          <w:color w:val="000000" w:themeColor="text1"/>
        </w:rPr>
        <w:t xml:space="preserve">, </w:t>
      </w:r>
      <w:r w:rsidR="009F09BC" w:rsidRPr="008644F6">
        <w:rPr>
          <w:rFonts w:ascii="Palatino Linotype" w:hAnsi="Palatino Linotype" w:cs="Arial"/>
          <w:color w:val="000000" w:themeColor="text1"/>
        </w:rPr>
        <w:t xml:space="preserve">de tal forma que </w:t>
      </w:r>
      <w:r w:rsidRPr="008644F6">
        <w:rPr>
          <w:rFonts w:ascii="Palatino Linotype" w:hAnsi="Palatino Linotype" w:cs="Arial"/>
          <w:color w:val="000000" w:themeColor="text1"/>
        </w:rPr>
        <w:t>e</w:t>
      </w:r>
      <w:r w:rsidR="009F09BC" w:rsidRPr="008644F6">
        <w:rPr>
          <w:rFonts w:ascii="Palatino Linotype" w:hAnsi="Palatino Linotype" w:cs="Arial"/>
          <w:color w:val="000000" w:themeColor="text1"/>
        </w:rPr>
        <w:t xml:space="preserve">l plazo para interponer </w:t>
      </w:r>
      <w:r w:rsidRPr="008644F6">
        <w:rPr>
          <w:rFonts w:ascii="Palatino Linotype" w:hAnsi="Palatino Linotype" w:cs="Arial"/>
          <w:color w:val="000000" w:themeColor="text1"/>
        </w:rPr>
        <w:t>e</w:t>
      </w:r>
      <w:r w:rsidR="009F09BC" w:rsidRPr="008644F6">
        <w:rPr>
          <w:rFonts w:ascii="Palatino Linotype" w:hAnsi="Palatino Linotype" w:cs="Arial"/>
          <w:color w:val="000000" w:themeColor="text1"/>
        </w:rPr>
        <w:t xml:space="preserve">l recurso de revisión </w:t>
      </w:r>
      <w:r w:rsidRPr="008644F6">
        <w:rPr>
          <w:rFonts w:ascii="Palatino Linotype" w:hAnsi="Palatino Linotype" w:cs="Arial"/>
          <w:color w:val="000000" w:themeColor="text1"/>
        </w:rPr>
        <w:t>transcurrió</w:t>
      </w:r>
      <w:r w:rsidR="009F09BC" w:rsidRPr="008644F6">
        <w:rPr>
          <w:rFonts w:ascii="Palatino Linotype" w:hAnsi="Palatino Linotype" w:cs="Arial"/>
          <w:color w:val="000000" w:themeColor="text1"/>
        </w:rPr>
        <w:t xml:space="preserve"> del día </w:t>
      </w:r>
      <w:r w:rsidR="00EE150A" w:rsidRPr="008644F6">
        <w:rPr>
          <w:rFonts w:ascii="Palatino Linotype" w:hAnsi="Palatino Linotype" w:cs="Arial"/>
          <w:color w:val="000000" w:themeColor="text1"/>
        </w:rPr>
        <w:t>veinti</w:t>
      </w:r>
      <w:r w:rsidR="002B65A0">
        <w:rPr>
          <w:rFonts w:ascii="Palatino Linotype" w:hAnsi="Palatino Linotype" w:cs="Arial"/>
          <w:color w:val="000000" w:themeColor="text1"/>
        </w:rPr>
        <w:t>cuatro</w:t>
      </w:r>
      <w:r w:rsidR="00EB1CE2" w:rsidRPr="008644F6">
        <w:rPr>
          <w:rFonts w:ascii="Palatino Linotype" w:hAnsi="Palatino Linotype" w:cs="Arial"/>
          <w:color w:val="000000" w:themeColor="text1"/>
        </w:rPr>
        <w:t xml:space="preserve"> de </w:t>
      </w:r>
      <w:r w:rsidR="006313B5" w:rsidRPr="008644F6">
        <w:rPr>
          <w:rFonts w:ascii="Palatino Linotype" w:hAnsi="Palatino Linotype" w:cs="Arial"/>
          <w:color w:val="000000" w:themeColor="text1"/>
        </w:rPr>
        <w:t>agost</w:t>
      </w:r>
      <w:r w:rsidR="00EB1CE2" w:rsidRPr="008644F6">
        <w:rPr>
          <w:rFonts w:ascii="Palatino Linotype" w:hAnsi="Palatino Linotype" w:cs="Arial"/>
          <w:color w:val="000000" w:themeColor="text1"/>
        </w:rPr>
        <w:t xml:space="preserve">o </w:t>
      </w:r>
      <w:r w:rsidR="00E55966" w:rsidRPr="008644F6">
        <w:rPr>
          <w:rFonts w:ascii="Palatino Linotype" w:hAnsi="Palatino Linotype" w:cs="Arial"/>
          <w:color w:val="000000" w:themeColor="text1"/>
        </w:rPr>
        <w:t xml:space="preserve">al </w:t>
      </w:r>
      <w:r w:rsidR="002B65A0">
        <w:rPr>
          <w:rFonts w:ascii="Palatino Linotype" w:hAnsi="Palatino Linotype" w:cs="Arial"/>
          <w:color w:val="000000" w:themeColor="text1"/>
        </w:rPr>
        <w:t>trece</w:t>
      </w:r>
      <w:r w:rsidR="00EB1CE2" w:rsidRPr="008644F6">
        <w:rPr>
          <w:rFonts w:ascii="Palatino Linotype" w:hAnsi="Palatino Linotype" w:cs="Arial"/>
          <w:color w:val="000000" w:themeColor="text1"/>
        </w:rPr>
        <w:t xml:space="preserve"> de </w:t>
      </w:r>
      <w:r w:rsidR="006313B5" w:rsidRPr="008644F6">
        <w:rPr>
          <w:rFonts w:ascii="Palatino Linotype" w:hAnsi="Palatino Linotype" w:cs="Arial"/>
          <w:color w:val="000000" w:themeColor="text1"/>
        </w:rPr>
        <w:t>septiembre</w:t>
      </w:r>
      <w:r w:rsidR="0001674C" w:rsidRPr="008644F6">
        <w:rPr>
          <w:rFonts w:ascii="Palatino Linotype" w:hAnsi="Palatino Linotype" w:cs="Arial"/>
          <w:color w:val="000000" w:themeColor="text1"/>
        </w:rPr>
        <w:t xml:space="preserve"> de dos mil </w:t>
      </w:r>
      <w:r w:rsidR="004D465B" w:rsidRPr="008644F6">
        <w:rPr>
          <w:rFonts w:ascii="Palatino Linotype" w:hAnsi="Palatino Linotype" w:cs="Arial"/>
          <w:color w:val="000000" w:themeColor="text1"/>
        </w:rPr>
        <w:t>veintitrés</w:t>
      </w:r>
      <w:r w:rsidR="0001674C" w:rsidRPr="008644F6">
        <w:rPr>
          <w:rFonts w:ascii="Palatino Linotype" w:hAnsi="Palatino Linotype" w:cs="Arial"/>
          <w:color w:val="000000" w:themeColor="text1"/>
        </w:rPr>
        <w:t>; e</w:t>
      </w:r>
      <w:r w:rsidR="009F09BC" w:rsidRPr="008644F6">
        <w:rPr>
          <w:rFonts w:ascii="Palatino Linotype" w:hAnsi="Palatino Linotype" w:cs="Arial"/>
          <w:color w:val="000000" w:themeColor="text1"/>
        </w:rPr>
        <w:t xml:space="preserve">n consecuencia, </w:t>
      </w:r>
      <w:r w:rsidR="00D5729F" w:rsidRPr="008644F6">
        <w:rPr>
          <w:rFonts w:ascii="Palatino Linotype" w:hAnsi="Palatino Linotype" w:cs="Arial"/>
          <w:color w:val="000000" w:themeColor="text1"/>
        </w:rPr>
        <w:t>e</w:t>
      </w:r>
      <w:r w:rsidR="009F09BC" w:rsidRPr="008644F6">
        <w:rPr>
          <w:rFonts w:ascii="Palatino Linotype" w:hAnsi="Palatino Linotype" w:cs="Arial"/>
          <w:color w:val="000000" w:themeColor="text1"/>
        </w:rPr>
        <w:t xml:space="preserve">l ahora </w:t>
      </w:r>
      <w:r w:rsidR="009F09BC" w:rsidRPr="008644F6">
        <w:rPr>
          <w:rFonts w:ascii="Palatino Linotype" w:hAnsi="Palatino Linotype" w:cs="Arial"/>
          <w:b/>
          <w:color w:val="000000" w:themeColor="text1"/>
        </w:rPr>
        <w:t>RECURRENTE</w:t>
      </w:r>
      <w:r w:rsidR="009F09BC" w:rsidRPr="008644F6">
        <w:rPr>
          <w:rFonts w:ascii="Palatino Linotype" w:hAnsi="Palatino Linotype" w:cs="Arial"/>
          <w:color w:val="000000" w:themeColor="text1"/>
        </w:rPr>
        <w:t xml:space="preserve"> presentó </w:t>
      </w:r>
      <w:r w:rsidR="00CA1063" w:rsidRPr="008644F6">
        <w:rPr>
          <w:rFonts w:ascii="Palatino Linotype" w:hAnsi="Palatino Linotype" w:cs="Arial"/>
          <w:color w:val="000000" w:themeColor="text1"/>
        </w:rPr>
        <w:t xml:space="preserve">su inconformidad el día </w:t>
      </w:r>
      <w:r w:rsidR="002B65A0">
        <w:rPr>
          <w:rFonts w:ascii="Palatino Linotype" w:hAnsi="Palatino Linotype" w:cs="Arial"/>
          <w:color w:val="000000" w:themeColor="text1"/>
        </w:rPr>
        <w:t>veintitrés</w:t>
      </w:r>
      <w:r w:rsidR="00EE150A" w:rsidRPr="008644F6">
        <w:rPr>
          <w:rFonts w:ascii="Palatino Linotype" w:hAnsi="Palatino Linotype" w:cs="Arial"/>
          <w:color w:val="000000" w:themeColor="text1"/>
        </w:rPr>
        <w:t xml:space="preserve"> de agosto</w:t>
      </w:r>
      <w:r w:rsidR="007142D6" w:rsidRPr="008644F6">
        <w:rPr>
          <w:rFonts w:ascii="Palatino Linotype" w:hAnsi="Palatino Linotype" w:cs="Arial"/>
          <w:color w:val="000000" w:themeColor="text1"/>
        </w:rPr>
        <w:t xml:space="preserve"> de dos mil </w:t>
      </w:r>
      <w:r w:rsidR="004D465B" w:rsidRPr="008644F6">
        <w:rPr>
          <w:rFonts w:ascii="Palatino Linotype" w:hAnsi="Palatino Linotype" w:cs="Arial"/>
          <w:color w:val="000000" w:themeColor="text1"/>
        </w:rPr>
        <w:t>veintitrés</w:t>
      </w:r>
      <w:r w:rsidR="009F09BC" w:rsidRPr="008644F6">
        <w:rPr>
          <w:rFonts w:ascii="Palatino Linotype" w:hAnsi="Palatino Linotype" w:cs="Arial"/>
          <w:color w:val="000000" w:themeColor="text1"/>
        </w:rPr>
        <w:t xml:space="preserve">; </w:t>
      </w:r>
      <w:r w:rsidR="0062406B" w:rsidRPr="008644F6">
        <w:rPr>
          <w:rFonts w:ascii="Palatino Linotype" w:hAnsi="Palatino Linotype" w:cs="Arial"/>
          <w:color w:val="000000" w:themeColor="text1"/>
        </w:rPr>
        <w:t xml:space="preserve">es decir </w:t>
      </w:r>
      <w:r w:rsidR="00EE150A" w:rsidRPr="008644F6">
        <w:rPr>
          <w:rFonts w:ascii="Palatino Linotype" w:hAnsi="Palatino Linotype" w:cs="Arial"/>
          <w:color w:val="000000" w:themeColor="text1"/>
        </w:rPr>
        <w:t>antes</w:t>
      </w:r>
      <w:r w:rsidR="0082142B" w:rsidRPr="008644F6">
        <w:rPr>
          <w:rFonts w:ascii="Palatino Linotype" w:hAnsi="Palatino Linotype" w:cs="Arial"/>
          <w:color w:val="000000" w:themeColor="text1"/>
        </w:rPr>
        <w:t xml:space="preserve"> d</w:t>
      </w:r>
      <w:r w:rsidR="009F09BC" w:rsidRPr="008644F6">
        <w:rPr>
          <w:rFonts w:ascii="Palatino Linotype" w:hAnsi="Palatino Linotype" w:cs="Arial"/>
          <w:color w:val="000000" w:themeColor="text1"/>
        </w:rPr>
        <w:t>el lapso legalmente establecido para tal efecto.</w:t>
      </w:r>
    </w:p>
    <w:p w:rsidR="00247898" w:rsidRPr="008644F6" w:rsidRDefault="00247898" w:rsidP="008644F6">
      <w:pPr>
        <w:pStyle w:val="Prrafodelista"/>
        <w:spacing w:line="360" w:lineRule="auto"/>
        <w:ind w:left="0"/>
        <w:jc w:val="both"/>
        <w:rPr>
          <w:rFonts w:ascii="Palatino Linotype" w:hAnsi="Palatino Linotype"/>
          <w:color w:val="000000" w:themeColor="text1"/>
        </w:rPr>
      </w:pPr>
    </w:p>
    <w:p w:rsidR="00EE150A" w:rsidRPr="008644F6" w:rsidRDefault="00EE150A" w:rsidP="008644F6">
      <w:pPr>
        <w:pStyle w:val="Prrafodelista"/>
        <w:numPr>
          <w:ilvl w:val="0"/>
          <w:numId w:val="15"/>
        </w:numPr>
        <w:spacing w:line="360" w:lineRule="auto"/>
        <w:ind w:left="0" w:firstLine="0"/>
        <w:jc w:val="both"/>
        <w:rPr>
          <w:rFonts w:ascii="Palatino Linotype" w:hAnsi="Palatino Linotype" w:cs="Arial"/>
          <w:bCs/>
          <w:color w:val="555555"/>
          <w:lang w:eastAsia="es-MX"/>
        </w:rPr>
      </w:pPr>
      <w:r w:rsidRPr="008644F6">
        <w:rPr>
          <w:rFonts w:ascii="Palatino Linotype" w:hAnsi="Palatino Linotype" w:cs="Arial"/>
        </w:rPr>
        <w:t xml:space="preserve">Al </w:t>
      </w:r>
      <w:r w:rsidRPr="008644F6">
        <w:rPr>
          <w:rFonts w:ascii="Palatino Linotype" w:eastAsia="Calibri" w:hAnsi="Palatino Linotype" w:cs="Arial"/>
        </w:rPr>
        <w:t>respecto</w:t>
      </w:r>
      <w:r w:rsidRPr="008644F6">
        <w:rPr>
          <w:rFonts w:ascii="Palatino Linotype" w:hAnsi="Palatino Linotype" w:cs="Arial"/>
        </w:rPr>
        <w:t xml:space="preserve"> </w:t>
      </w:r>
      <w:r w:rsidRPr="008644F6">
        <w:rPr>
          <w:rFonts w:ascii="Palatino Linotype" w:hAnsi="Palatino Linotype" w:cs="Arial"/>
          <w:bCs/>
          <w:color w:val="000000"/>
          <w:lang w:eastAsia="es-MX"/>
        </w:rPr>
        <w:t xml:space="preserve">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w:t>
      </w:r>
      <w:r w:rsidRPr="008644F6">
        <w:rPr>
          <w:rFonts w:ascii="Palatino Linotype" w:hAnsi="Palatino Linotype" w:cs="Arial"/>
          <w:bCs/>
          <w:color w:val="000000"/>
          <w:lang w:eastAsia="es-MX"/>
        </w:rPr>
        <w:lastRenderedPageBreak/>
        <w:t>presente el mismo día en que esta fue notificada. Por lo que es de señalar que en aras de privilegiar el derecho de acceso a la información se entra al estudio del presente recurso de revisión sin que la fecha en que se presentó afecte la resolución.</w:t>
      </w:r>
    </w:p>
    <w:p w:rsidR="00EE150A" w:rsidRPr="008644F6" w:rsidRDefault="00EE150A" w:rsidP="008644F6">
      <w:pPr>
        <w:pStyle w:val="Prrafodelista"/>
        <w:spacing w:line="360" w:lineRule="auto"/>
        <w:ind w:left="360" w:hanging="360"/>
        <w:rPr>
          <w:rFonts w:ascii="Palatino Linotype" w:hAnsi="Palatino Linotype" w:cs="Arial"/>
        </w:rPr>
      </w:pPr>
    </w:p>
    <w:p w:rsidR="00EE150A" w:rsidRPr="008644F6" w:rsidRDefault="00EE150A" w:rsidP="008644F6">
      <w:pPr>
        <w:pStyle w:val="Prrafodelista"/>
        <w:numPr>
          <w:ilvl w:val="0"/>
          <w:numId w:val="15"/>
        </w:numPr>
        <w:spacing w:line="360" w:lineRule="auto"/>
        <w:ind w:left="0" w:firstLine="0"/>
        <w:jc w:val="both"/>
        <w:rPr>
          <w:rFonts w:ascii="Palatino Linotype" w:hAnsi="Palatino Linotype" w:cs="Arial"/>
          <w:bCs/>
          <w:color w:val="555555"/>
          <w:lang w:eastAsia="es-MX"/>
        </w:rPr>
      </w:pPr>
      <w:r w:rsidRPr="008644F6">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EE150A" w:rsidRPr="008644F6" w:rsidRDefault="00EE150A" w:rsidP="008644F6">
      <w:pPr>
        <w:pStyle w:val="Prrafodelista"/>
        <w:spacing w:line="360" w:lineRule="auto"/>
        <w:rPr>
          <w:rFonts w:ascii="Palatino Linotype" w:hAnsi="Palatino Linotype" w:cs="Arial"/>
          <w:bCs/>
          <w:color w:val="555555"/>
          <w:lang w:eastAsia="es-MX"/>
        </w:rPr>
      </w:pPr>
    </w:p>
    <w:p w:rsidR="00EE150A" w:rsidRPr="008644F6" w:rsidRDefault="00EE150A" w:rsidP="008644F6">
      <w:pPr>
        <w:spacing w:line="360" w:lineRule="auto"/>
        <w:ind w:left="425" w:right="474"/>
        <w:contextualSpacing/>
        <w:jc w:val="both"/>
        <w:rPr>
          <w:rFonts w:ascii="Palatino Linotype" w:hAnsi="Palatino Linotype" w:cs="Arial"/>
          <w:i/>
        </w:rPr>
      </w:pPr>
      <w:r w:rsidRPr="008644F6">
        <w:rPr>
          <w:rFonts w:ascii="Palatino Linotype" w:hAnsi="Palatino Linotype" w:cs="Arial"/>
          <w:b/>
          <w:i/>
        </w:rPr>
        <w:t>“RECURSO DE RECLAMACIÓN. SU INTERPOSICIÓN NO ES EXTEMPORÁNEA SI SE REALIZA ANTES DE QUE INICIE EL PLAZO PARA HACERLO</w:t>
      </w:r>
      <w:r w:rsidRPr="008644F6">
        <w:rPr>
          <w:rFonts w:ascii="Palatino Linotype" w:hAnsi="Palatino Linotype" w:cs="Arial"/>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EE150A" w:rsidRPr="008644F6" w:rsidRDefault="00EE150A" w:rsidP="008644F6">
      <w:pPr>
        <w:spacing w:line="360" w:lineRule="auto"/>
        <w:ind w:left="426" w:right="616"/>
        <w:contextualSpacing/>
        <w:jc w:val="both"/>
        <w:rPr>
          <w:rFonts w:ascii="Palatino Linotype" w:hAnsi="Palatino Linotype" w:cs="Arial"/>
          <w:i/>
        </w:rPr>
      </w:pPr>
    </w:p>
    <w:p w:rsidR="00EE150A" w:rsidRPr="008644F6" w:rsidRDefault="00EE150A" w:rsidP="008644F6">
      <w:pPr>
        <w:pStyle w:val="Prrafodelista"/>
        <w:numPr>
          <w:ilvl w:val="0"/>
          <w:numId w:val="15"/>
        </w:numPr>
        <w:spacing w:line="360" w:lineRule="auto"/>
        <w:ind w:left="0" w:firstLine="0"/>
        <w:jc w:val="both"/>
        <w:rPr>
          <w:rFonts w:ascii="Palatino Linotype" w:hAnsi="Palatino Linotype" w:cs="Arial"/>
          <w:i/>
        </w:rPr>
      </w:pPr>
      <w:r w:rsidRPr="008644F6">
        <w:rPr>
          <w:rFonts w:ascii="Palatino Linotype" w:hAnsi="Palatino Linotype" w:cs="Arial"/>
        </w:rPr>
        <w:t>Esto</w:t>
      </w:r>
      <w:r w:rsidRPr="008644F6">
        <w:rPr>
          <w:rFonts w:ascii="Palatino Linotype" w:hAnsi="Palatino Linotype"/>
        </w:rPr>
        <w:t xml:space="preserve"> es así porque en primer lugar es necesario que </w:t>
      </w:r>
      <w:r w:rsidRPr="008644F6">
        <w:rPr>
          <w:rFonts w:ascii="Palatino Linotype" w:hAnsi="Palatino Linotype"/>
          <w:b/>
        </w:rPr>
        <w:t>EL RECURRENTE</w:t>
      </w:r>
      <w:r w:rsidRPr="008644F6">
        <w:rPr>
          <w:rFonts w:ascii="Palatino Linotype" w:hAnsi="Palatino Linotype"/>
        </w:rPr>
        <w:t xml:space="preserve"> conozca el acto que le provoca agravio y a partir de ahí formular su recurso de revisión </w:t>
      </w:r>
      <w:r w:rsidRPr="008644F6">
        <w:rPr>
          <w:rFonts w:ascii="Palatino Linotype" w:hAnsi="Palatino Linotype" w:cs="Arial"/>
        </w:rPr>
        <w:t>señalando</w:t>
      </w:r>
      <w:r w:rsidRPr="008644F6">
        <w:rPr>
          <w:rFonts w:ascii="Palatino Linotype" w:hAnsi="Palatino Linotype"/>
        </w:rPr>
        <w:t xml:space="preserve"> </w:t>
      </w:r>
      <w:r w:rsidRPr="008644F6">
        <w:rPr>
          <w:rFonts w:ascii="Palatino Linotype" w:hAnsi="Palatino Linotype" w:cs="Arial"/>
        </w:rPr>
        <w:t>tanto</w:t>
      </w:r>
      <w:r w:rsidRPr="008644F6">
        <w:rPr>
          <w:rFonts w:ascii="Palatino Linotype" w:hAnsi="Palatino Linotype"/>
        </w:rPr>
        <w:t xml:space="preserve"> el acto impugnado como el motivo de inconformidad. Y si bien la ley señala que el plazo corre un día después de haber sido notificada la </w:t>
      </w:r>
      <w:r w:rsidRPr="008644F6">
        <w:rPr>
          <w:rFonts w:ascii="Palatino Linotype" w:hAnsi="Palatino Linotype"/>
        </w:rPr>
        <w:lastRenderedPageBreak/>
        <w:t xml:space="preserve">respuesta, en nada se afecta al proceso que el mismo día de </w:t>
      </w:r>
      <w:r w:rsidRPr="008644F6">
        <w:rPr>
          <w:rFonts w:ascii="Palatino Linotype" w:hAnsi="Palatino Linotype"/>
          <w:b/>
        </w:rPr>
        <w:t>notificada EL RECURRENTE</w:t>
      </w:r>
      <w:r w:rsidRPr="008644F6">
        <w:rPr>
          <w:rFonts w:ascii="Palatino Linotype" w:hAnsi="Palatino Linotype"/>
        </w:rPr>
        <w:t xml:space="preserve"> actúe, ya que al contrario lo que demuestra es el interés del mismo para ejercer su derecho bajo el principio constitucional de justicia expedita.</w:t>
      </w:r>
    </w:p>
    <w:p w:rsidR="00EE150A" w:rsidRPr="008644F6" w:rsidRDefault="00EE150A" w:rsidP="008644F6">
      <w:pPr>
        <w:pStyle w:val="Prrafodelista"/>
        <w:tabs>
          <w:tab w:val="left" w:pos="0"/>
        </w:tabs>
        <w:spacing w:line="360" w:lineRule="auto"/>
        <w:ind w:left="360" w:right="49" w:hanging="360"/>
        <w:jc w:val="both"/>
        <w:rPr>
          <w:rFonts w:ascii="Palatino Linotype" w:hAnsi="Palatino Linotype" w:cs="Arial"/>
          <w:i/>
        </w:rPr>
      </w:pPr>
    </w:p>
    <w:p w:rsidR="00EE150A" w:rsidRPr="008644F6" w:rsidRDefault="00EE150A" w:rsidP="008644F6">
      <w:pPr>
        <w:pStyle w:val="Prrafodelista"/>
        <w:numPr>
          <w:ilvl w:val="0"/>
          <w:numId w:val="15"/>
        </w:numPr>
        <w:spacing w:line="360" w:lineRule="auto"/>
        <w:ind w:left="0" w:firstLine="0"/>
        <w:jc w:val="both"/>
        <w:rPr>
          <w:rFonts w:ascii="Palatino Linotype" w:hAnsi="Palatino Linotype" w:cs="Arial"/>
          <w:i/>
        </w:rPr>
      </w:pPr>
      <w:r w:rsidRPr="008644F6">
        <w:rPr>
          <w:rFonts w:ascii="Palatino Linotype" w:hAnsi="Palatino Linotype"/>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EE150A" w:rsidRPr="008644F6" w:rsidRDefault="00EE150A" w:rsidP="008644F6">
      <w:pPr>
        <w:pStyle w:val="Prrafodelista"/>
        <w:spacing w:line="360" w:lineRule="auto"/>
        <w:ind w:left="360" w:hanging="360"/>
        <w:rPr>
          <w:rFonts w:ascii="Palatino Linotype" w:hAnsi="Palatino Linotype"/>
        </w:rPr>
      </w:pPr>
    </w:p>
    <w:p w:rsidR="00EE150A" w:rsidRPr="008644F6" w:rsidRDefault="00EE150A" w:rsidP="008644F6">
      <w:pPr>
        <w:pStyle w:val="Prrafodelista"/>
        <w:numPr>
          <w:ilvl w:val="0"/>
          <w:numId w:val="15"/>
        </w:numPr>
        <w:spacing w:line="360" w:lineRule="auto"/>
        <w:ind w:left="0" w:firstLine="0"/>
        <w:jc w:val="both"/>
        <w:rPr>
          <w:rFonts w:ascii="Palatino Linotype" w:hAnsi="Palatino Linotype" w:cs="Arial"/>
          <w:i/>
        </w:rPr>
      </w:pPr>
      <w:r w:rsidRPr="008644F6">
        <w:rPr>
          <w:rFonts w:ascii="Palatino Linotype" w:hAnsi="Palatino Linotype"/>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8644F6">
        <w:rPr>
          <w:rFonts w:ascii="Palatino Linotype" w:hAnsi="Palatino Linotype"/>
          <w:b/>
        </w:rPr>
        <w:t>SUJETO OBLIGADO.</w:t>
      </w:r>
    </w:p>
    <w:p w:rsidR="00EE150A" w:rsidRPr="008644F6" w:rsidRDefault="00EE150A" w:rsidP="008644F6">
      <w:pPr>
        <w:pStyle w:val="Prrafodelista"/>
        <w:spacing w:line="360" w:lineRule="auto"/>
        <w:rPr>
          <w:rFonts w:ascii="Palatino Linotype" w:hAnsi="Palatino Linotype" w:cs="Arial"/>
          <w:i/>
        </w:rPr>
      </w:pPr>
    </w:p>
    <w:p w:rsidR="00EE150A" w:rsidRPr="008644F6" w:rsidRDefault="00EE150A" w:rsidP="008644F6">
      <w:pPr>
        <w:pStyle w:val="Prrafodelista"/>
        <w:numPr>
          <w:ilvl w:val="0"/>
          <w:numId w:val="15"/>
        </w:numPr>
        <w:spacing w:line="360" w:lineRule="auto"/>
        <w:ind w:left="0" w:firstLine="0"/>
        <w:jc w:val="both"/>
        <w:rPr>
          <w:rFonts w:ascii="Palatino Linotype" w:hAnsi="Palatino Linotype"/>
          <w:color w:val="000000" w:themeColor="text1"/>
        </w:rPr>
      </w:pPr>
      <w:r w:rsidRPr="008644F6">
        <w:rPr>
          <w:rFonts w:ascii="Palatino Linotype" w:hAnsi="Palatino Linotype"/>
          <w:color w:val="000000" w:themeColor="text1"/>
        </w:rPr>
        <w:t xml:space="preserve">Por otro lado, de la revisión al expediente electrónico del SAIMEX se desprende que la </w:t>
      </w:r>
      <w:r w:rsidRPr="008644F6">
        <w:rPr>
          <w:rFonts w:ascii="Palatino Linotype" w:eastAsia="Calibri" w:hAnsi="Palatino Linotype" w:cs="Arial"/>
          <w:color w:val="000000" w:themeColor="text1"/>
        </w:rPr>
        <w:t>parte</w:t>
      </w:r>
      <w:r w:rsidRPr="008644F6">
        <w:rPr>
          <w:rFonts w:ascii="Palatino Linotype" w:hAnsi="Palatino Linotype"/>
          <w:color w:val="000000" w:themeColor="text1"/>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EE150A" w:rsidRPr="008644F6" w:rsidRDefault="00EE150A" w:rsidP="008644F6">
      <w:pPr>
        <w:spacing w:line="360" w:lineRule="auto"/>
        <w:rPr>
          <w:rFonts w:ascii="Palatino Linotype" w:hAnsi="Palatino Linotype"/>
          <w:color w:val="000000" w:themeColor="text1"/>
        </w:rPr>
      </w:pPr>
    </w:p>
    <w:p w:rsidR="00EE150A" w:rsidRPr="008644F6" w:rsidRDefault="00EE150A" w:rsidP="008644F6">
      <w:pPr>
        <w:pStyle w:val="Prrafodelista"/>
        <w:numPr>
          <w:ilvl w:val="0"/>
          <w:numId w:val="15"/>
        </w:numPr>
        <w:spacing w:line="360" w:lineRule="auto"/>
        <w:ind w:left="0" w:firstLine="0"/>
        <w:jc w:val="both"/>
        <w:rPr>
          <w:rFonts w:ascii="Palatino Linotype" w:hAnsi="Palatino Linotype"/>
          <w:color w:val="000000" w:themeColor="text1"/>
        </w:rPr>
      </w:pPr>
      <w:r w:rsidRPr="008644F6">
        <w:rPr>
          <w:rFonts w:ascii="Palatino Linotype" w:hAnsi="Palatino Linotype"/>
          <w:color w:val="000000" w:themeColor="text1"/>
        </w:rPr>
        <w:lastRenderedPageBreak/>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E150A" w:rsidRPr="008644F6" w:rsidRDefault="00EE150A" w:rsidP="008644F6">
      <w:pPr>
        <w:pStyle w:val="Prrafodelista"/>
        <w:spacing w:line="360" w:lineRule="auto"/>
        <w:rPr>
          <w:rFonts w:ascii="Palatino Linotype" w:hAnsi="Palatino Linotype"/>
          <w:color w:val="000000" w:themeColor="text1"/>
        </w:rPr>
      </w:pPr>
    </w:p>
    <w:p w:rsidR="00EE150A" w:rsidRPr="008644F6" w:rsidRDefault="00EE150A" w:rsidP="008644F6">
      <w:pPr>
        <w:pStyle w:val="Prrafodelista"/>
        <w:numPr>
          <w:ilvl w:val="0"/>
          <w:numId w:val="15"/>
        </w:numPr>
        <w:spacing w:line="360" w:lineRule="auto"/>
        <w:ind w:left="0" w:firstLine="0"/>
        <w:jc w:val="both"/>
        <w:rPr>
          <w:rFonts w:ascii="Palatino Linotype" w:hAnsi="Palatino Linotype"/>
          <w:color w:val="000000" w:themeColor="text1"/>
        </w:rPr>
      </w:pPr>
      <w:r w:rsidRPr="008644F6">
        <w:rPr>
          <w:rFonts w:ascii="Palatino Linotype" w:hAnsi="Palatino Linotype"/>
          <w:color w:val="000000" w:themeColor="text1"/>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E150A" w:rsidRPr="008644F6" w:rsidRDefault="00EE150A" w:rsidP="008644F6">
      <w:pPr>
        <w:pStyle w:val="Prrafodelista"/>
        <w:spacing w:line="360" w:lineRule="auto"/>
        <w:rPr>
          <w:rFonts w:ascii="Palatino Linotype" w:hAnsi="Palatino Linotype"/>
          <w:color w:val="000000" w:themeColor="text1"/>
        </w:rPr>
      </w:pPr>
    </w:p>
    <w:p w:rsidR="00EE150A" w:rsidRPr="008644F6" w:rsidRDefault="00EE150A" w:rsidP="008644F6">
      <w:pPr>
        <w:pStyle w:val="Prrafodelista"/>
        <w:numPr>
          <w:ilvl w:val="0"/>
          <w:numId w:val="15"/>
        </w:numPr>
        <w:spacing w:line="360" w:lineRule="auto"/>
        <w:ind w:left="0" w:firstLine="0"/>
        <w:jc w:val="both"/>
        <w:rPr>
          <w:rFonts w:ascii="Palatino Linotype" w:hAnsi="Palatino Linotype"/>
          <w:color w:val="000000" w:themeColor="text1"/>
        </w:rPr>
      </w:pPr>
      <w:r w:rsidRPr="008644F6">
        <w:rPr>
          <w:rFonts w:ascii="Palatino Linotype" w:hAnsi="Palatino Linotype"/>
          <w:color w:val="000000" w:themeColor="text1"/>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EE150A" w:rsidRPr="008644F6" w:rsidRDefault="00EE150A" w:rsidP="008644F6">
      <w:pPr>
        <w:pStyle w:val="Prrafodelista"/>
        <w:spacing w:line="360" w:lineRule="auto"/>
        <w:rPr>
          <w:rFonts w:ascii="Palatino Linotype" w:hAnsi="Palatino Linotype"/>
          <w:color w:val="000000" w:themeColor="text1"/>
        </w:rPr>
      </w:pPr>
    </w:p>
    <w:p w:rsidR="00EE150A" w:rsidRPr="008644F6" w:rsidRDefault="00EE150A" w:rsidP="008644F6">
      <w:pPr>
        <w:pStyle w:val="Prrafodelista"/>
        <w:numPr>
          <w:ilvl w:val="0"/>
          <w:numId w:val="15"/>
        </w:numPr>
        <w:spacing w:line="360" w:lineRule="auto"/>
        <w:ind w:left="0" w:firstLine="0"/>
        <w:jc w:val="both"/>
        <w:rPr>
          <w:rFonts w:ascii="Palatino Linotype" w:hAnsi="Palatino Linotype"/>
          <w:color w:val="000000" w:themeColor="text1"/>
        </w:rPr>
      </w:pPr>
      <w:r w:rsidRPr="008644F6">
        <w:rPr>
          <w:rFonts w:ascii="Palatino Linotype" w:hAnsi="Palatino Linotype"/>
          <w:color w:val="000000" w:themeColor="text1"/>
        </w:rPr>
        <w:lastRenderedPageBreak/>
        <w:t xml:space="preserve">Por lo que el nombre del solicitando y recurrente no puede ser considerado un requisito indispensable de procedibilidad del recurso de revisión que nos ocupa, ya que el acceso a la información no está condicionado a acreditar algún interés ya sea jurídico o legítimo, </w:t>
      </w:r>
      <w:r w:rsidRPr="00B956F5">
        <w:rPr>
          <w:rFonts w:ascii="Palatino Linotype" w:hAnsi="Palatino Linotype"/>
          <w:i/>
          <w:color w:val="000000" w:themeColor="text1"/>
        </w:rPr>
        <w:t>máxime</w:t>
      </w:r>
      <w:r w:rsidRPr="008644F6">
        <w:rPr>
          <w:rFonts w:ascii="Palatino Linotype" w:hAnsi="Palatino Linotype"/>
          <w:color w:val="000000" w:themeColor="text1"/>
        </w:rPr>
        <w:t xml:space="preserve"> que es un elemento subsanable por este Órgano Resolutor.</w:t>
      </w:r>
    </w:p>
    <w:p w:rsidR="00EE150A" w:rsidRPr="008644F6" w:rsidRDefault="00EE150A" w:rsidP="008644F6">
      <w:pPr>
        <w:pStyle w:val="Prrafodelista"/>
        <w:spacing w:line="360" w:lineRule="auto"/>
        <w:rPr>
          <w:rFonts w:ascii="Palatino Linotype" w:hAnsi="Palatino Linotype"/>
          <w:color w:val="000000" w:themeColor="text1"/>
        </w:rPr>
      </w:pPr>
    </w:p>
    <w:p w:rsidR="006313B5" w:rsidRPr="008644F6" w:rsidRDefault="006313B5" w:rsidP="008644F6">
      <w:pPr>
        <w:pStyle w:val="Prrafodelista"/>
        <w:numPr>
          <w:ilvl w:val="0"/>
          <w:numId w:val="15"/>
        </w:numPr>
        <w:spacing w:line="360" w:lineRule="auto"/>
        <w:ind w:left="0" w:firstLine="0"/>
        <w:jc w:val="both"/>
        <w:rPr>
          <w:rFonts w:ascii="Palatino Linotype" w:hAnsi="Palatino Linotype"/>
          <w:color w:val="000000" w:themeColor="text1"/>
        </w:rPr>
      </w:pPr>
      <w:r w:rsidRPr="008644F6">
        <w:rPr>
          <w:rFonts w:ascii="Palatino Linotype" w:hAnsi="Palatino Linotype"/>
          <w:color w:val="000000" w:themeColor="text1"/>
        </w:rPr>
        <w:t xml:space="preserve">Por otro lado, de la revisión al expediente electrónico del SAIMEX se desprende que la </w:t>
      </w:r>
      <w:r w:rsidRPr="008644F6">
        <w:rPr>
          <w:rFonts w:ascii="Palatino Linotype" w:eastAsia="Calibri" w:hAnsi="Palatino Linotype" w:cs="Arial"/>
          <w:color w:val="000000" w:themeColor="text1"/>
        </w:rPr>
        <w:t>parte</w:t>
      </w:r>
      <w:r w:rsidRPr="008644F6">
        <w:rPr>
          <w:rFonts w:ascii="Palatino Linotype" w:hAnsi="Palatino Linotype"/>
          <w:color w:val="000000" w:themeColor="text1"/>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060552" w:rsidRPr="008644F6" w:rsidRDefault="00060552" w:rsidP="008644F6">
      <w:pPr>
        <w:pStyle w:val="Prrafodelista"/>
        <w:spacing w:line="360" w:lineRule="auto"/>
        <w:jc w:val="both"/>
        <w:rPr>
          <w:rFonts w:ascii="Palatino Linotype" w:hAnsi="Palatino Linotype"/>
          <w:color w:val="000000" w:themeColor="text1"/>
        </w:rPr>
      </w:pPr>
    </w:p>
    <w:p w:rsidR="006313B5" w:rsidRPr="008644F6" w:rsidRDefault="006313B5" w:rsidP="008644F6">
      <w:pPr>
        <w:pStyle w:val="Prrafodelista"/>
        <w:numPr>
          <w:ilvl w:val="0"/>
          <w:numId w:val="15"/>
        </w:numPr>
        <w:spacing w:line="360" w:lineRule="auto"/>
        <w:ind w:left="0" w:firstLine="0"/>
        <w:jc w:val="both"/>
        <w:rPr>
          <w:rFonts w:ascii="Palatino Linotype" w:hAnsi="Palatino Linotype"/>
          <w:color w:val="000000" w:themeColor="text1"/>
        </w:rPr>
      </w:pPr>
      <w:r w:rsidRPr="008644F6">
        <w:rPr>
          <w:rFonts w:ascii="Palatino Linotype" w:hAnsi="Palatino Linotype"/>
          <w:color w:val="000000" w:themeColor="text1"/>
        </w:rPr>
        <w:t xml:space="preserve">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w:t>
      </w:r>
      <w:r w:rsidRPr="008644F6">
        <w:rPr>
          <w:rFonts w:ascii="Palatino Linotype" w:hAnsi="Palatino Linotype"/>
          <w:color w:val="000000" w:themeColor="text1"/>
        </w:rPr>
        <w:lastRenderedPageBreak/>
        <w:t>revisión expeditos que se sustanciarán ante los organismos autónomos especializados e imparciales que establece la Constitución Federal y local.</w:t>
      </w:r>
    </w:p>
    <w:p w:rsidR="006313B5" w:rsidRPr="008644F6" w:rsidRDefault="006313B5" w:rsidP="008644F6">
      <w:pPr>
        <w:pStyle w:val="Prrafodelista"/>
        <w:spacing w:line="360" w:lineRule="auto"/>
        <w:jc w:val="both"/>
        <w:rPr>
          <w:rFonts w:ascii="Palatino Linotype" w:hAnsi="Palatino Linotype"/>
          <w:color w:val="000000" w:themeColor="text1"/>
        </w:rPr>
      </w:pPr>
    </w:p>
    <w:p w:rsidR="006313B5" w:rsidRDefault="006313B5" w:rsidP="008644F6">
      <w:pPr>
        <w:pStyle w:val="Prrafodelista"/>
        <w:numPr>
          <w:ilvl w:val="0"/>
          <w:numId w:val="15"/>
        </w:numPr>
        <w:spacing w:line="360" w:lineRule="auto"/>
        <w:ind w:left="0" w:firstLine="0"/>
        <w:jc w:val="both"/>
        <w:rPr>
          <w:rFonts w:ascii="Palatino Linotype" w:hAnsi="Palatino Linotype"/>
          <w:color w:val="000000" w:themeColor="text1"/>
        </w:rPr>
      </w:pPr>
      <w:r w:rsidRPr="008644F6">
        <w:rPr>
          <w:rFonts w:ascii="Palatino Linotype" w:hAnsi="Palatino Linotype"/>
          <w:color w:val="000000" w:themeColor="text1"/>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A1E0D" w:rsidRPr="009A1E0D" w:rsidRDefault="009A1E0D" w:rsidP="009A1E0D">
      <w:pPr>
        <w:pStyle w:val="Prrafodelista"/>
        <w:rPr>
          <w:rFonts w:ascii="Palatino Linotype" w:hAnsi="Palatino Linotype"/>
          <w:color w:val="000000" w:themeColor="text1"/>
        </w:rPr>
      </w:pPr>
    </w:p>
    <w:p w:rsidR="006313B5" w:rsidRPr="008644F6" w:rsidRDefault="006313B5" w:rsidP="008644F6">
      <w:pPr>
        <w:pStyle w:val="Prrafodelista"/>
        <w:numPr>
          <w:ilvl w:val="0"/>
          <w:numId w:val="15"/>
        </w:numPr>
        <w:spacing w:line="360" w:lineRule="auto"/>
        <w:ind w:left="0" w:firstLine="0"/>
        <w:jc w:val="both"/>
        <w:rPr>
          <w:rFonts w:ascii="Palatino Linotype" w:hAnsi="Palatino Linotype"/>
          <w:color w:val="000000" w:themeColor="text1"/>
        </w:rPr>
      </w:pPr>
      <w:r w:rsidRPr="008644F6">
        <w:rPr>
          <w:rFonts w:ascii="Palatino Linotype" w:hAnsi="Palatino Linotype"/>
          <w:color w:val="000000" w:themeColor="text1"/>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6313B5" w:rsidRPr="008644F6" w:rsidRDefault="006313B5" w:rsidP="008644F6">
      <w:pPr>
        <w:pStyle w:val="Prrafodelista"/>
        <w:spacing w:line="360" w:lineRule="auto"/>
        <w:jc w:val="both"/>
        <w:rPr>
          <w:rFonts w:ascii="Palatino Linotype" w:hAnsi="Palatino Linotype"/>
          <w:color w:val="000000" w:themeColor="text1"/>
        </w:rPr>
      </w:pPr>
    </w:p>
    <w:p w:rsidR="006313B5" w:rsidRPr="008644F6" w:rsidRDefault="006313B5" w:rsidP="008644F6">
      <w:pPr>
        <w:pStyle w:val="Prrafodelista"/>
        <w:numPr>
          <w:ilvl w:val="0"/>
          <w:numId w:val="15"/>
        </w:numPr>
        <w:spacing w:line="360" w:lineRule="auto"/>
        <w:ind w:left="0" w:firstLine="0"/>
        <w:jc w:val="both"/>
        <w:rPr>
          <w:rFonts w:ascii="Palatino Linotype" w:hAnsi="Palatino Linotype"/>
          <w:color w:val="000000" w:themeColor="text1"/>
        </w:rPr>
      </w:pPr>
      <w:r w:rsidRPr="008644F6">
        <w:rPr>
          <w:rFonts w:ascii="Palatino Linotype" w:hAnsi="Palatino Linotype"/>
          <w:color w:val="000000" w:themeColor="text1"/>
        </w:rPr>
        <w:t xml:space="preserve">Por </w:t>
      </w:r>
      <w:r w:rsidR="00060552" w:rsidRPr="008644F6">
        <w:rPr>
          <w:rFonts w:ascii="Palatino Linotype" w:hAnsi="Palatino Linotype"/>
          <w:color w:val="000000" w:themeColor="text1"/>
        </w:rPr>
        <w:t>lo que el nombre del solicitante</w:t>
      </w:r>
      <w:r w:rsidRPr="008644F6">
        <w:rPr>
          <w:rFonts w:ascii="Palatino Linotype" w:hAnsi="Palatino Linotype"/>
          <w:color w:val="000000" w:themeColor="text1"/>
        </w:rPr>
        <w:t xml:space="preserve"> y recurrente no puede ser considerado un requisito indispensable de procedibilidad del recurso de revisión que nos ocupa, ya que el acceso a la información no está condicionado a acreditar algún interés ya sea jurídico o legítimo, </w:t>
      </w:r>
      <w:r w:rsidRPr="009A1E0D">
        <w:rPr>
          <w:rFonts w:ascii="Palatino Linotype" w:hAnsi="Palatino Linotype"/>
          <w:i/>
          <w:color w:val="000000" w:themeColor="text1"/>
        </w:rPr>
        <w:t>máxime</w:t>
      </w:r>
      <w:r w:rsidRPr="008644F6">
        <w:rPr>
          <w:rFonts w:ascii="Palatino Linotype" w:hAnsi="Palatino Linotype"/>
          <w:color w:val="000000" w:themeColor="text1"/>
        </w:rPr>
        <w:t xml:space="preserve"> que es un elemento subsanable por este Órgano Resolutor.</w:t>
      </w:r>
    </w:p>
    <w:p w:rsidR="00EB1CE2" w:rsidRPr="008644F6" w:rsidRDefault="00EB1CE2" w:rsidP="008644F6">
      <w:pPr>
        <w:pStyle w:val="Prrafodelista"/>
        <w:spacing w:line="360" w:lineRule="auto"/>
        <w:jc w:val="both"/>
        <w:rPr>
          <w:rFonts w:ascii="Palatino Linotype" w:eastAsia="Calibri" w:hAnsi="Palatino Linotype" w:cs="Arial"/>
          <w:color w:val="000000" w:themeColor="text1"/>
        </w:rPr>
      </w:pPr>
    </w:p>
    <w:p w:rsidR="009F09BC" w:rsidRPr="008644F6" w:rsidRDefault="008E32EE" w:rsidP="008644F6">
      <w:pPr>
        <w:pStyle w:val="Prrafodelista"/>
        <w:numPr>
          <w:ilvl w:val="0"/>
          <w:numId w:val="15"/>
        </w:numPr>
        <w:spacing w:line="360" w:lineRule="auto"/>
        <w:ind w:left="0" w:firstLine="0"/>
        <w:jc w:val="both"/>
        <w:rPr>
          <w:rFonts w:ascii="Palatino Linotype" w:hAnsi="Palatino Linotype"/>
          <w:color w:val="000000" w:themeColor="text1"/>
        </w:rPr>
      </w:pPr>
      <w:r w:rsidRPr="008644F6">
        <w:rPr>
          <w:rFonts w:ascii="Palatino Linotype" w:eastAsia="Calibri" w:hAnsi="Palatino Linotype" w:cs="Arial"/>
          <w:color w:val="000000" w:themeColor="text1"/>
        </w:rPr>
        <w:lastRenderedPageBreak/>
        <w:t>Por último</w:t>
      </w:r>
      <w:r w:rsidR="009F09BC" w:rsidRPr="008644F6">
        <w:rPr>
          <w:rFonts w:ascii="Palatino Linotype" w:eastAsia="Calibri" w:hAnsi="Palatino Linotype" w:cs="Arial"/>
          <w:color w:val="000000" w:themeColor="text1"/>
        </w:rPr>
        <w:t xml:space="preserve">, </w:t>
      </w:r>
      <w:r w:rsidR="00CF0D2B" w:rsidRPr="008644F6">
        <w:rPr>
          <w:rFonts w:ascii="Palatino Linotype" w:eastAsia="Calibri" w:hAnsi="Palatino Linotype" w:cs="Arial"/>
          <w:color w:val="000000" w:themeColor="text1"/>
        </w:rPr>
        <w:t>e</w:t>
      </w:r>
      <w:r w:rsidR="009F09BC" w:rsidRPr="008644F6">
        <w:rPr>
          <w:rFonts w:ascii="Palatino Linotype" w:eastAsia="Calibri" w:hAnsi="Palatino Linotype" w:cs="Arial"/>
          <w:color w:val="000000" w:themeColor="text1"/>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60552" w:rsidRPr="008644F6" w:rsidRDefault="00060552" w:rsidP="008644F6">
      <w:pPr>
        <w:pStyle w:val="Prrafodelista"/>
        <w:spacing w:line="360" w:lineRule="auto"/>
        <w:jc w:val="both"/>
        <w:rPr>
          <w:rFonts w:ascii="Palatino Linotype" w:hAnsi="Palatino Linotype"/>
          <w:color w:val="000000" w:themeColor="text1"/>
        </w:rPr>
      </w:pPr>
    </w:p>
    <w:p w:rsidR="009F09BC" w:rsidRPr="008644F6" w:rsidRDefault="009F09BC" w:rsidP="008644F6">
      <w:pPr>
        <w:pStyle w:val="Ttulo1"/>
        <w:spacing w:before="0" w:line="360" w:lineRule="auto"/>
        <w:jc w:val="both"/>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8644F6">
        <w:rPr>
          <w:rFonts w:ascii="Palatino Linotype" w:hAnsi="Palatino Linotype"/>
          <w:b/>
          <w:color w:val="000000" w:themeColor="text1"/>
          <w:sz w:val="24"/>
          <w:szCs w:val="24"/>
        </w:rPr>
        <w:t xml:space="preserve">TERCERO. </w:t>
      </w:r>
      <w:bookmarkEnd w:id="139"/>
      <w:bookmarkEnd w:id="140"/>
      <w:bookmarkEnd w:id="141"/>
      <w:bookmarkEnd w:id="142"/>
      <w:r w:rsidR="00C66A19" w:rsidRPr="008644F6">
        <w:rPr>
          <w:rFonts w:ascii="Palatino Linotype" w:hAnsi="Palatino Linotype"/>
          <w:b/>
          <w:color w:val="000000" w:themeColor="text1"/>
          <w:sz w:val="24"/>
          <w:szCs w:val="24"/>
        </w:rPr>
        <w:t xml:space="preserve">Del planteamiento de la </w:t>
      </w:r>
      <w:r w:rsidR="00C66A19" w:rsidRPr="008644F6">
        <w:rPr>
          <w:rFonts w:ascii="Palatino Linotype" w:hAnsi="Palatino Linotype"/>
          <w:b/>
          <w:i/>
          <w:color w:val="000000" w:themeColor="text1"/>
          <w:sz w:val="24"/>
          <w:szCs w:val="24"/>
        </w:rPr>
        <w:t>Litis</w:t>
      </w:r>
      <w:r w:rsidR="00C66A19" w:rsidRPr="008644F6">
        <w:rPr>
          <w:rFonts w:ascii="Palatino Linotype" w:hAnsi="Palatino Linotype"/>
          <w:b/>
          <w:color w:val="000000" w:themeColor="text1"/>
          <w:sz w:val="24"/>
          <w:szCs w:val="24"/>
        </w:rPr>
        <w:t>.</w:t>
      </w:r>
    </w:p>
    <w:p w:rsidR="009F09BC" w:rsidRPr="008644F6" w:rsidRDefault="009F09BC" w:rsidP="008644F6">
      <w:pPr>
        <w:spacing w:line="360" w:lineRule="auto"/>
        <w:jc w:val="both"/>
        <w:rPr>
          <w:rFonts w:ascii="Palatino Linotype" w:hAnsi="Palatino Linotype"/>
          <w:color w:val="000000" w:themeColor="text1"/>
          <w:lang w:val="es-MX" w:eastAsia="en-US"/>
        </w:rPr>
      </w:pPr>
    </w:p>
    <w:p w:rsidR="00134CE6" w:rsidRPr="008644F6" w:rsidRDefault="00134CE6" w:rsidP="009A1E0D">
      <w:pPr>
        <w:numPr>
          <w:ilvl w:val="0"/>
          <w:numId w:val="15"/>
        </w:numPr>
        <w:spacing w:line="360" w:lineRule="auto"/>
        <w:ind w:left="0" w:firstLine="0"/>
        <w:contextualSpacing/>
        <w:jc w:val="both"/>
        <w:rPr>
          <w:rFonts w:ascii="Palatino Linotype" w:hAnsi="Palatino Linotype"/>
          <w:color w:val="000000" w:themeColor="text1"/>
        </w:rPr>
      </w:pPr>
      <w:r w:rsidRPr="008644F6">
        <w:rPr>
          <w:rFonts w:ascii="Palatino Linotype" w:hAnsi="Palatino Linotype"/>
          <w:color w:val="000000" w:themeColor="text1"/>
          <w:lang w:val="es-ES"/>
        </w:rPr>
        <w:t xml:space="preserve">La solicitud de información consistió en </w:t>
      </w:r>
      <w:r w:rsidRPr="008644F6">
        <w:rPr>
          <w:rFonts w:ascii="Palatino Linotype" w:hAnsi="Palatino Linotype"/>
          <w:color w:val="000000" w:themeColor="text1"/>
        </w:rPr>
        <w:t xml:space="preserve">requerir la </w:t>
      </w:r>
      <w:r w:rsidR="008E32EE" w:rsidRPr="008644F6">
        <w:rPr>
          <w:rFonts w:ascii="Palatino Linotype" w:hAnsi="Palatino Linotype"/>
          <w:color w:val="000000" w:themeColor="text1"/>
        </w:rPr>
        <w:t xml:space="preserve">información que ya se ha tenido a bien </w:t>
      </w:r>
      <w:r w:rsidR="008E32EE" w:rsidRPr="009A1E0D">
        <w:rPr>
          <w:rFonts w:ascii="Palatino Linotype" w:eastAsia="MS Mincho" w:hAnsi="Palatino Linotype" w:cs="Arial"/>
        </w:rPr>
        <w:t>transcribir</w:t>
      </w:r>
      <w:r w:rsidR="008E32EE" w:rsidRPr="008644F6">
        <w:rPr>
          <w:rFonts w:ascii="Palatino Linotype" w:hAnsi="Palatino Linotype"/>
          <w:color w:val="000000" w:themeColor="text1"/>
        </w:rPr>
        <w:t xml:space="preserve"> en el anterior párrafo 1, en respuesta, el </w:t>
      </w:r>
      <w:r w:rsidR="008E32EE" w:rsidRPr="008644F6">
        <w:rPr>
          <w:rFonts w:ascii="Palatino Linotype" w:hAnsi="Palatino Linotype"/>
          <w:b/>
          <w:color w:val="000000" w:themeColor="text1"/>
        </w:rPr>
        <w:t>SUJETO OBLIGADO</w:t>
      </w:r>
      <w:r w:rsidR="008E32EE" w:rsidRPr="008644F6">
        <w:rPr>
          <w:rFonts w:ascii="Palatino Linotype" w:hAnsi="Palatino Linotype"/>
          <w:color w:val="000000" w:themeColor="text1"/>
        </w:rPr>
        <w:t xml:space="preserve"> </w:t>
      </w:r>
      <w:r w:rsidR="00EB1CE2" w:rsidRPr="008644F6">
        <w:rPr>
          <w:rFonts w:ascii="Palatino Linotype" w:hAnsi="Palatino Linotype"/>
          <w:color w:val="000000" w:themeColor="text1"/>
        </w:rPr>
        <w:t xml:space="preserve">remitió un archivo de cuyo contenido se </w:t>
      </w:r>
      <w:r w:rsidR="009A1E0D">
        <w:rPr>
          <w:rFonts w:ascii="Palatino Linotype" w:hAnsi="Palatino Linotype"/>
          <w:color w:val="000000" w:themeColor="text1"/>
        </w:rPr>
        <w:t xml:space="preserve">desprende la declaratoria de incompetencia total para atender lo peticionado en la solicitud de información </w:t>
      </w:r>
      <w:r w:rsidR="007F3122">
        <w:rPr>
          <w:rFonts w:ascii="Palatino Linotype" w:hAnsi="Palatino Linotype"/>
          <w:color w:val="000000" w:themeColor="text1"/>
        </w:rPr>
        <w:t>00510/ZINACANT/IP/2023</w:t>
      </w:r>
      <w:r w:rsidR="009A1E0D">
        <w:rPr>
          <w:rFonts w:ascii="Palatino Linotype" w:hAnsi="Palatino Linotype"/>
          <w:color w:val="000000" w:themeColor="text1"/>
        </w:rPr>
        <w:t>, lo que provocó la inconformidad del particular aduciendo que no se entregó información.</w:t>
      </w:r>
    </w:p>
    <w:p w:rsidR="00C66A19" w:rsidRPr="008644F6" w:rsidRDefault="00C66A19" w:rsidP="008644F6">
      <w:pPr>
        <w:pStyle w:val="Prrafodelista"/>
        <w:spacing w:line="360" w:lineRule="auto"/>
        <w:ind w:left="0"/>
        <w:jc w:val="both"/>
        <w:rPr>
          <w:rFonts w:ascii="Palatino Linotype" w:hAnsi="Palatino Linotype"/>
          <w:color w:val="000000" w:themeColor="text1"/>
        </w:rPr>
      </w:pPr>
    </w:p>
    <w:p w:rsidR="00C66A19" w:rsidRPr="008644F6" w:rsidRDefault="00C66A19" w:rsidP="008644F6">
      <w:pPr>
        <w:numPr>
          <w:ilvl w:val="0"/>
          <w:numId w:val="15"/>
        </w:numPr>
        <w:spacing w:line="360" w:lineRule="auto"/>
        <w:ind w:left="0" w:firstLine="0"/>
        <w:contextualSpacing/>
        <w:jc w:val="both"/>
        <w:rPr>
          <w:rFonts w:ascii="Palatino Linotype" w:eastAsia="MS Mincho" w:hAnsi="Palatino Linotype" w:cs="Arial"/>
        </w:rPr>
      </w:pPr>
      <w:r w:rsidRPr="008644F6">
        <w:rPr>
          <w:rFonts w:ascii="Palatino Linotype" w:eastAsia="MS Mincho" w:hAnsi="Palatino Linotype" w:cs="Arial"/>
        </w:rPr>
        <w:t xml:space="preserve">En </w:t>
      </w:r>
      <w:r w:rsidRPr="008644F6">
        <w:rPr>
          <w:rFonts w:ascii="Palatino Linotype" w:hAnsi="Palatino Linotype" w:cs="Arial"/>
          <w:lang w:eastAsia="es-MX"/>
        </w:rPr>
        <w:t>dichas</w:t>
      </w:r>
      <w:r w:rsidRPr="008644F6">
        <w:rPr>
          <w:rFonts w:ascii="Palatino Linotype" w:eastAsia="Times New Roman" w:hAnsi="Palatino Linotype" w:cs="Arial"/>
        </w:rPr>
        <w:t xml:space="preserve"> condiciones, la </w:t>
      </w:r>
      <w:r w:rsidRPr="008644F6">
        <w:rPr>
          <w:rFonts w:ascii="Palatino Linotype" w:eastAsia="Times New Roman" w:hAnsi="Palatino Linotype" w:cs="Arial"/>
          <w:i/>
        </w:rPr>
        <w:t>Litis</w:t>
      </w:r>
      <w:r w:rsidR="009A1E0D">
        <w:rPr>
          <w:rFonts w:ascii="Palatino Linotype" w:eastAsia="Times New Roman" w:hAnsi="Palatino Linotype" w:cs="Arial"/>
        </w:rPr>
        <w:t xml:space="preserve"> a resolver en el</w:t>
      </w:r>
      <w:r w:rsidRPr="008644F6">
        <w:rPr>
          <w:rFonts w:ascii="Palatino Linotype" w:eastAsia="Times New Roman" w:hAnsi="Palatino Linotype" w:cs="Arial"/>
        </w:rPr>
        <w:t xml:space="preserve"> recurso </w:t>
      </w:r>
      <w:r w:rsidR="009A1E0D">
        <w:rPr>
          <w:rFonts w:ascii="Palatino Linotype" w:eastAsia="Times New Roman" w:hAnsi="Palatino Linotype" w:cs="Arial"/>
        </w:rPr>
        <w:t xml:space="preserve">de revisión </w:t>
      </w:r>
      <w:r w:rsidRPr="008644F6">
        <w:rPr>
          <w:rFonts w:ascii="Palatino Linotype" w:eastAsia="Times New Roman" w:hAnsi="Palatino Linotype" w:cs="Arial"/>
        </w:rPr>
        <w:t xml:space="preserve">se circunscribe a determinar si </w:t>
      </w:r>
      <w:r w:rsidRPr="008644F6">
        <w:rPr>
          <w:rFonts w:ascii="Palatino Linotype" w:eastAsia="MS Mincho" w:hAnsi="Palatino Linotype" w:cs="Arial"/>
        </w:rPr>
        <w:t xml:space="preserve">se actualiza la causal de procedencia prevista en el artículo 179, </w:t>
      </w:r>
      <w:r w:rsidRPr="008644F6">
        <w:rPr>
          <w:rFonts w:ascii="Palatino Linotype" w:eastAsia="MS Mincho" w:hAnsi="Palatino Linotype" w:cs="Arial"/>
          <w:b/>
        </w:rPr>
        <w:t xml:space="preserve">fracciones I </w:t>
      </w:r>
      <w:r w:rsidRPr="008644F6">
        <w:rPr>
          <w:rFonts w:ascii="Palatino Linotype" w:eastAsia="MS Mincho" w:hAnsi="Palatino Linotype" w:cs="Arial"/>
        </w:rPr>
        <w:t xml:space="preserve">de la </w:t>
      </w:r>
      <w:r w:rsidRPr="008644F6">
        <w:rPr>
          <w:rFonts w:ascii="Palatino Linotype" w:eastAsia="MS Mincho" w:hAnsi="Palatino Linotype" w:cs="Arial"/>
          <w:b/>
        </w:rPr>
        <w:t>Ley de Transparencia y Acceso a la Información Pública del Estado de México y Municipios</w:t>
      </w:r>
      <w:r w:rsidRPr="008644F6">
        <w:rPr>
          <w:rFonts w:ascii="Palatino Linotype" w:eastAsia="MS Mincho" w:hAnsi="Palatino Linotype" w:cs="Arial"/>
        </w:rPr>
        <w:t xml:space="preserve">; </w:t>
      </w:r>
      <w:r w:rsidRPr="008644F6">
        <w:rPr>
          <w:rFonts w:ascii="Palatino Linotype" w:eastAsia="Times New Roman" w:hAnsi="Palatino Linotype" w:cs="Arial"/>
          <w:color w:val="000000" w:themeColor="text1"/>
          <w:lang w:val="es-ES" w:eastAsia="es-MX"/>
        </w:rPr>
        <w:t xml:space="preserve">fracción que determina la hipótesis jurídica relativa a la negativa de la información solicitada; </w:t>
      </w:r>
      <w:r w:rsidRPr="008644F6">
        <w:rPr>
          <w:rFonts w:ascii="Palatino Linotype" w:eastAsia="MS Mincho" w:hAnsi="Palatino Linotype" w:cs="Arial"/>
        </w:rPr>
        <w:t xml:space="preserve">contexto del cual se dolió </w:t>
      </w:r>
      <w:r w:rsidR="00DC3A50" w:rsidRPr="008644F6">
        <w:rPr>
          <w:rFonts w:ascii="Palatino Linotype" w:eastAsia="MS Mincho" w:hAnsi="Palatino Linotype" w:cs="Arial"/>
          <w:b/>
        </w:rPr>
        <w:t>EL RECURRENTE</w:t>
      </w:r>
      <w:r w:rsidRPr="008644F6">
        <w:rPr>
          <w:rFonts w:ascii="Palatino Linotype" w:eastAsia="MS Mincho" w:hAnsi="Palatino Linotype" w:cs="Arial"/>
          <w:b/>
        </w:rPr>
        <w:t xml:space="preserve"> </w:t>
      </w:r>
      <w:r w:rsidRPr="008644F6">
        <w:rPr>
          <w:rFonts w:ascii="Palatino Linotype" w:eastAsia="MS Mincho" w:hAnsi="Palatino Linotype" w:cs="Arial"/>
        </w:rPr>
        <w:t>al momento de interponer su inconformidad.</w:t>
      </w:r>
      <w:r w:rsidRPr="008644F6">
        <w:rPr>
          <w:rFonts w:ascii="Palatino Linotype" w:eastAsia="Times New Roman" w:hAnsi="Palatino Linotype" w:cs="Arial"/>
          <w:color w:val="000000" w:themeColor="text1"/>
          <w:lang w:val="es-ES" w:eastAsia="es-MX"/>
        </w:rPr>
        <w:t xml:space="preserve"> De modo tal </w:t>
      </w:r>
      <w:r w:rsidRPr="008644F6">
        <w:rPr>
          <w:rFonts w:ascii="Palatino Linotype" w:hAnsi="Palatino Linotype" w:cs="Arial"/>
          <w:color w:val="000000" w:themeColor="text1"/>
        </w:rPr>
        <w:t xml:space="preserve">que el presente recurso de revisión se abocara en determinar si el </w:t>
      </w:r>
      <w:r w:rsidRPr="008644F6">
        <w:rPr>
          <w:rFonts w:ascii="Palatino Linotype" w:hAnsi="Palatino Linotype" w:cs="Arial"/>
          <w:b/>
          <w:color w:val="000000" w:themeColor="text1"/>
        </w:rPr>
        <w:t>SUJETO</w:t>
      </w:r>
      <w:r w:rsidRPr="008644F6">
        <w:rPr>
          <w:rFonts w:ascii="Palatino Linotype" w:hAnsi="Palatino Linotype" w:cs="Arial"/>
          <w:color w:val="000000" w:themeColor="text1"/>
        </w:rPr>
        <w:t xml:space="preserve"> </w:t>
      </w:r>
      <w:r w:rsidRPr="008644F6">
        <w:rPr>
          <w:rFonts w:ascii="Palatino Linotype" w:hAnsi="Palatino Linotype" w:cs="Arial"/>
          <w:b/>
          <w:color w:val="000000" w:themeColor="text1"/>
        </w:rPr>
        <w:t>OBLIGADO</w:t>
      </w:r>
      <w:r w:rsidRPr="008644F6">
        <w:rPr>
          <w:rFonts w:ascii="Palatino Linotype" w:hAnsi="Palatino Linotype" w:cs="Arial"/>
          <w:color w:val="000000" w:themeColor="text1"/>
        </w:rPr>
        <w:t xml:space="preserve"> con su respuesta ciertamente </w:t>
      </w:r>
      <w:r w:rsidRPr="008644F6">
        <w:rPr>
          <w:rFonts w:ascii="Palatino Linotype" w:eastAsia="Times New Roman" w:hAnsi="Palatino Linotype"/>
          <w:color w:val="000000" w:themeColor="text1"/>
        </w:rPr>
        <w:t>actualiza la causal de procedencia</w:t>
      </w:r>
      <w:r w:rsidRPr="008644F6">
        <w:rPr>
          <w:rFonts w:ascii="Palatino Linotype" w:eastAsia="Times New Roman" w:hAnsi="Palatino Linotype"/>
          <w:b/>
          <w:color w:val="000000" w:themeColor="text1"/>
        </w:rPr>
        <w:t xml:space="preserve"> </w:t>
      </w:r>
      <w:r w:rsidRPr="008644F6">
        <w:rPr>
          <w:rFonts w:ascii="Palatino Linotype" w:eastAsia="Times New Roman" w:hAnsi="Palatino Linotype" w:cs="Arial"/>
          <w:color w:val="000000" w:themeColor="text1"/>
          <w:lang w:eastAsia="es-MX"/>
        </w:rPr>
        <w:t xml:space="preserve">antes señalada. Así </w:t>
      </w:r>
      <w:r w:rsidRPr="008644F6">
        <w:rPr>
          <w:rFonts w:ascii="Palatino Linotype" w:eastAsia="Times New Roman" w:hAnsi="Palatino Linotype" w:cs="Arial"/>
          <w:color w:val="000000" w:themeColor="text1"/>
          <w:lang w:eastAsia="es-MX"/>
        </w:rPr>
        <w:lastRenderedPageBreak/>
        <w:t>como comprobar si la respuesta emitida resulta congruente e integral en términos del artículo 11 de la ley de la materia.</w:t>
      </w:r>
    </w:p>
    <w:p w:rsidR="00C66A19" w:rsidRPr="008644F6" w:rsidRDefault="00C66A19" w:rsidP="008644F6">
      <w:pPr>
        <w:spacing w:line="360" w:lineRule="auto"/>
        <w:jc w:val="both"/>
        <w:rPr>
          <w:rFonts w:ascii="Palatino Linotype" w:hAnsi="Palatino Linotype"/>
          <w:color w:val="000000" w:themeColor="text1"/>
        </w:rPr>
      </w:pPr>
    </w:p>
    <w:p w:rsidR="00C66A19" w:rsidRPr="008644F6" w:rsidRDefault="00C66A19" w:rsidP="008644F6">
      <w:pPr>
        <w:pStyle w:val="Ttulo1"/>
        <w:spacing w:before="0" w:line="360" w:lineRule="auto"/>
        <w:jc w:val="both"/>
        <w:rPr>
          <w:rFonts w:ascii="Palatino Linotype" w:hAnsi="Palatino Linotype"/>
          <w:b/>
          <w:color w:val="000000" w:themeColor="text1"/>
          <w:sz w:val="24"/>
          <w:szCs w:val="24"/>
        </w:rPr>
      </w:pPr>
      <w:r w:rsidRPr="008644F6">
        <w:rPr>
          <w:rFonts w:ascii="Palatino Linotype" w:hAnsi="Palatino Linotype"/>
          <w:b/>
          <w:color w:val="000000" w:themeColor="text1"/>
          <w:sz w:val="24"/>
          <w:szCs w:val="24"/>
        </w:rPr>
        <w:t>CUARTO. Del estudio y resolución del asunto</w:t>
      </w:r>
    </w:p>
    <w:p w:rsidR="00134CE6" w:rsidRPr="008644F6" w:rsidRDefault="00134CE6" w:rsidP="008644F6">
      <w:pPr>
        <w:pStyle w:val="Prrafodelista"/>
        <w:spacing w:line="360" w:lineRule="auto"/>
        <w:jc w:val="both"/>
        <w:rPr>
          <w:rFonts w:ascii="Palatino Linotype" w:hAnsi="Palatino Linotype"/>
          <w:color w:val="000000" w:themeColor="text1"/>
        </w:rPr>
      </w:pPr>
    </w:p>
    <w:p w:rsidR="00060552" w:rsidRPr="008644F6" w:rsidRDefault="00C66A19" w:rsidP="008644F6">
      <w:pPr>
        <w:pStyle w:val="Prrafodelista"/>
        <w:numPr>
          <w:ilvl w:val="0"/>
          <w:numId w:val="15"/>
        </w:numPr>
        <w:spacing w:line="360" w:lineRule="auto"/>
        <w:ind w:left="0" w:firstLine="0"/>
        <w:jc w:val="both"/>
        <w:rPr>
          <w:rFonts w:ascii="Palatino Linotype" w:hAnsi="Palatino Linotype"/>
          <w:color w:val="000000" w:themeColor="text1"/>
        </w:rPr>
      </w:pPr>
      <w:r w:rsidRPr="008644F6">
        <w:rPr>
          <w:rFonts w:ascii="Palatino Linotype" w:hAnsi="Palatino Linotype"/>
          <w:color w:val="000000" w:themeColor="text1"/>
        </w:rPr>
        <w:t>Acotada la</w:t>
      </w:r>
      <w:r w:rsidRPr="008644F6">
        <w:rPr>
          <w:rFonts w:ascii="Palatino Linotype" w:hAnsi="Palatino Linotype"/>
          <w:i/>
          <w:color w:val="000000" w:themeColor="text1"/>
        </w:rPr>
        <w:t xml:space="preserve"> Litis</w:t>
      </w:r>
      <w:r w:rsidRPr="008644F6">
        <w:rPr>
          <w:rFonts w:ascii="Palatino Linotype" w:hAnsi="Palatino Linotype"/>
          <w:color w:val="000000" w:themeColor="text1"/>
        </w:rPr>
        <w:t>,</w:t>
      </w:r>
      <w:r w:rsidR="004900B4" w:rsidRPr="008644F6">
        <w:rPr>
          <w:rFonts w:ascii="Palatino Linotype" w:hAnsi="Palatino Linotype"/>
          <w:color w:val="000000" w:themeColor="text1"/>
        </w:rPr>
        <w:t xml:space="preserve"> es dable primeramente señalar</w:t>
      </w:r>
      <w:r w:rsidR="00060552" w:rsidRPr="008644F6">
        <w:rPr>
          <w:rFonts w:ascii="Palatino Linotype" w:hAnsi="Palatino Linotype"/>
          <w:color w:val="000000" w:themeColor="text1"/>
        </w:rPr>
        <w:t xml:space="preserve"> contrario a lo señalado por el ahora </w:t>
      </w:r>
      <w:r w:rsidR="00060552" w:rsidRPr="008644F6">
        <w:rPr>
          <w:rFonts w:ascii="Palatino Linotype" w:hAnsi="Palatino Linotype"/>
          <w:b/>
          <w:color w:val="000000" w:themeColor="text1"/>
        </w:rPr>
        <w:t>RECURRENTE</w:t>
      </w:r>
      <w:r w:rsidR="00060552" w:rsidRPr="008644F6">
        <w:rPr>
          <w:rFonts w:ascii="Palatino Linotype" w:hAnsi="Palatino Linotype"/>
          <w:color w:val="000000" w:themeColor="text1"/>
        </w:rPr>
        <w:t xml:space="preserve"> si se entregó información de acuerdo a las constancias que obran en el expediente electrónico en que se actúa, por lo que al no advertirse una falta de entrega de información relacionada con lo solicitado, un silencio de la autoridad</w:t>
      </w:r>
      <w:r w:rsidR="00247898" w:rsidRPr="008644F6">
        <w:rPr>
          <w:rFonts w:ascii="Palatino Linotype" w:hAnsi="Palatino Linotype"/>
          <w:color w:val="000000" w:themeColor="text1"/>
        </w:rPr>
        <w:t xml:space="preserve">, una </w:t>
      </w:r>
      <w:r w:rsidR="00736A4D" w:rsidRPr="008644F6">
        <w:rPr>
          <w:rFonts w:ascii="Palatino Linotype" w:hAnsi="Palatino Linotype"/>
          <w:color w:val="000000" w:themeColor="text1"/>
        </w:rPr>
        <w:t>negativa a la información solicitada</w:t>
      </w:r>
      <w:r w:rsidR="00060552" w:rsidRPr="008644F6">
        <w:rPr>
          <w:rFonts w:ascii="Palatino Linotype" w:hAnsi="Palatino Linotype"/>
          <w:color w:val="000000" w:themeColor="text1"/>
        </w:rPr>
        <w:t xml:space="preserve"> y al no haberse impugnado toda o en parte la información entregada en respuesta, se logra concluir con claridad que los motivos de inconformidad son </w:t>
      </w:r>
      <w:r w:rsidR="004900B4" w:rsidRPr="008644F6">
        <w:rPr>
          <w:rFonts w:ascii="Palatino Linotype" w:hAnsi="Palatino Linotype"/>
          <w:color w:val="000000" w:themeColor="text1"/>
        </w:rPr>
        <w:t>parcialmente procedentes</w:t>
      </w:r>
      <w:r w:rsidRPr="008644F6">
        <w:rPr>
          <w:rFonts w:ascii="Palatino Linotype" w:hAnsi="Palatino Linotype"/>
          <w:color w:val="000000" w:themeColor="text1"/>
        </w:rPr>
        <w:t>.</w:t>
      </w:r>
    </w:p>
    <w:p w:rsidR="00060552" w:rsidRPr="008644F6" w:rsidRDefault="00060552" w:rsidP="008644F6">
      <w:pPr>
        <w:pStyle w:val="Prrafodelista"/>
        <w:spacing w:line="360" w:lineRule="auto"/>
        <w:ind w:left="0"/>
        <w:jc w:val="both"/>
        <w:rPr>
          <w:rFonts w:ascii="Palatino Linotype" w:hAnsi="Palatino Linotype"/>
          <w:color w:val="000000" w:themeColor="text1"/>
        </w:rPr>
      </w:pPr>
    </w:p>
    <w:p w:rsidR="00C66A19" w:rsidRDefault="00C66A19" w:rsidP="008644F6">
      <w:pPr>
        <w:pStyle w:val="Prrafodelista"/>
        <w:numPr>
          <w:ilvl w:val="0"/>
          <w:numId w:val="15"/>
        </w:numPr>
        <w:spacing w:line="360" w:lineRule="auto"/>
        <w:ind w:left="0" w:firstLine="0"/>
        <w:jc w:val="both"/>
        <w:rPr>
          <w:rFonts w:ascii="Palatino Linotype" w:hAnsi="Palatino Linotype"/>
          <w:color w:val="000000" w:themeColor="text1"/>
        </w:rPr>
      </w:pPr>
      <w:r w:rsidRPr="008644F6">
        <w:rPr>
          <w:rFonts w:ascii="Palatino Linotype" w:hAnsi="Palatino Linotype"/>
          <w:color w:val="000000" w:themeColor="text1"/>
        </w:rPr>
        <w:t xml:space="preserve">Ahora bien, respecto de lo entregado, se advierte con claridad que como se plasmó en el anterior Párrafo 2, si existió un pronunciamiento al respecto, </w:t>
      </w:r>
      <w:r w:rsidR="00F7578B">
        <w:rPr>
          <w:rFonts w:ascii="Palatino Linotype" w:hAnsi="Palatino Linotype"/>
          <w:color w:val="000000" w:themeColor="text1"/>
        </w:rPr>
        <w:t>aú</w:t>
      </w:r>
      <w:r w:rsidR="00E9137F">
        <w:rPr>
          <w:rFonts w:ascii="Palatino Linotype" w:hAnsi="Palatino Linotype"/>
          <w:color w:val="000000" w:themeColor="text1"/>
        </w:rPr>
        <w:t xml:space="preserve">n y cuando este fuera en un sentido contrario a la pretensión del solicitante, en virtud de que a decir del </w:t>
      </w:r>
      <w:r w:rsidR="00E9137F">
        <w:rPr>
          <w:rFonts w:ascii="Palatino Linotype" w:hAnsi="Palatino Linotype"/>
          <w:b/>
          <w:color w:val="000000" w:themeColor="text1"/>
        </w:rPr>
        <w:t>SUJETO OBLIGADO</w:t>
      </w:r>
      <w:r w:rsidR="00E9137F">
        <w:rPr>
          <w:rFonts w:ascii="Palatino Linotype" w:hAnsi="Palatino Linotype"/>
          <w:color w:val="000000" w:themeColor="text1"/>
        </w:rPr>
        <w:t xml:space="preserve"> es incompetente para emitir un pronunciamiento y colmar la solicitud de información al no corresponder a sus facultades ya atribuciones.</w:t>
      </w:r>
    </w:p>
    <w:p w:rsidR="00E9137F" w:rsidRPr="00E9137F" w:rsidRDefault="00E9137F" w:rsidP="00E9137F">
      <w:pPr>
        <w:pStyle w:val="Prrafodelista"/>
        <w:rPr>
          <w:rFonts w:ascii="Palatino Linotype" w:hAnsi="Palatino Linotype"/>
          <w:color w:val="000000" w:themeColor="text1"/>
        </w:rPr>
      </w:pPr>
    </w:p>
    <w:p w:rsidR="00E9137F" w:rsidRDefault="00E9137F" w:rsidP="00E9137F">
      <w:pPr>
        <w:pStyle w:val="Prrafodelista"/>
        <w:numPr>
          <w:ilvl w:val="0"/>
          <w:numId w:val="15"/>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En ese sentido, debe señalarse que la Ley Orgánica Municipal del Estado d</w:t>
      </w:r>
      <w:r w:rsidRPr="00E9137F">
        <w:rPr>
          <w:rFonts w:ascii="Palatino Linotype" w:hAnsi="Palatino Linotype"/>
          <w:color w:val="000000" w:themeColor="text1"/>
        </w:rPr>
        <w:t>e México</w:t>
      </w:r>
      <w:r>
        <w:rPr>
          <w:rFonts w:ascii="Palatino Linotype" w:hAnsi="Palatino Linotype"/>
          <w:color w:val="000000" w:themeColor="text1"/>
        </w:rPr>
        <w:t>, establece la integración e instalación de los Ayuntamientos de la siguiente manera:</w:t>
      </w:r>
    </w:p>
    <w:p w:rsidR="00E9137F" w:rsidRPr="00E9137F" w:rsidRDefault="00E9137F" w:rsidP="00E9137F">
      <w:pPr>
        <w:pStyle w:val="Prrafodelista"/>
        <w:rPr>
          <w:rFonts w:ascii="Palatino Linotype" w:hAnsi="Palatino Linotype"/>
          <w:color w:val="000000" w:themeColor="text1"/>
        </w:rPr>
      </w:pPr>
    </w:p>
    <w:p w:rsidR="00E9137F" w:rsidRPr="00FF1CE3" w:rsidRDefault="00E9137F" w:rsidP="00E9137F">
      <w:pPr>
        <w:pStyle w:val="Prrafodelista"/>
        <w:spacing w:line="360" w:lineRule="auto"/>
        <w:ind w:left="567" w:right="474"/>
        <w:jc w:val="both"/>
        <w:rPr>
          <w:rFonts w:ascii="Palatino Linotype" w:hAnsi="Palatino Linotype"/>
          <w:i/>
          <w:color w:val="000000" w:themeColor="text1"/>
          <w:sz w:val="22"/>
        </w:rPr>
      </w:pPr>
      <w:r w:rsidRPr="00FF1CE3">
        <w:rPr>
          <w:rFonts w:ascii="Palatino Linotype" w:hAnsi="Palatino Linotype"/>
          <w:i/>
          <w:color w:val="000000" w:themeColor="text1"/>
          <w:sz w:val="22"/>
        </w:rPr>
        <w:lastRenderedPageBreak/>
        <w:t xml:space="preserve">“Artículo 15.- Cada municipio será gobernado por un </w:t>
      </w:r>
      <w:r w:rsidRPr="00FF1CE3">
        <w:rPr>
          <w:rFonts w:ascii="Palatino Linotype" w:hAnsi="Palatino Linotype"/>
          <w:b/>
          <w:i/>
          <w:color w:val="000000" w:themeColor="text1"/>
          <w:sz w:val="22"/>
        </w:rPr>
        <w:t>ayuntamiento de elección popular directa</w:t>
      </w:r>
      <w:r w:rsidRPr="00FF1CE3">
        <w:rPr>
          <w:rFonts w:ascii="Palatino Linotype" w:hAnsi="Palatino Linotype"/>
          <w:i/>
          <w:color w:val="000000" w:themeColor="text1"/>
          <w:sz w:val="22"/>
        </w:rPr>
        <w:t xml:space="preserve"> y no habrá ninguna autoridad intermedia entre éste y el Gobierno del Estado.</w:t>
      </w:r>
    </w:p>
    <w:p w:rsidR="00E9137F" w:rsidRPr="00FF1CE3" w:rsidRDefault="00E9137F" w:rsidP="00E9137F">
      <w:pPr>
        <w:pStyle w:val="Prrafodelista"/>
        <w:spacing w:line="360" w:lineRule="auto"/>
        <w:ind w:left="567" w:right="474"/>
        <w:jc w:val="both"/>
        <w:rPr>
          <w:rFonts w:ascii="Palatino Linotype" w:hAnsi="Palatino Linotype"/>
          <w:i/>
          <w:color w:val="000000" w:themeColor="text1"/>
          <w:sz w:val="22"/>
        </w:rPr>
      </w:pPr>
      <w:r w:rsidRPr="00FF1CE3">
        <w:rPr>
          <w:rFonts w:ascii="Palatino Linotype" w:hAnsi="Palatino Linotype"/>
          <w:i/>
          <w:color w:val="000000" w:themeColor="text1"/>
          <w:sz w:val="22"/>
        </w:rPr>
        <w:t xml:space="preserve">Los integrantes de los ayuntamientos de </w:t>
      </w:r>
      <w:r w:rsidRPr="00FF1CE3">
        <w:rPr>
          <w:rFonts w:ascii="Palatino Linotype" w:hAnsi="Palatino Linotype"/>
          <w:b/>
          <w:i/>
          <w:color w:val="000000" w:themeColor="text1"/>
          <w:sz w:val="22"/>
        </w:rPr>
        <w:t>elección popular</w:t>
      </w:r>
      <w:r w:rsidRPr="00FF1CE3">
        <w:rPr>
          <w:rFonts w:ascii="Palatino Linotype" w:hAnsi="Palatino Linotype"/>
          <w:i/>
          <w:color w:val="000000" w:themeColor="text1"/>
          <w:sz w:val="22"/>
        </w:rPr>
        <w:t xml:space="preserve"> deberán cumplir con los requisitos previstos por la ley, y no estar impedidos para el desempeño de sus cargos, de acuerdo con los artículos 119 y 120 de la Constitución Política del Estado Libre y Soberano de México </w:t>
      </w:r>
      <w:r w:rsidRPr="00FF1CE3">
        <w:rPr>
          <w:rFonts w:ascii="Palatino Linotype" w:hAnsi="Palatino Linotype"/>
          <w:b/>
          <w:i/>
          <w:color w:val="000000" w:themeColor="text1"/>
          <w:sz w:val="22"/>
        </w:rPr>
        <w:t>y se elegirán conforme a los principios de mayoría relativa y de representación proporcional</w:t>
      </w:r>
      <w:r w:rsidRPr="00FF1CE3">
        <w:rPr>
          <w:rFonts w:ascii="Palatino Linotype" w:hAnsi="Palatino Linotype"/>
          <w:i/>
          <w:color w:val="000000" w:themeColor="text1"/>
          <w:sz w:val="22"/>
        </w:rPr>
        <w:t>, con dominante mayoritario.</w:t>
      </w:r>
    </w:p>
    <w:p w:rsidR="00E9137F" w:rsidRPr="00FF1CE3" w:rsidRDefault="00E9137F" w:rsidP="00E9137F">
      <w:pPr>
        <w:pStyle w:val="Prrafodelista"/>
        <w:spacing w:line="360" w:lineRule="auto"/>
        <w:ind w:left="567" w:right="474"/>
        <w:jc w:val="both"/>
        <w:rPr>
          <w:rFonts w:ascii="Palatino Linotype" w:hAnsi="Palatino Linotype"/>
          <w:i/>
          <w:color w:val="000000" w:themeColor="text1"/>
          <w:sz w:val="22"/>
        </w:rPr>
      </w:pPr>
    </w:p>
    <w:p w:rsidR="00E9137F" w:rsidRPr="00FF1CE3" w:rsidRDefault="00E9137F" w:rsidP="00E9137F">
      <w:pPr>
        <w:pStyle w:val="Prrafodelista"/>
        <w:spacing w:line="360" w:lineRule="auto"/>
        <w:ind w:left="567" w:right="474"/>
        <w:jc w:val="both"/>
        <w:rPr>
          <w:rFonts w:ascii="Palatino Linotype" w:hAnsi="Palatino Linotype"/>
          <w:i/>
          <w:color w:val="000000" w:themeColor="text1"/>
          <w:sz w:val="22"/>
        </w:rPr>
      </w:pPr>
      <w:r w:rsidRPr="00FF1CE3">
        <w:rPr>
          <w:rFonts w:ascii="Palatino Linotype" w:hAnsi="Palatino Linotype"/>
          <w:i/>
          <w:color w:val="000000" w:themeColor="text1"/>
          <w:sz w:val="22"/>
        </w:rPr>
        <w:t>Artículo 16.- Los Ayuntamientos se renovarán cada tres años, iniciarán su periodo el 1 de enero del año inmediato siguiente al de las elecciones municipales ordinarias y concluirán el 31 de diciembre del año de las elecciones para su renovación; y se integrarán por:</w:t>
      </w:r>
    </w:p>
    <w:p w:rsidR="00E9137F" w:rsidRPr="00FF1CE3" w:rsidRDefault="00E9137F" w:rsidP="00E9137F">
      <w:pPr>
        <w:pStyle w:val="Prrafodelista"/>
        <w:spacing w:line="360" w:lineRule="auto"/>
        <w:ind w:left="567" w:right="474"/>
        <w:jc w:val="both"/>
        <w:rPr>
          <w:rFonts w:ascii="Palatino Linotype" w:hAnsi="Palatino Linotype"/>
          <w:i/>
          <w:color w:val="000000" w:themeColor="text1"/>
          <w:sz w:val="22"/>
        </w:rPr>
      </w:pPr>
      <w:r w:rsidRPr="00FF1CE3">
        <w:rPr>
          <w:rFonts w:ascii="Palatino Linotype" w:hAnsi="Palatino Linotype"/>
          <w:i/>
          <w:color w:val="000000" w:themeColor="text1"/>
          <w:sz w:val="22"/>
        </w:rPr>
        <w:t xml:space="preserve">I. Un presidente, un síndico y </w:t>
      </w:r>
      <w:r w:rsidRPr="00FF1CE3">
        <w:rPr>
          <w:rFonts w:ascii="Palatino Linotype" w:hAnsi="Palatino Linotype"/>
          <w:b/>
          <w:i/>
          <w:color w:val="000000" w:themeColor="text1"/>
          <w:sz w:val="22"/>
        </w:rPr>
        <w:t>cuatro regidores, electos por planilla según el principio de mayoría relativa, y tres regidores designados según el principio de representación proporcional</w:t>
      </w:r>
      <w:r w:rsidRPr="00FF1CE3">
        <w:rPr>
          <w:rFonts w:ascii="Palatino Linotype" w:hAnsi="Palatino Linotype"/>
          <w:i/>
          <w:color w:val="000000" w:themeColor="text1"/>
          <w:sz w:val="22"/>
        </w:rPr>
        <w:t>, cuando se trate de municipios que tengan una población de menos 150 mil habitantes.</w:t>
      </w:r>
    </w:p>
    <w:p w:rsidR="00E9137F" w:rsidRPr="00FF1CE3" w:rsidRDefault="00E9137F" w:rsidP="00E9137F">
      <w:pPr>
        <w:pStyle w:val="Prrafodelista"/>
        <w:spacing w:line="360" w:lineRule="auto"/>
        <w:ind w:left="567" w:right="474"/>
        <w:jc w:val="both"/>
        <w:rPr>
          <w:rFonts w:ascii="Palatino Linotype" w:hAnsi="Palatino Linotype"/>
          <w:i/>
          <w:color w:val="000000" w:themeColor="text1"/>
          <w:sz w:val="22"/>
        </w:rPr>
      </w:pPr>
      <w:r w:rsidRPr="00FF1CE3">
        <w:rPr>
          <w:rFonts w:ascii="Palatino Linotype" w:hAnsi="Palatino Linotype"/>
          <w:i/>
          <w:color w:val="000000" w:themeColor="text1"/>
          <w:sz w:val="22"/>
        </w:rPr>
        <w:t xml:space="preserve">II. Un presidente, un síndico y </w:t>
      </w:r>
      <w:r w:rsidRPr="00FF1CE3">
        <w:rPr>
          <w:rFonts w:ascii="Palatino Linotype" w:hAnsi="Palatino Linotype"/>
          <w:b/>
          <w:i/>
          <w:color w:val="000000" w:themeColor="text1"/>
          <w:sz w:val="22"/>
        </w:rPr>
        <w:t>cinco regidores, electos por planilla según el principio de mayoría relativa, y cuatro regidores designados según el principio de representación proporcional</w:t>
      </w:r>
      <w:r w:rsidRPr="00FF1CE3">
        <w:rPr>
          <w:rFonts w:ascii="Palatino Linotype" w:hAnsi="Palatino Linotype"/>
          <w:i/>
          <w:color w:val="000000" w:themeColor="text1"/>
          <w:sz w:val="22"/>
        </w:rPr>
        <w:t>, cuando se trate de municipios que tengan una población de más de 150 mil habitantes y menos de 500 mil habitantes.</w:t>
      </w:r>
    </w:p>
    <w:p w:rsidR="00E9137F" w:rsidRPr="00FF1CE3" w:rsidRDefault="00E9137F" w:rsidP="00E9137F">
      <w:pPr>
        <w:pStyle w:val="Prrafodelista"/>
        <w:spacing w:line="360" w:lineRule="auto"/>
        <w:ind w:left="567" w:right="474"/>
        <w:jc w:val="both"/>
        <w:rPr>
          <w:rFonts w:ascii="Palatino Linotype" w:hAnsi="Palatino Linotype"/>
          <w:i/>
          <w:color w:val="000000" w:themeColor="text1"/>
          <w:sz w:val="22"/>
        </w:rPr>
      </w:pPr>
      <w:r w:rsidRPr="00FF1CE3">
        <w:rPr>
          <w:rFonts w:ascii="Palatino Linotype" w:hAnsi="Palatino Linotype"/>
          <w:i/>
          <w:color w:val="000000" w:themeColor="text1"/>
          <w:sz w:val="22"/>
        </w:rPr>
        <w:t xml:space="preserve">III. Un presidente, un síndico y </w:t>
      </w:r>
      <w:r w:rsidRPr="00FF1CE3">
        <w:rPr>
          <w:rFonts w:ascii="Palatino Linotype" w:hAnsi="Palatino Linotype"/>
          <w:b/>
          <w:i/>
          <w:color w:val="000000" w:themeColor="text1"/>
          <w:sz w:val="22"/>
        </w:rPr>
        <w:t>siete regidores, electos por planilla según el principio de mayoría relativa; un síndico y cinco regidores designados según el principio de representación proporcional,</w:t>
      </w:r>
      <w:r w:rsidRPr="00FF1CE3">
        <w:rPr>
          <w:rFonts w:ascii="Palatino Linotype" w:hAnsi="Palatino Linotype"/>
          <w:i/>
          <w:color w:val="000000" w:themeColor="text1"/>
          <w:sz w:val="22"/>
        </w:rPr>
        <w:t xml:space="preserve"> cuando se trate de municipios que tengan una población de más de 500 mil habitantes. </w:t>
      </w:r>
    </w:p>
    <w:p w:rsidR="00E9137F" w:rsidRPr="00FF1CE3" w:rsidRDefault="00E9137F" w:rsidP="00E9137F">
      <w:pPr>
        <w:pStyle w:val="Prrafodelista"/>
        <w:spacing w:line="360" w:lineRule="auto"/>
        <w:ind w:left="567" w:right="474"/>
        <w:jc w:val="both"/>
        <w:rPr>
          <w:rFonts w:ascii="Palatino Linotype" w:hAnsi="Palatino Linotype"/>
          <w:i/>
          <w:color w:val="000000" w:themeColor="text1"/>
          <w:sz w:val="22"/>
        </w:rPr>
      </w:pPr>
      <w:r w:rsidRPr="00FF1CE3">
        <w:rPr>
          <w:rFonts w:ascii="Palatino Linotype" w:hAnsi="Palatino Linotype"/>
          <w:i/>
          <w:color w:val="000000" w:themeColor="text1"/>
          <w:sz w:val="22"/>
        </w:rPr>
        <w:t>IV. Derogada.”</w:t>
      </w:r>
    </w:p>
    <w:p w:rsidR="00E9137F" w:rsidRDefault="00E9137F" w:rsidP="00F7578B">
      <w:pPr>
        <w:pStyle w:val="Prrafodelista"/>
        <w:numPr>
          <w:ilvl w:val="0"/>
          <w:numId w:val="15"/>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lastRenderedPageBreak/>
        <w:t xml:space="preserve">De lo anterior se concluye que la </w:t>
      </w:r>
      <w:r w:rsidRPr="00E9137F">
        <w:rPr>
          <w:rFonts w:ascii="Palatino Linotype" w:hAnsi="Palatino Linotype"/>
          <w:color w:val="000000" w:themeColor="text1"/>
        </w:rPr>
        <w:t>elección de regidores en el Estado de México sigue un proceso electoral</w:t>
      </w:r>
      <w:r>
        <w:rPr>
          <w:rFonts w:ascii="Palatino Linotype" w:hAnsi="Palatino Linotype"/>
          <w:color w:val="000000" w:themeColor="text1"/>
        </w:rPr>
        <w:t xml:space="preserve">. En ese contexto, es el </w:t>
      </w:r>
      <w:r w:rsidRPr="00E9137F">
        <w:rPr>
          <w:rFonts w:ascii="Palatino Linotype" w:hAnsi="Palatino Linotype"/>
          <w:color w:val="000000" w:themeColor="text1"/>
        </w:rPr>
        <w:t>Instituto Electoral del Estado de México (IEEM)</w:t>
      </w:r>
      <w:r>
        <w:rPr>
          <w:rFonts w:ascii="Palatino Linotype" w:hAnsi="Palatino Linotype"/>
          <w:color w:val="000000" w:themeColor="text1"/>
        </w:rPr>
        <w:t xml:space="preserve">, el ente organizador de elecciones </w:t>
      </w:r>
      <w:r w:rsidR="00F7578B">
        <w:rPr>
          <w:rFonts w:ascii="Palatino Linotype" w:hAnsi="Palatino Linotype"/>
          <w:color w:val="000000" w:themeColor="text1"/>
        </w:rPr>
        <w:t>para autoridades municipales en la Entidad.</w:t>
      </w:r>
    </w:p>
    <w:p w:rsidR="00F7578B" w:rsidRDefault="00F7578B" w:rsidP="00F7578B">
      <w:pPr>
        <w:pStyle w:val="Prrafodelista"/>
        <w:spacing w:line="360" w:lineRule="auto"/>
        <w:ind w:left="0"/>
        <w:jc w:val="both"/>
        <w:rPr>
          <w:rFonts w:ascii="Palatino Linotype" w:hAnsi="Palatino Linotype"/>
          <w:color w:val="000000" w:themeColor="text1"/>
        </w:rPr>
      </w:pPr>
    </w:p>
    <w:p w:rsidR="00F7578B" w:rsidRDefault="00F7578B" w:rsidP="00F7578B">
      <w:pPr>
        <w:pStyle w:val="Prrafodelista"/>
        <w:numPr>
          <w:ilvl w:val="0"/>
          <w:numId w:val="15"/>
        </w:numPr>
        <w:spacing w:line="360" w:lineRule="auto"/>
        <w:ind w:left="0" w:firstLine="0"/>
        <w:jc w:val="both"/>
        <w:rPr>
          <w:rFonts w:ascii="Palatino Linotype" w:hAnsi="Palatino Linotype"/>
          <w:color w:val="000000" w:themeColor="text1"/>
        </w:rPr>
      </w:pPr>
      <w:r w:rsidRPr="00F7578B">
        <w:rPr>
          <w:rFonts w:ascii="Palatino Linotype" w:hAnsi="Palatino Linotype"/>
          <w:color w:val="000000" w:themeColor="text1"/>
        </w:rPr>
        <w:t xml:space="preserve">El proceso comienza con la emisión de una convocatoria por parte del IEEM </w:t>
      </w:r>
      <w:r>
        <w:rPr>
          <w:rFonts w:ascii="Palatino Linotype" w:hAnsi="Palatino Linotype"/>
          <w:color w:val="000000" w:themeColor="text1"/>
        </w:rPr>
        <w:t>com</w:t>
      </w:r>
      <w:r w:rsidRPr="00F7578B">
        <w:rPr>
          <w:rFonts w:ascii="Palatino Linotype" w:hAnsi="Palatino Linotype"/>
          <w:color w:val="000000" w:themeColor="text1"/>
        </w:rPr>
        <w:t xml:space="preserve">o la autoridad electoral. En esta convocatoria se establecen los plazos y requisitos para que los partidos políticos y candidatos independientes registren a sus candidatos a regidores. Los candidatos deben cumplir con los requisitos </w:t>
      </w:r>
      <w:r>
        <w:rPr>
          <w:rFonts w:ascii="Palatino Linotype" w:hAnsi="Palatino Linotype"/>
          <w:color w:val="000000" w:themeColor="text1"/>
        </w:rPr>
        <w:t xml:space="preserve">previstos en la ley; luego entonces se colige que el Ayuntamiento de Zinacantepec, no es el </w:t>
      </w:r>
      <w:r>
        <w:rPr>
          <w:rFonts w:ascii="Palatino Linotype" w:hAnsi="Palatino Linotype"/>
          <w:b/>
          <w:color w:val="000000" w:themeColor="text1"/>
        </w:rPr>
        <w:t>SUJETO OBLIGADO</w:t>
      </w:r>
      <w:r>
        <w:rPr>
          <w:rFonts w:ascii="Palatino Linotype" w:hAnsi="Palatino Linotype"/>
          <w:color w:val="000000" w:themeColor="text1"/>
        </w:rPr>
        <w:t xml:space="preserve"> competente para atender el requerimiento planteado por el ahora </w:t>
      </w:r>
      <w:r>
        <w:rPr>
          <w:rFonts w:ascii="Palatino Linotype" w:hAnsi="Palatino Linotype"/>
          <w:b/>
          <w:color w:val="000000" w:themeColor="text1"/>
        </w:rPr>
        <w:t xml:space="preserve">RECURRENTE; </w:t>
      </w:r>
      <w:r>
        <w:rPr>
          <w:rFonts w:ascii="Palatino Linotype" w:hAnsi="Palatino Linotype"/>
          <w:color w:val="000000" w:themeColor="text1"/>
        </w:rPr>
        <w:t xml:space="preserve">toda vez que este, </w:t>
      </w:r>
      <w:r w:rsidRPr="00F7578B">
        <w:rPr>
          <w:rFonts w:ascii="Palatino Linotype" w:hAnsi="Palatino Linotype"/>
          <w:color w:val="000000" w:themeColor="text1"/>
        </w:rPr>
        <w:t>es la entidad de gobierno local encargada de l</w:t>
      </w:r>
      <w:r>
        <w:rPr>
          <w:rFonts w:ascii="Palatino Linotype" w:hAnsi="Palatino Linotype"/>
          <w:color w:val="000000" w:themeColor="text1"/>
        </w:rPr>
        <w:t>a administración y gestión del</w:t>
      </w:r>
      <w:r w:rsidRPr="00F7578B">
        <w:rPr>
          <w:rFonts w:ascii="Palatino Linotype" w:hAnsi="Palatino Linotype"/>
          <w:color w:val="000000" w:themeColor="text1"/>
        </w:rPr>
        <w:t xml:space="preserve"> </w:t>
      </w:r>
      <w:r>
        <w:rPr>
          <w:rFonts w:ascii="Palatino Linotype" w:hAnsi="Palatino Linotype"/>
          <w:color w:val="000000" w:themeColor="text1"/>
        </w:rPr>
        <w:t>M</w:t>
      </w:r>
      <w:r w:rsidRPr="00F7578B">
        <w:rPr>
          <w:rFonts w:ascii="Palatino Linotype" w:hAnsi="Palatino Linotype"/>
          <w:color w:val="000000" w:themeColor="text1"/>
        </w:rPr>
        <w:t xml:space="preserve">unicipio </w:t>
      </w:r>
      <w:r>
        <w:rPr>
          <w:rFonts w:ascii="Palatino Linotype" w:hAnsi="Palatino Linotype"/>
          <w:color w:val="000000" w:themeColor="text1"/>
        </w:rPr>
        <w:t>de Zinacantepec</w:t>
      </w:r>
      <w:r w:rsidRPr="00F7578B">
        <w:rPr>
          <w:rFonts w:ascii="Palatino Linotype" w:hAnsi="Palatino Linotype"/>
          <w:color w:val="000000" w:themeColor="text1"/>
        </w:rPr>
        <w:t xml:space="preserve">. El ayuntamiento es la estructura de gobierno </w:t>
      </w:r>
      <w:r>
        <w:rPr>
          <w:rFonts w:ascii="Palatino Linotype" w:hAnsi="Palatino Linotype"/>
          <w:color w:val="000000" w:themeColor="text1"/>
        </w:rPr>
        <w:t xml:space="preserve">que </w:t>
      </w:r>
      <w:r w:rsidRPr="00F7578B">
        <w:rPr>
          <w:rFonts w:ascii="Palatino Linotype" w:hAnsi="Palatino Linotype"/>
          <w:color w:val="000000" w:themeColor="text1"/>
        </w:rPr>
        <w:t>se encarga de tomar decisiones y llevar a cabo acciones relacionadas con el gobierno y la gestión municipal.</w:t>
      </w:r>
    </w:p>
    <w:p w:rsidR="00E9137F" w:rsidRDefault="00E9137F" w:rsidP="00E9137F">
      <w:pPr>
        <w:pStyle w:val="Prrafodelista"/>
        <w:spacing w:line="360" w:lineRule="auto"/>
        <w:ind w:left="0"/>
        <w:jc w:val="both"/>
        <w:rPr>
          <w:rFonts w:ascii="Palatino Linotype" w:hAnsi="Palatino Linotype"/>
          <w:color w:val="000000" w:themeColor="text1"/>
        </w:rPr>
      </w:pPr>
    </w:p>
    <w:p w:rsidR="00F7578B" w:rsidRDefault="00F7578B" w:rsidP="008644F6">
      <w:pPr>
        <w:pStyle w:val="Prrafodelista"/>
        <w:numPr>
          <w:ilvl w:val="0"/>
          <w:numId w:val="15"/>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Por lo que al no ser el organizador de elecciones municipales, ni tampoco la autoridad competente de establecer requisitos de elegibilidad de los integrantes del Ayuntamiento es que se estima procedente la declinación de incompetencia.</w:t>
      </w:r>
    </w:p>
    <w:p w:rsidR="00FF1CE3" w:rsidRPr="00FF1CE3" w:rsidRDefault="00FF1CE3" w:rsidP="00FF1CE3">
      <w:pPr>
        <w:pStyle w:val="Prrafodelista"/>
        <w:rPr>
          <w:rFonts w:ascii="Palatino Linotype" w:hAnsi="Palatino Linotype"/>
          <w:color w:val="000000" w:themeColor="text1"/>
        </w:rPr>
      </w:pPr>
    </w:p>
    <w:p w:rsidR="00F7578B" w:rsidRPr="00F7578B" w:rsidRDefault="00F7578B" w:rsidP="00F7578B">
      <w:pPr>
        <w:pStyle w:val="Prrafodelista"/>
        <w:rPr>
          <w:rFonts w:ascii="Palatino Linotype" w:hAnsi="Palatino Linotype"/>
          <w:color w:val="000000" w:themeColor="text1"/>
        </w:rPr>
      </w:pPr>
    </w:p>
    <w:p w:rsidR="00F7578B" w:rsidRPr="006A424C" w:rsidRDefault="00F7578B" w:rsidP="00F7578B">
      <w:pPr>
        <w:numPr>
          <w:ilvl w:val="0"/>
          <w:numId w:val="15"/>
        </w:numPr>
        <w:spacing w:line="360" w:lineRule="auto"/>
        <w:ind w:left="0" w:firstLine="0"/>
        <w:contextualSpacing/>
        <w:jc w:val="both"/>
        <w:rPr>
          <w:rFonts w:ascii="Palatino Linotype" w:hAnsi="Palatino Linotype"/>
          <w:color w:val="000000" w:themeColor="text1"/>
        </w:rPr>
      </w:pPr>
      <w:r w:rsidRPr="006A424C">
        <w:rPr>
          <w:rFonts w:ascii="Palatino Linotype" w:hAnsi="Palatino Linotype"/>
          <w:color w:val="000000"/>
        </w:rPr>
        <w:t xml:space="preserve">Ahora bien, respecto de la respuesta, </w:t>
      </w:r>
      <w:r w:rsidR="00CD0E27">
        <w:rPr>
          <w:rFonts w:ascii="Palatino Linotype" w:hAnsi="Palatino Linotype"/>
          <w:color w:val="000000"/>
        </w:rPr>
        <w:t>que correspondió</w:t>
      </w:r>
      <w:r w:rsidRPr="006A424C">
        <w:rPr>
          <w:rFonts w:ascii="Palatino Linotype" w:hAnsi="Palatino Linotype"/>
          <w:color w:val="000000"/>
        </w:rPr>
        <w:t xml:space="preserve"> a una declinación de incompetencia total</w:t>
      </w:r>
      <w:r w:rsidR="00CD0E27">
        <w:rPr>
          <w:rFonts w:ascii="Palatino Linotype" w:hAnsi="Palatino Linotype"/>
          <w:color w:val="000000"/>
        </w:rPr>
        <w:t>,</w:t>
      </w:r>
      <w:r w:rsidRPr="006A424C">
        <w:rPr>
          <w:rFonts w:ascii="Palatino Linotype" w:hAnsi="Palatino Linotype"/>
          <w:color w:val="000000" w:themeColor="text1"/>
        </w:rPr>
        <w:t xml:space="preserve"> la Ley de Transparencia y Acceso a la Información Pública del Estado de México y Municipios, establece al caso concreto lo siguiente:</w:t>
      </w:r>
    </w:p>
    <w:p w:rsidR="00F7578B" w:rsidRPr="006A424C" w:rsidRDefault="00F7578B" w:rsidP="00F7578B">
      <w:pPr>
        <w:pStyle w:val="Prrafodelista"/>
        <w:spacing w:line="360" w:lineRule="auto"/>
        <w:rPr>
          <w:rFonts w:ascii="Palatino Linotype" w:hAnsi="Palatino Linotype"/>
          <w:color w:val="000000" w:themeColor="text1"/>
        </w:rPr>
      </w:pPr>
    </w:p>
    <w:p w:rsidR="00F7578B" w:rsidRPr="00FF1CE3" w:rsidRDefault="00F7578B" w:rsidP="00F7578B">
      <w:pPr>
        <w:spacing w:line="360" w:lineRule="auto"/>
        <w:ind w:left="567" w:right="618"/>
        <w:contextualSpacing/>
        <w:jc w:val="both"/>
        <w:rPr>
          <w:rFonts w:ascii="Palatino Linotype" w:hAnsi="Palatino Linotype"/>
          <w:i/>
          <w:color w:val="000000" w:themeColor="text1"/>
          <w:sz w:val="22"/>
        </w:rPr>
      </w:pPr>
      <w:r w:rsidRPr="00FF1CE3">
        <w:rPr>
          <w:rFonts w:ascii="Palatino Linotype" w:hAnsi="Palatino Linotype"/>
          <w:i/>
          <w:color w:val="000000" w:themeColor="text1"/>
          <w:sz w:val="22"/>
        </w:rPr>
        <w:lastRenderedPageBreak/>
        <w:t xml:space="preserve">“Artículo 167. Cuando las unidades de transparencia </w:t>
      </w:r>
      <w:r w:rsidRPr="00FF1CE3">
        <w:rPr>
          <w:rFonts w:ascii="Palatino Linotype" w:hAnsi="Palatino Linotype"/>
          <w:b/>
          <w:i/>
          <w:color w:val="000000" w:themeColor="text1"/>
          <w:sz w:val="22"/>
        </w:rPr>
        <w:t>determinen la notoria incompetencia por parte de los sujetos obligados</w:t>
      </w:r>
      <w:r w:rsidRPr="00FF1CE3">
        <w:rPr>
          <w:rFonts w:ascii="Palatino Linotype" w:hAnsi="Palatino Linotype"/>
          <w:i/>
          <w:color w:val="000000" w:themeColor="text1"/>
          <w:sz w:val="22"/>
        </w:rPr>
        <w:t xml:space="preserve">, dentro del ámbito de aplicación, para atender la solicitud de acceso a la información, </w:t>
      </w:r>
      <w:r w:rsidRPr="00FF1CE3">
        <w:rPr>
          <w:rFonts w:ascii="Palatino Linotype" w:hAnsi="Palatino Linotype"/>
          <w:b/>
          <w:i/>
          <w:color w:val="000000" w:themeColor="text1"/>
          <w:sz w:val="22"/>
        </w:rPr>
        <w:t>deberán comunicarlo al solicitante, dentro de los tres días hábiles posteriores a la recepción de la solicitud</w:t>
      </w:r>
      <w:r w:rsidRPr="00FF1CE3">
        <w:rPr>
          <w:rFonts w:ascii="Palatino Linotype" w:hAnsi="Palatino Linotype"/>
          <w:i/>
          <w:color w:val="000000" w:themeColor="text1"/>
          <w:sz w:val="22"/>
        </w:rPr>
        <w:t xml:space="preserve"> y, en su caso orientar al solicitante, el o los sujetos obligados competentes.</w:t>
      </w:r>
    </w:p>
    <w:p w:rsidR="00F7578B" w:rsidRPr="00FF1CE3" w:rsidRDefault="00F7578B" w:rsidP="00F7578B">
      <w:pPr>
        <w:spacing w:line="360" w:lineRule="auto"/>
        <w:ind w:left="567" w:right="618"/>
        <w:contextualSpacing/>
        <w:jc w:val="both"/>
        <w:rPr>
          <w:rFonts w:ascii="Palatino Linotype" w:hAnsi="Palatino Linotype"/>
          <w:i/>
          <w:color w:val="000000" w:themeColor="text1"/>
          <w:sz w:val="22"/>
        </w:rPr>
      </w:pPr>
      <w:r w:rsidRPr="00FF1CE3">
        <w:rPr>
          <w:rFonts w:ascii="Palatino Linotype" w:hAnsi="Palatino Linotype"/>
          <w:b/>
          <w:i/>
          <w:color w:val="000000" w:themeColor="text1"/>
          <w:sz w:val="22"/>
          <w:u w:val="single"/>
        </w:rPr>
        <w:t>Si los sujetos obligados son competentes para atender parcialmente la solicitud de acceso a la información, deberá dar respuesta respecto de dicha parte</w:t>
      </w:r>
      <w:r w:rsidRPr="00FF1CE3">
        <w:rPr>
          <w:rFonts w:ascii="Palatino Linotype" w:hAnsi="Palatino Linotype"/>
          <w:i/>
          <w:color w:val="000000" w:themeColor="text1"/>
          <w:sz w:val="22"/>
        </w:rPr>
        <w:t xml:space="preserve">. </w:t>
      </w:r>
    </w:p>
    <w:p w:rsidR="00F7578B" w:rsidRPr="00FF1CE3" w:rsidRDefault="00F7578B" w:rsidP="00F7578B">
      <w:pPr>
        <w:spacing w:line="360" w:lineRule="auto"/>
        <w:ind w:left="567" w:right="618"/>
        <w:contextualSpacing/>
        <w:jc w:val="both"/>
        <w:rPr>
          <w:rFonts w:ascii="Palatino Linotype" w:hAnsi="Palatino Linotype"/>
          <w:i/>
          <w:color w:val="000000" w:themeColor="text1"/>
          <w:sz w:val="22"/>
        </w:rPr>
      </w:pPr>
      <w:r w:rsidRPr="00FF1CE3">
        <w:rPr>
          <w:rFonts w:ascii="Palatino Linotype" w:hAnsi="Palatino Linotype"/>
          <w:i/>
          <w:color w:val="000000" w:themeColor="text1"/>
          <w:sz w:val="22"/>
        </w:rPr>
        <w:t>Respecto de la información sobre la cual es incompetente se procederá conforme lo señala el párrafo anterior.</w:t>
      </w:r>
    </w:p>
    <w:p w:rsidR="00F7578B" w:rsidRPr="00FF1CE3" w:rsidRDefault="00F7578B" w:rsidP="00F7578B">
      <w:pPr>
        <w:spacing w:line="360" w:lineRule="auto"/>
        <w:ind w:left="567" w:right="618"/>
        <w:contextualSpacing/>
        <w:jc w:val="both"/>
        <w:rPr>
          <w:rFonts w:ascii="Palatino Linotype" w:hAnsi="Palatino Linotype"/>
          <w:i/>
          <w:color w:val="000000" w:themeColor="text1"/>
          <w:sz w:val="22"/>
        </w:rPr>
      </w:pPr>
      <w:r w:rsidRPr="00FF1CE3">
        <w:rPr>
          <w:rFonts w:ascii="Palatino Linotype" w:hAnsi="Palatino Linotype"/>
          <w:i/>
          <w:color w:val="000000" w:themeColor="text1"/>
          <w:sz w:val="22"/>
        </w:rPr>
        <w:t>Si transcurrido el plazo señalado en el primer párrafo de este artículo, el sujeto obligado no declina la competencia en los términos establecidos, podrá canalizar la solicitud ante el sujeto obligado competente.”</w:t>
      </w:r>
    </w:p>
    <w:p w:rsidR="00F7578B" w:rsidRPr="00FF1CE3" w:rsidRDefault="00F7578B" w:rsidP="00F7578B">
      <w:pPr>
        <w:spacing w:line="360" w:lineRule="auto"/>
        <w:ind w:left="567" w:right="618"/>
        <w:contextualSpacing/>
        <w:jc w:val="both"/>
        <w:rPr>
          <w:rFonts w:ascii="Palatino Linotype" w:hAnsi="Palatino Linotype"/>
          <w:color w:val="000000" w:themeColor="text1"/>
          <w:sz w:val="22"/>
        </w:rPr>
      </w:pPr>
      <w:r w:rsidRPr="00FF1CE3">
        <w:rPr>
          <w:rFonts w:ascii="Palatino Linotype" w:hAnsi="Palatino Linotype"/>
          <w:color w:val="000000" w:themeColor="text1"/>
          <w:sz w:val="22"/>
        </w:rPr>
        <w:t>Énfasis añadido</w:t>
      </w:r>
    </w:p>
    <w:p w:rsidR="00F7578B" w:rsidRPr="00FF1CE3" w:rsidRDefault="00F7578B" w:rsidP="00F7578B">
      <w:pPr>
        <w:spacing w:line="360" w:lineRule="auto"/>
        <w:contextualSpacing/>
        <w:jc w:val="both"/>
        <w:rPr>
          <w:rFonts w:ascii="Palatino Linotype" w:hAnsi="Palatino Linotype"/>
          <w:color w:val="000000" w:themeColor="text1"/>
          <w:sz w:val="22"/>
        </w:rPr>
      </w:pPr>
    </w:p>
    <w:p w:rsidR="00F7578B" w:rsidRDefault="00F7578B" w:rsidP="00F7578B">
      <w:pPr>
        <w:numPr>
          <w:ilvl w:val="0"/>
          <w:numId w:val="15"/>
        </w:numPr>
        <w:spacing w:line="360" w:lineRule="auto"/>
        <w:ind w:left="0" w:firstLine="0"/>
        <w:contextualSpacing/>
        <w:jc w:val="both"/>
        <w:rPr>
          <w:rFonts w:ascii="Palatino Linotype" w:hAnsi="Palatino Linotype"/>
          <w:color w:val="000000" w:themeColor="text1"/>
        </w:rPr>
      </w:pPr>
      <w:r w:rsidRPr="006A424C">
        <w:rPr>
          <w:rFonts w:ascii="Palatino Linotype" w:hAnsi="Palatino Linotype"/>
          <w:color w:val="000000" w:themeColor="text1"/>
        </w:rPr>
        <w:t>De dicho precepto legal se desprende que cuando se advierta en la solicitud de información una notoria incompetencia total o parcial o como se desprende del caso concreto, este deberá de comunicarlo al solicitante en un plazo de tres días hábiles posteriores a la interposición de la solicitud de información.</w:t>
      </w:r>
    </w:p>
    <w:p w:rsidR="007F3122" w:rsidRPr="006A424C" w:rsidRDefault="007F3122" w:rsidP="007F3122">
      <w:pPr>
        <w:spacing w:line="360" w:lineRule="auto"/>
        <w:contextualSpacing/>
        <w:jc w:val="both"/>
        <w:rPr>
          <w:rFonts w:ascii="Palatino Linotype" w:hAnsi="Palatino Linotype"/>
          <w:color w:val="000000" w:themeColor="text1"/>
        </w:rPr>
      </w:pPr>
    </w:p>
    <w:p w:rsidR="00C54723" w:rsidRDefault="00F7578B" w:rsidP="00F7578B">
      <w:pPr>
        <w:numPr>
          <w:ilvl w:val="0"/>
          <w:numId w:val="15"/>
        </w:numPr>
        <w:spacing w:line="360" w:lineRule="auto"/>
        <w:ind w:left="0" w:firstLine="0"/>
        <w:contextualSpacing/>
        <w:jc w:val="both"/>
        <w:rPr>
          <w:rFonts w:ascii="Palatino Linotype" w:hAnsi="Palatino Linotype"/>
          <w:color w:val="000000" w:themeColor="text1"/>
        </w:rPr>
      </w:pPr>
      <w:r w:rsidRPr="006A424C">
        <w:rPr>
          <w:rFonts w:ascii="Palatino Linotype" w:hAnsi="Palatino Linotype"/>
          <w:color w:val="000000" w:themeColor="text1"/>
        </w:rPr>
        <w:t>En esa tesitura, la solicitud de informa</w:t>
      </w:r>
      <w:r w:rsidR="00CD0E27">
        <w:rPr>
          <w:rFonts w:ascii="Palatino Linotype" w:hAnsi="Palatino Linotype"/>
          <w:color w:val="000000" w:themeColor="text1"/>
        </w:rPr>
        <w:t>ción fue ingresada el día diez</w:t>
      </w:r>
      <w:r w:rsidRPr="006A424C">
        <w:rPr>
          <w:rFonts w:ascii="Palatino Linotype" w:hAnsi="Palatino Linotype"/>
          <w:color w:val="000000" w:themeColor="text1"/>
        </w:rPr>
        <w:t xml:space="preserve"> de </w:t>
      </w:r>
      <w:r w:rsidR="00CD0E27">
        <w:rPr>
          <w:rFonts w:ascii="Palatino Linotype" w:hAnsi="Palatino Linotype"/>
          <w:color w:val="000000" w:themeColor="text1"/>
        </w:rPr>
        <w:t>julio</w:t>
      </w:r>
      <w:r w:rsidRPr="006A424C">
        <w:rPr>
          <w:rFonts w:ascii="Palatino Linotype" w:hAnsi="Palatino Linotype"/>
          <w:color w:val="000000" w:themeColor="text1"/>
        </w:rPr>
        <w:t xml:space="preserve"> de dos mil </w:t>
      </w:r>
      <w:r w:rsidR="00CD0E27">
        <w:rPr>
          <w:rFonts w:ascii="Palatino Linotype" w:hAnsi="Palatino Linotype"/>
          <w:color w:val="000000" w:themeColor="text1"/>
        </w:rPr>
        <w:t>veintitrés</w:t>
      </w:r>
      <w:r w:rsidRPr="006A424C">
        <w:rPr>
          <w:rFonts w:ascii="Palatino Linotype" w:hAnsi="Palatino Linotype"/>
          <w:color w:val="000000" w:themeColor="text1"/>
        </w:rPr>
        <w:t xml:space="preserve">, por lo que el termino de tres días hábiles correspondió del día </w:t>
      </w:r>
      <w:r w:rsidR="00CD0E27">
        <w:rPr>
          <w:rFonts w:ascii="Palatino Linotype" w:hAnsi="Palatino Linotype"/>
          <w:color w:val="000000" w:themeColor="text1"/>
        </w:rPr>
        <w:t>once al trece de julio</w:t>
      </w:r>
      <w:r w:rsidRPr="006A424C">
        <w:rPr>
          <w:rFonts w:ascii="Palatino Linotype" w:hAnsi="Palatino Linotype"/>
          <w:color w:val="000000" w:themeColor="text1"/>
        </w:rPr>
        <w:t xml:space="preserve"> de dos mil veintitrés, por lo que si el </w:t>
      </w:r>
      <w:r w:rsidRPr="006A424C">
        <w:rPr>
          <w:rFonts w:ascii="Palatino Linotype" w:hAnsi="Palatino Linotype"/>
          <w:b/>
          <w:color w:val="000000" w:themeColor="text1"/>
        </w:rPr>
        <w:t xml:space="preserve">SUJETO OBLIGADO </w:t>
      </w:r>
      <w:r w:rsidRPr="006A424C">
        <w:rPr>
          <w:rFonts w:ascii="Palatino Linotype" w:hAnsi="Palatino Linotype"/>
          <w:color w:val="000000" w:themeColor="text1"/>
        </w:rPr>
        <w:t>comunicó la incompetenci</w:t>
      </w:r>
      <w:r w:rsidR="00CD0E27">
        <w:rPr>
          <w:rFonts w:ascii="Palatino Linotype" w:hAnsi="Palatino Linotype"/>
          <w:color w:val="000000" w:themeColor="text1"/>
        </w:rPr>
        <w:t>a al solicitante el día veintitrés</w:t>
      </w:r>
      <w:r w:rsidRPr="006A424C">
        <w:rPr>
          <w:rFonts w:ascii="Palatino Linotype" w:hAnsi="Palatino Linotype"/>
          <w:color w:val="000000" w:themeColor="text1"/>
        </w:rPr>
        <w:t xml:space="preserve"> de </w:t>
      </w:r>
      <w:r w:rsidR="00CD0E27">
        <w:rPr>
          <w:rFonts w:ascii="Palatino Linotype" w:hAnsi="Palatino Linotype"/>
          <w:color w:val="000000" w:themeColor="text1"/>
        </w:rPr>
        <w:t>agosto</w:t>
      </w:r>
      <w:r w:rsidRPr="006A424C">
        <w:rPr>
          <w:rFonts w:ascii="Palatino Linotype" w:hAnsi="Palatino Linotype"/>
          <w:color w:val="000000" w:themeColor="text1"/>
        </w:rPr>
        <w:t xml:space="preserve"> de dos mil </w:t>
      </w:r>
      <w:r w:rsidR="00CD0E27">
        <w:rPr>
          <w:rFonts w:ascii="Palatino Linotype" w:hAnsi="Palatino Linotype"/>
          <w:color w:val="000000" w:themeColor="text1"/>
        </w:rPr>
        <w:t>veintitrés</w:t>
      </w:r>
      <w:r w:rsidRPr="006A424C">
        <w:rPr>
          <w:rFonts w:ascii="Palatino Linotype" w:hAnsi="Palatino Linotype"/>
          <w:color w:val="000000" w:themeColor="text1"/>
        </w:rPr>
        <w:t xml:space="preserve">, se concluye que se realizó </w:t>
      </w:r>
      <w:r w:rsidR="00C54723">
        <w:rPr>
          <w:rFonts w:ascii="Palatino Linotype" w:hAnsi="Palatino Linotype"/>
          <w:color w:val="000000" w:themeColor="text1"/>
        </w:rPr>
        <w:t>fuera</w:t>
      </w:r>
      <w:r w:rsidRPr="006A424C">
        <w:rPr>
          <w:rFonts w:ascii="Palatino Linotype" w:hAnsi="Palatino Linotype"/>
          <w:color w:val="000000" w:themeColor="text1"/>
        </w:rPr>
        <w:t xml:space="preserve"> del lapso legalmente establecido para tal efecto, por tanto al haberse cumplido con lo dispuesto por la ley de la materia</w:t>
      </w:r>
      <w:r w:rsidR="00C54723">
        <w:rPr>
          <w:rFonts w:ascii="Palatino Linotype" w:hAnsi="Palatino Linotype"/>
          <w:color w:val="000000" w:themeColor="text1"/>
        </w:rPr>
        <w:t>.</w:t>
      </w:r>
    </w:p>
    <w:p w:rsidR="00F7578B" w:rsidRPr="006A424C" w:rsidRDefault="00F7578B" w:rsidP="00C54723">
      <w:pPr>
        <w:numPr>
          <w:ilvl w:val="0"/>
          <w:numId w:val="15"/>
        </w:numPr>
        <w:spacing w:line="360" w:lineRule="auto"/>
        <w:ind w:left="0" w:firstLine="0"/>
        <w:contextualSpacing/>
        <w:jc w:val="both"/>
        <w:rPr>
          <w:rFonts w:ascii="Palatino Linotype" w:hAnsi="Palatino Linotype"/>
          <w:color w:val="000000" w:themeColor="text1"/>
        </w:rPr>
      </w:pPr>
      <w:r w:rsidRPr="006A424C">
        <w:rPr>
          <w:rFonts w:ascii="Palatino Linotype" w:hAnsi="Palatino Linotype"/>
          <w:color w:val="000000" w:themeColor="text1"/>
        </w:rPr>
        <w:lastRenderedPageBreak/>
        <w:t>No obstante</w:t>
      </w:r>
      <w:r w:rsidR="00C54723">
        <w:rPr>
          <w:rFonts w:ascii="Palatino Linotype" w:hAnsi="Palatino Linotype"/>
          <w:color w:val="000000" w:themeColor="text1"/>
        </w:rPr>
        <w:t>, si bien es cierto no se comunicó dentro de los tres días hábiles,</w:t>
      </w:r>
      <w:r w:rsidRPr="006A424C">
        <w:rPr>
          <w:rFonts w:ascii="Palatino Linotype" w:hAnsi="Palatino Linotype"/>
          <w:color w:val="000000" w:themeColor="text1"/>
        </w:rPr>
        <w:t xml:space="preserve"> la respuesta emitida </w:t>
      </w:r>
      <w:r w:rsidR="00C54723">
        <w:rPr>
          <w:rFonts w:ascii="Palatino Linotype" w:hAnsi="Palatino Linotype"/>
          <w:color w:val="000000" w:themeColor="text1"/>
        </w:rPr>
        <w:t>se emitió</w:t>
      </w:r>
      <w:r w:rsidR="00C54723" w:rsidRPr="00C54723">
        <w:t xml:space="preserve"> </w:t>
      </w:r>
      <w:r w:rsidR="00C54723" w:rsidRPr="00C54723">
        <w:rPr>
          <w:rFonts w:ascii="Palatino Linotype" w:hAnsi="Palatino Linotype"/>
          <w:color w:val="000000" w:themeColor="text1"/>
        </w:rPr>
        <w:t>mediante sesión de Comité de Transparencia y se sustentó a través del Acta de la Novena Sesión Extraordinaria del Comité de Transparencia de Zinacantepec 2022 - 2024, número CT/ZIN/EXT/0009/2023</w:t>
      </w:r>
      <w:r w:rsidR="00C54723">
        <w:rPr>
          <w:rFonts w:ascii="Palatino Linotype" w:hAnsi="Palatino Linotype"/>
          <w:color w:val="000000" w:themeColor="text1"/>
        </w:rPr>
        <w:t>.</w:t>
      </w:r>
    </w:p>
    <w:p w:rsidR="00F7578B" w:rsidRPr="00F7578B" w:rsidRDefault="00F7578B" w:rsidP="00F7578B">
      <w:pPr>
        <w:pStyle w:val="Prrafodelista"/>
        <w:rPr>
          <w:rFonts w:ascii="Palatino Linotype" w:hAnsi="Palatino Linotype"/>
          <w:color w:val="000000" w:themeColor="text1"/>
        </w:rPr>
      </w:pPr>
    </w:p>
    <w:p w:rsidR="00C54723" w:rsidRDefault="00C54723" w:rsidP="00C54723">
      <w:pPr>
        <w:numPr>
          <w:ilvl w:val="0"/>
          <w:numId w:val="15"/>
        </w:numPr>
        <w:spacing w:line="360" w:lineRule="auto"/>
        <w:ind w:left="0" w:firstLine="0"/>
        <w:contextualSpacing/>
        <w:jc w:val="both"/>
        <w:rPr>
          <w:rFonts w:ascii="Palatino Linotype" w:hAnsi="Palatino Linotype" w:cs="Arial"/>
        </w:rPr>
      </w:pPr>
      <w:r>
        <w:rPr>
          <w:rFonts w:ascii="Palatino Linotype" w:hAnsi="Palatino Linotype" w:cs="Arial"/>
        </w:rPr>
        <w:t>E</w:t>
      </w:r>
      <w:r w:rsidRPr="00BE1608">
        <w:rPr>
          <w:rFonts w:ascii="Palatino Linotype" w:hAnsi="Palatino Linotype" w:cs="Arial"/>
        </w:rPr>
        <w:t xml:space="preserve">n consecuencia, </w:t>
      </w:r>
      <w:r w:rsidRPr="0060170E">
        <w:rPr>
          <w:rFonts w:ascii="Palatino Linotype" w:hAnsi="Palatino Linotype" w:cs="Arial"/>
          <w:b/>
        </w:rPr>
        <w:t xml:space="preserve">EL </w:t>
      </w:r>
      <w:r w:rsidRPr="00BE1608">
        <w:rPr>
          <w:rFonts w:ascii="Palatino Linotype" w:hAnsi="Palatino Linotype" w:cs="Arial"/>
          <w:b/>
        </w:rPr>
        <w:t>SUJETO OBLIGADO</w:t>
      </w:r>
      <w:r w:rsidRPr="00BE1608">
        <w:rPr>
          <w:rFonts w:ascii="Palatino Linotype" w:hAnsi="Palatino Linotype" w:cs="Arial"/>
        </w:rPr>
        <w:t xml:space="preserve"> </w:t>
      </w:r>
      <w:r>
        <w:rPr>
          <w:rFonts w:ascii="Palatino Linotype" w:hAnsi="Palatino Linotype" w:cs="Arial"/>
        </w:rPr>
        <w:t>atendió</w:t>
      </w:r>
      <w:r w:rsidRPr="00BE1608">
        <w:rPr>
          <w:rFonts w:ascii="Palatino Linotype" w:hAnsi="Palatino Linotype" w:cs="Arial"/>
        </w:rPr>
        <w:t xml:space="preserve"> </w:t>
      </w:r>
      <w:r>
        <w:rPr>
          <w:rFonts w:ascii="Palatino Linotype" w:hAnsi="Palatino Linotype" w:cs="Arial"/>
        </w:rPr>
        <w:t>su</w:t>
      </w:r>
      <w:r w:rsidRPr="00BE1608">
        <w:rPr>
          <w:rFonts w:ascii="Palatino Linotype" w:hAnsi="Palatino Linotype" w:cs="Arial"/>
        </w:rPr>
        <w:t xml:space="preserve"> incompetencia a la que se hace referencia</w:t>
      </w:r>
      <w:r>
        <w:rPr>
          <w:rFonts w:ascii="Palatino Linotype" w:hAnsi="Palatino Linotype" w:cs="Arial"/>
        </w:rPr>
        <w:t xml:space="preserve"> en la respuesta proporcionada, de conformidad a </w:t>
      </w:r>
      <w:r>
        <w:rPr>
          <w:rFonts w:ascii="Palatino Linotype" w:eastAsia="Palatino Linotype" w:hAnsi="Palatino Linotype" w:cs="Palatino Linotype"/>
        </w:rPr>
        <w:t>Ley de Transparencia y Acceso a la Información Pública del Estado de México y Municipios, tal como se observa a continuación:</w:t>
      </w:r>
    </w:p>
    <w:p w:rsidR="00C54723" w:rsidRPr="00FF1CE3" w:rsidRDefault="00C54723" w:rsidP="00C54723">
      <w:pPr>
        <w:spacing w:line="360" w:lineRule="auto"/>
        <w:contextualSpacing/>
        <w:jc w:val="both"/>
        <w:rPr>
          <w:rFonts w:ascii="Palatino Linotype" w:hAnsi="Palatino Linotype" w:cs="Arial"/>
          <w:sz w:val="22"/>
        </w:rPr>
      </w:pPr>
    </w:p>
    <w:p w:rsidR="00C54723" w:rsidRPr="00FF1CE3" w:rsidRDefault="00C54723" w:rsidP="00C54723">
      <w:pPr>
        <w:autoSpaceDE w:val="0"/>
        <w:autoSpaceDN w:val="0"/>
        <w:adjustRightInd w:val="0"/>
        <w:spacing w:line="276" w:lineRule="auto"/>
        <w:ind w:left="567" w:right="567"/>
        <w:contextualSpacing/>
        <w:jc w:val="both"/>
        <w:rPr>
          <w:rFonts w:ascii="Palatino Linotype" w:hAnsi="Palatino Linotype" w:cs="Arial"/>
          <w:i/>
          <w:sz w:val="22"/>
        </w:rPr>
      </w:pPr>
      <w:r w:rsidRPr="00FF1CE3">
        <w:rPr>
          <w:rFonts w:ascii="Palatino Linotype" w:hAnsi="Palatino Linotype" w:cs="Arial"/>
          <w:b/>
          <w:bCs/>
          <w:i/>
          <w:sz w:val="22"/>
        </w:rPr>
        <w:t xml:space="preserve">“Artículo 49. </w:t>
      </w:r>
      <w:r w:rsidRPr="00FF1CE3">
        <w:rPr>
          <w:rFonts w:ascii="Palatino Linotype" w:hAnsi="Palatino Linotype" w:cs="Arial"/>
          <w:i/>
          <w:sz w:val="22"/>
        </w:rPr>
        <w:t>Los Comités de Transparencia tendrán las siguientes atribuciones:</w:t>
      </w:r>
    </w:p>
    <w:p w:rsidR="00C54723" w:rsidRPr="00FF1CE3" w:rsidRDefault="00C54723" w:rsidP="00C54723">
      <w:pPr>
        <w:autoSpaceDE w:val="0"/>
        <w:autoSpaceDN w:val="0"/>
        <w:adjustRightInd w:val="0"/>
        <w:spacing w:line="276" w:lineRule="auto"/>
        <w:ind w:left="567" w:right="567"/>
        <w:jc w:val="both"/>
        <w:rPr>
          <w:rFonts w:ascii="Palatino Linotype" w:hAnsi="Palatino Linotype" w:cs="Arial"/>
          <w:i/>
          <w:sz w:val="22"/>
        </w:rPr>
      </w:pPr>
      <w:r w:rsidRPr="00FF1CE3">
        <w:rPr>
          <w:rFonts w:ascii="Palatino Linotype" w:hAnsi="Palatino Linotype" w:cs="Arial"/>
          <w:bCs/>
          <w:i/>
          <w:sz w:val="22"/>
        </w:rPr>
        <w:t>(…)</w:t>
      </w:r>
    </w:p>
    <w:p w:rsidR="00C54723" w:rsidRPr="00FF1CE3" w:rsidRDefault="00C54723" w:rsidP="00C54723">
      <w:pPr>
        <w:autoSpaceDE w:val="0"/>
        <w:autoSpaceDN w:val="0"/>
        <w:adjustRightInd w:val="0"/>
        <w:spacing w:line="276" w:lineRule="auto"/>
        <w:ind w:left="567" w:right="567"/>
        <w:jc w:val="both"/>
        <w:rPr>
          <w:rFonts w:ascii="Palatino Linotype" w:hAnsi="Palatino Linotype" w:cs="Arial"/>
          <w:i/>
          <w:sz w:val="22"/>
        </w:rPr>
      </w:pPr>
      <w:r w:rsidRPr="00FF1CE3">
        <w:rPr>
          <w:rFonts w:ascii="Palatino Linotype" w:hAnsi="Palatino Linotype" w:cs="Arial"/>
          <w:b/>
          <w:bCs/>
          <w:i/>
          <w:sz w:val="22"/>
        </w:rPr>
        <w:t xml:space="preserve">II. </w:t>
      </w:r>
      <w:r w:rsidRPr="00FF1CE3">
        <w:rPr>
          <w:rFonts w:ascii="Palatino Linotype" w:hAnsi="Palatino Linotype" w:cs="Arial"/>
          <w:i/>
          <w:sz w:val="22"/>
        </w:rPr>
        <w:t xml:space="preserve">Confirmar, modificar o revocar las determinaciones que en materia de ampliación del plazo de respuesta, clasificación de la información y declaración de inexistencia </w:t>
      </w:r>
      <w:r w:rsidRPr="00FF1CE3">
        <w:rPr>
          <w:rFonts w:ascii="Palatino Linotype" w:hAnsi="Palatino Linotype" w:cs="Arial"/>
          <w:b/>
          <w:i/>
          <w:sz w:val="22"/>
        </w:rPr>
        <w:t xml:space="preserve">o </w:t>
      </w:r>
      <w:r w:rsidRPr="00FF1CE3">
        <w:rPr>
          <w:rFonts w:ascii="Palatino Linotype" w:hAnsi="Palatino Linotype" w:cs="Arial"/>
          <w:b/>
          <w:i/>
          <w:sz w:val="22"/>
          <w:u w:val="single"/>
        </w:rPr>
        <w:t>de incompetencia realicen los titulares de las áreas de los sujetos obligados</w:t>
      </w:r>
      <w:r w:rsidRPr="00FF1CE3">
        <w:rPr>
          <w:rFonts w:ascii="Palatino Linotype" w:hAnsi="Palatino Linotype" w:cs="Arial"/>
          <w:i/>
          <w:sz w:val="22"/>
        </w:rPr>
        <w:t>;</w:t>
      </w:r>
    </w:p>
    <w:p w:rsidR="00C54723" w:rsidRPr="00FF1CE3" w:rsidRDefault="00C54723" w:rsidP="00C54723">
      <w:pPr>
        <w:autoSpaceDE w:val="0"/>
        <w:autoSpaceDN w:val="0"/>
        <w:adjustRightInd w:val="0"/>
        <w:spacing w:line="276" w:lineRule="auto"/>
        <w:ind w:left="567" w:right="567"/>
        <w:jc w:val="both"/>
        <w:rPr>
          <w:rFonts w:ascii="Palatino Linotype" w:hAnsi="Palatino Linotype" w:cs="Arial"/>
          <w:i/>
          <w:sz w:val="22"/>
        </w:rPr>
      </w:pPr>
      <w:r w:rsidRPr="00FF1CE3">
        <w:rPr>
          <w:rFonts w:ascii="Palatino Linotype" w:hAnsi="Palatino Linotype" w:cs="Arial"/>
          <w:b/>
          <w:bCs/>
          <w:i/>
          <w:sz w:val="22"/>
        </w:rPr>
        <w:t>…</w:t>
      </w:r>
      <w:r w:rsidRPr="00FF1CE3">
        <w:rPr>
          <w:rFonts w:ascii="Palatino Linotype" w:hAnsi="Palatino Linotype" w:cs="Arial"/>
          <w:i/>
          <w:sz w:val="22"/>
        </w:rPr>
        <w:t>”</w:t>
      </w:r>
    </w:p>
    <w:p w:rsidR="00C54723" w:rsidRPr="00FF1CE3" w:rsidRDefault="00C54723" w:rsidP="00C54723">
      <w:pPr>
        <w:autoSpaceDE w:val="0"/>
        <w:autoSpaceDN w:val="0"/>
        <w:adjustRightInd w:val="0"/>
        <w:spacing w:line="360" w:lineRule="auto"/>
        <w:jc w:val="both"/>
        <w:rPr>
          <w:rFonts w:ascii="Palatino Linotype" w:hAnsi="Palatino Linotype" w:cs="Arial"/>
          <w:sz w:val="22"/>
        </w:rPr>
      </w:pPr>
    </w:p>
    <w:p w:rsidR="00C54723" w:rsidRPr="00C54723" w:rsidRDefault="00C54723" w:rsidP="00C54723">
      <w:pPr>
        <w:numPr>
          <w:ilvl w:val="0"/>
          <w:numId w:val="15"/>
        </w:numPr>
        <w:spacing w:line="360" w:lineRule="auto"/>
        <w:ind w:left="0" w:firstLine="0"/>
        <w:contextualSpacing/>
        <w:jc w:val="both"/>
        <w:rPr>
          <w:rFonts w:ascii="Palatino Linotype" w:hAnsi="Palatino Linotype" w:cs="Arial"/>
          <w:color w:val="000000"/>
        </w:rPr>
      </w:pPr>
      <w:r w:rsidRPr="00C54723">
        <w:rPr>
          <w:rFonts w:ascii="Palatino Linotype" w:hAnsi="Palatino Linotype"/>
        </w:rPr>
        <w:t xml:space="preserve">En esta tesitura, se estima que la información remitida por </w:t>
      </w:r>
      <w:r w:rsidRPr="00C54723">
        <w:rPr>
          <w:rFonts w:ascii="Palatino Linotype" w:hAnsi="Palatino Linotype"/>
          <w:b/>
        </w:rPr>
        <w:t>EL</w:t>
      </w:r>
      <w:r w:rsidRPr="00C54723">
        <w:rPr>
          <w:rFonts w:ascii="Palatino Linotype" w:hAnsi="Palatino Linotype"/>
        </w:rPr>
        <w:t xml:space="preserve"> </w:t>
      </w:r>
      <w:r>
        <w:rPr>
          <w:rFonts w:ascii="Palatino Linotype" w:hAnsi="Palatino Linotype"/>
          <w:b/>
          <w:bCs/>
        </w:rPr>
        <w:t>SUJETO OBLIGADO</w:t>
      </w:r>
      <w:r w:rsidRPr="00C54723">
        <w:rPr>
          <w:rFonts w:ascii="Palatino Linotype" w:hAnsi="Palatino Linotype"/>
          <w:b/>
          <w:bCs/>
        </w:rPr>
        <w:t xml:space="preserve"> </w:t>
      </w:r>
      <w:r w:rsidRPr="00C54723">
        <w:rPr>
          <w:rFonts w:ascii="Palatino Linotype" w:hAnsi="Palatino Linotype"/>
        </w:rPr>
        <w:t>es suficiente para tener por atendido el derecho de acceso a la inform</w:t>
      </w:r>
      <w:r>
        <w:rPr>
          <w:rFonts w:ascii="Palatino Linotype" w:hAnsi="Palatino Linotype"/>
        </w:rPr>
        <w:t>ación de la persona solicitante y que sería ocioso e innecesario ordenarle que emita un nuevo acuerdo que declare su incompetencia en los mismos términos en los que ya tuvo acceso el particular, resultando dable ordenar que se confirme la respuesta emitida.</w:t>
      </w:r>
    </w:p>
    <w:p w:rsidR="00C54723" w:rsidRPr="00C54723" w:rsidRDefault="00C54723" w:rsidP="00C54723">
      <w:pPr>
        <w:spacing w:line="360" w:lineRule="auto"/>
        <w:contextualSpacing/>
        <w:jc w:val="both"/>
        <w:rPr>
          <w:rFonts w:ascii="Palatino Linotype" w:hAnsi="Palatino Linotype" w:cs="Arial"/>
          <w:color w:val="000000"/>
        </w:rPr>
      </w:pPr>
    </w:p>
    <w:p w:rsidR="00C66A19" w:rsidRPr="007F3122" w:rsidRDefault="00C54723" w:rsidP="002B10DC">
      <w:pPr>
        <w:pStyle w:val="Prrafodelista"/>
        <w:numPr>
          <w:ilvl w:val="0"/>
          <w:numId w:val="15"/>
        </w:numPr>
        <w:spacing w:line="360" w:lineRule="auto"/>
        <w:ind w:left="0" w:firstLine="0"/>
        <w:jc w:val="both"/>
        <w:rPr>
          <w:rFonts w:ascii="Palatino Linotype" w:hAnsi="Palatino Linotype" w:cs="Arial"/>
          <w:i/>
        </w:rPr>
      </w:pPr>
      <w:r w:rsidRPr="007F3122">
        <w:rPr>
          <w:rFonts w:ascii="Palatino Linotype" w:hAnsi="Palatino Linotype"/>
        </w:rPr>
        <w:t xml:space="preserve">No obstante se dejan a salvo los derechos del particular para que interponga nuevas solicitudes de información, ante el o los sujetos obligados que a sus intereses </w:t>
      </w:r>
      <w:r w:rsidRPr="007F3122">
        <w:rPr>
          <w:rFonts w:ascii="Palatino Linotype" w:hAnsi="Palatino Linotype"/>
        </w:rPr>
        <w:lastRenderedPageBreak/>
        <w:t>convenga</w:t>
      </w:r>
      <w:r w:rsidR="007F3122" w:rsidRPr="007F3122">
        <w:rPr>
          <w:rFonts w:ascii="Palatino Linotype" w:hAnsi="Palatino Linotype"/>
        </w:rPr>
        <w:t>;</w:t>
      </w:r>
      <w:r w:rsidR="007F3122">
        <w:rPr>
          <w:rFonts w:ascii="Palatino Linotype" w:hAnsi="Palatino Linotype"/>
        </w:rPr>
        <w:t xml:space="preserve"> t</w:t>
      </w:r>
      <w:r w:rsidR="0041686D" w:rsidRPr="007F3122">
        <w:rPr>
          <w:rFonts w:ascii="Palatino Linotype" w:hAnsi="Palatino Linotype" w:cs="Arial"/>
        </w:rPr>
        <w:t>oda vez</w:t>
      </w:r>
      <w:r w:rsidR="00C66A19" w:rsidRPr="007F3122">
        <w:rPr>
          <w:rFonts w:ascii="Palatino Linotype" w:hAnsi="Palatino Linotype" w:cs="Arial"/>
        </w:rPr>
        <w:t xml:space="preserve"> que la información generada, obtenida, </w:t>
      </w:r>
      <w:r w:rsidR="00C66A19" w:rsidRPr="007F3122">
        <w:rPr>
          <w:rFonts w:ascii="Palatino Linotype" w:eastAsia="Palatino Linotype" w:hAnsi="Palatino Linotype" w:cs="Palatino Linotype"/>
          <w:color w:val="000000"/>
        </w:rPr>
        <w:t>adquirida</w:t>
      </w:r>
      <w:r w:rsidR="00C66A19" w:rsidRPr="007F3122">
        <w:rPr>
          <w:rFonts w:ascii="Palatino Linotype" w:hAnsi="Palatino Linotype" w:cs="Arial"/>
        </w:rPr>
        <w:t xml:space="preserve">, </w:t>
      </w:r>
      <w:r w:rsidR="00C66A19" w:rsidRPr="007F3122">
        <w:rPr>
          <w:rFonts w:ascii="Palatino Linotype" w:hAnsi="Palatino Linotype" w:cs="Arial"/>
          <w:bCs/>
        </w:rPr>
        <w:t>transmitida</w:t>
      </w:r>
      <w:r w:rsidR="00C66A19" w:rsidRPr="007F3122">
        <w:rPr>
          <w:rFonts w:ascii="Palatino Linotype" w:hAnsi="Palatino Linotype" w:cs="Arial"/>
        </w:rPr>
        <w:t>, administrada o en posesión de los Sujetos Obligados, será accesible de manera permanente a cualquier persona, privilegiando el principio de máxima publicidad de la información.</w:t>
      </w:r>
    </w:p>
    <w:p w:rsidR="00C66A19" w:rsidRPr="008644F6" w:rsidRDefault="00C66A19" w:rsidP="008644F6">
      <w:pPr>
        <w:pStyle w:val="Prrafodelista"/>
        <w:spacing w:line="360" w:lineRule="auto"/>
        <w:ind w:left="502"/>
        <w:jc w:val="both"/>
        <w:rPr>
          <w:rFonts w:ascii="Palatino Linotype" w:hAnsi="Palatino Linotype" w:cs="Arial"/>
          <w:i/>
        </w:rPr>
      </w:pPr>
    </w:p>
    <w:p w:rsidR="00C66A19" w:rsidRPr="008644F6" w:rsidRDefault="00C66A19" w:rsidP="008644F6">
      <w:pPr>
        <w:numPr>
          <w:ilvl w:val="0"/>
          <w:numId w:val="15"/>
        </w:numPr>
        <w:spacing w:line="360" w:lineRule="auto"/>
        <w:ind w:left="0" w:firstLine="0"/>
        <w:contextualSpacing/>
        <w:jc w:val="both"/>
        <w:rPr>
          <w:rFonts w:ascii="Palatino Linotype" w:hAnsi="Palatino Linotype" w:cs="Arial"/>
          <w:i/>
        </w:rPr>
      </w:pPr>
      <w:r w:rsidRPr="008644F6">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C66A19" w:rsidRPr="00FF1CE3" w:rsidRDefault="00C66A19" w:rsidP="008644F6">
      <w:pPr>
        <w:pStyle w:val="Prrafodelista"/>
        <w:spacing w:line="360" w:lineRule="auto"/>
        <w:ind w:left="502" w:right="567"/>
        <w:jc w:val="both"/>
        <w:rPr>
          <w:rFonts w:ascii="Palatino Linotype" w:hAnsi="Palatino Linotype" w:cs="Arial"/>
          <w:i/>
          <w:sz w:val="22"/>
        </w:rPr>
      </w:pPr>
    </w:p>
    <w:p w:rsidR="00C66A19" w:rsidRPr="00FF1CE3" w:rsidRDefault="00C66A19" w:rsidP="008644F6">
      <w:pPr>
        <w:pStyle w:val="Prrafodelista"/>
        <w:spacing w:line="360" w:lineRule="auto"/>
        <w:ind w:left="505" w:right="567"/>
        <w:jc w:val="both"/>
        <w:rPr>
          <w:rFonts w:ascii="Palatino Linotype" w:hAnsi="Palatino Linotype" w:cs="Arial"/>
          <w:i/>
          <w:sz w:val="22"/>
        </w:rPr>
      </w:pPr>
      <w:r w:rsidRPr="00FF1CE3">
        <w:rPr>
          <w:rFonts w:ascii="Palatino Linotype" w:hAnsi="Palatino Linotype" w:cs="Arial"/>
          <w:i/>
          <w:sz w:val="22"/>
        </w:rPr>
        <w:t>“</w:t>
      </w:r>
      <w:r w:rsidRPr="00FF1CE3">
        <w:rPr>
          <w:rFonts w:ascii="Palatino Linotype" w:hAnsi="Palatino Linotype" w:cs="Arial"/>
          <w:b/>
          <w:i/>
          <w:color w:val="000000"/>
          <w:sz w:val="22"/>
        </w:rPr>
        <w:t>Artículo 12.</w:t>
      </w:r>
      <w:r w:rsidRPr="00FF1CE3">
        <w:rPr>
          <w:rFonts w:ascii="Palatino Linotype" w:hAnsi="Palatino Linotype" w:cs="Arial"/>
          <w:i/>
          <w:color w:val="000000"/>
          <w:sz w:val="22"/>
        </w:rPr>
        <w:t xml:space="preserve"> Quienes generen, recopilen, administren, manejen, procesen, archiven o conserven información pública serán responsables de la misma en los términos de las disposiciones jurídicas aplicables. </w:t>
      </w:r>
    </w:p>
    <w:p w:rsidR="00C66A19" w:rsidRPr="00FF1CE3" w:rsidRDefault="00C66A19" w:rsidP="008644F6">
      <w:pPr>
        <w:pStyle w:val="Prrafodelista"/>
        <w:spacing w:line="360" w:lineRule="auto"/>
        <w:ind w:left="505" w:right="567"/>
        <w:jc w:val="both"/>
        <w:rPr>
          <w:rFonts w:ascii="Palatino Linotype" w:hAnsi="Palatino Linotype" w:cs="Arial"/>
          <w:i/>
          <w:color w:val="000000"/>
          <w:sz w:val="22"/>
        </w:rPr>
      </w:pPr>
    </w:p>
    <w:p w:rsidR="00C66A19" w:rsidRPr="00FF1CE3" w:rsidRDefault="00C66A19" w:rsidP="008644F6">
      <w:pPr>
        <w:pStyle w:val="Prrafodelista"/>
        <w:spacing w:line="360" w:lineRule="auto"/>
        <w:ind w:left="505" w:right="567"/>
        <w:jc w:val="both"/>
        <w:rPr>
          <w:rFonts w:ascii="Palatino Linotype" w:hAnsi="Palatino Linotype" w:cs="Arial"/>
          <w:i/>
          <w:sz w:val="22"/>
        </w:rPr>
      </w:pPr>
      <w:r w:rsidRPr="00FF1CE3">
        <w:rPr>
          <w:rFonts w:ascii="Palatino Linotype" w:hAnsi="Palatino Linotype" w:cs="Arial"/>
          <w:b/>
          <w:i/>
          <w:color w:val="000000"/>
          <w:sz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FF1CE3">
        <w:rPr>
          <w:rFonts w:ascii="Palatino Linotype" w:hAnsi="Palatino Linotype" w:cs="Arial"/>
          <w:i/>
          <w:sz w:val="22"/>
        </w:rPr>
        <w:t>”</w:t>
      </w:r>
    </w:p>
    <w:p w:rsidR="00C66A19" w:rsidRPr="00FF1CE3" w:rsidRDefault="00C66A19" w:rsidP="008644F6">
      <w:pPr>
        <w:pStyle w:val="Prrafodelista"/>
        <w:spacing w:line="360" w:lineRule="auto"/>
        <w:ind w:left="505" w:right="567"/>
        <w:jc w:val="both"/>
        <w:rPr>
          <w:rFonts w:ascii="Palatino Linotype" w:hAnsi="Palatino Linotype" w:cs="Arial"/>
          <w:color w:val="000000"/>
          <w:sz w:val="22"/>
        </w:rPr>
      </w:pPr>
      <w:r w:rsidRPr="00FF1CE3">
        <w:rPr>
          <w:rFonts w:ascii="Palatino Linotype" w:hAnsi="Palatino Linotype" w:cs="Arial"/>
          <w:color w:val="000000"/>
          <w:sz w:val="22"/>
        </w:rPr>
        <w:t>Énfasis añadido</w:t>
      </w:r>
    </w:p>
    <w:p w:rsidR="00C66A19" w:rsidRPr="00FF1CE3" w:rsidRDefault="00C66A19" w:rsidP="008644F6">
      <w:pPr>
        <w:pStyle w:val="Prrafodelista"/>
        <w:spacing w:line="360" w:lineRule="auto"/>
        <w:ind w:left="505" w:right="567"/>
        <w:jc w:val="both"/>
        <w:rPr>
          <w:rFonts w:ascii="Palatino Linotype" w:hAnsi="Palatino Linotype" w:cs="Arial"/>
          <w:sz w:val="22"/>
        </w:rPr>
      </w:pPr>
    </w:p>
    <w:p w:rsidR="00C66A19" w:rsidRPr="008644F6" w:rsidRDefault="00C66A19" w:rsidP="008644F6">
      <w:pPr>
        <w:numPr>
          <w:ilvl w:val="0"/>
          <w:numId w:val="15"/>
        </w:numPr>
        <w:spacing w:line="360" w:lineRule="auto"/>
        <w:ind w:left="0" w:firstLine="0"/>
        <w:contextualSpacing/>
        <w:jc w:val="both"/>
        <w:rPr>
          <w:rFonts w:ascii="Palatino Linotype" w:hAnsi="Palatino Linotype" w:cs="Arial"/>
          <w:color w:val="000000" w:themeColor="text1"/>
        </w:rPr>
      </w:pPr>
      <w:r w:rsidRPr="008644F6">
        <w:rPr>
          <w:rFonts w:ascii="Palatino Linotype" w:hAnsi="Palatino Linotype" w:cs="Arial"/>
          <w:color w:val="000000"/>
        </w:rPr>
        <w:t xml:space="preserve">En síntesis, el derecho de acceso a la información pública se satisface en aquellos casos en </w:t>
      </w:r>
      <w:r w:rsidRPr="008644F6">
        <w:rPr>
          <w:rFonts w:ascii="Palatino Linotype" w:hAnsi="Palatino Linotype" w:cs="Arial"/>
        </w:rPr>
        <w:t>que</w:t>
      </w:r>
      <w:r w:rsidRPr="008644F6">
        <w:rPr>
          <w:rFonts w:ascii="Palatino Linotype" w:hAnsi="Palatino Linotype" w:cs="Arial"/>
          <w:color w:val="000000"/>
        </w:rPr>
        <w:t xml:space="preserve"> </w:t>
      </w:r>
      <w:r w:rsidRPr="008644F6">
        <w:rPr>
          <w:rFonts w:ascii="Palatino Linotype" w:hAnsi="Palatino Linotype" w:cs="Arial"/>
        </w:rPr>
        <w:t>se</w:t>
      </w:r>
      <w:r w:rsidRPr="008644F6">
        <w:rPr>
          <w:rFonts w:ascii="Palatino Linotype" w:hAnsi="Palatino Linotype" w:cs="Arial"/>
          <w:color w:val="000000"/>
        </w:rPr>
        <w:t xml:space="preserve"> entregue el soporte documental en que conste la </w:t>
      </w:r>
      <w:r w:rsidRPr="008644F6">
        <w:rPr>
          <w:rFonts w:ascii="Palatino Linotype" w:hAnsi="Palatino Linotype" w:cs="Arial"/>
          <w:color w:val="000000"/>
        </w:rPr>
        <w:lastRenderedPageBreak/>
        <w:t xml:space="preserve">información pública. </w:t>
      </w:r>
      <w:r w:rsidRPr="008644F6">
        <w:rPr>
          <w:rFonts w:ascii="Palatino Linotype" w:hAnsi="Palatino Linotype" w:cs="Arial"/>
        </w:rPr>
        <w:t>Asimismo</w:t>
      </w:r>
      <w:r w:rsidRPr="008644F6">
        <w:rPr>
          <w:rFonts w:ascii="Palatino Linotype" w:hAnsi="Palatino Linotype" w:cs="Arial"/>
          <w:color w:val="000000" w:themeColor="text1"/>
        </w:rPr>
        <w:t xml:space="preserve">, el artículo 24, de la Ley de la materia, dispone que los Sujetos Obligados sólo proporcionarán la información pública que </w:t>
      </w:r>
      <w:r w:rsidRPr="008644F6">
        <w:rPr>
          <w:rFonts w:ascii="Palatino Linotype" w:hAnsi="Palatino Linotype" w:cs="Arial"/>
        </w:rPr>
        <w:t>generen</w:t>
      </w:r>
      <w:r w:rsidRPr="008644F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C66A19" w:rsidRPr="008644F6" w:rsidRDefault="00C66A19" w:rsidP="008644F6">
      <w:pPr>
        <w:spacing w:line="360" w:lineRule="auto"/>
        <w:jc w:val="both"/>
        <w:rPr>
          <w:rFonts w:ascii="Palatino Linotype" w:hAnsi="Palatino Linotype" w:cs="Arial"/>
          <w:color w:val="000000" w:themeColor="text1"/>
        </w:rPr>
      </w:pPr>
    </w:p>
    <w:p w:rsidR="00C66A19" w:rsidRPr="008644F6" w:rsidRDefault="00C66A19" w:rsidP="008644F6">
      <w:pPr>
        <w:numPr>
          <w:ilvl w:val="0"/>
          <w:numId w:val="15"/>
        </w:numPr>
        <w:spacing w:line="360" w:lineRule="auto"/>
        <w:ind w:left="0" w:firstLine="0"/>
        <w:contextualSpacing/>
        <w:jc w:val="both"/>
        <w:rPr>
          <w:rFonts w:ascii="Palatino Linotype" w:hAnsi="Palatino Linotype" w:cs="Arial"/>
          <w:color w:val="000000" w:themeColor="text1"/>
        </w:rPr>
      </w:pPr>
      <w:r w:rsidRPr="008644F6">
        <w:rPr>
          <w:rFonts w:ascii="Palatino Linotype" w:hAnsi="Palatino Linotype" w:cs="Arial"/>
          <w:color w:val="000000" w:themeColor="text1"/>
        </w:rPr>
        <w:t xml:space="preserve">En esta </w:t>
      </w:r>
      <w:r w:rsidRPr="008644F6">
        <w:rPr>
          <w:rFonts w:ascii="Palatino Linotype" w:hAnsi="Palatino Linotype" w:cs="Arial"/>
          <w:color w:val="000000"/>
        </w:rPr>
        <w:t>misma</w:t>
      </w:r>
      <w:r w:rsidRPr="008644F6">
        <w:rPr>
          <w:rFonts w:ascii="Palatino Linotype" w:hAnsi="Palatino Linotype" w:cs="Arial"/>
          <w:color w:val="000000" w:themeColor="text1"/>
        </w:rPr>
        <w:t xml:space="preserve"> tesitura, es de subrayar que el derecho de acceso a la información pública, consiste en que la información solicitada conste en un soporte documental en cualquiera de sus formas, a saber: </w:t>
      </w:r>
      <w:r w:rsidRPr="008644F6">
        <w:rPr>
          <w:rFonts w:ascii="Palatino Linotype" w:hAnsi="Palatino Linotype" w:cs="Arial"/>
        </w:rPr>
        <w:t xml:space="preserve">expedientes, reportes, estudios, actas, resoluciones, </w:t>
      </w:r>
      <w:r w:rsidRPr="007F3122">
        <w:rPr>
          <w:rFonts w:ascii="Palatino Linotype" w:hAnsi="Palatino Linotype" w:cs="Arial"/>
        </w:rPr>
        <w:t>oficios,</w:t>
      </w:r>
      <w:r w:rsidRPr="008644F6">
        <w:rPr>
          <w:rFonts w:ascii="Palatino Linotype" w:hAnsi="Palatino Linotype" w:cs="Arial"/>
        </w:rPr>
        <w:t xml:space="preserve"> correspondencia, acuerdos, directivas, directrices, circulares, contratos, convenios, instructivos, notas, memorandos, estadísticas o bien, cualquier otro registro que documente el ejercicio de las facultades, funciones y competencias de los Sujetos Obligados</w:t>
      </w:r>
      <w:r w:rsidRPr="008644F6">
        <w:rPr>
          <w:rFonts w:ascii="Palatino Linotype" w:hAnsi="Palatino Linotype" w:cs="Arial"/>
          <w:color w:val="000000" w:themeColor="text1"/>
        </w:rPr>
        <w:t xml:space="preserve">; los que, </w:t>
      </w:r>
      <w:r w:rsidRPr="008644F6">
        <w:rPr>
          <w:rFonts w:ascii="Palatino Linotype" w:hAnsi="Palatino Linotype" w:cs="Arial"/>
        </w:rPr>
        <w:t>podrán estar en cualquier medio, sea escrito, impreso, sonoro, visual, electrónico, informático u holográfico</w:t>
      </w:r>
      <w:r w:rsidRPr="008644F6">
        <w:rPr>
          <w:rFonts w:ascii="Palatino Linotype" w:hAnsi="Palatino Linotype" w:cs="Arial"/>
          <w:color w:val="000000" w:themeColor="text1"/>
        </w:rPr>
        <w:t xml:space="preserve">, de conformidad con el artículo 3, fracción XI, de la Ley de la materia, el cual dispone lo siguiente: </w:t>
      </w:r>
    </w:p>
    <w:p w:rsidR="00C66A19" w:rsidRPr="00FF1CE3" w:rsidRDefault="00C66A19" w:rsidP="008644F6">
      <w:pPr>
        <w:spacing w:line="360" w:lineRule="auto"/>
        <w:ind w:left="851" w:right="902"/>
        <w:jc w:val="both"/>
        <w:rPr>
          <w:rFonts w:ascii="Palatino Linotype" w:hAnsi="Palatino Linotype" w:cs="Arial"/>
          <w:i/>
          <w:color w:val="000000"/>
          <w:sz w:val="22"/>
        </w:rPr>
      </w:pPr>
    </w:p>
    <w:p w:rsidR="00C66A19" w:rsidRPr="00FF1CE3" w:rsidRDefault="00C66A19" w:rsidP="008644F6">
      <w:pPr>
        <w:spacing w:line="360" w:lineRule="auto"/>
        <w:ind w:left="567" w:right="567"/>
        <w:jc w:val="both"/>
        <w:rPr>
          <w:rFonts w:ascii="Palatino Linotype" w:hAnsi="Palatino Linotype" w:cs="Arial"/>
          <w:i/>
          <w:color w:val="000000"/>
          <w:sz w:val="22"/>
        </w:rPr>
      </w:pPr>
      <w:r w:rsidRPr="00FF1CE3">
        <w:rPr>
          <w:rFonts w:ascii="Palatino Linotype" w:hAnsi="Palatino Linotype" w:cs="Arial"/>
          <w:i/>
          <w:color w:val="000000"/>
          <w:sz w:val="22"/>
        </w:rPr>
        <w:t>“</w:t>
      </w:r>
      <w:r w:rsidRPr="00FF1CE3">
        <w:rPr>
          <w:rFonts w:ascii="Palatino Linotype" w:hAnsi="Palatino Linotype" w:cs="Arial"/>
          <w:b/>
          <w:i/>
          <w:color w:val="000000"/>
          <w:sz w:val="22"/>
        </w:rPr>
        <w:t xml:space="preserve">Artículo 3. </w:t>
      </w:r>
      <w:r w:rsidRPr="00FF1CE3">
        <w:rPr>
          <w:rFonts w:ascii="Palatino Linotype" w:hAnsi="Palatino Linotype" w:cs="Arial"/>
          <w:i/>
          <w:color w:val="000000"/>
          <w:sz w:val="22"/>
        </w:rPr>
        <w:t>Para los efectos de la presente Ley se entenderá por:</w:t>
      </w:r>
    </w:p>
    <w:p w:rsidR="00C66A19" w:rsidRPr="00FF1CE3" w:rsidRDefault="00C66A19" w:rsidP="008644F6">
      <w:pPr>
        <w:spacing w:line="360" w:lineRule="auto"/>
        <w:ind w:left="567" w:right="567"/>
        <w:jc w:val="both"/>
        <w:rPr>
          <w:rFonts w:ascii="Palatino Linotype" w:hAnsi="Palatino Linotype" w:cs="Arial"/>
          <w:i/>
          <w:color w:val="000000"/>
          <w:sz w:val="22"/>
        </w:rPr>
      </w:pPr>
      <w:r w:rsidRPr="00FF1CE3">
        <w:rPr>
          <w:rFonts w:ascii="Palatino Linotype" w:hAnsi="Palatino Linotype" w:cs="Arial"/>
          <w:i/>
          <w:color w:val="000000"/>
          <w:sz w:val="22"/>
        </w:rPr>
        <w:t>(…)</w:t>
      </w:r>
    </w:p>
    <w:p w:rsidR="00C66A19" w:rsidRPr="00FF1CE3" w:rsidRDefault="00C66A19" w:rsidP="008644F6">
      <w:pPr>
        <w:spacing w:line="360" w:lineRule="auto"/>
        <w:ind w:left="567" w:right="567"/>
        <w:jc w:val="both"/>
        <w:rPr>
          <w:rFonts w:ascii="Palatino Linotype" w:hAnsi="Palatino Linotype" w:cs="Arial"/>
          <w:i/>
          <w:color w:val="000000"/>
          <w:sz w:val="22"/>
        </w:rPr>
      </w:pPr>
      <w:r w:rsidRPr="00FF1CE3">
        <w:rPr>
          <w:rFonts w:ascii="Palatino Linotype" w:hAnsi="Palatino Linotype" w:cs="Arial"/>
          <w:b/>
          <w:i/>
          <w:color w:val="000000"/>
          <w:sz w:val="22"/>
        </w:rPr>
        <w:t>XI. Documento:</w:t>
      </w:r>
      <w:r w:rsidRPr="00FF1CE3">
        <w:rPr>
          <w:rFonts w:ascii="Palatino Linotype" w:hAnsi="Palatino Linotype" w:cs="Arial"/>
          <w:i/>
          <w:color w:val="000000"/>
          <w:sz w:val="22"/>
        </w:rPr>
        <w:t xml:space="preserve"> Los expedientes, reportes, estudios, actas, resoluciones, </w:t>
      </w:r>
      <w:r w:rsidRPr="00FF1CE3">
        <w:rPr>
          <w:rFonts w:ascii="Palatino Linotype" w:hAnsi="Palatino Linotype" w:cs="Arial"/>
          <w:b/>
          <w:i/>
          <w:color w:val="000000"/>
          <w:sz w:val="22"/>
          <w:u w:val="single"/>
        </w:rPr>
        <w:t>oficios,</w:t>
      </w:r>
      <w:r w:rsidRPr="00FF1CE3">
        <w:rPr>
          <w:rFonts w:ascii="Palatino Linotype" w:hAnsi="Palatino Linotype" w:cs="Arial"/>
          <w:i/>
          <w:color w:val="000000"/>
          <w:sz w:val="22"/>
        </w:rPr>
        <w:t xml:space="preserve">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FF1CE3">
        <w:rPr>
          <w:rFonts w:ascii="Palatino Linotype" w:hAnsi="Palatino Linotype" w:cs="Arial"/>
          <w:i/>
          <w:color w:val="000000"/>
          <w:sz w:val="22"/>
        </w:rPr>
        <w:lastRenderedPageBreak/>
        <w:t>elaboración. Los documentos podrán estar en cualquier medio, sea escrito, impreso, sonoro, visual, electrónico, informático u holográfico;</w:t>
      </w:r>
    </w:p>
    <w:p w:rsidR="00C66A19" w:rsidRPr="00FF1CE3" w:rsidRDefault="00C66A19" w:rsidP="008644F6">
      <w:pPr>
        <w:spacing w:line="360" w:lineRule="auto"/>
        <w:ind w:left="567" w:right="567"/>
        <w:jc w:val="both"/>
        <w:rPr>
          <w:rFonts w:ascii="Palatino Linotype" w:hAnsi="Palatino Linotype" w:cs="Arial"/>
          <w:i/>
          <w:color w:val="000000"/>
          <w:sz w:val="22"/>
        </w:rPr>
      </w:pPr>
      <w:r w:rsidRPr="00FF1CE3">
        <w:rPr>
          <w:rFonts w:ascii="Palatino Linotype" w:hAnsi="Palatino Linotype" w:cs="Arial"/>
          <w:i/>
          <w:color w:val="000000"/>
          <w:sz w:val="22"/>
        </w:rPr>
        <w:t>(…)”</w:t>
      </w:r>
    </w:p>
    <w:p w:rsidR="00054F7E" w:rsidRPr="00FF1CE3" w:rsidRDefault="00054F7E" w:rsidP="008644F6">
      <w:pPr>
        <w:spacing w:line="360" w:lineRule="auto"/>
        <w:ind w:left="567" w:right="567"/>
        <w:jc w:val="both"/>
        <w:rPr>
          <w:rFonts w:ascii="Palatino Linotype" w:hAnsi="Palatino Linotype" w:cs="Arial"/>
          <w:color w:val="000000"/>
          <w:sz w:val="22"/>
        </w:rPr>
      </w:pPr>
      <w:r w:rsidRPr="00FF1CE3">
        <w:rPr>
          <w:rFonts w:ascii="Palatino Linotype" w:hAnsi="Palatino Linotype" w:cs="Arial"/>
          <w:color w:val="000000"/>
          <w:sz w:val="22"/>
        </w:rPr>
        <w:t>Énfasis añadido</w:t>
      </w:r>
    </w:p>
    <w:p w:rsidR="00C66A19" w:rsidRPr="00FF1CE3" w:rsidRDefault="00C66A19" w:rsidP="008644F6">
      <w:pPr>
        <w:autoSpaceDE w:val="0"/>
        <w:autoSpaceDN w:val="0"/>
        <w:adjustRightInd w:val="0"/>
        <w:spacing w:line="360" w:lineRule="auto"/>
        <w:jc w:val="both"/>
        <w:rPr>
          <w:rFonts w:ascii="Palatino Linotype" w:hAnsi="Palatino Linotype" w:cs="Arial"/>
          <w:sz w:val="22"/>
        </w:rPr>
      </w:pPr>
    </w:p>
    <w:p w:rsidR="00C66A19" w:rsidRPr="008644F6" w:rsidRDefault="00C66A19" w:rsidP="008644F6">
      <w:pPr>
        <w:numPr>
          <w:ilvl w:val="0"/>
          <w:numId w:val="15"/>
        </w:numPr>
        <w:spacing w:line="360" w:lineRule="auto"/>
        <w:ind w:left="0" w:firstLine="0"/>
        <w:contextualSpacing/>
        <w:jc w:val="both"/>
        <w:rPr>
          <w:rFonts w:ascii="Palatino Linotype" w:hAnsi="Palatino Linotype" w:cs="Arial"/>
        </w:rPr>
      </w:pPr>
      <w:r w:rsidRPr="008644F6">
        <w:rPr>
          <w:rFonts w:ascii="Palatino Linotype" w:hAnsi="Palatino Linotype" w:cs="Arial"/>
        </w:rPr>
        <w:t xml:space="preserve">Siendo aplicable el Criterio </w:t>
      </w:r>
      <w:r w:rsidRPr="008644F6">
        <w:rPr>
          <w:rFonts w:ascii="Palatino Linotype" w:hAnsi="Palatino Linotype" w:cs="Arial"/>
          <w:bCs/>
          <w:lang w:eastAsia="es-MX"/>
        </w:rPr>
        <w:t xml:space="preserve">de interpretación en el orden administrativo número 0002-11, </w:t>
      </w:r>
      <w:r w:rsidRPr="008644F6">
        <w:rPr>
          <w:rFonts w:ascii="Palatino Linotype" w:hAnsi="Palatino Linotype" w:cs="Arial"/>
          <w:color w:val="000000" w:themeColor="text1"/>
        </w:rPr>
        <w:t>emitido</w:t>
      </w:r>
      <w:r w:rsidRPr="008644F6">
        <w:rPr>
          <w:rFonts w:ascii="Palatino Linotype" w:hAnsi="Palatino Linotype" w:cs="Arial"/>
          <w:bCs/>
          <w:lang w:eastAsia="es-MX"/>
        </w:rPr>
        <w:t xml:space="preserve">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644F6">
        <w:rPr>
          <w:rFonts w:ascii="Palatino Linotype" w:hAnsi="Palatino Linotype" w:cs="Arial"/>
        </w:rPr>
        <w:t>cuyo rubro y texto dispone:</w:t>
      </w:r>
    </w:p>
    <w:p w:rsidR="00C66A19" w:rsidRPr="00FF1CE3" w:rsidRDefault="00C66A19" w:rsidP="008644F6">
      <w:pPr>
        <w:spacing w:line="360" w:lineRule="auto"/>
        <w:ind w:left="567" w:right="567"/>
        <w:jc w:val="both"/>
        <w:rPr>
          <w:rFonts w:ascii="Palatino Linotype" w:hAnsi="Palatino Linotype" w:cs="Arial"/>
          <w:sz w:val="22"/>
        </w:rPr>
      </w:pPr>
    </w:p>
    <w:p w:rsidR="00C66A19" w:rsidRPr="00FF1CE3" w:rsidRDefault="00C66A19" w:rsidP="008644F6">
      <w:pPr>
        <w:spacing w:line="360" w:lineRule="auto"/>
        <w:ind w:left="567" w:right="567"/>
        <w:jc w:val="both"/>
        <w:rPr>
          <w:rFonts w:ascii="Palatino Linotype" w:hAnsi="Palatino Linotype" w:cs="Arial"/>
          <w:b/>
          <w:i/>
          <w:sz w:val="22"/>
        </w:rPr>
      </w:pPr>
      <w:r w:rsidRPr="00FF1CE3">
        <w:rPr>
          <w:rFonts w:ascii="Palatino Linotype" w:hAnsi="Palatino Linotype" w:cs="Arial"/>
          <w:b/>
          <w:sz w:val="22"/>
        </w:rPr>
        <w:t>“</w:t>
      </w:r>
      <w:r w:rsidRPr="00FF1CE3">
        <w:rPr>
          <w:rFonts w:ascii="Palatino Linotype" w:hAnsi="Palatino Linotype" w:cs="Arial"/>
          <w:b/>
          <w:i/>
          <w:sz w:val="22"/>
        </w:rPr>
        <w:t>CRITERIO 0002-11</w:t>
      </w:r>
    </w:p>
    <w:p w:rsidR="00C66A19" w:rsidRPr="00FF1CE3" w:rsidRDefault="00C66A19" w:rsidP="008644F6">
      <w:pPr>
        <w:spacing w:line="360" w:lineRule="auto"/>
        <w:ind w:left="567" w:right="567"/>
        <w:jc w:val="both"/>
        <w:rPr>
          <w:rFonts w:ascii="Palatino Linotype" w:hAnsi="Palatino Linotype" w:cs="Arial"/>
          <w:i/>
          <w:sz w:val="22"/>
        </w:rPr>
      </w:pPr>
      <w:r w:rsidRPr="00FF1CE3">
        <w:rPr>
          <w:rFonts w:ascii="Palatino Linotype" w:hAnsi="Palatino Linotype" w:cs="Arial"/>
          <w:b/>
          <w:i/>
          <w:sz w:val="22"/>
        </w:rPr>
        <w:t xml:space="preserve">INFORMACIÓN PÚBLICA, CONCEPTO DE, EN MATERIA DE TRANSPARENCIA. INTERPRETACIÓN SISTEMÁTICA DE LOS ARTÍCULOS 2°, FRACCIÓN </w:t>
      </w:r>
      <w:r w:rsidRPr="00FF1CE3">
        <w:rPr>
          <w:rFonts w:ascii="Palatino Linotype" w:hAnsi="Palatino Linotype" w:cs="Arial"/>
          <w:b/>
          <w:bCs/>
          <w:i/>
          <w:sz w:val="22"/>
        </w:rPr>
        <w:t xml:space="preserve">V, XV, Y XVI, </w:t>
      </w:r>
      <w:r w:rsidRPr="00FF1CE3">
        <w:rPr>
          <w:rFonts w:ascii="Palatino Linotype" w:hAnsi="Palatino Linotype" w:cs="Arial"/>
          <w:b/>
          <w:i/>
          <w:sz w:val="22"/>
        </w:rPr>
        <w:t>3°, 4°, 11 Y 41.</w:t>
      </w:r>
      <w:r w:rsidRPr="00FF1CE3">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66A19" w:rsidRPr="00FF1CE3" w:rsidRDefault="00C66A19" w:rsidP="008644F6">
      <w:pPr>
        <w:spacing w:line="360" w:lineRule="auto"/>
        <w:ind w:left="567" w:right="567"/>
        <w:jc w:val="both"/>
        <w:rPr>
          <w:rFonts w:ascii="Palatino Linotype" w:hAnsi="Palatino Linotype" w:cs="Arial"/>
          <w:i/>
          <w:sz w:val="22"/>
        </w:rPr>
      </w:pPr>
      <w:r w:rsidRPr="00FF1CE3">
        <w:rPr>
          <w:rFonts w:ascii="Palatino Linotype" w:hAnsi="Palatino Linotype" w:cs="Arial"/>
          <w:i/>
          <w:sz w:val="22"/>
        </w:rPr>
        <w:t>En consecuencia el acceso a la información se refiere a que se cumplan cualquiera de los siguientes tres supuestos:</w:t>
      </w:r>
    </w:p>
    <w:p w:rsidR="00C66A19" w:rsidRPr="00FF1CE3" w:rsidRDefault="00C66A19" w:rsidP="008644F6">
      <w:pPr>
        <w:spacing w:line="360" w:lineRule="auto"/>
        <w:ind w:left="567" w:right="567"/>
        <w:jc w:val="both"/>
        <w:rPr>
          <w:rFonts w:ascii="Palatino Linotype" w:hAnsi="Palatino Linotype" w:cs="Arial"/>
          <w:b/>
          <w:i/>
          <w:sz w:val="22"/>
        </w:rPr>
      </w:pPr>
      <w:r w:rsidRPr="00FF1CE3">
        <w:rPr>
          <w:rFonts w:ascii="Palatino Linotype" w:hAnsi="Palatino Linotype" w:cs="Arial"/>
          <w:b/>
          <w:i/>
          <w:sz w:val="22"/>
        </w:rPr>
        <w:t xml:space="preserve">1) </w:t>
      </w:r>
      <w:r w:rsidRPr="00FF1CE3">
        <w:rPr>
          <w:rFonts w:ascii="Palatino Linotype" w:hAnsi="Palatino Linotype" w:cs="Arial"/>
          <w:b/>
          <w:i/>
          <w:sz w:val="22"/>
          <w:u w:val="single"/>
        </w:rPr>
        <w:t>Que se trate de información registrada en cualquier soporte documental, que en ejercicio de las atribuciones conferidas, sea generada por los Sujetos Obligados;</w:t>
      </w:r>
    </w:p>
    <w:p w:rsidR="00C66A19" w:rsidRPr="00FF1CE3" w:rsidRDefault="00C66A19" w:rsidP="008644F6">
      <w:pPr>
        <w:spacing w:line="360" w:lineRule="auto"/>
        <w:ind w:left="567" w:right="567"/>
        <w:jc w:val="both"/>
        <w:rPr>
          <w:rFonts w:ascii="Palatino Linotype" w:hAnsi="Palatino Linotype" w:cs="Arial"/>
          <w:i/>
          <w:sz w:val="22"/>
        </w:rPr>
      </w:pPr>
      <w:r w:rsidRPr="00FF1CE3">
        <w:rPr>
          <w:rFonts w:ascii="Palatino Linotype" w:hAnsi="Palatino Linotype" w:cs="Arial"/>
          <w:i/>
          <w:sz w:val="22"/>
        </w:rPr>
        <w:lastRenderedPageBreak/>
        <w:t>2) Que se trate de información registrada en cualquier soporte documental, que en ejercicio de las atribuciones conferidas, sea administrada por los Sujetos Obligados, y</w:t>
      </w:r>
    </w:p>
    <w:p w:rsidR="00C66A19" w:rsidRPr="00FF1CE3" w:rsidRDefault="00C66A19" w:rsidP="008644F6">
      <w:pPr>
        <w:spacing w:line="360" w:lineRule="auto"/>
        <w:ind w:left="567" w:right="567"/>
        <w:jc w:val="both"/>
        <w:rPr>
          <w:rFonts w:ascii="Palatino Linotype" w:hAnsi="Palatino Linotype" w:cs="Arial"/>
          <w:i/>
          <w:sz w:val="22"/>
        </w:rPr>
      </w:pPr>
      <w:r w:rsidRPr="00FF1CE3">
        <w:rPr>
          <w:rFonts w:ascii="Palatino Linotype" w:hAnsi="Palatino Linotype" w:cs="Arial"/>
          <w:i/>
          <w:sz w:val="22"/>
        </w:rPr>
        <w:t>3) Que se trate de información registrada en cualquier soporte documental, que en ejercicio de las atribuciones conferidas, se encuentre en posesión de los Sujetos Obligados.”</w:t>
      </w:r>
    </w:p>
    <w:p w:rsidR="00C66A19" w:rsidRPr="00FF1CE3" w:rsidRDefault="00C66A19" w:rsidP="008644F6">
      <w:pPr>
        <w:tabs>
          <w:tab w:val="left" w:pos="851"/>
        </w:tabs>
        <w:spacing w:line="360" w:lineRule="auto"/>
        <w:ind w:left="567" w:right="567"/>
        <w:rPr>
          <w:rFonts w:ascii="Palatino Linotype" w:hAnsi="Palatino Linotype" w:cs="Arial"/>
          <w:sz w:val="22"/>
        </w:rPr>
      </w:pPr>
      <w:r w:rsidRPr="00FF1CE3">
        <w:rPr>
          <w:rFonts w:ascii="Palatino Linotype" w:hAnsi="Palatino Linotype" w:cs="Arial"/>
          <w:sz w:val="22"/>
        </w:rPr>
        <w:t>(Énfasis Añadido)</w:t>
      </w:r>
    </w:p>
    <w:p w:rsidR="00C66A19" w:rsidRPr="00FF1CE3" w:rsidRDefault="00C66A19" w:rsidP="008644F6">
      <w:pPr>
        <w:pStyle w:val="Prrafodelista"/>
        <w:autoSpaceDE w:val="0"/>
        <w:autoSpaceDN w:val="0"/>
        <w:adjustRightInd w:val="0"/>
        <w:spacing w:line="360" w:lineRule="auto"/>
        <w:ind w:left="0"/>
        <w:jc w:val="both"/>
        <w:rPr>
          <w:rFonts w:ascii="Palatino Linotype" w:hAnsi="Palatino Linotype" w:cs="Arial"/>
          <w:color w:val="000000"/>
          <w:sz w:val="22"/>
        </w:rPr>
      </w:pPr>
    </w:p>
    <w:p w:rsidR="00C66A19" w:rsidRPr="008644F6" w:rsidRDefault="00C66A19" w:rsidP="008644F6">
      <w:pPr>
        <w:numPr>
          <w:ilvl w:val="0"/>
          <w:numId w:val="15"/>
        </w:numPr>
        <w:spacing w:line="360" w:lineRule="auto"/>
        <w:ind w:left="0" w:firstLine="0"/>
        <w:contextualSpacing/>
        <w:jc w:val="both"/>
        <w:rPr>
          <w:rFonts w:ascii="Palatino Linotype" w:hAnsi="Palatino Linotype"/>
        </w:rPr>
      </w:pPr>
      <w:r w:rsidRPr="008644F6">
        <w:rPr>
          <w:rFonts w:ascii="Palatino Linotype" w:eastAsia="Calibri" w:hAnsi="Palatino Linotype"/>
        </w:rPr>
        <w:t xml:space="preserve">Por su </w:t>
      </w:r>
      <w:r w:rsidRPr="008644F6">
        <w:rPr>
          <w:rFonts w:ascii="Palatino Linotype" w:hAnsi="Palatino Linotype" w:cs="Arial"/>
        </w:rPr>
        <w:t>parte</w:t>
      </w:r>
      <w:r w:rsidRPr="008644F6">
        <w:rPr>
          <w:rFonts w:ascii="Palatino Linotype" w:eastAsia="Calibri" w:hAnsi="Palatino Linotype"/>
        </w:rPr>
        <w:t xml:space="preserve"> los artículos 160 y 166, </w:t>
      </w:r>
      <w:r w:rsidRPr="008644F6">
        <w:rPr>
          <w:rFonts w:ascii="Palatino Linotype" w:hAnsi="Palatino Linotype"/>
          <w:bCs/>
        </w:rPr>
        <w:t>de la Ley local en la materia, que se reproduce de la siguiente forma</w:t>
      </w:r>
      <w:r w:rsidRPr="008644F6">
        <w:rPr>
          <w:rFonts w:ascii="Palatino Linotype" w:hAnsi="Palatino Linotype"/>
        </w:rPr>
        <w:t>:</w:t>
      </w:r>
    </w:p>
    <w:p w:rsidR="00C66A19" w:rsidRPr="008644F6" w:rsidRDefault="00C66A19" w:rsidP="008644F6">
      <w:pPr>
        <w:spacing w:line="360" w:lineRule="auto"/>
        <w:contextualSpacing/>
        <w:jc w:val="both"/>
        <w:rPr>
          <w:rFonts w:ascii="Palatino Linotype" w:hAnsi="Palatino Linotype"/>
        </w:rPr>
      </w:pPr>
    </w:p>
    <w:p w:rsidR="00C66A19" w:rsidRPr="00FF1CE3" w:rsidRDefault="00C66A19" w:rsidP="008644F6">
      <w:pPr>
        <w:spacing w:line="360" w:lineRule="auto"/>
        <w:ind w:left="567" w:right="567"/>
        <w:jc w:val="both"/>
        <w:rPr>
          <w:rFonts w:ascii="Palatino Linotype" w:hAnsi="Palatino Linotype"/>
          <w:i/>
          <w:sz w:val="22"/>
        </w:rPr>
      </w:pPr>
      <w:r w:rsidRPr="00FF1CE3">
        <w:rPr>
          <w:rFonts w:ascii="Palatino Linotype" w:hAnsi="Palatino Linotype"/>
          <w:i/>
          <w:sz w:val="22"/>
        </w:rPr>
        <w:t>“</w:t>
      </w:r>
      <w:r w:rsidRPr="00FF1CE3">
        <w:rPr>
          <w:rFonts w:ascii="Palatino Linotype" w:hAnsi="Palatino Linotype"/>
          <w:b/>
          <w:i/>
          <w:sz w:val="22"/>
        </w:rPr>
        <w:t>Artículo 160.</w:t>
      </w:r>
      <w:r w:rsidRPr="00FF1CE3">
        <w:rPr>
          <w:rFonts w:ascii="Palatino Linotype" w:hAnsi="Palatino Linotype"/>
          <w:i/>
          <w:sz w:val="22"/>
        </w:rPr>
        <w:t xml:space="preserve"> </w:t>
      </w:r>
      <w:r w:rsidRPr="00FF1CE3">
        <w:rPr>
          <w:rFonts w:ascii="Palatino Linotype" w:hAnsi="Palatino Linotype"/>
          <w:i/>
          <w:sz w:val="22"/>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FF1CE3">
        <w:rPr>
          <w:rFonts w:ascii="Palatino Linotype" w:hAnsi="Palatino Linotype"/>
          <w:i/>
          <w:sz w:val="22"/>
        </w:rPr>
        <w:t>.</w:t>
      </w:r>
    </w:p>
    <w:p w:rsidR="00C66A19" w:rsidRPr="00FF1CE3" w:rsidRDefault="00C66A19" w:rsidP="008644F6">
      <w:pPr>
        <w:spacing w:line="360" w:lineRule="auto"/>
        <w:ind w:left="567" w:right="567"/>
        <w:jc w:val="both"/>
        <w:rPr>
          <w:rFonts w:ascii="Palatino Linotype" w:hAnsi="Palatino Linotype"/>
          <w:i/>
          <w:sz w:val="22"/>
        </w:rPr>
      </w:pPr>
      <w:r w:rsidRPr="00FF1CE3">
        <w:rPr>
          <w:rFonts w:ascii="Palatino Linotype" w:hAnsi="Palatino Linotype"/>
          <w:i/>
          <w:sz w:val="22"/>
        </w:rPr>
        <w:t>En caso que la información solicitada consista en bases de datos se deberá privilegiar la entrega de la misma en formatos abiertos.</w:t>
      </w:r>
    </w:p>
    <w:p w:rsidR="00C66A19" w:rsidRPr="00FF1CE3" w:rsidRDefault="00C66A19" w:rsidP="008644F6">
      <w:pPr>
        <w:spacing w:line="360" w:lineRule="auto"/>
        <w:ind w:left="567" w:right="567"/>
        <w:jc w:val="both"/>
        <w:rPr>
          <w:rFonts w:ascii="Palatino Linotype" w:hAnsi="Palatino Linotype"/>
          <w:i/>
          <w:sz w:val="22"/>
        </w:rPr>
      </w:pPr>
    </w:p>
    <w:p w:rsidR="00C66A19" w:rsidRPr="00FF1CE3" w:rsidRDefault="00C66A19" w:rsidP="008644F6">
      <w:pPr>
        <w:spacing w:line="360" w:lineRule="auto"/>
        <w:ind w:left="567" w:right="567"/>
        <w:jc w:val="both"/>
        <w:rPr>
          <w:rFonts w:ascii="Palatino Linotype" w:hAnsi="Palatino Linotype" w:cs="Arial"/>
          <w:i/>
          <w:sz w:val="22"/>
          <w:u w:val="single"/>
        </w:rPr>
      </w:pPr>
      <w:r w:rsidRPr="00FF1CE3">
        <w:rPr>
          <w:rFonts w:ascii="Palatino Linotype" w:hAnsi="Palatino Linotype" w:cs="Arial"/>
          <w:b/>
          <w:i/>
          <w:sz w:val="22"/>
        </w:rPr>
        <w:t>Artículo 166.</w:t>
      </w:r>
      <w:r w:rsidRPr="00FF1CE3">
        <w:rPr>
          <w:rFonts w:ascii="Palatino Linotype" w:hAnsi="Palatino Linotype" w:cs="Arial"/>
          <w:i/>
          <w:sz w:val="22"/>
        </w:rPr>
        <w:t xml:space="preserve"> </w:t>
      </w:r>
      <w:r w:rsidRPr="00FF1CE3">
        <w:rPr>
          <w:rFonts w:ascii="Palatino Linotype" w:hAnsi="Palatino Linotype" w:cs="Arial"/>
          <w:i/>
          <w:sz w:val="22"/>
          <w:u w:val="single"/>
        </w:rPr>
        <w:t>La obligación de acceso a la información pública se tendrá por cumplida cuando el solicitante tenga a su disposición la información requerida, o cuando realice la consulta de la misma en el lugar en el que ésta se localice.</w:t>
      </w:r>
    </w:p>
    <w:p w:rsidR="00C66A19" w:rsidRPr="00FF1CE3" w:rsidRDefault="00C66A19" w:rsidP="008644F6">
      <w:pPr>
        <w:spacing w:line="360" w:lineRule="auto"/>
        <w:ind w:left="567" w:right="567"/>
        <w:jc w:val="both"/>
        <w:rPr>
          <w:rFonts w:ascii="Palatino Linotype" w:hAnsi="Palatino Linotype" w:cs="Arial"/>
          <w:sz w:val="22"/>
        </w:rPr>
      </w:pPr>
      <w:r w:rsidRPr="00FF1CE3">
        <w:rPr>
          <w:rFonts w:ascii="Palatino Linotype" w:hAnsi="Palatino Linotype" w:cs="Arial"/>
          <w:sz w:val="22"/>
        </w:rPr>
        <w:t>Énfasis añadido</w:t>
      </w:r>
    </w:p>
    <w:p w:rsidR="00C66A19" w:rsidRPr="00FF1CE3" w:rsidRDefault="00C66A19" w:rsidP="008644F6">
      <w:pPr>
        <w:spacing w:line="360" w:lineRule="auto"/>
        <w:jc w:val="both"/>
        <w:rPr>
          <w:rFonts w:ascii="Palatino Linotype" w:hAnsi="Palatino Linotype"/>
          <w:sz w:val="22"/>
        </w:rPr>
      </w:pPr>
    </w:p>
    <w:p w:rsidR="00C66A19" w:rsidRPr="008644F6" w:rsidRDefault="00C66A19" w:rsidP="008644F6">
      <w:pPr>
        <w:numPr>
          <w:ilvl w:val="0"/>
          <w:numId w:val="15"/>
        </w:numPr>
        <w:spacing w:line="360" w:lineRule="auto"/>
        <w:ind w:left="0" w:firstLine="0"/>
        <w:contextualSpacing/>
        <w:jc w:val="both"/>
        <w:rPr>
          <w:rFonts w:ascii="Palatino Linotype" w:hAnsi="Palatino Linotype"/>
          <w:color w:val="000000"/>
        </w:rPr>
      </w:pPr>
      <w:r w:rsidRPr="008644F6">
        <w:rPr>
          <w:rFonts w:ascii="Palatino Linotype" w:hAnsi="Palatino Linotype"/>
        </w:rPr>
        <w:t xml:space="preserve">Así que la obligación de los Sujetos Obligados de dar acceso a la información </w:t>
      </w:r>
      <w:r w:rsidRPr="008644F6">
        <w:rPr>
          <w:rFonts w:ascii="Palatino Linotype" w:eastAsia="Calibri" w:hAnsi="Palatino Linotype"/>
        </w:rPr>
        <w:t>pública</w:t>
      </w:r>
      <w:r w:rsidRPr="008644F6">
        <w:rPr>
          <w:rFonts w:ascii="Palatino Linotype" w:hAnsi="Palatino Linotype"/>
        </w:rPr>
        <w:t xml:space="preserve"> que generen, administren o posean, se tendrá por cumplida cuando el solicitante tenga a su disposición la información requerida, o cuando realice la </w:t>
      </w:r>
      <w:r w:rsidRPr="008644F6">
        <w:rPr>
          <w:rFonts w:ascii="Palatino Linotype" w:hAnsi="Palatino Linotype"/>
        </w:rPr>
        <w:lastRenderedPageBreak/>
        <w:t>consulta de la misma en el lugar que ésta se localice, siempre y cuando así resultare procedente</w:t>
      </w:r>
      <w:r w:rsidR="007F3122">
        <w:rPr>
          <w:rFonts w:ascii="Palatino Linotype" w:hAnsi="Palatino Linotype"/>
        </w:rPr>
        <w:t>.</w:t>
      </w:r>
    </w:p>
    <w:p w:rsidR="00C66A19" w:rsidRPr="008644F6" w:rsidRDefault="00C66A19" w:rsidP="008644F6">
      <w:pPr>
        <w:spacing w:line="360" w:lineRule="auto"/>
        <w:contextualSpacing/>
        <w:jc w:val="both"/>
        <w:rPr>
          <w:rFonts w:ascii="Palatino Linotype" w:hAnsi="Palatino Linotype"/>
          <w:color w:val="000000"/>
        </w:rPr>
      </w:pPr>
    </w:p>
    <w:p w:rsidR="00C66A19" w:rsidRPr="008644F6" w:rsidRDefault="00C66A19" w:rsidP="008644F6">
      <w:pPr>
        <w:numPr>
          <w:ilvl w:val="0"/>
          <w:numId w:val="15"/>
        </w:numPr>
        <w:spacing w:line="360" w:lineRule="auto"/>
        <w:ind w:left="0" w:firstLine="0"/>
        <w:contextualSpacing/>
        <w:jc w:val="both"/>
        <w:rPr>
          <w:rFonts w:ascii="Palatino Linotype" w:hAnsi="Palatino Linotype"/>
          <w:color w:val="000000" w:themeColor="text1"/>
        </w:rPr>
      </w:pPr>
      <w:r w:rsidRPr="008644F6">
        <w:rPr>
          <w:rFonts w:ascii="Palatino Linotype" w:hAnsi="Palatino Linotype"/>
          <w:color w:val="000000" w:themeColor="text1"/>
        </w:rPr>
        <w:t xml:space="preserve">Así, en mérito de lo expuesto en líneas anteriores se estima que resultan </w:t>
      </w:r>
      <w:r w:rsidR="00054F7E" w:rsidRPr="008644F6">
        <w:rPr>
          <w:rFonts w:ascii="Palatino Linotype" w:hAnsi="Palatino Linotype"/>
          <w:b/>
          <w:color w:val="000000" w:themeColor="text1"/>
        </w:rPr>
        <w:t xml:space="preserve">parcialmente </w:t>
      </w:r>
      <w:r w:rsidR="007F3122">
        <w:rPr>
          <w:rFonts w:ascii="Palatino Linotype" w:hAnsi="Palatino Linotype"/>
          <w:b/>
          <w:color w:val="000000" w:themeColor="text1"/>
        </w:rPr>
        <w:t>inf</w:t>
      </w:r>
      <w:r w:rsidRPr="008644F6">
        <w:rPr>
          <w:rFonts w:ascii="Palatino Linotype" w:hAnsi="Palatino Linotype"/>
          <w:b/>
          <w:color w:val="000000" w:themeColor="text1"/>
        </w:rPr>
        <w:t>undadas</w:t>
      </w:r>
      <w:r w:rsidRPr="008644F6">
        <w:rPr>
          <w:rFonts w:ascii="Palatino Linotype" w:hAnsi="Palatino Linotype"/>
          <w:color w:val="000000" w:themeColor="text1"/>
        </w:rPr>
        <w:t xml:space="preserve"> </w:t>
      </w:r>
      <w:r w:rsidRPr="008644F6">
        <w:rPr>
          <w:rFonts w:ascii="Palatino Linotype" w:hAnsi="Palatino Linotype" w:cs="Arial"/>
        </w:rPr>
        <w:t>las</w:t>
      </w:r>
      <w:r w:rsidRPr="008644F6">
        <w:rPr>
          <w:rFonts w:ascii="Palatino Linotype" w:hAnsi="Palatino Linotype"/>
          <w:color w:val="000000" w:themeColor="text1"/>
        </w:rPr>
        <w:t xml:space="preserve"> razones o </w:t>
      </w:r>
      <w:r w:rsidRPr="008644F6">
        <w:rPr>
          <w:rFonts w:ascii="Palatino Linotype" w:hAnsi="Palatino Linotype" w:cs="Arial"/>
        </w:rPr>
        <w:t>motivos</w:t>
      </w:r>
      <w:r w:rsidRPr="008644F6">
        <w:rPr>
          <w:rFonts w:ascii="Palatino Linotype" w:hAnsi="Palatino Linotype"/>
          <w:color w:val="000000" w:themeColor="text1"/>
        </w:rPr>
        <w:t xml:space="preserve"> de inconformidad que arguye </w:t>
      </w:r>
      <w:r w:rsidRPr="008644F6">
        <w:rPr>
          <w:rFonts w:ascii="Palatino Linotype" w:hAnsi="Palatino Linotype"/>
          <w:b/>
          <w:color w:val="000000" w:themeColor="text1"/>
        </w:rPr>
        <w:t>EL RECURRENTE</w:t>
      </w:r>
      <w:r w:rsidRPr="008644F6">
        <w:rPr>
          <w:rFonts w:ascii="Palatino Linotype" w:hAnsi="Palatino Linotype"/>
          <w:color w:val="000000" w:themeColor="text1"/>
        </w:rPr>
        <w:t xml:space="preserve">, por </w:t>
      </w:r>
      <w:r w:rsidRPr="008644F6">
        <w:rPr>
          <w:rFonts w:ascii="Palatino Linotype" w:hAnsi="Palatino Linotype" w:cs="Arial"/>
        </w:rPr>
        <w:t>ello</w:t>
      </w:r>
      <w:r w:rsidRPr="008644F6">
        <w:rPr>
          <w:rFonts w:ascii="Palatino Linotype" w:hAnsi="Palatino Linotype"/>
          <w:color w:val="000000" w:themeColor="text1"/>
        </w:rPr>
        <w:t xml:space="preserve"> con fundamento en el artículo 186, fracción II, de la Ley de Transparencia y </w:t>
      </w:r>
      <w:r w:rsidRPr="008644F6">
        <w:rPr>
          <w:rFonts w:ascii="Palatino Linotype" w:hAnsi="Palatino Linotype"/>
        </w:rPr>
        <w:t>Acceso</w:t>
      </w:r>
      <w:r w:rsidRPr="008644F6">
        <w:rPr>
          <w:rFonts w:ascii="Palatino Linotype" w:hAnsi="Palatino Linotype"/>
          <w:color w:val="000000" w:themeColor="text1"/>
        </w:rPr>
        <w:t xml:space="preserve"> a la </w:t>
      </w:r>
      <w:r w:rsidRPr="008644F6">
        <w:rPr>
          <w:rFonts w:ascii="Palatino Linotype" w:hAnsi="Palatino Linotype" w:cs="Arial"/>
        </w:rPr>
        <w:t>Información</w:t>
      </w:r>
      <w:r w:rsidRPr="008644F6">
        <w:rPr>
          <w:rFonts w:ascii="Palatino Linotype" w:hAnsi="Palatino Linotype"/>
          <w:color w:val="000000" w:themeColor="text1"/>
        </w:rPr>
        <w:t xml:space="preserve"> Pública del Estado de México y Municipios, se </w:t>
      </w:r>
      <w:r w:rsidR="007F3122">
        <w:rPr>
          <w:rFonts w:ascii="Palatino Linotype" w:hAnsi="Palatino Linotype" w:cs="Arial"/>
          <w:b/>
          <w:color w:val="000000" w:themeColor="text1"/>
        </w:rPr>
        <w:t>CONFIRMA</w:t>
      </w:r>
      <w:r w:rsidRPr="008644F6">
        <w:rPr>
          <w:rFonts w:ascii="Palatino Linotype" w:hAnsi="Palatino Linotype"/>
          <w:color w:val="000000" w:themeColor="text1"/>
        </w:rPr>
        <w:t xml:space="preserve"> la respuesta a la solicitud de información pública </w:t>
      </w:r>
      <w:r w:rsidR="007F3122">
        <w:rPr>
          <w:rFonts w:ascii="Palatino Linotype" w:hAnsi="Palatino Linotype"/>
          <w:b/>
          <w:color w:val="000000" w:themeColor="text1"/>
        </w:rPr>
        <w:t>00510/ZINACANT/IP/2023</w:t>
      </w:r>
      <w:r w:rsidRPr="008644F6">
        <w:rPr>
          <w:rFonts w:ascii="Palatino Linotype" w:hAnsi="Palatino Linotype"/>
          <w:color w:val="000000" w:themeColor="text1"/>
        </w:rPr>
        <w:t>, que ha sido materia del presente fallo</w:t>
      </w:r>
      <w:r w:rsidR="007F3122">
        <w:rPr>
          <w:rFonts w:ascii="Palatino Linotype" w:hAnsi="Palatino Linotype"/>
          <w:color w:val="000000" w:themeColor="text1"/>
        </w:rPr>
        <w:t>.</w:t>
      </w:r>
    </w:p>
    <w:p w:rsidR="00103414" w:rsidRPr="008644F6" w:rsidRDefault="00103414" w:rsidP="008644F6">
      <w:pPr>
        <w:pStyle w:val="Prrafodelista"/>
        <w:spacing w:line="360" w:lineRule="auto"/>
        <w:ind w:left="0"/>
        <w:jc w:val="both"/>
        <w:rPr>
          <w:rFonts w:ascii="Palatino Linotype" w:hAnsi="Palatino Linotype"/>
          <w:color w:val="000000" w:themeColor="text1"/>
        </w:rPr>
      </w:pPr>
    </w:p>
    <w:p w:rsidR="00792D6A" w:rsidRPr="008644F6" w:rsidRDefault="00792D6A" w:rsidP="008644F6">
      <w:pPr>
        <w:pStyle w:val="Prrafodelista"/>
        <w:numPr>
          <w:ilvl w:val="0"/>
          <w:numId w:val="15"/>
        </w:numPr>
        <w:tabs>
          <w:tab w:val="left" w:pos="426"/>
        </w:tabs>
        <w:spacing w:line="360" w:lineRule="auto"/>
        <w:ind w:left="0" w:right="51" w:firstLine="0"/>
        <w:jc w:val="both"/>
        <w:rPr>
          <w:rFonts w:ascii="Palatino Linotype" w:hAnsi="Palatino Linotype"/>
          <w:color w:val="000000" w:themeColor="text1"/>
        </w:rPr>
      </w:pPr>
      <w:r w:rsidRPr="008644F6">
        <w:rPr>
          <w:rFonts w:ascii="Palatino Linotype" w:hAnsi="Palatino Linotype" w:cs="Arial"/>
          <w:color w:val="000000" w:themeColor="text1"/>
          <w:lang w:eastAsia="es-MX"/>
        </w:rPr>
        <w:t xml:space="preserve">Por lo anteriormente expuesto y fundado, este </w:t>
      </w:r>
      <w:r w:rsidRPr="008644F6">
        <w:rPr>
          <w:rFonts w:ascii="Palatino Linotype" w:hAnsi="Palatino Linotype" w:cs="Arial"/>
          <w:b/>
          <w:bCs/>
          <w:color w:val="000000" w:themeColor="text1"/>
          <w:lang w:eastAsia="es-MX"/>
        </w:rPr>
        <w:t>ÓRGANO GARANTE</w:t>
      </w:r>
      <w:r w:rsidRPr="008644F6">
        <w:rPr>
          <w:rFonts w:ascii="Palatino Linotype" w:hAnsi="Palatino Linotype" w:cs="Arial"/>
          <w:color w:val="000000" w:themeColor="text1"/>
          <w:lang w:eastAsia="es-MX"/>
        </w:rPr>
        <w:t xml:space="preserve"> emite los siguientes:</w:t>
      </w:r>
    </w:p>
    <w:p w:rsidR="0050664D" w:rsidRPr="008644F6" w:rsidRDefault="0050664D" w:rsidP="008644F6">
      <w:pPr>
        <w:pStyle w:val="Prrafodelista"/>
        <w:tabs>
          <w:tab w:val="left" w:pos="426"/>
        </w:tabs>
        <w:spacing w:line="360" w:lineRule="auto"/>
        <w:ind w:left="0" w:right="51"/>
        <w:jc w:val="both"/>
        <w:rPr>
          <w:rFonts w:ascii="Palatino Linotype" w:hAnsi="Palatino Linotype"/>
          <w:color w:val="000000" w:themeColor="text1"/>
        </w:rPr>
      </w:pPr>
    </w:p>
    <w:p w:rsidR="009F09BC" w:rsidRPr="008644F6" w:rsidRDefault="009F09BC" w:rsidP="008644F6">
      <w:pPr>
        <w:pStyle w:val="Ttulo1"/>
        <w:spacing w:before="0" w:line="360" w:lineRule="auto"/>
        <w:jc w:val="center"/>
        <w:rPr>
          <w:rFonts w:ascii="Palatino Linotype" w:eastAsia="Calibri" w:hAnsi="Palatino Linotype"/>
          <w:b/>
          <w:color w:val="000000" w:themeColor="text1"/>
          <w:sz w:val="24"/>
          <w:szCs w:val="24"/>
          <w:lang w:val="es-ES"/>
        </w:rPr>
      </w:pPr>
      <w:bookmarkStart w:id="143" w:name="_Toc504500693"/>
      <w:bookmarkStart w:id="144" w:name="_Toc534742545"/>
      <w:bookmarkStart w:id="145" w:name="_Toc2248738"/>
      <w:bookmarkStart w:id="146" w:name="_Toc34819440"/>
      <w:bookmarkStart w:id="147" w:name="_Toc51259595"/>
      <w:bookmarkStart w:id="148" w:name="_Toc83128595"/>
      <w:r w:rsidRPr="008644F6">
        <w:rPr>
          <w:rFonts w:ascii="Palatino Linotype" w:eastAsia="Calibri" w:hAnsi="Palatino Linotype"/>
          <w:b/>
          <w:color w:val="000000" w:themeColor="text1"/>
          <w:sz w:val="24"/>
          <w:szCs w:val="24"/>
          <w:lang w:val="es-ES"/>
        </w:rPr>
        <w:t>R E S O L U T I V O S</w:t>
      </w:r>
      <w:bookmarkEnd w:id="143"/>
      <w:bookmarkEnd w:id="144"/>
      <w:bookmarkEnd w:id="145"/>
      <w:bookmarkEnd w:id="146"/>
      <w:bookmarkEnd w:id="147"/>
      <w:bookmarkEnd w:id="148"/>
    </w:p>
    <w:p w:rsidR="00CE7B83" w:rsidRPr="008644F6" w:rsidRDefault="00CE7B83" w:rsidP="008644F6">
      <w:pPr>
        <w:spacing w:line="360" w:lineRule="auto"/>
        <w:jc w:val="both"/>
        <w:rPr>
          <w:rFonts w:ascii="Palatino Linotype" w:hAnsi="Palatino Linotype"/>
          <w:color w:val="000000" w:themeColor="text1"/>
          <w:lang w:val="es-ES"/>
        </w:rPr>
      </w:pPr>
    </w:p>
    <w:p w:rsidR="007F3122" w:rsidRPr="00E942F1" w:rsidRDefault="007F3122" w:rsidP="007F3122">
      <w:pPr>
        <w:spacing w:line="360" w:lineRule="auto"/>
        <w:jc w:val="both"/>
        <w:rPr>
          <w:rFonts w:ascii="Palatino Linotype" w:hAnsi="Palatino Linotype" w:cs="Arial"/>
          <w:bCs/>
        </w:rPr>
      </w:pPr>
      <w:r w:rsidRPr="00E942F1">
        <w:rPr>
          <w:rFonts w:ascii="Palatino Linotype" w:hAnsi="Palatino Linotype" w:cs="Arial"/>
          <w:b/>
          <w:bCs/>
        </w:rPr>
        <w:t>PRIMERO</w:t>
      </w:r>
      <w:r w:rsidRPr="00E942F1">
        <w:rPr>
          <w:rFonts w:ascii="Palatino Linotype" w:hAnsi="Palatino Linotype" w:cs="Arial"/>
        </w:rPr>
        <w:t>. Resultan infundadas las</w:t>
      </w:r>
      <w:r w:rsidRPr="00E942F1">
        <w:rPr>
          <w:rFonts w:ascii="Palatino Linotype" w:hAnsi="Palatino Linotype" w:cs="Arial"/>
          <w:b/>
        </w:rPr>
        <w:t xml:space="preserve"> </w:t>
      </w:r>
      <w:r w:rsidRPr="00E942F1">
        <w:rPr>
          <w:rFonts w:ascii="Palatino Linotype" w:hAnsi="Palatino Linotype" w:cs="Arial"/>
          <w:lang w:val="es-ES"/>
        </w:rPr>
        <w:t xml:space="preserve">razones o motivos de inconformidad hechos valer </w:t>
      </w:r>
      <w:r w:rsidRPr="00E942F1">
        <w:rPr>
          <w:rFonts w:ascii="Palatino Linotype" w:eastAsia="Calibri" w:hAnsi="Palatino Linotype" w:cs="Arial"/>
          <w:lang w:val="es-ES"/>
        </w:rPr>
        <w:t xml:space="preserve">en el recurso de revisión </w:t>
      </w:r>
      <w:r w:rsidRPr="00E942F1">
        <w:rPr>
          <w:rFonts w:ascii="Palatino Linotype" w:hAnsi="Palatino Linotype" w:cs="Arial"/>
          <w:b/>
          <w:bCs/>
        </w:rPr>
        <w:t>0</w:t>
      </w:r>
      <w:r>
        <w:rPr>
          <w:rFonts w:ascii="Palatino Linotype" w:hAnsi="Palatino Linotype" w:cs="Arial"/>
          <w:b/>
          <w:bCs/>
        </w:rPr>
        <w:t>4768</w:t>
      </w:r>
      <w:r w:rsidRPr="00E942F1">
        <w:rPr>
          <w:rFonts w:ascii="Palatino Linotype" w:hAnsi="Palatino Linotype" w:cs="Arial"/>
          <w:b/>
          <w:bCs/>
        </w:rPr>
        <w:t xml:space="preserve">/INFOEM/IP/RR/2023, </w:t>
      </w:r>
      <w:r w:rsidRPr="00E942F1">
        <w:rPr>
          <w:rFonts w:ascii="Palatino Linotype" w:hAnsi="Palatino Linotype" w:cs="Arial"/>
          <w:bCs/>
        </w:rPr>
        <w:t xml:space="preserve">en términos del </w:t>
      </w:r>
      <w:r w:rsidR="00FF1CE3">
        <w:rPr>
          <w:rFonts w:ascii="Palatino Linotype" w:hAnsi="Palatino Linotype" w:cs="Arial"/>
          <w:b/>
          <w:bCs/>
        </w:rPr>
        <w:t>c</w:t>
      </w:r>
      <w:r w:rsidRPr="00E942F1">
        <w:rPr>
          <w:rFonts w:ascii="Palatino Linotype" w:hAnsi="Palatino Linotype" w:cs="Arial"/>
          <w:b/>
          <w:bCs/>
        </w:rPr>
        <w:t>onsiderando</w:t>
      </w:r>
      <w:r w:rsidRPr="00E942F1">
        <w:rPr>
          <w:rFonts w:ascii="Palatino Linotype" w:hAnsi="Palatino Linotype" w:cs="Arial"/>
          <w:bCs/>
        </w:rPr>
        <w:t xml:space="preserve"> </w:t>
      </w:r>
      <w:r w:rsidR="00FF1CE3">
        <w:rPr>
          <w:rFonts w:ascii="Palatino Linotype" w:hAnsi="Palatino Linotype" w:cs="Arial"/>
          <w:b/>
          <w:bCs/>
        </w:rPr>
        <w:t>CUARTO</w:t>
      </w:r>
      <w:r w:rsidRPr="00E942F1">
        <w:rPr>
          <w:rFonts w:ascii="Palatino Linotype" w:hAnsi="Palatino Linotype" w:cs="Arial"/>
          <w:bCs/>
        </w:rPr>
        <w:t xml:space="preserve"> de la presente resolución.</w:t>
      </w:r>
    </w:p>
    <w:p w:rsidR="007F3122" w:rsidRPr="00E942F1" w:rsidRDefault="007F3122" w:rsidP="007F3122">
      <w:pPr>
        <w:spacing w:line="360" w:lineRule="auto"/>
        <w:jc w:val="both"/>
        <w:rPr>
          <w:rFonts w:ascii="Palatino Linotype" w:hAnsi="Palatino Linotype" w:cs="Arial"/>
        </w:rPr>
      </w:pPr>
    </w:p>
    <w:p w:rsidR="007F3122" w:rsidRPr="00E942F1" w:rsidRDefault="007F3122" w:rsidP="007F3122">
      <w:pPr>
        <w:spacing w:line="360" w:lineRule="auto"/>
        <w:jc w:val="both"/>
        <w:rPr>
          <w:rFonts w:ascii="Palatino Linotype" w:eastAsia="Calibri" w:hAnsi="Palatino Linotype" w:cs="Arial"/>
          <w:lang w:val="es-ES"/>
        </w:rPr>
      </w:pPr>
      <w:r w:rsidRPr="00E942F1">
        <w:rPr>
          <w:rFonts w:ascii="Palatino Linotype" w:hAnsi="Palatino Linotype"/>
          <w:b/>
        </w:rPr>
        <w:t>SEGUNDO.</w:t>
      </w:r>
      <w:r w:rsidRPr="00E942F1">
        <w:rPr>
          <w:rStyle w:val="Ttulo2Car"/>
          <w:rFonts w:ascii="Palatino Linotype" w:hAnsi="Palatino Linotype"/>
          <w:sz w:val="24"/>
          <w:szCs w:val="24"/>
        </w:rPr>
        <w:t xml:space="preserve"> </w:t>
      </w:r>
      <w:r w:rsidRPr="00E942F1">
        <w:rPr>
          <w:rFonts w:ascii="Palatino Linotype" w:eastAsia="Calibri" w:hAnsi="Palatino Linotype" w:cs="Arial"/>
          <w:lang w:val="es-ES"/>
        </w:rPr>
        <w:t>Se</w:t>
      </w:r>
      <w:r w:rsidRPr="00E942F1">
        <w:rPr>
          <w:rFonts w:ascii="Palatino Linotype" w:eastAsia="Calibri" w:hAnsi="Palatino Linotype" w:cs="Arial"/>
          <w:b/>
          <w:lang w:val="es-ES"/>
        </w:rPr>
        <w:t xml:space="preserve"> CONFIRMA </w:t>
      </w:r>
      <w:r w:rsidRPr="00E942F1">
        <w:rPr>
          <w:rFonts w:ascii="Palatino Linotype" w:eastAsia="Calibri" w:hAnsi="Palatino Linotype" w:cs="Arial"/>
          <w:lang w:val="es-ES"/>
        </w:rPr>
        <w:t xml:space="preserve">la respuesta emitida por el </w:t>
      </w:r>
      <w:r>
        <w:rPr>
          <w:rFonts w:ascii="Palatino Linotype" w:hAnsi="Palatino Linotype"/>
          <w:b/>
          <w:bCs/>
          <w:color w:val="000000"/>
        </w:rPr>
        <w:t>Ayuntamiento de Zinacantepec</w:t>
      </w:r>
      <w:r w:rsidR="00FF1CE3">
        <w:rPr>
          <w:rFonts w:ascii="Palatino Linotype" w:hAnsi="Palatino Linotype"/>
          <w:b/>
          <w:bCs/>
          <w:color w:val="000000"/>
        </w:rPr>
        <w:t>,</w:t>
      </w:r>
      <w:r w:rsidRPr="00E942F1">
        <w:rPr>
          <w:rFonts w:ascii="Palatino Linotype" w:hAnsi="Palatino Linotype"/>
          <w:b/>
          <w:bCs/>
          <w:color w:val="000000"/>
        </w:rPr>
        <w:t xml:space="preserve"> </w:t>
      </w:r>
      <w:r w:rsidRPr="00E942F1">
        <w:rPr>
          <w:rFonts w:ascii="Palatino Linotype" w:eastAsia="Calibri" w:hAnsi="Palatino Linotype" w:cs="Arial"/>
          <w:lang w:val="es-ES"/>
        </w:rPr>
        <w:t xml:space="preserve">a la solicitud de información </w:t>
      </w:r>
      <w:r w:rsidRPr="007F3122">
        <w:rPr>
          <w:rFonts w:ascii="Palatino Linotype" w:hAnsi="Palatino Linotype" w:cs="Arial"/>
          <w:b/>
        </w:rPr>
        <w:t>00510/ZINACANT/IP/2023</w:t>
      </w:r>
      <w:r w:rsidRPr="00E942F1">
        <w:rPr>
          <w:rFonts w:ascii="Palatino Linotype" w:eastAsia="Calibri" w:hAnsi="Palatino Linotype" w:cs="Arial"/>
          <w:lang w:val="es-ES"/>
        </w:rPr>
        <w:t xml:space="preserve">. </w:t>
      </w:r>
    </w:p>
    <w:p w:rsidR="007F3122" w:rsidRPr="00E942F1" w:rsidRDefault="007F3122" w:rsidP="007F3122">
      <w:pPr>
        <w:spacing w:line="360" w:lineRule="auto"/>
        <w:jc w:val="both"/>
        <w:rPr>
          <w:rFonts w:ascii="Palatino Linotype" w:eastAsia="Calibri" w:hAnsi="Palatino Linotype" w:cs="Arial"/>
          <w:lang w:val="es-ES"/>
        </w:rPr>
      </w:pPr>
    </w:p>
    <w:p w:rsidR="007F3122" w:rsidRPr="00E942F1" w:rsidRDefault="007F3122" w:rsidP="007F3122">
      <w:pPr>
        <w:shd w:val="clear" w:color="auto" w:fill="FFFFFF"/>
        <w:spacing w:line="360" w:lineRule="auto"/>
        <w:jc w:val="both"/>
        <w:rPr>
          <w:rFonts w:ascii="Palatino Linotype" w:eastAsia="MS Mincho" w:hAnsi="Palatino Linotype"/>
          <w:color w:val="000000" w:themeColor="text1"/>
          <w:shd w:val="clear" w:color="auto" w:fill="FFFFFF"/>
        </w:rPr>
      </w:pPr>
      <w:bookmarkStart w:id="149" w:name="_Toc461648590"/>
      <w:bookmarkStart w:id="150" w:name="_Toc461648682"/>
      <w:bookmarkStart w:id="151" w:name="_Toc462228049"/>
      <w:bookmarkStart w:id="152" w:name="_Toc462228129"/>
      <w:bookmarkStart w:id="153" w:name="_Toc496099789"/>
      <w:bookmarkStart w:id="154" w:name="_Toc496100166"/>
      <w:bookmarkStart w:id="155" w:name="_Toc499756977"/>
      <w:bookmarkStart w:id="156" w:name="_Toc499757020"/>
      <w:bookmarkStart w:id="157" w:name="_Toc504377974"/>
      <w:r w:rsidRPr="00E942F1">
        <w:rPr>
          <w:rFonts w:ascii="Palatino Linotype" w:hAnsi="Palatino Linotype" w:cs="Arial"/>
          <w:b/>
        </w:rPr>
        <w:t>TERCERO.</w:t>
      </w:r>
      <w:bookmarkEnd w:id="149"/>
      <w:bookmarkEnd w:id="150"/>
      <w:bookmarkEnd w:id="151"/>
      <w:bookmarkEnd w:id="152"/>
      <w:bookmarkEnd w:id="153"/>
      <w:bookmarkEnd w:id="154"/>
      <w:bookmarkEnd w:id="155"/>
      <w:bookmarkEnd w:id="156"/>
      <w:bookmarkEnd w:id="157"/>
      <w:r w:rsidRPr="00E942F1">
        <w:rPr>
          <w:rFonts w:ascii="Palatino Linotype" w:hAnsi="Palatino Linotype" w:cs="Arial"/>
          <w:b/>
        </w:rPr>
        <w:t xml:space="preserve"> </w:t>
      </w:r>
      <w:r w:rsidRPr="00E942F1">
        <w:rPr>
          <w:rFonts w:ascii="Palatino Linotype" w:eastAsia="Palatino Linotype" w:hAnsi="Palatino Linotype" w:cs="Palatino Linotype"/>
          <w:b/>
        </w:rPr>
        <w:t xml:space="preserve">Notifíquese </w:t>
      </w:r>
      <w:r w:rsidRPr="00E942F1">
        <w:rPr>
          <w:rFonts w:ascii="Palatino Linotype" w:eastAsia="Palatino Linotype" w:hAnsi="Palatino Linotype" w:cs="Palatino Linotype"/>
        </w:rPr>
        <w:t xml:space="preserve">al Titular de la Unidad de Transparencia del </w:t>
      </w:r>
      <w:r w:rsidRPr="00E942F1">
        <w:rPr>
          <w:rFonts w:ascii="Palatino Linotype" w:eastAsia="Palatino Linotype" w:hAnsi="Palatino Linotype" w:cs="Palatino Linotype"/>
          <w:b/>
        </w:rPr>
        <w:t xml:space="preserve">SUJETO OBLIGADO </w:t>
      </w:r>
      <w:r w:rsidRPr="00E942F1">
        <w:rPr>
          <w:rFonts w:ascii="Palatino Linotype" w:eastAsia="Palatino Linotype" w:hAnsi="Palatino Linotype" w:cs="Palatino Linotype"/>
        </w:rPr>
        <w:t>vía SAIMEX, para su conocimiento</w:t>
      </w:r>
      <w:r w:rsidRPr="00E942F1">
        <w:rPr>
          <w:rFonts w:ascii="Palatino Linotype" w:eastAsia="MS Mincho" w:hAnsi="Palatino Linotype"/>
          <w:color w:val="000000" w:themeColor="text1"/>
          <w:shd w:val="clear" w:color="auto" w:fill="FFFFFF"/>
        </w:rPr>
        <w:t>.</w:t>
      </w:r>
    </w:p>
    <w:p w:rsidR="007F3122" w:rsidRPr="00E942F1" w:rsidRDefault="007F3122" w:rsidP="007F3122">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E942F1">
        <w:rPr>
          <w:rFonts w:ascii="Palatino Linotype" w:hAnsi="Palatino Linotype" w:cs="Arial"/>
          <w:b/>
        </w:rPr>
        <w:lastRenderedPageBreak/>
        <w:t>CUARTO</w:t>
      </w:r>
      <w:r w:rsidRPr="00E942F1">
        <w:rPr>
          <w:rFonts w:ascii="Palatino Linotype" w:hAnsi="Palatino Linotype"/>
          <w:b/>
          <w:color w:val="222222"/>
          <w:lang w:eastAsia="es-ES_tradnl"/>
        </w:rPr>
        <w:t xml:space="preserve">. Notifíquese </w:t>
      </w:r>
      <w:r w:rsidRPr="00E942F1">
        <w:rPr>
          <w:rFonts w:ascii="Palatino Linotype" w:hAnsi="Palatino Linotype"/>
          <w:color w:val="222222"/>
          <w:lang w:eastAsia="es-ES_tradnl"/>
        </w:rPr>
        <w:t xml:space="preserve">a </w:t>
      </w:r>
      <w:r w:rsidRPr="00E942F1">
        <w:rPr>
          <w:rFonts w:ascii="Palatino Linotype" w:hAnsi="Palatino Linotype"/>
          <w:b/>
          <w:color w:val="222222"/>
          <w:lang w:eastAsia="es-ES_tradnl"/>
        </w:rPr>
        <w:t>EL RECURRENTE</w:t>
      </w:r>
      <w:r w:rsidRPr="00E942F1">
        <w:rPr>
          <w:rFonts w:ascii="Palatino Linotype" w:hAnsi="Palatino Linotype"/>
          <w:color w:val="222222"/>
          <w:lang w:eastAsia="es-ES_tradnl"/>
        </w:rPr>
        <w:t xml:space="preserve"> la presente resolución vía SAIMEX.</w:t>
      </w:r>
    </w:p>
    <w:p w:rsidR="007F3122" w:rsidRPr="00E942F1" w:rsidRDefault="007F3122" w:rsidP="007F3122">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p>
    <w:p w:rsidR="007F3122" w:rsidRPr="00E942F1" w:rsidRDefault="007F3122" w:rsidP="007F3122">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E942F1">
        <w:rPr>
          <w:rFonts w:ascii="Palatino Linotype" w:hAnsi="Palatino Linotype"/>
          <w:b/>
          <w:color w:val="222222"/>
          <w:lang w:eastAsia="es-ES_tradnl"/>
        </w:rPr>
        <w:t xml:space="preserve">QUINTO. </w:t>
      </w:r>
      <w:r w:rsidRPr="00E942F1">
        <w:rPr>
          <w:rFonts w:ascii="Palatino Linotype" w:eastAsia="MS Mincho" w:hAnsi="Palatino Linotype"/>
        </w:rPr>
        <w:t xml:space="preserve">Se hace del conocimiento de </w:t>
      </w:r>
      <w:r w:rsidRPr="00E942F1">
        <w:rPr>
          <w:rFonts w:ascii="Palatino Linotype" w:eastAsia="MS Mincho" w:hAnsi="Palatino Linotype"/>
          <w:b/>
        </w:rPr>
        <w:t>EL RECURRENTE</w:t>
      </w:r>
      <w:r w:rsidRPr="00E942F1">
        <w:rPr>
          <w:rFonts w:ascii="Palatino Linotype" w:hAnsi="Palatino Linotype"/>
        </w:rPr>
        <w:t xml:space="preserve"> </w:t>
      </w:r>
      <w:r w:rsidRPr="00E942F1">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E942F1">
        <w:rPr>
          <w:rFonts w:ascii="Palatino Linotype" w:eastAsia="MS Mincho" w:hAnsi="Palatino Linotype"/>
          <w:bCs/>
        </w:rPr>
        <w:t>vía juicio de amparo</w:t>
      </w:r>
      <w:r w:rsidRPr="00E942F1">
        <w:rPr>
          <w:rFonts w:ascii="Palatino Linotype" w:eastAsia="MS Mincho" w:hAnsi="Palatino Linotype"/>
        </w:rPr>
        <w:t> en los términos de las leyes aplicables.</w:t>
      </w:r>
    </w:p>
    <w:p w:rsidR="00C66A19" w:rsidRPr="008644F6" w:rsidRDefault="00C66A19" w:rsidP="008644F6">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rsidR="00D51999" w:rsidRDefault="00D51999" w:rsidP="00D51999">
      <w:pPr>
        <w:spacing w:line="360" w:lineRule="auto"/>
        <w:jc w:val="both"/>
        <w:rPr>
          <w:rFonts w:ascii="Palatino Linotype" w:eastAsia="MS Mincho" w:hAnsi="Palatino Linotype" w:cs="Times New Roman"/>
          <w:color w:val="000000"/>
          <w:lang w:val="es-ES"/>
        </w:rPr>
      </w:pPr>
    </w:p>
    <w:bookmarkStart w:id="158" w:name="_Hlk129792997"/>
    <w:p w:rsidR="00FF1CE3" w:rsidRPr="00FF1CE3" w:rsidRDefault="006262DA" w:rsidP="00FF1CE3">
      <w:pPr>
        <w:spacing w:before="240" w:after="240" w:line="360" w:lineRule="auto"/>
        <w:ind w:firstLine="1"/>
        <w:jc w:val="both"/>
        <w:rPr>
          <w:rFonts w:ascii="Palatino Linotype" w:hAnsi="Palatino Linotype"/>
          <w:smallCaps/>
        </w:rPr>
      </w:pPr>
      <w:r>
        <w:rPr>
          <w:rFonts w:ascii="Palatino Linotype" w:hAnsi="Palatino Linotype" w:cs="Times New Roman"/>
          <w:smallCaps/>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2870834</wp:posOffset>
                </wp:positionV>
                <wp:extent cx="5600700" cy="206692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600700" cy="2066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7344EF"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226.05pt" to="439.95pt,3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8GctgEAAMUDAAAOAAAAZHJzL2Uyb0RvYy54bWysU9uO0zAQfUfiHyy/06SRtkDUdB+6ghcE&#10;FbAf4HXGjSXfNDZN+veMnTSLAAmBePF1zpk5x+P9/WQNuwBG7V3Ht5uaM3DS99qdO/749d2rN5zF&#10;JFwvjHfQ8StEfn94+WI/hhYaP3jTAzIicbEdQ8eHlEJbVVEOYEXc+ACOLpVHKxJt8Vz1KEZit6Zq&#10;6npXjR77gF5CjHT6MF/yQ+FXCmT6pFSExEzHqbZURizjUx6rw160ZxRh0HIpQ/xDFVZoR0lXqgeR&#10;BPuG+hcqqyX66FXaSG8rr5SWUDSQmm39k5ovgwhQtJA5Maw2xf9HKz9eTsh03/GGMycsPdGRHkom&#10;jwzzxJrs0RhiS6FHd8JlF8MJs+BJoc0zSWFT8fW6+gpTYpIO73Z1/bom+yXdNfVu97a5y6zVMzxg&#10;TO/BW5YXHTfaZeGiFZcPMc2htxDC5XLmAsoqXQ3kYOM+gyIxlHJb0KWN4GiQXQQ1gJASXNouqUt0&#10;hiltzAqs/wxc4jMUSov9DXhFlMzepRVstfP4u+xpupWs5vibA7PubMGT76/laYo11CvF3KWvczP+&#10;uC/w5993+A4AAP//AwBQSwMEFAAGAAgAAAAhAAaU54niAAAACgEAAA8AAABkcnMvZG93bnJldi54&#10;bWxMj8FOwkAQhu8mvsNmTLzBlkYp1E4JITEiCSGiCR6X7thWu7NNd6Hl7V1OepvJfPnn+7PFYBpx&#10;ps7VlhEm4wgEcWF1zSXCx/vzaAbCecVaNZYJ4UIOFvntTaZSbXt+o/PelyKEsEsVQuV9m0rpioqM&#10;cmPbEofbl+2M8mHtSqk71Ydw08g4iqbSqJrDh0q1tKqo+NmfDMK2W69Xy83lm3efpj/Em8PudXhB&#10;vL8blk8gPA3+D4arflCHPDgd7Ym1Ew3CKJ4EEuHh8ToEYJbM5yCOCEmSTEHmmfxfIf8FAAD//wMA&#10;UEsBAi0AFAAGAAgAAAAhALaDOJL+AAAA4QEAABMAAAAAAAAAAAAAAAAAAAAAAFtDb250ZW50X1R5&#10;cGVzXS54bWxQSwECLQAUAAYACAAAACEAOP0h/9YAAACUAQAACwAAAAAAAAAAAAAAAAAvAQAAX3Jl&#10;bHMvLnJlbHNQSwECLQAUAAYACAAAACEAUrPBnLYBAADFAwAADgAAAAAAAAAAAAAAAAAuAgAAZHJz&#10;L2Uyb0RvYy54bWxQSwECLQAUAAYACAAAACEABpTnieIAAAAKAQAADwAAAAAAAAAAAAAAAAAQBAAA&#10;ZHJzL2Rvd25yZXYueG1sUEsFBgAAAAAEAAQA8wAAAB8FAAAAAA==&#10;" strokecolor="#5b9bd5 [3204]" strokeweight=".5pt">
                <v:stroke joinstyle="miter"/>
              </v:line>
            </w:pict>
          </mc:Fallback>
        </mc:AlternateContent>
      </w:r>
      <w:r w:rsidR="00FF1CE3" w:rsidRPr="00FF1CE3">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8B0877">
        <w:rPr>
          <w:rStyle w:val="Referenciasutil"/>
          <w:rFonts w:ascii="Palatino Linotype" w:hAnsi="Palatino Linotype"/>
          <w:color w:val="auto"/>
        </w:rPr>
        <w:t xml:space="preserve"> (AUSENCIA JUSTIFICADA)</w:t>
      </w:r>
      <w:bookmarkStart w:id="159" w:name="_GoBack"/>
      <w:bookmarkEnd w:id="159"/>
      <w:r w:rsidR="00FF1CE3" w:rsidRPr="00FF1CE3">
        <w:rPr>
          <w:rStyle w:val="Referenciasutil"/>
          <w:rFonts w:ascii="Palatino Linotype" w:hAnsi="Palatino Linotype"/>
          <w:color w:val="auto"/>
        </w:rPr>
        <w:t xml:space="preserve">; EN LA TRIGÉSIMA QUINTA SESIÓN ORDINARIA CELEBRADA EL VEINTISIETE (27) DE SEPTIEMBRE DE DOS MIL VEINTITRÉS, ANTE EL SECRETARIO TÉCNICO DEL PLENO ALEXIS TAPIA RAMÍREZ. </w:t>
      </w:r>
      <w:bookmarkEnd w:id="158"/>
    </w:p>
    <w:p w:rsidR="009F09BC" w:rsidRPr="008644F6" w:rsidRDefault="009F09BC" w:rsidP="008644F6">
      <w:pPr>
        <w:spacing w:line="360" w:lineRule="auto"/>
        <w:jc w:val="both"/>
        <w:rPr>
          <w:rFonts w:ascii="Palatino Linotype" w:hAnsi="Palatino Linotype"/>
          <w:color w:val="000000" w:themeColor="text1"/>
        </w:rPr>
      </w:pPr>
    </w:p>
    <w:p w:rsidR="009F09BC" w:rsidRPr="008644F6" w:rsidRDefault="009F09BC" w:rsidP="008644F6">
      <w:pPr>
        <w:spacing w:line="360" w:lineRule="auto"/>
        <w:jc w:val="both"/>
        <w:rPr>
          <w:rFonts w:ascii="Palatino Linotype" w:hAnsi="Palatino Linotype"/>
          <w:color w:val="000000" w:themeColor="text1"/>
        </w:rPr>
      </w:pPr>
    </w:p>
    <w:p w:rsidR="009F09BC" w:rsidRPr="008644F6" w:rsidRDefault="009F09BC" w:rsidP="008644F6">
      <w:pPr>
        <w:spacing w:line="360" w:lineRule="auto"/>
        <w:jc w:val="both"/>
        <w:rPr>
          <w:rFonts w:ascii="Palatino Linotype" w:hAnsi="Palatino Linotype"/>
          <w:color w:val="000000" w:themeColor="text1"/>
        </w:rPr>
      </w:pPr>
    </w:p>
    <w:p w:rsidR="009F09BC" w:rsidRPr="008644F6" w:rsidRDefault="009F09BC" w:rsidP="008644F6">
      <w:pPr>
        <w:spacing w:line="360" w:lineRule="auto"/>
        <w:jc w:val="both"/>
        <w:rPr>
          <w:rFonts w:ascii="Palatino Linotype" w:hAnsi="Palatino Linotype"/>
          <w:color w:val="000000" w:themeColor="text1"/>
        </w:rPr>
      </w:pPr>
    </w:p>
    <w:p w:rsidR="009F09BC" w:rsidRPr="008644F6" w:rsidRDefault="009F09BC" w:rsidP="008644F6">
      <w:pPr>
        <w:spacing w:line="360" w:lineRule="auto"/>
        <w:jc w:val="both"/>
        <w:rPr>
          <w:rFonts w:ascii="Palatino Linotype" w:hAnsi="Palatino Linotype"/>
          <w:color w:val="000000" w:themeColor="text1"/>
        </w:rPr>
      </w:pPr>
    </w:p>
    <w:p w:rsidR="009F09BC" w:rsidRPr="008644F6" w:rsidRDefault="009F09BC" w:rsidP="008644F6">
      <w:pPr>
        <w:spacing w:line="360" w:lineRule="auto"/>
        <w:jc w:val="both"/>
        <w:rPr>
          <w:rFonts w:ascii="Palatino Linotype" w:hAnsi="Palatino Linotype"/>
          <w:color w:val="000000" w:themeColor="text1"/>
        </w:rPr>
      </w:pPr>
    </w:p>
    <w:p w:rsidR="009F09BC" w:rsidRPr="008644F6" w:rsidRDefault="009F09BC" w:rsidP="008644F6">
      <w:pPr>
        <w:spacing w:line="360" w:lineRule="auto"/>
        <w:jc w:val="both"/>
        <w:rPr>
          <w:rFonts w:ascii="Palatino Linotype" w:hAnsi="Palatino Linotype"/>
          <w:color w:val="000000" w:themeColor="text1"/>
        </w:rPr>
      </w:pPr>
    </w:p>
    <w:p w:rsidR="009F09BC" w:rsidRPr="008644F6" w:rsidRDefault="009F09BC" w:rsidP="008644F6">
      <w:pPr>
        <w:spacing w:line="360" w:lineRule="auto"/>
        <w:jc w:val="both"/>
        <w:rPr>
          <w:rFonts w:ascii="Palatino Linotype" w:hAnsi="Palatino Linotype"/>
          <w:color w:val="000000" w:themeColor="text1"/>
        </w:rPr>
      </w:pPr>
    </w:p>
    <w:p w:rsidR="009F09BC" w:rsidRPr="008644F6" w:rsidRDefault="009F09BC" w:rsidP="008644F6">
      <w:pPr>
        <w:spacing w:line="360" w:lineRule="auto"/>
        <w:jc w:val="both"/>
        <w:rPr>
          <w:rFonts w:ascii="Palatino Linotype" w:hAnsi="Palatino Linotype"/>
          <w:color w:val="000000" w:themeColor="text1"/>
        </w:rPr>
      </w:pPr>
    </w:p>
    <w:p w:rsidR="009F09BC" w:rsidRPr="008644F6" w:rsidRDefault="009F09BC" w:rsidP="008644F6">
      <w:pPr>
        <w:spacing w:line="360" w:lineRule="auto"/>
        <w:jc w:val="both"/>
        <w:rPr>
          <w:rFonts w:ascii="Palatino Linotype" w:hAnsi="Palatino Linotype"/>
          <w:color w:val="000000" w:themeColor="text1"/>
        </w:rPr>
      </w:pPr>
    </w:p>
    <w:p w:rsidR="009F09BC" w:rsidRPr="008644F6" w:rsidRDefault="009F09BC" w:rsidP="008644F6">
      <w:pPr>
        <w:spacing w:line="360" w:lineRule="auto"/>
        <w:jc w:val="both"/>
        <w:rPr>
          <w:rFonts w:ascii="Palatino Linotype" w:hAnsi="Palatino Linotype"/>
          <w:color w:val="000000" w:themeColor="text1"/>
        </w:rPr>
      </w:pPr>
    </w:p>
    <w:p w:rsidR="009F09BC" w:rsidRPr="008644F6" w:rsidRDefault="009F09BC" w:rsidP="008644F6">
      <w:pPr>
        <w:spacing w:line="360" w:lineRule="auto"/>
        <w:jc w:val="both"/>
        <w:rPr>
          <w:rFonts w:ascii="Palatino Linotype" w:hAnsi="Palatino Linotype"/>
          <w:color w:val="000000" w:themeColor="text1"/>
        </w:rPr>
      </w:pPr>
    </w:p>
    <w:p w:rsidR="009F09BC" w:rsidRPr="008644F6" w:rsidRDefault="009F09BC" w:rsidP="008644F6">
      <w:pPr>
        <w:spacing w:line="360" w:lineRule="auto"/>
        <w:jc w:val="both"/>
        <w:rPr>
          <w:rFonts w:ascii="Palatino Linotype" w:hAnsi="Palatino Linotype"/>
          <w:color w:val="000000" w:themeColor="text1"/>
        </w:rPr>
      </w:pPr>
    </w:p>
    <w:p w:rsidR="009F09BC" w:rsidRPr="008644F6" w:rsidRDefault="009F09BC" w:rsidP="008644F6">
      <w:pPr>
        <w:spacing w:line="360" w:lineRule="auto"/>
        <w:jc w:val="both"/>
        <w:rPr>
          <w:rFonts w:ascii="Palatino Linotype" w:hAnsi="Palatino Linotype"/>
          <w:color w:val="000000" w:themeColor="text1"/>
        </w:rPr>
      </w:pPr>
    </w:p>
    <w:p w:rsidR="009F09BC" w:rsidRPr="008644F6" w:rsidRDefault="009F09BC" w:rsidP="008644F6">
      <w:pPr>
        <w:spacing w:line="360" w:lineRule="auto"/>
        <w:jc w:val="both"/>
        <w:rPr>
          <w:rFonts w:ascii="Palatino Linotype" w:hAnsi="Palatino Linotype"/>
          <w:color w:val="000000" w:themeColor="text1"/>
        </w:rPr>
      </w:pPr>
    </w:p>
    <w:p w:rsidR="009F09BC" w:rsidRPr="008644F6" w:rsidRDefault="009F09BC" w:rsidP="008644F6">
      <w:pPr>
        <w:tabs>
          <w:tab w:val="left" w:pos="3374"/>
        </w:tabs>
        <w:spacing w:line="360" w:lineRule="auto"/>
        <w:jc w:val="both"/>
        <w:rPr>
          <w:rFonts w:ascii="Palatino Linotype" w:hAnsi="Palatino Linotype"/>
          <w:color w:val="000000" w:themeColor="text1"/>
        </w:rPr>
      </w:pPr>
      <w:r w:rsidRPr="008644F6">
        <w:rPr>
          <w:rFonts w:ascii="Palatino Linotype" w:hAnsi="Palatino Linotype"/>
          <w:color w:val="000000" w:themeColor="text1"/>
        </w:rPr>
        <w:tab/>
      </w:r>
    </w:p>
    <w:p w:rsidR="0074110E" w:rsidRPr="008644F6" w:rsidRDefault="0074110E" w:rsidP="008644F6">
      <w:pPr>
        <w:tabs>
          <w:tab w:val="left" w:pos="3374"/>
        </w:tabs>
        <w:spacing w:line="360" w:lineRule="auto"/>
        <w:jc w:val="both"/>
        <w:rPr>
          <w:rFonts w:ascii="Palatino Linotype" w:hAnsi="Palatino Linotype"/>
          <w:color w:val="000000" w:themeColor="text1"/>
        </w:rPr>
      </w:pPr>
    </w:p>
    <w:p w:rsidR="0074110E" w:rsidRPr="008644F6" w:rsidRDefault="0074110E" w:rsidP="008644F6">
      <w:pPr>
        <w:tabs>
          <w:tab w:val="left" w:pos="3374"/>
        </w:tabs>
        <w:spacing w:line="360" w:lineRule="auto"/>
        <w:jc w:val="both"/>
        <w:rPr>
          <w:rFonts w:ascii="Palatino Linotype" w:hAnsi="Palatino Linotype"/>
          <w:color w:val="000000" w:themeColor="text1"/>
        </w:rPr>
      </w:pPr>
    </w:p>
    <w:p w:rsidR="0074110E" w:rsidRPr="008644F6" w:rsidRDefault="0074110E" w:rsidP="008644F6">
      <w:pPr>
        <w:tabs>
          <w:tab w:val="left" w:pos="3374"/>
        </w:tabs>
        <w:spacing w:line="360" w:lineRule="auto"/>
        <w:jc w:val="both"/>
        <w:rPr>
          <w:rFonts w:ascii="Palatino Linotype" w:hAnsi="Palatino Linotype"/>
          <w:color w:val="000000" w:themeColor="text1"/>
        </w:rPr>
      </w:pPr>
    </w:p>
    <w:p w:rsidR="0074110E" w:rsidRPr="008644F6" w:rsidRDefault="0074110E" w:rsidP="008644F6">
      <w:pPr>
        <w:tabs>
          <w:tab w:val="left" w:pos="3374"/>
        </w:tabs>
        <w:spacing w:line="360" w:lineRule="auto"/>
        <w:jc w:val="both"/>
        <w:rPr>
          <w:rFonts w:ascii="Palatino Linotype" w:hAnsi="Palatino Linotype"/>
          <w:color w:val="000000" w:themeColor="text1"/>
        </w:rPr>
      </w:pPr>
    </w:p>
    <w:p w:rsidR="0074110E" w:rsidRPr="008644F6" w:rsidRDefault="0074110E" w:rsidP="008644F6">
      <w:pPr>
        <w:tabs>
          <w:tab w:val="left" w:pos="3374"/>
        </w:tabs>
        <w:spacing w:line="360" w:lineRule="auto"/>
        <w:jc w:val="both"/>
        <w:rPr>
          <w:rFonts w:ascii="Palatino Linotype" w:hAnsi="Palatino Linotype"/>
          <w:color w:val="000000" w:themeColor="text1"/>
        </w:rPr>
      </w:pPr>
    </w:p>
    <w:p w:rsidR="0074110E" w:rsidRPr="008644F6" w:rsidRDefault="0074110E" w:rsidP="008644F6">
      <w:pPr>
        <w:tabs>
          <w:tab w:val="left" w:pos="3374"/>
        </w:tabs>
        <w:spacing w:line="360" w:lineRule="auto"/>
        <w:jc w:val="both"/>
        <w:rPr>
          <w:rFonts w:ascii="Palatino Linotype" w:hAnsi="Palatino Linotype"/>
          <w:color w:val="000000" w:themeColor="text1"/>
        </w:rPr>
      </w:pPr>
    </w:p>
    <w:p w:rsidR="0074110E" w:rsidRPr="008644F6" w:rsidRDefault="0074110E" w:rsidP="008644F6">
      <w:pPr>
        <w:tabs>
          <w:tab w:val="left" w:pos="3374"/>
        </w:tabs>
        <w:spacing w:line="360" w:lineRule="auto"/>
        <w:jc w:val="both"/>
        <w:rPr>
          <w:rFonts w:ascii="Palatino Linotype" w:hAnsi="Palatino Linotype"/>
          <w:color w:val="000000" w:themeColor="text1"/>
        </w:rPr>
      </w:pPr>
    </w:p>
    <w:p w:rsidR="00053FB7" w:rsidRPr="008644F6" w:rsidRDefault="00053FB7" w:rsidP="008644F6">
      <w:pPr>
        <w:tabs>
          <w:tab w:val="left" w:pos="3374"/>
        </w:tabs>
        <w:spacing w:line="360" w:lineRule="auto"/>
        <w:jc w:val="both"/>
        <w:rPr>
          <w:rFonts w:ascii="Palatino Linotype" w:hAnsi="Palatino Linotype"/>
          <w:color w:val="000000" w:themeColor="text1"/>
        </w:rPr>
      </w:pPr>
    </w:p>
    <w:p w:rsidR="00053FB7" w:rsidRPr="008644F6" w:rsidRDefault="00053FB7" w:rsidP="008644F6">
      <w:pPr>
        <w:tabs>
          <w:tab w:val="left" w:pos="3374"/>
        </w:tabs>
        <w:spacing w:line="360" w:lineRule="auto"/>
        <w:jc w:val="both"/>
        <w:rPr>
          <w:rFonts w:ascii="Palatino Linotype" w:hAnsi="Palatino Linotype"/>
          <w:color w:val="000000" w:themeColor="text1"/>
        </w:rPr>
      </w:pPr>
    </w:p>
    <w:p w:rsidR="00053FB7" w:rsidRPr="008644F6" w:rsidRDefault="00053FB7" w:rsidP="008644F6">
      <w:pPr>
        <w:tabs>
          <w:tab w:val="left" w:pos="3374"/>
        </w:tabs>
        <w:spacing w:line="360" w:lineRule="auto"/>
        <w:jc w:val="both"/>
        <w:rPr>
          <w:rFonts w:ascii="Palatino Linotype" w:hAnsi="Palatino Linotype"/>
          <w:color w:val="000000" w:themeColor="text1"/>
        </w:rPr>
      </w:pPr>
    </w:p>
    <w:p w:rsidR="00053FB7" w:rsidRPr="008644F6" w:rsidRDefault="00053FB7" w:rsidP="008644F6">
      <w:pPr>
        <w:tabs>
          <w:tab w:val="left" w:pos="3374"/>
        </w:tabs>
        <w:spacing w:line="360" w:lineRule="auto"/>
        <w:jc w:val="both"/>
        <w:rPr>
          <w:rFonts w:ascii="Palatino Linotype" w:hAnsi="Palatino Linotype"/>
          <w:color w:val="000000" w:themeColor="text1"/>
        </w:rPr>
      </w:pPr>
    </w:p>
    <w:p w:rsidR="00053FB7" w:rsidRPr="008644F6" w:rsidRDefault="00053FB7" w:rsidP="008644F6">
      <w:pPr>
        <w:tabs>
          <w:tab w:val="left" w:pos="3374"/>
        </w:tabs>
        <w:spacing w:line="360" w:lineRule="auto"/>
        <w:jc w:val="both"/>
        <w:rPr>
          <w:rFonts w:ascii="Palatino Linotype" w:hAnsi="Palatino Linotype"/>
          <w:color w:val="000000" w:themeColor="text1"/>
        </w:rPr>
      </w:pPr>
    </w:p>
    <w:p w:rsidR="00053FB7" w:rsidRPr="008644F6" w:rsidRDefault="00053FB7" w:rsidP="008644F6">
      <w:pPr>
        <w:tabs>
          <w:tab w:val="left" w:pos="3374"/>
        </w:tabs>
        <w:spacing w:line="360" w:lineRule="auto"/>
        <w:jc w:val="both"/>
        <w:rPr>
          <w:rFonts w:ascii="Palatino Linotype" w:hAnsi="Palatino Linotype"/>
          <w:color w:val="000000" w:themeColor="text1"/>
        </w:rPr>
      </w:pPr>
    </w:p>
    <w:sectPr w:rsidR="00053FB7" w:rsidRPr="008644F6" w:rsidSect="004D465B">
      <w:headerReference w:type="even" r:id="rId9"/>
      <w:headerReference w:type="default" r:id="rId10"/>
      <w:footerReference w:type="default" r:id="rId11"/>
      <w:headerReference w:type="first" r:id="rId12"/>
      <w:footerReference w:type="first" r:id="rId13"/>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DF8" w:rsidRDefault="00513DF8" w:rsidP="003B7751">
      <w:r>
        <w:separator/>
      </w:r>
    </w:p>
  </w:endnote>
  <w:endnote w:type="continuationSeparator" w:id="0">
    <w:p w:rsidR="00513DF8" w:rsidRDefault="00513DF8"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B0877">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B0877">
              <w:rPr>
                <w:rFonts w:ascii="Palatino Linotype" w:hAnsi="Palatino Linotype"/>
                <w:bCs/>
                <w:noProof/>
                <w:sz w:val="20"/>
              </w:rPr>
              <w:t>22</w:t>
            </w:r>
            <w:r>
              <w:rPr>
                <w:rFonts w:ascii="Palatino Linotype" w:hAnsi="Palatino Linotype"/>
                <w:bCs/>
                <w:noProof/>
                <w:sz w:val="20"/>
              </w:rPr>
              <w:fldChar w:fldCharType="end"/>
            </w:r>
          </w:p>
        </w:sdtContent>
      </w:sdt>
    </w:sdtContent>
  </w:sdt>
  <w:p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B087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B0877">
      <w:rPr>
        <w:rFonts w:ascii="Palatino Linotype" w:hAnsi="Palatino Linotype"/>
        <w:bCs/>
        <w:noProof/>
        <w:sz w:val="20"/>
      </w:rPr>
      <w:t>22</w:t>
    </w:r>
    <w:r>
      <w:rPr>
        <w:rFonts w:ascii="Palatino Linotype" w:hAnsi="Palatino Linotype"/>
        <w:bCs/>
        <w:noProof/>
        <w:sz w:val="20"/>
      </w:rPr>
      <w:fldChar w:fldCharType="end"/>
    </w:r>
  </w:p>
  <w:p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DF8" w:rsidRDefault="00513DF8" w:rsidP="003B7751">
      <w:r>
        <w:separator/>
      </w:r>
    </w:p>
  </w:footnote>
  <w:footnote w:type="continuationSeparator" w:id="0">
    <w:p w:rsidR="00513DF8" w:rsidRDefault="00513DF8"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513DF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6375" w:rsidTr="006A04B6">
      <w:trPr>
        <w:trHeight w:val="227"/>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D46375" w:rsidRPr="00FF1CE3" w:rsidRDefault="00EE68C9" w:rsidP="00BD0DDD">
          <w:pPr>
            <w:pStyle w:val="Encabezado"/>
            <w:rPr>
              <w:rFonts w:ascii="Palatino Linotype" w:hAnsi="Palatino Linotype"/>
              <w:sz w:val="22"/>
              <w:szCs w:val="22"/>
            </w:rPr>
          </w:pPr>
          <w:r w:rsidRPr="00FF1CE3">
            <w:rPr>
              <w:rFonts w:ascii="Palatino Linotype" w:hAnsi="Palatino Linotype" w:cs="Arial"/>
              <w:bCs/>
              <w:sz w:val="22"/>
              <w:szCs w:val="22"/>
              <w:lang w:eastAsia="es-MX"/>
            </w:rPr>
            <w:t>04768/INFOEM/IP/RR/2023</w:t>
          </w:r>
        </w:p>
      </w:tc>
    </w:tr>
    <w:tr w:rsidR="00D46375" w:rsidTr="006A04B6">
      <w:trPr>
        <w:trHeight w:val="242"/>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D46375" w:rsidRPr="00FF1CE3" w:rsidRDefault="00223048" w:rsidP="009F09BC">
          <w:pPr>
            <w:pStyle w:val="Encabezado"/>
            <w:jc w:val="both"/>
            <w:rPr>
              <w:rFonts w:ascii="Palatino Linotype" w:hAnsi="Palatino Linotype"/>
              <w:sz w:val="22"/>
              <w:szCs w:val="22"/>
            </w:rPr>
          </w:pPr>
          <w:r w:rsidRPr="00FF1CE3">
            <w:rPr>
              <w:rFonts w:ascii="Palatino Linotype" w:hAnsi="Palatino Linotype"/>
              <w:bCs/>
              <w:color w:val="000000"/>
              <w:sz w:val="22"/>
              <w:szCs w:val="22"/>
            </w:rPr>
            <w:t>Ayuntamiento de Zinacantepec</w:t>
          </w:r>
        </w:p>
      </w:tc>
    </w:tr>
    <w:tr w:rsidR="00D46375" w:rsidTr="006A04B6">
      <w:trPr>
        <w:trHeight w:val="342"/>
      </w:trPr>
      <w:tc>
        <w:tcPr>
          <w:tcW w:w="2976" w:type="dxa"/>
          <w:vAlign w:val="center"/>
          <w:hideMark/>
        </w:tcPr>
        <w:p w:rsidR="00D46375" w:rsidRPr="00674A46" w:rsidRDefault="00D46375"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sidR="00103414">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rsidR="00D46375" w:rsidRPr="00FF1CE3" w:rsidRDefault="00D46375" w:rsidP="009F09BC">
          <w:pPr>
            <w:pStyle w:val="Encabezado"/>
            <w:rPr>
              <w:rFonts w:ascii="Palatino Linotype" w:hAnsi="Palatino Linotype"/>
              <w:sz w:val="22"/>
              <w:szCs w:val="22"/>
            </w:rPr>
          </w:pPr>
          <w:r w:rsidRPr="00FF1CE3">
            <w:rPr>
              <w:rFonts w:ascii="Palatino Linotype" w:hAnsi="Palatino Linotype"/>
              <w:sz w:val="22"/>
              <w:szCs w:val="22"/>
            </w:rPr>
            <w:t>María del Rosario Mejía Ayala</w:t>
          </w:r>
        </w:p>
      </w:tc>
    </w:tr>
  </w:tbl>
  <w:p w:rsidR="00D46375" w:rsidRPr="00AE046A" w:rsidRDefault="00513DF8"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rsidTr="006A04B6">
      <w:trPr>
        <w:trHeight w:val="227"/>
      </w:trPr>
      <w:tc>
        <w:tcPr>
          <w:tcW w:w="2977" w:type="dxa"/>
          <w:vAlign w:val="center"/>
          <w:hideMark/>
        </w:tcPr>
        <w:p w:rsidR="00D46375" w:rsidRPr="00674A46" w:rsidRDefault="00D46375"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D46375" w:rsidRPr="00FF1CE3" w:rsidRDefault="00EE68C9" w:rsidP="0069487D">
          <w:pPr>
            <w:pStyle w:val="Encabezado"/>
            <w:rPr>
              <w:rFonts w:ascii="Palatino Linotype" w:hAnsi="Palatino Linotype"/>
              <w:sz w:val="22"/>
              <w:szCs w:val="22"/>
            </w:rPr>
          </w:pPr>
          <w:r w:rsidRPr="00FF1CE3">
            <w:rPr>
              <w:rFonts w:ascii="Palatino Linotype" w:hAnsi="Palatino Linotype" w:cs="Arial"/>
              <w:bCs/>
              <w:sz w:val="22"/>
              <w:szCs w:val="22"/>
              <w:lang w:eastAsia="es-MX"/>
            </w:rPr>
            <w:t>04768/INFOEM/IP/RR/2023</w:t>
          </w:r>
        </w:p>
      </w:tc>
    </w:tr>
    <w:tr w:rsidR="00D46375" w:rsidTr="006A04B6">
      <w:trPr>
        <w:trHeight w:val="242"/>
      </w:trPr>
      <w:tc>
        <w:tcPr>
          <w:tcW w:w="2977" w:type="dxa"/>
          <w:vAlign w:val="center"/>
          <w:hideMark/>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D46375" w:rsidRPr="00FF1CE3" w:rsidRDefault="00D46375" w:rsidP="009F09BC">
          <w:pPr>
            <w:pStyle w:val="Encabezado"/>
            <w:tabs>
              <w:tab w:val="left" w:pos="521"/>
            </w:tabs>
            <w:rPr>
              <w:rFonts w:ascii="Palatino Linotype" w:hAnsi="Palatino Linotype"/>
              <w:sz w:val="22"/>
              <w:szCs w:val="22"/>
            </w:rPr>
          </w:pPr>
        </w:p>
      </w:tc>
    </w:tr>
    <w:tr w:rsidR="00D46375" w:rsidTr="006A04B6">
      <w:trPr>
        <w:trHeight w:val="342"/>
      </w:trPr>
      <w:tc>
        <w:tcPr>
          <w:tcW w:w="2977" w:type="dxa"/>
          <w:vAlign w:val="center"/>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D46375" w:rsidRPr="00FF1CE3" w:rsidRDefault="00223048" w:rsidP="009F09BC">
          <w:pPr>
            <w:pStyle w:val="Encabezado"/>
            <w:jc w:val="both"/>
            <w:rPr>
              <w:rFonts w:ascii="Palatino Linotype" w:hAnsi="Palatino Linotype"/>
              <w:sz w:val="22"/>
              <w:szCs w:val="22"/>
            </w:rPr>
          </w:pPr>
          <w:r w:rsidRPr="00FF1CE3">
            <w:rPr>
              <w:rFonts w:ascii="Palatino Linotype" w:hAnsi="Palatino Linotype"/>
              <w:bCs/>
              <w:color w:val="000000"/>
              <w:sz w:val="22"/>
              <w:szCs w:val="22"/>
            </w:rPr>
            <w:t>Ayuntamiento de Zinacantepec</w:t>
          </w:r>
        </w:p>
      </w:tc>
    </w:tr>
    <w:tr w:rsidR="00D46375" w:rsidTr="006A04B6">
      <w:trPr>
        <w:trHeight w:val="342"/>
      </w:trPr>
      <w:tc>
        <w:tcPr>
          <w:tcW w:w="2977" w:type="dxa"/>
          <w:vAlign w:val="center"/>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D46375" w:rsidRPr="00FF1CE3" w:rsidRDefault="00D46375" w:rsidP="009F09BC">
          <w:pPr>
            <w:pStyle w:val="Encabezado"/>
            <w:rPr>
              <w:rFonts w:ascii="Palatino Linotype" w:hAnsi="Palatino Linotype"/>
              <w:sz w:val="22"/>
              <w:szCs w:val="22"/>
            </w:rPr>
          </w:pPr>
          <w:r w:rsidRPr="00FF1CE3">
            <w:rPr>
              <w:rFonts w:ascii="Palatino Linotype" w:hAnsi="Palatino Linotype"/>
              <w:sz w:val="22"/>
              <w:szCs w:val="22"/>
            </w:rPr>
            <w:t>María del Rosario Mejía Ayala</w:t>
          </w:r>
        </w:p>
      </w:tc>
    </w:tr>
  </w:tbl>
  <w:p w:rsidR="00D46375" w:rsidRPr="00C222C0" w:rsidRDefault="00513DF8">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8475F"/>
    <w:multiLevelType w:val="hybridMultilevel"/>
    <w:tmpl w:val="722C73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B0CB8"/>
    <w:multiLevelType w:val="hybridMultilevel"/>
    <w:tmpl w:val="3BB61124"/>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8673BF6"/>
    <w:multiLevelType w:val="hybridMultilevel"/>
    <w:tmpl w:val="2D487D0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6">
    <w:nsid w:val="2BF228C6"/>
    <w:multiLevelType w:val="hybridMultilevel"/>
    <w:tmpl w:val="C07AAA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4">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E9E38F5"/>
    <w:multiLevelType w:val="hybridMultilevel"/>
    <w:tmpl w:val="8E306CF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8">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55E165FE"/>
    <w:multiLevelType w:val="hybridMultilevel"/>
    <w:tmpl w:val="4232C3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9623C8B"/>
    <w:multiLevelType w:val="hybridMultilevel"/>
    <w:tmpl w:val="C78A6FD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5">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6">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4"/>
  </w:num>
  <w:num w:numId="8">
    <w:abstractNumId w:val="1"/>
  </w:num>
  <w:num w:numId="9">
    <w:abstractNumId w:val="38"/>
  </w:num>
  <w:num w:numId="10">
    <w:abstractNumId w:val="23"/>
  </w:num>
  <w:num w:numId="11">
    <w:abstractNumId w:val="17"/>
  </w:num>
  <w:num w:numId="12">
    <w:abstractNumId w:val="28"/>
  </w:num>
  <w:num w:numId="13">
    <w:abstractNumId w:val="39"/>
  </w:num>
  <w:num w:numId="14">
    <w:abstractNumId w:val="6"/>
  </w:num>
  <w:num w:numId="15">
    <w:abstractNumId w:val="20"/>
  </w:num>
  <w:num w:numId="16">
    <w:abstractNumId w:val="35"/>
  </w:num>
  <w:num w:numId="17">
    <w:abstractNumId w:val="11"/>
  </w:num>
  <w:num w:numId="18">
    <w:abstractNumId w:val="30"/>
  </w:num>
  <w:num w:numId="19">
    <w:abstractNumId w:val="40"/>
  </w:num>
  <w:num w:numId="20">
    <w:abstractNumId w:val="21"/>
  </w:num>
  <w:num w:numId="21">
    <w:abstractNumId w:val="26"/>
  </w:num>
  <w:num w:numId="22">
    <w:abstractNumId w:val="18"/>
  </w:num>
  <w:num w:numId="23">
    <w:abstractNumId w:val="45"/>
  </w:num>
  <w:num w:numId="24">
    <w:abstractNumId w:val="9"/>
  </w:num>
  <w:num w:numId="25">
    <w:abstractNumId w:val="36"/>
  </w:num>
  <w:num w:numId="26">
    <w:abstractNumId w:val="25"/>
  </w:num>
  <w:num w:numId="27">
    <w:abstractNumId w:val="7"/>
  </w:num>
  <w:num w:numId="28">
    <w:abstractNumId w:val="37"/>
  </w:num>
  <w:num w:numId="29">
    <w:abstractNumId w:val="33"/>
  </w:num>
  <w:num w:numId="30">
    <w:abstractNumId w:val="29"/>
  </w:num>
  <w:num w:numId="31">
    <w:abstractNumId w:val="43"/>
  </w:num>
  <w:num w:numId="32">
    <w:abstractNumId w:val="22"/>
  </w:num>
  <w:num w:numId="33">
    <w:abstractNumId w:val="10"/>
  </w:num>
  <w:num w:numId="34">
    <w:abstractNumId w:val="15"/>
  </w:num>
  <w:num w:numId="35">
    <w:abstractNumId w:val="8"/>
  </w:num>
  <w:num w:numId="36">
    <w:abstractNumId w:val="41"/>
  </w:num>
  <w:num w:numId="37">
    <w:abstractNumId w:val="32"/>
  </w:num>
  <w:num w:numId="38">
    <w:abstractNumId w:val="24"/>
  </w:num>
  <w:num w:numId="39">
    <w:abstractNumId w:val="16"/>
  </w:num>
  <w:num w:numId="40">
    <w:abstractNumId w:val="34"/>
  </w:num>
  <w:num w:numId="41">
    <w:abstractNumId w:val="2"/>
  </w:num>
  <w:num w:numId="42">
    <w:abstractNumId w:val="13"/>
  </w:num>
  <w:num w:numId="43">
    <w:abstractNumId w:val="27"/>
  </w:num>
  <w:num w:numId="44">
    <w:abstractNumId w:val="44"/>
  </w:num>
  <w:num w:numId="45">
    <w:abstractNumId w:val="31"/>
  </w:num>
  <w:num w:numId="46">
    <w:abstractNumId w:val="46"/>
  </w:num>
  <w:num w:numId="47">
    <w:abstractNumId w:val="42"/>
  </w:num>
  <w:num w:numId="48">
    <w:abstractNumId w:val="0"/>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30FBC"/>
    <w:rsid w:val="000373F6"/>
    <w:rsid w:val="00046C99"/>
    <w:rsid w:val="000504E5"/>
    <w:rsid w:val="00051287"/>
    <w:rsid w:val="00051AD7"/>
    <w:rsid w:val="00053FB7"/>
    <w:rsid w:val="00054F7E"/>
    <w:rsid w:val="00060552"/>
    <w:rsid w:val="00061369"/>
    <w:rsid w:val="0008243D"/>
    <w:rsid w:val="000A6153"/>
    <w:rsid w:val="000B42EA"/>
    <w:rsid w:val="000E1A02"/>
    <w:rsid w:val="000E31C4"/>
    <w:rsid w:val="000E4891"/>
    <w:rsid w:val="00103414"/>
    <w:rsid w:val="00114502"/>
    <w:rsid w:val="001310C6"/>
    <w:rsid w:val="00134CE6"/>
    <w:rsid w:val="001352F5"/>
    <w:rsid w:val="00166F3E"/>
    <w:rsid w:val="001A18E7"/>
    <w:rsid w:val="001C4290"/>
    <w:rsid w:val="001D23C1"/>
    <w:rsid w:val="001D373F"/>
    <w:rsid w:val="001D5404"/>
    <w:rsid w:val="001D630C"/>
    <w:rsid w:val="001E755B"/>
    <w:rsid w:val="00222E80"/>
    <w:rsid w:val="00223048"/>
    <w:rsid w:val="00223C06"/>
    <w:rsid w:val="002370CC"/>
    <w:rsid w:val="00237FA4"/>
    <w:rsid w:val="00247898"/>
    <w:rsid w:val="00264C9A"/>
    <w:rsid w:val="002650A0"/>
    <w:rsid w:val="002653BF"/>
    <w:rsid w:val="00267A08"/>
    <w:rsid w:val="00272CA2"/>
    <w:rsid w:val="00275E7F"/>
    <w:rsid w:val="00277FAC"/>
    <w:rsid w:val="002901F4"/>
    <w:rsid w:val="00291500"/>
    <w:rsid w:val="002A3B71"/>
    <w:rsid w:val="002B65A0"/>
    <w:rsid w:val="002C0D3C"/>
    <w:rsid w:val="002C4997"/>
    <w:rsid w:val="002C77D6"/>
    <w:rsid w:val="002D294C"/>
    <w:rsid w:val="00300674"/>
    <w:rsid w:val="0030094A"/>
    <w:rsid w:val="00312281"/>
    <w:rsid w:val="00321085"/>
    <w:rsid w:val="00323FFD"/>
    <w:rsid w:val="003437D9"/>
    <w:rsid w:val="00346214"/>
    <w:rsid w:val="00353F1D"/>
    <w:rsid w:val="0037157C"/>
    <w:rsid w:val="003833B3"/>
    <w:rsid w:val="003933C4"/>
    <w:rsid w:val="003A06E6"/>
    <w:rsid w:val="003A15C8"/>
    <w:rsid w:val="003B7751"/>
    <w:rsid w:val="003C13F1"/>
    <w:rsid w:val="003E66D2"/>
    <w:rsid w:val="003F6817"/>
    <w:rsid w:val="00403D64"/>
    <w:rsid w:val="00407FDA"/>
    <w:rsid w:val="004118FA"/>
    <w:rsid w:val="0041686D"/>
    <w:rsid w:val="00425842"/>
    <w:rsid w:val="00427038"/>
    <w:rsid w:val="00437672"/>
    <w:rsid w:val="00456AEE"/>
    <w:rsid w:val="00456CFF"/>
    <w:rsid w:val="004900B4"/>
    <w:rsid w:val="004D465B"/>
    <w:rsid w:val="004E4EE6"/>
    <w:rsid w:val="004E6CE4"/>
    <w:rsid w:val="004F34D1"/>
    <w:rsid w:val="00500BD7"/>
    <w:rsid w:val="0050664D"/>
    <w:rsid w:val="00507B30"/>
    <w:rsid w:val="00513DF8"/>
    <w:rsid w:val="00531473"/>
    <w:rsid w:val="005331D8"/>
    <w:rsid w:val="00541549"/>
    <w:rsid w:val="00541FAD"/>
    <w:rsid w:val="005432D0"/>
    <w:rsid w:val="00546076"/>
    <w:rsid w:val="00547ACE"/>
    <w:rsid w:val="005507B0"/>
    <w:rsid w:val="00554A21"/>
    <w:rsid w:val="00556E0A"/>
    <w:rsid w:val="00563F2E"/>
    <w:rsid w:val="0057514F"/>
    <w:rsid w:val="00575E75"/>
    <w:rsid w:val="00583A39"/>
    <w:rsid w:val="005B0088"/>
    <w:rsid w:val="005B076D"/>
    <w:rsid w:val="005B6702"/>
    <w:rsid w:val="005C5021"/>
    <w:rsid w:val="005D2F1C"/>
    <w:rsid w:val="005D4C57"/>
    <w:rsid w:val="006140A4"/>
    <w:rsid w:val="0062406B"/>
    <w:rsid w:val="006262DA"/>
    <w:rsid w:val="006313B5"/>
    <w:rsid w:val="00647F7C"/>
    <w:rsid w:val="00657639"/>
    <w:rsid w:val="006672E1"/>
    <w:rsid w:val="00680C93"/>
    <w:rsid w:val="0069487D"/>
    <w:rsid w:val="006A04B6"/>
    <w:rsid w:val="006A6390"/>
    <w:rsid w:val="006C6E54"/>
    <w:rsid w:val="006D15D0"/>
    <w:rsid w:val="006D1CED"/>
    <w:rsid w:val="006D6CC1"/>
    <w:rsid w:val="006E7397"/>
    <w:rsid w:val="006E7C94"/>
    <w:rsid w:val="00707B87"/>
    <w:rsid w:val="00711062"/>
    <w:rsid w:val="007142AB"/>
    <w:rsid w:val="007142D6"/>
    <w:rsid w:val="00716BCA"/>
    <w:rsid w:val="00720371"/>
    <w:rsid w:val="00736A4D"/>
    <w:rsid w:val="0074110E"/>
    <w:rsid w:val="00742823"/>
    <w:rsid w:val="007601B1"/>
    <w:rsid w:val="00775EB2"/>
    <w:rsid w:val="00782A12"/>
    <w:rsid w:val="007851DB"/>
    <w:rsid w:val="00792D6A"/>
    <w:rsid w:val="007A460E"/>
    <w:rsid w:val="007A6A1A"/>
    <w:rsid w:val="007B0745"/>
    <w:rsid w:val="007C3C29"/>
    <w:rsid w:val="007E56E1"/>
    <w:rsid w:val="007F3122"/>
    <w:rsid w:val="00804DAA"/>
    <w:rsid w:val="0082142B"/>
    <w:rsid w:val="008227A9"/>
    <w:rsid w:val="008526F4"/>
    <w:rsid w:val="008563C8"/>
    <w:rsid w:val="008573BF"/>
    <w:rsid w:val="008644F6"/>
    <w:rsid w:val="0086792A"/>
    <w:rsid w:val="00873EB6"/>
    <w:rsid w:val="008A06F8"/>
    <w:rsid w:val="008A64D0"/>
    <w:rsid w:val="008A699B"/>
    <w:rsid w:val="008B0637"/>
    <w:rsid w:val="008B0877"/>
    <w:rsid w:val="008B0B07"/>
    <w:rsid w:val="008C1ED7"/>
    <w:rsid w:val="008E12E3"/>
    <w:rsid w:val="008E32EE"/>
    <w:rsid w:val="008E330F"/>
    <w:rsid w:val="008E6574"/>
    <w:rsid w:val="008F6D18"/>
    <w:rsid w:val="00911A75"/>
    <w:rsid w:val="009126F1"/>
    <w:rsid w:val="00926716"/>
    <w:rsid w:val="009335F9"/>
    <w:rsid w:val="00945135"/>
    <w:rsid w:val="0095341F"/>
    <w:rsid w:val="009972BB"/>
    <w:rsid w:val="009A1E0D"/>
    <w:rsid w:val="009A2251"/>
    <w:rsid w:val="009D0241"/>
    <w:rsid w:val="009D5A32"/>
    <w:rsid w:val="009F09BC"/>
    <w:rsid w:val="00A02DF4"/>
    <w:rsid w:val="00A23E82"/>
    <w:rsid w:val="00A429D6"/>
    <w:rsid w:val="00A533B8"/>
    <w:rsid w:val="00A56791"/>
    <w:rsid w:val="00A626EB"/>
    <w:rsid w:val="00AC006C"/>
    <w:rsid w:val="00AD316E"/>
    <w:rsid w:val="00AD63B4"/>
    <w:rsid w:val="00AF2230"/>
    <w:rsid w:val="00AF4BBC"/>
    <w:rsid w:val="00B07BF8"/>
    <w:rsid w:val="00B11CDD"/>
    <w:rsid w:val="00B5225F"/>
    <w:rsid w:val="00B530E8"/>
    <w:rsid w:val="00B86242"/>
    <w:rsid w:val="00B956F5"/>
    <w:rsid w:val="00BC3532"/>
    <w:rsid w:val="00BD0DDD"/>
    <w:rsid w:val="00BF3FB5"/>
    <w:rsid w:val="00C03BA3"/>
    <w:rsid w:val="00C0715F"/>
    <w:rsid w:val="00C105CC"/>
    <w:rsid w:val="00C1074F"/>
    <w:rsid w:val="00C14F2A"/>
    <w:rsid w:val="00C21FAE"/>
    <w:rsid w:val="00C242A7"/>
    <w:rsid w:val="00C35712"/>
    <w:rsid w:val="00C41B2B"/>
    <w:rsid w:val="00C47C3D"/>
    <w:rsid w:val="00C524F8"/>
    <w:rsid w:val="00C54723"/>
    <w:rsid w:val="00C54D99"/>
    <w:rsid w:val="00C66A19"/>
    <w:rsid w:val="00C70474"/>
    <w:rsid w:val="00C85E64"/>
    <w:rsid w:val="00C860B1"/>
    <w:rsid w:val="00C87396"/>
    <w:rsid w:val="00C874E5"/>
    <w:rsid w:val="00C90814"/>
    <w:rsid w:val="00C91F0F"/>
    <w:rsid w:val="00CA1063"/>
    <w:rsid w:val="00CB757D"/>
    <w:rsid w:val="00CC5B2F"/>
    <w:rsid w:val="00CD0E27"/>
    <w:rsid w:val="00CE7B83"/>
    <w:rsid w:val="00CF0D2B"/>
    <w:rsid w:val="00D021A5"/>
    <w:rsid w:val="00D16FC7"/>
    <w:rsid w:val="00D30FEA"/>
    <w:rsid w:val="00D3668F"/>
    <w:rsid w:val="00D367B4"/>
    <w:rsid w:val="00D46375"/>
    <w:rsid w:val="00D47231"/>
    <w:rsid w:val="00D51999"/>
    <w:rsid w:val="00D5729F"/>
    <w:rsid w:val="00D6224B"/>
    <w:rsid w:val="00D81329"/>
    <w:rsid w:val="00D8320F"/>
    <w:rsid w:val="00D96104"/>
    <w:rsid w:val="00DA6D37"/>
    <w:rsid w:val="00DB17E1"/>
    <w:rsid w:val="00DB753F"/>
    <w:rsid w:val="00DC2611"/>
    <w:rsid w:val="00DC3A50"/>
    <w:rsid w:val="00DD1021"/>
    <w:rsid w:val="00DE2F5A"/>
    <w:rsid w:val="00DF03A5"/>
    <w:rsid w:val="00E118BA"/>
    <w:rsid w:val="00E17429"/>
    <w:rsid w:val="00E55966"/>
    <w:rsid w:val="00E56172"/>
    <w:rsid w:val="00E5636B"/>
    <w:rsid w:val="00E566C9"/>
    <w:rsid w:val="00E61C13"/>
    <w:rsid w:val="00E61DA9"/>
    <w:rsid w:val="00E9137F"/>
    <w:rsid w:val="00E92E04"/>
    <w:rsid w:val="00EA660A"/>
    <w:rsid w:val="00EB1CE2"/>
    <w:rsid w:val="00ED1D6B"/>
    <w:rsid w:val="00ED3A35"/>
    <w:rsid w:val="00ED6E75"/>
    <w:rsid w:val="00EE150A"/>
    <w:rsid w:val="00EE4769"/>
    <w:rsid w:val="00EE68C9"/>
    <w:rsid w:val="00EF45F9"/>
    <w:rsid w:val="00F20A34"/>
    <w:rsid w:val="00F24A04"/>
    <w:rsid w:val="00F35B0C"/>
    <w:rsid w:val="00F42ADB"/>
    <w:rsid w:val="00F522F0"/>
    <w:rsid w:val="00F54259"/>
    <w:rsid w:val="00F72588"/>
    <w:rsid w:val="00F7371C"/>
    <w:rsid w:val="00F7578B"/>
    <w:rsid w:val="00F946B5"/>
    <w:rsid w:val="00FB6D42"/>
    <w:rsid w:val="00FD2FA4"/>
    <w:rsid w:val="00FE3FBE"/>
    <w:rsid w:val="00FE6761"/>
    <w:rsid w:val="00FF1C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50664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FF1CE3"/>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205168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A813B-C9DA-4A87-975C-FD7DEAD4A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4510</Words>
  <Characters>24810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cp:lastPrinted>2023-09-28T02:00:00Z</cp:lastPrinted>
  <dcterms:created xsi:type="dcterms:W3CDTF">2023-09-19T15:48:00Z</dcterms:created>
  <dcterms:modified xsi:type="dcterms:W3CDTF">2023-09-28T02:00:00Z</dcterms:modified>
</cp:coreProperties>
</file>