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B8" w:rsidRPr="007D3F03" w:rsidRDefault="00FF42B8" w:rsidP="00FF42B8">
      <w:pPr>
        <w:tabs>
          <w:tab w:val="left" w:pos="0"/>
          <w:tab w:val="left" w:pos="3465"/>
        </w:tabs>
        <w:spacing w:line="360" w:lineRule="auto"/>
        <w:jc w:val="both"/>
        <w:rPr>
          <w:rFonts w:ascii="Palatino Linotype" w:hAnsi="Palatino Linotype"/>
        </w:rPr>
      </w:pPr>
      <w:r w:rsidRPr="007D3F03">
        <w:rPr>
          <w:rFonts w:ascii="Palatino Linotype" w:hAnsi="Palatino Linotype"/>
        </w:rPr>
        <w:t>Resolución del Pleno del Instituto de Transpare</w:t>
      </w:r>
      <w:bookmarkStart w:id="0" w:name="_GoBack"/>
      <w:bookmarkEnd w:id="0"/>
      <w:r w:rsidRPr="007D3F03">
        <w:rPr>
          <w:rFonts w:ascii="Palatino Linotype" w:hAnsi="Palatino Linotype"/>
        </w:rPr>
        <w:t>ncia, Acceso a la Información Pública y Protección de Datos Personales del Estado de México y Municipios, con domicilio en Metepec, Estado de México; de fecha uno (01) de febrero de dos mil veintitrés.</w:t>
      </w:r>
    </w:p>
    <w:p w:rsidR="00FF42B8" w:rsidRPr="007D3F03" w:rsidRDefault="00FF42B8" w:rsidP="00FF42B8">
      <w:pPr>
        <w:tabs>
          <w:tab w:val="left" w:pos="0"/>
          <w:tab w:val="left" w:pos="3465"/>
        </w:tabs>
        <w:spacing w:line="360" w:lineRule="auto"/>
        <w:jc w:val="both"/>
        <w:rPr>
          <w:rFonts w:ascii="Palatino Linotype" w:hAnsi="Palatino Linotype"/>
        </w:rPr>
      </w:pPr>
    </w:p>
    <w:p w:rsidR="00FF42B8" w:rsidRPr="007D3F03" w:rsidRDefault="00FF42B8" w:rsidP="00FF42B8">
      <w:pPr>
        <w:pStyle w:val="Encabezado"/>
        <w:spacing w:line="360" w:lineRule="auto"/>
        <w:jc w:val="both"/>
        <w:rPr>
          <w:rFonts w:ascii="Palatino Linotype" w:eastAsia="Times New Roman" w:hAnsi="Palatino Linotype" w:cs="Times New Roman"/>
          <w:b/>
          <w:color w:val="000000" w:themeColor="text1"/>
        </w:rPr>
      </w:pPr>
      <w:r w:rsidRPr="007D3F03">
        <w:rPr>
          <w:rFonts w:ascii="Palatino Linotype" w:eastAsia="Times New Roman" w:hAnsi="Palatino Linotype" w:cs="Times New Roman"/>
          <w:b/>
          <w:color w:val="000000" w:themeColor="text1"/>
        </w:rPr>
        <w:t>VISTO</w:t>
      </w:r>
      <w:r w:rsidRPr="007D3F03">
        <w:rPr>
          <w:rFonts w:ascii="Palatino Linotype" w:eastAsia="Times New Roman" w:hAnsi="Palatino Linotype" w:cs="Times New Roman"/>
          <w:color w:val="000000" w:themeColor="text1"/>
        </w:rPr>
        <w:t xml:space="preserve"> </w:t>
      </w:r>
      <w:r w:rsidRPr="007D3F03">
        <w:rPr>
          <w:rFonts w:ascii="Palatino Linotype" w:hAnsi="Palatino Linotype"/>
        </w:rPr>
        <w:t xml:space="preserve">el </w:t>
      </w:r>
      <w:r w:rsidRPr="007D3F03">
        <w:rPr>
          <w:rFonts w:ascii="Palatino Linotype" w:eastAsia="Times New Roman" w:hAnsi="Palatino Linotype" w:cs="Times New Roman"/>
          <w:color w:val="000000" w:themeColor="text1"/>
        </w:rPr>
        <w:t xml:space="preserve">expediente electrónico formado con motivo del recurso de revisión número </w:t>
      </w:r>
      <w:r w:rsidRPr="007D3F03">
        <w:rPr>
          <w:rFonts w:ascii="Palatino Linotype" w:eastAsia="Times New Roman" w:hAnsi="Palatino Linotype" w:cs="Arial"/>
          <w:b/>
          <w:bCs/>
          <w:color w:val="000000" w:themeColor="text1"/>
        </w:rPr>
        <w:t xml:space="preserve">00053/INFOEM/IP/RR/2023 </w:t>
      </w:r>
      <w:r w:rsidRPr="007D3F03">
        <w:rPr>
          <w:rFonts w:ascii="Palatino Linotype" w:eastAsia="Times New Roman" w:hAnsi="Palatino Linotype" w:cs="Times New Roman"/>
          <w:color w:val="000000" w:themeColor="text1"/>
        </w:rPr>
        <w:t>promovidos por</w:t>
      </w:r>
      <w:r w:rsidR="00237128">
        <w:rPr>
          <w:rFonts w:ascii="Palatino Linotype" w:hAnsi="Palatino Linotype"/>
          <w:b/>
          <w:bCs/>
          <w:lang w:val="es-MX"/>
        </w:rPr>
        <w:t xml:space="preserve"> XXXXXXXXXXXXXXX</w:t>
      </w:r>
      <w:r w:rsidRPr="007D3F03">
        <w:rPr>
          <w:rFonts w:ascii="Palatino Linotype" w:eastAsia="Times New Roman" w:hAnsi="Palatino Linotype" w:cs="Arial"/>
          <w:color w:val="000000" w:themeColor="text1"/>
        </w:rPr>
        <w:t xml:space="preserve">, quien en lo sucesivo se identificará como </w:t>
      </w:r>
      <w:r w:rsidRPr="007D3F03">
        <w:rPr>
          <w:rFonts w:ascii="Palatino Linotype" w:eastAsia="Times New Roman" w:hAnsi="Palatino Linotype" w:cs="Arial"/>
          <w:b/>
          <w:color w:val="000000" w:themeColor="text1"/>
        </w:rPr>
        <w:t>EL RECURRENTE</w:t>
      </w:r>
      <w:r w:rsidRPr="007D3F03">
        <w:rPr>
          <w:rFonts w:ascii="Palatino Linotype" w:eastAsia="Times New Roman" w:hAnsi="Palatino Linotype" w:cs="Arial"/>
          <w:color w:val="000000" w:themeColor="text1"/>
        </w:rPr>
        <w:t>, en contra de la falta de respuestas del</w:t>
      </w:r>
      <w:r w:rsidRPr="007D3F03">
        <w:rPr>
          <w:rFonts w:ascii="Palatino Linotype" w:eastAsia="Times New Roman" w:hAnsi="Palatino Linotype" w:cs="Arial"/>
          <w:b/>
          <w:bCs/>
          <w:color w:val="000000" w:themeColor="text1"/>
        </w:rPr>
        <w:t xml:space="preserve"> Ayuntamiento de Ixtapaluca </w:t>
      </w:r>
      <w:r w:rsidRPr="007D3F03">
        <w:rPr>
          <w:rFonts w:ascii="Palatino Linotype" w:eastAsia="Times New Roman" w:hAnsi="Palatino Linotype" w:cs="Times New Roman"/>
          <w:color w:val="000000" w:themeColor="text1"/>
        </w:rPr>
        <w:t>en lo sucesivo el</w:t>
      </w:r>
      <w:r w:rsidRPr="007D3F03">
        <w:rPr>
          <w:rFonts w:ascii="Palatino Linotype" w:eastAsia="Times New Roman" w:hAnsi="Palatino Linotype" w:cs="Times New Roman"/>
          <w:b/>
          <w:color w:val="000000" w:themeColor="text1"/>
        </w:rPr>
        <w:t xml:space="preserve"> SUJETO OBLIGADO, </w:t>
      </w:r>
      <w:r w:rsidRPr="007D3F03">
        <w:rPr>
          <w:rFonts w:ascii="Palatino Linotype" w:eastAsia="Times New Roman" w:hAnsi="Palatino Linotype" w:cs="Times New Roman"/>
          <w:color w:val="000000" w:themeColor="text1"/>
        </w:rPr>
        <w:t>se procede a dictar la presente resolución, con base en los siguientes:</w:t>
      </w:r>
    </w:p>
    <w:p w:rsidR="00FF42B8" w:rsidRPr="007D3F03" w:rsidRDefault="00FF42B8" w:rsidP="00FF42B8">
      <w:pPr>
        <w:tabs>
          <w:tab w:val="left" w:pos="0"/>
        </w:tabs>
        <w:spacing w:line="360" w:lineRule="auto"/>
        <w:jc w:val="both"/>
        <w:rPr>
          <w:rFonts w:ascii="Palatino Linotype" w:hAnsi="Palatino Linotype"/>
        </w:rPr>
      </w:pPr>
    </w:p>
    <w:p w:rsidR="00FF42B8" w:rsidRPr="007D3F03" w:rsidRDefault="00FF42B8" w:rsidP="00FF42B8">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88173805"/>
      <w:r w:rsidRPr="007D3F03">
        <w:rPr>
          <w:rFonts w:ascii="Palatino Linotype" w:hAnsi="Palatino Linotype"/>
          <w:b/>
          <w:color w:val="000000" w:themeColor="text1"/>
          <w:sz w:val="24"/>
        </w:rPr>
        <w:t>ANTECEDENTES</w:t>
      </w:r>
      <w:bookmarkEnd w:id="1"/>
      <w:bookmarkEnd w:id="2"/>
      <w:bookmarkEnd w:id="3"/>
      <w:bookmarkEnd w:id="4"/>
    </w:p>
    <w:p w:rsidR="00FF42B8" w:rsidRPr="007D3F03" w:rsidRDefault="00FF42B8" w:rsidP="00FF42B8">
      <w:pPr>
        <w:rPr>
          <w:lang w:eastAsia="en-U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El </w:t>
      </w:r>
      <w:r w:rsidRPr="007D3F03">
        <w:rPr>
          <w:rFonts w:ascii="Palatino Linotype" w:eastAsia="Calibri" w:hAnsi="Palatino Linotype" w:cs="Arial"/>
          <w:bCs/>
          <w:color w:val="000000" w:themeColor="text1"/>
          <w:lang w:val="es-ES"/>
        </w:rPr>
        <w:t xml:space="preserve">veintiocho (28) de noviembre de dos </w:t>
      </w:r>
      <w:r w:rsidRPr="007D3F03">
        <w:rPr>
          <w:rFonts w:ascii="Palatino Linotype" w:eastAsia="Calibri" w:hAnsi="Palatino Linotype" w:cs="Arial"/>
          <w:color w:val="000000" w:themeColor="text1"/>
          <w:lang w:val="es-ES"/>
        </w:rPr>
        <w:t>mil veintidós,</w:t>
      </w:r>
      <w:r w:rsidRPr="007D3F03">
        <w:rPr>
          <w:rFonts w:ascii="Palatino Linotype" w:eastAsia="Calibri" w:hAnsi="Palatino Linotype" w:cs="Times New Roman"/>
          <w:color w:val="000000" w:themeColor="text1"/>
          <w:lang w:val="es-ES"/>
        </w:rPr>
        <w:t xml:space="preserve"> </w:t>
      </w:r>
      <w:r w:rsidRPr="007D3F03">
        <w:rPr>
          <w:rFonts w:ascii="Palatino Linotype" w:eastAsia="Calibri" w:hAnsi="Palatino Linotype" w:cs="Arial"/>
          <w:color w:val="000000" w:themeColor="text1"/>
          <w:lang w:val="es-ES"/>
        </w:rPr>
        <w:t>se</w:t>
      </w:r>
      <w:r w:rsidRPr="007D3F03">
        <w:rPr>
          <w:rFonts w:ascii="Palatino Linotype" w:eastAsia="Calibri" w:hAnsi="Palatino Linotype" w:cs="Arial"/>
          <w:b/>
          <w:color w:val="000000" w:themeColor="text1"/>
          <w:lang w:val="es-ES"/>
        </w:rPr>
        <w:t xml:space="preserve"> </w:t>
      </w:r>
      <w:r w:rsidRPr="007D3F03">
        <w:rPr>
          <w:rFonts w:ascii="Palatino Linotype" w:hAnsi="Palatino Linotype"/>
          <w:color w:val="000000" w:themeColor="text1"/>
        </w:rPr>
        <w:t>presentaron</w:t>
      </w:r>
      <w:r w:rsidRPr="007D3F03">
        <w:rPr>
          <w:rFonts w:ascii="Palatino Linotype" w:hAnsi="Palatino Linotype"/>
          <w:b/>
          <w:color w:val="000000" w:themeColor="text1"/>
        </w:rPr>
        <w:t xml:space="preserve"> </w:t>
      </w:r>
      <w:r w:rsidRPr="007D3F03">
        <w:rPr>
          <w:rFonts w:ascii="Palatino Linotype" w:eastAsia="Calibri" w:hAnsi="Palatino Linotype" w:cs="Arial"/>
          <w:color w:val="000000" w:themeColor="text1"/>
        </w:rPr>
        <w:t xml:space="preserve">vía Sistema de Acceso a la Información Mexiquense </w:t>
      </w:r>
      <w:r w:rsidRPr="007D3F03">
        <w:rPr>
          <w:rFonts w:ascii="Palatino Linotype" w:eastAsia="Calibri" w:hAnsi="Palatino Linotype" w:cs="Arial"/>
          <w:b/>
          <w:color w:val="000000" w:themeColor="text1"/>
        </w:rPr>
        <w:t>(SAIMEX)</w:t>
      </w:r>
      <w:r w:rsidRPr="007D3F03">
        <w:rPr>
          <w:rFonts w:ascii="Palatino Linotype" w:eastAsia="Calibri" w:hAnsi="Palatino Linotype" w:cs="Arial"/>
          <w:b/>
          <w:color w:val="000000" w:themeColor="text1"/>
          <w:lang w:val="es-ES"/>
        </w:rPr>
        <w:t>,</w:t>
      </w:r>
      <w:r w:rsidRPr="007D3F03">
        <w:rPr>
          <w:rFonts w:ascii="Palatino Linotype" w:eastAsia="Calibri" w:hAnsi="Palatino Linotype" w:cs="Arial"/>
          <w:color w:val="000000" w:themeColor="text1"/>
          <w:lang w:val="es-ES"/>
        </w:rPr>
        <w:t xml:space="preserve"> la solicitud de información pública registrada con el número </w:t>
      </w:r>
      <w:r w:rsidRPr="007D3F03">
        <w:rPr>
          <w:rFonts w:ascii="Palatino Linotype" w:hAnsi="Palatino Linotype"/>
          <w:b/>
          <w:bCs/>
          <w:lang w:val="es-MX"/>
        </w:rPr>
        <w:t>00415/IXTAPALU/IP/2022</w:t>
      </w:r>
      <w:r w:rsidRPr="007D3F03">
        <w:rPr>
          <w:rFonts w:ascii="Palatino Linotype" w:hAnsi="Palatino Linotype"/>
          <w:b/>
        </w:rPr>
        <w:t xml:space="preserve">, </w:t>
      </w:r>
      <w:r w:rsidRPr="007D3F03">
        <w:rPr>
          <w:rFonts w:ascii="Palatino Linotype" w:eastAsia="Calibri" w:hAnsi="Palatino Linotype" w:cs="Arial"/>
          <w:color w:val="000000" w:themeColor="text1"/>
          <w:lang w:val="es-ES"/>
        </w:rPr>
        <w:t>mediante la cual se requirió lo siguiente:</w:t>
      </w:r>
    </w:p>
    <w:p w:rsidR="00FF42B8" w:rsidRPr="007D3F03" w:rsidRDefault="00FF42B8" w:rsidP="00FF42B8">
      <w:pPr>
        <w:ind w:right="565"/>
        <w:rPr>
          <w:rFonts w:ascii="Palatino Linotype" w:eastAsiaTheme="minorEastAsia" w:hAnsi="Palatino Linotype" w:cstheme="minorBidi"/>
          <w:b/>
          <w:i/>
          <w:iCs/>
          <w:lang w:eastAsia="es-ES"/>
        </w:rPr>
      </w:pPr>
    </w:p>
    <w:p w:rsidR="00FF42B8" w:rsidRPr="007D3F03" w:rsidRDefault="00FF42B8" w:rsidP="00FF42B8">
      <w:pPr>
        <w:spacing w:line="360" w:lineRule="auto"/>
        <w:ind w:left="567" w:right="565"/>
        <w:jc w:val="both"/>
        <w:rPr>
          <w:rFonts w:ascii="Palatino Linotype" w:hAnsi="Palatino Linotype"/>
          <w:i/>
          <w:iCs/>
          <w:color w:val="000000"/>
          <w:sz w:val="22"/>
          <w:szCs w:val="22"/>
        </w:rPr>
      </w:pPr>
      <w:r w:rsidRPr="007D3F03">
        <w:rPr>
          <w:rFonts w:ascii="Palatino Linotype" w:hAnsi="Palatino Linotype"/>
          <w:i/>
          <w:iCs/>
          <w:color w:val="000000"/>
          <w:sz w:val="22"/>
          <w:szCs w:val="22"/>
        </w:rPr>
        <w:t xml:space="preserve"> “MONTO MENSUAL RECAUDADO DE ENERO A NOVIEMBRE DEL 2022 POR CONCEPTO DE COBRO DE DERECHO DE PISO A LOS COMERCIANTES DE TIANGUIS Y MERCADOS SOBRE RUEDAS QUE SE INSTALAN DENTRO DEL TERRITORIO DEL MUNICIPIO.” (Sic)</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Se </w:t>
      </w:r>
      <w:r w:rsidRPr="007D3F03">
        <w:rPr>
          <w:rFonts w:ascii="Palatino Linotype" w:eastAsia="Times New Roman" w:hAnsi="Palatino Linotype" w:cs="Arial"/>
          <w:lang w:val="es-ES"/>
        </w:rPr>
        <w:t xml:space="preserve">señaló como modalidad de entrega de la información: </w:t>
      </w:r>
      <w:r w:rsidRPr="007D3F03">
        <w:rPr>
          <w:rFonts w:ascii="Palatino Linotype" w:eastAsia="Times New Roman" w:hAnsi="Palatino Linotype" w:cs="Arial"/>
          <w:b/>
          <w:bCs/>
          <w:lang w:val="es-ES"/>
        </w:rPr>
        <w:t>A través de SAIEMEX.</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C139EF"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lastRenderedPageBreak/>
        <w:t>De las constancias del expediente electrónico SAIMEX, se advierte que e</w:t>
      </w:r>
      <w:r w:rsidR="00FF42B8" w:rsidRPr="007D3F03">
        <w:rPr>
          <w:rFonts w:ascii="Palatino Linotype" w:eastAsia="Calibri" w:hAnsi="Palatino Linotype" w:cs="Arial"/>
          <w:color w:val="000000" w:themeColor="text1"/>
          <w:lang w:val="es-ES"/>
        </w:rPr>
        <w:t xml:space="preserve">l </w:t>
      </w:r>
      <w:r w:rsidR="00FF42B8" w:rsidRPr="007D3F03">
        <w:rPr>
          <w:rFonts w:ascii="Palatino Linotype" w:eastAsia="Calibri" w:hAnsi="Palatino Linotype" w:cs="Arial"/>
          <w:b/>
          <w:bCs/>
          <w:color w:val="000000" w:themeColor="text1"/>
          <w:lang w:val="es-ES"/>
        </w:rPr>
        <w:t>SUJETO OBLIGADO</w:t>
      </w:r>
      <w:r w:rsidR="00FF42B8" w:rsidRPr="007D3F03">
        <w:rPr>
          <w:rFonts w:ascii="Palatino Linotype" w:eastAsia="Calibri" w:hAnsi="Palatino Linotype" w:cs="Arial"/>
          <w:color w:val="000000" w:themeColor="text1"/>
          <w:lang w:val="es-ES"/>
        </w:rPr>
        <w:t xml:space="preserve"> </w:t>
      </w:r>
      <w:r w:rsidRPr="007D3F03">
        <w:rPr>
          <w:rFonts w:ascii="Palatino Linotype" w:eastAsia="Calibri" w:hAnsi="Palatino Linotype" w:cs="Arial"/>
          <w:color w:val="000000" w:themeColor="text1"/>
          <w:lang w:val="es-ES"/>
        </w:rPr>
        <w:t xml:space="preserve">no dio respuesta a la solicitud de información. </w:t>
      </w:r>
    </w:p>
    <w:p w:rsidR="00FF42B8" w:rsidRPr="007D3F03" w:rsidRDefault="00FF42B8" w:rsidP="00FF42B8">
      <w:pPr>
        <w:spacing w:line="276" w:lineRule="auto"/>
        <w:ind w:right="565"/>
        <w:jc w:val="both"/>
        <w:rPr>
          <w:rFonts w:ascii="Palatino Linotype" w:hAnsi="Palatino Linotype"/>
          <w:sz w:val="22"/>
          <w:szCs w:val="22"/>
          <w:lang w:eastAsia="es-ES_tradnl"/>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Times New Roman" w:hAnsi="Palatino Linotype" w:cs="Arial"/>
          <w:color w:val="000000" w:themeColor="text1"/>
          <w:lang w:val="es-ES"/>
        </w:rPr>
        <w:t>E</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r w:rsidRPr="007D3F03">
        <w:rPr>
          <w:rFonts w:ascii="Palatino Linotype" w:eastAsia="Times New Roman" w:hAnsi="Palatino Linotype" w:cs="Arial"/>
          <w:color w:val="000000" w:themeColor="text1"/>
          <w:lang w:val="es-ES"/>
        </w:rPr>
        <w:t>l</w:t>
      </w:r>
      <w:r w:rsidR="00C139EF" w:rsidRPr="007D3F03">
        <w:rPr>
          <w:rFonts w:ascii="Palatino Linotype" w:eastAsia="Times New Roman" w:hAnsi="Palatino Linotype" w:cs="Arial"/>
          <w:color w:val="000000" w:themeColor="text1"/>
          <w:lang w:val="es-ES"/>
        </w:rPr>
        <w:t xml:space="preserve"> veintisiete (27</w:t>
      </w:r>
      <w:r w:rsidRPr="007D3F03">
        <w:rPr>
          <w:rFonts w:ascii="Palatino Linotype" w:eastAsia="Times New Roman" w:hAnsi="Palatino Linotype" w:cs="Arial"/>
          <w:bCs/>
          <w:color w:val="000000" w:themeColor="text1"/>
          <w:lang w:val="es-ES"/>
        </w:rPr>
        <w:t>) de diciembre de dos</w:t>
      </w:r>
      <w:r w:rsidRPr="007D3F03">
        <w:rPr>
          <w:rFonts w:ascii="Palatino Linotype" w:eastAsia="Times New Roman" w:hAnsi="Palatino Linotype" w:cs="Arial"/>
          <w:color w:val="000000" w:themeColor="text1"/>
          <w:lang w:val="es-ES"/>
        </w:rPr>
        <w:t xml:space="preserve"> mil veintidós, </w:t>
      </w:r>
      <w:r w:rsidRPr="007D3F03">
        <w:rPr>
          <w:rFonts w:ascii="Palatino Linotype" w:hAnsi="Palatino Linotype"/>
          <w:color w:val="000000" w:themeColor="text1"/>
        </w:rPr>
        <w:t xml:space="preserve">el Particular </w:t>
      </w:r>
      <w:r w:rsidRPr="007D3F03">
        <w:rPr>
          <w:rFonts w:ascii="Palatino Linotype" w:eastAsia="Times New Roman" w:hAnsi="Palatino Linotype" w:cs="Arial"/>
          <w:color w:val="000000" w:themeColor="text1"/>
          <w:lang w:val="es-ES"/>
        </w:rPr>
        <w:t>interpuso  recurso de revisión, señalando como:</w:t>
      </w:r>
    </w:p>
    <w:p w:rsidR="00FF42B8" w:rsidRPr="007D3F03" w:rsidRDefault="00FF42B8" w:rsidP="00FF42B8">
      <w:pPr>
        <w:ind w:right="565"/>
        <w:jc w:val="both"/>
        <w:rPr>
          <w:rFonts w:ascii="Palatino Linotype" w:eastAsia="Calibri" w:hAnsi="Palatino Linotype" w:cs="Arial"/>
          <w:b/>
          <w:sz w:val="22"/>
          <w:szCs w:val="22"/>
        </w:rPr>
      </w:pPr>
    </w:p>
    <w:p w:rsidR="00FF42B8" w:rsidRPr="007D3F03" w:rsidRDefault="00FF42B8" w:rsidP="00FF42B8">
      <w:pPr>
        <w:spacing w:line="360" w:lineRule="auto"/>
        <w:ind w:left="567" w:right="565"/>
        <w:jc w:val="both"/>
        <w:rPr>
          <w:rFonts w:ascii="Palatino Linotype" w:hAnsi="Palatino Linotype"/>
          <w:i/>
          <w:iCs/>
          <w:sz w:val="22"/>
          <w:szCs w:val="22"/>
        </w:rPr>
      </w:pPr>
      <w:r w:rsidRPr="007D3F03">
        <w:rPr>
          <w:rFonts w:ascii="Palatino Linotype" w:eastAsia="Calibri" w:hAnsi="Palatino Linotype" w:cs="Arial"/>
          <w:b/>
          <w:sz w:val="22"/>
          <w:szCs w:val="22"/>
        </w:rPr>
        <w:t>Acto impugnado</w:t>
      </w:r>
      <w:r w:rsidRPr="007D3F03">
        <w:rPr>
          <w:rFonts w:ascii="Palatino Linotype" w:eastAsia="Calibri" w:hAnsi="Palatino Linotype" w:cs="Arial"/>
          <w:sz w:val="22"/>
          <w:szCs w:val="22"/>
        </w:rPr>
        <w:t>:</w:t>
      </w:r>
      <w:r w:rsidRPr="007D3F03">
        <w:rPr>
          <w:rFonts w:ascii="Palatino Linotype" w:eastAsia="Calibri" w:hAnsi="Palatino Linotype" w:cs="Arial"/>
          <w:i/>
          <w:iCs/>
          <w:sz w:val="22"/>
          <w:szCs w:val="22"/>
        </w:rPr>
        <w:t xml:space="preserve"> </w:t>
      </w:r>
    </w:p>
    <w:p w:rsidR="00FF42B8" w:rsidRPr="007D3F03" w:rsidRDefault="00FF42B8" w:rsidP="00FF42B8">
      <w:pPr>
        <w:spacing w:line="360" w:lineRule="auto"/>
        <w:ind w:left="567" w:right="565"/>
        <w:rPr>
          <w:rFonts w:ascii="Palatino Linotype" w:hAnsi="Palatino Linotype"/>
          <w:i/>
          <w:iCs/>
          <w:color w:val="000000"/>
          <w:sz w:val="22"/>
          <w:szCs w:val="22"/>
        </w:rPr>
      </w:pPr>
      <w:r w:rsidRPr="007D3F03">
        <w:rPr>
          <w:rFonts w:ascii="Palatino Linotype" w:hAnsi="Palatino Linotype"/>
          <w:i/>
          <w:iCs/>
          <w:sz w:val="22"/>
          <w:szCs w:val="22"/>
        </w:rPr>
        <w:t>“</w:t>
      </w:r>
      <w:r w:rsidR="00C139EF" w:rsidRPr="007D3F03">
        <w:rPr>
          <w:rFonts w:ascii="Palatino Linotype" w:hAnsi="Palatino Linotype"/>
          <w:i/>
          <w:iCs/>
          <w:sz w:val="22"/>
          <w:szCs w:val="22"/>
        </w:rPr>
        <w:t>NEGATIVA POR PARTE DEL SUJETO OBLIGADO A PROPORCIONAR LA INFORMACIÓN SOLICITADA</w:t>
      </w:r>
      <w:r w:rsidRPr="007D3F03">
        <w:rPr>
          <w:rFonts w:ascii="Palatino Linotype" w:hAnsi="Palatino Linotype"/>
          <w:i/>
          <w:iCs/>
          <w:color w:val="000000"/>
          <w:sz w:val="22"/>
          <w:szCs w:val="22"/>
        </w:rPr>
        <w:t>” (Sic)</w:t>
      </w:r>
    </w:p>
    <w:p w:rsidR="00FF42B8" w:rsidRPr="007D3F03" w:rsidRDefault="00FF42B8" w:rsidP="00FF42B8">
      <w:pPr>
        <w:spacing w:line="360" w:lineRule="auto"/>
        <w:ind w:left="567" w:right="565"/>
        <w:rPr>
          <w:rFonts w:ascii="Palatino Linotype" w:hAnsi="Palatino Linotype"/>
          <w:i/>
          <w:iCs/>
          <w:color w:val="000000"/>
          <w:sz w:val="22"/>
          <w:szCs w:val="22"/>
        </w:rPr>
      </w:pPr>
    </w:p>
    <w:p w:rsidR="00FF42B8" w:rsidRPr="007D3F03" w:rsidRDefault="00FF42B8" w:rsidP="00FF42B8">
      <w:pPr>
        <w:spacing w:line="360" w:lineRule="auto"/>
        <w:ind w:left="567" w:right="565"/>
        <w:jc w:val="both"/>
        <w:rPr>
          <w:rFonts w:ascii="Palatino Linotype" w:eastAsia="Calibri" w:hAnsi="Palatino Linotype" w:cs="Arial"/>
          <w:i/>
          <w:iCs/>
          <w:sz w:val="22"/>
          <w:szCs w:val="22"/>
        </w:rPr>
      </w:pPr>
      <w:r w:rsidRPr="007D3F03">
        <w:rPr>
          <w:rFonts w:ascii="Palatino Linotype" w:eastAsia="Calibri" w:hAnsi="Palatino Linotype" w:cs="Arial"/>
          <w:b/>
          <w:sz w:val="22"/>
          <w:szCs w:val="22"/>
        </w:rPr>
        <w:t>Razones o Motivos de inconformidad</w:t>
      </w:r>
      <w:r w:rsidRPr="007D3F03">
        <w:rPr>
          <w:rFonts w:ascii="Palatino Linotype" w:eastAsia="Calibri" w:hAnsi="Palatino Linotype" w:cs="Arial"/>
          <w:sz w:val="22"/>
          <w:szCs w:val="22"/>
        </w:rPr>
        <w:t>:</w:t>
      </w:r>
      <w:r w:rsidRPr="007D3F03">
        <w:rPr>
          <w:rFonts w:ascii="Palatino Linotype" w:eastAsia="Calibri" w:hAnsi="Palatino Linotype" w:cs="Arial"/>
          <w:i/>
          <w:iCs/>
          <w:sz w:val="22"/>
          <w:szCs w:val="22"/>
        </w:rPr>
        <w:t xml:space="preserve"> </w:t>
      </w:r>
    </w:p>
    <w:p w:rsidR="00FF42B8" w:rsidRPr="007D3F03" w:rsidRDefault="00FF42B8" w:rsidP="00FF42B8">
      <w:pPr>
        <w:spacing w:line="360" w:lineRule="auto"/>
        <w:ind w:left="567" w:right="565"/>
        <w:jc w:val="both"/>
        <w:rPr>
          <w:rFonts w:ascii="Palatino Linotype" w:hAnsi="Palatino Linotype"/>
          <w:i/>
          <w:iCs/>
          <w:sz w:val="22"/>
          <w:szCs w:val="22"/>
        </w:rPr>
      </w:pPr>
      <w:r w:rsidRPr="007D3F03">
        <w:rPr>
          <w:rFonts w:ascii="Palatino Linotype" w:eastAsia="Calibri" w:hAnsi="Palatino Linotype" w:cs="Arial"/>
          <w:bCs/>
          <w:i/>
          <w:iCs/>
          <w:sz w:val="22"/>
          <w:szCs w:val="22"/>
        </w:rPr>
        <w:t>“</w:t>
      </w:r>
      <w:r w:rsidR="00C139EF" w:rsidRPr="007D3F03">
        <w:rPr>
          <w:rFonts w:ascii="Palatino Linotype" w:eastAsia="Calibri" w:hAnsi="Palatino Linotype" w:cs="Arial"/>
          <w:bCs/>
          <w:i/>
          <w:iCs/>
          <w:sz w:val="22"/>
          <w:szCs w:val="22"/>
        </w:rPr>
        <w:t>VIOLACIÓN SISTEMATICA DEL SUJETO OBLIGADO A MI DERECHO CONSTITUCIONAL DE ACCESO A LA INFORMACIÓN PÚBLICA</w:t>
      </w:r>
      <w:r w:rsidRPr="007D3F03">
        <w:rPr>
          <w:rFonts w:ascii="Palatino Linotype" w:hAnsi="Palatino Linotype"/>
          <w:i/>
          <w:iCs/>
          <w:color w:val="000000"/>
          <w:sz w:val="22"/>
          <w:szCs w:val="22"/>
        </w:rPr>
        <w:t>” (Sic)</w:t>
      </w:r>
    </w:p>
    <w:p w:rsidR="00FF42B8" w:rsidRPr="007D3F03" w:rsidRDefault="00FF42B8" w:rsidP="00FF42B8">
      <w:pPr>
        <w:ind w:right="565"/>
        <w:jc w:val="both"/>
        <w:rPr>
          <w:rFonts w:ascii="Palatino Linotype" w:hAnsi="Palatino Linotype"/>
          <w:i/>
          <w:sz w:val="22"/>
          <w:szCs w:val="22"/>
        </w:rPr>
      </w:pPr>
    </w:p>
    <w:p w:rsidR="00FF42B8" w:rsidRPr="007D3F03" w:rsidRDefault="00FF42B8" w:rsidP="00FF42B8">
      <w:pPr>
        <w:spacing w:before="240" w:after="240"/>
        <w:ind w:right="565"/>
        <w:contextualSpacing/>
        <w:jc w:val="both"/>
        <w:rPr>
          <w:rFonts w:ascii="Palatino Linotype" w:hAnsi="Palatino Linotype"/>
          <w:iC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rsidR="00FF42B8" w:rsidRPr="007D3F03" w:rsidRDefault="00FF42B8" w:rsidP="00FF42B8">
      <w:pPr>
        <w:numPr>
          <w:ilvl w:val="0"/>
          <w:numId w:val="1"/>
        </w:numPr>
        <w:spacing w:line="360" w:lineRule="auto"/>
        <w:ind w:left="0" w:firstLine="0"/>
        <w:contextualSpacing/>
        <w:jc w:val="both"/>
        <w:rPr>
          <w:rFonts w:ascii="Palatino Linotype" w:eastAsia="Calibri" w:hAnsi="Palatino Linotype" w:cs="Arial"/>
          <w:lang w:val="es-AR" w:eastAsia="es-ES"/>
        </w:rPr>
      </w:pPr>
      <w:r w:rsidRPr="007D3F03">
        <w:rPr>
          <w:rFonts w:ascii="Palatino Linotype" w:hAnsi="Palatino Linotype" w:cs="Arial"/>
          <w:lang w:val="es-ES" w:eastAsia="es-ES"/>
        </w:rPr>
        <w:t xml:space="preserve">Se registró el recurso de revisión bajo el número de expediente </w:t>
      </w:r>
      <w:r w:rsidRPr="007D3F03">
        <w:rPr>
          <w:rFonts w:ascii="Palatino Linotype" w:eastAsiaTheme="minorEastAsia" w:hAnsi="Palatino Linotype" w:cs="Arial"/>
          <w:bCs/>
          <w:lang w:val="es-ES_tradnl" w:eastAsia="es-ES"/>
        </w:rPr>
        <w:t xml:space="preserve">al rubro indicado, asimismo con fundamento en lo dispuesto por el </w:t>
      </w:r>
      <w:r w:rsidRPr="007D3F03">
        <w:rPr>
          <w:rFonts w:ascii="Palatino Linotype" w:eastAsia="Calibri" w:hAnsi="Palatino Linotype" w:cs="Arial"/>
          <w:lang w:val="es-ES" w:eastAsia="es-ES"/>
        </w:rPr>
        <w:t xml:space="preserve">artículo 185 fracción I de la </w:t>
      </w:r>
      <w:r w:rsidRPr="007D3F03">
        <w:rPr>
          <w:rFonts w:ascii="Palatino Linotype" w:eastAsia="Calibri" w:hAnsi="Palatino Linotype" w:cs="Arial"/>
          <w:b/>
          <w:lang w:val="es-ES" w:eastAsia="es-ES"/>
        </w:rPr>
        <w:t xml:space="preserve">Ley de Transparencia y Acceso a la Información Pública del Estado de México y Municipios </w:t>
      </w:r>
      <w:r w:rsidRPr="007D3F03">
        <w:rPr>
          <w:rFonts w:ascii="Palatino Linotype" w:hAnsi="Palatino Linotype" w:cs="Arial"/>
          <w:lang w:val="es-ES" w:eastAsia="es-ES"/>
        </w:rPr>
        <w:t xml:space="preserve">se turnó a la </w:t>
      </w:r>
      <w:r w:rsidRPr="007D3F03">
        <w:rPr>
          <w:rFonts w:ascii="Palatino Linotype" w:hAnsi="Palatino Linotype" w:cs="Arial"/>
          <w:b/>
          <w:lang w:val="es-ES" w:eastAsia="es-ES"/>
        </w:rPr>
        <w:t xml:space="preserve">Comisionada María del Rosario Mejía Ayala, </w:t>
      </w:r>
      <w:r w:rsidRPr="007D3F03">
        <w:rPr>
          <w:rFonts w:ascii="Palatino Linotype" w:hAnsi="Palatino Linotype" w:cs="Arial"/>
          <w:lang w:val="es-ES" w:eastAsia="es-ES"/>
        </w:rPr>
        <w:t xml:space="preserve">con el objeto de </w:t>
      </w:r>
      <w:r w:rsidRPr="007D3F03">
        <w:rPr>
          <w:rFonts w:ascii="Palatino Linotype" w:hAnsi="Palatino Linotype" w:cs="Arial"/>
          <w:lang w:eastAsia="es-ES"/>
        </w:rPr>
        <w:t xml:space="preserve">su análisis. </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C139EF" w:rsidRPr="007D3F03">
        <w:rPr>
          <w:rFonts w:ascii="Palatino Linotype" w:eastAsia="Calibri" w:hAnsi="Palatino Linotype" w:cs="Arial"/>
          <w:lang w:val="es-ES"/>
        </w:rPr>
        <w:t>doce (12) de enero de dos mil veintitrés</w:t>
      </w:r>
      <w:r w:rsidRPr="007D3F03">
        <w:rPr>
          <w:rFonts w:ascii="Palatino Linotype" w:eastAsia="Calibri" w:hAnsi="Palatino Linotype" w:cs="Arial"/>
          <w:lang w:val="es-ES"/>
        </w:rPr>
        <w:t xml:space="preserve">, puso a disposición de las partes los expedientes electrónicos </w:t>
      </w:r>
      <w:r w:rsidRPr="007D3F03">
        <w:rPr>
          <w:rFonts w:ascii="Palatino Linotype" w:eastAsia="Calibri" w:hAnsi="Palatino Linotype" w:cs="Arial"/>
        </w:rPr>
        <w:t xml:space="preserve">vía </w:t>
      </w:r>
      <w:r w:rsidRPr="007D3F03">
        <w:rPr>
          <w:rFonts w:ascii="Palatino Linotype" w:eastAsia="Calibri" w:hAnsi="Palatino Linotype" w:cs="Arial"/>
          <w:lang w:val="es-ES"/>
        </w:rPr>
        <w:t xml:space="preserve">Sistema de Acceso a la Información Mexiquense </w:t>
      </w:r>
      <w:r w:rsidRPr="007D3F03">
        <w:rPr>
          <w:rFonts w:ascii="Palatino Linotype" w:eastAsia="Calibri" w:hAnsi="Palatino Linotype" w:cs="Arial"/>
          <w:b/>
          <w:lang w:val="es-ES"/>
        </w:rPr>
        <w:t xml:space="preserve">(SAIMEX) </w:t>
      </w:r>
      <w:r w:rsidRPr="007D3F03">
        <w:rPr>
          <w:rFonts w:ascii="Palatino Linotype" w:eastAsia="Calibri" w:hAnsi="Palatino Linotype" w:cs="Arial"/>
          <w:lang w:val="es-ES"/>
        </w:rPr>
        <w:t xml:space="preserve">a efecto de que en un plazo máximo de siete días manifestaran lo que a derecho convinieran, </w:t>
      </w:r>
      <w:r w:rsidRPr="007D3F03">
        <w:rPr>
          <w:rFonts w:ascii="Palatino Linotype" w:eastAsia="Calibri" w:hAnsi="Palatino Linotype" w:cs="Arial"/>
          <w:lang w:val="es-ES"/>
        </w:rPr>
        <w:lastRenderedPageBreak/>
        <w:t xml:space="preserve">ofrecieran pruebas y alegatos según corresponda al caso concreto, de esta forma para que el </w:t>
      </w:r>
      <w:r w:rsidRPr="007D3F03">
        <w:rPr>
          <w:rFonts w:ascii="Palatino Linotype" w:eastAsia="Calibri" w:hAnsi="Palatino Linotype" w:cs="Arial"/>
          <w:b/>
          <w:lang w:val="es-ES"/>
        </w:rPr>
        <w:t>SUJETO OBLIGADO</w:t>
      </w:r>
      <w:r w:rsidRPr="007D3F03">
        <w:rPr>
          <w:rFonts w:ascii="Palatino Linotype" w:eastAsia="Calibri" w:hAnsi="Palatino Linotype" w:cs="Arial"/>
          <w:lang w:val="es-ES"/>
        </w:rPr>
        <w:t xml:space="preserve"> presentara el Informe Justificado procedente.</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bCs/>
          <w:color w:val="000000" w:themeColor="text1"/>
          <w:lang w:val="es-ES"/>
        </w:rPr>
        <w:t xml:space="preserve">El </w:t>
      </w:r>
      <w:r w:rsidR="00C139EF" w:rsidRPr="007D3F03">
        <w:rPr>
          <w:rFonts w:ascii="Palatino Linotype" w:eastAsia="Calibri" w:hAnsi="Palatino Linotype" w:cs="Arial"/>
          <w:bCs/>
          <w:color w:val="000000" w:themeColor="text1"/>
          <w:lang w:val="es-ES"/>
        </w:rPr>
        <w:t>trece (13</w:t>
      </w:r>
      <w:r w:rsidRPr="007D3F03">
        <w:rPr>
          <w:rFonts w:ascii="Palatino Linotype" w:eastAsia="Calibri" w:hAnsi="Palatino Linotype" w:cs="Arial"/>
          <w:bCs/>
          <w:color w:val="000000" w:themeColor="text1"/>
          <w:lang w:val="es-ES"/>
        </w:rPr>
        <w:t>) de enero de dos mil veintitrés</w:t>
      </w:r>
      <w:r w:rsidRPr="007D3F03">
        <w:rPr>
          <w:rFonts w:ascii="Palatino Linotype" w:eastAsia="Calibri" w:hAnsi="Palatino Linotype" w:cs="Arial"/>
          <w:color w:val="000000" w:themeColor="text1"/>
          <w:lang w:val="es-ES"/>
        </w:rPr>
        <w:t xml:space="preserve">, el </w:t>
      </w:r>
      <w:r w:rsidRPr="007D3F03">
        <w:rPr>
          <w:rFonts w:ascii="Palatino Linotype" w:eastAsia="Calibri" w:hAnsi="Palatino Linotype" w:cs="Arial"/>
          <w:b/>
          <w:color w:val="000000" w:themeColor="text1"/>
          <w:lang w:val="es-ES"/>
        </w:rPr>
        <w:t>SUJETO OBLIGADO</w:t>
      </w:r>
      <w:r w:rsidRPr="007D3F03">
        <w:rPr>
          <w:rFonts w:ascii="Palatino Linotype" w:eastAsia="Calibri" w:hAnsi="Palatino Linotype" w:cs="Arial"/>
          <w:color w:val="000000" w:themeColor="text1"/>
          <w:lang w:val="es-ES"/>
        </w:rPr>
        <w:t xml:space="preserve"> rindió </w:t>
      </w:r>
      <w:r w:rsidRPr="007D3F03">
        <w:rPr>
          <w:rFonts w:ascii="Palatino Linotype" w:eastAsia="Calibri" w:hAnsi="Palatino Linotype" w:cs="Arial"/>
          <w:lang w:val="es-ES"/>
        </w:rPr>
        <w:t>informe justificado</w:t>
      </w:r>
      <w:r w:rsidR="00C139EF" w:rsidRPr="007D3F03">
        <w:rPr>
          <w:rFonts w:ascii="Palatino Linotype" w:eastAsia="Calibri" w:hAnsi="Palatino Linotype" w:cs="Arial"/>
          <w:lang w:val="es-ES"/>
        </w:rPr>
        <w:t>, mismo que fue puesto  a la vista del particular el veinticuatro (24) de enero del mismo año</w:t>
      </w:r>
      <w:r w:rsidR="00C139EF" w:rsidRPr="007D3F03">
        <w:rPr>
          <w:rFonts w:ascii="Palatino Linotype" w:eastAsia="Calibri" w:hAnsi="Palatino Linotype" w:cs="Arial"/>
          <w:b/>
          <w:lang w:val="es-ES"/>
        </w:rPr>
        <w:t xml:space="preserve"> </w:t>
      </w:r>
      <w:r w:rsidR="00C139EF" w:rsidRPr="007D3F03">
        <w:rPr>
          <w:rFonts w:ascii="Palatino Linotype" w:eastAsia="Calibri" w:hAnsi="Palatino Linotype" w:cs="Arial"/>
          <w:lang w:val="es-ES"/>
        </w:rPr>
        <w:t>y que consta del archivo que se describe a continuación:</w:t>
      </w:r>
    </w:p>
    <w:p w:rsidR="00C139EF" w:rsidRPr="007D3F03" w:rsidRDefault="00C139EF" w:rsidP="00C139E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1C5710" w:rsidP="00C139EF">
      <w:pPr>
        <w:pStyle w:val="Prrafodelista"/>
        <w:numPr>
          <w:ilvl w:val="0"/>
          <w:numId w:val="9"/>
        </w:numPr>
        <w:tabs>
          <w:tab w:val="left" w:pos="426"/>
          <w:tab w:val="left" w:pos="567"/>
        </w:tabs>
        <w:spacing w:line="360" w:lineRule="auto"/>
        <w:jc w:val="both"/>
        <w:rPr>
          <w:rFonts w:ascii="Palatino Linotype" w:eastAsia="Calibri" w:hAnsi="Palatino Linotype" w:cs="Arial"/>
          <w:color w:val="000000" w:themeColor="text1"/>
          <w:lang w:val="es-ES"/>
        </w:rPr>
      </w:pPr>
      <w:hyperlink r:id="rId7" w:history="1">
        <w:r w:rsidR="00C139EF" w:rsidRPr="007D3F03">
          <w:rPr>
            <w:rStyle w:val="Hipervnculo"/>
            <w:rFonts w:ascii="Palatino Linotype" w:hAnsi="Palatino Linotype" w:cs="Arial"/>
            <w:b/>
            <w:bCs/>
            <w:color w:val="auto"/>
          </w:rPr>
          <w:t>Respuesta 415 Recaudacion.pdf</w:t>
        </w:r>
      </w:hyperlink>
      <w:r w:rsidR="00B83E0A" w:rsidRPr="007D3F03">
        <w:rPr>
          <w:rFonts w:ascii="Palatino Linotype" w:hAnsi="Palatino Linotype"/>
        </w:rPr>
        <w:t>: oficio</w:t>
      </w:r>
      <w:r w:rsidR="00C139EF" w:rsidRPr="007D3F03">
        <w:rPr>
          <w:rFonts w:ascii="Palatino Linotype" w:hAnsi="Palatino Linotype"/>
        </w:rPr>
        <w:t xml:space="preserve"> IXT/SDR/0225/2022 de fecha siete de diciembre de dos mil veintidós, suscrito por el Subdirector de Recaudación del Municipio de Ixtapaluca, mediante el </w:t>
      </w:r>
      <w:r w:rsidR="003869E8" w:rsidRPr="007D3F03">
        <w:rPr>
          <w:rFonts w:ascii="Palatino Linotype" w:hAnsi="Palatino Linotype"/>
        </w:rPr>
        <w:t xml:space="preserve">inserto una tabla con el mes y el monto recaudado. </w:t>
      </w:r>
      <w:r w:rsidR="00C139EF" w:rsidRPr="007D3F03">
        <w:rPr>
          <w:rFonts w:ascii="Palatino Linotype" w:hAnsi="Palatino Linotype"/>
        </w:rPr>
        <w:t xml:space="preserve"> </w:t>
      </w:r>
    </w:p>
    <w:p w:rsidR="00FF42B8" w:rsidRPr="007D3F03" w:rsidRDefault="00FF42B8" w:rsidP="00FF42B8">
      <w:pPr>
        <w:tabs>
          <w:tab w:val="left" w:pos="426"/>
          <w:tab w:val="left" w:pos="567"/>
        </w:tabs>
        <w:spacing w:line="360" w:lineRule="auto"/>
        <w:jc w:val="both"/>
        <w:rPr>
          <w:rFonts w:ascii="Palatino Linotype" w:hAnsi="Palatino Linotype"/>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7D3F03">
        <w:rPr>
          <w:rFonts w:ascii="Palatino Linotype" w:eastAsia="Calibri" w:hAnsi="Palatino Linotype" w:cs="Arial"/>
          <w:color w:val="000000" w:themeColor="text1"/>
          <w:lang w:val="es-ES"/>
        </w:rPr>
        <w:t xml:space="preserve">Por su parte </w:t>
      </w:r>
      <w:r w:rsidRPr="007D3F03">
        <w:rPr>
          <w:rFonts w:ascii="Palatino Linotype" w:eastAsia="Calibri" w:hAnsi="Palatino Linotype" w:cs="Arial"/>
          <w:lang w:val="es-ES"/>
        </w:rPr>
        <w:t>el Recurrente no realizó manifestaciones, ni ofreció pruebas o alegatos que a su derecho convinieran.</w:t>
      </w:r>
    </w:p>
    <w:p w:rsidR="00FF42B8" w:rsidRPr="007D3F03" w:rsidRDefault="00FF42B8" w:rsidP="00FF42B8">
      <w:pPr>
        <w:pStyle w:val="Prrafodelista"/>
        <w:tabs>
          <w:tab w:val="left" w:pos="426"/>
          <w:tab w:val="left" w:pos="567"/>
        </w:tabs>
        <w:spacing w:line="360" w:lineRule="auto"/>
        <w:ind w:left="0"/>
        <w:jc w:val="both"/>
        <w:rPr>
          <w:rFonts w:ascii="Palatino Linotype" w:hAnsi="Palatino Linotype"/>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7D3F03">
        <w:rPr>
          <w:rFonts w:ascii="Palatino Linotype" w:hAnsi="Palatino Linotype"/>
        </w:rPr>
        <w:t xml:space="preserve">La </w:t>
      </w:r>
      <w:r w:rsidRPr="007D3F03">
        <w:rPr>
          <w:rFonts w:ascii="Palatino Linotype" w:eastAsia="MS Mincho" w:hAnsi="Palatino Linotype"/>
        </w:rPr>
        <w:t>Comisionada Ponente decretó el cierre de instrucción</w:t>
      </w:r>
      <w:r w:rsidRPr="007D3F03">
        <w:rPr>
          <w:rFonts w:ascii="Palatino Linotype" w:eastAsia="MS Mincho" w:hAnsi="Palatino Linotype" w:cs="Arial"/>
        </w:rPr>
        <w:t xml:space="preserve"> </w:t>
      </w:r>
      <w:r w:rsidRPr="007D3F03">
        <w:rPr>
          <w:rFonts w:ascii="Palatino Linotype" w:eastAsia="MS Mincho" w:hAnsi="Palatino Linotype"/>
        </w:rPr>
        <w:t xml:space="preserve">mediante acuerdo del </w:t>
      </w:r>
      <w:r w:rsidR="003869E8" w:rsidRPr="007D3F03">
        <w:rPr>
          <w:rFonts w:ascii="Palatino Linotype" w:eastAsia="MS Mincho" w:hAnsi="Palatino Linotype"/>
        </w:rPr>
        <w:t>treinta (30</w:t>
      </w:r>
      <w:r w:rsidRPr="007D3F03">
        <w:rPr>
          <w:rFonts w:ascii="Palatino Linotype" w:eastAsia="MS Mincho" w:hAnsi="Palatino Linotype"/>
        </w:rPr>
        <w:t>) de enero de dos mil veintitrés.</w:t>
      </w:r>
    </w:p>
    <w:p w:rsidR="00FF42B8" w:rsidRPr="007D3F03" w:rsidRDefault="00FF42B8" w:rsidP="00FF42B8">
      <w:pPr>
        <w:pStyle w:val="Ttulo2"/>
        <w:rPr>
          <w:rFonts w:ascii="Palatino Linotype" w:hAnsi="Palatino Linotype"/>
          <w:b/>
          <w:color w:val="000000" w:themeColor="text1"/>
          <w:sz w:val="24"/>
          <w:szCs w:val="24"/>
        </w:rPr>
      </w:pPr>
      <w:bookmarkStart w:id="19" w:name="_Toc88173806"/>
    </w:p>
    <w:p w:rsidR="00FF42B8" w:rsidRPr="007D3F03" w:rsidRDefault="00FF42B8" w:rsidP="00FF42B8">
      <w:pPr>
        <w:pStyle w:val="Ttulo2"/>
        <w:jc w:val="center"/>
        <w:rPr>
          <w:rFonts w:ascii="Palatino Linotype" w:hAnsi="Palatino Linotype"/>
          <w:b/>
          <w:color w:val="000000" w:themeColor="text1"/>
          <w:sz w:val="24"/>
          <w:szCs w:val="24"/>
        </w:rPr>
      </w:pPr>
      <w:r w:rsidRPr="007D3F03">
        <w:rPr>
          <w:rFonts w:ascii="Palatino Linotype" w:hAnsi="Palatino Linotype"/>
          <w:b/>
          <w:color w:val="000000" w:themeColor="text1"/>
          <w:sz w:val="24"/>
          <w:szCs w:val="24"/>
        </w:rPr>
        <w:t>CONSIDERANDO</w:t>
      </w:r>
      <w:bookmarkEnd w:id="19"/>
    </w:p>
    <w:p w:rsidR="00FF42B8" w:rsidRPr="007D3F03" w:rsidRDefault="00FF42B8" w:rsidP="00FF42B8">
      <w:pPr>
        <w:rPr>
          <w:lang w:eastAsia="en-US"/>
        </w:rPr>
      </w:pPr>
    </w:p>
    <w:p w:rsidR="00FF42B8" w:rsidRPr="007D3F03" w:rsidRDefault="00FF42B8" w:rsidP="00FF42B8">
      <w:pPr>
        <w:pStyle w:val="Ttulo2"/>
        <w:tabs>
          <w:tab w:val="left" w:pos="0"/>
        </w:tabs>
        <w:spacing w:before="0" w:line="360" w:lineRule="auto"/>
        <w:rPr>
          <w:rFonts w:ascii="Palatino Linotype" w:hAnsi="Palatino Linotype"/>
          <w:b/>
          <w:color w:val="auto"/>
          <w:sz w:val="24"/>
          <w:szCs w:val="24"/>
        </w:rPr>
      </w:pPr>
      <w:bookmarkStart w:id="20" w:name="_Toc491791303"/>
      <w:bookmarkStart w:id="21" w:name="_Toc535334651"/>
      <w:bookmarkStart w:id="22" w:name="_Toc2248732"/>
      <w:bookmarkStart w:id="23" w:name="_Toc88173807"/>
      <w:r w:rsidRPr="007D3F03">
        <w:rPr>
          <w:rFonts w:ascii="Palatino Linotype" w:hAnsi="Palatino Linotype"/>
          <w:b/>
          <w:color w:val="auto"/>
          <w:sz w:val="24"/>
          <w:szCs w:val="24"/>
        </w:rPr>
        <w:t>PRIMERO. De la competencia</w:t>
      </w:r>
      <w:bookmarkEnd w:id="20"/>
      <w:bookmarkEnd w:id="21"/>
      <w:bookmarkEnd w:id="22"/>
      <w:bookmarkEnd w:id="23"/>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Times New Roman"/>
        </w:rPr>
        <w:t xml:space="preserve">Este </w:t>
      </w:r>
      <w:r w:rsidRPr="007D3F03">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w:t>
      </w:r>
      <w:r w:rsidRPr="007D3F03">
        <w:rPr>
          <w:rFonts w:ascii="Palatino Linotype" w:eastAsia="Calibri" w:hAnsi="Palatino Linotype"/>
          <w:bCs/>
          <w:color w:val="000000" w:themeColor="text1"/>
        </w:rPr>
        <w:lastRenderedPageBreak/>
        <w:t>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7D3F03">
        <w:rPr>
          <w:rFonts w:ascii="Palatino Linotype" w:hAnsi="Palatino Linotype"/>
        </w:rPr>
        <w:t>.</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Ttulo2"/>
        <w:tabs>
          <w:tab w:val="left" w:pos="0"/>
        </w:tabs>
        <w:spacing w:before="0" w:line="360" w:lineRule="auto"/>
        <w:rPr>
          <w:rFonts w:ascii="Palatino Linotype" w:hAnsi="Palatino Linotype"/>
          <w:b/>
          <w:color w:val="auto"/>
          <w:sz w:val="24"/>
          <w:szCs w:val="24"/>
        </w:rPr>
      </w:pPr>
      <w:bookmarkStart w:id="24" w:name="_Toc491791304"/>
      <w:bookmarkStart w:id="25" w:name="_Toc535334652"/>
      <w:bookmarkStart w:id="26" w:name="_Toc2248733"/>
      <w:bookmarkStart w:id="27" w:name="_Toc88173808"/>
      <w:r w:rsidRPr="007D3F03">
        <w:rPr>
          <w:rFonts w:ascii="Palatino Linotype" w:hAnsi="Palatino Linotype"/>
          <w:b/>
          <w:color w:val="auto"/>
          <w:sz w:val="24"/>
          <w:szCs w:val="24"/>
        </w:rPr>
        <w:t>SEGUNDO. De la oportunidad y procedencia.</w:t>
      </w:r>
      <w:bookmarkEnd w:id="24"/>
      <w:bookmarkEnd w:id="25"/>
      <w:bookmarkEnd w:id="26"/>
      <w:bookmarkEnd w:id="27"/>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8" w:name="_Toc511234456"/>
      <w:bookmarkStart w:id="29" w:name="_Toc466371865"/>
      <w:bookmarkStart w:id="30" w:name="_Toc466377653"/>
      <w:r w:rsidRPr="007D3F03">
        <w:rPr>
          <w:rFonts w:ascii="Palatino Linotype" w:eastAsia="Calibri" w:hAnsi="Palatino Linotype" w:cs="Arial"/>
          <w:color w:val="000000" w:themeColor="text1"/>
          <w:lang w:val="es-ES"/>
        </w:rPr>
        <w:t xml:space="preserve"> </w:t>
      </w:r>
      <w:r w:rsidRPr="007D3F03">
        <w:rPr>
          <w:rFonts w:ascii="Palatino Linotype" w:eastAsia="Calibri" w:hAnsi="Palatino Linotype" w:cs="Arial"/>
          <w:color w:val="000000" w:themeColor="text1"/>
        </w:rPr>
        <w:t xml:space="preserve">Es </w:t>
      </w:r>
      <w:r w:rsidRPr="007D3F03">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7D3F03">
        <w:rPr>
          <w:rFonts w:ascii="Palatino Linotype" w:eastAsia="Calibri" w:hAnsi="Palatino Linotype" w:cs="Arial"/>
          <w:b/>
          <w:lang w:val="es-ES"/>
        </w:rPr>
        <w:t>SUJETO OBLIGADO</w:t>
      </w:r>
      <w:r w:rsidRPr="007D3F03">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hAnsi="Palatino Linotype"/>
        </w:rPr>
        <w:t>Por</w:t>
      </w:r>
      <w:r w:rsidRPr="007D3F03">
        <w:rPr>
          <w:rFonts w:ascii="Palatino Linotype" w:eastAsia="Calibri" w:hAnsi="Palatino Linotype" w:cs="Arial"/>
        </w:rPr>
        <w:t xml:space="preserve"> </w:t>
      </w:r>
      <w:r w:rsidRPr="007D3F03">
        <w:rPr>
          <w:rFonts w:ascii="Palatino Linotype" w:eastAsia="Calibri" w:hAnsi="Palatino Linotype" w:cs="Arial"/>
          <w:lang w:val="es-ES"/>
        </w:rPr>
        <w:t xml:space="preserve">ende, se constituye la figura jurídica de la </w:t>
      </w:r>
      <w:r w:rsidRPr="007D3F03">
        <w:rPr>
          <w:rFonts w:ascii="Palatino Linotype" w:eastAsia="Calibri" w:hAnsi="Palatino Linotype" w:cs="Arial"/>
          <w:i/>
          <w:lang w:val="es-ES"/>
        </w:rPr>
        <w:t>negativa ficta</w:t>
      </w:r>
      <w:r w:rsidRPr="007D3F03">
        <w:rPr>
          <w:rFonts w:ascii="Palatino Linotype" w:eastAsia="Calibri" w:hAnsi="Palatino Linotype" w:cs="Arial"/>
          <w:lang w:val="es-ES"/>
        </w:rPr>
        <w:t xml:space="preserve">, cuya esencia es atribuir un efecto negativo al silencio de la autoridad administrativa frente a las </w:t>
      </w:r>
      <w:r w:rsidRPr="007D3F03">
        <w:rPr>
          <w:rFonts w:ascii="Palatino Linotype" w:eastAsia="Calibri" w:hAnsi="Palatino Linotype" w:cs="Arial"/>
          <w:lang w:val="es-ES"/>
        </w:rPr>
        <w:lastRenderedPageBreak/>
        <w:t xml:space="preserve">instancias y solicitudes que hagan los particulares, lo cual encuentra sustento en lo que establece el artículo </w:t>
      </w:r>
      <w:r w:rsidRPr="007D3F03">
        <w:rPr>
          <w:rFonts w:ascii="Palatino Linotype" w:eastAsia="Calibri" w:hAnsi="Palatino Linotype" w:cs="Arial"/>
          <w:b/>
          <w:lang w:val="es-ES"/>
        </w:rPr>
        <w:t>178</w:t>
      </w:r>
      <w:r w:rsidRPr="007D3F03">
        <w:rPr>
          <w:rFonts w:ascii="Palatino Linotype" w:eastAsia="Calibri" w:hAnsi="Palatino Linotype" w:cs="Arial"/>
          <w:lang w:val="es-ES"/>
        </w:rPr>
        <w:t xml:space="preserve"> segundo párrafo de </w:t>
      </w:r>
      <w:r w:rsidRPr="007D3F03">
        <w:rPr>
          <w:rFonts w:ascii="Palatino Linotype" w:eastAsia="Calibri" w:hAnsi="Palatino Linotype" w:cs="Arial"/>
          <w:b/>
          <w:lang w:val="es-ES"/>
        </w:rPr>
        <w:t>Ley de Transparencia y Acceso a la Información Pública del Estado de México y Municipios</w:t>
      </w:r>
      <w:r w:rsidRPr="007D3F03">
        <w:rPr>
          <w:rFonts w:ascii="Palatino Linotype" w:eastAsia="Calibri" w:hAnsi="Palatino Linotype"/>
          <w:shd w:val="clear" w:color="auto" w:fill="FFFFFF"/>
        </w:rPr>
        <w:t xml:space="preserve">, que dispone; ante la falta de respuesta del </w:t>
      </w:r>
      <w:r w:rsidRPr="007D3F03">
        <w:rPr>
          <w:rFonts w:ascii="Palatino Linotype" w:eastAsia="Calibri" w:hAnsi="Palatino Linotype"/>
          <w:b/>
          <w:shd w:val="clear" w:color="auto" w:fill="FFFFFF"/>
        </w:rPr>
        <w:t>SUJETO OBLIGADO,</w:t>
      </w:r>
      <w:r w:rsidRPr="007D3F03">
        <w:rPr>
          <w:rFonts w:ascii="Palatino Linotype" w:eastAsia="Calibri" w:hAnsi="Palatino Linotype"/>
          <w:shd w:val="clear" w:color="auto" w:fill="FFFFFF"/>
        </w:rPr>
        <w:t xml:space="preserve"> dentro de los plazos establecidos en esta Ley, a una solicitud de acceso a la información pública, el recurso </w:t>
      </w:r>
      <w:r w:rsidRPr="007D3F03">
        <w:rPr>
          <w:rFonts w:ascii="Palatino Linotype" w:eastAsia="Calibri" w:hAnsi="Palatino Linotype"/>
          <w:b/>
          <w:shd w:val="clear" w:color="auto" w:fill="FFFFFF"/>
        </w:rPr>
        <w:t>podrá ser interpuesto en cualquier momento.</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Por </w:t>
      </w:r>
      <w:r w:rsidRPr="007D3F03">
        <w:rPr>
          <w:rFonts w:ascii="Palatino Linotype" w:eastAsia="Calibri" w:hAnsi="Palatino Linotype" w:cs="Arial"/>
          <w:lang w:val="es-ES"/>
        </w:rPr>
        <w:t xml:space="preserve">lo que, tratándose de la </w:t>
      </w:r>
      <w:r w:rsidRPr="007D3F03">
        <w:rPr>
          <w:rFonts w:ascii="Palatino Linotype" w:eastAsia="Calibri" w:hAnsi="Palatino Linotype" w:cs="Arial"/>
          <w:i/>
          <w:lang w:val="es-ES"/>
        </w:rPr>
        <w:t>negativa ficta</w:t>
      </w:r>
      <w:r w:rsidRPr="007D3F03">
        <w:rPr>
          <w:rFonts w:ascii="Palatino Linotype" w:eastAsia="Calibri" w:hAnsi="Palatino Linotype" w:cs="Arial"/>
          <w:lang w:val="es-ES"/>
        </w:rPr>
        <w:t xml:space="preserve"> no existe respuesta que se haga del conocimiento a la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D3F03">
        <w:rPr>
          <w:rFonts w:ascii="Palatino Linotype" w:eastAsia="Calibri" w:hAnsi="Palatino Linotype" w:cs="Arial"/>
          <w:i/>
          <w:lang w:val="es-ES"/>
        </w:rPr>
        <w:t>negativa ficta</w:t>
      </w:r>
      <w:r w:rsidRPr="007D3F03">
        <w:rPr>
          <w:rFonts w:ascii="Palatino Linotype" w:eastAsia="Calibri" w:hAnsi="Palatino Linotype" w:cs="Arial"/>
          <w:lang w:val="es-ES"/>
        </w:rPr>
        <w:t>, que señala:</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tabs>
          <w:tab w:val="left" w:pos="7655"/>
        </w:tabs>
        <w:spacing w:before="240" w:after="240" w:line="360" w:lineRule="auto"/>
        <w:ind w:left="567" w:right="567"/>
        <w:jc w:val="center"/>
        <w:rPr>
          <w:rFonts w:ascii="Palatino Linotype" w:eastAsia="Calibri" w:hAnsi="Palatino Linotype" w:cs="Arial"/>
          <w:b/>
          <w:sz w:val="22"/>
          <w:szCs w:val="22"/>
          <w:lang w:val="es-ES" w:eastAsia="es-ES"/>
        </w:rPr>
      </w:pPr>
      <w:r w:rsidRPr="007D3F03">
        <w:rPr>
          <w:rFonts w:ascii="Palatino Linotype" w:eastAsia="Calibri" w:hAnsi="Palatino Linotype" w:cs="Arial"/>
          <w:b/>
          <w:sz w:val="22"/>
          <w:szCs w:val="22"/>
          <w:lang w:val="es-ES" w:eastAsia="es-ES"/>
        </w:rPr>
        <w:t>Criterio 0001-15</w:t>
      </w:r>
    </w:p>
    <w:p w:rsidR="00FF42B8" w:rsidRPr="007D3F03" w:rsidRDefault="00FF42B8" w:rsidP="00FF42B8">
      <w:pPr>
        <w:tabs>
          <w:tab w:val="left" w:pos="7655"/>
        </w:tabs>
        <w:spacing w:before="240" w:after="240" w:line="360" w:lineRule="auto"/>
        <w:ind w:left="567" w:right="567"/>
        <w:jc w:val="both"/>
        <w:rPr>
          <w:rFonts w:ascii="Palatino Linotype" w:eastAsia="Calibri" w:hAnsi="Palatino Linotype" w:cs="Arial"/>
          <w:i/>
          <w:sz w:val="22"/>
          <w:szCs w:val="22"/>
          <w:lang w:val="es-ES" w:eastAsia="es-ES"/>
        </w:rPr>
      </w:pPr>
      <w:r w:rsidRPr="007D3F03">
        <w:rPr>
          <w:rFonts w:ascii="Palatino Linotype" w:eastAsia="Calibri" w:hAnsi="Palatino Linotype" w:cs="Arial"/>
          <w:b/>
          <w:i/>
          <w:sz w:val="22"/>
          <w:szCs w:val="22"/>
          <w:lang w:val="es-ES" w:eastAsia="es-ES"/>
        </w:rPr>
        <w:t>NEGATIVA FICTA. PLAZO PARA INTERPONER EL RECURSO DE REVISIÓN TRATÁNDOSE DE.</w:t>
      </w:r>
      <w:r w:rsidRPr="007D3F03">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7D3F03">
        <w:rPr>
          <w:rFonts w:ascii="Palatino Linotype" w:eastAsia="Calibri" w:hAnsi="Palatino Linotype" w:cs="Arial"/>
          <w:i/>
          <w:sz w:val="22"/>
          <w:szCs w:val="22"/>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Lo </w:t>
      </w:r>
      <w:r w:rsidRPr="007D3F03">
        <w:rPr>
          <w:rFonts w:ascii="Palatino Linotype" w:hAnsi="Palatino Linotype" w:cs="Arial"/>
          <w:lang w:val="es-ES" w:eastAsia="es-MX"/>
        </w:rPr>
        <w:t xml:space="preserve">anterior, se explica porque la </w:t>
      </w:r>
      <w:r w:rsidRPr="007D3F03">
        <w:rPr>
          <w:rFonts w:ascii="Palatino Linotype" w:hAnsi="Palatino Linotype" w:cs="Arial"/>
          <w:b/>
          <w:u w:val="single"/>
          <w:lang w:val="es-ES" w:eastAsia="es-MX"/>
        </w:rPr>
        <w:t>posible ausencia</w:t>
      </w:r>
      <w:r w:rsidRPr="007D3F03">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D3F03">
        <w:rPr>
          <w:rFonts w:ascii="Palatino Linotype" w:hAnsi="Palatino Linotype" w:cs="Arial"/>
          <w:b/>
          <w:lang w:val="es-ES" w:eastAsia="es-MX"/>
        </w:rPr>
        <w:t>SUJETO OBLIGADO</w:t>
      </w:r>
      <w:r w:rsidRPr="007D3F03">
        <w:rPr>
          <w:rFonts w:ascii="Palatino Linotype" w:hAnsi="Palatino Linotype" w:cs="Arial"/>
          <w:lang w:val="es-ES" w:eastAsia="es-MX"/>
        </w:rPr>
        <w:t>.</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Expuesto </w:t>
      </w:r>
      <w:r w:rsidRPr="007D3F03">
        <w:rPr>
          <w:rFonts w:ascii="Palatino Linotype" w:eastAsia="Calibri" w:hAnsi="Palatino Linotype" w:cs="Arial"/>
        </w:rPr>
        <w:t>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F42B8" w:rsidRPr="007D3F03" w:rsidRDefault="00FF42B8" w:rsidP="00FF42B8">
      <w:pPr>
        <w:tabs>
          <w:tab w:val="left" w:pos="426"/>
          <w:tab w:val="left" w:pos="567"/>
        </w:tabs>
        <w:spacing w:line="360" w:lineRule="auto"/>
        <w:jc w:val="both"/>
        <w:rPr>
          <w:rFonts w:ascii="Palatino Linotype" w:eastAsia="Calibri" w:hAnsi="Palatino Linotype" w:cs="Arial"/>
          <w:color w:val="000000" w:themeColor="text1"/>
          <w:lang w:val="es-ES"/>
        </w:rPr>
      </w:pPr>
    </w:p>
    <w:p w:rsidR="00367507" w:rsidRPr="007D3F03" w:rsidRDefault="00367507" w:rsidP="00FF42B8">
      <w:pPr>
        <w:tabs>
          <w:tab w:val="left" w:pos="426"/>
          <w:tab w:val="left" w:pos="567"/>
        </w:tabs>
        <w:spacing w:line="360" w:lineRule="auto"/>
        <w:jc w:val="both"/>
        <w:rPr>
          <w:rFonts w:ascii="Palatino Linotype" w:eastAsia="Calibri" w:hAnsi="Palatino Linotype" w:cs="Arial"/>
          <w:color w:val="000000" w:themeColor="text1"/>
          <w:lang w:val="es-ES"/>
        </w:rPr>
      </w:pPr>
    </w:p>
    <w:p w:rsidR="00367507" w:rsidRPr="007D3F03" w:rsidRDefault="00367507" w:rsidP="00FF42B8">
      <w:pPr>
        <w:tabs>
          <w:tab w:val="left" w:pos="426"/>
          <w:tab w:val="left" w:pos="567"/>
        </w:tabs>
        <w:spacing w:line="360" w:lineRule="auto"/>
        <w:jc w:val="both"/>
        <w:rPr>
          <w:rFonts w:ascii="Palatino Linotype" w:eastAsia="Calibri" w:hAnsi="Palatino Linotype" w:cs="Arial"/>
          <w:color w:val="000000" w:themeColor="text1"/>
          <w:lang w:val="es-ES"/>
        </w:rPr>
      </w:pPr>
    </w:p>
    <w:p w:rsidR="00FF42B8" w:rsidRPr="007D3F03" w:rsidRDefault="00FF42B8" w:rsidP="00367507">
      <w:pPr>
        <w:pStyle w:val="Ttulo2"/>
        <w:tabs>
          <w:tab w:val="left" w:pos="0"/>
        </w:tabs>
        <w:spacing w:before="0" w:line="360" w:lineRule="auto"/>
        <w:rPr>
          <w:rFonts w:ascii="Palatino Linotype" w:hAnsi="Palatino Linotype"/>
          <w:b/>
          <w:color w:val="auto"/>
          <w:sz w:val="24"/>
          <w:szCs w:val="24"/>
        </w:rPr>
      </w:pPr>
      <w:r w:rsidRPr="007D3F03">
        <w:rPr>
          <w:rFonts w:ascii="Palatino Linotype" w:hAnsi="Palatino Linotype"/>
          <w:b/>
          <w:color w:val="auto"/>
          <w:sz w:val="24"/>
          <w:szCs w:val="24"/>
        </w:rPr>
        <w:lastRenderedPageBreak/>
        <w:t>TERCERO</w:t>
      </w:r>
      <w:r w:rsidR="00367507" w:rsidRPr="007D3F03">
        <w:rPr>
          <w:rFonts w:ascii="Palatino Linotype" w:hAnsi="Palatino Linotype"/>
          <w:b/>
          <w:color w:val="auto"/>
          <w:sz w:val="24"/>
          <w:szCs w:val="24"/>
        </w:rPr>
        <w:t xml:space="preserve">. </w:t>
      </w:r>
      <w:r w:rsidRPr="007D3F03">
        <w:rPr>
          <w:rFonts w:ascii="Palatino Linotype" w:hAnsi="Palatino Linotype"/>
          <w:b/>
          <w:color w:val="auto"/>
          <w:sz w:val="24"/>
          <w:szCs w:val="24"/>
        </w:rPr>
        <w:t xml:space="preserve">De las causales de sobreseimiento </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31" w:name="_Toc529263621"/>
      <w:bookmarkStart w:id="32" w:name="_Toc530650937"/>
      <w:bookmarkStart w:id="33" w:name="_Toc535334654"/>
      <w:bookmarkStart w:id="34" w:name="_Toc2248735"/>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rPr>
        <w:t xml:space="preserve">El recurso de revisión </w:t>
      </w:r>
      <w:r w:rsidRPr="007D3F03">
        <w:rPr>
          <w:rFonts w:ascii="Palatino Linotype" w:hAnsi="Palatino Linotype" w:cs="Arial"/>
        </w:rPr>
        <w:t xml:space="preserve">tiene como finalidad reparar cualquier posible afectación al derecho de acceso a la información pública en términos del Título Octavo de la Ley de </w:t>
      </w:r>
      <w:r w:rsidRPr="007D3F03">
        <w:rPr>
          <w:rFonts w:ascii="Palatino Linotype" w:eastAsia="Calibri" w:hAnsi="Palatino Linotype" w:cs="Arial"/>
        </w:rPr>
        <w:t>Transparencia, Acceso a la Información Pública del Estado de México y Municipios</w:t>
      </w:r>
      <w:r w:rsidRPr="007D3F03">
        <w:rPr>
          <w:rFonts w:ascii="Palatino Linotype" w:hAnsi="Palatino Linotype" w:cs="Arial"/>
        </w:rPr>
        <w:t xml:space="preserve">, y determinar la confirmación; revocación o modificación; desechamiento o </w:t>
      </w:r>
      <w:r w:rsidRPr="007D3F03">
        <w:rPr>
          <w:rFonts w:ascii="Palatino Linotype" w:hAnsi="Palatino Linotype" w:cs="Arial"/>
          <w:b/>
          <w:u w:val="single"/>
        </w:rPr>
        <w:t>sobreseimiento</w:t>
      </w:r>
      <w:r w:rsidRPr="007D3F03">
        <w:rPr>
          <w:rFonts w:ascii="Palatino Linotype" w:hAnsi="Palatino Linotype" w:cs="Arial"/>
        </w:rPr>
        <w:t xml:space="preserve">; y en su caso ordenar la entrega de la información con respecto a la respuesta emitida por el </w:t>
      </w:r>
      <w:r w:rsidRPr="007D3F03">
        <w:rPr>
          <w:rFonts w:ascii="Palatino Linotype" w:hAnsi="Palatino Linotype" w:cs="Arial"/>
          <w:b/>
        </w:rPr>
        <w:t>SUJETO</w:t>
      </w:r>
      <w:r w:rsidRPr="007D3F03">
        <w:rPr>
          <w:rFonts w:ascii="Palatino Linotype" w:hAnsi="Palatino Linotype" w:cs="Arial"/>
        </w:rPr>
        <w:t xml:space="preserve"> </w:t>
      </w:r>
      <w:r w:rsidRPr="007D3F03">
        <w:rPr>
          <w:rFonts w:ascii="Palatino Linotype" w:hAnsi="Palatino Linotype" w:cs="Arial"/>
          <w:b/>
        </w:rPr>
        <w:t>OBLIGADO</w:t>
      </w:r>
      <w:r w:rsidRPr="007D3F03">
        <w:rPr>
          <w:rFonts w:ascii="Palatino Linotype" w:hAnsi="Palatino Linotype" w:cs="Arial"/>
        </w:rPr>
        <w:t>.</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rPr>
        <w:t xml:space="preserve">De </w:t>
      </w:r>
      <w:r w:rsidRPr="007D3F03">
        <w:rPr>
          <w:rFonts w:ascii="Palatino Linotype" w:eastAsia="Calibri" w:hAnsi="Palatino Linotype" w:cs="Times New Roman"/>
          <w:lang w:val="es-MX"/>
        </w:rPr>
        <w:t>acuerdo al precepto legal contenido</w:t>
      </w:r>
      <w:r w:rsidRPr="007D3F03">
        <w:rPr>
          <w:rFonts w:ascii="Palatino Linotype" w:eastAsia="Calibri" w:hAnsi="Palatino Linotype" w:cs="Times New Roman"/>
        </w:rPr>
        <w:t xml:space="preserve"> en la fracción III del artículo 192 de la </w:t>
      </w:r>
      <w:r w:rsidRPr="007D3F03">
        <w:rPr>
          <w:rFonts w:ascii="Palatino Linotype" w:eastAsia="Calibri" w:hAnsi="Palatino Linotype" w:cs="Times New Roman"/>
          <w:b/>
        </w:rPr>
        <w:t>Ley de Transparencia y Acceso a la Información Pública del Estado de México y Municipios</w:t>
      </w:r>
      <w:r w:rsidRPr="007D3F03">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FF42B8" w:rsidRPr="007D3F03" w:rsidRDefault="00FF42B8" w:rsidP="00FF42B8">
      <w:pPr>
        <w:pStyle w:val="Prrafodelista"/>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Para </w:t>
      </w:r>
      <w:r w:rsidRPr="007D3F03">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7D3F03">
        <w:rPr>
          <w:rFonts w:ascii="Palatino Linotype" w:eastAsia="Calibri" w:hAnsi="Palatino Linotype" w:cs="Times New Roman"/>
          <w:b/>
        </w:rPr>
        <w:t>SUJETO OBLIGADO</w:t>
      </w:r>
      <w:r w:rsidRPr="007D3F03">
        <w:rPr>
          <w:rFonts w:ascii="Palatino Linotype" w:eastAsia="Calibri" w:hAnsi="Palatino Linotype" w:cs="Times New Roman"/>
        </w:rPr>
        <w:t>:</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numPr>
          <w:ilvl w:val="0"/>
          <w:numId w:val="2"/>
        </w:numPr>
        <w:spacing w:line="360" w:lineRule="auto"/>
        <w:ind w:left="567" w:right="616" w:firstLine="0"/>
        <w:contextualSpacing/>
        <w:jc w:val="both"/>
        <w:rPr>
          <w:rFonts w:ascii="Palatino Linotype" w:hAnsi="Palatino Linotype" w:cs="Arial"/>
        </w:rPr>
      </w:pPr>
      <w:r w:rsidRPr="007D3F03">
        <w:rPr>
          <w:rFonts w:ascii="Palatino Linotype" w:hAnsi="Palatino Linotype" w:cs="Arial"/>
          <w:b/>
        </w:rPr>
        <w:t>Modifique el acto impugnado:</w:t>
      </w:r>
      <w:r w:rsidRPr="007D3F03">
        <w:rPr>
          <w:rFonts w:ascii="Palatino Linotype" w:hAnsi="Palatino Linotype" w:cs="Arial"/>
        </w:rPr>
        <w:t xml:space="preserve"> Se actualiza cuando el </w:t>
      </w:r>
      <w:r w:rsidRPr="007D3F03">
        <w:rPr>
          <w:rFonts w:ascii="Palatino Linotype" w:hAnsi="Palatino Linotype" w:cs="Arial"/>
          <w:b/>
        </w:rPr>
        <w:t>SUJETO OBLIGADO</w:t>
      </w:r>
      <w:r w:rsidRPr="007D3F0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FF42B8" w:rsidRPr="007D3F03" w:rsidRDefault="00FF42B8" w:rsidP="00FF42B8">
      <w:pPr>
        <w:spacing w:line="360" w:lineRule="auto"/>
        <w:ind w:left="567" w:right="616"/>
        <w:contextualSpacing/>
        <w:jc w:val="both"/>
        <w:rPr>
          <w:rFonts w:ascii="Palatino Linotype" w:hAnsi="Palatino Linotype" w:cs="Arial"/>
        </w:rPr>
      </w:pPr>
    </w:p>
    <w:p w:rsidR="00FF42B8" w:rsidRPr="007D3F03" w:rsidRDefault="00FF42B8" w:rsidP="00FF42B8">
      <w:pPr>
        <w:numPr>
          <w:ilvl w:val="0"/>
          <w:numId w:val="2"/>
        </w:numPr>
        <w:spacing w:line="360" w:lineRule="auto"/>
        <w:ind w:left="567" w:right="616" w:firstLine="0"/>
        <w:contextualSpacing/>
        <w:jc w:val="both"/>
        <w:rPr>
          <w:rFonts w:ascii="Palatino Linotype" w:hAnsi="Palatino Linotype" w:cs="Arial"/>
        </w:rPr>
      </w:pPr>
      <w:r w:rsidRPr="007D3F03">
        <w:rPr>
          <w:rFonts w:ascii="Palatino Linotype" w:hAnsi="Palatino Linotype" w:cs="Arial"/>
          <w:b/>
        </w:rPr>
        <w:t>Revoque el acto impugnado:</w:t>
      </w:r>
      <w:r w:rsidRPr="007D3F03">
        <w:rPr>
          <w:rFonts w:ascii="Palatino Linotype" w:hAnsi="Palatino Linotype" w:cs="Arial"/>
        </w:rPr>
        <w:t xml:space="preserve"> En este supuesto, el </w:t>
      </w:r>
      <w:r w:rsidRPr="007D3F03">
        <w:rPr>
          <w:rFonts w:ascii="Palatino Linotype" w:hAnsi="Palatino Linotype" w:cs="Arial"/>
          <w:b/>
        </w:rPr>
        <w:t>SUJETO OBLIGADO</w:t>
      </w:r>
      <w:r w:rsidRPr="007D3F03">
        <w:rPr>
          <w:rFonts w:ascii="Palatino Linotype" w:hAnsi="Palatino Linotype" w:cs="Arial"/>
        </w:rPr>
        <w:t xml:space="preserve"> deja sin efectos la primera respuesta y en su lugar emite otra que satisfaga lo solicitado por el Particular en un primer momento.</w:t>
      </w:r>
    </w:p>
    <w:p w:rsidR="00FF42B8" w:rsidRPr="007D3F03" w:rsidRDefault="00FF42B8" w:rsidP="00FF42B8">
      <w:pPr>
        <w:spacing w:line="360" w:lineRule="auto"/>
        <w:ind w:right="616"/>
        <w:contextualSpacing/>
        <w:jc w:val="both"/>
        <w:rPr>
          <w:rFonts w:ascii="Palatino Linotype" w:hAnsi="Palatino Linotype" w:cs="Arial"/>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Las </w:t>
      </w:r>
      <w:r w:rsidRPr="007D3F03">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7D3F03">
        <w:rPr>
          <w:rFonts w:ascii="Palatino Linotype" w:eastAsia="Calibri" w:hAnsi="Palatino Linotype" w:cs="Arial"/>
          <w:color w:val="000000" w:themeColor="text1"/>
          <w:lang w:val="es-ES"/>
        </w:rPr>
        <w:t xml:space="preserve">En el presente caso, </w:t>
      </w:r>
      <w:r w:rsidRPr="007D3F03">
        <w:rPr>
          <w:rFonts w:ascii="Palatino Linotype" w:eastAsia="Times New Roman" w:hAnsi="Palatino Linotype" w:cs="Arial"/>
          <w:color w:val="000000"/>
          <w:lang w:val="es-ES"/>
        </w:rPr>
        <w:t xml:space="preserve">el Recurrente solicitó </w:t>
      </w:r>
      <w:r w:rsidR="00367507" w:rsidRPr="007D3F03">
        <w:rPr>
          <w:rFonts w:ascii="Palatino Linotype" w:eastAsia="Times New Roman" w:hAnsi="Palatino Linotype" w:cs="Arial"/>
          <w:color w:val="000000"/>
          <w:lang w:val="es-ES"/>
        </w:rPr>
        <w:t xml:space="preserve">el monto mensual de enero  a noviembre de dos mil veintidós por concepto del cobro de derecho de piso a los comerciantes de tianguis y mercados sobre ruedas que se instalan dentro del territorio del municipio. </w:t>
      </w:r>
    </w:p>
    <w:p w:rsidR="00FF42B8" w:rsidRPr="007D3F03" w:rsidRDefault="00FF42B8" w:rsidP="00FF42B8">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7D3F03">
        <w:rPr>
          <w:rFonts w:ascii="Palatino Linotype" w:eastAsia="Times New Roman" w:hAnsi="Palatino Linotype" w:cs="Arial"/>
          <w:color w:val="000000"/>
          <w:lang w:val="es-ES"/>
        </w:rPr>
        <w:t xml:space="preserve">Sin embargo, el </w:t>
      </w:r>
      <w:r w:rsidRPr="007D3F03">
        <w:rPr>
          <w:rFonts w:ascii="Palatino Linotype" w:hAnsi="Palatino Linotype"/>
          <w:b/>
          <w:color w:val="000000"/>
        </w:rPr>
        <w:t xml:space="preserve">SUJETO OBLIGADO </w:t>
      </w:r>
      <w:r w:rsidRPr="007D3F03">
        <w:rPr>
          <w:rFonts w:ascii="Palatino Linotype" w:hAnsi="Palatino Linotype"/>
          <w:bCs/>
          <w:color w:val="000000"/>
        </w:rPr>
        <w:t>fue omiso en dar respuesta a las solicitudes de información según consta en el SAIMEX; razón por la cual,</w:t>
      </w:r>
      <w:r w:rsidRPr="007D3F03">
        <w:rPr>
          <w:rFonts w:ascii="Palatino Linotype" w:hAnsi="Palatino Linotype"/>
          <w:bCs/>
        </w:rPr>
        <w:t xml:space="preserve"> el Particular interpuso los recursos de revisión.</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Posteriormente, el </w:t>
      </w:r>
      <w:r w:rsidRPr="007D3F03">
        <w:rPr>
          <w:rFonts w:ascii="Palatino Linotype" w:eastAsia="Calibri" w:hAnsi="Palatino Linotype" w:cs="Arial"/>
          <w:b/>
          <w:bCs/>
          <w:color w:val="000000" w:themeColor="text1"/>
          <w:lang w:val="es-ES"/>
        </w:rPr>
        <w:t>SUJETO OBLIGADO</w:t>
      </w:r>
      <w:r w:rsidRPr="007D3F03">
        <w:rPr>
          <w:rFonts w:ascii="Palatino Linotype" w:eastAsia="Calibri" w:hAnsi="Palatino Linotype" w:cs="Arial"/>
          <w:color w:val="000000" w:themeColor="text1"/>
          <w:lang w:val="es-ES"/>
        </w:rPr>
        <w:t xml:space="preserve"> rindió el informe justificado correspondiente, </w:t>
      </w:r>
      <w:r w:rsidR="00B83E0A" w:rsidRPr="007D3F03">
        <w:rPr>
          <w:rFonts w:ascii="Palatino Linotype" w:eastAsia="Calibri" w:hAnsi="Palatino Linotype" w:cs="Arial"/>
          <w:color w:val="000000" w:themeColor="text1"/>
          <w:lang w:val="es-ES"/>
        </w:rPr>
        <w:t>a través del oficio</w:t>
      </w:r>
      <w:r w:rsidR="00B83E0A" w:rsidRPr="007D3F03">
        <w:rPr>
          <w:rFonts w:ascii="Palatino Linotype" w:hAnsi="Palatino Linotype"/>
        </w:rPr>
        <w:t xml:space="preserve"> IXT/SDR/0225/2022 de fecha siete de diciembre </w:t>
      </w:r>
      <w:r w:rsidR="00B83E0A" w:rsidRPr="007D3F03">
        <w:rPr>
          <w:rFonts w:ascii="Palatino Linotype" w:hAnsi="Palatino Linotype"/>
        </w:rPr>
        <w:lastRenderedPageBreak/>
        <w:t>de dos mil veintidós, suscrito por el Subdirector de Recaudación del Municipio de Ixtapaluca, mediante el cual manifestó:</w:t>
      </w:r>
    </w:p>
    <w:p w:rsidR="00B83E0A" w:rsidRPr="007D3F03" w:rsidRDefault="00B83E0A" w:rsidP="00B83E0A">
      <w:pPr>
        <w:pStyle w:val="Prrafodelista"/>
        <w:tabs>
          <w:tab w:val="left" w:pos="426"/>
          <w:tab w:val="left" w:pos="567"/>
        </w:tabs>
        <w:spacing w:line="360" w:lineRule="auto"/>
        <w:ind w:left="0"/>
        <w:jc w:val="both"/>
        <w:rPr>
          <w:rFonts w:ascii="Palatino Linotype" w:hAnsi="Palatino Linotype"/>
        </w:rPr>
      </w:pPr>
    </w:p>
    <w:p w:rsidR="00B83E0A" w:rsidRPr="007D3F03" w:rsidRDefault="00B83E0A" w:rsidP="00B83E0A">
      <w:pPr>
        <w:pStyle w:val="Prrafodelista"/>
        <w:tabs>
          <w:tab w:val="left" w:pos="426"/>
          <w:tab w:val="left" w:pos="567"/>
        </w:tabs>
        <w:spacing w:line="360" w:lineRule="auto"/>
        <w:ind w:left="0"/>
        <w:jc w:val="center"/>
        <w:rPr>
          <w:rStyle w:val="Hipervnculo"/>
          <w:rFonts w:ascii="Palatino Linotype" w:eastAsia="Calibri" w:hAnsi="Palatino Linotype" w:cs="Arial"/>
          <w:color w:val="000000" w:themeColor="text1"/>
          <w:u w:val="none"/>
          <w:lang w:val="es-ES"/>
        </w:rPr>
      </w:pPr>
      <w:r w:rsidRPr="007D3F03">
        <w:rPr>
          <w:noProof/>
          <w:lang w:val="es-MX" w:eastAsia="es-MX"/>
        </w:rPr>
        <w:drawing>
          <wp:inline distT="0" distB="0" distL="0" distR="0" wp14:anchorId="57EF13E4" wp14:editId="0370203B">
            <wp:extent cx="4503521" cy="594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824" t="14869" r="35815" b="16245"/>
                    <a:stretch/>
                  </pic:blipFill>
                  <pic:spPr bwMode="auto">
                    <a:xfrm>
                      <a:off x="0" y="0"/>
                      <a:ext cx="4512436" cy="5955366"/>
                    </a:xfrm>
                    <a:prstGeom prst="rect">
                      <a:avLst/>
                    </a:prstGeom>
                    <a:ln>
                      <a:noFill/>
                    </a:ln>
                    <a:extLst>
                      <a:ext uri="{53640926-AAD7-44D8-BBD7-CCE9431645EC}">
                        <a14:shadowObscured xmlns:a14="http://schemas.microsoft.com/office/drawing/2010/main"/>
                      </a:ext>
                    </a:extLst>
                  </pic:spPr>
                </pic:pic>
              </a:graphicData>
            </a:graphic>
          </wp:inline>
        </w:drawing>
      </w:r>
    </w:p>
    <w:p w:rsidR="00B83E0A" w:rsidRPr="007D3F03" w:rsidRDefault="00B83E0A" w:rsidP="00B83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3B0D2B" w:rsidRPr="007D3F03" w:rsidRDefault="00B83E0A"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lastRenderedPageBreak/>
        <w:t xml:space="preserve">En ese sentido, </w:t>
      </w:r>
      <w:r w:rsidR="007E5132" w:rsidRPr="007D3F03">
        <w:rPr>
          <w:rFonts w:ascii="Palatino Linotype" w:eastAsia="Calibri" w:hAnsi="Palatino Linotype" w:cs="Arial"/>
          <w:color w:val="000000" w:themeColor="text1"/>
          <w:lang w:val="es-ES"/>
        </w:rPr>
        <w:t>es necesario traer a contexto el artículo 18 y</w:t>
      </w:r>
      <w:r w:rsidR="003B0D2B" w:rsidRPr="007D3F03">
        <w:rPr>
          <w:rFonts w:ascii="Palatino Linotype" w:eastAsia="Calibri" w:hAnsi="Palatino Linotype" w:cs="Arial"/>
          <w:color w:val="000000" w:themeColor="text1"/>
          <w:lang w:val="es-ES"/>
        </w:rPr>
        <w:t xml:space="preserve"> 21 del Reglamento de la Dirección de Administración y Finanzas de Ixtapaluca, </w:t>
      </w:r>
      <w:r w:rsidR="007E5132" w:rsidRPr="007D3F03">
        <w:rPr>
          <w:rFonts w:ascii="Palatino Linotype" w:eastAsia="Calibri" w:hAnsi="Palatino Linotype" w:cs="Arial"/>
          <w:color w:val="000000" w:themeColor="text1"/>
          <w:lang w:val="es-ES"/>
        </w:rPr>
        <w:t>y el artículo 28, fracciones I, II y XIV del Reglamento Orgánico de la Administración Pública Municipal de Ixtapaluca que establecen</w:t>
      </w:r>
      <w:r w:rsidR="00BD600E" w:rsidRPr="007D3F03">
        <w:rPr>
          <w:rFonts w:ascii="Palatino Linotype" w:eastAsia="Calibri" w:hAnsi="Palatino Linotype" w:cs="Arial"/>
          <w:color w:val="000000" w:themeColor="text1"/>
          <w:lang w:val="es-ES"/>
        </w:rPr>
        <w:t>:</w:t>
      </w:r>
    </w:p>
    <w:p w:rsidR="00BD600E" w:rsidRPr="007D3F03" w:rsidRDefault="00BD600E" w:rsidP="00BD600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7E5132" w:rsidRPr="007D3F03" w:rsidRDefault="00BD600E" w:rsidP="00BD600E">
      <w:pPr>
        <w:pStyle w:val="Prrafodelista"/>
        <w:tabs>
          <w:tab w:val="left" w:pos="426"/>
          <w:tab w:val="left" w:pos="567"/>
        </w:tabs>
        <w:spacing w:line="360" w:lineRule="auto"/>
        <w:ind w:left="851" w:right="565"/>
        <w:jc w:val="center"/>
        <w:rPr>
          <w:rFonts w:ascii="Palatino Linotype" w:hAnsi="Palatino Linotype"/>
          <w:i/>
          <w:lang w:val="es-MX"/>
        </w:rPr>
      </w:pPr>
      <w:r w:rsidRPr="007D3F03">
        <w:rPr>
          <w:rFonts w:ascii="Palatino Linotype" w:hAnsi="Palatino Linotype"/>
          <w:i/>
        </w:rPr>
        <w:t>“</w:t>
      </w:r>
      <w:r w:rsidR="007E5132" w:rsidRPr="007D3F03">
        <w:rPr>
          <w:rFonts w:ascii="Palatino Linotype" w:hAnsi="Palatino Linotype"/>
          <w:b/>
          <w:i/>
          <w:lang w:val="es-MX"/>
        </w:rPr>
        <w:t>TITULO TERCERO DE LA SUBDIRECCION DE RECAUDACION CAPÍTULO PRIMERO DE LA COMPETENCIA DEL SUBDIRECTOR</w:t>
      </w:r>
    </w:p>
    <w:p w:rsidR="007E5132" w:rsidRPr="007D3F03" w:rsidRDefault="007E5132" w:rsidP="00BD600E">
      <w:pPr>
        <w:pStyle w:val="Prrafodelista"/>
        <w:tabs>
          <w:tab w:val="left" w:pos="426"/>
          <w:tab w:val="left" w:pos="567"/>
        </w:tabs>
        <w:spacing w:line="360" w:lineRule="auto"/>
        <w:ind w:left="851" w:right="565"/>
        <w:jc w:val="center"/>
        <w:rPr>
          <w:rFonts w:ascii="Palatino Linotype" w:hAnsi="Palatino Linotype"/>
          <w:i/>
          <w:lang w:val="es-MX"/>
        </w:rPr>
      </w:pPr>
    </w:p>
    <w:p w:rsidR="007E5132" w:rsidRPr="007D3F03" w:rsidRDefault="007E5132" w:rsidP="00BD600E">
      <w:pPr>
        <w:pStyle w:val="Prrafodelista"/>
        <w:tabs>
          <w:tab w:val="left" w:pos="426"/>
          <w:tab w:val="left" w:pos="567"/>
        </w:tabs>
        <w:spacing w:line="360" w:lineRule="auto"/>
        <w:ind w:left="851" w:right="565"/>
        <w:jc w:val="center"/>
        <w:rPr>
          <w:rFonts w:ascii="Palatino Linotype" w:hAnsi="Palatino Linotype"/>
          <w:i/>
          <w:lang w:val="es-MX"/>
        </w:rPr>
      </w:pPr>
      <w:r w:rsidRPr="007D3F03">
        <w:rPr>
          <w:rFonts w:ascii="Palatino Linotype" w:hAnsi="Palatino Linotype"/>
          <w:i/>
          <w:lang w:val="es-MX"/>
        </w:rPr>
        <w:t xml:space="preserve"> Artículo 18.- La Subdirección es la dependencia encargada de hacer cumplir los lineamientos planteados en los artículos 28, Párrafo I, II y XIV del Reglamento Orgánico de la Administración Pública Municipal de Ixtapaluca.</w:t>
      </w:r>
    </w:p>
    <w:p w:rsidR="007E5132" w:rsidRPr="007D3F03" w:rsidRDefault="007E5132" w:rsidP="00BD600E">
      <w:pPr>
        <w:pStyle w:val="Prrafodelista"/>
        <w:tabs>
          <w:tab w:val="left" w:pos="426"/>
          <w:tab w:val="left" w:pos="567"/>
        </w:tabs>
        <w:spacing w:line="360" w:lineRule="auto"/>
        <w:ind w:left="851" w:right="565"/>
        <w:jc w:val="center"/>
        <w:rPr>
          <w:rFonts w:ascii="Palatino Linotype" w:hAnsi="Palatino Linotype"/>
          <w:i/>
        </w:rPr>
      </w:pPr>
    </w:p>
    <w:p w:rsidR="00BD600E" w:rsidRPr="007D3F03" w:rsidRDefault="00BD600E" w:rsidP="00BD600E">
      <w:pPr>
        <w:pStyle w:val="Prrafodelista"/>
        <w:tabs>
          <w:tab w:val="left" w:pos="426"/>
          <w:tab w:val="left" w:pos="567"/>
        </w:tabs>
        <w:spacing w:line="360" w:lineRule="auto"/>
        <w:ind w:left="851" w:right="565"/>
        <w:jc w:val="center"/>
        <w:rPr>
          <w:rFonts w:ascii="Palatino Linotype" w:hAnsi="Palatino Linotype"/>
          <w:b/>
          <w:i/>
        </w:rPr>
      </w:pPr>
      <w:r w:rsidRPr="007D3F03">
        <w:rPr>
          <w:rFonts w:ascii="Palatino Linotype" w:hAnsi="Palatino Linotype"/>
          <w:b/>
          <w:i/>
        </w:rPr>
        <w:t>CAPÍTULO TERCERO</w:t>
      </w:r>
    </w:p>
    <w:p w:rsidR="00BD600E" w:rsidRPr="007D3F03" w:rsidRDefault="00BD600E" w:rsidP="00BD600E">
      <w:pPr>
        <w:pStyle w:val="Prrafodelista"/>
        <w:tabs>
          <w:tab w:val="left" w:pos="426"/>
          <w:tab w:val="left" w:pos="567"/>
        </w:tabs>
        <w:spacing w:line="360" w:lineRule="auto"/>
        <w:ind w:left="851" w:right="565"/>
        <w:jc w:val="center"/>
        <w:rPr>
          <w:rFonts w:ascii="Palatino Linotype" w:hAnsi="Palatino Linotype"/>
          <w:b/>
          <w:i/>
        </w:rPr>
      </w:pPr>
      <w:r w:rsidRPr="007D3F03">
        <w:rPr>
          <w:rFonts w:ascii="Palatino Linotype" w:hAnsi="Palatino Linotype"/>
          <w:b/>
          <w:i/>
        </w:rPr>
        <w:t>DE LA SUBDIRECCIÓN DE RECAUDACIÓN</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b/>
          <w:i/>
        </w:rPr>
        <w:t>Artículo 21.-</w:t>
      </w:r>
      <w:r w:rsidRPr="007D3F03">
        <w:rPr>
          <w:rFonts w:ascii="Palatino Linotype" w:hAnsi="Palatino Linotype"/>
          <w:i/>
        </w:rPr>
        <w:t xml:space="preserve"> Son atribuciones del Subdirector o Subdirectora: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I. Planear, dirigir, coordinar, controlar y evaluar, las funciones encomendadas a la unidad administrativa a su cargo, supervisando que las mismas se desarrollen con apego al marco normativo vigentes.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II. Elaborar y proponer a su superior jerárquico: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a. Los proyectos de programas anuales de actividades y de presupuesto que les correspondan.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lastRenderedPageBreak/>
        <w:t xml:space="preserve">b. Las modificaciones jurídicas y administrativas, que tiendan a mejorar el desempeño de la unidad administrativa a su cargo.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III. Observar el buen estado de la oficina central y oficinas auxiliares de recaudación, atendiendo las necesidades del servicio y personal, con el fin de mejorar la calidad de atención a la ciudadanía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IV. Verificar el manejo de las formas valoradas y valorables, utilizadas en el procedimiento de recaudación;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V. Validar que los trámites que se realizan en las unidades administrativas bajo su responsabilidad se apeguen estrictamente a la legalidad;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VI. Supervisar las actividades de los Coordinadores, así como del personal;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VII. Inspeccionar los sistemas y procedimientos de recaudación;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VIII. Controlar los ingresos municipales;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IX. Dar seguimiento a las solicitudes de información a las diferentes dependencias involucradas con la recaudación, además de controlar la entrega de la misma a las diversas áreas del Ayuntamiento, así como dependencias externas;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X. Dar seguimiento a las actividades solicitadas por el Director de Administración y Finanzas. </w:t>
      </w:r>
    </w:p>
    <w:p w:rsidR="00BD600E" w:rsidRPr="007D3F03" w:rsidRDefault="00BD600E" w:rsidP="00BD600E">
      <w:pPr>
        <w:pStyle w:val="Prrafodelista"/>
        <w:tabs>
          <w:tab w:val="left" w:pos="426"/>
          <w:tab w:val="left" w:pos="567"/>
        </w:tabs>
        <w:spacing w:line="360" w:lineRule="auto"/>
        <w:ind w:left="851" w:right="565"/>
        <w:jc w:val="both"/>
        <w:rPr>
          <w:rFonts w:ascii="Palatino Linotype" w:hAnsi="Palatino Linotype"/>
          <w:i/>
        </w:rPr>
      </w:pPr>
      <w:r w:rsidRPr="007D3F03">
        <w:rPr>
          <w:rFonts w:ascii="Palatino Linotype" w:hAnsi="Palatino Linotype"/>
          <w:i/>
        </w:rPr>
        <w:t xml:space="preserve">XI. Las demás que le confieran otros ordenamientos legales y las que le instruya el Director o Directora de Administración y Finanzas.” </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rPr>
      </w:pPr>
    </w:p>
    <w:p w:rsidR="007E5132" w:rsidRPr="007D3F03" w:rsidRDefault="007E5132" w:rsidP="007E5132">
      <w:pPr>
        <w:pStyle w:val="Prrafodelista"/>
        <w:tabs>
          <w:tab w:val="left" w:pos="426"/>
          <w:tab w:val="left" w:pos="567"/>
        </w:tabs>
        <w:spacing w:line="360" w:lineRule="auto"/>
        <w:ind w:left="851" w:right="565"/>
        <w:jc w:val="center"/>
        <w:rPr>
          <w:rFonts w:ascii="Palatino Linotype" w:hAnsi="Palatino Linotype"/>
          <w:i/>
          <w:lang w:val="es-MX"/>
        </w:rPr>
      </w:pPr>
      <w:r w:rsidRPr="007D3F03">
        <w:rPr>
          <w:rFonts w:ascii="Palatino Linotype" w:hAnsi="Palatino Linotype"/>
          <w:i/>
          <w:lang w:val="es-MX"/>
        </w:rPr>
        <w:t>“SECCIÓN CUARTA</w:t>
      </w:r>
    </w:p>
    <w:p w:rsidR="007E5132" w:rsidRPr="007D3F03" w:rsidRDefault="007E5132" w:rsidP="007E5132">
      <w:pPr>
        <w:pStyle w:val="Prrafodelista"/>
        <w:tabs>
          <w:tab w:val="left" w:pos="426"/>
          <w:tab w:val="left" w:pos="567"/>
        </w:tabs>
        <w:spacing w:line="360" w:lineRule="auto"/>
        <w:ind w:left="851" w:right="565"/>
        <w:jc w:val="center"/>
        <w:rPr>
          <w:rFonts w:ascii="Palatino Linotype" w:hAnsi="Palatino Linotype"/>
          <w:i/>
          <w:lang w:val="es-MX"/>
        </w:rPr>
      </w:pPr>
      <w:r w:rsidRPr="007D3F03">
        <w:rPr>
          <w:rFonts w:ascii="Palatino Linotype" w:hAnsi="Palatino Linotype"/>
          <w:i/>
          <w:lang w:val="es-MX"/>
        </w:rPr>
        <w:t>DE LA DIRECCIÓN DE ADMINISTRACIÓN Y FINANZAS</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b/>
          <w:i/>
          <w:lang w:val="es-MX"/>
        </w:rPr>
        <w:lastRenderedPageBreak/>
        <w:t>Artículo 28.</w:t>
      </w:r>
      <w:r w:rsidRPr="007D3F03">
        <w:rPr>
          <w:rFonts w:ascii="Palatino Linotype" w:hAnsi="Palatino Linotype"/>
          <w:i/>
          <w:lang w:val="es-MX"/>
        </w:rPr>
        <w:t xml:space="preserve"> La o el titular de la Dirección de Administración y Finanzas tendrá las siguientes atribuciones: </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i/>
          <w:lang w:val="es-MX"/>
        </w:rPr>
        <w:t xml:space="preserve">I. Coordinar la orientación técnica a los contribuyentes en el cumplimiento de sus obligaciones fiscales, el calendario de aplicación de las disposiciones tributarias y los procedimientos para su debida observancia; </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i/>
          <w:lang w:val="es-MX"/>
        </w:rPr>
        <w:t>II. Proporcionar la asesoría en materia de interpretación y aplicación de las leyes tributarias que le sea solicitada por el Ayuntamiento, la administración pública municipal y las o los contribuyentes;</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i/>
          <w:lang w:val="es-MX"/>
        </w:rPr>
        <w:t>…</w:t>
      </w:r>
    </w:p>
    <w:p w:rsidR="007E5132" w:rsidRPr="007D3F03" w:rsidRDefault="007E5132" w:rsidP="00BD600E">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i/>
          <w:lang w:val="es-MX"/>
        </w:rPr>
        <w:t>XIV. Vigilar que se recauden los ingresos por los distintos conceptos impositivos que señala el Presupuesto y la Ley de Ingresos para el ejercicio fiscal del año en curso;</w:t>
      </w:r>
    </w:p>
    <w:p w:rsidR="00B83E0A" w:rsidRPr="007D3F03" w:rsidRDefault="007E5132" w:rsidP="007E5132">
      <w:pPr>
        <w:pStyle w:val="Prrafodelista"/>
        <w:tabs>
          <w:tab w:val="left" w:pos="426"/>
          <w:tab w:val="left" w:pos="567"/>
        </w:tabs>
        <w:spacing w:line="360" w:lineRule="auto"/>
        <w:ind w:left="851" w:right="565"/>
        <w:jc w:val="both"/>
        <w:rPr>
          <w:rFonts w:ascii="Palatino Linotype" w:hAnsi="Palatino Linotype"/>
          <w:i/>
          <w:lang w:val="es-MX"/>
        </w:rPr>
      </w:pPr>
      <w:r w:rsidRPr="007D3F03">
        <w:rPr>
          <w:rFonts w:ascii="Palatino Linotype" w:hAnsi="Palatino Linotype"/>
          <w:i/>
          <w:lang w:val="es-MX"/>
        </w:rPr>
        <w:t>…”</w:t>
      </w:r>
    </w:p>
    <w:p w:rsidR="007E5132" w:rsidRPr="007D3F03" w:rsidRDefault="007E5132" w:rsidP="007E5132">
      <w:pPr>
        <w:tabs>
          <w:tab w:val="left" w:pos="426"/>
          <w:tab w:val="left" w:pos="567"/>
        </w:tabs>
        <w:spacing w:line="360" w:lineRule="auto"/>
        <w:ind w:right="565"/>
        <w:jc w:val="both"/>
        <w:rPr>
          <w:rFonts w:ascii="Palatino Linotype" w:eastAsiaTheme="minorEastAsia" w:hAnsi="Palatino Linotype"/>
          <w:i/>
        </w:rPr>
      </w:pPr>
    </w:p>
    <w:p w:rsidR="00B83E0A" w:rsidRPr="007D3F03" w:rsidRDefault="007E5132" w:rsidP="007E513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Como se advierte de los preceptos legales señalados, la respuesta fue emitida por el servidor público habilitado que de acuerdo a sus atribuciones genera, posee y administra la información solicitada. </w:t>
      </w:r>
    </w:p>
    <w:p w:rsidR="007E5132" w:rsidRPr="007D3F03" w:rsidRDefault="007E5132" w:rsidP="007E513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En </w:t>
      </w:r>
      <w:r w:rsidRPr="007D3F03">
        <w:rPr>
          <w:rFonts w:ascii="Palatino Linotype" w:eastAsia="MS Mincho" w:hAnsi="Palatino Linotype"/>
        </w:rPr>
        <w:t xml:space="preserve">tal contexto, este Órgano Garante advierte que la falta de respuesta por parte del </w:t>
      </w:r>
      <w:r w:rsidRPr="007D3F03">
        <w:rPr>
          <w:rFonts w:ascii="Palatino Linotype" w:eastAsia="MS Mincho" w:hAnsi="Palatino Linotype"/>
          <w:b/>
        </w:rPr>
        <w:t xml:space="preserve">SUJETO OBLIGADO </w:t>
      </w:r>
      <w:r w:rsidRPr="007D3F03">
        <w:rPr>
          <w:rFonts w:ascii="Palatino Linotype" w:eastAsia="MS Mincho" w:hAnsi="Palatino Linotype"/>
        </w:rPr>
        <w:t>trajo como consecuencia que se configurara el concepto jurídico de “negativa ficta”, misma que quedó insubsistente al emitir la información solicitada a través de un acto jurídico posterior como lo es el informe justificado.</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lastRenderedPageBreak/>
        <w:t xml:space="preserve">En este sentido, </w:t>
      </w:r>
      <w:r w:rsidRPr="007D3F03">
        <w:rPr>
          <w:rFonts w:ascii="Palatino Linotype" w:hAnsi="Palatino Linotype" w:cs="Arial"/>
          <w:bCs/>
          <w:szCs w:val="22"/>
        </w:rPr>
        <w:t xml:space="preserve">es dable sostener que, al haber existido un pronunciamiento por parte del </w:t>
      </w:r>
      <w:r w:rsidRPr="007D3F03">
        <w:rPr>
          <w:rFonts w:ascii="Palatino Linotype" w:hAnsi="Palatino Linotype" w:cs="Arial"/>
          <w:b/>
          <w:bCs/>
          <w:szCs w:val="22"/>
        </w:rPr>
        <w:t>SUJETO OBLIGADO</w:t>
      </w:r>
      <w:r w:rsidRPr="007D3F03">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Sirve </w:t>
      </w:r>
      <w:r w:rsidRPr="007D3F03">
        <w:rPr>
          <w:rFonts w:ascii="Palatino Linotype" w:hAnsi="Palatino Linotype" w:cs="Arial"/>
          <w:bCs/>
          <w:szCs w:val="22"/>
          <w:lang w:val="es-ES"/>
        </w:rPr>
        <w:t xml:space="preserve">de apoyo a lo anterior, </w:t>
      </w:r>
      <w:r w:rsidRPr="007D3F03">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tabs>
          <w:tab w:val="left" w:pos="709"/>
        </w:tabs>
        <w:spacing w:line="360" w:lineRule="auto"/>
        <w:ind w:left="567" w:right="565"/>
        <w:jc w:val="both"/>
        <w:rPr>
          <w:rFonts w:ascii="Palatino Linotype" w:hAnsi="Palatino Linotype" w:cs="Arial"/>
          <w:b/>
          <w:bCs/>
          <w:i/>
          <w:sz w:val="22"/>
          <w:szCs w:val="22"/>
        </w:rPr>
      </w:pPr>
      <w:r w:rsidRPr="007D3F03">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7D3F03">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D3F03">
        <w:rPr>
          <w:rFonts w:ascii="Palatino Linotype" w:hAnsi="Palatino Linotype" w:cs="Arial"/>
          <w:b/>
          <w:bCs/>
          <w:i/>
          <w:sz w:val="22"/>
          <w:szCs w:val="22"/>
        </w:rPr>
        <w:t>”</w:t>
      </w:r>
    </w:p>
    <w:p w:rsidR="00FF42B8" w:rsidRPr="007D3F03" w:rsidRDefault="00FF42B8" w:rsidP="00FF42B8">
      <w:pPr>
        <w:tabs>
          <w:tab w:val="left" w:pos="709"/>
        </w:tabs>
        <w:ind w:right="565"/>
        <w:jc w:val="both"/>
        <w:rPr>
          <w:rFonts w:ascii="Palatino Linotype" w:hAnsi="Palatino Linotype" w:cs="Arial"/>
          <w:b/>
          <w:bCs/>
          <w:i/>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lastRenderedPageBreak/>
        <w:t xml:space="preserve">Así, </w:t>
      </w:r>
      <w:r w:rsidRPr="007D3F03">
        <w:rPr>
          <w:rFonts w:ascii="Palatino Linotype" w:eastAsia="Calibri" w:hAnsi="Palatino Linotype" w:cs="Times New Roman"/>
        </w:rPr>
        <w:t xml:space="preserve">este Pleno advierte que el </w:t>
      </w:r>
      <w:r w:rsidRPr="007D3F03">
        <w:rPr>
          <w:rFonts w:ascii="Palatino Linotype" w:eastAsia="Calibri" w:hAnsi="Palatino Linotype" w:cs="Times New Roman"/>
          <w:b/>
        </w:rPr>
        <w:t>SUJETO OBLIGADO</w:t>
      </w:r>
      <w:r w:rsidRPr="007D3F03">
        <w:rPr>
          <w:rFonts w:ascii="Palatino Linotype" w:eastAsia="Calibri" w:hAnsi="Palatino Linotype" w:cs="Times New Roman"/>
        </w:rPr>
        <w:t xml:space="preserve"> </w:t>
      </w:r>
      <w:r w:rsidRPr="007D3F03">
        <w:rPr>
          <w:rFonts w:ascii="Palatino Linotype" w:eastAsia="Calibri" w:hAnsi="Palatino Linotype" w:cs="Times New Roman"/>
          <w:b/>
        </w:rPr>
        <w:t xml:space="preserve">modificó </w:t>
      </w:r>
      <w:r w:rsidRPr="007D3F03">
        <w:rPr>
          <w:rFonts w:ascii="Palatino Linotype" w:eastAsia="Calibri" w:hAnsi="Palatino Linotype" w:cs="Times New Roman"/>
        </w:rPr>
        <w:t>el acto que le dio origen a los recursos de revisión, lo que trae como consecuencia que el mismo quede sin materia, actualizándose de este modo, la hipótesis jurídica contenida en la fracción III del artículo 192 de la Ley de Transparencia Local.</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Ahora bien, </w:t>
      </w:r>
      <w:r w:rsidRPr="007D3F03">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D3F03">
        <w:rPr>
          <w:rFonts w:ascii="Palatino Linotype" w:eastAsia="Calibri" w:hAnsi="Palatino Linotype" w:cs="Times New Roman"/>
          <w:b/>
        </w:rPr>
        <w:t>SUJETOS OBLIGADOS</w:t>
      </w:r>
      <w:r w:rsidRPr="007D3F03">
        <w:rPr>
          <w:rFonts w:ascii="Palatino Linotype" w:eastAsia="Calibri" w:hAnsi="Palatino Linotype" w:cs="Times New Roman"/>
        </w:rPr>
        <w:t xml:space="preserve"> o la negativa de entrega de esta, derivada de la solicitud de información pública.</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De </w:t>
      </w:r>
      <w:r w:rsidRPr="007D3F03">
        <w:rPr>
          <w:rFonts w:ascii="Palatino Linotype" w:eastAsia="Calibri" w:hAnsi="Palatino Linotype" w:cs="Times New Roman"/>
        </w:rPr>
        <w:t xml:space="preserve">este modo, cuando el </w:t>
      </w:r>
      <w:r w:rsidRPr="007D3F03">
        <w:rPr>
          <w:rFonts w:ascii="Palatino Linotype" w:eastAsia="Calibri" w:hAnsi="Palatino Linotype" w:cs="Times New Roman"/>
          <w:b/>
        </w:rPr>
        <w:t xml:space="preserve">SUJETO OBLIGADO, </w:t>
      </w:r>
      <w:r w:rsidRPr="007D3F03">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D3F03">
        <w:rPr>
          <w:rFonts w:ascii="Palatino Linotype" w:eastAsia="Calibri" w:hAnsi="Palatino Linotype" w:cs="Times New Roman"/>
          <w:i/>
        </w:rPr>
        <w:t>litis</w:t>
      </w:r>
      <w:r w:rsidRPr="007D3F03">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Sirve </w:t>
      </w:r>
      <w:r w:rsidRPr="007D3F03">
        <w:rPr>
          <w:rFonts w:ascii="Palatino Linotype" w:eastAsia="Calibri" w:hAnsi="Palatino Linotype" w:cs="Times New Roman"/>
        </w:rPr>
        <w:t>de sustento a lo anterior la siguiente jurisprudencia por contradicción, cuyo rubro, texto y datos de identificación son los siguientes:</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7D3F03">
        <w:rPr>
          <w:rFonts w:ascii="Palatino Linotype" w:eastAsia="Calibri" w:hAnsi="Palatino Linotype" w:cs="Times New Roman"/>
          <w:b/>
          <w:i/>
          <w:sz w:val="22"/>
        </w:rPr>
        <w:t xml:space="preserve">CESACIÓN DE EFECTOS DEL ACTO RECLAMADO POR VIOLACIÓN AL ARTÍCULO 8o. DE LA CONSTITUCIÓN POLÍTICA DE LOS ESTADOS </w:t>
      </w:r>
      <w:r w:rsidRPr="007D3F03">
        <w:rPr>
          <w:rFonts w:ascii="Palatino Linotype" w:eastAsia="Calibri" w:hAnsi="Palatino Linotype" w:cs="Times New Roman"/>
          <w:b/>
          <w:i/>
          <w:sz w:val="22"/>
        </w:rPr>
        <w:lastRenderedPageBreak/>
        <w:t>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D3F03">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La </w:t>
      </w:r>
      <w:r w:rsidRPr="007D3F03">
        <w:rPr>
          <w:rFonts w:ascii="Palatino Linotype" w:eastAsia="Calibri" w:hAnsi="Palatino Linotype" w:cs="Times New Roman"/>
        </w:rPr>
        <w:t xml:space="preserve">anterior jurisprudencia resulta aplicable al presente asunto, en dos aspectos: </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Times New Roman"/>
        </w:rPr>
      </w:pPr>
    </w:p>
    <w:p w:rsidR="00FF42B8" w:rsidRPr="007D3F03" w:rsidRDefault="00FF42B8" w:rsidP="00FF42B8">
      <w:pPr>
        <w:numPr>
          <w:ilvl w:val="0"/>
          <w:numId w:val="3"/>
        </w:numPr>
        <w:spacing w:line="360" w:lineRule="auto"/>
        <w:ind w:left="567" w:right="616" w:firstLine="0"/>
        <w:contextualSpacing/>
        <w:jc w:val="both"/>
        <w:rPr>
          <w:rFonts w:ascii="Palatino Linotype" w:eastAsia="Calibri" w:hAnsi="Palatino Linotype"/>
        </w:rPr>
      </w:pPr>
      <w:r w:rsidRPr="007D3F03">
        <w:rPr>
          <w:rFonts w:ascii="Palatino Linotype" w:eastAsia="Calibri" w:hAnsi="Palatino Linotype"/>
          <w:b/>
        </w:rPr>
        <w:t>La cesación de los efectos perniciosos del acto de autoridad:</w:t>
      </w:r>
      <w:r w:rsidRPr="007D3F03">
        <w:rPr>
          <w:rFonts w:ascii="Palatino Linotype" w:eastAsia="Calibri" w:hAnsi="Palatino Linotype"/>
        </w:rPr>
        <w:t xml:space="preserve"> Al respecto, la Ley de Transparencia contempla la figura jurídica del sobreseimiento cuando el </w:t>
      </w:r>
      <w:r w:rsidRPr="007D3F03">
        <w:rPr>
          <w:rFonts w:ascii="Palatino Linotype" w:eastAsia="Calibri" w:hAnsi="Palatino Linotype"/>
          <w:b/>
        </w:rPr>
        <w:t>SUJETO OBLIGADO</w:t>
      </w:r>
      <w:r w:rsidRPr="007D3F03">
        <w:rPr>
          <w:rFonts w:ascii="Palatino Linotype" w:eastAsia="Calibri" w:hAnsi="Palatino Linotype"/>
        </w:rPr>
        <w:t xml:space="preserve"> de </w:t>
      </w:r>
      <w:r w:rsidRPr="007D3F03">
        <w:rPr>
          <w:rFonts w:ascii="Palatino Linotype" w:eastAsia="Calibri" w:hAnsi="Palatino Linotype"/>
          <w:i/>
        </w:rPr>
        <w:t>motu proprio</w:t>
      </w:r>
      <w:r w:rsidRPr="007D3F03">
        <w:rPr>
          <w:rFonts w:ascii="Palatino Linotype" w:eastAsia="Calibri" w:hAnsi="Palatino Linotype"/>
        </w:rPr>
        <w:t xml:space="preserve"> modifica o revoca de tal manera el acto motivo de la impugnación que </w:t>
      </w:r>
      <w:r w:rsidRPr="007D3F03">
        <w:rPr>
          <w:rFonts w:ascii="Palatino Linotype" w:eastAsia="Calibri" w:hAnsi="Palatino Linotype"/>
        </w:rPr>
        <w:lastRenderedPageBreak/>
        <w:t>lo deja sin materia; es decir, cesan los efectos de éste y el derecho de acceso a la información pública se encuentra satisfecho.</w:t>
      </w:r>
    </w:p>
    <w:p w:rsidR="00FF42B8" w:rsidRPr="007D3F03" w:rsidRDefault="00FF42B8" w:rsidP="00FF42B8">
      <w:pPr>
        <w:spacing w:line="360" w:lineRule="auto"/>
        <w:ind w:left="567" w:right="616"/>
        <w:contextualSpacing/>
        <w:rPr>
          <w:rFonts w:ascii="Palatino Linotype" w:eastAsia="Calibri" w:hAnsi="Palatino Linotype"/>
        </w:rPr>
      </w:pPr>
    </w:p>
    <w:p w:rsidR="00FF42B8" w:rsidRPr="007D3F03" w:rsidRDefault="00FF42B8" w:rsidP="00FF42B8">
      <w:pPr>
        <w:numPr>
          <w:ilvl w:val="0"/>
          <w:numId w:val="3"/>
        </w:numPr>
        <w:spacing w:line="360" w:lineRule="auto"/>
        <w:ind w:left="567" w:right="616" w:firstLine="0"/>
        <w:contextualSpacing/>
        <w:jc w:val="both"/>
        <w:rPr>
          <w:rFonts w:ascii="Palatino Linotype" w:eastAsia="Calibri" w:hAnsi="Palatino Linotype"/>
        </w:rPr>
      </w:pPr>
      <w:r w:rsidRPr="007D3F03">
        <w:rPr>
          <w:rFonts w:ascii="Palatino Linotype" w:eastAsia="Calibri" w:hAnsi="Palatino Linotype"/>
          <w:b/>
        </w:rPr>
        <w:t>El momento procesal para modificar el acto impugnado:</w:t>
      </w:r>
      <w:r w:rsidRPr="007D3F03">
        <w:rPr>
          <w:rFonts w:ascii="Palatino Linotype" w:eastAsia="Calibri" w:hAnsi="Palatino Linotype"/>
        </w:rPr>
        <w:t xml:space="preserve"> Para que se actualice el sobreseimiento de un recurso de revisión, el </w:t>
      </w:r>
      <w:r w:rsidRPr="007D3F03">
        <w:rPr>
          <w:rFonts w:ascii="Palatino Linotype" w:eastAsia="Calibri" w:hAnsi="Palatino Linotype"/>
          <w:b/>
        </w:rPr>
        <w:t>SUJETO OBLIGADO</w:t>
      </w:r>
      <w:r w:rsidRPr="007D3F03">
        <w:rPr>
          <w:rFonts w:ascii="Palatino Linotype" w:eastAsia="Calibri" w:hAnsi="Palatino Linotype"/>
        </w:rPr>
        <w:t xml:space="preserve"> puede entregar o completar la información al momento de rendir su informe de justificación o </w:t>
      </w:r>
      <w:r w:rsidRPr="007D3F03">
        <w:rPr>
          <w:rFonts w:ascii="Palatino Linotype" w:eastAsia="Calibri" w:hAnsi="Palatino Linotype"/>
          <w:b/>
          <w:u w:val="single"/>
        </w:rPr>
        <w:t>posteriormente</w:t>
      </w:r>
      <w:r w:rsidRPr="007D3F03">
        <w:rPr>
          <w:rFonts w:ascii="Palatino Linotype" w:eastAsia="Calibri" w:hAnsi="Palatino Linotype"/>
        </w:rPr>
        <w:t xml:space="preserve"> a éste, siempre y cuando el Pleno del Instituto no haya dictado resolución definitiva.</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Eduardo Pallares, </w:t>
      </w:r>
      <w:r w:rsidRPr="007D3F03">
        <w:rPr>
          <w:rFonts w:ascii="Palatino Linotype" w:eastAsia="Calibri" w:hAnsi="Palatino Linotype" w:cs="Times New Roman"/>
        </w:rPr>
        <w:t xml:space="preserve">en su artículo </w:t>
      </w:r>
      <w:r w:rsidRPr="007D3F03">
        <w:rPr>
          <w:rFonts w:ascii="Palatino Linotype" w:eastAsia="Calibri" w:hAnsi="Palatino Linotype" w:cs="Times New Roman"/>
          <w:i/>
        </w:rPr>
        <w:t>“La caducidad y el sobreseimiento en el amparo”</w:t>
      </w:r>
      <w:r w:rsidRPr="007D3F03">
        <w:rPr>
          <w:rFonts w:ascii="Palatino Linotype" w:eastAsia="Calibri" w:hAnsi="Palatino Linotype" w:cs="Times New Roman"/>
        </w:rPr>
        <w:t xml:space="preserve">, cita la definición de Aguilera Paz, aduciendo que se </w:t>
      </w:r>
      <w:r w:rsidRPr="007D3F03">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7D3F03">
        <w:rPr>
          <w:rFonts w:ascii="Palatino Linotype" w:eastAsia="Calibri" w:hAnsi="Palatino Linotype" w:cs="Times New Roman"/>
        </w:rPr>
        <w:t>. Asimismo, señala que existe el sobreseimiento provisional y el definitivo</w:t>
      </w:r>
      <w:r w:rsidRPr="007D3F03">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Así, </w:t>
      </w:r>
      <w:r w:rsidRPr="007D3F03">
        <w:rPr>
          <w:rFonts w:ascii="Palatino Linotype" w:eastAsia="Calibri" w:hAnsi="Palatino Linotype" w:cs="Times New Roman"/>
        </w:rPr>
        <w:t xml:space="preserve">para la doctrina el sobreseimiento provoca que un procedimiento se suspenda o se resuelva en definitiva </w:t>
      </w:r>
      <w:r w:rsidRPr="007D3F03">
        <w:rPr>
          <w:rFonts w:ascii="Palatino Linotype" w:eastAsia="Calibri" w:hAnsi="Palatino Linotype" w:cs="Times New Roman"/>
          <w:b/>
          <w:u w:val="single"/>
        </w:rPr>
        <w:t xml:space="preserve">sin que se entre al estudio de los agravios o motivos de inconformidad. </w:t>
      </w:r>
      <w:r w:rsidRPr="007D3F03">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rsidR="00FF42B8" w:rsidRPr="007D3F03" w:rsidRDefault="00FF42B8" w:rsidP="00FF42B8">
      <w:pPr>
        <w:rPr>
          <w:rFonts w:ascii="Palatino Linotype" w:eastAsia="Calibri" w:hAnsi="Palatino Linotype" w:cs="Arial"/>
          <w:color w:val="000000" w:themeColor="text1"/>
          <w:lang w:val="es-ES"/>
        </w:rPr>
      </w:pPr>
    </w:p>
    <w:p w:rsidR="00FF42B8" w:rsidRPr="007D3F03" w:rsidRDefault="00FF42B8" w:rsidP="00FF42B8">
      <w:pPr>
        <w:spacing w:line="360" w:lineRule="auto"/>
        <w:ind w:left="567" w:right="565"/>
        <w:contextualSpacing/>
        <w:jc w:val="both"/>
        <w:rPr>
          <w:rFonts w:ascii="Palatino Linotype" w:eastAsia="Calibri" w:hAnsi="Palatino Linotype"/>
          <w:i/>
          <w:sz w:val="22"/>
          <w:lang w:val="es-AR"/>
        </w:rPr>
      </w:pPr>
      <w:r w:rsidRPr="007D3F03">
        <w:rPr>
          <w:rFonts w:ascii="Palatino Linotype" w:eastAsia="Calibri" w:hAnsi="Palatino Linotype"/>
          <w:b/>
          <w:i/>
          <w:sz w:val="22"/>
          <w:lang w:val="es-AR"/>
        </w:rPr>
        <w:lastRenderedPageBreak/>
        <w:t>SOBRESEIMIENTO EN EL JUICIO DE AMPARO DIRECTO. IMPIDE EL ESTUDIO DE LAS VIOLACIONES PROCESALES PLANTEADAS EN LOS CONCEPTOS DE VIOLACIÓN. El sobreseimiento</w:t>
      </w:r>
      <w:r w:rsidRPr="007D3F03">
        <w:rPr>
          <w:rFonts w:ascii="Palatino Linotype" w:eastAsia="Calibri" w:hAnsi="Palatino Linotype"/>
          <w:i/>
          <w:sz w:val="22"/>
          <w:lang w:val="es-AR"/>
        </w:rPr>
        <w:t xml:space="preserve"> en el juicio de amparo directo </w:t>
      </w:r>
      <w:r w:rsidRPr="007D3F03">
        <w:rPr>
          <w:rFonts w:ascii="Palatino Linotype" w:eastAsia="Calibri" w:hAnsi="Palatino Linotype"/>
          <w:b/>
          <w:i/>
          <w:sz w:val="22"/>
          <w:lang w:val="es-AR"/>
        </w:rPr>
        <w:t>provoca la terminación de la controversia planteada</w:t>
      </w:r>
      <w:r w:rsidRPr="007D3F03">
        <w:rPr>
          <w:rFonts w:ascii="Palatino Linotype" w:eastAsia="Calibri" w:hAnsi="Palatino Linotype"/>
          <w:i/>
          <w:sz w:val="22"/>
          <w:lang w:val="es-AR"/>
        </w:rPr>
        <w:t xml:space="preserve"> por el quejoso en la demanda de amparo</w:t>
      </w:r>
      <w:r w:rsidRPr="007D3F03">
        <w:rPr>
          <w:rFonts w:ascii="Palatino Linotype" w:eastAsia="Calibri" w:hAnsi="Palatino Linotype"/>
          <w:b/>
          <w:i/>
          <w:sz w:val="22"/>
          <w:lang w:val="es-AR"/>
        </w:rPr>
        <w:t>, sin hacer un pronunciamiento de fondo sobre la legalidad o ilegalidad de la sentencia reclamada</w:t>
      </w:r>
      <w:r w:rsidRPr="007D3F03">
        <w:rPr>
          <w:rFonts w:ascii="Palatino Linotype" w:eastAsia="Calibri" w:hAnsi="Palatino Linotype"/>
          <w:i/>
          <w:sz w:val="22"/>
          <w:lang w:val="es-AR"/>
        </w:rPr>
        <w:t xml:space="preserve">. </w:t>
      </w:r>
      <w:r w:rsidRPr="007D3F03">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D3F03">
        <w:rPr>
          <w:rFonts w:ascii="Palatino Linotype" w:eastAsia="Calibri" w:hAnsi="Palatino Linotype"/>
          <w:i/>
          <w:sz w:val="22"/>
          <w:lang w:val="es-AR"/>
        </w:rPr>
        <w:t>.</w:t>
      </w:r>
    </w:p>
    <w:p w:rsidR="00FF42B8" w:rsidRPr="007D3F03" w:rsidRDefault="00FF42B8" w:rsidP="00FF42B8">
      <w:pPr>
        <w:spacing w:line="360" w:lineRule="auto"/>
        <w:ind w:left="567" w:right="565"/>
        <w:contextualSpacing/>
        <w:jc w:val="both"/>
        <w:rPr>
          <w:rFonts w:ascii="Palatino Linotype" w:eastAsia="Calibri" w:hAnsi="Palatino Linotype"/>
          <w:i/>
          <w:sz w:val="22"/>
          <w:lang w:val="es-AR"/>
        </w:rPr>
      </w:pPr>
      <w:r w:rsidRPr="007D3F03">
        <w:rPr>
          <w:rFonts w:ascii="Palatino Linotype" w:eastAsia="Calibri" w:hAnsi="Palatino Linotype"/>
          <w:i/>
          <w:sz w:val="22"/>
          <w:lang w:val="es-AR"/>
        </w:rPr>
        <w:t>SÉPTIMO TRIBUNAL COLEGIADO EN MATERIA CIVIL DEL PRIMER CIRCUITO.</w:t>
      </w:r>
    </w:p>
    <w:p w:rsidR="00FF42B8" w:rsidRPr="007D3F03" w:rsidRDefault="00FF42B8" w:rsidP="00FF42B8">
      <w:pPr>
        <w:spacing w:line="360" w:lineRule="auto"/>
        <w:ind w:left="567" w:right="565"/>
        <w:contextualSpacing/>
        <w:jc w:val="both"/>
        <w:rPr>
          <w:rFonts w:ascii="Palatino Linotype" w:eastAsia="Calibri" w:hAnsi="Palatino Linotype"/>
          <w:b/>
          <w:i/>
          <w:sz w:val="22"/>
          <w:lang w:val="es-AR"/>
        </w:rPr>
      </w:pPr>
      <w:r w:rsidRPr="007D3F03">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FF42B8" w:rsidRPr="007D3F03" w:rsidRDefault="00FF42B8" w:rsidP="00FF42B8">
      <w:pPr>
        <w:spacing w:line="360" w:lineRule="auto"/>
        <w:ind w:right="565"/>
        <w:contextualSpacing/>
        <w:jc w:val="both"/>
        <w:rPr>
          <w:rFonts w:ascii="Palatino Linotype" w:eastAsia="Calibri" w:hAnsi="Palatino Linotype"/>
          <w:b/>
          <w:i/>
          <w:sz w:val="22"/>
          <w:lang w:val="es-AR"/>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Arial"/>
          <w:color w:val="000000" w:themeColor="text1"/>
          <w:lang w:val="es-ES"/>
        </w:rPr>
        <w:t xml:space="preserve">Consecuentemente, </w:t>
      </w:r>
      <w:r w:rsidRPr="007D3F03">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3F03">
        <w:rPr>
          <w:rFonts w:ascii="Palatino Linotype" w:eastAsia="Calibri" w:hAnsi="Palatino Linotype" w:cs="Times New Roman"/>
        </w:rPr>
        <w:t xml:space="preserve">Bajo </w:t>
      </w:r>
      <w:r w:rsidRPr="007D3F03">
        <w:rPr>
          <w:rFonts w:ascii="Palatino Linotype" w:eastAsia="Calibri" w:hAnsi="Palatino Linotype" w:cs="Times New Roman"/>
          <w:lang w:val="es-CO"/>
        </w:rPr>
        <w:t xml:space="preserve">ese tenor y en términos del artículo 186 fracción I este Pleno determina el </w:t>
      </w:r>
      <w:r w:rsidRPr="007D3F03">
        <w:rPr>
          <w:rFonts w:ascii="Palatino Linotype" w:eastAsia="Calibri" w:hAnsi="Palatino Linotype" w:cs="Times New Roman"/>
          <w:b/>
          <w:lang w:val="es-CO"/>
        </w:rPr>
        <w:t xml:space="preserve">SOBRESEIMIENTO </w:t>
      </w:r>
      <w:r w:rsidRPr="007D3F03">
        <w:rPr>
          <w:rFonts w:ascii="Palatino Linotype" w:eastAsia="Calibri" w:hAnsi="Palatino Linotype" w:cs="Times New Roman"/>
          <w:lang w:val="es-CO"/>
        </w:rPr>
        <w:t>de</w:t>
      </w:r>
      <w:r w:rsidR="00C372B3" w:rsidRPr="007D3F03">
        <w:rPr>
          <w:rFonts w:ascii="Palatino Linotype" w:eastAsia="Calibri" w:hAnsi="Palatino Linotype" w:cs="Times New Roman"/>
          <w:lang w:val="es-CO"/>
        </w:rPr>
        <w:t>l</w:t>
      </w:r>
      <w:r w:rsidRPr="007D3F03">
        <w:rPr>
          <w:rFonts w:ascii="Palatino Linotype" w:eastAsia="Calibri" w:hAnsi="Palatino Linotype" w:cs="Times New Roman"/>
          <w:lang w:val="es-CO"/>
        </w:rPr>
        <w:t xml:space="preserve"> recursos de revisión </w:t>
      </w:r>
      <w:r w:rsidR="00C372B3" w:rsidRPr="007D3F03">
        <w:rPr>
          <w:rFonts w:ascii="Palatino Linotype" w:hAnsi="Palatino Linotype" w:cs="Arial"/>
          <w:b/>
          <w:bCs/>
          <w:szCs w:val="20"/>
          <w:lang w:eastAsia="es-MX"/>
        </w:rPr>
        <w:t>00053/INFOEM/IP/RR/2023</w:t>
      </w:r>
      <w:r w:rsidRPr="007D3F03">
        <w:rPr>
          <w:rFonts w:ascii="Palatino Linotype" w:eastAsia="Calibri" w:hAnsi="Palatino Linotype" w:cs="Times New Roman"/>
          <w:lang w:val="es-CO"/>
        </w:rPr>
        <w:t xml:space="preserve">, toda vez </w:t>
      </w:r>
      <w:r w:rsidRPr="007D3F03">
        <w:rPr>
          <w:rFonts w:ascii="Palatino Linotype" w:eastAsia="Calibri" w:hAnsi="Palatino Linotype" w:cs="Times New Roman"/>
          <w:lang w:val="es-CO"/>
        </w:rPr>
        <w:lastRenderedPageBreak/>
        <w:t>que la afectación al derecho de acceso a la información pública establecido constitucionalmente a favor del Particular ha sido resarcida.</w:t>
      </w:r>
    </w:p>
    <w:p w:rsidR="00FF42B8" w:rsidRPr="007D3F03" w:rsidRDefault="00FF42B8" w:rsidP="00FF42B8">
      <w:pPr>
        <w:pStyle w:val="Prrafodelista"/>
        <w:shd w:val="clear" w:color="auto" w:fill="FFFFFF"/>
        <w:spacing w:line="360" w:lineRule="auto"/>
        <w:ind w:left="0"/>
        <w:jc w:val="both"/>
        <w:rPr>
          <w:rFonts w:ascii="Palatino Linotype" w:hAnsi="Palatino Linotype" w:cs="Arial"/>
        </w:rPr>
      </w:pPr>
    </w:p>
    <w:p w:rsidR="00FF42B8" w:rsidRPr="007D3F03" w:rsidRDefault="00FF42B8" w:rsidP="00FF42B8">
      <w:pPr>
        <w:pStyle w:val="Sinespaciado"/>
        <w:numPr>
          <w:ilvl w:val="0"/>
          <w:numId w:val="1"/>
        </w:numPr>
        <w:spacing w:line="360" w:lineRule="auto"/>
        <w:ind w:left="0" w:firstLine="0"/>
        <w:contextualSpacing/>
        <w:jc w:val="both"/>
        <w:rPr>
          <w:rFonts w:ascii="Palatino Linotype" w:eastAsia="Calibri" w:hAnsi="Palatino Linotype"/>
        </w:rPr>
      </w:pPr>
      <w:r w:rsidRPr="007D3F03">
        <w:rPr>
          <w:rFonts w:ascii="Palatino Linotype" w:eastAsia="Calibri" w:hAnsi="Palatino Linotype"/>
        </w:rPr>
        <w:t xml:space="preserve">Por lo anteriormente expuesto y fundado, este </w:t>
      </w:r>
      <w:r w:rsidRPr="007D3F03">
        <w:rPr>
          <w:rFonts w:ascii="Palatino Linotype" w:eastAsia="Calibri" w:hAnsi="Palatino Linotype"/>
          <w:b/>
          <w:bCs/>
        </w:rPr>
        <w:t>ÓRGANO GARANTE</w:t>
      </w:r>
      <w:r w:rsidRPr="007D3F03">
        <w:rPr>
          <w:rFonts w:ascii="Palatino Linotype" w:eastAsia="Calibri" w:hAnsi="Palatino Linotype"/>
        </w:rPr>
        <w:t xml:space="preserve"> emite los siguientes:</w:t>
      </w:r>
    </w:p>
    <w:bookmarkEnd w:id="31"/>
    <w:bookmarkEnd w:id="32"/>
    <w:bookmarkEnd w:id="33"/>
    <w:bookmarkEnd w:id="34"/>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FF42B8" w:rsidRPr="007D3F03" w:rsidRDefault="00FF42B8" w:rsidP="00FF42B8">
      <w:pPr>
        <w:spacing w:line="360" w:lineRule="auto"/>
        <w:jc w:val="center"/>
        <w:rPr>
          <w:rFonts w:ascii="Palatino Linotype" w:hAnsi="Palatino Linotype"/>
          <w:b/>
          <w:lang w:val="es-ES"/>
        </w:rPr>
      </w:pPr>
      <w:r w:rsidRPr="007D3F03">
        <w:rPr>
          <w:rFonts w:ascii="Palatino Linotype" w:hAnsi="Palatino Linotype"/>
          <w:b/>
          <w:lang w:val="es-ES"/>
        </w:rPr>
        <w:t>R E S O L U T I V O S</w:t>
      </w:r>
    </w:p>
    <w:p w:rsidR="00FF42B8" w:rsidRPr="007D3F03" w:rsidRDefault="00FF42B8" w:rsidP="00FF42B8">
      <w:pPr>
        <w:pStyle w:val="Sinespaciado"/>
        <w:spacing w:line="360" w:lineRule="auto"/>
        <w:jc w:val="both"/>
        <w:rPr>
          <w:rFonts w:ascii="Palatino Linotype" w:hAnsi="Palatino Linotype"/>
          <w:szCs w:val="20"/>
        </w:rPr>
      </w:pPr>
    </w:p>
    <w:p w:rsidR="00C372B3" w:rsidRPr="007D3F03" w:rsidRDefault="00C372B3" w:rsidP="00C372B3">
      <w:pPr>
        <w:spacing w:line="360" w:lineRule="auto"/>
        <w:jc w:val="both"/>
        <w:rPr>
          <w:rFonts w:ascii="Palatino Linotype" w:eastAsiaTheme="minorHAnsi" w:hAnsi="Palatino Linotype" w:cstheme="minorBidi"/>
          <w:szCs w:val="20"/>
          <w:lang w:eastAsia="en-US"/>
        </w:rPr>
      </w:pPr>
      <w:r w:rsidRPr="007D3F03">
        <w:rPr>
          <w:rFonts w:ascii="Palatino Linotype" w:eastAsiaTheme="minorHAnsi" w:hAnsi="Palatino Linotype" w:cstheme="minorBidi"/>
          <w:b/>
          <w:szCs w:val="20"/>
          <w:lang w:eastAsia="en-US"/>
        </w:rPr>
        <w:t xml:space="preserve">PRIMERO. </w:t>
      </w:r>
      <w:r w:rsidRPr="007D3F03">
        <w:rPr>
          <w:rFonts w:ascii="Palatino Linotype" w:eastAsiaTheme="minorHAnsi" w:hAnsi="Palatino Linotype" w:cstheme="minorBidi"/>
          <w:szCs w:val="20"/>
          <w:lang w:eastAsia="en-US"/>
        </w:rPr>
        <w:t xml:space="preserve">Se </w:t>
      </w:r>
      <w:r w:rsidRPr="007D3F03">
        <w:rPr>
          <w:rFonts w:ascii="Palatino Linotype" w:eastAsiaTheme="minorHAnsi" w:hAnsi="Palatino Linotype" w:cstheme="minorBidi"/>
          <w:b/>
          <w:szCs w:val="20"/>
          <w:lang w:eastAsia="en-US"/>
        </w:rPr>
        <w:t>SOBRESEE</w:t>
      </w:r>
      <w:r w:rsidRPr="007D3F03">
        <w:rPr>
          <w:rFonts w:ascii="Palatino Linotype" w:eastAsiaTheme="minorHAnsi" w:hAnsi="Palatino Linotype" w:cstheme="minorBidi"/>
          <w:szCs w:val="20"/>
          <w:lang w:eastAsia="en-US"/>
        </w:rPr>
        <w:t xml:space="preserve"> el recurso de revisión número </w:t>
      </w:r>
      <w:r w:rsidRPr="007D3F03">
        <w:rPr>
          <w:rFonts w:ascii="Palatino Linotype" w:eastAsiaTheme="minorHAnsi" w:hAnsi="Palatino Linotype" w:cstheme="minorBidi"/>
          <w:b/>
          <w:szCs w:val="20"/>
          <w:lang w:eastAsia="en-US"/>
        </w:rPr>
        <w:t>00053/INFOEM/IP/RR/2023</w:t>
      </w:r>
      <w:r w:rsidRPr="007D3F03">
        <w:rPr>
          <w:rFonts w:ascii="Palatino Linotype" w:eastAsiaTheme="minorHAnsi" w:hAnsi="Palatino Linotype" w:cstheme="minorBidi"/>
          <w:szCs w:val="20"/>
          <w:lang w:eastAsia="en-US"/>
        </w:rPr>
        <w:t xml:space="preserve">, </w:t>
      </w:r>
      <w:r w:rsidR="006077AD" w:rsidRPr="007D3F03">
        <w:rPr>
          <w:rFonts w:ascii="Palatino Linotype" w:eastAsiaTheme="minorHAnsi" w:hAnsi="Palatino Linotype" w:cstheme="minorBidi"/>
          <w:szCs w:val="20"/>
          <w:lang w:eastAsia="en-US"/>
        </w:rPr>
        <w:t xml:space="preserve">con fundamento en el </w:t>
      </w:r>
      <w:r w:rsidR="006077AD" w:rsidRPr="007D3F03">
        <w:rPr>
          <w:rFonts w:ascii="Palatino Linotype" w:eastAsia="Calibri" w:hAnsi="Palatino Linotype"/>
        </w:rPr>
        <w:t xml:space="preserve">artículo 192 fracción III de la Ley de Transparencia y Acceso a la Información Pública del Estado de México y Municipios, </w:t>
      </w:r>
      <w:r w:rsidRPr="007D3F03">
        <w:rPr>
          <w:rFonts w:ascii="Palatino Linotype" w:eastAsiaTheme="minorHAnsi" w:hAnsi="Palatino Linotype" w:cstheme="minorBidi"/>
          <w:szCs w:val="20"/>
          <w:lang w:eastAsia="en-US"/>
        </w:rPr>
        <w:t xml:space="preserve">porque al </w:t>
      </w:r>
      <w:r w:rsidRPr="007D3F03">
        <w:rPr>
          <w:rFonts w:ascii="Palatino Linotype" w:eastAsiaTheme="minorHAnsi" w:hAnsi="Palatino Linotype" w:cstheme="minorBidi"/>
          <w:b/>
          <w:szCs w:val="20"/>
          <w:lang w:eastAsia="en-US"/>
        </w:rPr>
        <w:t>atender lo solicitado a través del informe justificado, el recurso</w:t>
      </w:r>
      <w:r w:rsidRPr="007D3F03">
        <w:rPr>
          <w:rFonts w:ascii="Palatino Linotype" w:eastAsiaTheme="minorHAnsi" w:hAnsi="Palatino Linotype" w:cstheme="minorBidi"/>
          <w:szCs w:val="20"/>
          <w:lang w:eastAsia="en-US"/>
        </w:rPr>
        <w:t xml:space="preserve"> de revisión quedó sin materia en términos del Considerando </w:t>
      </w:r>
      <w:r w:rsidRPr="007D3F03">
        <w:rPr>
          <w:rFonts w:ascii="Palatino Linotype" w:eastAsiaTheme="minorHAnsi" w:hAnsi="Palatino Linotype" w:cstheme="minorBidi"/>
          <w:b/>
          <w:szCs w:val="20"/>
          <w:lang w:eastAsia="en-US"/>
        </w:rPr>
        <w:t>TERCERO</w:t>
      </w:r>
      <w:r w:rsidRPr="007D3F03">
        <w:rPr>
          <w:rFonts w:ascii="Palatino Linotype" w:eastAsiaTheme="minorHAnsi" w:hAnsi="Palatino Linotype" w:cstheme="minorBidi"/>
          <w:szCs w:val="20"/>
          <w:lang w:eastAsia="en-US"/>
        </w:rPr>
        <w:t xml:space="preserve"> de la presente resolución.</w:t>
      </w:r>
    </w:p>
    <w:p w:rsidR="00C372B3" w:rsidRPr="007D3F03" w:rsidRDefault="00C372B3" w:rsidP="00C372B3">
      <w:pPr>
        <w:spacing w:line="360" w:lineRule="auto"/>
        <w:jc w:val="both"/>
        <w:rPr>
          <w:rFonts w:ascii="Palatino Linotype" w:eastAsiaTheme="minorHAnsi" w:hAnsi="Palatino Linotype" w:cstheme="minorBidi"/>
          <w:sz w:val="22"/>
          <w:szCs w:val="20"/>
          <w:lang w:eastAsia="en-US"/>
        </w:rPr>
      </w:pPr>
    </w:p>
    <w:p w:rsidR="00C372B3" w:rsidRPr="007D3F03" w:rsidRDefault="00C372B3" w:rsidP="00C372B3">
      <w:pPr>
        <w:spacing w:line="360" w:lineRule="auto"/>
        <w:jc w:val="both"/>
        <w:rPr>
          <w:rFonts w:ascii="Palatino Linotype" w:eastAsia="Calibri" w:hAnsi="Palatino Linotype" w:cs="Arial"/>
          <w:b/>
          <w:bCs/>
          <w:lang w:val="es-ES" w:eastAsia="en-US"/>
        </w:rPr>
      </w:pPr>
      <w:r w:rsidRPr="007D3F03">
        <w:rPr>
          <w:rFonts w:ascii="Palatino Linotype" w:eastAsia="Calibri" w:hAnsi="Palatino Linotype" w:cs="Arial"/>
          <w:b/>
          <w:bCs/>
          <w:lang w:val="es-ES" w:eastAsia="en-US"/>
        </w:rPr>
        <w:t xml:space="preserve">SEGUNDO. REMÍTASE </w:t>
      </w:r>
      <w:r w:rsidRPr="007D3F03">
        <w:rPr>
          <w:rFonts w:ascii="Palatino Linotype" w:eastAsia="Calibri" w:hAnsi="Palatino Linotype" w:cs="Arial"/>
          <w:bCs/>
          <w:lang w:val="es-ES" w:eastAsia="en-US"/>
        </w:rPr>
        <w:t xml:space="preserve">a través del Sistema de Acceso a la Información Mexiquense </w:t>
      </w:r>
      <w:r w:rsidRPr="007D3F03">
        <w:rPr>
          <w:rFonts w:ascii="Palatino Linotype" w:eastAsia="Calibri" w:hAnsi="Palatino Linotype" w:cs="Arial"/>
          <w:b/>
          <w:bCs/>
          <w:lang w:val="es-ES" w:eastAsia="en-US"/>
        </w:rPr>
        <w:t xml:space="preserve">(SAIMEX) </w:t>
      </w:r>
      <w:r w:rsidRPr="007D3F03">
        <w:rPr>
          <w:rFonts w:ascii="Palatino Linotype" w:eastAsia="Calibri" w:hAnsi="Palatino Linotype" w:cs="Arial"/>
          <w:bCs/>
          <w:lang w:val="es-ES" w:eastAsia="en-US"/>
        </w:rPr>
        <w:t>la presente resolución al Titular de la Unidad de Transparencia del</w:t>
      </w:r>
      <w:r w:rsidRPr="007D3F03">
        <w:rPr>
          <w:rFonts w:ascii="Palatino Linotype" w:eastAsia="Calibri" w:hAnsi="Palatino Linotype" w:cs="Arial"/>
          <w:b/>
          <w:bCs/>
          <w:lang w:val="es-ES" w:eastAsia="en-US"/>
        </w:rPr>
        <w:t xml:space="preserve"> SUJETO OBLIGADO. </w:t>
      </w:r>
    </w:p>
    <w:p w:rsidR="00C372B3" w:rsidRPr="007D3F03" w:rsidRDefault="00C372B3" w:rsidP="00C372B3">
      <w:pPr>
        <w:tabs>
          <w:tab w:val="left" w:pos="3263"/>
        </w:tabs>
        <w:spacing w:line="360" w:lineRule="auto"/>
        <w:jc w:val="both"/>
        <w:rPr>
          <w:rFonts w:ascii="Palatino Linotype" w:eastAsia="Palatino Linotype" w:hAnsi="Palatino Linotype" w:cs="Palatino Linotype"/>
          <w:b/>
          <w:lang w:eastAsia="en-US"/>
        </w:rPr>
      </w:pPr>
      <w:r w:rsidRPr="007D3F03">
        <w:rPr>
          <w:rFonts w:ascii="Palatino Linotype" w:eastAsia="Palatino Linotype" w:hAnsi="Palatino Linotype" w:cs="Palatino Linotype"/>
          <w:b/>
          <w:lang w:eastAsia="en-US"/>
        </w:rPr>
        <w:tab/>
      </w:r>
    </w:p>
    <w:p w:rsidR="00C372B3" w:rsidRPr="007D3F03" w:rsidRDefault="00C372B3" w:rsidP="00C372B3">
      <w:pPr>
        <w:spacing w:line="360" w:lineRule="auto"/>
        <w:jc w:val="both"/>
        <w:rPr>
          <w:rFonts w:ascii="Palatino Linotype" w:hAnsi="Palatino Linotype"/>
          <w:color w:val="222222"/>
          <w:lang w:val="es-ES"/>
        </w:rPr>
      </w:pPr>
      <w:r w:rsidRPr="007D3F03">
        <w:rPr>
          <w:rFonts w:ascii="Palatino Linotype" w:hAnsi="Palatino Linotype" w:cs="Arial"/>
          <w:b/>
          <w:lang w:eastAsia="en-US"/>
        </w:rPr>
        <w:t xml:space="preserve">TERCERO. </w:t>
      </w:r>
      <w:r w:rsidRPr="007D3F03">
        <w:rPr>
          <w:rFonts w:ascii="Palatino Linotype" w:hAnsi="Palatino Linotype"/>
          <w:b/>
          <w:bCs/>
          <w:lang w:val="es-ES" w:eastAsia="en-US"/>
        </w:rPr>
        <w:t xml:space="preserve">Notifíquese </w:t>
      </w:r>
      <w:r w:rsidRPr="007D3F03">
        <w:rPr>
          <w:rFonts w:ascii="Palatino Linotype" w:hAnsi="Palatino Linotype"/>
          <w:bCs/>
          <w:lang w:val="es-ES" w:eastAsia="en-US"/>
        </w:rPr>
        <w:t xml:space="preserve">al </w:t>
      </w:r>
      <w:r w:rsidRPr="007D3F03">
        <w:rPr>
          <w:rFonts w:ascii="Palatino Linotype" w:hAnsi="Palatino Linotype"/>
          <w:b/>
          <w:bCs/>
          <w:lang w:val="es-ES" w:eastAsia="en-US"/>
        </w:rPr>
        <w:t>RECURRENTE</w:t>
      </w:r>
      <w:r w:rsidRPr="007D3F03">
        <w:rPr>
          <w:rFonts w:ascii="Palatino Linotype" w:eastAsiaTheme="minorHAnsi" w:hAnsi="Palatino Linotype" w:cstheme="minorBidi"/>
          <w:lang w:eastAsia="en-US"/>
        </w:rPr>
        <w:t xml:space="preserve"> </w:t>
      </w:r>
      <w:r w:rsidRPr="007D3F03">
        <w:rPr>
          <w:rFonts w:ascii="Palatino Linotype" w:hAnsi="Palatino Linotype"/>
          <w:lang w:val="es-ES"/>
        </w:rPr>
        <w:t>la presente resolución.</w:t>
      </w:r>
    </w:p>
    <w:p w:rsidR="00C372B3" w:rsidRPr="007D3F03" w:rsidRDefault="00C372B3" w:rsidP="00C372B3">
      <w:pPr>
        <w:spacing w:line="360" w:lineRule="auto"/>
        <w:jc w:val="both"/>
        <w:rPr>
          <w:rFonts w:ascii="Palatino Linotype" w:hAnsi="Palatino Linotype"/>
          <w:color w:val="222222"/>
          <w:lang w:val="es-ES"/>
        </w:rPr>
      </w:pPr>
    </w:p>
    <w:p w:rsidR="00C372B3" w:rsidRPr="007D3F03" w:rsidRDefault="00C372B3" w:rsidP="00C372B3">
      <w:pPr>
        <w:spacing w:line="360" w:lineRule="auto"/>
        <w:jc w:val="both"/>
        <w:rPr>
          <w:rFonts w:ascii="Palatino Linotype" w:eastAsia="MS Mincho" w:hAnsi="Palatino Linotype"/>
          <w:lang w:val="es-ES" w:eastAsia="es-ES"/>
        </w:rPr>
      </w:pPr>
      <w:r w:rsidRPr="007D3F03">
        <w:rPr>
          <w:rFonts w:ascii="Palatino Linotype" w:eastAsia="MS Mincho" w:hAnsi="Palatino Linotype"/>
          <w:b/>
          <w:lang w:eastAsia="es-ES"/>
        </w:rPr>
        <w:lastRenderedPageBreak/>
        <w:t>CUARTO.</w:t>
      </w:r>
      <w:r w:rsidRPr="007D3F03">
        <w:rPr>
          <w:rFonts w:ascii="Palatino Linotype" w:eastAsia="MS Mincho" w:hAnsi="Palatino Linotype"/>
          <w:lang w:eastAsia="es-ES"/>
        </w:rPr>
        <w:t xml:space="preserve"> </w:t>
      </w:r>
      <w:r w:rsidRPr="007D3F03">
        <w:rPr>
          <w:rFonts w:ascii="Palatino Linotype" w:eastAsia="MS Mincho" w:hAnsi="Palatino Linotype"/>
          <w:lang w:val="es-ES" w:eastAsia="es-ES"/>
        </w:rPr>
        <w:t xml:space="preserve">Se hace del conocimiento del </w:t>
      </w:r>
      <w:r w:rsidRPr="007D3F03">
        <w:rPr>
          <w:rFonts w:ascii="Palatino Linotype" w:hAnsi="Palatino Linotype"/>
          <w:b/>
          <w:bCs/>
          <w:lang w:val="es-ES" w:eastAsia="es-ES"/>
        </w:rPr>
        <w:t>RECURRENTE</w:t>
      </w:r>
      <w:r w:rsidRPr="007D3F03">
        <w:rPr>
          <w:rFonts w:ascii="Palatino Linotype" w:eastAsiaTheme="minorEastAsia" w:hAnsi="Palatino Linotype" w:cstheme="minorBidi"/>
          <w:lang w:val="es-ES_tradnl" w:eastAsia="es-ES"/>
        </w:rPr>
        <w:t xml:space="preserve">  </w:t>
      </w:r>
      <w:r w:rsidRPr="007D3F03">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D3F03">
        <w:rPr>
          <w:rFonts w:ascii="Palatino Linotype" w:eastAsia="MS Mincho" w:hAnsi="Palatino Linotype"/>
          <w:bCs/>
          <w:lang w:val="es-ES" w:eastAsia="es-ES"/>
        </w:rPr>
        <w:t>vía juicio de amparo</w:t>
      </w:r>
      <w:r w:rsidRPr="007D3F03">
        <w:rPr>
          <w:rFonts w:ascii="Palatino Linotype" w:eastAsia="MS Mincho" w:hAnsi="Palatino Linotype"/>
          <w:lang w:val="es-ES" w:eastAsia="es-ES"/>
        </w:rPr>
        <w:t> en los términos de las leyes aplicables.</w:t>
      </w:r>
    </w:p>
    <w:p w:rsidR="00FF42B8" w:rsidRPr="007D3F03" w:rsidRDefault="00FF42B8" w:rsidP="00FF42B8">
      <w:pPr>
        <w:spacing w:line="360" w:lineRule="auto"/>
        <w:jc w:val="both"/>
        <w:rPr>
          <w:rFonts w:ascii="Palatino Linotype" w:eastAsia="MS Mincho" w:hAnsi="Palatino Linotype"/>
          <w:lang w:val="es-ES"/>
        </w:rPr>
      </w:pPr>
    </w:p>
    <w:bookmarkEnd w:id="28"/>
    <w:bookmarkEnd w:id="29"/>
    <w:bookmarkEnd w:id="30"/>
    <w:p w:rsidR="007D3F03" w:rsidRDefault="007D3F03" w:rsidP="007D3F03">
      <w:pPr>
        <w:spacing w:before="240" w:after="240" w:line="360" w:lineRule="auto"/>
        <w:jc w:val="both"/>
        <w:rPr>
          <w:rFonts w:ascii="Palatino Linotype" w:hAnsi="Palatino Linotype"/>
        </w:rPr>
      </w:pPr>
      <w:r w:rsidRPr="007D3F0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r w:rsidRPr="00624AAD">
        <w:rPr>
          <w:rFonts w:ascii="Palatino Linotype" w:hAnsi="Palatino Linotype"/>
        </w:rPr>
        <w:t xml:space="preserve"> </w:t>
      </w: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Default="00FF42B8" w:rsidP="00FF42B8">
      <w:pPr>
        <w:spacing w:line="360" w:lineRule="auto"/>
        <w:jc w:val="both"/>
        <w:rPr>
          <w:rFonts w:ascii="Palatino Linotype" w:hAnsi="Palatino Linotype" w:cs="Tahoma"/>
        </w:rPr>
      </w:pPr>
    </w:p>
    <w:p w:rsidR="00FF42B8" w:rsidRPr="00D27D9F" w:rsidRDefault="00FF42B8" w:rsidP="00FF42B8">
      <w:pPr>
        <w:spacing w:line="360" w:lineRule="auto"/>
        <w:jc w:val="both"/>
        <w:rPr>
          <w:rFonts w:ascii="Palatino Linotype" w:hAnsi="Palatino Linotype" w:cs="Tahoma"/>
        </w:rPr>
      </w:pPr>
    </w:p>
    <w:p w:rsidR="004E1710" w:rsidRDefault="001C5710"/>
    <w:sectPr w:rsidR="004E1710" w:rsidSect="00232084">
      <w:headerReference w:type="default" r:id="rId9"/>
      <w:footerReference w:type="default" r:id="rId10"/>
      <w:headerReference w:type="first" r:id="rId11"/>
      <w:footerReference w:type="first" r:id="rId12"/>
      <w:pgSz w:w="12240" w:h="15840"/>
      <w:pgMar w:top="2552" w:right="1752" w:bottom="1560" w:left="1701" w:header="709"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10" w:rsidRDefault="001C5710" w:rsidP="00FF42B8">
      <w:r>
        <w:separator/>
      </w:r>
    </w:p>
  </w:endnote>
  <w:endnote w:type="continuationSeparator" w:id="0">
    <w:p w:rsidR="001C5710" w:rsidRDefault="001C5710" w:rsidP="00FF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rsidR="00AA5C82" w:rsidRPr="00883450" w:rsidRDefault="00055B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D5032">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D5032">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rsidR="00AA5C82" w:rsidRDefault="001C57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82" w:rsidRPr="00883450" w:rsidRDefault="00055B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5032" w:rsidRPr="00DD503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5032" w:rsidRPr="00DD5032">
      <w:rPr>
        <w:rFonts w:ascii="Palatino Linotype" w:hAnsi="Palatino Linotype"/>
        <w:noProof/>
        <w:sz w:val="22"/>
        <w:szCs w:val="22"/>
        <w:lang w:val="es-ES"/>
      </w:rPr>
      <w:t>20</w:t>
    </w:r>
    <w:r w:rsidRPr="00883450">
      <w:rPr>
        <w:rFonts w:ascii="Palatino Linotype" w:hAnsi="Palatino Linotype"/>
        <w:sz w:val="22"/>
        <w:szCs w:val="22"/>
      </w:rPr>
      <w:fldChar w:fldCharType="end"/>
    </w:r>
  </w:p>
  <w:p w:rsidR="00AA5C82" w:rsidRPr="00883450" w:rsidRDefault="001C57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10" w:rsidRDefault="001C5710" w:rsidP="00FF42B8">
      <w:r>
        <w:separator/>
      </w:r>
    </w:p>
  </w:footnote>
  <w:footnote w:type="continuationSeparator" w:id="0">
    <w:p w:rsidR="001C5710" w:rsidRDefault="001C5710" w:rsidP="00FF4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82" w:rsidRDefault="00055BDF"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43D9CE" wp14:editId="3B07B6E3">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rsidR="00AA5C82" w:rsidRDefault="001C571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C82" w:rsidRPr="00674A46" w:rsidTr="00F3586F">
      <w:trPr>
        <w:trHeight w:val="138"/>
      </w:trPr>
      <w:tc>
        <w:tcPr>
          <w:tcW w:w="3544" w:type="dxa"/>
          <w:vAlign w:val="center"/>
        </w:tcPr>
        <w:p w:rsidR="00AA5C82" w:rsidRPr="00F91466" w:rsidRDefault="00055BDF"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rsidR="00AA5C82" w:rsidRPr="00F91466" w:rsidRDefault="00FF42B8" w:rsidP="00FF42B8">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00053/INFOEM/IP/RR/2023</w:t>
          </w:r>
        </w:p>
      </w:tc>
    </w:tr>
    <w:tr w:rsidR="00AA5C82" w:rsidRPr="00674A46" w:rsidTr="00F3586F">
      <w:trPr>
        <w:trHeight w:val="233"/>
      </w:trPr>
      <w:tc>
        <w:tcPr>
          <w:tcW w:w="3544" w:type="dxa"/>
          <w:vAlign w:val="center"/>
        </w:tcPr>
        <w:p w:rsidR="00AA5C82" w:rsidRPr="00F91466" w:rsidRDefault="00055BDF"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rsidR="00AA5C82" w:rsidRPr="00F91466" w:rsidRDefault="00FF42B8"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Ixtapaluca</w:t>
          </w:r>
        </w:p>
      </w:tc>
    </w:tr>
    <w:tr w:rsidR="00AA5C82" w:rsidRPr="00674A46" w:rsidTr="00F3586F">
      <w:trPr>
        <w:trHeight w:val="321"/>
      </w:trPr>
      <w:tc>
        <w:tcPr>
          <w:tcW w:w="3544" w:type="dxa"/>
          <w:vAlign w:val="center"/>
        </w:tcPr>
        <w:p w:rsidR="00AA5C82" w:rsidRPr="00F91466" w:rsidRDefault="00055BDF"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rsidR="00AA5C82" w:rsidRPr="00F91466" w:rsidRDefault="00055BDF"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rsidR="00AA5C82" w:rsidRDefault="00055BD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82" w:rsidRDefault="001C5710" w:rsidP="00472C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55BD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C82" w:rsidRPr="00674A46" w:rsidTr="00F3586F">
      <w:trPr>
        <w:trHeight w:val="138"/>
      </w:trPr>
      <w:tc>
        <w:tcPr>
          <w:tcW w:w="3261" w:type="dxa"/>
          <w:vAlign w:val="center"/>
        </w:tcPr>
        <w:p w:rsidR="00AA5C82" w:rsidRPr="00F91466" w:rsidRDefault="00055BDF"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rsidR="00AA5C82" w:rsidRPr="00F91466" w:rsidRDefault="00FF42B8" w:rsidP="00FF42B8">
          <w:pPr>
            <w:pStyle w:val="Encabezado"/>
            <w:rPr>
              <w:rFonts w:ascii="Palatino Linotype" w:hAnsi="Palatino Linotype"/>
              <w:b/>
              <w:sz w:val="20"/>
              <w:szCs w:val="20"/>
            </w:rPr>
          </w:pPr>
          <w:r>
            <w:rPr>
              <w:rFonts w:ascii="Palatino Linotype" w:hAnsi="Palatino Linotype" w:cs="Arial"/>
              <w:b/>
              <w:bCs/>
              <w:sz w:val="20"/>
              <w:szCs w:val="20"/>
              <w:lang w:eastAsia="es-MX"/>
            </w:rPr>
            <w:t>00053/INFOEM/IP/RR/2023</w:t>
          </w:r>
        </w:p>
      </w:tc>
    </w:tr>
    <w:tr w:rsidR="00AA5C82" w:rsidRPr="00B75F20" w:rsidTr="00F3586F">
      <w:trPr>
        <w:trHeight w:val="233"/>
      </w:trPr>
      <w:tc>
        <w:tcPr>
          <w:tcW w:w="3261" w:type="dxa"/>
          <w:vAlign w:val="center"/>
        </w:tcPr>
        <w:p w:rsidR="00AA5C82" w:rsidRPr="00F91466" w:rsidRDefault="00055BDF"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rsidR="00AA5C82" w:rsidRPr="00F91466" w:rsidRDefault="00DD5032" w:rsidP="00F0190C">
          <w:pPr>
            <w:pStyle w:val="Encabezado"/>
            <w:ind w:right="234"/>
            <w:rPr>
              <w:rFonts w:ascii="Palatino Linotype" w:hAnsi="Palatino Linotype"/>
              <w:b/>
              <w:sz w:val="20"/>
              <w:szCs w:val="20"/>
            </w:rPr>
          </w:pPr>
          <w:r>
            <w:rPr>
              <w:rFonts w:ascii="Palatino Linotype" w:hAnsi="Palatino Linotype"/>
              <w:b/>
              <w:sz w:val="20"/>
              <w:szCs w:val="20"/>
            </w:rPr>
            <w:t>XX XXXX XXXXX</w:t>
          </w:r>
        </w:p>
      </w:tc>
    </w:tr>
    <w:tr w:rsidR="00AA5C82" w:rsidRPr="00674A46" w:rsidTr="00F3586F">
      <w:trPr>
        <w:trHeight w:val="321"/>
      </w:trPr>
      <w:tc>
        <w:tcPr>
          <w:tcW w:w="3261" w:type="dxa"/>
          <w:vAlign w:val="center"/>
        </w:tcPr>
        <w:p w:rsidR="00AA5C82" w:rsidRPr="00F91466" w:rsidRDefault="00055BDF"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rsidR="00AA5C82" w:rsidRPr="00F91466" w:rsidRDefault="00FF42B8"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Ixtapaluca</w:t>
          </w:r>
          <w:r w:rsidR="00055BDF">
            <w:rPr>
              <w:rFonts w:ascii="Palatino Linotype" w:eastAsia="Times New Roman" w:hAnsi="Palatino Linotype"/>
              <w:b/>
              <w:sz w:val="20"/>
              <w:szCs w:val="20"/>
            </w:rPr>
            <w:t xml:space="preserve"> </w:t>
          </w:r>
        </w:p>
      </w:tc>
    </w:tr>
    <w:tr w:rsidR="00AA5C82" w:rsidRPr="00674A46" w:rsidTr="00F3586F">
      <w:trPr>
        <w:trHeight w:val="321"/>
      </w:trPr>
      <w:tc>
        <w:tcPr>
          <w:tcW w:w="3261" w:type="dxa"/>
          <w:vAlign w:val="center"/>
        </w:tcPr>
        <w:p w:rsidR="00AA5C82" w:rsidRPr="00F91466" w:rsidRDefault="00055BDF"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rsidR="00AA5C82" w:rsidRPr="00F91466" w:rsidRDefault="00055BDF"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rsidR="00AA5C82" w:rsidRDefault="001C57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5FCA"/>
    <w:multiLevelType w:val="hybridMultilevel"/>
    <w:tmpl w:val="4BC6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5008D1"/>
    <w:multiLevelType w:val="hybridMultilevel"/>
    <w:tmpl w:val="E26E51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6">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8">
    <w:nsid w:val="7D161537"/>
    <w:multiLevelType w:val="hybridMultilevel"/>
    <w:tmpl w:val="F7A2C8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5"/>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B8"/>
    <w:rsid w:val="00007A3C"/>
    <w:rsid w:val="00030393"/>
    <w:rsid w:val="00055BDF"/>
    <w:rsid w:val="001C5710"/>
    <w:rsid w:val="00214EBE"/>
    <w:rsid w:val="00237128"/>
    <w:rsid w:val="0029561F"/>
    <w:rsid w:val="00367507"/>
    <w:rsid w:val="003869E8"/>
    <w:rsid w:val="003B0D2B"/>
    <w:rsid w:val="005A5B7B"/>
    <w:rsid w:val="006077AD"/>
    <w:rsid w:val="0076643E"/>
    <w:rsid w:val="007D3F03"/>
    <w:rsid w:val="007E5132"/>
    <w:rsid w:val="008664D5"/>
    <w:rsid w:val="009F2754"/>
    <w:rsid w:val="00B83E0A"/>
    <w:rsid w:val="00BD600E"/>
    <w:rsid w:val="00C139EF"/>
    <w:rsid w:val="00C372B3"/>
    <w:rsid w:val="00DD5032"/>
    <w:rsid w:val="00E833D1"/>
    <w:rsid w:val="00FF4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E4703A-5283-4CD1-97BB-ED2142C5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2B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F42B8"/>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FF42B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2B8"/>
    <w:rPr>
      <w:rFonts w:ascii="Palatino Linotype" w:eastAsiaTheme="majorEastAsia" w:hAnsi="Palatino Linotype" w:cstheme="majorBidi"/>
      <w:b/>
      <w:sz w:val="24"/>
      <w:szCs w:val="32"/>
      <w:lang w:val="es-ES_tradnl"/>
    </w:rPr>
  </w:style>
  <w:style w:type="character" w:customStyle="1" w:styleId="Ttulo2Car">
    <w:name w:val="Título 2 Car"/>
    <w:basedOn w:val="Fuentedeprrafopredeter"/>
    <w:link w:val="Ttulo2"/>
    <w:uiPriority w:val="9"/>
    <w:rsid w:val="00FF42B8"/>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FF42B8"/>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FF42B8"/>
    <w:rPr>
      <w:rFonts w:eastAsiaTheme="minorEastAsia"/>
      <w:sz w:val="24"/>
      <w:szCs w:val="24"/>
      <w:lang w:val="es-ES_tradnl" w:eastAsia="es-ES"/>
    </w:rPr>
  </w:style>
  <w:style w:type="paragraph" w:styleId="Piedepgina">
    <w:name w:val="footer"/>
    <w:basedOn w:val="Normal"/>
    <w:link w:val="PiedepginaCar"/>
    <w:uiPriority w:val="99"/>
    <w:unhideWhenUsed/>
    <w:rsid w:val="00FF42B8"/>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FF42B8"/>
    <w:rPr>
      <w:rFonts w:eastAsiaTheme="minorEastAsia"/>
      <w:sz w:val="24"/>
      <w:szCs w:val="24"/>
      <w:lang w:val="es-ES_tradnl" w:eastAsia="es-ES"/>
    </w:rPr>
  </w:style>
  <w:style w:type="table" w:styleId="Tablaconcuadrcula">
    <w:name w:val="Table Grid"/>
    <w:basedOn w:val="Tablanormal"/>
    <w:uiPriority w:val="39"/>
    <w:rsid w:val="00FF42B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F42B8"/>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FF42B8"/>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F42B8"/>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FF42B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F42B8"/>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F42B8"/>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FF42B8"/>
    <w:rPr>
      <w:vertAlign w:val="superscript"/>
    </w:rPr>
  </w:style>
  <w:style w:type="character" w:customStyle="1" w:styleId="SinespaciadoCar">
    <w:name w:val="Sin espaciado Car"/>
    <w:aliases w:val="Francesa Car,INAI Car"/>
    <w:link w:val="Sinespaciado"/>
    <w:uiPriority w:val="1"/>
    <w:locked/>
    <w:rsid w:val="00FF42B8"/>
    <w:rPr>
      <w:rFonts w:eastAsiaTheme="minorEastAsia"/>
      <w:sz w:val="24"/>
      <w:szCs w:val="24"/>
      <w:lang w:val="es-ES_tradnl" w:eastAsia="es-ES"/>
    </w:rPr>
  </w:style>
  <w:style w:type="table" w:styleId="Tablanormal1">
    <w:name w:val="Plain Table 1"/>
    <w:basedOn w:val="Tablanormal"/>
    <w:uiPriority w:val="41"/>
    <w:rsid w:val="00FF42B8"/>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67865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3745</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2023-01-26T00:51:00Z</dcterms:created>
  <dcterms:modified xsi:type="dcterms:W3CDTF">2023-03-01T19:59:00Z</dcterms:modified>
</cp:coreProperties>
</file>