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diez de mayo de dos mil veintitrés. </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b/>
        </w:rPr>
        <w:t>VISTO</w:t>
      </w:r>
      <w:r w:rsidRPr="00DB1D98">
        <w:rPr>
          <w:rFonts w:ascii="Palatino Linotype" w:eastAsia="Palatino Linotype" w:hAnsi="Palatino Linotype" w:cs="Palatino Linotype"/>
        </w:rPr>
        <w:t xml:space="preserve"> el expediente formado con motivo del recurso de revisión </w:t>
      </w:r>
      <w:r w:rsidRPr="00DB1D98">
        <w:rPr>
          <w:rFonts w:ascii="Palatino Linotype" w:eastAsia="Palatino Linotype" w:hAnsi="Palatino Linotype" w:cs="Palatino Linotype"/>
          <w:b/>
        </w:rPr>
        <w:t>14994/INFOEM/IP/RR/2022</w:t>
      </w:r>
      <w:r w:rsidRPr="00DB1D98">
        <w:rPr>
          <w:rFonts w:ascii="Palatino Linotype" w:eastAsia="Palatino Linotype" w:hAnsi="Palatino Linotype" w:cs="Palatino Linotype"/>
        </w:rPr>
        <w:t>, interpuesto por</w:t>
      </w:r>
      <w:r w:rsidRPr="00DB1D98">
        <w:rPr>
          <w:rFonts w:ascii="Palatino Linotype" w:eastAsia="Palatino Linotype" w:hAnsi="Palatino Linotype" w:cs="Palatino Linotype"/>
          <w:b/>
        </w:rPr>
        <w:t xml:space="preserve"> un particular que no proporcionó nombre o seudónimo</w:t>
      </w:r>
      <w:r w:rsidRPr="00DB1D98">
        <w:rPr>
          <w:rFonts w:ascii="Palatino Linotype" w:eastAsia="Palatino Linotype" w:hAnsi="Palatino Linotype" w:cs="Palatino Linotype"/>
        </w:rPr>
        <w:t>, en lo sucesivo</w:t>
      </w:r>
      <w:r w:rsidRPr="00DB1D98">
        <w:rPr>
          <w:rFonts w:ascii="Palatino Linotype" w:eastAsia="Palatino Linotype" w:hAnsi="Palatino Linotype" w:cs="Palatino Linotype"/>
          <w:b/>
        </w:rPr>
        <w:t xml:space="preserve"> </w:t>
      </w:r>
      <w:r w:rsidRPr="00DB1D98">
        <w:rPr>
          <w:rFonts w:ascii="Palatino Linotype" w:eastAsia="Palatino Linotype" w:hAnsi="Palatino Linotype" w:cs="Palatino Linotype"/>
        </w:rPr>
        <w:t xml:space="preserve">la parte </w:t>
      </w:r>
      <w:r w:rsidRPr="00DB1D98">
        <w:rPr>
          <w:rFonts w:ascii="Palatino Linotype" w:eastAsia="Palatino Linotype" w:hAnsi="Palatino Linotype" w:cs="Palatino Linotype"/>
          <w:b/>
        </w:rPr>
        <w:t>Recurrente,</w:t>
      </w:r>
      <w:r w:rsidRPr="00DB1D98">
        <w:rPr>
          <w:rFonts w:ascii="Palatino Linotype" w:eastAsia="Palatino Linotype" w:hAnsi="Palatino Linotype" w:cs="Palatino Linotype"/>
        </w:rPr>
        <w:t xml:space="preserve"> en contra de la respuesta a su solicitud por parte de la </w:t>
      </w:r>
      <w:r w:rsidRPr="00DB1D98">
        <w:rPr>
          <w:rFonts w:ascii="Palatino Linotype" w:eastAsia="Palatino Linotype" w:hAnsi="Palatino Linotype" w:cs="Palatino Linotype"/>
          <w:b/>
        </w:rPr>
        <w:t xml:space="preserve">Secretaría de Movilidad, </w:t>
      </w:r>
      <w:r w:rsidRPr="00DB1D98">
        <w:rPr>
          <w:rFonts w:ascii="Palatino Linotype" w:eastAsia="Palatino Linotype" w:hAnsi="Palatino Linotype" w:cs="Palatino Linotype"/>
        </w:rPr>
        <w:t xml:space="preserve">en lo sucesivo el </w:t>
      </w:r>
      <w:r w:rsidRPr="00DB1D98">
        <w:rPr>
          <w:rFonts w:ascii="Palatino Linotype" w:eastAsia="Palatino Linotype" w:hAnsi="Palatino Linotype" w:cs="Palatino Linotype"/>
          <w:b/>
        </w:rPr>
        <w:t xml:space="preserve">Sujeto Obligado, </w:t>
      </w:r>
      <w:r w:rsidRPr="00DB1D98">
        <w:rPr>
          <w:rFonts w:ascii="Palatino Linotype" w:eastAsia="Palatino Linotype" w:hAnsi="Palatino Linotype" w:cs="Palatino Linotype"/>
        </w:rPr>
        <w:t xml:space="preserve">se procede a dictar la presente resolución con base en los siguientes: </w:t>
      </w:r>
    </w:p>
    <w:p w:rsidR="005622FD" w:rsidRPr="00DB1D98" w:rsidRDefault="0070232F">
      <w:pPr>
        <w:spacing w:before="240" w:after="240" w:line="360" w:lineRule="auto"/>
        <w:jc w:val="center"/>
        <w:rPr>
          <w:rFonts w:ascii="Palatino Linotype" w:eastAsia="Palatino Linotype" w:hAnsi="Palatino Linotype" w:cs="Palatino Linotype"/>
          <w:b/>
        </w:rPr>
      </w:pPr>
      <w:r w:rsidRPr="00DB1D98">
        <w:rPr>
          <w:rFonts w:ascii="Palatino Linotype" w:eastAsia="Palatino Linotype" w:hAnsi="Palatino Linotype" w:cs="Palatino Linotype"/>
          <w:b/>
        </w:rPr>
        <w:t>I. A N T E C E D E N T E S</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b/>
        </w:rPr>
        <w:t>1. Solicitud de acceso a la información.</w:t>
      </w:r>
      <w:r w:rsidRPr="00DB1D98">
        <w:rPr>
          <w:rFonts w:ascii="Palatino Linotype" w:eastAsia="Palatino Linotype" w:hAnsi="Palatino Linotype" w:cs="Palatino Linotype"/>
        </w:rPr>
        <w:t xml:space="preserve"> Con fecha </w:t>
      </w:r>
      <w:r w:rsidRPr="00DB1D98">
        <w:rPr>
          <w:rFonts w:ascii="Palatino Linotype" w:eastAsia="Palatino Linotype" w:hAnsi="Palatino Linotype" w:cs="Palatino Linotype"/>
          <w:b/>
        </w:rPr>
        <w:t>dieciocho de agosto de</w:t>
      </w:r>
      <w:r w:rsidRPr="00DB1D98">
        <w:rPr>
          <w:rFonts w:ascii="Palatino Linotype" w:eastAsia="Palatino Linotype" w:hAnsi="Palatino Linotype" w:cs="Palatino Linotype"/>
        </w:rPr>
        <w:t xml:space="preserve"> </w:t>
      </w:r>
      <w:r w:rsidRPr="00DB1D98">
        <w:rPr>
          <w:rFonts w:ascii="Palatino Linotype" w:eastAsia="Palatino Linotype" w:hAnsi="Palatino Linotype" w:cs="Palatino Linotype"/>
          <w:b/>
        </w:rPr>
        <w:t>dos mil veintidós,</w:t>
      </w:r>
      <w:r w:rsidRPr="00DB1D98">
        <w:rPr>
          <w:rFonts w:ascii="Palatino Linotype" w:eastAsia="Palatino Linotype" w:hAnsi="Palatino Linotype" w:cs="Palatino Linotype"/>
        </w:rPr>
        <w:t xml:space="preserve"> la parte </w:t>
      </w:r>
      <w:r w:rsidRPr="00DB1D98">
        <w:rPr>
          <w:rFonts w:ascii="Palatino Linotype" w:eastAsia="Palatino Linotype" w:hAnsi="Palatino Linotype" w:cs="Palatino Linotype"/>
          <w:b/>
        </w:rPr>
        <w:t xml:space="preserve">Recurrente </w:t>
      </w:r>
      <w:r w:rsidRPr="00DB1D98">
        <w:rPr>
          <w:rFonts w:ascii="Palatino Linotype" w:eastAsia="Palatino Linotype" w:hAnsi="Palatino Linotype" w:cs="Palatino Linotype"/>
        </w:rPr>
        <w:t xml:space="preserve">presentó, a través del Sistema de Acceso a la Información Mexiquense, en lo subsecuente el </w:t>
      </w:r>
      <w:r w:rsidRPr="00DB1D98">
        <w:rPr>
          <w:rFonts w:ascii="Palatino Linotype" w:eastAsia="Palatino Linotype" w:hAnsi="Palatino Linotype" w:cs="Palatino Linotype"/>
          <w:b/>
        </w:rPr>
        <w:t>SAIMEX,</w:t>
      </w:r>
      <w:r w:rsidRPr="00DB1D98">
        <w:rPr>
          <w:rFonts w:ascii="Palatino Linotype" w:eastAsia="Palatino Linotype" w:hAnsi="Palatino Linotype" w:cs="Palatino Linotype"/>
        </w:rPr>
        <w:t xml:space="preserve"> ante el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la solicitud de acceso a la información pública, a la que se le asignó el número</w:t>
      </w:r>
      <w:r w:rsidRPr="00DB1D98">
        <w:rPr>
          <w:rFonts w:ascii="Palatino Linotype" w:eastAsia="Palatino Linotype" w:hAnsi="Palatino Linotype" w:cs="Palatino Linotype"/>
          <w:b/>
        </w:rPr>
        <w:t xml:space="preserve"> 00427/SMOV/IP/2022, </w:t>
      </w:r>
      <w:r w:rsidRPr="00DB1D98">
        <w:rPr>
          <w:rFonts w:ascii="Palatino Linotype" w:eastAsia="Palatino Linotype" w:hAnsi="Palatino Linotype" w:cs="Palatino Linotype"/>
        </w:rPr>
        <w:t xml:space="preserve">mediante la cual requirió la información siguiente: </w:t>
      </w:r>
    </w:p>
    <w:p w:rsidR="005622FD" w:rsidRPr="00DB1D98" w:rsidRDefault="0070232F">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DB1D98">
        <w:rPr>
          <w:rFonts w:ascii="Palatino Linotype" w:eastAsia="Palatino Linotype" w:hAnsi="Palatino Linotype" w:cs="Palatino Linotype"/>
          <w:i/>
          <w:sz w:val="22"/>
          <w:szCs w:val="22"/>
        </w:rPr>
        <w:t>“Se solicita las obras y proyectos realizados de infraestructura de carreteras contratados en el Estado de México, el proyecto ejecutivo, el estudio de costo beneficio, el estudio de factibilidad, el proceso de licitación, el nombre de los que parciciparon, la empresa que los ejecuta, el costo de la obra o proyecto y el avance, el número de beneficiarios por comunidad, colonia, delegación o municipio.</w:t>
      </w:r>
      <w:r w:rsidRPr="00DB1D98">
        <w:rPr>
          <w:rFonts w:ascii="Palatino Linotype" w:eastAsia="Palatino Linotype" w:hAnsi="Palatino Linotype" w:cs="Palatino Linotype"/>
          <w:b/>
          <w:i/>
          <w:sz w:val="22"/>
          <w:szCs w:val="22"/>
        </w:rPr>
        <w:t>”</w:t>
      </w:r>
      <w:r w:rsidRPr="00DB1D98">
        <w:rPr>
          <w:rFonts w:ascii="Palatino Linotype" w:eastAsia="Palatino Linotype" w:hAnsi="Palatino Linotype" w:cs="Palatino Linotype"/>
          <w:i/>
          <w:sz w:val="22"/>
          <w:szCs w:val="22"/>
        </w:rPr>
        <w:t xml:space="preserve"> (sic) </w:t>
      </w:r>
    </w:p>
    <w:p w:rsidR="005622FD" w:rsidRPr="00DB1D98" w:rsidRDefault="0070232F">
      <w:pPr>
        <w:spacing w:before="240" w:after="240" w:line="360" w:lineRule="auto"/>
        <w:ind w:right="49"/>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La parte </w:t>
      </w:r>
      <w:r w:rsidRPr="00DB1D98">
        <w:rPr>
          <w:rFonts w:ascii="Palatino Linotype" w:eastAsia="Palatino Linotype" w:hAnsi="Palatino Linotype" w:cs="Palatino Linotype"/>
          <w:b/>
        </w:rPr>
        <w:t>Recurrente</w:t>
      </w:r>
      <w:r w:rsidRPr="00DB1D98">
        <w:rPr>
          <w:rFonts w:ascii="Palatino Linotype" w:eastAsia="Palatino Linotype" w:hAnsi="Palatino Linotype" w:cs="Palatino Linotype"/>
        </w:rPr>
        <w:t xml:space="preserve"> no adjuntó archivos.</w:t>
      </w:r>
    </w:p>
    <w:p w:rsidR="005622FD" w:rsidRPr="00DB1D98" w:rsidRDefault="0070232F">
      <w:pPr>
        <w:spacing w:before="240" w:after="240" w:line="360" w:lineRule="auto"/>
        <w:jc w:val="both"/>
        <w:rPr>
          <w:rFonts w:ascii="Palatino Linotype" w:eastAsia="Palatino Linotype" w:hAnsi="Palatino Linotype" w:cs="Palatino Linotype"/>
        </w:rPr>
      </w:pPr>
      <w:bookmarkStart w:id="1" w:name="_heading=h.17dp8vu" w:colFirst="0" w:colLast="0"/>
      <w:bookmarkEnd w:id="1"/>
      <w:r w:rsidRPr="00DB1D98">
        <w:rPr>
          <w:rFonts w:ascii="Palatino Linotype" w:eastAsia="Palatino Linotype" w:hAnsi="Palatino Linotype" w:cs="Palatino Linotype"/>
          <w:b/>
        </w:rPr>
        <w:t>Modalidad de Entrega:</w:t>
      </w:r>
      <w:r w:rsidRPr="00DB1D98">
        <w:rPr>
          <w:rFonts w:ascii="Palatino Linotype" w:eastAsia="Palatino Linotype" w:hAnsi="Palatino Linotype" w:cs="Palatino Linotype"/>
        </w:rPr>
        <w:t xml:space="preserve"> a través </w:t>
      </w:r>
      <w:r w:rsidRPr="00DB1D98">
        <w:rPr>
          <w:rFonts w:ascii="Palatino Linotype" w:eastAsia="Palatino Linotype" w:hAnsi="Palatino Linotype" w:cs="Palatino Linotype"/>
          <w:b/>
        </w:rPr>
        <w:t>de SAIMEX</w:t>
      </w:r>
    </w:p>
    <w:p w:rsidR="005622FD" w:rsidRPr="00DB1D98" w:rsidRDefault="0070232F">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DB1D98">
        <w:rPr>
          <w:rFonts w:ascii="Palatino Linotype" w:eastAsia="Palatino Linotype" w:hAnsi="Palatino Linotype" w:cs="Palatino Linotype"/>
          <w:b/>
        </w:rPr>
        <w:lastRenderedPageBreak/>
        <w:t xml:space="preserve">2. Prorroga. </w:t>
      </w:r>
      <w:r w:rsidRPr="00DB1D98">
        <w:rPr>
          <w:rFonts w:ascii="Palatino Linotype" w:eastAsia="Palatino Linotype" w:hAnsi="Palatino Linotype" w:cs="Palatino Linotype"/>
        </w:rPr>
        <w:t xml:space="preserve">Con fecha </w:t>
      </w:r>
      <w:r w:rsidRPr="00DB1D98">
        <w:rPr>
          <w:rFonts w:ascii="Palatino Linotype" w:eastAsia="Palatino Linotype" w:hAnsi="Palatino Linotype" w:cs="Palatino Linotype"/>
          <w:b/>
        </w:rPr>
        <w:t>ocho de septiembre de dos mil veintidós</w:t>
      </w:r>
      <w:r w:rsidRPr="00DB1D98">
        <w:rPr>
          <w:rFonts w:ascii="Palatino Linotype" w:eastAsia="Palatino Linotype" w:hAnsi="Palatino Linotype" w:cs="Palatino Linotype"/>
        </w:rPr>
        <w:t xml:space="preserve">, el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xml:space="preserve">, solicitó prórroga mediante </w:t>
      </w:r>
      <w:r w:rsidRPr="00DB1D98">
        <w:rPr>
          <w:rFonts w:ascii="Palatino Linotype" w:eastAsia="Palatino Linotype" w:hAnsi="Palatino Linotype" w:cs="Palatino Linotype"/>
          <w:b/>
        </w:rPr>
        <w:t xml:space="preserve">SAIMEX, </w:t>
      </w:r>
      <w:r w:rsidRPr="00DB1D98">
        <w:rPr>
          <w:rFonts w:ascii="Palatino Linotype" w:eastAsia="Palatino Linotype" w:hAnsi="Palatino Linotype" w:cs="Palatino Linotype"/>
        </w:rPr>
        <w:t>argumentando lo siguiente:</w:t>
      </w:r>
    </w:p>
    <w:p w:rsidR="005622FD" w:rsidRPr="00DB1D98" w:rsidRDefault="0070232F">
      <w:pPr>
        <w:spacing w:before="240" w:after="240"/>
        <w:ind w:left="851" w:right="900"/>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5622FD" w:rsidRPr="00DB1D98" w:rsidRDefault="0070232F">
      <w:pPr>
        <w:spacing w:before="240" w:after="240"/>
        <w:ind w:left="851" w:right="900"/>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Se anexa respuesta”</w:t>
      </w:r>
    </w:p>
    <w:p w:rsidR="005622FD" w:rsidRPr="00DB1D98" w:rsidRDefault="0070232F">
      <w:pPr>
        <w:spacing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El </w:t>
      </w:r>
      <w:r w:rsidRPr="00DB1D98">
        <w:rPr>
          <w:rFonts w:ascii="Palatino Linotype" w:eastAsia="Palatino Linotype" w:hAnsi="Palatino Linotype" w:cs="Palatino Linotype"/>
          <w:b/>
        </w:rPr>
        <w:t xml:space="preserve">Sujeto Obligado </w:t>
      </w:r>
      <w:r w:rsidRPr="00DB1D98">
        <w:rPr>
          <w:rFonts w:ascii="Palatino Linotype" w:eastAsia="Palatino Linotype" w:hAnsi="Palatino Linotype" w:cs="Palatino Linotype"/>
        </w:rPr>
        <w:t>anexó el escrito signado por el Titular de la Unidad de Transparencia mediante el cual hace del conocimiento a la persona solicitante que el servidor público habilitado de la Dirección General de Vialidad, como área responsable requirió la ampliación de plazo establecida en el artículo 163 de la Ley de Transparencia y Acceso a la Información Pública del Estado de México y Municipios, señalando que dicha prórroga se realizó atendiendo a lo establecido por el ACUERDO CT/SM/A/01/2022 de la Centésima Quincuagésima Quinta Sesión Extraordinaria del Comité de Transparencia, celebrada el ocho de septiembre de dos mil veintidós, misma que adjuntó al SAIMEX, como se ilustra a continuación:</w:t>
      </w:r>
    </w:p>
    <w:p w:rsidR="005622FD" w:rsidRPr="00DB1D98" w:rsidRDefault="0070232F">
      <w:pPr>
        <w:spacing w:line="360" w:lineRule="auto"/>
        <w:jc w:val="center"/>
      </w:pPr>
      <w:r w:rsidRPr="00DB1D98">
        <w:rPr>
          <w:noProof/>
        </w:rPr>
        <w:drawing>
          <wp:inline distT="0" distB="0" distL="0" distR="0" wp14:anchorId="224FF23E" wp14:editId="700CFC74">
            <wp:extent cx="4140000" cy="2727202"/>
            <wp:effectExtent l="0" t="0" r="0" b="0"/>
            <wp:docPr id="1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140000" cy="2727202"/>
                    </a:xfrm>
                    <a:prstGeom prst="rect">
                      <a:avLst/>
                    </a:prstGeom>
                    <a:ln/>
                  </pic:spPr>
                </pic:pic>
              </a:graphicData>
            </a:graphic>
          </wp:inline>
        </w:drawing>
      </w:r>
    </w:p>
    <w:p w:rsidR="005622FD" w:rsidRPr="00DB1D98" w:rsidRDefault="0070232F">
      <w:pPr>
        <w:spacing w:before="240" w:after="240" w:line="360" w:lineRule="auto"/>
        <w:jc w:val="both"/>
        <w:rPr>
          <w:rFonts w:ascii="Palatino Linotype" w:eastAsia="Palatino Linotype" w:hAnsi="Palatino Linotype" w:cs="Palatino Linotype"/>
          <w:b/>
        </w:rPr>
      </w:pPr>
      <w:r w:rsidRPr="00DB1D98">
        <w:rPr>
          <w:rFonts w:ascii="Palatino Linotype" w:eastAsia="Palatino Linotype" w:hAnsi="Palatino Linotype" w:cs="Palatino Linotype"/>
          <w:b/>
        </w:rPr>
        <w:lastRenderedPageBreak/>
        <w:t xml:space="preserve">3. Respuesta. </w:t>
      </w:r>
      <w:r w:rsidRPr="00DB1D98">
        <w:rPr>
          <w:rFonts w:ascii="Palatino Linotype" w:eastAsia="Palatino Linotype" w:hAnsi="Palatino Linotype" w:cs="Palatino Linotype"/>
        </w:rPr>
        <w:t>Con fecha</w:t>
      </w:r>
      <w:r w:rsidRPr="00DB1D98">
        <w:rPr>
          <w:rFonts w:ascii="Palatino Linotype" w:eastAsia="Palatino Linotype" w:hAnsi="Palatino Linotype" w:cs="Palatino Linotype"/>
          <w:b/>
        </w:rPr>
        <w:t xml:space="preserve"> veinte de septiembre de dos mil veintidós</w:t>
      </w:r>
      <w:r w:rsidRPr="00DB1D98">
        <w:rPr>
          <w:rFonts w:ascii="Palatino Linotype" w:eastAsia="Palatino Linotype" w:hAnsi="Palatino Linotype" w:cs="Palatino Linotype"/>
        </w:rPr>
        <w:t xml:space="preserve">, el </w:t>
      </w:r>
      <w:r w:rsidRPr="00DB1D98">
        <w:rPr>
          <w:rFonts w:ascii="Palatino Linotype" w:eastAsia="Palatino Linotype" w:hAnsi="Palatino Linotype" w:cs="Palatino Linotype"/>
          <w:b/>
        </w:rPr>
        <w:t xml:space="preserve">Sujeto Obligado </w:t>
      </w:r>
      <w:r w:rsidRPr="00DB1D98">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5622FD" w:rsidRPr="00DB1D98" w:rsidRDefault="0070232F">
      <w:pPr>
        <w:spacing w:before="240" w:after="240"/>
        <w:ind w:left="851" w:right="902"/>
        <w:jc w:val="both"/>
        <w:rPr>
          <w:rFonts w:ascii="Palatino Linotype" w:eastAsia="Palatino Linotype" w:hAnsi="Palatino Linotype" w:cs="Palatino Linotype"/>
          <w:b/>
          <w:i/>
          <w:sz w:val="22"/>
          <w:szCs w:val="22"/>
        </w:rPr>
      </w:pPr>
      <w:r w:rsidRPr="00DB1D98">
        <w:rPr>
          <w:rFonts w:ascii="Palatino Linotype" w:eastAsia="Palatino Linotype" w:hAnsi="Palatino Linotype" w:cs="Palatino Linotype"/>
          <w:i/>
          <w:sz w:val="22"/>
          <w:szCs w:val="22"/>
        </w:rPr>
        <w:t>“…Se anexa respuesta...” (sic)</w:t>
      </w:r>
    </w:p>
    <w:p w:rsidR="005622FD" w:rsidRPr="00DB1D98" w:rsidRDefault="0070232F">
      <w:pPr>
        <w:spacing w:before="240" w:after="240" w:line="360" w:lineRule="auto"/>
        <w:ind w:right="49"/>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El </w:t>
      </w:r>
      <w:r w:rsidRPr="00DB1D98">
        <w:rPr>
          <w:rFonts w:ascii="Palatino Linotype" w:eastAsia="Palatino Linotype" w:hAnsi="Palatino Linotype" w:cs="Palatino Linotype"/>
          <w:b/>
        </w:rPr>
        <w:t xml:space="preserve">Sujeto Obligado </w:t>
      </w:r>
      <w:r w:rsidRPr="00DB1D98">
        <w:rPr>
          <w:rFonts w:ascii="Palatino Linotype" w:eastAsia="Palatino Linotype" w:hAnsi="Palatino Linotype" w:cs="Palatino Linotype"/>
        </w:rPr>
        <w:t>adjuntó lo siguiente:</w:t>
      </w:r>
    </w:p>
    <w:p w:rsidR="005622FD" w:rsidRPr="00DB1D98" w:rsidRDefault="0070232F">
      <w:pPr>
        <w:spacing w:before="240" w:after="240" w:line="360" w:lineRule="auto"/>
        <w:ind w:right="49"/>
        <w:jc w:val="both"/>
        <w:rPr>
          <w:rFonts w:ascii="Palatino Linotype" w:eastAsia="Palatino Linotype" w:hAnsi="Palatino Linotype" w:cs="Palatino Linotype"/>
        </w:rPr>
      </w:pPr>
      <w:r w:rsidRPr="00DB1D98">
        <w:rPr>
          <w:rFonts w:ascii="Palatino Linotype" w:eastAsia="Palatino Linotype" w:hAnsi="Palatino Linotype" w:cs="Palatino Linotype"/>
        </w:rPr>
        <w:t>- Escrito de fecha veinte de septiembre de dos mil veintidós, signado por el Titular de la Unidad de Transparencia mediante el cual notifica a la persona solicitante el pronunciamiento emitido por el servidor público habilitado de la Dirección General de Vialidad, como el área competente para atender la solicitud, quien remitió en archivo digital una tabla que contiene la información señalada, derivado de la búsqueda efectuada en el año inmediato anterior, de conformidad con el criterio 03/09 emitido por el Instituto Nacional de Transparencia, Acceso a la Información y Protección de Datos Personales, INAI, esto es, del uno de enero de dos ml veintiuno al diecinueve de agosto de dos mil veintidós, al no haber señalado la persona solicitante periodo del cual requiere la información.</w:t>
      </w:r>
    </w:p>
    <w:p w:rsidR="005622FD" w:rsidRPr="00DB1D98" w:rsidRDefault="0070232F">
      <w:pPr>
        <w:spacing w:before="240" w:after="240" w:line="360" w:lineRule="auto"/>
        <w:ind w:right="49"/>
        <w:jc w:val="both"/>
        <w:rPr>
          <w:rFonts w:ascii="Palatino Linotype" w:eastAsia="Palatino Linotype" w:hAnsi="Palatino Linotype" w:cs="Palatino Linotype"/>
        </w:rPr>
      </w:pPr>
      <w:r w:rsidRPr="00DB1D98">
        <w:rPr>
          <w:rFonts w:ascii="Palatino Linotype" w:eastAsia="Palatino Linotype" w:hAnsi="Palatino Linotype" w:cs="Palatino Linotype"/>
        </w:rPr>
        <w:t>-  Relación de 22 contratos adjudicados del uno de enero de dos mil veintiuno al diecinueve de agosto de dos mil veintidós, que contiene: número progresivo, contrato, costo de la obra, empresa, estatal/federal, nombre de la obra, proyecto o acción, municipio, responsable, beneficiarios, tipo, adjudicación, avance y proyecto.</w:t>
      </w:r>
    </w:p>
    <w:p w:rsidR="005622FD" w:rsidRPr="00DB1D98" w:rsidRDefault="0070232F">
      <w:pPr>
        <w:spacing w:before="240" w:after="240" w:line="360" w:lineRule="auto"/>
        <w:ind w:right="49"/>
        <w:jc w:val="both"/>
        <w:rPr>
          <w:rFonts w:ascii="Palatino Linotype" w:eastAsia="Palatino Linotype" w:hAnsi="Palatino Linotype" w:cs="Palatino Linotype"/>
        </w:rPr>
      </w:pPr>
      <w:r w:rsidRPr="00DB1D98">
        <w:rPr>
          <w:rFonts w:ascii="Palatino Linotype" w:eastAsia="Palatino Linotype" w:hAnsi="Palatino Linotype" w:cs="Palatino Linotype"/>
          <w:b/>
        </w:rPr>
        <w:t xml:space="preserve">4. Interposición del recurso de revisión. </w:t>
      </w:r>
      <w:r w:rsidRPr="00DB1D98">
        <w:rPr>
          <w:rFonts w:ascii="Palatino Linotype" w:eastAsia="Palatino Linotype" w:hAnsi="Palatino Linotype" w:cs="Palatino Linotype"/>
        </w:rPr>
        <w:t xml:space="preserve">Inconforme con los términos de la respuesta emitida por parte del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xml:space="preserve">, </w:t>
      </w:r>
      <w:r w:rsidRPr="00DB1D98">
        <w:rPr>
          <w:rFonts w:ascii="Palatino Linotype" w:eastAsia="Palatino Linotype" w:hAnsi="Palatino Linotype" w:cs="Palatino Linotype"/>
          <w:b/>
        </w:rPr>
        <w:t xml:space="preserve">veintiuno de septiembre de dos </w:t>
      </w:r>
      <w:r w:rsidRPr="00DB1D98">
        <w:rPr>
          <w:rFonts w:ascii="Palatino Linotype" w:eastAsia="Palatino Linotype" w:hAnsi="Palatino Linotype" w:cs="Palatino Linotype"/>
          <w:b/>
        </w:rPr>
        <w:lastRenderedPageBreak/>
        <w:t>mil veintidós,</w:t>
      </w:r>
      <w:r w:rsidRPr="00DB1D98">
        <w:rPr>
          <w:rFonts w:ascii="Palatino Linotype" w:eastAsia="Palatino Linotype" w:hAnsi="Palatino Linotype" w:cs="Palatino Linotype"/>
        </w:rPr>
        <w:t xml:space="preserve"> la parte </w:t>
      </w:r>
      <w:r w:rsidRPr="00DB1D98">
        <w:rPr>
          <w:rFonts w:ascii="Palatino Linotype" w:eastAsia="Palatino Linotype" w:hAnsi="Palatino Linotype" w:cs="Palatino Linotype"/>
          <w:b/>
        </w:rPr>
        <w:t>Recurrente</w:t>
      </w:r>
      <w:r w:rsidRPr="00DB1D98">
        <w:rPr>
          <w:rFonts w:ascii="Palatino Linotype" w:eastAsia="Palatino Linotype" w:hAnsi="Palatino Linotype" w:cs="Palatino Linotype"/>
        </w:rPr>
        <w:t xml:space="preserve"> interpuso el recurso de revisión a través de </w:t>
      </w:r>
      <w:r w:rsidRPr="00DB1D98">
        <w:rPr>
          <w:rFonts w:ascii="Palatino Linotype" w:eastAsia="Palatino Linotype" w:hAnsi="Palatino Linotype" w:cs="Palatino Linotype"/>
          <w:b/>
        </w:rPr>
        <w:t xml:space="preserve">SAIMEX, </w:t>
      </w:r>
      <w:r w:rsidRPr="00DB1D98">
        <w:rPr>
          <w:rFonts w:ascii="Palatino Linotype" w:eastAsia="Palatino Linotype" w:hAnsi="Palatino Linotype" w:cs="Palatino Linotype"/>
        </w:rPr>
        <w:t>en donde se manifestó de la siguiente manera:</w:t>
      </w:r>
    </w:p>
    <w:p w:rsidR="005622FD" w:rsidRPr="00DB1D98" w:rsidRDefault="0070232F">
      <w:pPr>
        <w:tabs>
          <w:tab w:val="left" w:pos="2745"/>
        </w:tabs>
        <w:spacing w:before="240" w:after="240" w:line="360" w:lineRule="auto"/>
        <w:jc w:val="both"/>
        <w:rPr>
          <w:rFonts w:ascii="Palatino Linotype" w:eastAsia="Palatino Linotype" w:hAnsi="Palatino Linotype" w:cs="Palatino Linotype"/>
          <w:b/>
        </w:rPr>
      </w:pPr>
      <w:r w:rsidRPr="00DB1D98">
        <w:rPr>
          <w:rFonts w:ascii="Palatino Linotype" w:eastAsia="Palatino Linotype" w:hAnsi="Palatino Linotype" w:cs="Palatino Linotype"/>
          <w:b/>
        </w:rPr>
        <w:t xml:space="preserve">Acto impugnado: </w:t>
      </w:r>
    </w:p>
    <w:p w:rsidR="005622FD" w:rsidRPr="00DB1D98" w:rsidRDefault="0070232F">
      <w:pPr>
        <w:tabs>
          <w:tab w:val="left" w:pos="2745"/>
        </w:tabs>
        <w:spacing w:before="240" w:after="240"/>
        <w:ind w:left="851" w:right="900"/>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“Entrega la información incompleta no entrega los estudios y los contratos que fueron solicitados.” (sic)</w:t>
      </w:r>
    </w:p>
    <w:p w:rsidR="005622FD" w:rsidRPr="00DB1D98" w:rsidRDefault="0070232F">
      <w:pPr>
        <w:spacing w:line="360" w:lineRule="auto"/>
        <w:jc w:val="both"/>
        <w:rPr>
          <w:rFonts w:ascii="Palatino Linotype" w:eastAsia="Palatino Linotype" w:hAnsi="Palatino Linotype" w:cs="Palatino Linotype"/>
        </w:rPr>
      </w:pPr>
      <w:bookmarkStart w:id="3" w:name="_heading=h.30j0zll" w:colFirst="0" w:colLast="0"/>
      <w:bookmarkEnd w:id="3"/>
      <w:r w:rsidRPr="00DB1D98">
        <w:rPr>
          <w:rFonts w:ascii="Palatino Linotype" w:eastAsia="Palatino Linotype" w:hAnsi="Palatino Linotype" w:cs="Palatino Linotype"/>
          <w:b/>
        </w:rPr>
        <w:t>Y Razones o motivos de inconformidad</w:t>
      </w:r>
      <w:r w:rsidRPr="00DB1D98">
        <w:rPr>
          <w:rFonts w:ascii="Palatino Linotype" w:eastAsia="Palatino Linotype" w:hAnsi="Palatino Linotype" w:cs="Palatino Linotype"/>
        </w:rPr>
        <w:t xml:space="preserve">: </w:t>
      </w:r>
    </w:p>
    <w:p w:rsidR="005622FD" w:rsidRPr="00DB1D98" w:rsidRDefault="0070232F">
      <w:pPr>
        <w:tabs>
          <w:tab w:val="left" w:pos="2745"/>
        </w:tabs>
        <w:spacing w:before="240" w:after="240"/>
        <w:ind w:left="851" w:right="900"/>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“Niega la uinformación solo entrega listado.” (sic)</w:t>
      </w:r>
    </w:p>
    <w:p w:rsidR="005622FD" w:rsidRPr="00DB1D98" w:rsidRDefault="0070232F">
      <w:pPr>
        <w:spacing w:before="240" w:after="240" w:line="360" w:lineRule="auto"/>
        <w:ind w:right="51"/>
        <w:jc w:val="both"/>
        <w:rPr>
          <w:rFonts w:ascii="Palatino Linotype" w:eastAsia="Palatino Linotype" w:hAnsi="Palatino Linotype" w:cs="Palatino Linotype"/>
        </w:rPr>
      </w:pPr>
      <w:r w:rsidRPr="00DB1D98">
        <w:rPr>
          <w:rFonts w:ascii="Palatino Linotype" w:eastAsia="Palatino Linotype" w:hAnsi="Palatino Linotype" w:cs="Palatino Linotype"/>
          <w:b/>
        </w:rPr>
        <w:t xml:space="preserve">5. Turno. </w:t>
      </w:r>
      <w:r w:rsidRPr="00DB1D9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B1D98">
        <w:rPr>
          <w:rFonts w:ascii="Palatino Linotype" w:eastAsia="Palatino Linotype" w:hAnsi="Palatino Linotype" w:cs="Palatino Linotype"/>
          <w:b/>
        </w:rPr>
        <w:t xml:space="preserve">Guadalupe Ramírez Peña, </w:t>
      </w:r>
      <w:r w:rsidRPr="00DB1D98">
        <w:rPr>
          <w:rFonts w:ascii="Palatino Linotype" w:eastAsia="Palatino Linotype" w:hAnsi="Palatino Linotype" w:cs="Palatino Linotype"/>
        </w:rPr>
        <w:t>a efecto de que analizará sobre su admisión o su desechamiento.</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b/>
        </w:rPr>
        <w:t>6. Admisión del Recurso de revisión.</w:t>
      </w:r>
      <w:r w:rsidRPr="00DB1D98">
        <w:rPr>
          <w:rFonts w:ascii="Palatino Linotype" w:eastAsia="Palatino Linotype" w:hAnsi="Palatino Linotype" w:cs="Palatino Linotype"/>
        </w:rPr>
        <w:t xml:space="preserve"> Con fecha</w:t>
      </w:r>
      <w:r w:rsidRPr="00DB1D98">
        <w:rPr>
          <w:rFonts w:ascii="Palatino Linotype" w:eastAsia="Palatino Linotype" w:hAnsi="Palatino Linotype" w:cs="Palatino Linotype"/>
          <w:b/>
        </w:rPr>
        <w:t xml:space="preserve"> veintiséis de septiembre de dos mil veintidós, </w:t>
      </w:r>
      <w:r w:rsidRPr="00DB1D9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B1D98">
        <w:rPr>
          <w:rFonts w:ascii="Palatino Linotype" w:eastAsia="Palatino Linotype" w:hAnsi="Palatino Linotype" w:cs="Palatino Linotype"/>
          <w:b/>
        </w:rPr>
        <w:t xml:space="preserve">Sujeto Obligado </w:t>
      </w:r>
      <w:r w:rsidRPr="00DB1D98">
        <w:rPr>
          <w:rFonts w:ascii="Palatino Linotype" w:eastAsia="Palatino Linotype" w:hAnsi="Palatino Linotype" w:cs="Palatino Linotype"/>
        </w:rPr>
        <w:t>presentara su informe justificado.</w:t>
      </w:r>
    </w:p>
    <w:p w:rsidR="005622FD" w:rsidRPr="00DB1D98" w:rsidRDefault="0070232F">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DB1D98">
        <w:rPr>
          <w:rFonts w:ascii="Palatino Linotype" w:eastAsia="Palatino Linotype" w:hAnsi="Palatino Linotype" w:cs="Palatino Linotype"/>
          <w:b/>
        </w:rPr>
        <w:t>7. Manifestaciones</w:t>
      </w:r>
      <w:r w:rsidRPr="00DB1D98">
        <w:rPr>
          <w:rFonts w:ascii="Palatino Linotype" w:eastAsia="Palatino Linotype" w:hAnsi="Palatino Linotype" w:cs="Palatino Linotype"/>
        </w:rPr>
        <w:t xml:space="preserve">. En fecha </w:t>
      </w:r>
      <w:r w:rsidRPr="00DB1D98">
        <w:rPr>
          <w:rFonts w:ascii="Palatino Linotype" w:eastAsia="Palatino Linotype" w:hAnsi="Palatino Linotype" w:cs="Palatino Linotype"/>
          <w:b/>
        </w:rPr>
        <w:t xml:space="preserve">seis de octubre de dos mil veintidós, </w:t>
      </w:r>
      <w:r w:rsidRPr="00DB1D98">
        <w:rPr>
          <w:rFonts w:ascii="Palatino Linotype" w:eastAsia="Palatino Linotype" w:hAnsi="Palatino Linotype" w:cs="Palatino Linotype"/>
        </w:rPr>
        <w:t xml:space="preserve">el </w:t>
      </w:r>
      <w:r w:rsidRPr="00DB1D98">
        <w:rPr>
          <w:rFonts w:ascii="Palatino Linotype" w:eastAsia="Palatino Linotype" w:hAnsi="Palatino Linotype" w:cs="Palatino Linotype"/>
          <w:b/>
        </w:rPr>
        <w:t xml:space="preserve">Sujeto Obligado </w:t>
      </w:r>
      <w:r w:rsidRPr="00DB1D98">
        <w:rPr>
          <w:rFonts w:ascii="Palatino Linotype" w:eastAsia="Palatino Linotype" w:hAnsi="Palatino Linotype" w:cs="Palatino Linotype"/>
        </w:rPr>
        <w:t xml:space="preserve">remitió, a través de SAIMEX, el oficio número CCT/UT/0454/2022, </w:t>
      </w:r>
      <w:r w:rsidRPr="00DB1D98">
        <w:rPr>
          <w:rFonts w:ascii="Palatino Linotype" w:eastAsia="Palatino Linotype" w:hAnsi="Palatino Linotype" w:cs="Palatino Linotype"/>
        </w:rPr>
        <w:lastRenderedPageBreak/>
        <w:t xml:space="preserve">signado por el Titular de la Unidad de Transparencia, mediante el cual, con relación a los motivos de inconformidad aducidos, señala que en ningún momento se negó el derecho de acceso a la información de la parte </w:t>
      </w:r>
      <w:r w:rsidRPr="00DB1D98">
        <w:rPr>
          <w:rFonts w:ascii="Palatino Linotype" w:eastAsia="Palatino Linotype" w:hAnsi="Palatino Linotype" w:cs="Palatino Linotype"/>
          <w:b/>
        </w:rPr>
        <w:t>Recurrente</w:t>
      </w:r>
      <w:r w:rsidRPr="00DB1D98">
        <w:rPr>
          <w:rFonts w:ascii="Palatino Linotype" w:eastAsia="Palatino Linotype" w:hAnsi="Palatino Linotype" w:cs="Palatino Linotype"/>
        </w:rPr>
        <w:t xml:space="preserve">, tomando en consideración que el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xml:space="preserve"> otorgó en la respuesta a la solicitud primigenia, la información correspondiente al objeto del requerimiento de información inicial.</w:t>
      </w:r>
    </w:p>
    <w:p w:rsidR="005622FD" w:rsidRPr="00DB1D98" w:rsidRDefault="0070232F">
      <w:pPr>
        <w:tabs>
          <w:tab w:val="left" w:pos="1701"/>
        </w:tabs>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Asimismo, a través de la Dirección General de Vialidad, como área competente para atender el requerimiento de información, refiere que en la respuesta primigenia se informó a la parte </w:t>
      </w:r>
      <w:r w:rsidRPr="00DB1D98">
        <w:rPr>
          <w:rFonts w:ascii="Palatino Linotype" w:eastAsia="Palatino Linotype" w:hAnsi="Palatino Linotype" w:cs="Palatino Linotype"/>
          <w:b/>
        </w:rPr>
        <w:t xml:space="preserve">Recurrente </w:t>
      </w:r>
      <w:r w:rsidRPr="00DB1D98">
        <w:rPr>
          <w:rFonts w:ascii="Palatino Linotype" w:eastAsia="Palatino Linotype" w:hAnsi="Palatino Linotype" w:cs="Palatino Linotype"/>
        </w:rPr>
        <w:t>de manera desglosada mediante una tabla la información que solicitó; de igual forma señaló que en ningún momento se buscó vulnerar el derecho de acceso a la información, tomando en consideración que nunca se solicitó copia de la información, ni se señaló el periodo de búsqueda, en tal sentido señaló que si era el deseo de la parte recurrente acceder en la modalidad de copia simple, era necesario cubrir el costo de reproducción correspondiente a 38,522 (treinta y ocho mil quinientas veintidós) copias simples, generando un monto total de $77,066 (setenta y siete mil sesenta y seis pesos 00/100 M. N.), en atención al artículo 73, fracción II del Código Financiero del Estado de México, argumentando que la Unidad Administrativa no cuenta con las herramientas tecnológicas ni con el capital humano para digitalizar la información señalada, por lo que dicha puesta a disposición se realiza de conformidad con los artículos 158 y 164 de la Ley de Transparencia y Acceso a la Información Pública del Estado de México.</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Una vez analizado el documento, se hizo del conocimiento de la parte </w:t>
      </w:r>
      <w:r w:rsidRPr="00DB1D98">
        <w:rPr>
          <w:rFonts w:ascii="Palatino Linotype" w:eastAsia="Palatino Linotype" w:hAnsi="Palatino Linotype" w:cs="Palatino Linotype"/>
          <w:b/>
        </w:rPr>
        <w:t>Recurrente</w:t>
      </w:r>
      <w:r w:rsidRPr="00DB1D98">
        <w:rPr>
          <w:rFonts w:ascii="Palatino Linotype" w:eastAsia="Palatino Linotype" w:hAnsi="Palatino Linotype" w:cs="Palatino Linotype"/>
        </w:rPr>
        <w:t>, con la finalidad de que manifestara lo que a su derecho estimara conveniente, no obstante, fue omisa en ejercer dicha prerrogativa.</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b/>
        </w:rPr>
        <w:lastRenderedPageBreak/>
        <w:t>8. Ampliación del término para resolver</w:t>
      </w:r>
      <w:r w:rsidRPr="00DB1D98">
        <w:rPr>
          <w:rFonts w:ascii="Palatino Linotype" w:eastAsia="Palatino Linotype" w:hAnsi="Palatino Linotype" w:cs="Palatino Linotype"/>
        </w:rPr>
        <w:t xml:space="preserve">. En fecha </w:t>
      </w:r>
      <w:r w:rsidRPr="00DB1D98">
        <w:rPr>
          <w:rFonts w:ascii="Palatino Linotype" w:eastAsia="Palatino Linotype" w:hAnsi="Palatino Linotype" w:cs="Palatino Linotype"/>
          <w:b/>
        </w:rPr>
        <w:t>ocho de noviembre de dos mil veintidós</w:t>
      </w:r>
      <w:r w:rsidRPr="00DB1D98">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DB1D98">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rsidR="005622FD" w:rsidRPr="00DB1D98" w:rsidRDefault="0070232F">
      <w:pPr>
        <w:spacing w:before="240" w:after="240" w:line="360" w:lineRule="auto"/>
        <w:jc w:val="both"/>
        <w:rPr>
          <w:rFonts w:ascii="Palatino Linotype" w:eastAsia="Palatino Linotype" w:hAnsi="Palatino Linotype" w:cs="Palatino Linotype"/>
          <w:strike/>
        </w:rPr>
      </w:pPr>
      <w:r w:rsidRPr="00DB1D9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5622FD" w:rsidRPr="00DB1D98" w:rsidRDefault="0070232F">
      <w:pPr>
        <w:numPr>
          <w:ilvl w:val="0"/>
          <w:numId w:val="2"/>
        </w:num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5622FD" w:rsidRPr="00DB1D98" w:rsidRDefault="0070232F">
      <w:pPr>
        <w:numPr>
          <w:ilvl w:val="0"/>
          <w:numId w:val="2"/>
        </w:num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Actividad Procesal del interesado. Acciones u omisiones del interesado.</w:t>
      </w:r>
    </w:p>
    <w:p w:rsidR="005622FD" w:rsidRPr="00DB1D98" w:rsidRDefault="0070232F">
      <w:pPr>
        <w:numPr>
          <w:ilvl w:val="0"/>
          <w:numId w:val="2"/>
        </w:num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Conducta de la Autoridad: Las Acciones u omisiones realizadas en el procedimiento. Así como si la autoridad actuó con la debida diligencia.</w:t>
      </w:r>
    </w:p>
    <w:p w:rsidR="005622FD" w:rsidRPr="00DB1D98" w:rsidRDefault="0070232F">
      <w:pPr>
        <w:spacing w:before="240" w:after="240" w:line="360" w:lineRule="auto"/>
        <w:ind w:left="567"/>
        <w:jc w:val="both"/>
        <w:rPr>
          <w:rFonts w:ascii="Palatino Linotype" w:eastAsia="Palatino Linotype" w:hAnsi="Palatino Linotype" w:cs="Palatino Linotype"/>
        </w:rPr>
      </w:pPr>
      <w:r w:rsidRPr="00DB1D98">
        <w:rPr>
          <w:rFonts w:ascii="Palatino Linotype" w:eastAsia="Palatino Linotype" w:hAnsi="Palatino Linotype" w:cs="Palatino Linotype"/>
        </w:rPr>
        <w:t>d) La afectación generada en la situación jurídica de la persona involucrada en el proceso: Violación a sus derechos humanos.</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622FD" w:rsidRPr="00DB1D98" w:rsidRDefault="0070232F">
      <w:pPr>
        <w:spacing w:before="240" w:after="240" w:line="360" w:lineRule="auto"/>
        <w:jc w:val="both"/>
        <w:rPr>
          <w:rFonts w:ascii="Palatino Linotype" w:eastAsia="Palatino Linotype" w:hAnsi="Palatino Linotype" w:cs="Palatino Linotype"/>
          <w:b/>
        </w:rPr>
      </w:pPr>
      <w:r w:rsidRPr="00DB1D9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DB1D98">
        <w:rPr>
          <w:rFonts w:ascii="Palatino Linotype" w:eastAsia="Palatino Linotype" w:hAnsi="Palatino Linotype" w:cs="Palatino Linotype"/>
          <w:i/>
        </w:rPr>
        <w:t xml:space="preserve">“TÉRMINOS </w:t>
      </w:r>
      <w:r w:rsidRPr="00DB1D98">
        <w:rPr>
          <w:rFonts w:ascii="Palatino Linotype" w:eastAsia="Palatino Linotype" w:hAnsi="Palatino Linotype" w:cs="Palatino Linotype"/>
          <w:i/>
        </w:rPr>
        <w:lastRenderedPageBreak/>
        <w:t>PROCESALES. PARA DETERMINAR SI UN FUNCIONARIO JUDICIAL ACTUÓ INDEBIDAMENTE POR NO RESPETARLOS SE DEBE ATENDER AL PRESUPUESTO QUE CONSIDERÓ EL LEGISLADOR AL FIJARLOS Y LAS CARACTERÍSTICAS DEL CASO.”</w:t>
      </w:r>
      <w:r w:rsidRPr="00DB1D98">
        <w:rPr>
          <w:rFonts w:ascii="Palatino Linotype" w:eastAsia="Palatino Linotype" w:hAnsi="Palatino Linotype" w:cs="Palatino Linotype"/>
        </w:rPr>
        <w:t>, visible en la Gaceta del Seminario Judicial de la Federación con el registro digital 205635.</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5622FD" w:rsidRPr="00DB1D98" w:rsidRDefault="0070232F">
      <w:pPr>
        <w:spacing w:before="240" w:after="240"/>
        <w:ind w:left="851" w:right="902"/>
        <w:jc w:val="both"/>
        <w:rPr>
          <w:rFonts w:ascii="Palatino Linotype" w:eastAsia="Palatino Linotype" w:hAnsi="Palatino Linotype" w:cs="Palatino Linotype"/>
          <w:sz w:val="22"/>
          <w:szCs w:val="22"/>
        </w:rPr>
      </w:pPr>
      <w:r w:rsidRPr="00DB1D98">
        <w:rPr>
          <w:rFonts w:ascii="Palatino Linotype" w:eastAsia="Palatino Linotype" w:hAnsi="Palatino Linotype" w:cs="Palatino Linotype"/>
        </w:rPr>
        <w:t xml:space="preserve"> </w:t>
      </w:r>
      <w:r w:rsidRPr="00DB1D98">
        <w:rPr>
          <w:rFonts w:ascii="Palatino Linotype" w:eastAsia="Palatino Linotype" w:hAnsi="Palatino Linotype" w:cs="Palatino Linotype"/>
          <w:i/>
          <w:sz w:val="22"/>
          <w:szCs w:val="22"/>
        </w:rPr>
        <w:t>“</w:t>
      </w:r>
      <w:r w:rsidRPr="00DB1D98">
        <w:rPr>
          <w:rFonts w:ascii="Palatino Linotype" w:eastAsia="Palatino Linotype" w:hAnsi="Palatino Linotype" w:cs="Palatino Linotype"/>
          <w:b/>
          <w:i/>
          <w:sz w:val="22"/>
          <w:szCs w:val="22"/>
        </w:rPr>
        <w:t>PLAZO RAZONABLE PARA RESOLVER. DIMENSIÓN Y EFECTOS DE ESTE CONCEPTO CUANDO SE ADUCE EXCESIVA CARGA DE TRABAJO</w:t>
      </w:r>
      <w:r w:rsidRPr="00DB1D98">
        <w:rPr>
          <w:rFonts w:ascii="Palatino Linotype" w:eastAsia="Palatino Linotype" w:hAnsi="Palatino Linotype" w:cs="Palatino Linotype"/>
          <w:i/>
          <w:sz w:val="22"/>
          <w:szCs w:val="22"/>
        </w:rPr>
        <w:t>.”</w:t>
      </w:r>
      <w:r w:rsidRPr="00DB1D98">
        <w:rPr>
          <w:rFonts w:ascii="Palatino Linotype" w:eastAsia="Palatino Linotype" w:hAnsi="Palatino Linotype" w:cs="Palatino Linotype"/>
          <w:sz w:val="22"/>
          <w:szCs w:val="22"/>
        </w:rPr>
        <w:t xml:space="preserve"> consultable en el Seminario Judicial de la Federación y su gaceta, con el registro digital 2002351.</w:t>
      </w:r>
    </w:p>
    <w:p w:rsidR="005622FD" w:rsidRPr="00DB1D98" w:rsidRDefault="0070232F">
      <w:pPr>
        <w:spacing w:before="240" w:after="240"/>
        <w:ind w:left="851" w:right="902"/>
        <w:jc w:val="both"/>
        <w:rPr>
          <w:rFonts w:ascii="Palatino Linotype" w:eastAsia="Palatino Linotype" w:hAnsi="Palatino Linotype" w:cs="Palatino Linotype"/>
          <w:sz w:val="22"/>
          <w:szCs w:val="22"/>
        </w:rPr>
      </w:pPr>
      <w:r w:rsidRPr="00DB1D98">
        <w:rPr>
          <w:rFonts w:ascii="Palatino Linotype" w:eastAsia="Palatino Linotype" w:hAnsi="Palatino Linotype" w:cs="Palatino Linotype"/>
          <w:i/>
          <w:sz w:val="22"/>
          <w:szCs w:val="22"/>
        </w:rPr>
        <w:t>“</w:t>
      </w:r>
      <w:r w:rsidRPr="00DB1D98">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B1D98">
        <w:rPr>
          <w:rFonts w:ascii="Palatino Linotype" w:eastAsia="Palatino Linotype" w:hAnsi="Palatino Linotype" w:cs="Palatino Linotype"/>
          <w:i/>
          <w:sz w:val="22"/>
          <w:szCs w:val="22"/>
        </w:rPr>
        <w:t>.”</w:t>
      </w:r>
      <w:r w:rsidRPr="00DB1D98">
        <w:rPr>
          <w:rFonts w:ascii="Palatino Linotype" w:eastAsia="Palatino Linotype" w:hAnsi="Palatino Linotype" w:cs="Palatino Linotype"/>
          <w:sz w:val="22"/>
          <w:szCs w:val="22"/>
        </w:rPr>
        <w:t xml:space="preserve">, visible en el </w:t>
      </w:r>
      <w:r w:rsidRPr="00DB1D98">
        <w:rPr>
          <w:rFonts w:ascii="Palatino Linotype" w:eastAsia="Palatino Linotype" w:hAnsi="Palatino Linotype" w:cs="Palatino Linotype"/>
          <w:sz w:val="22"/>
          <w:szCs w:val="22"/>
        </w:rPr>
        <w:lastRenderedPageBreak/>
        <w:t>Seminario Judicial de la Federación y su gaceta, con el registro digital 2002350.</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b/>
        </w:rPr>
        <w:t xml:space="preserve">9. Cierre de instrucción. </w:t>
      </w:r>
      <w:r w:rsidRPr="00DB1D98">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DB1D98">
        <w:rPr>
          <w:rFonts w:ascii="Palatino Linotype" w:eastAsia="Palatino Linotype" w:hAnsi="Palatino Linotype" w:cs="Palatino Linotype"/>
          <w:b/>
        </w:rPr>
        <w:t xml:space="preserve">dos de mayo de dos mil veintitrés, </w:t>
      </w:r>
      <w:r w:rsidRPr="00DB1D98">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b/>
        </w:rPr>
        <w:t xml:space="preserve">10. Requerimiento adicional. </w:t>
      </w:r>
      <w:r w:rsidRPr="00DB1D98">
        <w:rPr>
          <w:rFonts w:ascii="Palatino Linotype" w:eastAsia="Palatino Linotype" w:hAnsi="Palatino Linotype" w:cs="Palatino Linotype"/>
        </w:rPr>
        <w:t xml:space="preserve">El tres de mayo de dos mil veintitrés, se envió por correo electrónico un requerimiento de información adicional al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el cual consistió en lo siguiente:</w:t>
      </w:r>
    </w:p>
    <w:p w:rsidR="005622FD" w:rsidRPr="00DB1D98" w:rsidRDefault="0070232F">
      <w:pPr>
        <w:spacing w:before="120" w:after="120"/>
        <w:ind w:left="709" w:right="618"/>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w:t>
      </w:r>
    </w:p>
    <w:p w:rsidR="005622FD" w:rsidRPr="00DB1D98" w:rsidRDefault="0070232F">
      <w:pPr>
        <w:spacing w:before="120" w:after="120"/>
        <w:ind w:left="709" w:right="618"/>
        <w:jc w:val="right"/>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Asunto:</w:t>
      </w:r>
      <w:r w:rsidRPr="00DB1D98">
        <w:rPr>
          <w:rFonts w:ascii="Palatino Linotype" w:eastAsia="Palatino Linotype" w:hAnsi="Palatino Linotype" w:cs="Palatino Linotype"/>
          <w:i/>
          <w:sz w:val="22"/>
          <w:szCs w:val="22"/>
        </w:rPr>
        <w:t xml:space="preserve"> Requerimiento de información</w:t>
      </w:r>
    </w:p>
    <w:p w:rsidR="005622FD" w:rsidRPr="00DB1D98" w:rsidRDefault="0070232F">
      <w:pPr>
        <w:spacing w:before="120" w:after="120"/>
        <w:ind w:left="709" w:right="618"/>
        <w:jc w:val="right"/>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Metepec, Estado de México, a 03 de mayo de 2023</w:t>
      </w:r>
    </w:p>
    <w:p w:rsidR="005622FD" w:rsidRPr="00DB1D98" w:rsidRDefault="005622FD">
      <w:pPr>
        <w:widowControl w:val="0"/>
        <w:spacing w:before="120" w:after="120"/>
        <w:ind w:left="709" w:right="618"/>
        <w:jc w:val="both"/>
        <w:rPr>
          <w:rFonts w:ascii="Palatino Linotype" w:eastAsia="Palatino Linotype" w:hAnsi="Palatino Linotype" w:cs="Palatino Linotype"/>
          <w:i/>
          <w:sz w:val="16"/>
          <w:szCs w:val="16"/>
        </w:rPr>
      </w:pPr>
    </w:p>
    <w:p w:rsidR="005622FD" w:rsidRPr="00DB1D98" w:rsidRDefault="0070232F">
      <w:pPr>
        <w:widowControl w:val="0"/>
        <w:ind w:left="709" w:right="618"/>
        <w:jc w:val="both"/>
        <w:rPr>
          <w:rFonts w:ascii="Palatino Linotype" w:eastAsia="Palatino Linotype" w:hAnsi="Palatino Linotype" w:cs="Palatino Linotype"/>
          <w:b/>
          <w:i/>
          <w:sz w:val="22"/>
          <w:szCs w:val="22"/>
        </w:rPr>
      </w:pPr>
      <w:r w:rsidRPr="00DB1D98">
        <w:rPr>
          <w:rFonts w:ascii="Palatino Linotype" w:eastAsia="Palatino Linotype" w:hAnsi="Palatino Linotype" w:cs="Palatino Linotype"/>
          <w:b/>
          <w:i/>
          <w:sz w:val="22"/>
          <w:szCs w:val="22"/>
        </w:rPr>
        <w:t>Luis Gustavo Mondragón Duarte</w:t>
      </w:r>
    </w:p>
    <w:p w:rsidR="005622FD" w:rsidRPr="00DB1D98" w:rsidRDefault="0070232F">
      <w:pPr>
        <w:widowControl w:val="0"/>
        <w:ind w:left="709" w:right="618"/>
        <w:jc w:val="both"/>
        <w:rPr>
          <w:rFonts w:ascii="Palatino Linotype" w:eastAsia="Palatino Linotype" w:hAnsi="Palatino Linotype" w:cs="Palatino Linotype"/>
          <w:b/>
          <w:i/>
          <w:sz w:val="22"/>
          <w:szCs w:val="22"/>
        </w:rPr>
      </w:pPr>
      <w:r w:rsidRPr="00DB1D98">
        <w:rPr>
          <w:rFonts w:ascii="Palatino Linotype" w:eastAsia="Palatino Linotype" w:hAnsi="Palatino Linotype" w:cs="Palatino Linotype"/>
          <w:b/>
          <w:i/>
          <w:sz w:val="22"/>
          <w:szCs w:val="22"/>
        </w:rPr>
        <w:t>Titular de la Unidad de Transparencia de la</w:t>
      </w:r>
    </w:p>
    <w:p w:rsidR="005622FD" w:rsidRPr="00DB1D98" w:rsidRDefault="0070232F">
      <w:pPr>
        <w:widowControl w:val="0"/>
        <w:ind w:left="709" w:right="618"/>
        <w:jc w:val="both"/>
        <w:rPr>
          <w:rFonts w:ascii="Palatino Linotype" w:eastAsia="Palatino Linotype" w:hAnsi="Palatino Linotype" w:cs="Palatino Linotype"/>
          <w:b/>
          <w:i/>
          <w:sz w:val="22"/>
          <w:szCs w:val="22"/>
        </w:rPr>
      </w:pPr>
      <w:r w:rsidRPr="00DB1D98">
        <w:rPr>
          <w:rFonts w:ascii="Palatino Linotype" w:eastAsia="Palatino Linotype" w:hAnsi="Palatino Linotype" w:cs="Palatino Linotype"/>
          <w:b/>
          <w:i/>
          <w:sz w:val="22"/>
          <w:szCs w:val="22"/>
        </w:rPr>
        <w:t>Secretaría de Movilidad</w:t>
      </w:r>
    </w:p>
    <w:p w:rsidR="005622FD" w:rsidRPr="00DB1D98" w:rsidRDefault="0070232F">
      <w:pPr>
        <w:widowControl w:val="0"/>
        <w:ind w:left="709" w:right="618"/>
        <w:jc w:val="both"/>
        <w:rPr>
          <w:rFonts w:ascii="Palatino Linotype" w:eastAsia="Palatino Linotype" w:hAnsi="Palatino Linotype" w:cs="Palatino Linotype"/>
          <w:b/>
          <w:i/>
          <w:sz w:val="22"/>
          <w:szCs w:val="22"/>
        </w:rPr>
      </w:pPr>
      <w:r w:rsidRPr="00DB1D98">
        <w:rPr>
          <w:rFonts w:ascii="Palatino Linotype" w:eastAsia="Palatino Linotype" w:hAnsi="Palatino Linotype" w:cs="Palatino Linotype"/>
          <w:b/>
          <w:i/>
          <w:sz w:val="22"/>
          <w:szCs w:val="22"/>
        </w:rPr>
        <w:t>P r e s e n t e:</w:t>
      </w:r>
    </w:p>
    <w:p w:rsidR="005622FD" w:rsidRPr="00DB1D98" w:rsidRDefault="0070232F">
      <w:pPr>
        <w:widowControl w:val="0"/>
        <w:spacing w:before="120" w:after="120"/>
        <w:ind w:left="709" w:right="618"/>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 xml:space="preserve">De las constancias que integran el expediente del recurso de revisión </w:t>
      </w:r>
      <w:r w:rsidRPr="00DB1D98">
        <w:rPr>
          <w:rFonts w:ascii="Palatino Linotype" w:eastAsia="Palatino Linotype" w:hAnsi="Palatino Linotype" w:cs="Palatino Linotype"/>
          <w:b/>
          <w:i/>
          <w:sz w:val="22"/>
          <w:szCs w:val="22"/>
        </w:rPr>
        <w:t xml:space="preserve">14994/INFOEM/IP/RR/2022; </w:t>
      </w:r>
      <w:r w:rsidRPr="00DB1D98">
        <w:rPr>
          <w:rFonts w:ascii="Palatino Linotype" w:eastAsia="Palatino Linotype" w:hAnsi="Palatino Linotype" w:cs="Palatino Linotype"/>
          <w:i/>
          <w:sz w:val="22"/>
          <w:szCs w:val="22"/>
        </w:rPr>
        <w:t xml:space="preserve">se desprede que en atencion a la solicitud de información </w:t>
      </w:r>
      <w:r w:rsidRPr="00DB1D98">
        <w:rPr>
          <w:rFonts w:ascii="Palatino Linotype" w:eastAsia="Palatino Linotype" w:hAnsi="Palatino Linotype" w:cs="Palatino Linotype"/>
          <w:b/>
          <w:i/>
          <w:sz w:val="22"/>
          <w:szCs w:val="22"/>
        </w:rPr>
        <w:t xml:space="preserve">00427/SMOV/IP/2022, </w:t>
      </w:r>
      <w:r w:rsidRPr="00DB1D98">
        <w:rPr>
          <w:rFonts w:ascii="Palatino Linotype" w:eastAsia="Palatino Linotype" w:hAnsi="Palatino Linotype" w:cs="Palatino Linotype"/>
          <w:i/>
          <w:sz w:val="22"/>
          <w:szCs w:val="22"/>
        </w:rPr>
        <w:t xml:space="preserve">con fundamento en el artículo 158 de la Ley de Transparencia y Acceso a la Información Pública del Estado de México y Municipios, </w:t>
      </w:r>
      <w:r w:rsidRPr="00DB1D98">
        <w:rPr>
          <w:rFonts w:ascii="Palatino Linotype" w:eastAsia="Palatino Linotype" w:hAnsi="Palatino Linotype" w:cs="Palatino Linotype"/>
          <w:b/>
          <w:i/>
          <w:sz w:val="22"/>
          <w:szCs w:val="22"/>
        </w:rPr>
        <w:t>propuso mediante informe justificado el cambio de la modalidad</w:t>
      </w:r>
      <w:r w:rsidRPr="00DB1D98">
        <w:rPr>
          <w:rFonts w:ascii="Palatino Linotype" w:eastAsia="Palatino Linotype" w:hAnsi="Palatino Linotype" w:cs="Palatino Linotype"/>
          <w:i/>
          <w:sz w:val="22"/>
          <w:szCs w:val="22"/>
        </w:rPr>
        <w:t xml:space="preserve"> </w:t>
      </w:r>
      <w:r w:rsidRPr="00DB1D98">
        <w:rPr>
          <w:rFonts w:ascii="Palatino Linotype" w:eastAsia="Palatino Linotype" w:hAnsi="Palatino Linotype" w:cs="Palatino Linotype"/>
          <w:b/>
          <w:i/>
          <w:sz w:val="22"/>
          <w:szCs w:val="22"/>
        </w:rPr>
        <w:t xml:space="preserve">de entrega en copias simples con costo </w:t>
      </w:r>
      <w:r w:rsidRPr="00DB1D98">
        <w:rPr>
          <w:rFonts w:ascii="Palatino Linotype" w:eastAsia="Palatino Linotype" w:hAnsi="Palatino Linotype" w:cs="Palatino Linotype"/>
          <w:i/>
          <w:sz w:val="22"/>
          <w:szCs w:val="22"/>
        </w:rPr>
        <w:t xml:space="preserve">con base en el pronunciamiento emitido por la Dirección General de Vialidad, quien argumentó en lo medular, que si era el deseo de </w:t>
      </w:r>
      <w:r w:rsidRPr="00DB1D98">
        <w:rPr>
          <w:rFonts w:ascii="Palatino Linotype" w:eastAsia="Palatino Linotype" w:hAnsi="Palatino Linotype" w:cs="Palatino Linotype"/>
          <w:i/>
          <w:sz w:val="22"/>
          <w:szCs w:val="22"/>
        </w:rPr>
        <w:lastRenderedPageBreak/>
        <w:t>la parte recurrente acceder en la modalidad de copia simple, era necesario cubrir el costo de reproducción correspondiente a 38,522 (treinta y ocho mil quinientas veintidós) copias simples, generando un monto total de $77,066 (setenta y siete mil sesenta y seis pesos 00/100 M. N.), en atención al artículo 73, fracción II del Código Financiero del Estado de México, argumentando que la Unidad Administrativa no cuenta con las herramientas tecnológicas ni con el capital humano para digitalizar la información señalada.</w:t>
      </w:r>
    </w:p>
    <w:p w:rsidR="005622FD" w:rsidRPr="00DB1D98" w:rsidRDefault="0070232F">
      <w:pPr>
        <w:widowControl w:val="0"/>
        <w:spacing w:before="120" w:after="120"/>
        <w:ind w:left="709" w:right="618"/>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 xml:space="preserve">Sin embargo, se tiene que dejó de justificar, de manera clara, las razones o motivos que lo llevaron hacer dicho cambio de modalidad, por lo que, se carece de los elementos que permitan justificar que, efectivamente, existe la necesidad de realizar el cambio de modalidad, lo anterior en términos de los señalado por el artículo 155 fracción V, 158 y 164 de la Ley de Transparencia y Acceso a la Información Pública del Estado de México y Municipios.  </w:t>
      </w:r>
    </w:p>
    <w:p w:rsidR="005622FD" w:rsidRPr="00DB1D98" w:rsidRDefault="0070232F">
      <w:pPr>
        <w:widowControl w:val="0"/>
        <w:spacing w:before="120" w:after="120"/>
        <w:ind w:left="709" w:right="618"/>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 xml:space="preserve">Por tanto, con fundamento en el artículo 14, fracciones I, II, V y XVI del Reglamento Interior del Instituto de Transparencia, Acceso a la Información Pública y Protección de Datos Personales del Estado de México y Municipios publicado en la Gaceta del Gobierno el 14 de marzo de 2023; con el objeto de contar con los elementos necesarios para la elaboración del proyecto de resolución correspondiente, </w:t>
      </w:r>
      <w:r w:rsidRPr="00DB1D98">
        <w:rPr>
          <w:rFonts w:ascii="Palatino Linotype" w:eastAsia="Palatino Linotype" w:hAnsi="Palatino Linotype" w:cs="Palatino Linotype"/>
          <w:b/>
          <w:i/>
          <w:sz w:val="22"/>
          <w:szCs w:val="22"/>
        </w:rPr>
        <w:t xml:space="preserve">se requiere informe lo siguiente respecto de </w:t>
      </w:r>
      <w:r w:rsidRPr="00DB1D98">
        <w:rPr>
          <w:rFonts w:ascii="Palatino Linotype" w:eastAsia="Palatino Linotype" w:hAnsi="Palatino Linotype" w:cs="Palatino Linotype"/>
          <w:b/>
          <w:i/>
          <w:sz w:val="22"/>
          <w:szCs w:val="22"/>
          <w:u w:val="single"/>
        </w:rPr>
        <w:t>los estudios de costo beneficio</w:t>
      </w:r>
      <w:r w:rsidRPr="00DB1D98">
        <w:rPr>
          <w:rFonts w:ascii="Palatino Linotype" w:eastAsia="Palatino Linotype" w:hAnsi="Palatino Linotype" w:cs="Palatino Linotype"/>
          <w:b/>
          <w:i/>
          <w:sz w:val="22"/>
          <w:szCs w:val="22"/>
        </w:rPr>
        <w:t xml:space="preserve"> y </w:t>
      </w:r>
      <w:r w:rsidRPr="00DB1D98">
        <w:rPr>
          <w:rFonts w:ascii="Palatino Linotype" w:eastAsia="Palatino Linotype" w:hAnsi="Palatino Linotype" w:cs="Palatino Linotype"/>
          <w:b/>
          <w:i/>
          <w:sz w:val="22"/>
          <w:szCs w:val="22"/>
          <w:u w:val="single"/>
        </w:rPr>
        <w:t>los estudios de factibilidad</w:t>
      </w:r>
      <w:r w:rsidRPr="00DB1D98">
        <w:rPr>
          <w:rFonts w:ascii="Palatino Linotype" w:eastAsia="Palatino Linotype" w:hAnsi="Palatino Linotype" w:cs="Palatino Linotype"/>
          <w:b/>
          <w:i/>
          <w:sz w:val="22"/>
          <w:szCs w:val="22"/>
        </w:rPr>
        <w:t xml:space="preserve"> </w:t>
      </w:r>
      <w:r w:rsidRPr="00DB1D98">
        <w:rPr>
          <w:rFonts w:ascii="Palatino Linotype" w:eastAsia="Palatino Linotype" w:hAnsi="Palatino Linotype" w:cs="Palatino Linotype"/>
          <w:i/>
          <w:sz w:val="22"/>
          <w:szCs w:val="22"/>
        </w:rPr>
        <w:t>de las obras y proyectos realizados de infraestructura de carreteras contratados en el Estado de México reportadas en respuesta:</w:t>
      </w:r>
    </w:p>
    <w:p w:rsidR="005622FD" w:rsidRPr="00DB1D98" w:rsidRDefault="0070232F">
      <w:pPr>
        <w:widowControl w:val="0"/>
        <w:spacing w:before="120" w:after="120"/>
        <w:ind w:left="993" w:right="618"/>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1.- Manifieste, de manera clara y precisa, las razones y fundamentos suficientes que impiden la entrega de la información a través del SAIMEX.</w:t>
      </w:r>
    </w:p>
    <w:p w:rsidR="005622FD" w:rsidRPr="00DB1D98" w:rsidRDefault="0070232F">
      <w:pPr>
        <w:widowControl w:val="0"/>
        <w:spacing w:before="120" w:after="120"/>
        <w:ind w:left="993" w:right="618"/>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 xml:space="preserve">2.- Se refiera </w:t>
      </w:r>
      <w:r w:rsidRPr="00DB1D98">
        <w:rPr>
          <w:rFonts w:ascii="Palatino Linotype" w:eastAsia="Palatino Linotype" w:hAnsi="Palatino Linotype" w:cs="Palatino Linotype"/>
          <w:b/>
          <w:i/>
          <w:sz w:val="22"/>
          <w:szCs w:val="22"/>
          <w:u w:val="single"/>
        </w:rPr>
        <w:t>con exactitud</w:t>
      </w:r>
      <w:r w:rsidRPr="00DB1D98">
        <w:rPr>
          <w:rFonts w:ascii="Palatino Linotype" w:eastAsia="Palatino Linotype" w:hAnsi="Palatino Linotype" w:cs="Palatino Linotype"/>
          <w:i/>
          <w:sz w:val="22"/>
          <w:szCs w:val="22"/>
        </w:rPr>
        <w:t xml:space="preserve">, al cúmulo de información de que se trata y </w:t>
      </w:r>
      <w:r w:rsidRPr="00DB1D98">
        <w:rPr>
          <w:rFonts w:ascii="Palatino Linotype" w:eastAsia="Palatino Linotype" w:hAnsi="Palatino Linotype" w:cs="Palatino Linotype"/>
          <w:b/>
          <w:i/>
          <w:sz w:val="22"/>
          <w:szCs w:val="22"/>
          <w:u w:val="single"/>
        </w:rPr>
        <w:t>sí excede las capacidades del SAIMEX</w:t>
      </w:r>
      <w:r w:rsidRPr="00DB1D98">
        <w:rPr>
          <w:rFonts w:ascii="Palatino Linotype" w:eastAsia="Palatino Linotype" w:hAnsi="Palatino Linotype" w:cs="Palatino Linotype"/>
          <w:i/>
          <w:sz w:val="22"/>
          <w:szCs w:val="22"/>
        </w:rPr>
        <w:t xml:space="preserve">, esto </w:t>
      </w:r>
      <w:r w:rsidRPr="00DB1D98">
        <w:rPr>
          <w:rFonts w:ascii="Palatino Linotype" w:eastAsia="Palatino Linotype" w:hAnsi="Palatino Linotype" w:cs="Palatino Linotype"/>
          <w:b/>
          <w:i/>
          <w:sz w:val="22"/>
          <w:szCs w:val="22"/>
          <w:u w:val="single"/>
        </w:rPr>
        <w:t>mediante el reporte de incidencias realizado con el área de soporte técnico del INFOEM</w:t>
      </w:r>
      <w:r w:rsidRPr="00DB1D98">
        <w:rPr>
          <w:rFonts w:ascii="Palatino Linotype" w:eastAsia="Palatino Linotype" w:hAnsi="Palatino Linotype" w:cs="Palatino Linotype"/>
          <w:b/>
          <w:i/>
          <w:sz w:val="22"/>
          <w:szCs w:val="22"/>
        </w:rPr>
        <w:t>.</w:t>
      </w:r>
    </w:p>
    <w:p w:rsidR="005622FD" w:rsidRPr="00DB1D98" w:rsidRDefault="0070232F">
      <w:pPr>
        <w:widowControl w:val="0"/>
        <w:spacing w:before="120" w:after="120"/>
        <w:ind w:left="993" w:right="618"/>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 xml:space="preserve">3.- Que la información solicitada, sobrepasa las capacidades técnicas administrativas y humanas del Sujeto Obligado para cumplir con la solicitud, en los plazos establecidos para dichos efectos, </w:t>
      </w:r>
      <w:r w:rsidRPr="00DB1D98">
        <w:rPr>
          <w:rFonts w:ascii="Palatino Linotype" w:eastAsia="Palatino Linotype" w:hAnsi="Palatino Linotype" w:cs="Palatino Linotype"/>
          <w:b/>
          <w:i/>
          <w:sz w:val="22"/>
          <w:szCs w:val="22"/>
          <w:u w:val="single"/>
        </w:rPr>
        <w:t>con los respectivos medios de convicción</w:t>
      </w:r>
      <w:r w:rsidRPr="00DB1D98">
        <w:rPr>
          <w:rFonts w:ascii="Palatino Linotype" w:eastAsia="Palatino Linotype" w:hAnsi="Palatino Linotype" w:cs="Palatino Linotype"/>
          <w:i/>
          <w:sz w:val="22"/>
          <w:szCs w:val="22"/>
        </w:rPr>
        <w:t xml:space="preserve">. </w:t>
      </w:r>
    </w:p>
    <w:p w:rsidR="005622FD" w:rsidRPr="00DB1D98" w:rsidRDefault="0070232F">
      <w:pPr>
        <w:widowControl w:val="0"/>
        <w:spacing w:before="120" w:after="120"/>
        <w:ind w:left="709" w:right="618"/>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 xml:space="preserve">La información de mérito deberá ser entregada a este Instituto en un lapso no mayor a tres días, a través de los correos electrónicos </w:t>
      </w:r>
      <w:hyperlink r:id="rId9">
        <w:r w:rsidRPr="00DB1D98">
          <w:rPr>
            <w:rFonts w:ascii="Palatino Linotype" w:eastAsia="Palatino Linotype" w:hAnsi="Palatino Linotype" w:cs="Palatino Linotype"/>
            <w:i/>
            <w:sz w:val="22"/>
            <w:szCs w:val="22"/>
            <w:u w:val="single"/>
          </w:rPr>
          <w:t>viridiana.santana@itaipem.org.mx</w:t>
        </w:r>
      </w:hyperlink>
      <w:r w:rsidRPr="00DB1D98">
        <w:rPr>
          <w:rFonts w:ascii="Palatino Linotype" w:eastAsia="Palatino Linotype" w:hAnsi="Palatino Linotype" w:cs="Palatino Linotype"/>
          <w:i/>
          <w:sz w:val="22"/>
          <w:szCs w:val="22"/>
        </w:rPr>
        <w:t xml:space="preserve"> y </w:t>
      </w:r>
      <w:hyperlink r:id="rId10">
        <w:r w:rsidRPr="00DB1D98">
          <w:rPr>
            <w:rFonts w:ascii="Palatino Linotype" w:eastAsia="Palatino Linotype" w:hAnsi="Palatino Linotype" w:cs="Palatino Linotype"/>
            <w:i/>
            <w:sz w:val="22"/>
            <w:szCs w:val="22"/>
            <w:u w:val="single"/>
          </w:rPr>
          <w:t>berenice.carrillo@infoem.org.mx</w:t>
        </w:r>
      </w:hyperlink>
      <w:r w:rsidRPr="00DB1D98">
        <w:rPr>
          <w:rFonts w:ascii="Palatino Linotype" w:eastAsia="Palatino Linotype" w:hAnsi="Palatino Linotype" w:cs="Palatino Linotype"/>
          <w:i/>
          <w:sz w:val="22"/>
          <w:szCs w:val="22"/>
        </w:rPr>
        <w:t xml:space="preserve">, de acuerdo a lo establecido en el artículo 29 del Código de Procedimientos Administrativos del Estado de México de aplicación supletoria a la Ley de Transparencia y Acceso a la Información Pública del Estado de México y Municipios.  </w:t>
      </w:r>
    </w:p>
    <w:p w:rsidR="005622FD" w:rsidRPr="00DB1D98" w:rsidRDefault="005622FD">
      <w:pPr>
        <w:widowControl w:val="0"/>
        <w:spacing w:before="120" w:after="120"/>
        <w:ind w:left="709" w:right="618"/>
        <w:jc w:val="both"/>
        <w:rPr>
          <w:rFonts w:ascii="Palatino Linotype" w:eastAsia="Palatino Linotype" w:hAnsi="Palatino Linotype" w:cs="Palatino Linotype"/>
          <w:i/>
          <w:sz w:val="22"/>
          <w:szCs w:val="22"/>
        </w:rPr>
      </w:pPr>
    </w:p>
    <w:p w:rsidR="005622FD" w:rsidRPr="00DB1D98" w:rsidRDefault="0070232F">
      <w:pPr>
        <w:widowControl w:val="0"/>
        <w:spacing w:before="120" w:after="120"/>
        <w:ind w:left="709" w:right="618"/>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lastRenderedPageBreak/>
        <w:t>Sin más por el momento, aprovecho la ocasión para enviarle un cordial saludo. ”</w:t>
      </w:r>
    </w:p>
    <w:p w:rsidR="005622FD" w:rsidRPr="00DB1D98" w:rsidRDefault="0070232F">
      <w:pPr>
        <w:widowControl w:val="0"/>
        <w:spacing w:before="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b/>
        </w:rPr>
        <w:t xml:space="preserve">11. Atención al requerimiento adicional. </w:t>
      </w:r>
      <w:r w:rsidRPr="00DB1D98">
        <w:rPr>
          <w:rFonts w:ascii="Palatino Linotype" w:eastAsia="Palatino Linotype" w:hAnsi="Palatino Linotype" w:cs="Palatino Linotype"/>
        </w:rPr>
        <w:t xml:space="preserve">El </w:t>
      </w:r>
      <w:r w:rsidRPr="00DB1D98">
        <w:rPr>
          <w:rFonts w:ascii="Palatino Linotype" w:eastAsia="Palatino Linotype" w:hAnsi="Palatino Linotype" w:cs="Palatino Linotype"/>
          <w:b/>
        </w:rPr>
        <w:t xml:space="preserve">Sujeto Obligado </w:t>
      </w:r>
      <w:r w:rsidRPr="00DB1D98">
        <w:rPr>
          <w:rFonts w:ascii="Palatino Linotype" w:eastAsia="Palatino Linotype" w:hAnsi="Palatino Linotype" w:cs="Palatino Linotype"/>
        </w:rPr>
        <w:t>fue omiso en emitir pronunciamiento alguno con relación al requerimiento de información.</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5622FD" w:rsidRPr="00DB1D98" w:rsidRDefault="0070232F">
      <w:pPr>
        <w:widowControl w:val="0"/>
        <w:spacing w:before="240" w:after="240" w:line="360" w:lineRule="auto"/>
        <w:jc w:val="center"/>
        <w:rPr>
          <w:rFonts w:ascii="Palatino Linotype" w:eastAsia="Palatino Linotype" w:hAnsi="Palatino Linotype" w:cs="Palatino Linotype"/>
          <w:b/>
        </w:rPr>
      </w:pPr>
      <w:r w:rsidRPr="00DB1D98">
        <w:rPr>
          <w:rFonts w:ascii="Palatino Linotype" w:eastAsia="Palatino Linotype" w:hAnsi="Palatino Linotype" w:cs="Palatino Linotype"/>
          <w:b/>
        </w:rPr>
        <w:t>II. C O N S I D E R A N D O S</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b/>
        </w:rPr>
        <w:t>Primero. Competencia.</w:t>
      </w:r>
      <w:r w:rsidRPr="00DB1D9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5622FD" w:rsidRPr="00DB1D98" w:rsidRDefault="0070232F">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DB1D98">
        <w:rPr>
          <w:rFonts w:ascii="Palatino Linotype" w:eastAsia="Palatino Linotype" w:hAnsi="Palatino Linotype" w:cs="Palatino Linotype"/>
          <w:b/>
        </w:rPr>
        <w:t>Segundo. Oportunidad y Procedibilidad del Recurso de Revisión</w:t>
      </w:r>
      <w:r w:rsidRPr="00DB1D98">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w:t>
      </w:r>
      <w:r w:rsidRPr="00DB1D98">
        <w:rPr>
          <w:rFonts w:ascii="Palatino Linotype" w:eastAsia="Palatino Linotype" w:hAnsi="Palatino Linotype" w:cs="Palatino Linotype"/>
        </w:rPr>
        <w:lastRenderedPageBreak/>
        <w:t>artículos 178 y 180 de la Ley de Transparencia y Acceso a la Información Pública del Estado de México y Municipios.</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B1D98">
        <w:rPr>
          <w:rFonts w:ascii="Palatino Linotype" w:eastAsia="Palatino Linotype" w:hAnsi="Palatino Linotype" w:cs="Palatino Linotype"/>
          <w:b/>
        </w:rPr>
        <w:t xml:space="preserve">Sujeto Obligado </w:t>
      </w:r>
      <w:r w:rsidRPr="00DB1D98">
        <w:rPr>
          <w:rFonts w:ascii="Palatino Linotype" w:eastAsia="Palatino Linotype" w:hAnsi="Palatino Linotype" w:cs="Palatino Linotype"/>
        </w:rPr>
        <w:t xml:space="preserve">remitió la respuesta a la solicitud de información el día </w:t>
      </w:r>
      <w:r w:rsidRPr="00DB1D98">
        <w:rPr>
          <w:rFonts w:ascii="Palatino Linotype" w:eastAsia="Palatino Linotype" w:hAnsi="Palatino Linotype" w:cs="Palatino Linotype"/>
          <w:b/>
        </w:rPr>
        <w:t xml:space="preserve">veinte de septiembre de dos mil veintidós, </w:t>
      </w:r>
      <w:r w:rsidRPr="00DB1D98">
        <w:rPr>
          <w:rFonts w:ascii="Palatino Linotype" w:eastAsia="Palatino Linotype" w:hAnsi="Palatino Linotype" w:cs="Palatino Linotype"/>
        </w:rPr>
        <w:t xml:space="preserve">mientras que el recurso de revisión interpuesto por la parte </w:t>
      </w:r>
      <w:r w:rsidRPr="00DB1D98">
        <w:rPr>
          <w:rFonts w:ascii="Palatino Linotype" w:eastAsia="Palatino Linotype" w:hAnsi="Palatino Linotype" w:cs="Palatino Linotype"/>
          <w:b/>
        </w:rPr>
        <w:t>Recurrente</w:t>
      </w:r>
      <w:r w:rsidRPr="00DB1D98">
        <w:rPr>
          <w:rFonts w:ascii="Palatino Linotype" w:eastAsia="Palatino Linotype" w:hAnsi="Palatino Linotype" w:cs="Palatino Linotype"/>
        </w:rPr>
        <w:t xml:space="preserve">, se tuvo por presentado el día </w:t>
      </w:r>
      <w:r w:rsidRPr="00DB1D98">
        <w:rPr>
          <w:rFonts w:ascii="Palatino Linotype" w:eastAsia="Palatino Linotype" w:hAnsi="Palatino Linotype" w:cs="Palatino Linotype"/>
          <w:b/>
        </w:rPr>
        <w:t>veintiuno de septiembre de dos mil veintidós</w:t>
      </w:r>
      <w:r w:rsidRPr="00DB1D98">
        <w:rPr>
          <w:rFonts w:ascii="Palatino Linotype" w:eastAsia="Palatino Linotype" w:hAnsi="Palatino Linotype" w:cs="Palatino Linotype"/>
        </w:rPr>
        <w:t>, esto es, al siguiente día hábil siguiente en que tuvo conocimiento de la respuesta impugnada.</w:t>
      </w:r>
    </w:p>
    <w:p w:rsidR="005622FD" w:rsidRPr="00DB1D98" w:rsidRDefault="0070232F">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DB1D98">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A efecto de sustentar lo anterior, es de suma importancia mencionar que si bien la persona solicitante </w:t>
      </w:r>
      <w:r w:rsidRPr="00DB1D98">
        <w:rPr>
          <w:rFonts w:ascii="Palatino Linotype" w:eastAsia="Palatino Linotype" w:hAnsi="Palatino Linotype" w:cs="Palatino Linotype"/>
          <w:b/>
        </w:rPr>
        <w:t xml:space="preserve">no proporcionó nombre o seudónimo </w:t>
      </w:r>
      <w:r w:rsidRPr="00DB1D98">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622FD" w:rsidRPr="00DB1D98" w:rsidRDefault="0070232F">
      <w:pPr>
        <w:spacing w:before="120" w:after="120"/>
        <w:ind w:left="851" w:right="902"/>
        <w:jc w:val="both"/>
        <w:rPr>
          <w:rFonts w:ascii="Palatino Linotype" w:eastAsia="Palatino Linotype" w:hAnsi="Palatino Linotype" w:cs="Palatino Linotype"/>
        </w:rPr>
      </w:pPr>
      <w:r w:rsidRPr="00DB1D98">
        <w:rPr>
          <w:rFonts w:ascii="Palatino Linotype" w:eastAsia="Palatino Linotype" w:hAnsi="Palatino Linotype" w:cs="Palatino Linotype"/>
          <w:i/>
        </w:rPr>
        <w:lastRenderedPageBreak/>
        <w:t>"</w:t>
      </w:r>
      <w:r w:rsidRPr="00DB1D98">
        <w:rPr>
          <w:rFonts w:ascii="Palatino Linotype" w:eastAsia="Palatino Linotype" w:hAnsi="Palatino Linotype" w:cs="Palatino Linotype"/>
          <w:b/>
          <w:i/>
          <w:sz w:val="22"/>
          <w:szCs w:val="22"/>
        </w:rPr>
        <w:t>Las solicitudes anónimas</w:t>
      </w:r>
      <w:r w:rsidRPr="00DB1D98">
        <w:rPr>
          <w:rFonts w:ascii="Palatino Linotype" w:eastAsia="Palatino Linotype" w:hAnsi="Palatino Linotype" w:cs="Palatino Linotype"/>
          <w:i/>
          <w:sz w:val="22"/>
          <w:szCs w:val="22"/>
        </w:rPr>
        <w:t xml:space="preserve">, con nombre incompleto o seudónimo </w:t>
      </w:r>
      <w:r w:rsidRPr="00DB1D98">
        <w:rPr>
          <w:rFonts w:ascii="Palatino Linotype" w:eastAsia="Palatino Linotype" w:hAnsi="Palatino Linotype" w:cs="Palatino Linotype"/>
          <w:b/>
          <w:i/>
          <w:sz w:val="22"/>
          <w:szCs w:val="22"/>
        </w:rPr>
        <w:t>serán procedentes para su trámite por parte del sujeto obligado ante quien se presente</w:t>
      </w:r>
      <w:r w:rsidRPr="00DB1D98">
        <w:rPr>
          <w:rFonts w:ascii="Palatino Linotype" w:eastAsia="Palatino Linotype" w:hAnsi="Palatino Linotype" w:cs="Palatino Linotype"/>
          <w:i/>
          <w:sz w:val="22"/>
          <w:szCs w:val="22"/>
        </w:rPr>
        <w:t>. No podrá requerirse información adicional con motivo del nombre proporcionado por el solicitante."</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DB1D98">
        <w:rPr>
          <w:rFonts w:ascii="Palatino Linotype" w:eastAsia="Palatino Linotype" w:hAnsi="Palatino Linotype" w:cs="Palatino Linotype"/>
          <w:b/>
        </w:rPr>
        <w:t>Recurrente</w:t>
      </w:r>
      <w:r w:rsidRPr="00DB1D98">
        <w:rPr>
          <w:rFonts w:ascii="Palatino Linotype" w:eastAsia="Palatino Linotype" w:hAnsi="Palatino Linotype" w:cs="Palatino Linotype"/>
        </w:rPr>
        <w:t>, por lo que, en el presente caso, al haber sido presentado el recurso de revisión vía SAIMEX, dicho requisito resulta innecesario.</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Finalmente, se advierte que resulta procedente la interposición del recurso, según lo manifestado por la parte </w:t>
      </w:r>
      <w:r w:rsidRPr="00DB1D98">
        <w:rPr>
          <w:rFonts w:ascii="Palatino Linotype" w:eastAsia="Palatino Linotype" w:hAnsi="Palatino Linotype" w:cs="Palatino Linotype"/>
          <w:b/>
        </w:rPr>
        <w:t>Recurrente</w:t>
      </w:r>
      <w:r w:rsidRPr="00DB1D98">
        <w:rPr>
          <w:rFonts w:ascii="Palatino Linotype" w:eastAsia="Palatino Linotype" w:hAnsi="Palatino Linotype" w:cs="Palatino Linotype"/>
        </w:rPr>
        <w:t xml:space="preserve"> en sus motivos de inconformidad, de acuerdo al artículo 179, fracciones I y V del ordenamiento legal citado, que a la letra dice: </w:t>
      </w:r>
    </w:p>
    <w:p w:rsidR="005622FD" w:rsidRPr="00DB1D98" w:rsidRDefault="0070232F">
      <w:pPr>
        <w:spacing w:before="120" w:after="120"/>
        <w:ind w:left="993"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w:t>
      </w:r>
      <w:r w:rsidRPr="00DB1D98">
        <w:rPr>
          <w:rFonts w:ascii="Palatino Linotype" w:eastAsia="Palatino Linotype" w:hAnsi="Palatino Linotype" w:cs="Palatino Linotype"/>
          <w:b/>
          <w:i/>
          <w:sz w:val="22"/>
          <w:szCs w:val="22"/>
        </w:rPr>
        <w:t>Artículo 179.</w:t>
      </w:r>
      <w:r w:rsidRPr="00DB1D9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5622FD" w:rsidRPr="00DB1D98" w:rsidRDefault="0070232F">
      <w:pPr>
        <w:spacing w:before="120" w:after="120"/>
        <w:ind w:left="1134"/>
        <w:rPr>
          <w:rFonts w:ascii="Palatino Linotype" w:eastAsia="Palatino Linotype" w:hAnsi="Palatino Linotype" w:cs="Palatino Linotype"/>
          <w:b/>
          <w:i/>
          <w:sz w:val="22"/>
          <w:szCs w:val="22"/>
        </w:rPr>
      </w:pPr>
      <w:r w:rsidRPr="00DB1D98">
        <w:rPr>
          <w:rFonts w:ascii="Palatino Linotype" w:eastAsia="Palatino Linotype" w:hAnsi="Palatino Linotype" w:cs="Palatino Linotype"/>
          <w:b/>
          <w:i/>
          <w:sz w:val="22"/>
          <w:szCs w:val="22"/>
        </w:rPr>
        <w:t xml:space="preserve">I. </w:t>
      </w:r>
      <w:r w:rsidRPr="00DB1D98">
        <w:rPr>
          <w:rFonts w:ascii="Palatino Linotype" w:eastAsia="Palatino Linotype" w:hAnsi="Palatino Linotype" w:cs="Palatino Linotype"/>
          <w:i/>
          <w:sz w:val="22"/>
          <w:szCs w:val="22"/>
        </w:rPr>
        <w:t>La negativa a la información solicitada</w:t>
      </w:r>
      <w:r w:rsidRPr="00DB1D98">
        <w:rPr>
          <w:rFonts w:ascii="Palatino Linotype" w:eastAsia="Palatino Linotype" w:hAnsi="Palatino Linotype" w:cs="Palatino Linotype"/>
          <w:b/>
          <w:i/>
          <w:sz w:val="22"/>
          <w:szCs w:val="22"/>
        </w:rPr>
        <w:t>;</w:t>
      </w:r>
    </w:p>
    <w:p w:rsidR="005622FD" w:rsidRPr="00DB1D98" w:rsidRDefault="0070232F">
      <w:pPr>
        <w:spacing w:before="120" w:after="120"/>
        <w:ind w:left="1134"/>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w:t>
      </w:r>
    </w:p>
    <w:p w:rsidR="005622FD" w:rsidRPr="00DB1D98" w:rsidRDefault="0070232F">
      <w:pPr>
        <w:spacing w:before="120" w:after="120"/>
        <w:ind w:left="1134"/>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 xml:space="preserve">V. </w:t>
      </w:r>
      <w:r w:rsidRPr="00DB1D98">
        <w:rPr>
          <w:rFonts w:ascii="Palatino Linotype" w:eastAsia="Palatino Linotype" w:hAnsi="Palatino Linotype" w:cs="Palatino Linotype"/>
          <w:i/>
          <w:sz w:val="22"/>
          <w:szCs w:val="22"/>
        </w:rPr>
        <w:t>La entrega de información incompleta</w:t>
      </w:r>
      <w:r w:rsidRPr="00DB1D98">
        <w:rPr>
          <w:rFonts w:ascii="Palatino Linotype" w:eastAsia="Palatino Linotype" w:hAnsi="Palatino Linotype" w:cs="Palatino Linotype"/>
          <w:b/>
          <w:i/>
          <w:sz w:val="22"/>
          <w:szCs w:val="22"/>
        </w:rPr>
        <w:t>;</w:t>
      </w:r>
      <w:r w:rsidRPr="00DB1D98">
        <w:rPr>
          <w:rFonts w:ascii="Palatino Linotype" w:eastAsia="Palatino Linotype" w:hAnsi="Palatino Linotype" w:cs="Palatino Linotype"/>
          <w:i/>
          <w:sz w:val="22"/>
          <w:szCs w:val="22"/>
        </w:rPr>
        <w:t>”</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b/>
        </w:rPr>
        <w:t xml:space="preserve">Tercero. Materia de la revisión. </w:t>
      </w:r>
      <w:r w:rsidRPr="00DB1D98">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DB1D98">
        <w:rPr>
          <w:rFonts w:ascii="Palatino Linotype" w:eastAsia="Palatino Linotype" w:hAnsi="Palatino Linotype" w:cs="Palatino Linotype"/>
          <w:b/>
        </w:rPr>
        <w:t xml:space="preserve">verificar si la información otorgada por el Sujeto Obligado es adecuada y suficiente para satisfacer el derecho de acceso a la información pública </w:t>
      </w:r>
      <w:r w:rsidRPr="00DB1D98">
        <w:rPr>
          <w:rFonts w:ascii="Palatino Linotype" w:eastAsia="Palatino Linotype" w:hAnsi="Palatino Linotype" w:cs="Palatino Linotype"/>
        </w:rPr>
        <w:t xml:space="preserve">de la parte </w:t>
      </w:r>
      <w:r w:rsidRPr="00DB1D98">
        <w:rPr>
          <w:rFonts w:ascii="Palatino Linotype" w:eastAsia="Palatino Linotype" w:hAnsi="Palatino Linotype" w:cs="Palatino Linotype"/>
          <w:b/>
        </w:rPr>
        <w:t>Recurrente</w:t>
      </w:r>
      <w:r w:rsidRPr="00DB1D98">
        <w:rPr>
          <w:rFonts w:ascii="Palatino Linotype" w:eastAsia="Palatino Linotype" w:hAnsi="Palatino Linotype" w:cs="Palatino Linotype"/>
        </w:rPr>
        <w:t>, o en su defecto, en caso de ser procedente, ordenar la entrega de información oportuna.</w:t>
      </w:r>
    </w:p>
    <w:p w:rsidR="005622FD" w:rsidRPr="00DB1D98" w:rsidRDefault="0070232F">
      <w:pPr>
        <w:spacing w:before="240" w:after="240" w:line="360" w:lineRule="auto"/>
        <w:ind w:right="51"/>
        <w:jc w:val="both"/>
        <w:rPr>
          <w:rFonts w:ascii="Palatino Linotype" w:eastAsia="Palatino Linotype" w:hAnsi="Palatino Linotype" w:cs="Palatino Linotype"/>
        </w:rPr>
      </w:pPr>
      <w:bookmarkStart w:id="7" w:name="_heading=h.2et92p0" w:colFirst="0" w:colLast="0"/>
      <w:bookmarkEnd w:id="7"/>
      <w:r w:rsidRPr="00DB1D98">
        <w:rPr>
          <w:rFonts w:ascii="Palatino Linotype" w:eastAsia="Palatino Linotype" w:hAnsi="Palatino Linotype" w:cs="Palatino Linotype"/>
          <w:b/>
        </w:rPr>
        <w:lastRenderedPageBreak/>
        <w:t xml:space="preserve">Cuarto. Estudio del asunto. </w:t>
      </w:r>
      <w:r w:rsidRPr="00DB1D98">
        <w:rPr>
          <w:rFonts w:ascii="Palatino Linotype" w:eastAsia="Palatino Linotype" w:hAnsi="Palatino Linotype" w:cs="Palatino Linotype"/>
        </w:rPr>
        <w:t xml:space="preserve">Del análisis de la solicitud de información, motivo del recurso de revisión que ahora se resuelve se advierte que la parte </w:t>
      </w:r>
      <w:r w:rsidRPr="00DB1D98">
        <w:rPr>
          <w:rFonts w:ascii="Palatino Linotype" w:eastAsia="Palatino Linotype" w:hAnsi="Palatino Linotype" w:cs="Palatino Linotype"/>
          <w:b/>
        </w:rPr>
        <w:t>Recurrente</w:t>
      </w:r>
      <w:r w:rsidRPr="00DB1D98">
        <w:rPr>
          <w:rFonts w:ascii="Palatino Linotype" w:eastAsia="Palatino Linotype" w:hAnsi="Palatino Linotype" w:cs="Palatino Linotype"/>
        </w:rPr>
        <w:t xml:space="preserve"> requirió al </w:t>
      </w:r>
      <w:r w:rsidRPr="00DB1D98">
        <w:rPr>
          <w:rFonts w:ascii="Palatino Linotype" w:eastAsia="Palatino Linotype" w:hAnsi="Palatino Linotype" w:cs="Palatino Linotype"/>
          <w:b/>
        </w:rPr>
        <w:t xml:space="preserve">Sujeto Obligado </w:t>
      </w:r>
      <w:r w:rsidRPr="00DB1D98">
        <w:rPr>
          <w:rFonts w:ascii="Palatino Linotype" w:eastAsia="Palatino Linotype" w:hAnsi="Palatino Linotype" w:cs="Palatino Linotype"/>
        </w:rPr>
        <w:t>le proporcione, información consistente en lo siguiente:</w:t>
      </w:r>
    </w:p>
    <w:p w:rsidR="005622FD" w:rsidRPr="00DB1D98" w:rsidRDefault="0070232F">
      <w:pPr>
        <w:spacing w:before="240" w:after="240" w:line="360" w:lineRule="auto"/>
        <w:ind w:left="426" w:right="49"/>
        <w:jc w:val="both"/>
        <w:rPr>
          <w:rFonts w:ascii="Palatino Linotype" w:eastAsia="Palatino Linotype" w:hAnsi="Palatino Linotype" w:cs="Palatino Linotype"/>
        </w:rPr>
      </w:pPr>
      <w:r w:rsidRPr="00DB1D98">
        <w:rPr>
          <w:rFonts w:ascii="Palatino Linotype" w:eastAsia="Palatino Linotype" w:hAnsi="Palatino Linotype" w:cs="Palatino Linotype"/>
        </w:rPr>
        <w:t>1. Las obras y proyectos realizados de infraestructura de carreteras contratados en el Estado de México.</w:t>
      </w:r>
    </w:p>
    <w:p w:rsidR="005622FD" w:rsidRPr="00DB1D98" w:rsidRDefault="0070232F">
      <w:pPr>
        <w:spacing w:before="240" w:after="240" w:line="360" w:lineRule="auto"/>
        <w:ind w:left="426" w:right="49"/>
        <w:jc w:val="both"/>
        <w:rPr>
          <w:rFonts w:ascii="Palatino Linotype" w:eastAsia="Palatino Linotype" w:hAnsi="Palatino Linotype" w:cs="Palatino Linotype"/>
        </w:rPr>
      </w:pPr>
      <w:r w:rsidRPr="00DB1D98">
        <w:rPr>
          <w:rFonts w:ascii="Palatino Linotype" w:eastAsia="Palatino Linotype" w:hAnsi="Palatino Linotype" w:cs="Palatino Linotype"/>
        </w:rPr>
        <w:t>2. El proyecto ejecutivo.</w:t>
      </w:r>
    </w:p>
    <w:p w:rsidR="005622FD" w:rsidRPr="00DB1D98" w:rsidRDefault="0070232F">
      <w:pPr>
        <w:spacing w:before="240" w:after="240" w:line="360" w:lineRule="auto"/>
        <w:ind w:left="426" w:right="49"/>
        <w:jc w:val="both"/>
        <w:rPr>
          <w:rFonts w:ascii="Palatino Linotype" w:eastAsia="Palatino Linotype" w:hAnsi="Palatino Linotype" w:cs="Palatino Linotype"/>
        </w:rPr>
      </w:pPr>
      <w:r w:rsidRPr="00DB1D98">
        <w:rPr>
          <w:rFonts w:ascii="Palatino Linotype" w:eastAsia="Palatino Linotype" w:hAnsi="Palatino Linotype" w:cs="Palatino Linotype"/>
        </w:rPr>
        <w:t>3. El estudio de costo beneficio.</w:t>
      </w:r>
    </w:p>
    <w:p w:rsidR="005622FD" w:rsidRPr="00DB1D98" w:rsidRDefault="0070232F">
      <w:pPr>
        <w:spacing w:before="240" w:after="240" w:line="360" w:lineRule="auto"/>
        <w:ind w:left="426" w:right="49"/>
        <w:jc w:val="both"/>
        <w:rPr>
          <w:rFonts w:ascii="Palatino Linotype" w:eastAsia="Palatino Linotype" w:hAnsi="Palatino Linotype" w:cs="Palatino Linotype"/>
        </w:rPr>
      </w:pPr>
      <w:r w:rsidRPr="00DB1D98">
        <w:rPr>
          <w:rFonts w:ascii="Palatino Linotype" w:eastAsia="Palatino Linotype" w:hAnsi="Palatino Linotype" w:cs="Palatino Linotype"/>
        </w:rPr>
        <w:t>4. El estudio de factibilidad.</w:t>
      </w:r>
    </w:p>
    <w:p w:rsidR="005622FD" w:rsidRPr="00DB1D98" w:rsidRDefault="0070232F">
      <w:pPr>
        <w:spacing w:before="240" w:after="240" w:line="360" w:lineRule="auto"/>
        <w:ind w:left="426" w:right="49"/>
        <w:jc w:val="both"/>
        <w:rPr>
          <w:rFonts w:ascii="Palatino Linotype" w:eastAsia="Palatino Linotype" w:hAnsi="Palatino Linotype" w:cs="Palatino Linotype"/>
        </w:rPr>
      </w:pPr>
      <w:r w:rsidRPr="00DB1D98">
        <w:rPr>
          <w:rFonts w:ascii="Palatino Linotype" w:eastAsia="Palatino Linotype" w:hAnsi="Palatino Linotype" w:cs="Palatino Linotype"/>
        </w:rPr>
        <w:t>5. El proceso de licitación.</w:t>
      </w:r>
    </w:p>
    <w:p w:rsidR="005622FD" w:rsidRPr="00DB1D98" w:rsidRDefault="0070232F">
      <w:pPr>
        <w:spacing w:before="240" w:after="240" w:line="360" w:lineRule="auto"/>
        <w:ind w:left="426" w:right="49"/>
        <w:jc w:val="both"/>
        <w:rPr>
          <w:rFonts w:ascii="Palatino Linotype" w:eastAsia="Palatino Linotype" w:hAnsi="Palatino Linotype" w:cs="Palatino Linotype"/>
        </w:rPr>
      </w:pPr>
      <w:r w:rsidRPr="00DB1D98">
        <w:rPr>
          <w:rFonts w:ascii="Palatino Linotype" w:eastAsia="Palatino Linotype" w:hAnsi="Palatino Linotype" w:cs="Palatino Linotype"/>
        </w:rPr>
        <w:t>6. Nombre de los que participaron.</w:t>
      </w:r>
    </w:p>
    <w:p w:rsidR="005622FD" w:rsidRPr="00DB1D98" w:rsidRDefault="0070232F">
      <w:pPr>
        <w:spacing w:before="240" w:after="240" w:line="360" w:lineRule="auto"/>
        <w:ind w:left="426" w:right="49"/>
        <w:jc w:val="both"/>
        <w:rPr>
          <w:rFonts w:ascii="Palatino Linotype" w:eastAsia="Palatino Linotype" w:hAnsi="Palatino Linotype" w:cs="Palatino Linotype"/>
        </w:rPr>
      </w:pPr>
      <w:r w:rsidRPr="00DB1D98">
        <w:rPr>
          <w:rFonts w:ascii="Palatino Linotype" w:eastAsia="Palatino Linotype" w:hAnsi="Palatino Linotype" w:cs="Palatino Linotype"/>
        </w:rPr>
        <w:t>7. La empresa que los ejecuta.</w:t>
      </w:r>
    </w:p>
    <w:p w:rsidR="005622FD" w:rsidRPr="00DB1D98" w:rsidRDefault="0070232F">
      <w:pPr>
        <w:spacing w:before="240" w:after="240" w:line="360" w:lineRule="auto"/>
        <w:ind w:left="426" w:right="49"/>
        <w:jc w:val="both"/>
        <w:rPr>
          <w:rFonts w:ascii="Palatino Linotype" w:eastAsia="Palatino Linotype" w:hAnsi="Palatino Linotype" w:cs="Palatino Linotype"/>
        </w:rPr>
      </w:pPr>
      <w:r w:rsidRPr="00DB1D98">
        <w:rPr>
          <w:rFonts w:ascii="Palatino Linotype" w:eastAsia="Palatino Linotype" w:hAnsi="Palatino Linotype" w:cs="Palatino Linotype"/>
        </w:rPr>
        <w:t>8. El costo de la obra o proyecto.</w:t>
      </w:r>
    </w:p>
    <w:p w:rsidR="005622FD" w:rsidRPr="00DB1D98" w:rsidRDefault="0070232F">
      <w:pPr>
        <w:spacing w:before="240" w:after="240" w:line="360" w:lineRule="auto"/>
        <w:ind w:left="426" w:right="49"/>
        <w:jc w:val="both"/>
        <w:rPr>
          <w:rFonts w:ascii="Palatino Linotype" w:eastAsia="Palatino Linotype" w:hAnsi="Palatino Linotype" w:cs="Palatino Linotype"/>
        </w:rPr>
      </w:pPr>
      <w:r w:rsidRPr="00DB1D98">
        <w:rPr>
          <w:rFonts w:ascii="Palatino Linotype" w:eastAsia="Palatino Linotype" w:hAnsi="Palatino Linotype" w:cs="Palatino Linotype"/>
        </w:rPr>
        <w:t>9. El avance.</w:t>
      </w:r>
    </w:p>
    <w:p w:rsidR="005622FD" w:rsidRPr="00DB1D98" w:rsidRDefault="0070232F">
      <w:pPr>
        <w:spacing w:before="240" w:after="240" w:line="360" w:lineRule="auto"/>
        <w:ind w:left="426" w:right="49"/>
        <w:jc w:val="both"/>
        <w:rPr>
          <w:rFonts w:ascii="Palatino Linotype" w:eastAsia="Palatino Linotype" w:hAnsi="Palatino Linotype" w:cs="Palatino Linotype"/>
        </w:rPr>
      </w:pPr>
      <w:r w:rsidRPr="00DB1D98">
        <w:rPr>
          <w:rFonts w:ascii="Palatino Linotype" w:eastAsia="Palatino Linotype" w:hAnsi="Palatino Linotype" w:cs="Palatino Linotype"/>
        </w:rPr>
        <w:t>10. El número de beneficiarios por comunidad, colonia, delegación o municipio.</w:t>
      </w:r>
    </w:p>
    <w:p w:rsidR="005622FD" w:rsidRPr="00DB1D98" w:rsidRDefault="0070232F">
      <w:pPr>
        <w:spacing w:before="240" w:after="240" w:line="360" w:lineRule="auto"/>
        <w:ind w:right="49"/>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En respuesta, el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xml:space="preserve">, a través de la Unidad de Transparencia, hizo del conocimiento de la persona solicitante el pronunciamiento emitido por el servidor público habilitado de la Dirección General de Vialidad, como el área competente para atender la solicitud, quien, derivado de la búsqueda efectuada en el año inmediato anterior, de conformidad con el criterio 03/09 emitido por el Instituto </w:t>
      </w:r>
      <w:r w:rsidRPr="00DB1D98">
        <w:rPr>
          <w:rFonts w:ascii="Palatino Linotype" w:eastAsia="Palatino Linotype" w:hAnsi="Palatino Linotype" w:cs="Palatino Linotype"/>
        </w:rPr>
        <w:lastRenderedPageBreak/>
        <w:t>Nacional de Transparencia, Acceso a la Información y Protección de Datos Personales, INAI, al no haber señalado la persona solicitante período del cual requiere la información, proporcionó la relación de 22 contratos adjudicados del uno de enero de dos mil veintiuno al diecinueve de agosto de dos mil veintidós</w:t>
      </w:r>
      <w:r w:rsidRPr="00DB1D98">
        <w:rPr>
          <w:rFonts w:ascii="Palatino Linotype" w:eastAsia="Palatino Linotype" w:hAnsi="Palatino Linotype" w:cs="Palatino Linotype"/>
          <w:vertAlign w:val="superscript"/>
        </w:rPr>
        <w:footnoteReference w:id="1"/>
      </w:r>
      <w:r w:rsidRPr="00DB1D98">
        <w:rPr>
          <w:rFonts w:ascii="Palatino Linotype" w:eastAsia="Palatino Linotype" w:hAnsi="Palatino Linotype" w:cs="Palatino Linotype"/>
        </w:rPr>
        <w:t xml:space="preserve">, que contiene: número progresivo, contrato, costo de la obra, empresa, estatal/federal, nombre de la obra, proyecto o acción, municipio, responsable, beneficiarios, tipo, adjudicación, avance y proyecto; como se ilustra a continuación para un mejor entendimiento: </w:t>
      </w:r>
    </w:p>
    <w:p w:rsidR="005622FD" w:rsidRPr="00DB1D98" w:rsidRDefault="0070232F">
      <w:pPr>
        <w:spacing w:before="240" w:after="240" w:line="360" w:lineRule="auto"/>
        <w:ind w:right="49"/>
        <w:jc w:val="both"/>
        <w:rPr>
          <w:rFonts w:ascii="Palatino Linotype" w:eastAsia="Palatino Linotype" w:hAnsi="Palatino Linotype" w:cs="Palatino Linotype"/>
        </w:rPr>
      </w:pPr>
      <w:r w:rsidRPr="00DB1D98">
        <w:rPr>
          <w:rFonts w:ascii="Palatino Linotype" w:eastAsia="Palatino Linotype" w:hAnsi="Palatino Linotype" w:cs="Palatino Linotype"/>
          <w:noProof/>
        </w:rPr>
        <w:drawing>
          <wp:inline distT="0" distB="0" distL="0" distR="0" wp14:anchorId="3D3DD65E" wp14:editId="0855A11B">
            <wp:extent cx="5600700" cy="3305175"/>
            <wp:effectExtent l="0" t="0" r="0" b="0"/>
            <wp:docPr id="13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t="1" b="-582"/>
                    <a:stretch>
                      <a:fillRect/>
                    </a:stretch>
                  </pic:blipFill>
                  <pic:spPr>
                    <a:xfrm>
                      <a:off x="0" y="0"/>
                      <a:ext cx="5600700" cy="3305175"/>
                    </a:xfrm>
                    <a:prstGeom prst="rect">
                      <a:avLst/>
                    </a:prstGeom>
                    <a:ln/>
                  </pic:spPr>
                </pic:pic>
              </a:graphicData>
            </a:graphic>
          </wp:inline>
        </w:drawing>
      </w:r>
    </w:p>
    <w:p w:rsidR="005622FD" w:rsidRPr="00DB1D98" w:rsidRDefault="0070232F">
      <w:pPr>
        <w:spacing w:before="240" w:after="240" w:line="360" w:lineRule="auto"/>
        <w:ind w:right="49"/>
        <w:jc w:val="both"/>
        <w:rPr>
          <w:rFonts w:ascii="Palatino Linotype" w:eastAsia="Palatino Linotype" w:hAnsi="Palatino Linotype" w:cs="Palatino Linotype"/>
          <w:b/>
          <w:u w:val="single"/>
        </w:rPr>
      </w:pPr>
      <w:r w:rsidRPr="00DB1D98">
        <w:rPr>
          <w:rFonts w:ascii="Palatino Linotype" w:eastAsia="Palatino Linotype" w:hAnsi="Palatino Linotype" w:cs="Palatino Linotype"/>
        </w:rPr>
        <w:lastRenderedPageBreak/>
        <w:t xml:space="preserve">Conocida la respuesta por la persona solicitante, al no estar conforme con los términos de la misma, interpuso el recurso de revisión que nos ocupa, mediante el cual manifestó, como motivo de inconformidad, que le fue negada la información al haberse entregado sólo un listado, sin haberse entregado </w:t>
      </w:r>
      <w:r w:rsidRPr="00DB1D98">
        <w:rPr>
          <w:rFonts w:ascii="Palatino Linotype" w:eastAsia="Palatino Linotype" w:hAnsi="Palatino Linotype" w:cs="Palatino Linotype"/>
          <w:b/>
          <w:u w:val="single"/>
        </w:rPr>
        <w:t>los estudios y contratos que fueron solicitados.</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No pasa inadvertido para este Organismo Garante que los motivos de inconformidad aducidos, no versan sobre la totalidad de la información proporcionada por el </w:t>
      </w:r>
      <w:r w:rsidRPr="00DB1D98">
        <w:rPr>
          <w:rFonts w:ascii="Palatino Linotype" w:eastAsia="Palatino Linotype" w:hAnsi="Palatino Linotype" w:cs="Palatino Linotype"/>
          <w:b/>
        </w:rPr>
        <w:t xml:space="preserve">Sujeto Obligado, </w:t>
      </w:r>
      <w:r w:rsidRPr="00DB1D98">
        <w:rPr>
          <w:rFonts w:ascii="Palatino Linotype" w:eastAsia="Palatino Linotype" w:hAnsi="Palatino Linotype" w:cs="Palatino Linotype"/>
        </w:rPr>
        <w:t xml:space="preserve">pues la parte </w:t>
      </w:r>
      <w:r w:rsidRPr="00DB1D98">
        <w:rPr>
          <w:rFonts w:ascii="Palatino Linotype" w:eastAsia="Palatino Linotype" w:hAnsi="Palatino Linotype" w:cs="Palatino Linotype"/>
          <w:b/>
        </w:rPr>
        <w:t>Recurrente</w:t>
      </w:r>
      <w:r w:rsidRPr="00DB1D98">
        <w:rPr>
          <w:rFonts w:ascii="Palatino Linotype" w:eastAsia="Palatino Linotype" w:hAnsi="Palatino Linotype" w:cs="Palatino Linotype"/>
        </w:rPr>
        <w:t xml:space="preserve"> manifestó, de manera expresa, que no se entregaron los estudios y los contratos que fueron solicitados.</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En este orden de ideas, el resto de los datos proporcionados en la relación de los 22 contratos adjudicados uno de enero de dos mil veintiuno al diecinueve de agosto de dos mil veintidós,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satisface la solicitud presentada.</w:t>
      </w:r>
    </w:p>
    <w:p w:rsidR="005622FD" w:rsidRPr="00DB1D98" w:rsidRDefault="0070232F">
      <w:pPr>
        <w:spacing w:before="240" w:after="36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Lo anterior es así, debido a que cuando la parte </w:t>
      </w:r>
      <w:r w:rsidRPr="00DB1D98">
        <w:rPr>
          <w:rFonts w:ascii="Palatino Linotype" w:eastAsia="Palatino Linotype" w:hAnsi="Palatino Linotype" w:cs="Palatino Linotype"/>
          <w:b/>
        </w:rPr>
        <w:t>Recurrente</w:t>
      </w:r>
      <w:r w:rsidRPr="00DB1D98">
        <w:rPr>
          <w:rFonts w:ascii="Palatino Linotype" w:eastAsia="Palatino Linotype" w:hAnsi="Palatino Linotype" w:cs="Palatino Linotype"/>
        </w:rPr>
        <w:t xml:space="preserve"> impugna la respuesta del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xml:space="preserve">, y este no expresa Razón o Motivo de Inconformidad en contra de todos los rubros solicitados, dichos rubros deben declararse atendidos, pues se entiende que la parte </w:t>
      </w:r>
      <w:r w:rsidRPr="00DB1D98">
        <w:rPr>
          <w:rFonts w:ascii="Palatino Linotype" w:eastAsia="Palatino Linotype" w:hAnsi="Palatino Linotype" w:cs="Palatino Linotype"/>
          <w:b/>
        </w:rPr>
        <w:t xml:space="preserve">Recurrente </w:t>
      </w:r>
      <w:r w:rsidRPr="00DB1D98">
        <w:rPr>
          <w:rFonts w:ascii="Palatino Linotype" w:eastAsia="Palatino Linotype" w:hAnsi="Palatino Linotype" w:cs="Palatino Linotype"/>
        </w:rPr>
        <w:t xml:space="preserve">ésta conforme con la información entregada al no contravenir la misma. Sirve de Apoyo a lo anterior, por analogía la Tesis </w:t>
      </w:r>
      <w:r w:rsidRPr="00DB1D98">
        <w:rPr>
          <w:rFonts w:ascii="Palatino Linotype" w:eastAsia="Palatino Linotype" w:hAnsi="Palatino Linotype" w:cs="Palatino Linotype"/>
        </w:rPr>
        <w:lastRenderedPageBreak/>
        <w:t>Jurisprudencial Número 3ª./J.7/91, Publicada en el Semanario Judicial de la Federación y su Gaceta bajo el número de registro 174,177, que establece lo siguiente:</w:t>
      </w:r>
    </w:p>
    <w:p w:rsidR="005622FD" w:rsidRPr="00DB1D98" w:rsidRDefault="0070232F">
      <w:pPr>
        <w:spacing w:before="240" w:after="360"/>
        <w:ind w:left="851" w:right="900"/>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 xml:space="preserve">“REVISIÓN EN AMPARO. LOS RESOLUTIVOS NO COMBATIDOS DEBEN DECLARARSE FIRMES. </w:t>
      </w:r>
      <w:r w:rsidRPr="00DB1D98">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5622FD" w:rsidRPr="00DB1D98" w:rsidRDefault="0070232F">
      <w:pPr>
        <w:spacing w:before="240" w:after="240" w:line="360" w:lineRule="auto"/>
        <w:jc w:val="both"/>
        <w:rPr>
          <w:rFonts w:ascii="Palatino Linotype" w:eastAsia="Palatino Linotype" w:hAnsi="Palatino Linotype" w:cs="Palatino Linotype"/>
        </w:rPr>
      </w:pPr>
      <w:bookmarkStart w:id="8" w:name="_heading=h.26in1rg" w:colFirst="0" w:colLast="0"/>
      <w:bookmarkEnd w:id="8"/>
      <w:r w:rsidRPr="00DB1D98">
        <w:rPr>
          <w:rFonts w:ascii="Palatino Linotype" w:eastAsia="Palatino Linotype" w:hAnsi="Palatino Linotype" w:cs="Palatino Linotype"/>
        </w:rPr>
        <w:t>Consecuentemente, se insiste, ante la falta de impugnación eficaz, la respuesta entregada debe declararse consentida por persona solicitante.</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rsidR="005622FD" w:rsidRPr="00DB1D98" w:rsidRDefault="0070232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w:t>
      </w:r>
      <w:r w:rsidRPr="00DB1D98">
        <w:rPr>
          <w:rFonts w:ascii="Palatino Linotype" w:eastAsia="Palatino Linotype" w:hAnsi="Palatino Linotype" w:cs="Palatino Linotype"/>
          <w:b/>
          <w:i/>
          <w:sz w:val="22"/>
          <w:szCs w:val="22"/>
        </w:rPr>
        <w:t xml:space="preserve">Actos consentidos tácitamente. Improcedencia de su análisis. </w:t>
      </w:r>
      <w:r w:rsidRPr="00DB1D98">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rsidR="005622FD" w:rsidRPr="00DB1D98" w:rsidRDefault="0070232F">
      <w:pPr>
        <w:ind w:left="851" w:right="900"/>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mallCaps/>
          <w:sz w:val="22"/>
          <w:szCs w:val="22"/>
        </w:rPr>
        <w:t xml:space="preserve">“ACTOS CONSENTIDOS. SON LOS QUE NO SE IMPUGNAN MEDIANTE EL RECURSO IDÓNEO. </w:t>
      </w:r>
      <w:r w:rsidRPr="00DB1D98">
        <w:rPr>
          <w:rFonts w:ascii="Palatino Linotype" w:eastAsia="Palatino Linotype" w:hAnsi="Palatino Linotype" w:cs="Palatino Linotype"/>
          <w:i/>
          <w:sz w:val="22"/>
          <w:szCs w:val="22"/>
        </w:rPr>
        <w:t xml:space="preserve">Debe reputarse como consentido el acto que no se impugnó por el medio establecido por la ley, ya que si se hizo uso de otro no previsto por ella o si se hace una simple manifestación de inconformidad, tales </w:t>
      </w:r>
      <w:r w:rsidRPr="00DB1D98">
        <w:rPr>
          <w:rFonts w:ascii="Palatino Linotype" w:eastAsia="Palatino Linotype" w:hAnsi="Palatino Linotype" w:cs="Palatino Linotype"/>
          <w:i/>
          <w:sz w:val="22"/>
          <w:szCs w:val="22"/>
        </w:rPr>
        <w:lastRenderedPageBreak/>
        <w:t>actuaciones no producen efectos jurídicos tendientes a revocar, confirmar o modificar el acto reclamado en amparo, lo que significa consentimiento del mismo por falta de impugnación eficaz.”</w:t>
      </w:r>
    </w:p>
    <w:p w:rsidR="005622FD" w:rsidRPr="00DB1D98" w:rsidRDefault="0070232F">
      <w:pPr>
        <w:spacing w:before="240" w:after="240" w:line="360" w:lineRule="auto"/>
        <w:ind w:right="51"/>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Asimismo, no escapa de la óptica de este Organismo Garante que la persona solicitante pretendió ampliar la solicitud a través de su recurso de revisión, pues señaló que no le fueron entregados los contratos que fueron requeridos, no obstante, como se advierte en el antecedente 1 de la presente resolución, dichos documentos no fueron solicitados en un primer momento, en otras palabras, la entrega de los contratos celebrados con motivo de las obras y proyectos relacionados con infraestructura carretera, no fue requerida en la solicitud primigenia. En este sentido, dichos pronunciamientos se traducen como una </w:t>
      </w:r>
      <w:r w:rsidRPr="00DB1D98">
        <w:rPr>
          <w:rFonts w:ascii="Palatino Linotype" w:eastAsia="Palatino Linotype" w:hAnsi="Palatino Linotype" w:cs="Palatino Linotype"/>
          <w:i/>
        </w:rPr>
        <w:t>plus petitio</w:t>
      </w:r>
      <w:r w:rsidRPr="00DB1D98">
        <w:rPr>
          <w:rFonts w:ascii="Palatino Linotype" w:eastAsia="Palatino Linotype" w:hAnsi="Palatino Linotype" w:cs="Palatino Linotype"/>
          <w:b/>
          <w:i/>
        </w:rPr>
        <w:t xml:space="preserve">, </w:t>
      </w:r>
      <w:r w:rsidRPr="00DB1D98">
        <w:rPr>
          <w:rFonts w:ascii="Palatino Linotype" w:eastAsia="Palatino Linotype" w:hAnsi="Palatino Linotype" w:cs="Palatino Linotype"/>
        </w:rPr>
        <w:t>y por tanto inatendibles a través del recurso de revisión.</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Lo anterior se estima así, ya que una vez formulada su solicitud inicial,</w:t>
      </w:r>
      <w:r w:rsidRPr="00DB1D98">
        <w:rPr>
          <w:rFonts w:ascii="Palatino Linotype" w:eastAsia="Palatino Linotype" w:hAnsi="Palatino Linotype" w:cs="Palatino Linotype"/>
          <w:i/>
        </w:rPr>
        <w:t xml:space="preserve"> </w:t>
      </w:r>
      <w:r w:rsidRPr="00DB1D98">
        <w:rPr>
          <w:rFonts w:ascii="Palatino Linotype" w:eastAsia="Palatino Linotype" w:hAnsi="Palatino Linotype" w:cs="Palatino Linotype"/>
        </w:rPr>
        <w:t>los particulares no pueden modificarla o ampliarla a través de posteriores promociones o en el momento de ingresar su recurso de revisión y menos aún si les fue otorgada la oportunidad para su ampliación, por tanto, la materia de las solicitudes de información se circunscribe a que se permita el acceso a los documentos inicialmente solicitados y en su caso a los aclarados o corregidos.</w:t>
      </w:r>
    </w:p>
    <w:p w:rsidR="005622FD" w:rsidRPr="00DB1D98" w:rsidRDefault="0070232F">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rsidR="005622FD" w:rsidRPr="00DB1D98" w:rsidRDefault="0070232F">
      <w:pPr>
        <w:spacing w:before="240" w:after="240"/>
        <w:ind w:left="851" w:right="900"/>
        <w:jc w:val="both"/>
        <w:rPr>
          <w:rFonts w:ascii="Palatino Linotype" w:eastAsia="Palatino Linotype" w:hAnsi="Palatino Linotype" w:cs="Palatino Linotype"/>
        </w:rPr>
      </w:pPr>
      <w:r w:rsidRPr="00DB1D98">
        <w:rPr>
          <w:rFonts w:ascii="Palatino Linotype" w:eastAsia="Palatino Linotype" w:hAnsi="Palatino Linotype" w:cs="Palatino Linotype"/>
          <w:i/>
          <w:sz w:val="22"/>
          <w:szCs w:val="22"/>
        </w:rPr>
        <w:t>“</w:t>
      </w:r>
      <w:r w:rsidRPr="00DB1D98">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DB1D98">
        <w:rPr>
          <w:rFonts w:ascii="Palatino Linotype" w:eastAsia="Palatino Linotype" w:hAnsi="Palatino Linotype" w:cs="Palatino Linotype"/>
          <w:i/>
          <w:sz w:val="22"/>
          <w:szCs w:val="22"/>
        </w:rPr>
        <w:t xml:space="preserve">En términos de los </w:t>
      </w:r>
      <w:r w:rsidRPr="00DB1D98">
        <w:rPr>
          <w:rFonts w:ascii="Palatino Linotype" w:eastAsia="Palatino Linotype" w:hAnsi="Palatino Linotype" w:cs="Palatino Linotype"/>
          <w:i/>
          <w:sz w:val="22"/>
          <w:szCs w:val="22"/>
        </w:rPr>
        <w:lastRenderedPageBreak/>
        <w:t>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DB1D98">
        <w:rPr>
          <w:rFonts w:ascii="Palatino Linotype" w:eastAsia="Palatino Linotype" w:hAnsi="Palatino Linotype" w:cs="Palatino Linotype"/>
          <w:b/>
          <w:i/>
          <w:sz w:val="22"/>
          <w:szCs w:val="22"/>
        </w:rPr>
        <w:t>.</w:t>
      </w:r>
      <w:r w:rsidRPr="00DB1D98">
        <w:rPr>
          <w:rFonts w:ascii="Palatino Linotype" w:eastAsia="Palatino Linotype" w:hAnsi="Palatino Linotype" w:cs="Palatino Linotype"/>
          <w:i/>
          <w:sz w:val="22"/>
          <w:szCs w:val="22"/>
        </w:rPr>
        <w:t>”</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No obstante, de lo anterior, se dejan a salvo los derechos de la persona solicitante, para que, en caso de considerar conveniente a sus intereses, el conocer la información que fue señalada, la solicite a través de una nueva solicitud de información.</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Por otro lado, una vez admitido el presente recurso de revisión, en términos del artículo 185 fracción II</w:t>
      </w:r>
      <w:r w:rsidRPr="00DB1D98">
        <w:rPr>
          <w:rFonts w:ascii="Palatino Linotype" w:eastAsia="Palatino Linotype" w:hAnsi="Palatino Linotype" w:cs="Palatino Linotype"/>
          <w:vertAlign w:val="superscript"/>
        </w:rPr>
        <w:footnoteReference w:id="2"/>
      </w:r>
      <w:r w:rsidRPr="00DB1D98">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En tal sentido, el </w:t>
      </w:r>
      <w:r w:rsidRPr="00DB1D98">
        <w:rPr>
          <w:rFonts w:ascii="Palatino Linotype" w:eastAsia="Palatino Linotype" w:hAnsi="Palatino Linotype" w:cs="Palatino Linotype"/>
          <w:b/>
        </w:rPr>
        <w:t xml:space="preserve">Sujeto Obligado, </w:t>
      </w:r>
      <w:r w:rsidRPr="00DB1D98">
        <w:rPr>
          <w:rFonts w:ascii="Palatino Linotype" w:eastAsia="Palatino Linotype" w:hAnsi="Palatino Linotype" w:cs="Palatino Linotype"/>
        </w:rPr>
        <w:t xml:space="preserve">señaló que en ningún momento se negó el derecho de acceso a la información de la parte </w:t>
      </w:r>
      <w:r w:rsidRPr="00DB1D98">
        <w:rPr>
          <w:rFonts w:ascii="Palatino Linotype" w:eastAsia="Palatino Linotype" w:hAnsi="Palatino Linotype" w:cs="Palatino Linotype"/>
          <w:b/>
        </w:rPr>
        <w:t>Recurrente</w:t>
      </w:r>
      <w:r w:rsidRPr="00DB1D98">
        <w:rPr>
          <w:rFonts w:ascii="Palatino Linotype" w:eastAsia="Palatino Linotype" w:hAnsi="Palatino Linotype" w:cs="Palatino Linotype"/>
        </w:rPr>
        <w:t>, tomando en consideración que desde la respuesta otorgada a la solicitud primigenia, se puso a disposición la información que obra en los archivos de la Unidad Administrativa competente.</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lastRenderedPageBreak/>
        <w:t xml:space="preserve">A través de la Dirección General de Vialidad, reiteró que mediante la respuesta proporcionada se informó a la parte Recurrente de manera desglosada mediante una tabla la información que solicitó, no obstante precisó que, de ser su deseo acceder en la modalidad de </w:t>
      </w:r>
      <w:r w:rsidRPr="00DB1D98">
        <w:rPr>
          <w:rFonts w:ascii="Palatino Linotype" w:eastAsia="Palatino Linotype" w:hAnsi="Palatino Linotype" w:cs="Palatino Linotype"/>
          <w:b/>
          <w:u w:val="single"/>
        </w:rPr>
        <w:t>copia simple</w:t>
      </w:r>
      <w:r w:rsidRPr="00DB1D98">
        <w:rPr>
          <w:rFonts w:ascii="Palatino Linotype" w:eastAsia="Palatino Linotype" w:hAnsi="Palatino Linotype" w:cs="Palatino Linotype"/>
        </w:rPr>
        <w:t xml:space="preserve">, es necesario cubrir el costo de reproducción correspondiente a 38,522 (treinta ocho mil quinientos veintidós) copias simples, generando un monto total de $77,066 (setenta y siete mil sesenta y seis pesos 00/100 M.N), de conformidad con el artículo 73, fracción II del Código Financiero del Estado de México, señalando el procedimiento para el cálculo correspondiente, así como para acceder a la información una vez realizado el pago de derechos por la expedición de copias simples correspondiente. </w:t>
      </w:r>
    </w:p>
    <w:p w:rsidR="005622FD" w:rsidRPr="00DB1D98" w:rsidRDefault="0070232F">
      <w:pPr>
        <w:spacing w:before="240" w:after="240" w:line="360" w:lineRule="auto"/>
        <w:jc w:val="both"/>
        <w:rPr>
          <w:rFonts w:ascii="Palatino Linotype" w:eastAsia="Palatino Linotype" w:hAnsi="Palatino Linotype" w:cs="Palatino Linotype"/>
          <w:b/>
          <w:u w:val="single"/>
        </w:rPr>
      </w:pPr>
      <w:r w:rsidRPr="00DB1D98">
        <w:rPr>
          <w:rFonts w:ascii="Palatino Linotype" w:eastAsia="Palatino Linotype" w:hAnsi="Palatino Linotype" w:cs="Palatino Linotype"/>
        </w:rPr>
        <w:t xml:space="preserve">Asimismo, señaló que en observancia del artículo 164 de la Ley de Transparencia y Acceso a la Información Pública del Estado de México y Municipios, ponía a disposición la información en virtud de que la Unidad Administrativa competente no cuenta con las herramientas tecnológicas ni con el capital humano para digitalizar la información señalada, y, finalmente refirió que </w:t>
      </w:r>
      <w:r w:rsidRPr="00DB1D98">
        <w:rPr>
          <w:rFonts w:ascii="Palatino Linotype" w:eastAsia="Palatino Linotype" w:hAnsi="Palatino Linotype" w:cs="Palatino Linotype"/>
          <w:b/>
          <w:u w:val="single"/>
        </w:rPr>
        <w:t>no era posible proporcionar la información en la modalidad de consulta directa de conformidad con lo que establece el artículo 158 de la misma Ley.</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Información que se hizo del conocimiento de la parte </w:t>
      </w:r>
      <w:r w:rsidRPr="00DB1D98">
        <w:rPr>
          <w:rFonts w:ascii="Palatino Linotype" w:eastAsia="Palatino Linotype" w:hAnsi="Palatino Linotype" w:cs="Palatino Linotype"/>
          <w:b/>
        </w:rPr>
        <w:t>Recurrente,</w:t>
      </w:r>
      <w:r w:rsidRPr="00DB1D98">
        <w:rPr>
          <w:rFonts w:ascii="Palatino Linotype" w:eastAsia="Palatino Linotype" w:hAnsi="Palatino Linotype" w:cs="Palatino Linotype"/>
        </w:rPr>
        <w:t xml:space="preserve"> a efecto de que manifestara lo que a su derecho estimara conveniente, siendo omisa en ejercer dicha prerrogativa, como se señaló anteriormente.</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Posteriormente este Instituto le requirió al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xml:space="preserve"> mediante correo electrónico precisar la cantidad de información o motivos por los cuales no era </w:t>
      </w:r>
      <w:r w:rsidRPr="00DB1D98">
        <w:rPr>
          <w:rFonts w:ascii="Palatino Linotype" w:eastAsia="Palatino Linotype" w:hAnsi="Palatino Linotype" w:cs="Palatino Linotype"/>
        </w:rPr>
        <w:lastRenderedPageBreak/>
        <w:t>posible cargar la información al sistema SAIMEX; quien, como se señaló en los antecedentes de la presente resolución, omitió dar contestación al requerimiento.</w:t>
      </w:r>
    </w:p>
    <w:p w:rsidR="005622FD" w:rsidRPr="00DB1D98" w:rsidRDefault="0070232F">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Por consiguiente, se procede al análisis de los requerimientos combatidos por la persona solicitante y la información proporcionada por el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rsidR="005622FD" w:rsidRPr="00DB1D98" w:rsidRDefault="0070232F">
      <w:pPr>
        <w:spacing w:before="240" w:after="240" w:line="360" w:lineRule="auto"/>
        <w:ind w:right="51"/>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Atento a lo anterior, recordemos que la persona solicitante solicitó, de las obras y proyectos realizados de infraestructura de carreteras contratados en el Estado de México, la entrega: </w:t>
      </w:r>
    </w:p>
    <w:p w:rsidR="005622FD" w:rsidRPr="00DB1D98" w:rsidRDefault="0070232F">
      <w:pPr>
        <w:numPr>
          <w:ilvl w:val="0"/>
          <w:numId w:val="1"/>
        </w:numPr>
        <w:pBdr>
          <w:top w:val="nil"/>
          <w:left w:val="nil"/>
          <w:bottom w:val="nil"/>
          <w:right w:val="nil"/>
          <w:between w:val="nil"/>
        </w:pBdr>
        <w:spacing w:before="240" w:line="360" w:lineRule="auto"/>
        <w:ind w:right="51"/>
        <w:jc w:val="both"/>
        <w:rPr>
          <w:rFonts w:ascii="Palatino Linotype" w:eastAsia="Palatino Linotype" w:hAnsi="Palatino Linotype" w:cs="Palatino Linotype"/>
        </w:rPr>
      </w:pPr>
      <w:r w:rsidRPr="00DB1D98">
        <w:rPr>
          <w:rFonts w:ascii="Palatino Linotype" w:eastAsia="Palatino Linotype" w:hAnsi="Palatino Linotype" w:cs="Palatino Linotype"/>
        </w:rPr>
        <w:t>Estudio de costo beneficio</w:t>
      </w:r>
    </w:p>
    <w:p w:rsidR="005622FD" w:rsidRPr="00DB1D98" w:rsidRDefault="0070232F">
      <w:pPr>
        <w:numPr>
          <w:ilvl w:val="0"/>
          <w:numId w:val="1"/>
        </w:numPr>
        <w:pBdr>
          <w:top w:val="nil"/>
          <w:left w:val="nil"/>
          <w:bottom w:val="nil"/>
          <w:right w:val="nil"/>
          <w:between w:val="nil"/>
        </w:pBdr>
        <w:spacing w:after="240" w:line="360" w:lineRule="auto"/>
        <w:ind w:right="51"/>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Estudio de factibilidad </w:t>
      </w:r>
    </w:p>
    <w:p w:rsidR="005622FD" w:rsidRPr="00DB1D98" w:rsidRDefault="0070232F">
      <w:pPr>
        <w:spacing w:before="240" w:after="240" w:line="360" w:lineRule="auto"/>
        <w:ind w:right="51"/>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Información que efectivamente no se advierte en la relación proporcionada por la Dirección General de Vialidad, no obstante, con la finalidad de garantizar el Derecho humano de acceso de la persona solicitante, en la etapa de manifestaciones el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xml:space="preserve"> reconoció de manera expresa que cuenta con la información que colmaría la solicitud interpuesta por la parte </w:t>
      </w:r>
      <w:r w:rsidRPr="00DB1D98">
        <w:rPr>
          <w:rFonts w:ascii="Palatino Linotype" w:eastAsia="Palatino Linotype" w:hAnsi="Palatino Linotype" w:cs="Palatino Linotype"/>
          <w:b/>
        </w:rPr>
        <w:t>Recurrente</w:t>
      </w:r>
      <w:r w:rsidRPr="00DB1D98">
        <w:rPr>
          <w:rFonts w:ascii="Palatino Linotype" w:eastAsia="Palatino Linotype" w:hAnsi="Palatino Linotype" w:cs="Palatino Linotype"/>
        </w:rPr>
        <w:t xml:space="preserve">, tan es así que pretendió requerir un pago de derechos por la expedición de copias simples, con fundamento en el artículo 73, fracción II del Código Financiero del Estado de México, bajo el argumento de que la Unidad Administrativa competente no contaba con las herramientas tecnológicas ni con el capital humano para digitalizar la información </w:t>
      </w:r>
      <w:r w:rsidRPr="00DB1D98">
        <w:rPr>
          <w:rFonts w:ascii="Palatino Linotype" w:eastAsia="Palatino Linotype" w:hAnsi="Palatino Linotype" w:cs="Palatino Linotype"/>
        </w:rPr>
        <w:lastRenderedPageBreak/>
        <w:t>señalada, sin embargo, es de precisar que no fundó ni motivó, de manera concreta, dicha determinación.</w:t>
      </w:r>
    </w:p>
    <w:p w:rsidR="005622FD" w:rsidRPr="00DB1D98" w:rsidRDefault="0070232F">
      <w:pPr>
        <w:spacing w:before="240" w:after="240" w:line="360" w:lineRule="auto"/>
        <w:ind w:right="51"/>
        <w:jc w:val="both"/>
        <w:rPr>
          <w:rFonts w:ascii="Palatino Linotype" w:eastAsia="Palatino Linotype" w:hAnsi="Palatino Linotype" w:cs="Palatino Linotype"/>
          <w:b/>
          <w:u w:val="single"/>
        </w:rPr>
      </w:pPr>
      <w:r w:rsidRPr="00DB1D98">
        <w:rPr>
          <w:rFonts w:ascii="Palatino Linotype" w:eastAsia="Palatino Linotype" w:hAnsi="Palatino Linotype" w:cs="Palatino Linotype"/>
        </w:rPr>
        <w:t xml:space="preserve">Lo anterior se estima así en virtud de que no se localizó en el expediente en el que se actúa argumento alguno en el que se señalara de manera clara y precisa, que los estudios requeridos se encontraban únicamente en soporte físico, la cantidad de fojas que integraban los mismos, así como tampoco se justificó la necesidad de reproducir la información a través de copias simples, sino que el servidor público habilitado competente se limitó a dar una respuesta general señalando que: </w:t>
      </w:r>
      <w:r w:rsidRPr="00DB1D98">
        <w:rPr>
          <w:rFonts w:ascii="Palatino Linotype" w:eastAsia="Palatino Linotype" w:hAnsi="Palatino Linotype" w:cs="Palatino Linotype"/>
          <w:i/>
        </w:rPr>
        <w:t xml:space="preserve">si el deseo de la persona solicitante era acceder a la información en la modalidad de copia simple era necesario cubrir el costo de reproducción de 38,522 (treinta y ocho mil quinientos veintidós) copias simples, </w:t>
      </w:r>
      <w:r w:rsidRPr="00DB1D98">
        <w:rPr>
          <w:rFonts w:ascii="Palatino Linotype" w:eastAsia="Palatino Linotype" w:hAnsi="Palatino Linotype" w:cs="Palatino Linotype"/>
          <w:b/>
          <w:u w:val="single"/>
        </w:rPr>
        <w:t>siendo de suma importancia reiterar que la parte Recurrente no se inconformó por la totalidad de la respuesta otorgada</w:t>
      </w:r>
      <w:r w:rsidRPr="00DB1D98">
        <w:rPr>
          <w:rFonts w:ascii="Palatino Linotype" w:eastAsia="Palatino Linotype" w:hAnsi="Palatino Linotype" w:cs="Palatino Linotype"/>
        </w:rPr>
        <w:t xml:space="preserve">, asimismo, que los contratos no fueron materia de la solicitud inicial, sino que </w:t>
      </w:r>
      <w:r w:rsidRPr="00DB1D98">
        <w:rPr>
          <w:rFonts w:ascii="Palatino Linotype" w:eastAsia="Palatino Linotype" w:hAnsi="Palatino Linotype" w:cs="Palatino Linotype"/>
          <w:b/>
          <w:u w:val="single"/>
        </w:rPr>
        <w:t xml:space="preserve">su inconformidad se refiere exclusivamente a los estudios de costo beneficio y de factibilidad. </w:t>
      </w:r>
    </w:p>
    <w:p w:rsidR="005622FD" w:rsidRPr="00DB1D98" w:rsidRDefault="0070232F">
      <w:pPr>
        <w:spacing w:before="240" w:after="240" w:line="360" w:lineRule="auto"/>
        <w:ind w:right="51"/>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Así las cosas, es evidente que este Organismo Garante no cuenta con elementos que den certeza sobre la necesidad el pretendido cambio de modalidad a copias simples con costo,  máxime que de conformidad con el artículo 164 de la Ley de Transparencia y Acceso a la Información Pública del Estado de México y Municipios, por regla general, el acceso a la información debe darse dará en la modalidad de entrega y, en su caso, de envío elegidos por los solicitantes, y, en aquellos casos en los que no pueda entregarse o enviarse la información en la modalidad solicitada, se deben ofrecer, de manera fundada y motivada, otras modalidades, situación que en el asunto que nos ocupa, no observó el </w:t>
      </w:r>
      <w:r w:rsidRPr="00DB1D98">
        <w:rPr>
          <w:rFonts w:ascii="Palatino Linotype" w:eastAsia="Palatino Linotype" w:hAnsi="Palatino Linotype" w:cs="Palatino Linotype"/>
          <w:b/>
        </w:rPr>
        <w:t xml:space="preserve">sujeto </w:t>
      </w:r>
      <w:r w:rsidRPr="00DB1D98">
        <w:rPr>
          <w:rFonts w:ascii="Palatino Linotype" w:eastAsia="Palatino Linotype" w:hAnsi="Palatino Linotype" w:cs="Palatino Linotype"/>
          <w:b/>
        </w:rPr>
        <w:lastRenderedPageBreak/>
        <w:t xml:space="preserve">Obligado, </w:t>
      </w:r>
      <w:r w:rsidRPr="00DB1D98">
        <w:rPr>
          <w:rFonts w:ascii="Palatino Linotype" w:eastAsia="Palatino Linotype" w:hAnsi="Palatino Linotype" w:cs="Palatino Linotype"/>
        </w:rPr>
        <w:t>pues de manera unilateral decidió poner la información de mérito a disposición de la persona solicitante únicamente a través de copias simples con costo.</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En tal contexto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de</w:t>
      </w:r>
      <w:r w:rsidRPr="00DB1D98">
        <w:rPr>
          <w:rFonts w:ascii="Palatino Linotype" w:eastAsia="Palatino Linotype" w:hAnsi="Palatino Linotype" w:cs="Palatino Linotype"/>
          <w:b/>
          <w:i/>
        </w:rPr>
        <w:t xml:space="preserve"> gratuidad</w:t>
      </w:r>
      <w:r w:rsidRPr="00DB1D98">
        <w:rPr>
          <w:rFonts w:ascii="Palatino Linotype" w:eastAsia="Palatino Linotype" w:hAnsi="Palatino Linotype" w:cs="Palatino Linotype"/>
        </w:rPr>
        <w:t>, de certeza, de celeridad, de objetividad,  entre otros.</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DB1D98">
        <w:rPr>
          <w:rFonts w:ascii="Palatino Linotype" w:eastAsia="Palatino Linotype" w:hAnsi="Palatino Linotype" w:cs="Palatino Linotype"/>
          <w:b/>
          <w:i/>
        </w:rPr>
        <w:t xml:space="preserve">reproducción </w:t>
      </w:r>
      <w:r w:rsidRPr="00DB1D98">
        <w:rPr>
          <w:rFonts w:ascii="Palatino Linotype" w:eastAsia="Palatino Linotype" w:hAnsi="Palatino Linotype" w:cs="Palatino Linotype"/>
        </w:rPr>
        <w:t xml:space="preserve">de la información, y en su caso del costo de </w:t>
      </w:r>
      <w:r w:rsidRPr="00DB1D98">
        <w:rPr>
          <w:rFonts w:ascii="Palatino Linotype" w:eastAsia="Palatino Linotype" w:hAnsi="Palatino Linotype" w:cs="Palatino Linotype"/>
          <w:b/>
          <w:i/>
        </w:rPr>
        <w:t>envío</w:t>
      </w:r>
      <w:r w:rsidRPr="00DB1D98">
        <w:rPr>
          <w:rFonts w:ascii="Palatino Linotype" w:eastAsia="Palatino Linotype" w:hAnsi="Palatino Linotype" w:cs="Palatino Linotype"/>
        </w:rPr>
        <w:t>, finalmente, conlleva implícitamente un esfuerzo por parte de los Sujetos Obligados para reducir los costos de entrega de la información.</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lastRenderedPageBreak/>
        <w:t>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DB1D98">
        <w:rPr>
          <w:rFonts w:ascii="Palatino Linotype" w:eastAsia="Palatino Linotype" w:hAnsi="Palatino Linotype" w:cs="Palatino Linotype"/>
          <w:b/>
          <w:i/>
        </w:rPr>
        <w:t>gratuitos</w:t>
      </w:r>
      <w:r w:rsidRPr="00DB1D98">
        <w:rPr>
          <w:rFonts w:ascii="Palatino Linotype" w:eastAsia="Palatino Linotype" w:hAnsi="Palatino Linotype" w:cs="Palatino Linotype"/>
          <w:b/>
        </w:rPr>
        <w:t xml:space="preserve">, </w:t>
      </w:r>
      <w:r w:rsidRPr="00DB1D98">
        <w:rPr>
          <w:rFonts w:ascii="Palatino Linotype" w:eastAsia="Palatino Linotype" w:hAnsi="Palatino Linotype" w:cs="Palatino Linotype"/>
        </w:rPr>
        <w:t xml:space="preserve"> refiere en los artículos 17 y 150, que la búsqueda y acceso a la información es gratuita y </w:t>
      </w:r>
      <w:r w:rsidRPr="00DB1D98">
        <w:rPr>
          <w:rFonts w:ascii="Palatino Linotype" w:eastAsia="Palatino Linotype" w:hAnsi="Palatino Linotype" w:cs="Palatino Linotype"/>
          <w:b/>
          <w:i/>
        </w:rPr>
        <w:t>sólo se cubrirá en su caso, los gastos de reproducción</w:t>
      </w:r>
      <w:r w:rsidRPr="00DB1D98">
        <w:rPr>
          <w:rFonts w:ascii="Palatino Linotype" w:eastAsia="Palatino Linotype" w:hAnsi="Palatino Linotype" w:cs="Palatino Linotype"/>
        </w:rPr>
        <w:t xml:space="preserve">, </w:t>
      </w:r>
      <w:r w:rsidRPr="00DB1D98">
        <w:rPr>
          <w:rFonts w:ascii="Palatino Linotype" w:eastAsia="Palatino Linotype" w:hAnsi="Palatino Linotype" w:cs="Palatino Linotype"/>
          <w:b/>
          <w:i/>
          <w:u w:val="single"/>
        </w:rPr>
        <w:t>por la modalidad de entrega solicitada</w:t>
      </w:r>
      <w:r w:rsidRPr="00DB1D98">
        <w:rPr>
          <w:rFonts w:ascii="Palatino Linotype" w:eastAsia="Palatino Linotype" w:hAnsi="Palatino Linotype" w:cs="Palatino Linotype"/>
          <w:u w:val="single"/>
        </w:rPr>
        <w:t xml:space="preserve">, </w:t>
      </w:r>
      <w:r w:rsidRPr="00DB1D98">
        <w:rPr>
          <w:rFonts w:ascii="Palatino Linotype" w:eastAsia="Palatino Linotype" w:hAnsi="Palatino Linotype" w:cs="Palatino Linotype"/>
          <w:b/>
          <w:i/>
          <w:u w:val="single"/>
        </w:rPr>
        <w:t>o por el envió</w:t>
      </w:r>
      <w:r w:rsidRPr="00DB1D98">
        <w:rPr>
          <w:rFonts w:ascii="Palatino Linotype" w:eastAsia="Palatino Linotype" w:hAnsi="Palatino Linotype" w:cs="Palatino Linotype"/>
          <w:u w:val="single"/>
        </w:rPr>
        <w:t xml:space="preserve"> </w:t>
      </w:r>
      <w:r w:rsidRPr="00DB1D98">
        <w:rPr>
          <w:rFonts w:ascii="Palatino Linotype" w:eastAsia="Palatino Linotype" w:hAnsi="Palatino Linotype" w:cs="Palatino Linotype"/>
        </w:rPr>
        <w:t xml:space="preserve">de conformidad con los derechos, productos y aprovechamientos establecidos en la legislación aplicable, en razón de que el procedimiento de acceso a la información es la garantía primaria del derecho en cuestión y </w:t>
      </w:r>
      <w:r w:rsidRPr="00DB1D98">
        <w:rPr>
          <w:rFonts w:ascii="Palatino Linotype" w:eastAsia="Palatino Linotype" w:hAnsi="Palatino Linotype" w:cs="Palatino Linotype"/>
          <w:i/>
        </w:rPr>
        <w:t>se rige por los principios de simplicidad, rapidez, gratuidad,</w:t>
      </w:r>
      <w:r w:rsidRPr="00DB1D98">
        <w:rPr>
          <w:rFonts w:ascii="Palatino Linotype" w:eastAsia="Palatino Linotype" w:hAnsi="Palatino Linotype" w:cs="Palatino Linotype"/>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realizadas por los entes públicos, lo que favorece la rendición de cuentas.</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En este tenor, por regla general la entrega de la información que se solicite en ejercicio del derecho de acceso a la información pública, deberá ser en congruencia </w:t>
      </w:r>
      <w:r w:rsidRPr="00DB1D98">
        <w:rPr>
          <w:rFonts w:ascii="Palatino Linotype" w:eastAsia="Palatino Linotype" w:hAnsi="Palatino Linotype" w:cs="Palatino Linotype"/>
        </w:rPr>
        <w:lastRenderedPageBreak/>
        <w:t xml:space="preserve">con el principio de gratuidad y solamente en casos excepcionales se procederá al cobro para la entrega de la información, lo cual ocurrirá  </w:t>
      </w:r>
      <w:r w:rsidRPr="00DB1D98">
        <w:rPr>
          <w:rFonts w:ascii="Palatino Linotype" w:eastAsia="Palatino Linotype" w:hAnsi="Palatino Linotype" w:cs="Palatino Linotype"/>
          <w:b/>
          <w:i/>
        </w:rPr>
        <w:t>en caso de que se tenga que generar un gasto por la reproducción, por el envío, o por la modalidad de entrega solicitada,</w:t>
      </w:r>
      <w:r w:rsidRPr="00DB1D98">
        <w:rPr>
          <w:rFonts w:ascii="Palatino Linotype" w:eastAsia="Palatino Linotype" w:hAnsi="Palatino Linotype" w:cs="Palatino Linotype"/>
        </w:rPr>
        <w:t xml:space="preserve"> supuestos que encuadran con lo  establecido en los artículos 9 fracción III, 17, 165, 174, 175 de la Ley de Acceso a la Información Pública del Estado de México y Municipios, así como el artículo 4.22 de su Reglamento.</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No obstante, en el caso concreto, dichos preceptos son interpretados en perjuicio de la solicitante, como se explica enseguida, para lo cual es necesario hacer referencia a los mismos en su parte conducente: </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 xml:space="preserve">“Artículo 9. </w:t>
      </w:r>
      <w:r w:rsidRPr="00DB1D98">
        <w:rPr>
          <w:rFonts w:ascii="Palatino Linotype" w:eastAsia="Palatino Linotype" w:hAnsi="Palatino Linotype" w:cs="Palatino Linotype"/>
          <w:i/>
          <w:sz w:val="22"/>
          <w:szCs w:val="22"/>
        </w:rPr>
        <w:t>El Instituto deberá regir su funcionamiento de acuerdo a los siguientes principios:</w:t>
      </w:r>
    </w:p>
    <w:p w:rsidR="005622FD" w:rsidRPr="00DB1D98" w:rsidRDefault="0070232F">
      <w:pPr>
        <w:spacing w:before="120" w:after="120"/>
        <w:ind w:left="1134" w:right="902"/>
        <w:jc w:val="both"/>
        <w:rPr>
          <w:rFonts w:ascii="Palatino Linotype" w:eastAsia="Palatino Linotype" w:hAnsi="Palatino Linotype" w:cs="Palatino Linotype"/>
          <w:b/>
          <w:i/>
          <w:sz w:val="22"/>
          <w:szCs w:val="22"/>
        </w:rPr>
      </w:pPr>
      <w:r w:rsidRPr="00DB1D98">
        <w:rPr>
          <w:rFonts w:ascii="Palatino Linotype" w:eastAsia="Palatino Linotype" w:hAnsi="Palatino Linotype" w:cs="Palatino Linotype"/>
          <w:b/>
          <w:i/>
          <w:sz w:val="22"/>
          <w:szCs w:val="22"/>
        </w:rPr>
        <w:t>...</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 xml:space="preserve">III. Gratuidad: </w:t>
      </w:r>
      <w:r w:rsidRPr="00DB1D98">
        <w:rPr>
          <w:rFonts w:ascii="Palatino Linotype" w:eastAsia="Palatino Linotype" w:hAnsi="Palatino Linotype" w:cs="Palatino Linotype"/>
          <w:i/>
          <w:sz w:val="22"/>
          <w:szCs w:val="22"/>
        </w:rPr>
        <w:t xml:space="preserve">Consiste en que el acceso a la información pública no genera costo alguno para los solicitantes, </w:t>
      </w:r>
      <w:r w:rsidRPr="00DB1D98">
        <w:rPr>
          <w:rFonts w:ascii="Palatino Linotype" w:eastAsia="Palatino Linotype" w:hAnsi="Palatino Linotype" w:cs="Palatino Linotype"/>
          <w:b/>
          <w:i/>
          <w:sz w:val="22"/>
          <w:szCs w:val="22"/>
        </w:rPr>
        <w:t xml:space="preserve">sólo podrá requerirse el cobro correspondiente a la modalidad de reproducción y entrega solicitada </w:t>
      </w:r>
      <w:r w:rsidRPr="00DB1D98">
        <w:rPr>
          <w:rFonts w:ascii="Palatino Linotype" w:eastAsia="Palatino Linotype" w:hAnsi="Palatino Linotype" w:cs="Palatino Linotype"/>
          <w:i/>
          <w:sz w:val="22"/>
          <w:szCs w:val="22"/>
        </w:rPr>
        <w:t>conforme a lo establecido en la presente Ley y demás disposiciones jurídicas aplicables;</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 xml:space="preserve">Artículo 17. </w:t>
      </w:r>
      <w:r w:rsidRPr="00DB1D98">
        <w:rPr>
          <w:rFonts w:ascii="Palatino Linotype" w:eastAsia="Palatino Linotype" w:hAnsi="Palatino Linotype" w:cs="Palatino Linotype"/>
          <w:i/>
          <w:sz w:val="22"/>
          <w:szCs w:val="22"/>
        </w:rPr>
        <w:t xml:space="preserve">La búsqueda y acceso a la información es gratuita y </w:t>
      </w:r>
      <w:r w:rsidRPr="00DB1D98">
        <w:rPr>
          <w:rFonts w:ascii="Palatino Linotype" w:eastAsia="Palatino Linotype" w:hAnsi="Palatino Linotype" w:cs="Palatino Linotype"/>
          <w:b/>
          <w:i/>
          <w:sz w:val="22"/>
          <w:szCs w:val="22"/>
        </w:rPr>
        <w:t>solo se cubrirán los gastos de reproducción, o por la modalidad de entrega solicitada</w:t>
      </w:r>
      <w:r w:rsidRPr="00DB1D98">
        <w:rPr>
          <w:rFonts w:ascii="Palatino Linotype" w:eastAsia="Palatino Linotype" w:hAnsi="Palatino Linotype" w:cs="Palatino Linotype"/>
          <w:i/>
          <w:sz w:val="22"/>
          <w:szCs w:val="22"/>
        </w:rPr>
        <w:t xml:space="preserve">, </w:t>
      </w:r>
      <w:r w:rsidRPr="00DB1D98">
        <w:rPr>
          <w:rFonts w:ascii="Palatino Linotype" w:eastAsia="Palatino Linotype" w:hAnsi="Palatino Linotype" w:cs="Palatino Linotype"/>
          <w:b/>
          <w:i/>
          <w:sz w:val="22"/>
          <w:szCs w:val="22"/>
        </w:rPr>
        <w:t>así como por el envío</w:t>
      </w:r>
      <w:r w:rsidRPr="00DB1D98">
        <w:rPr>
          <w:rFonts w:ascii="Palatino Linotype" w:eastAsia="Palatino Linotype" w:hAnsi="Palatino Linotype" w:cs="Palatino Linotype"/>
          <w:i/>
          <w:sz w:val="22"/>
          <w:szCs w:val="22"/>
        </w:rPr>
        <w:t>, que en su caso se genere, de conformidad con los derechos, productos y aprovechamientos establecidos en la legislación aplicable, sin que exceda de los límites establecidos en la presente Ley.</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Artículo 165. …</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 xml:space="preserve">La información que se entregue en versión pública, </w:t>
      </w:r>
      <w:r w:rsidRPr="00DB1D98">
        <w:rPr>
          <w:rFonts w:ascii="Palatino Linotype" w:eastAsia="Palatino Linotype" w:hAnsi="Palatino Linotype" w:cs="Palatino Linotype"/>
          <w:b/>
          <w:i/>
          <w:sz w:val="22"/>
          <w:szCs w:val="22"/>
        </w:rPr>
        <w:t xml:space="preserve">cuya modalidad de reproducción o envío tenga un costo, </w:t>
      </w:r>
      <w:r w:rsidRPr="00DB1D98">
        <w:rPr>
          <w:rFonts w:ascii="Palatino Linotype" w:eastAsia="Palatino Linotype" w:hAnsi="Palatino Linotype" w:cs="Palatino Linotype"/>
          <w:i/>
          <w:sz w:val="22"/>
          <w:szCs w:val="22"/>
        </w:rPr>
        <w:t>procederá una vez que se acredite el pago respectivo. No puede entenderse como reproducción la elaboración de la misma.</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lastRenderedPageBreak/>
        <w:t xml:space="preserve"> Artículo 174. En caso de existir costos para obtener la información</w:t>
      </w:r>
      <w:r w:rsidRPr="00DB1D98">
        <w:rPr>
          <w:rFonts w:ascii="Palatino Linotype" w:eastAsia="Palatino Linotype" w:hAnsi="Palatino Linotype" w:cs="Palatino Linotype"/>
          <w:i/>
          <w:sz w:val="22"/>
          <w:szCs w:val="22"/>
        </w:rPr>
        <w:t xml:space="preserve"> deberán cubrirse de manera previa a la entrega y </w:t>
      </w:r>
      <w:r w:rsidRPr="00DB1D98">
        <w:rPr>
          <w:rFonts w:ascii="Palatino Linotype" w:eastAsia="Palatino Linotype" w:hAnsi="Palatino Linotype" w:cs="Palatino Linotype"/>
          <w:b/>
          <w:i/>
          <w:sz w:val="22"/>
          <w:szCs w:val="22"/>
        </w:rPr>
        <w:t>no podrán ser superiores a la suma de</w:t>
      </w:r>
      <w:r w:rsidRPr="00DB1D98">
        <w:rPr>
          <w:rFonts w:ascii="Palatino Linotype" w:eastAsia="Palatino Linotype" w:hAnsi="Palatino Linotype" w:cs="Palatino Linotype"/>
          <w:i/>
          <w:sz w:val="22"/>
          <w:szCs w:val="22"/>
        </w:rPr>
        <w:t>:</w:t>
      </w:r>
    </w:p>
    <w:p w:rsidR="005622FD" w:rsidRPr="00DB1D98" w:rsidRDefault="005622FD">
      <w:pPr>
        <w:spacing w:before="120" w:after="120"/>
        <w:ind w:left="851" w:right="902"/>
        <w:jc w:val="both"/>
        <w:rPr>
          <w:rFonts w:ascii="Palatino Linotype" w:eastAsia="Palatino Linotype" w:hAnsi="Palatino Linotype" w:cs="Palatino Linotype"/>
          <w:i/>
          <w:sz w:val="22"/>
          <w:szCs w:val="22"/>
        </w:rPr>
      </w:pP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I.</w:t>
      </w:r>
      <w:r w:rsidRPr="00DB1D98">
        <w:rPr>
          <w:rFonts w:ascii="Palatino Linotype" w:eastAsia="Palatino Linotype" w:hAnsi="Palatino Linotype" w:cs="Palatino Linotype"/>
          <w:i/>
          <w:sz w:val="22"/>
          <w:szCs w:val="22"/>
        </w:rPr>
        <w:t xml:space="preserve"> </w:t>
      </w:r>
      <w:r w:rsidRPr="00DB1D98">
        <w:rPr>
          <w:rFonts w:ascii="Palatino Linotype" w:eastAsia="Palatino Linotype" w:hAnsi="Palatino Linotype" w:cs="Palatino Linotype"/>
          <w:b/>
          <w:i/>
          <w:sz w:val="22"/>
          <w:szCs w:val="22"/>
        </w:rPr>
        <w:t>El costo de los materiales utilizados en la reproducción</w:t>
      </w:r>
      <w:r w:rsidRPr="00DB1D98">
        <w:rPr>
          <w:rFonts w:ascii="Palatino Linotype" w:eastAsia="Palatino Linotype" w:hAnsi="Palatino Linotype" w:cs="Palatino Linotype"/>
          <w:i/>
          <w:sz w:val="22"/>
          <w:szCs w:val="22"/>
        </w:rPr>
        <w:t xml:space="preserve"> de la información;</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II.</w:t>
      </w:r>
      <w:r w:rsidRPr="00DB1D98">
        <w:rPr>
          <w:rFonts w:ascii="Palatino Linotype" w:eastAsia="Palatino Linotype" w:hAnsi="Palatino Linotype" w:cs="Palatino Linotype"/>
          <w:i/>
          <w:sz w:val="22"/>
          <w:szCs w:val="22"/>
        </w:rPr>
        <w:t xml:space="preserve"> </w:t>
      </w:r>
      <w:r w:rsidRPr="00DB1D98">
        <w:rPr>
          <w:rFonts w:ascii="Palatino Linotype" w:eastAsia="Palatino Linotype" w:hAnsi="Palatino Linotype" w:cs="Palatino Linotype"/>
          <w:b/>
          <w:i/>
          <w:sz w:val="22"/>
          <w:szCs w:val="22"/>
        </w:rPr>
        <w:t>El costo de envío</w:t>
      </w:r>
      <w:r w:rsidRPr="00DB1D98">
        <w:rPr>
          <w:rFonts w:ascii="Palatino Linotype" w:eastAsia="Palatino Linotype" w:hAnsi="Palatino Linotype" w:cs="Palatino Linotype"/>
          <w:i/>
          <w:sz w:val="22"/>
          <w:szCs w:val="22"/>
        </w:rPr>
        <w:t>, en su caso; y</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III.</w:t>
      </w:r>
      <w:r w:rsidRPr="00DB1D98">
        <w:rPr>
          <w:rFonts w:ascii="Palatino Linotype" w:eastAsia="Palatino Linotype" w:hAnsi="Palatino Linotype" w:cs="Palatino Linotype"/>
          <w:i/>
          <w:sz w:val="22"/>
          <w:szCs w:val="22"/>
        </w:rPr>
        <w:t xml:space="preserve"> </w:t>
      </w:r>
      <w:r w:rsidRPr="00DB1D98">
        <w:rPr>
          <w:rFonts w:ascii="Palatino Linotype" w:eastAsia="Palatino Linotype" w:hAnsi="Palatino Linotype" w:cs="Palatino Linotype"/>
          <w:b/>
          <w:i/>
          <w:sz w:val="22"/>
          <w:szCs w:val="22"/>
        </w:rPr>
        <w:t>El pago de la certificación de los documentos</w:t>
      </w:r>
      <w:r w:rsidRPr="00DB1D98">
        <w:rPr>
          <w:rFonts w:ascii="Palatino Linotype" w:eastAsia="Palatino Linotype" w:hAnsi="Palatino Linotype" w:cs="Palatino Linotype"/>
          <w:i/>
          <w:sz w:val="22"/>
          <w:szCs w:val="22"/>
        </w:rPr>
        <w:t>, cuando proceda.</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 xml:space="preserve">Las cuotas de los derechos aplicables deberán establecerse, en su caso, en el </w:t>
      </w:r>
      <w:r w:rsidRPr="00DB1D98">
        <w:rPr>
          <w:rFonts w:ascii="Palatino Linotype" w:eastAsia="Palatino Linotype" w:hAnsi="Palatino Linotype" w:cs="Palatino Linotype"/>
          <w:b/>
          <w:i/>
          <w:sz w:val="22"/>
          <w:szCs w:val="22"/>
        </w:rPr>
        <w:t>Código Financiero del Estado de México y Municipios</w:t>
      </w:r>
      <w:r w:rsidRPr="00DB1D98">
        <w:rPr>
          <w:rFonts w:ascii="Palatino Linotype" w:eastAsia="Palatino Linotype" w:hAnsi="Palatino Linotype" w:cs="Palatino Linotype"/>
          <w:i/>
          <w:sz w:val="22"/>
          <w:szCs w:val="22"/>
        </w:rPr>
        <w:t xml:space="preserve"> y demás disposiciones jurídicas aplicables, las cuales se publicarán en los sitios de internet de los sujetos obligados…” </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 xml:space="preserve">Artículo 175. </w:t>
      </w:r>
      <w:r w:rsidRPr="00DB1D98">
        <w:rPr>
          <w:rFonts w:ascii="Palatino Linotype" w:eastAsia="Palatino Linotype" w:hAnsi="Palatino Linotype" w:cs="Palatino Linotype"/>
          <w:i/>
          <w:sz w:val="22"/>
          <w:szCs w:val="22"/>
        </w:rPr>
        <w:t>…</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En ningún caso, el pago de derechos deberá exceder el</w:t>
      </w:r>
      <w:r w:rsidRPr="00DB1D98">
        <w:rPr>
          <w:rFonts w:ascii="Palatino Linotype" w:eastAsia="Palatino Linotype" w:hAnsi="Palatino Linotype" w:cs="Palatino Linotype"/>
          <w:b/>
          <w:i/>
          <w:sz w:val="22"/>
          <w:szCs w:val="22"/>
        </w:rPr>
        <w:t xml:space="preserve"> costo de reproducción de la información en el material solicitado</w:t>
      </w:r>
      <w:r w:rsidRPr="00DB1D98">
        <w:rPr>
          <w:rFonts w:ascii="Palatino Linotype" w:eastAsia="Palatino Linotype" w:hAnsi="Palatino Linotype" w:cs="Palatino Linotype"/>
          <w:i/>
          <w:sz w:val="22"/>
          <w:szCs w:val="22"/>
        </w:rPr>
        <w:t>.”</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w:t>
      </w:r>
      <w:r w:rsidRPr="00DB1D98">
        <w:rPr>
          <w:rFonts w:ascii="Palatino Linotype" w:eastAsia="Palatino Linotype" w:hAnsi="Palatino Linotype" w:cs="Palatino Linotype"/>
          <w:b/>
          <w:i/>
          <w:sz w:val="22"/>
          <w:szCs w:val="22"/>
        </w:rPr>
        <w:t>Artículo 4.22</w:t>
      </w:r>
      <w:r w:rsidRPr="00DB1D98">
        <w:rPr>
          <w:rFonts w:ascii="Palatino Linotype" w:eastAsia="Palatino Linotype" w:hAnsi="Palatino Linotype" w:cs="Palatino Linotype"/>
          <w:i/>
          <w:sz w:val="22"/>
          <w:szCs w:val="22"/>
        </w:rPr>
        <w:t>.- 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que nos ocupa, no se estima que se actualice alguno de los supuestos previstos en la norma, toda vez que </w:t>
      </w:r>
      <w:r w:rsidRPr="00DB1D98">
        <w:rPr>
          <w:rFonts w:ascii="Palatino Linotype" w:eastAsia="Palatino Linotype" w:hAnsi="Palatino Linotype" w:cs="Palatino Linotype"/>
          <w:b/>
          <w:u w:val="single"/>
        </w:rPr>
        <w:t xml:space="preserve">la persona solicitante requirió la información a través del </w:t>
      </w:r>
      <w:r w:rsidRPr="00DB1D98">
        <w:rPr>
          <w:rFonts w:ascii="Palatino Linotype" w:eastAsia="Palatino Linotype" w:hAnsi="Palatino Linotype" w:cs="Palatino Linotype"/>
          <w:b/>
          <w:u w:val="single"/>
        </w:rPr>
        <w:lastRenderedPageBreak/>
        <w:t>sistema SAIMEX,</w:t>
      </w:r>
      <w:r w:rsidRPr="00DB1D98">
        <w:rPr>
          <w:rFonts w:ascii="Palatino Linotype" w:eastAsia="Palatino Linotype" w:hAnsi="Palatino Linotype" w:cs="Palatino Linotype"/>
        </w:rPr>
        <w:t xml:space="preserve"> por lo tanto no se le está requiriendo al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xml:space="preserve"> que expida copias simples, certificadas o que reproduzca la información que ya asumió poseer, en cualquier otro medio físico, sino que proporcione la información de manera electrónica, en otras palabras, con la finalidad de satisfacer la solicitud, </w:t>
      </w:r>
      <w:r w:rsidRPr="00DB1D98">
        <w:rPr>
          <w:rFonts w:ascii="Palatino Linotype" w:eastAsia="Palatino Linotype" w:hAnsi="Palatino Linotype" w:cs="Palatino Linotype"/>
          <w:b/>
        </w:rPr>
        <w:t>no es necesario que el Sujeto Obligado realice una reproducción física de la información que conserva en sus archivos,</w:t>
      </w:r>
      <w:r w:rsidRPr="00DB1D98">
        <w:rPr>
          <w:rFonts w:ascii="Palatino Linotype" w:eastAsia="Palatino Linotype" w:hAnsi="Palatino Linotype" w:cs="Palatino Linotype"/>
        </w:rPr>
        <w:t xml:space="preserve"> más bien implicaría realizar una digitalización o escaneo de aquellos documentos que por su naturaleza se encuentran en un medio físico.</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Siendo necesario precisar que la digitalización o escaneo de la información, no conlleva la utilización de materiales que le generen un costo, como podría serlo por ejemplo hojas de papel para la emisión de copias; de igual manera, tampoco se actualiza el cobro por certificación, ya que la parte solicitante no requirió la entrega en dicha modalidad, así tampoco se genera un gasto por el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w:t>
      </w:r>
      <w:r w:rsidRPr="00DB1D98">
        <w:rPr>
          <w:rFonts w:ascii="Palatino Linotype" w:eastAsia="Palatino Linotype" w:hAnsi="Palatino Linotype" w:cs="Palatino Linotype"/>
        </w:rPr>
        <w:lastRenderedPageBreak/>
        <w:t xml:space="preserve">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DB1D98">
        <w:rPr>
          <w:rFonts w:ascii="Palatino Linotype" w:eastAsia="Palatino Linotype" w:hAnsi="Palatino Linotype" w:cs="Palatino Linotype"/>
          <w:b/>
        </w:rPr>
        <w:t xml:space="preserve">ningún costo, </w:t>
      </w:r>
      <w:r w:rsidRPr="00DB1D98">
        <w:rPr>
          <w:rFonts w:ascii="Palatino Linotype" w:eastAsia="Palatino Linotype" w:hAnsi="Palatino Linotype" w:cs="Palatino Linotype"/>
        </w:rPr>
        <w:t>incluyendo aquella que se hubiera digitalizado previamente por cualquier motivo, y aún menos en aquellos casos en que la modalidad de entrega sea por medio de la plataforma o vía electrónica.</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Por lo que no existe presupuesto jurídico que autorice al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xml:space="preserve"> a requerir 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Bajo esta óptica, el derecho del particular de acceder a los documentos que obran en posesión del </w:t>
      </w:r>
      <w:r w:rsidRPr="00DB1D98">
        <w:rPr>
          <w:rFonts w:ascii="Palatino Linotype" w:eastAsia="Palatino Linotype" w:hAnsi="Palatino Linotype" w:cs="Palatino Linotype"/>
          <w:b/>
        </w:rPr>
        <w:t xml:space="preserve">Sujeto Obligado </w:t>
      </w:r>
      <w:r w:rsidRPr="00DB1D98">
        <w:rPr>
          <w:rFonts w:ascii="Palatino Linotype" w:eastAsia="Palatino Linotype" w:hAnsi="Palatino Linotype" w:cs="Palatino Linotype"/>
        </w:rPr>
        <w:t xml:space="preserve">se encuentra limitado, en virtud de que no le fue </w:t>
      </w:r>
      <w:r w:rsidRPr="00DB1D98">
        <w:rPr>
          <w:rFonts w:ascii="Palatino Linotype" w:eastAsia="Palatino Linotype" w:hAnsi="Palatino Linotype" w:cs="Palatino Linotype"/>
        </w:rPr>
        <w:lastRenderedPageBreak/>
        <w:t>proporcionada la información solicitada, incumpliendo así lo previsto en el artículo 4</w:t>
      </w:r>
      <w:r w:rsidRPr="00DB1D98">
        <w:rPr>
          <w:rFonts w:ascii="Palatino Linotype" w:eastAsia="Palatino Linotype" w:hAnsi="Palatino Linotype" w:cs="Palatino Linotype"/>
          <w:vertAlign w:val="superscript"/>
        </w:rPr>
        <w:footnoteReference w:id="3"/>
      </w:r>
      <w:r w:rsidRPr="00DB1D98">
        <w:rPr>
          <w:rFonts w:ascii="Palatino Linotype" w:eastAsia="Palatino Linotype" w:hAnsi="Palatino Linotype" w:cs="Palatino Linotype"/>
        </w:rPr>
        <w:t xml:space="preserve"> de la Ley de la Materia;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5622FD" w:rsidRPr="00DB1D98" w:rsidRDefault="0070232F">
      <w:pPr>
        <w:spacing w:before="240" w:after="240" w:line="360" w:lineRule="auto"/>
        <w:jc w:val="both"/>
      </w:pPr>
      <w:r w:rsidRPr="00DB1D98">
        <w:rPr>
          <w:rFonts w:ascii="Palatino Linotype" w:eastAsia="Palatino Linotype" w:hAnsi="Palatino Linotype" w:cs="Palatino Linotype"/>
        </w:rPr>
        <w:t xml:space="preserve">Ahora bien, tomando en consideración la materia de los requerimientos combatidos, es imprescindible mencionar que de conformidad con el artículo 8, fracción II del Reglamento del Libro Décimo Segundo del Código Administrativo del Estado de México, al realizar la planeación de una obra pública o servicio, las dependencias, es decir, las las secretarías y unidades administrativas del Poder Ejecutivo del Estado y la Fiscalía General de Justicia del Estado, deberán considerar, además de lo previsto en el Libro Décimo Segundo , la debida realización del </w:t>
      </w:r>
      <w:r w:rsidRPr="00DB1D98">
        <w:rPr>
          <w:rFonts w:ascii="Palatino Linotype" w:eastAsia="Palatino Linotype" w:hAnsi="Palatino Linotype" w:cs="Palatino Linotype"/>
          <w:b/>
        </w:rPr>
        <w:t xml:space="preserve">análisis de </w:t>
      </w:r>
      <w:r w:rsidRPr="00DB1D98">
        <w:rPr>
          <w:rFonts w:ascii="Palatino Linotype" w:eastAsia="Palatino Linotype" w:hAnsi="Palatino Linotype" w:cs="Palatino Linotype"/>
          <w:b/>
        </w:rPr>
        <w:lastRenderedPageBreak/>
        <w:t>factibilidad técnica</w:t>
      </w:r>
      <w:r w:rsidRPr="00DB1D98">
        <w:rPr>
          <w:rFonts w:ascii="Palatino Linotype" w:eastAsia="Palatino Linotype" w:hAnsi="Palatino Linotype" w:cs="Palatino Linotype"/>
        </w:rPr>
        <w:t xml:space="preserve">, económica, social, ecológica, ambiental y, en su caso, </w:t>
      </w:r>
      <w:r w:rsidRPr="00DB1D98">
        <w:rPr>
          <w:rFonts w:ascii="Palatino Linotype" w:eastAsia="Palatino Linotype" w:hAnsi="Palatino Linotype" w:cs="Palatino Linotype"/>
          <w:b/>
        </w:rPr>
        <w:t xml:space="preserve">los estudios de costo beneficio, </w:t>
      </w:r>
      <w:r w:rsidRPr="00DB1D98">
        <w:rPr>
          <w:rFonts w:ascii="Palatino Linotype" w:eastAsia="Palatino Linotype" w:hAnsi="Palatino Linotype" w:cs="Palatino Linotype"/>
        </w:rPr>
        <w:t>a saber:</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w:t>
      </w:r>
      <w:r w:rsidRPr="00DB1D98">
        <w:rPr>
          <w:rFonts w:ascii="Palatino Linotype" w:eastAsia="Palatino Linotype" w:hAnsi="Palatino Linotype" w:cs="Palatino Linotype"/>
          <w:b/>
          <w:i/>
          <w:sz w:val="22"/>
          <w:szCs w:val="22"/>
        </w:rPr>
        <w:t>Artículo 8</w:t>
      </w:r>
      <w:r w:rsidRPr="00DB1D98">
        <w:rPr>
          <w:rFonts w:ascii="Palatino Linotype" w:eastAsia="Palatino Linotype" w:hAnsi="Palatino Linotype" w:cs="Palatino Linotype"/>
          <w:i/>
          <w:sz w:val="22"/>
          <w:szCs w:val="22"/>
        </w:rPr>
        <w:t>.- Las dependencias, entidades y, en su caso, los ayuntamientos, al realizar la planeación de una obra pública o servicio, deberán considerar, además de lo previsto en el Libro, lo siguiente:</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II.</w:t>
      </w:r>
      <w:r w:rsidRPr="00DB1D98">
        <w:rPr>
          <w:rFonts w:ascii="Palatino Linotype" w:eastAsia="Palatino Linotype" w:hAnsi="Palatino Linotype" w:cs="Palatino Linotype"/>
          <w:i/>
          <w:sz w:val="22"/>
          <w:szCs w:val="22"/>
        </w:rPr>
        <w:t xml:space="preserve"> La debida </w:t>
      </w:r>
      <w:r w:rsidRPr="00DB1D98">
        <w:rPr>
          <w:rFonts w:ascii="Palatino Linotype" w:eastAsia="Palatino Linotype" w:hAnsi="Palatino Linotype" w:cs="Palatino Linotype"/>
          <w:b/>
          <w:i/>
          <w:sz w:val="22"/>
          <w:szCs w:val="22"/>
        </w:rPr>
        <w:t>realización del análisis de factibilidad técnica</w:t>
      </w:r>
      <w:r w:rsidRPr="00DB1D98">
        <w:rPr>
          <w:rFonts w:ascii="Palatino Linotype" w:eastAsia="Palatino Linotype" w:hAnsi="Palatino Linotype" w:cs="Palatino Linotype"/>
          <w:i/>
          <w:sz w:val="22"/>
          <w:szCs w:val="22"/>
        </w:rPr>
        <w:t xml:space="preserve">, económica, social, ecológica, ambiental y, en su caso, los </w:t>
      </w:r>
      <w:r w:rsidRPr="00DB1D98">
        <w:rPr>
          <w:rFonts w:ascii="Palatino Linotype" w:eastAsia="Palatino Linotype" w:hAnsi="Palatino Linotype" w:cs="Palatino Linotype"/>
          <w:b/>
          <w:i/>
          <w:sz w:val="22"/>
          <w:szCs w:val="22"/>
        </w:rPr>
        <w:t>estudios de costo beneficio</w:t>
      </w:r>
      <w:r w:rsidRPr="00DB1D98">
        <w:rPr>
          <w:rFonts w:ascii="Palatino Linotype" w:eastAsia="Palatino Linotype" w:hAnsi="Palatino Linotype" w:cs="Palatino Linotype"/>
          <w:i/>
          <w:sz w:val="22"/>
          <w:szCs w:val="22"/>
        </w:rPr>
        <w:t>;”</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En el mismo tenor, de conformidad con el ACUERDO DEL SECRETARIO DE INFRAESTRUCTURA POR EL QUE SE ESTABLECE EL ÍNDICE DE EXPEDIENTE ÚNICO DE OBRA PÚBLICA E INSTRUCTIVOS DE LLENADO EN LAS MODALIDADES DE ADJUDICACIÓN DIRECTA, INVITACIÓN RESTRINGIDA Y LICITACIÓN PÚBLICA, mediante el cual se establecen los índices de Expedientes Únicos de Obra e instructivos de llenado, en las modalidades de Adjudicación Directa, Invitación Restringida y Licitación Pública, para la integración del expediente único de obra pública que para tal efecto integran las dependencias, entidades, ayuntamientos y tribunales administrativos que ejecuten obra pública, los expedientes de Adjudicación Directa, Invitación Restringida y Licitación Pública, se integran de la siguiente manera:</w:t>
      </w:r>
    </w:p>
    <w:p w:rsidR="005622FD" w:rsidRPr="00DB1D98" w:rsidRDefault="0070232F">
      <w:pPr>
        <w:spacing w:before="240" w:after="240" w:line="360" w:lineRule="auto"/>
        <w:jc w:val="center"/>
        <w:rPr>
          <w:rFonts w:ascii="Palatino Linotype" w:eastAsia="Palatino Linotype" w:hAnsi="Palatino Linotype" w:cs="Palatino Linotype"/>
        </w:rPr>
      </w:pPr>
      <w:r w:rsidRPr="00DB1D98">
        <w:rPr>
          <w:rFonts w:ascii="Palatino Linotype" w:eastAsia="Palatino Linotype" w:hAnsi="Palatino Linotype" w:cs="Palatino Linotype"/>
          <w:noProof/>
        </w:rPr>
        <w:lastRenderedPageBreak/>
        <w:drawing>
          <wp:inline distT="0" distB="0" distL="0" distR="0" wp14:anchorId="58122AD3" wp14:editId="4C01CC53">
            <wp:extent cx="4499610" cy="5647765"/>
            <wp:effectExtent l="0" t="0" r="0" b="0"/>
            <wp:docPr id="1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b="767"/>
                    <a:stretch>
                      <a:fillRect/>
                    </a:stretch>
                  </pic:blipFill>
                  <pic:spPr>
                    <a:xfrm>
                      <a:off x="0" y="0"/>
                      <a:ext cx="4499610" cy="5647765"/>
                    </a:xfrm>
                    <a:prstGeom prst="rect">
                      <a:avLst/>
                    </a:prstGeom>
                    <a:ln/>
                  </pic:spPr>
                </pic:pic>
              </a:graphicData>
            </a:graphic>
          </wp:inline>
        </w:drawing>
      </w:r>
      <w:r w:rsidRPr="00DB1D98">
        <w:rPr>
          <w:rFonts w:ascii="Palatino Linotype" w:eastAsia="Palatino Linotype" w:hAnsi="Palatino Linotype" w:cs="Palatino Linotype"/>
          <w:noProof/>
        </w:rPr>
        <w:drawing>
          <wp:inline distT="0" distB="0" distL="0" distR="0" wp14:anchorId="7C0866AA" wp14:editId="695771C7">
            <wp:extent cx="4248000" cy="1196326"/>
            <wp:effectExtent l="0" t="0" r="0" b="0"/>
            <wp:docPr id="1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t="-1" b="49429"/>
                    <a:stretch>
                      <a:fillRect/>
                    </a:stretch>
                  </pic:blipFill>
                  <pic:spPr>
                    <a:xfrm>
                      <a:off x="0" y="0"/>
                      <a:ext cx="4248000" cy="1196326"/>
                    </a:xfrm>
                    <a:prstGeom prst="rect">
                      <a:avLst/>
                    </a:prstGeom>
                    <a:ln/>
                  </pic:spPr>
                </pic:pic>
              </a:graphicData>
            </a:graphic>
          </wp:inline>
        </w:drawing>
      </w:r>
    </w:p>
    <w:p w:rsidR="005622FD" w:rsidRPr="00DB1D98" w:rsidRDefault="0070232F">
      <w:pPr>
        <w:spacing w:before="240" w:after="240" w:line="360" w:lineRule="auto"/>
        <w:jc w:val="center"/>
        <w:rPr>
          <w:rFonts w:ascii="Palatino Linotype" w:eastAsia="Palatino Linotype" w:hAnsi="Palatino Linotype" w:cs="Palatino Linotype"/>
        </w:rPr>
      </w:pPr>
      <w:r w:rsidRPr="00DB1D98">
        <w:rPr>
          <w:rFonts w:ascii="Palatino Linotype" w:eastAsia="Palatino Linotype" w:hAnsi="Palatino Linotype" w:cs="Palatino Linotype"/>
          <w:noProof/>
        </w:rPr>
        <w:lastRenderedPageBreak/>
        <w:drawing>
          <wp:inline distT="0" distB="0" distL="0" distR="0" wp14:anchorId="5AB4E065" wp14:editId="68115B41">
            <wp:extent cx="4248000" cy="1181663"/>
            <wp:effectExtent l="0" t="0" r="0" b="0"/>
            <wp:docPr id="1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t="49552" b="496"/>
                    <a:stretch>
                      <a:fillRect/>
                    </a:stretch>
                  </pic:blipFill>
                  <pic:spPr>
                    <a:xfrm>
                      <a:off x="0" y="0"/>
                      <a:ext cx="4248000" cy="1181663"/>
                    </a:xfrm>
                    <a:prstGeom prst="rect">
                      <a:avLst/>
                    </a:prstGeom>
                    <a:ln/>
                  </pic:spPr>
                </pic:pic>
              </a:graphicData>
            </a:graphic>
          </wp:inline>
        </w:drawing>
      </w:r>
    </w:p>
    <w:p w:rsidR="005622FD" w:rsidRPr="00DB1D98" w:rsidRDefault="0070232F">
      <w:pPr>
        <w:spacing w:before="240" w:after="240" w:line="360" w:lineRule="auto"/>
        <w:jc w:val="center"/>
        <w:rPr>
          <w:rFonts w:ascii="Palatino Linotype" w:eastAsia="Palatino Linotype" w:hAnsi="Palatino Linotype" w:cs="Palatino Linotype"/>
        </w:rPr>
      </w:pPr>
      <w:r w:rsidRPr="00DB1D98">
        <w:rPr>
          <w:rFonts w:ascii="Palatino Linotype" w:eastAsia="Palatino Linotype" w:hAnsi="Palatino Linotype" w:cs="Palatino Linotype"/>
          <w:noProof/>
        </w:rPr>
        <w:drawing>
          <wp:inline distT="0" distB="0" distL="0" distR="0" wp14:anchorId="7CE6C146" wp14:editId="3B919384">
            <wp:extent cx="4248000" cy="5429870"/>
            <wp:effectExtent l="0" t="0" r="0" b="0"/>
            <wp:docPr id="1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t="1" b="414"/>
                    <a:stretch>
                      <a:fillRect/>
                    </a:stretch>
                  </pic:blipFill>
                  <pic:spPr>
                    <a:xfrm>
                      <a:off x="0" y="0"/>
                      <a:ext cx="4248000" cy="5429870"/>
                    </a:xfrm>
                    <a:prstGeom prst="rect">
                      <a:avLst/>
                    </a:prstGeom>
                    <a:ln/>
                  </pic:spPr>
                </pic:pic>
              </a:graphicData>
            </a:graphic>
          </wp:inline>
        </w:drawing>
      </w:r>
    </w:p>
    <w:p w:rsidR="005622FD" w:rsidRPr="00DB1D98" w:rsidRDefault="0070232F">
      <w:pPr>
        <w:spacing w:before="240" w:after="240" w:line="360" w:lineRule="auto"/>
        <w:jc w:val="center"/>
        <w:rPr>
          <w:rFonts w:ascii="Palatino Linotype" w:eastAsia="Palatino Linotype" w:hAnsi="Palatino Linotype" w:cs="Palatino Linotype"/>
        </w:rPr>
      </w:pPr>
      <w:r w:rsidRPr="00DB1D98">
        <w:rPr>
          <w:rFonts w:ascii="Palatino Linotype" w:eastAsia="Palatino Linotype" w:hAnsi="Palatino Linotype" w:cs="Palatino Linotype"/>
          <w:noProof/>
        </w:rPr>
        <w:lastRenderedPageBreak/>
        <w:drawing>
          <wp:inline distT="0" distB="0" distL="0" distR="0" wp14:anchorId="5AD4F6CF" wp14:editId="370D4475">
            <wp:extent cx="4284000" cy="2989340"/>
            <wp:effectExtent l="0" t="0" r="0" b="0"/>
            <wp:docPr id="1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4284000" cy="2989340"/>
                    </a:xfrm>
                    <a:prstGeom prst="rect">
                      <a:avLst/>
                    </a:prstGeom>
                    <a:ln/>
                  </pic:spPr>
                </pic:pic>
              </a:graphicData>
            </a:graphic>
          </wp:inline>
        </w:drawing>
      </w:r>
      <w:r w:rsidRPr="00DB1D98">
        <w:rPr>
          <w:rFonts w:ascii="Palatino Linotype" w:eastAsia="Palatino Linotype" w:hAnsi="Palatino Linotype" w:cs="Palatino Linotype"/>
          <w:noProof/>
        </w:rPr>
        <w:drawing>
          <wp:inline distT="0" distB="0" distL="0" distR="0" wp14:anchorId="13080D81" wp14:editId="36FACEE7">
            <wp:extent cx="4104000" cy="2703480"/>
            <wp:effectExtent l="0" t="0" r="0" b="0"/>
            <wp:docPr id="1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104000" cy="2703480"/>
                    </a:xfrm>
                    <a:prstGeom prst="rect">
                      <a:avLst/>
                    </a:prstGeom>
                    <a:ln/>
                  </pic:spPr>
                </pic:pic>
              </a:graphicData>
            </a:graphic>
          </wp:inline>
        </w:drawing>
      </w:r>
    </w:p>
    <w:p w:rsidR="005622FD" w:rsidRPr="00DB1D98" w:rsidRDefault="0070232F">
      <w:pPr>
        <w:spacing w:before="240" w:after="240" w:line="360" w:lineRule="auto"/>
        <w:jc w:val="center"/>
        <w:rPr>
          <w:rFonts w:ascii="Palatino Linotype" w:eastAsia="Palatino Linotype" w:hAnsi="Palatino Linotype" w:cs="Palatino Linotype"/>
        </w:rPr>
      </w:pPr>
      <w:r w:rsidRPr="00DB1D98">
        <w:rPr>
          <w:rFonts w:ascii="Palatino Linotype" w:eastAsia="Palatino Linotype" w:hAnsi="Palatino Linotype" w:cs="Palatino Linotype"/>
          <w:noProof/>
        </w:rPr>
        <w:lastRenderedPageBreak/>
        <w:drawing>
          <wp:inline distT="0" distB="0" distL="0" distR="0" wp14:anchorId="4EE040DE" wp14:editId="0C257365">
            <wp:extent cx="4500000" cy="5916503"/>
            <wp:effectExtent l="0" t="0" r="0" b="0"/>
            <wp:docPr id="1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b="972"/>
                    <a:stretch>
                      <a:fillRect/>
                    </a:stretch>
                  </pic:blipFill>
                  <pic:spPr>
                    <a:xfrm>
                      <a:off x="0" y="0"/>
                      <a:ext cx="4500000" cy="5916503"/>
                    </a:xfrm>
                    <a:prstGeom prst="rect">
                      <a:avLst/>
                    </a:prstGeom>
                    <a:ln/>
                  </pic:spPr>
                </pic:pic>
              </a:graphicData>
            </a:graphic>
          </wp:inline>
        </w:drawing>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De las imágenes insertas se advierte que los expedientes únicos de obra pública, en las modalidades de adjudicación directa, invitación restringida y licitación pública, incluyen diversos documentos, entre los que se encuentra el proyecto ejecutivo, el cual lo integran, según el instructivo de llenado del Índice del Expediente Único de </w:t>
      </w:r>
      <w:r w:rsidRPr="00DB1D98">
        <w:rPr>
          <w:rFonts w:ascii="Palatino Linotype" w:eastAsia="Palatino Linotype" w:hAnsi="Palatino Linotype" w:cs="Palatino Linotype"/>
        </w:rPr>
        <w:lastRenderedPageBreak/>
        <w:t xml:space="preserve">Obra, los planos de proyectos (arquitectónicos, estructurales, de detalle, secciones topográficas, levantamientos, catálogo de conceptos de trabajo y cantidades de obra, normas y especificaciones generales y particulares de construcción y el programa general de ejecución). Asimismo, para la normatividad federal, se incluirán en este apartado los estudios preliminares y </w:t>
      </w:r>
      <w:r w:rsidRPr="00DB1D98">
        <w:rPr>
          <w:rFonts w:ascii="Palatino Linotype" w:eastAsia="Palatino Linotype" w:hAnsi="Palatino Linotype" w:cs="Palatino Linotype"/>
          <w:b/>
        </w:rPr>
        <w:t>análisis de factibilidad de acuerdo a los estudios de costo beneficio</w:t>
      </w:r>
      <w:r w:rsidRPr="00DB1D98">
        <w:rPr>
          <w:rFonts w:ascii="Palatino Linotype" w:eastAsia="Palatino Linotype" w:hAnsi="Palatino Linotype" w:cs="Palatino Linotype"/>
        </w:rPr>
        <w:t>.</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De lo hasta aquí expuesto, toda vez que el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xml:space="preserve"> señaló de manera expresa que cuenta con la información que colmaría el derecho de acceso de la persona solicitante, se estima dable ordenar la entrega del soporte documental correspondiente mediante el sistema SAIMEX, sin costo para la persona solicitante, en los términos del considerando siguiente.</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Finalmente, tal y como lo precisó el </w:t>
      </w:r>
      <w:r w:rsidRPr="00DB1D98">
        <w:rPr>
          <w:rFonts w:ascii="Palatino Linotype" w:eastAsia="Palatino Linotype" w:hAnsi="Palatino Linotype" w:cs="Palatino Linotype"/>
          <w:b/>
        </w:rPr>
        <w:t xml:space="preserve">Sujeto Obligado, </w:t>
      </w:r>
      <w:r w:rsidRPr="00DB1D98">
        <w:rPr>
          <w:rFonts w:ascii="Palatino Linotype" w:eastAsia="Palatino Linotype" w:hAnsi="Palatino Linotype" w:cs="Palatino Linotype"/>
        </w:rPr>
        <w:t xml:space="preserve">la persona solicitante fue omisa en señalar el periodo sobre el cual requería la información, por lo que en observancia de lo previsto en el criterio de interpretación 03/19 emitido por el Instituto Nacional de Transparencia Acceso a la Información y Protección de Datos Personales, INAI, consideró adecuado hacer la búsqueda de la información generada durante el periodo comprendido del uno de enero de dos mil veintiuno al diecinueve de acostó de dos mil veintidós, sin manifestar oposición alguna la persona solicitante, se estima que consintió el periodo sobre el cual se otorgó la información, por lo tanto, para dar cumplimiento a la presente resolución el </w:t>
      </w:r>
      <w:r w:rsidRPr="00DB1D98">
        <w:rPr>
          <w:rFonts w:ascii="Palatino Linotype" w:eastAsia="Palatino Linotype" w:hAnsi="Palatino Linotype" w:cs="Palatino Linotype"/>
          <w:b/>
        </w:rPr>
        <w:t xml:space="preserve">Sujeto Obligado </w:t>
      </w:r>
      <w:r w:rsidRPr="00DB1D98">
        <w:rPr>
          <w:rFonts w:ascii="Palatino Linotype" w:eastAsia="Palatino Linotype" w:hAnsi="Palatino Linotype" w:cs="Palatino Linotype"/>
        </w:rPr>
        <w:t xml:space="preserve">deberá proporcionar los estudios de factibilidad y de costo beneficio de las obras y proyectos que fueron reportados en respuesta. </w:t>
      </w:r>
    </w:p>
    <w:p w:rsidR="005622FD" w:rsidRPr="00DB1D98" w:rsidRDefault="0070232F">
      <w:pPr>
        <w:spacing w:before="240" w:after="240" w:line="360" w:lineRule="auto"/>
        <w:ind w:right="51"/>
        <w:jc w:val="both"/>
        <w:rPr>
          <w:rFonts w:ascii="Palatino Linotype" w:eastAsia="Palatino Linotype" w:hAnsi="Palatino Linotype" w:cs="Palatino Linotype"/>
        </w:rPr>
      </w:pPr>
      <w:r w:rsidRPr="00DB1D98">
        <w:rPr>
          <w:rFonts w:ascii="Palatino Linotype" w:eastAsia="Palatino Linotype" w:hAnsi="Palatino Linotype" w:cs="Palatino Linotype"/>
        </w:rPr>
        <w:lastRenderedPageBreak/>
        <w:t xml:space="preserve">De lo hasta aquí expuesto, se concluye que los motivos de inconformidad de la parte </w:t>
      </w:r>
      <w:r w:rsidRPr="00DB1D98">
        <w:rPr>
          <w:rFonts w:ascii="Palatino Linotype" w:eastAsia="Palatino Linotype" w:hAnsi="Palatino Linotype" w:cs="Palatino Linotype"/>
          <w:b/>
        </w:rPr>
        <w:t xml:space="preserve">Recurrente </w:t>
      </w:r>
      <w:r w:rsidRPr="00DB1D98">
        <w:rPr>
          <w:rFonts w:ascii="Palatino Linotype" w:eastAsia="Palatino Linotype" w:hAnsi="Palatino Linotype" w:cs="Palatino Linotype"/>
        </w:rPr>
        <w:t xml:space="preserve">devienen parcialmente fundados, siendo procedente </w:t>
      </w:r>
      <w:r w:rsidRPr="00DB1D98">
        <w:rPr>
          <w:rFonts w:ascii="Palatino Linotype" w:eastAsia="Palatino Linotype" w:hAnsi="Palatino Linotype" w:cs="Palatino Linotype"/>
          <w:i/>
        </w:rPr>
        <w:t>Modificar</w:t>
      </w:r>
      <w:r w:rsidRPr="00DB1D98">
        <w:rPr>
          <w:rFonts w:ascii="Palatino Linotype" w:eastAsia="Palatino Linotype" w:hAnsi="Palatino Linotype" w:cs="Palatino Linotype"/>
        </w:rPr>
        <w:t xml:space="preserve"> la respuesta proporcionada por el </w:t>
      </w:r>
      <w:r w:rsidRPr="00DB1D98">
        <w:rPr>
          <w:rFonts w:ascii="Palatino Linotype" w:eastAsia="Palatino Linotype" w:hAnsi="Palatino Linotype" w:cs="Palatino Linotype"/>
          <w:b/>
        </w:rPr>
        <w:t xml:space="preserve">Sujeto Obligado </w:t>
      </w:r>
      <w:r w:rsidRPr="00DB1D98">
        <w:rPr>
          <w:rFonts w:ascii="Palatino Linotype" w:eastAsia="Palatino Linotype" w:hAnsi="Palatino Linotype" w:cs="Palatino Linotype"/>
        </w:rPr>
        <w:t>en términos del artículo 186 fracción III de la Ley de Transparencia y Acceso a la Información Pública del Estado de México y Municipios.</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b/>
        </w:rPr>
        <w:t>Quinto. Versión Pública.</w:t>
      </w:r>
      <w:r w:rsidRPr="00DB1D98">
        <w:rPr>
          <w:rFonts w:ascii="Palatino Linotype" w:eastAsia="Palatino Linotype" w:hAnsi="Palatino Linotype" w:cs="Palatino Linotype"/>
          <w:sz w:val="28"/>
          <w:szCs w:val="28"/>
        </w:rPr>
        <w:t xml:space="preserve"> </w:t>
      </w:r>
      <w:r w:rsidRPr="00DB1D98">
        <w:rPr>
          <w:rFonts w:ascii="Palatino Linotype" w:eastAsia="Palatino Linotype" w:hAnsi="Palatino Linotype" w:cs="Palatino Linotype"/>
        </w:rPr>
        <w:t>Finalmente, debe señalarse que de ser el caso en que los documentos que vayan a ser entregados por el</w:t>
      </w:r>
      <w:r w:rsidRPr="00DB1D98">
        <w:rPr>
          <w:rFonts w:ascii="Palatino Linotype" w:eastAsia="Palatino Linotype" w:hAnsi="Palatino Linotype" w:cs="Palatino Linotype"/>
          <w:b/>
        </w:rPr>
        <w:t xml:space="preserve"> </w:t>
      </w:r>
      <w:r w:rsidRPr="00DB1D98">
        <w:rPr>
          <w:rFonts w:ascii="Palatino Linotype" w:eastAsia="Palatino Linotype" w:hAnsi="Palatino Linotype" w:cs="Palatino Linotype"/>
        </w:rPr>
        <w:t xml:space="preserve">sujeto obligado, para dar cumplimiento a la presente resolución, contengan datos que deban ser clasificados, el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Para efectos de la elaboración de la versión pública se deberá observar lo dispuesto por los artículos 3 fracciones IX, X</w:t>
      </w:r>
      <w:bookmarkStart w:id="9" w:name="_GoBack"/>
      <w:bookmarkEnd w:id="9"/>
      <w:r w:rsidRPr="00DB1D98">
        <w:rPr>
          <w:rFonts w:ascii="Palatino Linotype" w:eastAsia="Palatino Linotype" w:hAnsi="Palatino Linotype" w:cs="Palatino Linotype"/>
        </w:rPr>
        <w:t>X, XXI y XLV, 91, 132 fracciones II y III, y 143 fracción I de la Ley de Transparencia y Acceso a la Información Pública del Estado de México y Municipios que establecen:</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w:t>
      </w:r>
      <w:r w:rsidRPr="00DB1D98">
        <w:rPr>
          <w:rFonts w:ascii="Palatino Linotype" w:eastAsia="Palatino Linotype" w:hAnsi="Palatino Linotype" w:cs="Palatino Linotype"/>
          <w:b/>
          <w:i/>
          <w:sz w:val="22"/>
          <w:szCs w:val="22"/>
        </w:rPr>
        <w:t>Artículo 3</w:t>
      </w:r>
      <w:r w:rsidRPr="00DB1D98">
        <w:rPr>
          <w:rFonts w:ascii="Palatino Linotype" w:eastAsia="Palatino Linotype" w:hAnsi="Palatino Linotype" w:cs="Palatino Linotype"/>
          <w:i/>
          <w:sz w:val="22"/>
          <w:szCs w:val="22"/>
        </w:rPr>
        <w:t>. Para los efectos de la presente Ley se entenderá por:</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IX. Datos personales</w:t>
      </w:r>
      <w:r w:rsidRPr="00DB1D98">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XX. Información clasificada</w:t>
      </w:r>
      <w:r w:rsidRPr="00DB1D98">
        <w:rPr>
          <w:rFonts w:ascii="Palatino Linotype" w:eastAsia="Palatino Linotype" w:hAnsi="Palatino Linotype" w:cs="Palatino Linotype"/>
          <w:i/>
          <w:sz w:val="22"/>
          <w:szCs w:val="22"/>
        </w:rPr>
        <w:t>: Aquella considerada por la presente Ley como reservada o confidencial;</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 xml:space="preserve">XXI. Información confidencial: </w:t>
      </w:r>
      <w:r w:rsidRPr="00DB1D98">
        <w:rPr>
          <w:rFonts w:ascii="Palatino Linotype" w:eastAsia="Palatino Linotype" w:hAnsi="Palatino Linotype" w:cs="Palatino Linotype"/>
          <w:i/>
          <w:sz w:val="22"/>
          <w:szCs w:val="22"/>
        </w:rPr>
        <w:t xml:space="preserve">Se considera como información confidencial los secretos bancario, fiduciario, industrial, comercial, fiscal, bursátil y postal, cuya titularidad corresponda a particulares, sujetos de </w:t>
      </w:r>
      <w:r w:rsidRPr="00DB1D98">
        <w:rPr>
          <w:rFonts w:ascii="Palatino Linotype" w:eastAsia="Palatino Linotype" w:hAnsi="Palatino Linotype" w:cs="Palatino Linotype"/>
          <w:i/>
          <w:sz w:val="22"/>
          <w:szCs w:val="22"/>
        </w:rPr>
        <w:lastRenderedPageBreak/>
        <w:t>derecho internacional o a sujetos obligados cuando no involucren el ejercicio de recursos públicos;</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XLV. Versión pública:</w:t>
      </w:r>
      <w:r w:rsidRPr="00DB1D98">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Artículo 91.</w:t>
      </w:r>
      <w:r w:rsidRPr="00DB1D9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Artículo 132.</w:t>
      </w:r>
      <w:r w:rsidRPr="00DB1D98">
        <w:rPr>
          <w:rFonts w:ascii="Palatino Linotype" w:eastAsia="Palatino Linotype" w:hAnsi="Palatino Linotype" w:cs="Palatino Linotype"/>
          <w:i/>
          <w:sz w:val="22"/>
          <w:szCs w:val="22"/>
        </w:rPr>
        <w:t xml:space="preserve"> La clasificación de la información se llevará a cabo en el momento en que:</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I</w:t>
      </w:r>
      <w:r w:rsidRPr="00DB1D98">
        <w:rPr>
          <w:rFonts w:ascii="Palatino Linotype" w:eastAsia="Palatino Linotype" w:hAnsi="Palatino Linotype" w:cs="Palatino Linotype"/>
          <w:i/>
          <w:sz w:val="22"/>
          <w:szCs w:val="22"/>
        </w:rPr>
        <w:t>. Se reciba una solicitud de acceso a la información;</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II.</w:t>
      </w:r>
      <w:r w:rsidRPr="00DB1D98">
        <w:rPr>
          <w:rFonts w:ascii="Palatino Linotype" w:eastAsia="Palatino Linotype" w:hAnsi="Palatino Linotype" w:cs="Palatino Linotype"/>
          <w:i/>
          <w:sz w:val="22"/>
          <w:szCs w:val="22"/>
        </w:rPr>
        <w:t xml:space="preserve"> Se determine mediante resolución de autoridad competente; o</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III.</w:t>
      </w:r>
      <w:r w:rsidRPr="00DB1D98">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Artículo 143</w:t>
      </w:r>
      <w:r w:rsidRPr="00DB1D9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I.</w:t>
      </w:r>
      <w:r w:rsidRPr="00DB1D98">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II.</w:t>
      </w:r>
      <w:r w:rsidRPr="00DB1D98">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III.</w:t>
      </w:r>
      <w:r w:rsidRPr="00DB1D98">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w:t>
      </w:r>
      <w:r w:rsidRPr="00DB1D98">
        <w:rPr>
          <w:rFonts w:ascii="Palatino Linotype" w:eastAsia="Palatino Linotype" w:hAnsi="Palatino Linotype" w:cs="Palatino Linotype"/>
        </w:rPr>
        <w:lastRenderedPageBreak/>
        <w:t>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Entorno a lo que aquí nos interesa, el Lineamiento Quincuagésimo segundo de los Lineamientos Generales en Materia de Clasificación y Desclasificación de la Información, así como para la Elaboración de Versiones Públicas, establece lo siguiente:</w:t>
      </w:r>
    </w:p>
    <w:p w:rsidR="005622FD" w:rsidRPr="00DB1D98" w:rsidRDefault="0070232F">
      <w:pPr>
        <w:spacing w:before="120" w:after="120"/>
        <w:ind w:left="851" w:right="900"/>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“Quincuagésimo segundo</w:t>
      </w:r>
      <w:r w:rsidRPr="00DB1D98">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5622FD" w:rsidRPr="00DB1D98" w:rsidRDefault="0070232F">
      <w:pPr>
        <w:spacing w:before="120" w:after="120"/>
        <w:ind w:left="851" w:right="900"/>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 xml:space="preserve">En el caso especifico de la clasificación y elaboración de versiones públicas de documentos que contengan información confidencial, las áreas de los sujetos obligados deberán: </w:t>
      </w:r>
    </w:p>
    <w:p w:rsidR="005622FD" w:rsidRPr="00DB1D98" w:rsidRDefault="0070232F">
      <w:pPr>
        <w:spacing w:before="120" w:after="120"/>
        <w:ind w:left="1134" w:right="900"/>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I.</w:t>
      </w:r>
      <w:r w:rsidRPr="00DB1D98">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rsidR="005622FD" w:rsidRPr="00DB1D98" w:rsidRDefault="0070232F">
      <w:pPr>
        <w:spacing w:before="120" w:after="120"/>
        <w:ind w:left="1134" w:right="900"/>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II.</w:t>
      </w:r>
      <w:r w:rsidRPr="00DB1D98">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rsidR="005622FD" w:rsidRPr="00DB1D98" w:rsidRDefault="0070232F">
      <w:pPr>
        <w:spacing w:before="120" w:after="120"/>
        <w:ind w:left="1134" w:right="900"/>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III.</w:t>
      </w:r>
      <w:r w:rsidRPr="00DB1D98">
        <w:rPr>
          <w:rFonts w:ascii="Palatino Linotype" w:eastAsia="Palatino Linotype" w:hAnsi="Palatino Linotype" w:cs="Palatino Linotype"/>
          <w:i/>
          <w:sz w:val="22"/>
          <w:szCs w:val="22"/>
        </w:rPr>
        <w:t xml:space="preserve"> Señalar las personas o instancias autorizadas a acceder a la información clasificada.</w:t>
      </w:r>
    </w:p>
    <w:p w:rsidR="005622FD" w:rsidRPr="00DB1D98" w:rsidRDefault="0070232F">
      <w:pPr>
        <w:spacing w:before="120" w:after="120"/>
        <w:ind w:left="851" w:right="900"/>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5622FD" w:rsidRPr="00DB1D98" w:rsidRDefault="0070232F">
      <w:pPr>
        <w:spacing w:before="240" w:after="240" w:line="360" w:lineRule="auto"/>
        <w:ind w:right="50"/>
        <w:jc w:val="both"/>
        <w:rPr>
          <w:rFonts w:ascii="Palatino Linotype" w:eastAsia="Palatino Linotype" w:hAnsi="Palatino Linotype" w:cs="Palatino Linotype"/>
          <w:sz w:val="22"/>
          <w:szCs w:val="22"/>
        </w:rPr>
      </w:pPr>
      <w:r w:rsidRPr="00DB1D98">
        <w:rPr>
          <w:rFonts w:ascii="Palatino Linotype" w:eastAsia="Palatino Linotype" w:hAnsi="Palatino Linotype" w:cs="Palatino Linotype"/>
        </w:rPr>
        <w:lastRenderedPageBreak/>
        <w:t xml:space="preserve">Deberá observar el Lineamiento Quincuagésimo tercero de los Lineamientos Generales en Materia de Clasificación y Desclasificación de la Información supraindicados, que establece los formatos para la clasificación de los documentos, conforme a lo siguiente: </w:t>
      </w:r>
    </w:p>
    <w:p w:rsidR="005622FD" w:rsidRPr="00DB1D98" w:rsidRDefault="0070232F">
      <w:pPr>
        <w:ind w:left="851" w:right="900"/>
        <w:jc w:val="center"/>
        <w:rPr>
          <w:rFonts w:ascii="Palatino Linotype" w:eastAsia="Palatino Linotype" w:hAnsi="Palatino Linotype" w:cs="Palatino Linotype"/>
          <w:b/>
          <w:i/>
          <w:sz w:val="22"/>
          <w:szCs w:val="22"/>
        </w:rPr>
      </w:pPr>
      <w:r w:rsidRPr="00DB1D98">
        <w:rPr>
          <w:rFonts w:ascii="Palatino Linotype" w:eastAsia="Palatino Linotype" w:hAnsi="Palatino Linotype" w:cs="Palatino Linotype"/>
          <w:b/>
          <w:i/>
          <w:sz w:val="22"/>
          <w:szCs w:val="22"/>
        </w:rPr>
        <w:t>CAPÍTULO VIII</w:t>
      </w:r>
    </w:p>
    <w:p w:rsidR="005622FD" w:rsidRPr="00DB1D98" w:rsidRDefault="0070232F">
      <w:pPr>
        <w:ind w:left="851" w:right="900"/>
        <w:jc w:val="center"/>
        <w:rPr>
          <w:rFonts w:ascii="Palatino Linotype" w:eastAsia="Palatino Linotype" w:hAnsi="Palatino Linotype" w:cs="Palatino Linotype"/>
          <w:b/>
          <w:i/>
          <w:sz w:val="22"/>
          <w:szCs w:val="22"/>
        </w:rPr>
      </w:pPr>
      <w:r w:rsidRPr="00DB1D98">
        <w:rPr>
          <w:rFonts w:ascii="Palatino Linotype" w:eastAsia="Palatino Linotype" w:hAnsi="Palatino Linotype" w:cs="Palatino Linotype"/>
          <w:b/>
          <w:i/>
          <w:sz w:val="22"/>
          <w:szCs w:val="22"/>
        </w:rPr>
        <w:t xml:space="preserve">DE LOS ELEMENTOS PARA LA CLASIFICACIÓN </w:t>
      </w:r>
    </w:p>
    <w:p w:rsidR="005622FD" w:rsidRPr="00DB1D98" w:rsidRDefault="0070232F">
      <w:pPr>
        <w:ind w:left="851" w:right="900"/>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 xml:space="preserve">Quincuagésimo tercero. </w:t>
      </w:r>
      <w:r w:rsidRPr="00DB1D98">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DB1D98">
        <w:rPr>
          <w:rFonts w:ascii="Palatino Linotype" w:eastAsia="Palatino Linotype" w:hAnsi="Palatino Linotype" w:cs="Palatino Linotype"/>
          <w:b/>
          <w:i/>
          <w:sz w:val="22"/>
          <w:szCs w:val="22"/>
        </w:rPr>
        <w:t xml:space="preserve">, </w:t>
      </w:r>
      <w:r w:rsidRPr="00DB1D98">
        <w:rPr>
          <w:rFonts w:ascii="Palatino Linotype" w:eastAsia="Palatino Linotype" w:hAnsi="Palatino Linotype" w:cs="Palatino Linotype"/>
          <w:i/>
          <w:sz w:val="22"/>
          <w:szCs w:val="22"/>
        </w:rPr>
        <w:t xml:space="preserve">es el siguiente: </w:t>
      </w:r>
    </w:p>
    <w:p w:rsidR="005622FD" w:rsidRPr="00DB1D98" w:rsidRDefault="0070232F">
      <w:pPr>
        <w:spacing w:before="120" w:after="120"/>
        <w:ind w:left="851" w:right="902"/>
        <w:jc w:val="both"/>
        <w:rPr>
          <w:rFonts w:ascii="Palatino Linotype" w:eastAsia="Palatino Linotype" w:hAnsi="Palatino Linotype" w:cs="Palatino Linotype"/>
          <w:b/>
          <w:i/>
          <w:sz w:val="22"/>
          <w:szCs w:val="22"/>
        </w:rPr>
      </w:pPr>
      <w:r w:rsidRPr="00DB1D98">
        <w:rPr>
          <w:rFonts w:ascii="Palatino Linotype" w:eastAsia="Palatino Linotype" w:hAnsi="Palatino Linotype" w:cs="Palatino Linotype"/>
          <w:b/>
          <w:i/>
          <w:noProof/>
          <w:sz w:val="22"/>
          <w:szCs w:val="22"/>
        </w:rPr>
        <w:drawing>
          <wp:inline distT="0" distB="0" distL="0" distR="0" wp14:anchorId="13C8AF01" wp14:editId="14EE6D84">
            <wp:extent cx="4295775" cy="295275"/>
            <wp:effectExtent l="0" t="0" r="0" b="0"/>
            <wp:docPr id="14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b="95731"/>
                    <a:stretch>
                      <a:fillRect/>
                    </a:stretch>
                  </pic:blipFill>
                  <pic:spPr>
                    <a:xfrm>
                      <a:off x="0" y="0"/>
                      <a:ext cx="4295775" cy="295275"/>
                    </a:xfrm>
                    <a:prstGeom prst="rect">
                      <a:avLst/>
                    </a:prstGeom>
                    <a:ln/>
                  </pic:spPr>
                </pic:pic>
              </a:graphicData>
            </a:graphic>
          </wp:inline>
        </w:drawing>
      </w:r>
    </w:p>
    <w:p w:rsidR="005622FD" w:rsidRPr="00DB1D98" w:rsidRDefault="0070232F">
      <w:pPr>
        <w:spacing w:before="120" w:after="120"/>
        <w:ind w:left="851" w:right="902"/>
        <w:jc w:val="both"/>
        <w:rPr>
          <w:rFonts w:ascii="Palatino Linotype" w:eastAsia="Palatino Linotype" w:hAnsi="Palatino Linotype" w:cs="Palatino Linotype"/>
          <w:b/>
          <w:i/>
          <w:sz w:val="22"/>
          <w:szCs w:val="22"/>
        </w:rPr>
      </w:pPr>
      <w:r w:rsidRPr="00DB1D98">
        <w:rPr>
          <w:rFonts w:ascii="Palatino Linotype" w:eastAsia="Palatino Linotype" w:hAnsi="Palatino Linotype" w:cs="Palatino Linotype"/>
          <w:b/>
          <w:i/>
          <w:noProof/>
          <w:sz w:val="22"/>
          <w:szCs w:val="22"/>
        </w:rPr>
        <w:drawing>
          <wp:inline distT="0" distB="0" distL="0" distR="0" wp14:anchorId="19EC249E" wp14:editId="134575B4">
            <wp:extent cx="4333875" cy="3657600"/>
            <wp:effectExtent l="0" t="0" r="0" b="0"/>
            <wp:docPr id="1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t="30908" b="16133"/>
                    <a:stretch>
                      <a:fillRect/>
                    </a:stretch>
                  </pic:blipFill>
                  <pic:spPr>
                    <a:xfrm>
                      <a:off x="0" y="0"/>
                      <a:ext cx="4333875" cy="3657600"/>
                    </a:xfrm>
                    <a:prstGeom prst="rect">
                      <a:avLst/>
                    </a:prstGeom>
                    <a:ln/>
                  </pic:spPr>
                </pic:pic>
              </a:graphicData>
            </a:graphic>
          </wp:inline>
        </w:drawing>
      </w:r>
    </w:p>
    <w:p w:rsidR="005622FD" w:rsidRPr="00DB1D98" w:rsidRDefault="0070232F">
      <w:pPr>
        <w:spacing w:before="120" w:after="120"/>
        <w:ind w:left="851" w:right="902"/>
        <w:jc w:val="both"/>
        <w:rPr>
          <w:rFonts w:ascii="Palatino Linotype" w:eastAsia="Palatino Linotype" w:hAnsi="Palatino Linotype" w:cs="Palatino Linotype"/>
          <w:b/>
          <w:i/>
          <w:sz w:val="22"/>
          <w:szCs w:val="22"/>
        </w:rPr>
      </w:pPr>
      <w:r w:rsidRPr="00DB1D98">
        <w:rPr>
          <w:rFonts w:ascii="Palatino Linotype" w:eastAsia="Palatino Linotype" w:hAnsi="Palatino Linotype" w:cs="Palatino Linotype"/>
          <w:b/>
          <w:i/>
          <w:noProof/>
          <w:sz w:val="22"/>
          <w:szCs w:val="22"/>
        </w:rPr>
        <w:lastRenderedPageBreak/>
        <w:drawing>
          <wp:inline distT="0" distB="0" distL="0" distR="0" wp14:anchorId="6AC1259F" wp14:editId="0ECD3D8D">
            <wp:extent cx="4333875" cy="933450"/>
            <wp:effectExtent l="0" t="0" r="0" b="0"/>
            <wp:docPr id="14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t="85107" b="1377"/>
                    <a:stretch>
                      <a:fillRect/>
                    </a:stretch>
                  </pic:blipFill>
                  <pic:spPr>
                    <a:xfrm>
                      <a:off x="0" y="0"/>
                      <a:ext cx="4333875" cy="933450"/>
                    </a:xfrm>
                    <a:prstGeom prst="rect">
                      <a:avLst/>
                    </a:prstGeom>
                    <a:ln/>
                  </pic:spPr>
                </pic:pic>
              </a:graphicData>
            </a:graphic>
          </wp:inline>
        </w:drawing>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Los documentos que integren un expediente reservado en su totalidad no deberán marcarse en lo individual.</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Asimismo, deberá observar los Lineamientos Quincuagésimo sexto, Quincuagésimo séptimo y Quincuagésimo octavo, establecen lo siguiente:</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w:t>
      </w:r>
      <w:r w:rsidRPr="00DB1D98">
        <w:rPr>
          <w:rFonts w:ascii="Palatino Linotype" w:eastAsia="Palatino Linotype" w:hAnsi="Palatino Linotype" w:cs="Palatino Linotype"/>
          <w:b/>
          <w:i/>
          <w:sz w:val="22"/>
          <w:szCs w:val="22"/>
        </w:rPr>
        <w:t>Quincuagésimo sexto</w:t>
      </w:r>
      <w:r w:rsidRPr="00DB1D98">
        <w:rPr>
          <w:rFonts w:ascii="Palatino Linotype" w:eastAsia="Palatino Linotype" w:hAnsi="Palatino Linotype" w:cs="Palatino Linotype"/>
          <w:i/>
          <w:sz w:val="22"/>
          <w:szCs w:val="22"/>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Quincuagésimo séptimo</w:t>
      </w:r>
      <w:r w:rsidRPr="00DB1D9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I</w:t>
      </w:r>
      <w:r w:rsidRPr="00DB1D98">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II.</w:t>
      </w:r>
      <w:r w:rsidRPr="00DB1D98">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5622FD" w:rsidRPr="00DB1D98" w:rsidRDefault="0070232F">
      <w:pPr>
        <w:spacing w:before="120" w:after="120"/>
        <w:ind w:left="1134"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III</w:t>
      </w:r>
      <w:r w:rsidRPr="00DB1D98">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rsidR="005622FD" w:rsidRPr="00DB1D98" w:rsidRDefault="0070232F">
      <w:pPr>
        <w:spacing w:before="120" w:after="120"/>
        <w:ind w:left="851" w:right="902"/>
        <w:jc w:val="both"/>
        <w:rPr>
          <w:rFonts w:ascii="Palatino Linotype" w:eastAsia="Palatino Linotype" w:hAnsi="Palatino Linotype" w:cs="Palatino Linotype"/>
          <w:i/>
          <w:sz w:val="22"/>
          <w:szCs w:val="22"/>
        </w:rPr>
      </w:pPr>
      <w:r w:rsidRPr="00DB1D98">
        <w:rPr>
          <w:rFonts w:ascii="Palatino Linotype" w:eastAsia="Palatino Linotype" w:hAnsi="Palatino Linotype" w:cs="Palatino Linotype"/>
          <w:b/>
          <w:i/>
          <w:sz w:val="22"/>
          <w:szCs w:val="22"/>
        </w:rPr>
        <w:t>Quincuagésimo octavo</w:t>
      </w:r>
      <w:r w:rsidRPr="00DB1D98">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5622FD" w:rsidRPr="00DB1D98" w:rsidRDefault="0070232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B1D98">
        <w:rPr>
          <w:rFonts w:ascii="Palatino Linotype" w:eastAsia="Palatino Linotype" w:hAnsi="Palatino Linotype" w:cs="Palatino Linotype"/>
          <w:b/>
        </w:rPr>
        <w:t>III. R E S U E L V E</w:t>
      </w:r>
    </w:p>
    <w:p w:rsidR="005622FD" w:rsidRPr="00DB1D98" w:rsidRDefault="0070232F">
      <w:pPr>
        <w:spacing w:before="240" w:after="240" w:line="360" w:lineRule="auto"/>
        <w:jc w:val="both"/>
        <w:rPr>
          <w:rFonts w:ascii="Palatino Linotype" w:eastAsia="Palatino Linotype" w:hAnsi="Palatino Linotype" w:cs="Palatino Linotype"/>
          <w:b/>
        </w:rPr>
      </w:pPr>
      <w:bookmarkStart w:id="10" w:name="_heading=h.1fob9te" w:colFirst="0" w:colLast="0"/>
      <w:bookmarkEnd w:id="10"/>
      <w:r w:rsidRPr="00DB1D98">
        <w:rPr>
          <w:rFonts w:ascii="Palatino Linotype" w:eastAsia="Palatino Linotype" w:hAnsi="Palatino Linotype" w:cs="Palatino Linotype"/>
          <w:b/>
        </w:rPr>
        <w:t xml:space="preserve">Primero. </w:t>
      </w:r>
      <w:r w:rsidRPr="00DB1D98">
        <w:rPr>
          <w:rFonts w:ascii="Palatino Linotype" w:eastAsia="Palatino Linotype" w:hAnsi="Palatino Linotype" w:cs="Palatino Linotype"/>
        </w:rPr>
        <w:t>Resultan</w:t>
      </w:r>
      <w:r w:rsidRPr="00DB1D98">
        <w:rPr>
          <w:rFonts w:ascii="Palatino Linotype" w:eastAsia="Palatino Linotype" w:hAnsi="Palatino Linotype" w:cs="Palatino Linotype"/>
          <w:b/>
        </w:rPr>
        <w:t xml:space="preserve"> parcialmente fundados</w:t>
      </w:r>
      <w:r w:rsidRPr="00DB1D98">
        <w:rPr>
          <w:rFonts w:ascii="Palatino Linotype" w:eastAsia="Palatino Linotype" w:hAnsi="Palatino Linotype" w:cs="Palatino Linotype"/>
        </w:rPr>
        <w:t xml:space="preserve"> los motivos de inconformidad hechos valer por la parte </w:t>
      </w:r>
      <w:r w:rsidRPr="00DB1D98">
        <w:rPr>
          <w:rFonts w:ascii="Palatino Linotype" w:eastAsia="Palatino Linotype" w:hAnsi="Palatino Linotype" w:cs="Palatino Linotype"/>
          <w:b/>
        </w:rPr>
        <w:t xml:space="preserve">Recurrente </w:t>
      </w:r>
      <w:r w:rsidRPr="00DB1D98">
        <w:rPr>
          <w:rFonts w:ascii="Palatino Linotype" w:eastAsia="Palatino Linotype" w:hAnsi="Palatino Linotype" w:cs="Palatino Linotype"/>
        </w:rPr>
        <w:t xml:space="preserve">en el recurso de revisión </w:t>
      </w:r>
      <w:r w:rsidRPr="00DB1D98">
        <w:rPr>
          <w:rFonts w:ascii="Palatino Linotype" w:eastAsia="Palatino Linotype" w:hAnsi="Palatino Linotype" w:cs="Palatino Linotype"/>
          <w:b/>
        </w:rPr>
        <w:t xml:space="preserve">14994/INFOEM/IP/RR/2022, </w:t>
      </w:r>
      <w:r w:rsidRPr="00DB1D98">
        <w:rPr>
          <w:rFonts w:ascii="Palatino Linotype" w:eastAsia="Palatino Linotype" w:hAnsi="Palatino Linotype" w:cs="Palatino Linotype"/>
        </w:rPr>
        <w:t xml:space="preserve">por lo que, en términos del Considerando </w:t>
      </w:r>
      <w:r w:rsidRPr="00DB1D98">
        <w:rPr>
          <w:rFonts w:ascii="Palatino Linotype" w:eastAsia="Palatino Linotype" w:hAnsi="Palatino Linotype" w:cs="Palatino Linotype"/>
          <w:b/>
        </w:rPr>
        <w:t>Cuarto</w:t>
      </w:r>
      <w:r w:rsidRPr="00DB1D98">
        <w:rPr>
          <w:rFonts w:ascii="Palatino Linotype" w:eastAsia="Palatino Linotype" w:hAnsi="Palatino Linotype" w:cs="Palatino Linotype"/>
        </w:rPr>
        <w:t xml:space="preserve"> de la presente resolución, se</w:t>
      </w:r>
      <w:r w:rsidRPr="00DB1D98">
        <w:rPr>
          <w:rFonts w:ascii="Palatino Linotype" w:eastAsia="Palatino Linotype" w:hAnsi="Palatino Linotype" w:cs="Palatino Linotype"/>
          <w:b/>
        </w:rPr>
        <w:t xml:space="preserve"> Modifica </w:t>
      </w:r>
      <w:r w:rsidRPr="00DB1D98">
        <w:rPr>
          <w:rFonts w:ascii="Palatino Linotype" w:eastAsia="Palatino Linotype" w:hAnsi="Palatino Linotype" w:cs="Palatino Linotype"/>
        </w:rPr>
        <w:t>la respuesta</w:t>
      </w:r>
      <w:r w:rsidRPr="00DB1D98">
        <w:rPr>
          <w:rFonts w:ascii="Palatino Linotype" w:eastAsia="Palatino Linotype" w:hAnsi="Palatino Linotype" w:cs="Palatino Linotype"/>
          <w:b/>
        </w:rPr>
        <w:t xml:space="preserve"> </w:t>
      </w:r>
      <w:r w:rsidRPr="00DB1D98">
        <w:rPr>
          <w:rFonts w:ascii="Palatino Linotype" w:eastAsia="Palatino Linotype" w:hAnsi="Palatino Linotype" w:cs="Palatino Linotype"/>
        </w:rPr>
        <w:t xml:space="preserve">del </w:t>
      </w:r>
      <w:r w:rsidRPr="00DB1D98">
        <w:rPr>
          <w:rFonts w:ascii="Palatino Linotype" w:eastAsia="Palatino Linotype" w:hAnsi="Palatino Linotype" w:cs="Palatino Linotype"/>
          <w:b/>
        </w:rPr>
        <w:t>Sujeto Obligado.</w:t>
      </w:r>
    </w:p>
    <w:p w:rsidR="005622FD" w:rsidRPr="00DB1D98" w:rsidRDefault="0070232F">
      <w:pPr>
        <w:spacing w:before="240" w:after="240" w:line="360" w:lineRule="auto"/>
        <w:jc w:val="both"/>
        <w:rPr>
          <w:rFonts w:ascii="Palatino Linotype" w:eastAsia="Palatino Linotype" w:hAnsi="Palatino Linotype" w:cs="Palatino Linotype"/>
        </w:rPr>
      </w:pPr>
      <w:bookmarkStart w:id="11" w:name="_heading=h.4d34og8" w:colFirst="0" w:colLast="0"/>
      <w:bookmarkEnd w:id="11"/>
      <w:r w:rsidRPr="00DB1D98">
        <w:rPr>
          <w:rFonts w:ascii="Palatino Linotype" w:eastAsia="Palatino Linotype" w:hAnsi="Palatino Linotype" w:cs="Palatino Linotype"/>
          <w:b/>
        </w:rPr>
        <w:t xml:space="preserve">Segundo. </w:t>
      </w:r>
      <w:r w:rsidRPr="00DB1D98">
        <w:rPr>
          <w:rFonts w:ascii="Palatino Linotype" w:eastAsia="Palatino Linotype" w:hAnsi="Palatino Linotype" w:cs="Palatino Linotype"/>
        </w:rPr>
        <w:t xml:space="preserve">Se </w:t>
      </w:r>
      <w:r w:rsidRPr="00DB1D98">
        <w:rPr>
          <w:rFonts w:ascii="Palatino Linotype" w:eastAsia="Palatino Linotype" w:hAnsi="Palatino Linotype" w:cs="Palatino Linotype"/>
          <w:b/>
        </w:rPr>
        <w:t>Ordena</w:t>
      </w:r>
      <w:r w:rsidRPr="00DB1D98">
        <w:rPr>
          <w:rFonts w:ascii="Palatino Linotype" w:eastAsia="Palatino Linotype" w:hAnsi="Palatino Linotype" w:cs="Palatino Linotype"/>
        </w:rPr>
        <w:t xml:space="preserve"> al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xml:space="preserve">, en términos de los Considerandos </w:t>
      </w:r>
      <w:r w:rsidRPr="00DB1D98">
        <w:rPr>
          <w:rFonts w:ascii="Palatino Linotype" w:eastAsia="Palatino Linotype" w:hAnsi="Palatino Linotype" w:cs="Palatino Linotype"/>
          <w:b/>
        </w:rPr>
        <w:t xml:space="preserve">Cuarto </w:t>
      </w:r>
      <w:r w:rsidRPr="00DB1D98">
        <w:rPr>
          <w:rFonts w:ascii="Palatino Linotype" w:eastAsia="Palatino Linotype" w:hAnsi="Palatino Linotype" w:cs="Palatino Linotype"/>
        </w:rPr>
        <w:t xml:space="preserve">y </w:t>
      </w:r>
      <w:r w:rsidRPr="00DB1D98">
        <w:rPr>
          <w:rFonts w:ascii="Palatino Linotype" w:eastAsia="Palatino Linotype" w:hAnsi="Palatino Linotype" w:cs="Palatino Linotype"/>
          <w:b/>
        </w:rPr>
        <w:t xml:space="preserve">Quinto </w:t>
      </w:r>
      <w:r w:rsidRPr="00DB1D98">
        <w:rPr>
          <w:rFonts w:ascii="Palatino Linotype" w:eastAsia="Palatino Linotype" w:hAnsi="Palatino Linotype" w:cs="Palatino Linotype"/>
        </w:rPr>
        <w:t>de esta resolución, haga entrega, vía SAIMEX, en versión pública de ser necesario, de lo siguiente:</w:t>
      </w:r>
    </w:p>
    <w:p w:rsidR="005622FD" w:rsidRPr="00DB1D98" w:rsidRDefault="0070232F">
      <w:pPr>
        <w:spacing w:before="240" w:after="240" w:line="360" w:lineRule="auto"/>
        <w:ind w:left="284"/>
        <w:jc w:val="both"/>
        <w:rPr>
          <w:rFonts w:ascii="Palatino Linotype" w:eastAsia="Palatino Linotype" w:hAnsi="Palatino Linotype" w:cs="Palatino Linotype"/>
        </w:rPr>
      </w:pPr>
      <w:r w:rsidRPr="00DB1D98">
        <w:rPr>
          <w:rFonts w:ascii="Palatino Linotype" w:eastAsia="Palatino Linotype" w:hAnsi="Palatino Linotype" w:cs="Palatino Linotype"/>
        </w:rPr>
        <w:lastRenderedPageBreak/>
        <w:t>1. Estudio de costo beneficio y estudio de factibilidad de las obras y proyectos reportados en respuesta a la solicitud de información 00427/SMOV/IP/2022.</w:t>
      </w:r>
    </w:p>
    <w:p w:rsidR="005622FD" w:rsidRPr="00DB1D98" w:rsidRDefault="0070232F">
      <w:pPr>
        <w:spacing w:before="120" w:after="120"/>
        <w:ind w:left="284" w:right="51"/>
        <w:jc w:val="both"/>
        <w:rPr>
          <w:rFonts w:ascii="Palatino Linotype" w:eastAsia="Palatino Linotype" w:hAnsi="Palatino Linotype" w:cs="Palatino Linotype"/>
          <w:i/>
          <w:sz w:val="20"/>
          <w:szCs w:val="20"/>
        </w:rPr>
      </w:pPr>
      <w:r w:rsidRPr="00DB1D98">
        <w:rPr>
          <w:rFonts w:ascii="Palatino Linotype" w:eastAsia="Palatino Linotype" w:hAnsi="Palatino Linotype" w:cs="Palatino Linotype"/>
          <w:i/>
          <w:sz w:val="20"/>
          <w:szCs w:val="2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DB1D98">
        <w:rPr>
          <w:rFonts w:ascii="Palatino Linotype" w:eastAsia="Palatino Linotype" w:hAnsi="Palatino Linotype" w:cs="Palatino Linotype"/>
          <w:b/>
          <w:i/>
          <w:sz w:val="20"/>
          <w:szCs w:val="20"/>
        </w:rPr>
        <w:t>Recurrente</w:t>
      </w:r>
      <w:r w:rsidRPr="00DB1D98">
        <w:rPr>
          <w:rFonts w:ascii="Palatino Linotype" w:eastAsia="Palatino Linotype" w:hAnsi="Palatino Linotype" w:cs="Palatino Linotype"/>
          <w:i/>
          <w:sz w:val="20"/>
          <w:szCs w:val="20"/>
        </w:rPr>
        <w:t>, mismo que igualmente hará de su conocimiento.</w:t>
      </w:r>
    </w:p>
    <w:p w:rsidR="005622FD" w:rsidRPr="00DB1D98" w:rsidRDefault="0070232F">
      <w:pPr>
        <w:spacing w:before="240" w:after="240" w:line="360" w:lineRule="auto"/>
        <w:jc w:val="both"/>
        <w:rPr>
          <w:rFonts w:ascii="Palatino Linotype" w:eastAsia="Palatino Linotype" w:hAnsi="Palatino Linotype" w:cs="Palatino Linotype"/>
          <w:b/>
        </w:rPr>
      </w:pPr>
      <w:r w:rsidRPr="00DB1D98">
        <w:rPr>
          <w:rFonts w:ascii="Palatino Linotype" w:eastAsia="Palatino Linotype" w:hAnsi="Palatino Linotype" w:cs="Palatino Linotype"/>
          <w:b/>
        </w:rPr>
        <w:t xml:space="preserve">Tercero. Notifíquese, </w:t>
      </w:r>
      <w:r w:rsidRPr="00DB1D98">
        <w:rPr>
          <w:rFonts w:ascii="Palatino Linotype" w:eastAsia="Palatino Linotype" w:hAnsi="Palatino Linotype" w:cs="Palatino Linotype"/>
        </w:rPr>
        <w:t xml:space="preserve">vía </w:t>
      </w:r>
      <w:r w:rsidRPr="00DB1D98">
        <w:rPr>
          <w:rFonts w:ascii="Palatino Linotype" w:eastAsia="Palatino Linotype" w:hAnsi="Palatino Linotype" w:cs="Palatino Linotype"/>
          <w:b/>
        </w:rPr>
        <w:t>SAIMEX</w:t>
      </w:r>
      <w:r w:rsidRPr="00DB1D98">
        <w:rPr>
          <w:rFonts w:ascii="Palatino Linotype" w:eastAsia="Palatino Linotype" w:hAnsi="Palatino Linotype" w:cs="Palatino Linotype"/>
        </w:rPr>
        <w:t xml:space="preserve">, al Titular de la Unidad de Transparencia del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DB1D98">
        <w:rPr>
          <w:rFonts w:ascii="Palatino Linotype" w:eastAsia="Palatino Linotype" w:hAnsi="Palatino Linotype" w:cs="Palatino Linotype"/>
          <w:b/>
        </w:rPr>
        <w:t>Sujeto Obligado</w:t>
      </w:r>
      <w:r w:rsidRPr="00DB1D98">
        <w:rPr>
          <w:rFonts w:ascii="Palatino Linotype" w:eastAsia="Palatino Linotype" w:hAnsi="Palatino Linotype" w:cs="Palatino Linotype"/>
        </w:rPr>
        <w:t xml:space="preserve"> de manera fundada y motivada, podrá solicitar una ampliación de plazo para el cumplimiento de la presente resolución.</w:t>
      </w:r>
    </w:p>
    <w:p w:rsidR="005622FD" w:rsidRPr="00DB1D98" w:rsidRDefault="0070232F">
      <w:pPr>
        <w:spacing w:before="240" w:after="240" w:line="360" w:lineRule="auto"/>
        <w:jc w:val="both"/>
        <w:rPr>
          <w:rFonts w:ascii="Palatino Linotype" w:eastAsia="Palatino Linotype" w:hAnsi="Palatino Linotype" w:cs="Palatino Linotype"/>
        </w:rPr>
      </w:pPr>
      <w:r w:rsidRPr="00DB1D98">
        <w:rPr>
          <w:rFonts w:ascii="Palatino Linotype" w:eastAsia="Palatino Linotype" w:hAnsi="Palatino Linotype" w:cs="Palatino Linotype"/>
          <w:b/>
        </w:rPr>
        <w:t xml:space="preserve">Cuarto.  Notifíquese, </w:t>
      </w:r>
      <w:r w:rsidRPr="00DB1D98">
        <w:rPr>
          <w:rFonts w:ascii="Palatino Linotype" w:eastAsia="Palatino Linotype" w:hAnsi="Palatino Linotype" w:cs="Palatino Linotype"/>
        </w:rPr>
        <w:t xml:space="preserve">vía </w:t>
      </w:r>
      <w:r w:rsidRPr="00DB1D98">
        <w:rPr>
          <w:rFonts w:ascii="Palatino Linotype" w:eastAsia="Palatino Linotype" w:hAnsi="Palatino Linotype" w:cs="Palatino Linotype"/>
          <w:b/>
        </w:rPr>
        <w:t>SAIMEX</w:t>
      </w:r>
      <w:r w:rsidRPr="00DB1D98">
        <w:rPr>
          <w:rFonts w:ascii="Palatino Linotype" w:eastAsia="Palatino Linotype" w:hAnsi="Palatino Linotype" w:cs="Palatino Linotype"/>
        </w:rPr>
        <w:t xml:space="preserve">, a la parte recurrente la presente resolución, así como, que de conformidad con lo establecido en el artículo 196 de la Ley de Transparencia y Acceso a la Información Pública del Estado de México y Municipios, </w:t>
      </w:r>
      <w:r w:rsidRPr="00DB1D98">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rsidR="005622FD" w:rsidRPr="00DB1D98" w:rsidRDefault="0070232F">
      <w:pPr>
        <w:spacing w:line="360" w:lineRule="auto"/>
        <w:jc w:val="both"/>
        <w:rPr>
          <w:rFonts w:ascii="Palatino Linotype" w:eastAsia="Palatino Linotype" w:hAnsi="Palatino Linotype" w:cs="Palatino Linotype"/>
        </w:rPr>
      </w:pPr>
      <w:bookmarkStart w:id="12" w:name="_heading=h.lnxbz9" w:colFirst="0" w:colLast="0"/>
      <w:bookmarkEnd w:id="12"/>
      <w:r w:rsidRPr="00DB1D9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SÉPTIMA SESIÓN ORDINARIA, CELEBRADA EL DIEZ DE MAYO DE DOS MIL VEINTITRÉS, ANTE EL SECRETARIO TÉCNICO DEL PLENO ALEXIS TAPIA RAMÍREZ.</w:t>
      </w:r>
    </w:p>
    <w:p w:rsidR="005622FD" w:rsidRPr="00DB1D98" w:rsidRDefault="00FA4916">
      <w:pPr>
        <w:rPr>
          <w:rFonts w:ascii="Palatino Linotype" w:eastAsia="Palatino Linotype" w:hAnsi="Palatino Linotype" w:cs="Palatino Linotype"/>
        </w:rPr>
      </w:pPr>
      <w:r w:rsidRPr="00DB1D98">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72BEF634" wp14:editId="22F81AA2">
                <wp:simplePos x="0" y="0"/>
                <wp:positionH relativeFrom="margin">
                  <wp:align>right</wp:align>
                </wp:positionH>
                <wp:positionV relativeFrom="paragraph">
                  <wp:posOffset>15875</wp:posOffset>
                </wp:positionV>
                <wp:extent cx="5514975" cy="394335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14975" cy="3943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FD780"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1.25pt" to="817.3pt,3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HjBuwEAALkDAAAOAAAAZHJzL2Uyb0RvYy54bWysU02P0zAQvSPxHyzfaZJ2C2zUdA9dwQVB&#10;xccP8DrjxsJfGpsm/feM3TaLAO1htRc7Y783M+95srmbrGFHwKi963izqDkDJ32v3aHjP75/ePOe&#10;s5iE64XxDjp+gsjvtq9fbcbQwtIP3vSAjJK42I6h40NKoa2qKAewIi58AEeXyqMViUI8VD2KkbJb&#10;Uy3r+m01euwDegkx0un9+ZJvS36lQKYvSkVIzHScektlxbI+5LXabkR7QBEGLS9tiGd0YYV2VHRO&#10;dS+SYL9Q/5PKaok+epUW0tvKK6UlFA2kpqn/UvNtEAGKFjInhtmm+HJp5efjHpnu6e04c8LSE+3o&#10;oWTyyDBvrMkejSG2BN25PV6iGPaYBU8Kbd5JCpuKr6fZV5gSk3S4Xjc3t+/WnEm6W93erFbr4nz1&#10;SA8Y00fwluWPjhvtsnDRiuOnmKgkQa8QCnI75wbKVzoZyGDjvoIiMVRyWdhljGBnkB0FDUD/s4ih&#10;XAWZKUobM5Pqp0kXbKZBGa2Z2DxNnNGlondpJlrtPP6PnKZrq+qMv6o+a82yH3x/Ks9R7KD5KC5d&#10;ZjkP4J9xoT/+cdvfAAAA//8DAFBLAwQUAAYACAAAACEA5SrV/9oAAAAGAQAADwAAAGRycy9kb3du&#10;cmV2LnhtbEyPQUvEMBCF74L/IYzgRdzUSmupTRcRPQh7cRXP2WZMis2kNNlt/PeOJ73N4z3e+6bb&#10;Zj+JEy5xDKTgZlOAQBqCGckqeH97vm5AxKTJ6CkQKvjGCNv+/KzTrQkrveJpn6zgEoqtVuBSmlsp&#10;4+DQ67gJMxJ7n2HxOrFcrDSLXrncT7Isilp6PRIvOD3jo8Pha3/0CoYs85V7Mna1dy9mp2PzIaud&#10;UpcX+eEeRMKc/sLwi8/o0DPTIRzJRDEp4EeSgrICwWZTN3wcFNTlbQWy7+R//P4HAAD//wMAUEsB&#10;Ai0AFAAGAAgAAAAhALaDOJL+AAAA4QEAABMAAAAAAAAAAAAAAAAAAAAAAFtDb250ZW50X1R5cGVz&#10;XS54bWxQSwECLQAUAAYACAAAACEAOP0h/9YAAACUAQAACwAAAAAAAAAAAAAAAAAvAQAAX3JlbHMv&#10;LnJlbHNQSwECLQAUAAYACAAAACEA9rh4wbsBAAC5AwAADgAAAAAAAAAAAAAAAAAuAgAAZHJzL2Uy&#10;b0RvYy54bWxQSwECLQAUAAYACAAAACEA5SrV/9oAAAAGAQAADwAAAAAAAAAAAAAAAAAVBAAAZHJz&#10;L2Rvd25yZXYueG1sUEsFBgAAAAAEAAQA8wAAABwFAAAAAA==&#10;" strokecolor="black [3200]" strokeweight="2pt">
                <v:shadow on="t" color="black" opacity="24903f" origin=",.5" offset="0,.55556mm"/>
                <w10:wrap anchorx="margin"/>
              </v:line>
            </w:pict>
          </mc:Fallback>
        </mc:AlternateContent>
      </w:r>
    </w:p>
    <w:p w:rsidR="005622FD" w:rsidRPr="00DB1D98" w:rsidRDefault="005622FD">
      <w:pPr>
        <w:rPr>
          <w:rFonts w:ascii="Palatino Linotype" w:eastAsia="Palatino Linotype" w:hAnsi="Palatino Linotype" w:cs="Palatino Linotype"/>
        </w:rPr>
      </w:pPr>
    </w:p>
    <w:p w:rsidR="005622FD" w:rsidRPr="00DB1D98" w:rsidRDefault="005622FD">
      <w:pPr>
        <w:rPr>
          <w:rFonts w:ascii="Palatino Linotype" w:eastAsia="Palatino Linotype" w:hAnsi="Palatino Linotype" w:cs="Palatino Linotype"/>
        </w:rPr>
      </w:pPr>
    </w:p>
    <w:p w:rsidR="005622FD" w:rsidRPr="00DB1D98" w:rsidRDefault="005622FD">
      <w:pPr>
        <w:rPr>
          <w:rFonts w:ascii="Palatino Linotype" w:eastAsia="Palatino Linotype" w:hAnsi="Palatino Linotype" w:cs="Palatino Linotype"/>
        </w:rPr>
      </w:pPr>
    </w:p>
    <w:p w:rsidR="005622FD" w:rsidRPr="00DB1D98" w:rsidRDefault="005622FD">
      <w:pPr>
        <w:rPr>
          <w:rFonts w:ascii="Palatino Linotype" w:eastAsia="Palatino Linotype" w:hAnsi="Palatino Linotype" w:cs="Palatino Linotype"/>
        </w:rPr>
      </w:pPr>
    </w:p>
    <w:p w:rsidR="005622FD" w:rsidRPr="00DB1D98" w:rsidRDefault="005622FD">
      <w:pPr>
        <w:rPr>
          <w:rFonts w:ascii="Palatino Linotype" w:eastAsia="Palatino Linotype" w:hAnsi="Palatino Linotype" w:cs="Palatino Linotype"/>
        </w:rPr>
      </w:pPr>
    </w:p>
    <w:p w:rsidR="005622FD" w:rsidRPr="00DB1D98" w:rsidRDefault="005622FD">
      <w:pPr>
        <w:rPr>
          <w:rFonts w:ascii="Palatino Linotype" w:eastAsia="Palatino Linotype" w:hAnsi="Palatino Linotype" w:cs="Palatino Linotype"/>
        </w:rPr>
      </w:pPr>
    </w:p>
    <w:p w:rsidR="005622FD" w:rsidRPr="00DB1D98" w:rsidRDefault="005622FD">
      <w:pPr>
        <w:rPr>
          <w:rFonts w:ascii="Palatino Linotype" w:eastAsia="Palatino Linotype" w:hAnsi="Palatino Linotype" w:cs="Palatino Linotype"/>
        </w:rPr>
      </w:pPr>
    </w:p>
    <w:p w:rsidR="005622FD" w:rsidRPr="00DB1D98" w:rsidRDefault="005622FD">
      <w:pPr>
        <w:rPr>
          <w:rFonts w:ascii="Palatino Linotype" w:eastAsia="Palatino Linotype" w:hAnsi="Palatino Linotype" w:cs="Palatino Linotype"/>
        </w:rPr>
      </w:pPr>
    </w:p>
    <w:p w:rsidR="005622FD" w:rsidRPr="00DB1D98" w:rsidRDefault="005622FD">
      <w:pPr>
        <w:rPr>
          <w:rFonts w:ascii="Palatino Linotype" w:eastAsia="Palatino Linotype" w:hAnsi="Palatino Linotype" w:cs="Palatino Linotype"/>
        </w:rPr>
      </w:pPr>
    </w:p>
    <w:p w:rsidR="005622FD" w:rsidRPr="00DB1D98" w:rsidRDefault="005622FD">
      <w:pPr>
        <w:rPr>
          <w:rFonts w:ascii="Palatino Linotype" w:eastAsia="Palatino Linotype" w:hAnsi="Palatino Linotype" w:cs="Palatino Linotype"/>
        </w:rPr>
      </w:pPr>
    </w:p>
    <w:p w:rsidR="005622FD" w:rsidRPr="00DB1D98" w:rsidRDefault="005622FD">
      <w:pPr>
        <w:spacing w:line="360" w:lineRule="auto"/>
        <w:jc w:val="both"/>
        <w:rPr>
          <w:rFonts w:ascii="Palatino Linotype" w:eastAsia="Palatino Linotype" w:hAnsi="Palatino Linotype" w:cs="Palatino Linotype"/>
        </w:rPr>
      </w:pPr>
      <w:bookmarkStart w:id="13" w:name="_heading=h.3rdcrjn" w:colFirst="0" w:colLast="0"/>
      <w:bookmarkEnd w:id="13"/>
    </w:p>
    <w:p w:rsidR="005622FD" w:rsidRPr="00DB1D98" w:rsidRDefault="005622FD">
      <w:pPr>
        <w:spacing w:line="360" w:lineRule="auto"/>
        <w:jc w:val="both"/>
        <w:rPr>
          <w:rFonts w:ascii="Palatino Linotype" w:eastAsia="Palatino Linotype" w:hAnsi="Palatino Linotype" w:cs="Palatino Linotype"/>
        </w:rPr>
      </w:pPr>
    </w:p>
    <w:p w:rsidR="005622FD" w:rsidRPr="00DB1D98" w:rsidRDefault="005622FD">
      <w:pPr>
        <w:spacing w:line="360" w:lineRule="auto"/>
        <w:jc w:val="both"/>
        <w:rPr>
          <w:rFonts w:ascii="Palatino Linotype" w:eastAsia="Palatino Linotype" w:hAnsi="Palatino Linotype" w:cs="Palatino Linotype"/>
        </w:rPr>
      </w:pPr>
    </w:p>
    <w:p w:rsidR="005622FD" w:rsidRPr="00DB1D98" w:rsidRDefault="005622FD">
      <w:pPr>
        <w:spacing w:line="360" w:lineRule="auto"/>
        <w:jc w:val="both"/>
        <w:rPr>
          <w:rFonts w:ascii="Palatino Linotype" w:eastAsia="Palatino Linotype" w:hAnsi="Palatino Linotype" w:cs="Palatino Linotype"/>
        </w:rPr>
      </w:pPr>
      <w:bookmarkStart w:id="14" w:name="_heading=h.1t3h5sf" w:colFirst="0" w:colLast="0"/>
      <w:bookmarkEnd w:id="14"/>
    </w:p>
    <w:p w:rsidR="005622FD" w:rsidRPr="00DB1D98" w:rsidRDefault="005622FD">
      <w:pPr>
        <w:spacing w:line="360" w:lineRule="auto"/>
        <w:jc w:val="both"/>
        <w:rPr>
          <w:rFonts w:ascii="Palatino Linotype" w:eastAsia="Palatino Linotype" w:hAnsi="Palatino Linotype" w:cs="Palatino Linotype"/>
        </w:rPr>
      </w:pPr>
    </w:p>
    <w:p w:rsidR="005622FD" w:rsidRPr="00DB1D98" w:rsidRDefault="005622FD">
      <w:pPr>
        <w:spacing w:line="360" w:lineRule="auto"/>
        <w:jc w:val="both"/>
        <w:rPr>
          <w:rFonts w:ascii="Palatino Linotype" w:eastAsia="Palatino Linotype" w:hAnsi="Palatino Linotype" w:cs="Palatino Linotype"/>
        </w:rPr>
      </w:pPr>
    </w:p>
    <w:p w:rsidR="005622FD" w:rsidRPr="00DB1D98" w:rsidRDefault="005622FD">
      <w:pPr>
        <w:spacing w:line="360" w:lineRule="auto"/>
        <w:jc w:val="both"/>
        <w:rPr>
          <w:rFonts w:ascii="Palatino Linotype" w:eastAsia="Palatino Linotype" w:hAnsi="Palatino Linotype" w:cs="Palatino Linotype"/>
        </w:rPr>
      </w:pPr>
    </w:p>
    <w:p w:rsidR="005622FD" w:rsidRPr="00DB1D98" w:rsidRDefault="005622FD">
      <w:pPr>
        <w:spacing w:line="360" w:lineRule="auto"/>
        <w:jc w:val="both"/>
        <w:rPr>
          <w:rFonts w:ascii="Palatino Linotype" w:eastAsia="Palatino Linotype" w:hAnsi="Palatino Linotype" w:cs="Palatino Linotype"/>
        </w:rPr>
      </w:pPr>
    </w:p>
    <w:p w:rsidR="005622FD" w:rsidRPr="00DB1D98" w:rsidRDefault="005622FD">
      <w:pPr>
        <w:spacing w:line="360" w:lineRule="auto"/>
        <w:jc w:val="both"/>
        <w:rPr>
          <w:rFonts w:ascii="Palatino Linotype" w:eastAsia="Palatino Linotype" w:hAnsi="Palatino Linotype" w:cs="Palatino Linotype"/>
        </w:rPr>
      </w:pPr>
    </w:p>
    <w:p w:rsidR="005622FD" w:rsidRPr="00DB1D98" w:rsidRDefault="005622FD">
      <w:pPr>
        <w:spacing w:line="360" w:lineRule="auto"/>
        <w:jc w:val="both"/>
        <w:rPr>
          <w:rFonts w:ascii="Palatino Linotype" w:eastAsia="Palatino Linotype" w:hAnsi="Palatino Linotype" w:cs="Palatino Linotype"/>
        </w:rPr>
      </w:pPr>
    </w:p>
    <w:p w:rsidR="005622FD" w:rsidRPr="00DB1D98" w:rsidRDefault="005622FD">
      <w:pPr>
        <w:spacing w:line="360" w:lineRule="auto"/>
        <w:jc w:val="both"/>
        <w:rPr>
          <w:rFonts w:ascii="Palatino Linotype" w:eastAsia="Palatino Linotype" w:hAnsi="Palatino Linotype" w:cs="Palatino Linotype"/>
        </w:rPr>
      </w:pPr>
    </w:p>
    <w:p w:rsidR="005622FD" w:rsidRPr="00DB1D98" w:rsidRDefault="005622FD">
      <w:pPr>
        <w:spacing w:line="360" w:lineRule="auto"/>
        <w:jc w:val="both"/>
        <w:rPr>
          <w:rFonts w:ascii="Palatino Linotype" w:eastAsia="Palatino Linotype" w:hAnsi="Palatino Linotype" w:cs="Palatino Linotype"/>
        </w:rPr>
      </w:pPr>
    </w:p>
    <w:p w:rsidR="005622FD" w:rsidRPr="00DB1D98" w:rsidRDefault="005622FD">
      <w:pPr>
        <w:spacing w:line="360" w:lineRule="auto"/>
        <w:jc w:val="both"/>
        <w:rPr>
          <w:rFonts w:ascii="Palatino Linotype" w:eastAsia="Palatino Linotype" w:hAnsi="Palatino Linotype" w:cs="Palatino Linotype"/>
        </w:rPr>
      </w:pPr>
    </w:p>
    <w:p w:rsidR="005622FD" w:rsidRPr="00DB1D98" w:rsidRDefault="005622FD">
      <w:pPr>
        <w:spacing w:line="360" w:lineRule="auto"/>
        <w:jc w:val="both"/>
        <w:rPr>
          <w:rFonts w:ascii="Palatino Linotype" w:eastAsia="Palatino Linotype" w:hAnsi="Palatino Linotype" w:cs="Palatino Linotype"/>
        </w:rPr>
      </w:pPr>
    </w:p>
    <w:p w:rsidR="005622FD" w:rsidRPr="00DB1D98" w:rsidRDefault="005622FD">
      <w:pPr>
        <w:spacing w:line="360" w:lineRule="auto"/>
        <w:jc w:val="both"/>
        <w:rPr>
          <w:rFonts w:ascii="Palatino Linotype" w:eastAsia="Palatino Linotype" w:hAnsi="Palatino Linotype" w:cs="Palatino Linotype"/>
        </w:rPr>
      </w:pPr>
    </w:p>
    <w:sectPr w:rsidR="005622FD" w:rsidRPr="00DB1D98">
      <w:headerReference w:type="default" r:id="rId19"/>
      <w:footerReference w:type="default" r:id="rId20"/>
      <w:headerReference w:type="first" r:id="rId21"/>
      <w:footerReference w:type="first" r:id="rId2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460" w:rsidRDefault="00CC7460">
      <w:r>
        <w:separator/>
      </w:r>
    </w:p>
  </w:endnote>
  <w:endnote w:type="continuationSeparator" w:id="0">
    <w:p w:rsidR="00CC7460" w:rsidRDefault="00CC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2FD" w:rsidRDefault="007023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74C03">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74C03">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rsidR="005622FD" w:rsidRDefault="005622F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2FD" w:rsidRDefault="007023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74C0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74C03">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rsidR="005622FD" w:rsidRDefault="005622F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460" w:rsidRDefault="00CC7460">
      <w:r>
        <w:separator/>
      </w:r>
    </w:p>
  </w:footnote>
  <w:footnote w:type="continuationSeparator" w:id="0">
    <w:p w:rsidR="00CC7460" w:rsidRDefault="00CC7460">
      <w:r>
        <w:continuationSeparator/>
      </w:r>
    </w:p>
  </w:footnote>
  <w:footnote w:id="1">
    <w:p w:rsidR="005622FD" w:rsidRDefault="0070232F">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20"/>
          <w:szCs w:val="20"/>
        </w:rPr>
        <w:t>Al respecto es importante mencionar que si bien el archivo remitido por el Servidor Público Habilitado de la Dirección General de Vialidad hace referencia en el título a contratos adjudicados del año 2017 a 2021, del análisis efectuado en el número de contrato se advirtió que estos corresponden con los ejercicios 2021 y 2022.</w:t>
      </w:r>
    </w:p>
  </w:footnote>
  <w:footnote w:id="2">
    <w:p w:rsidR="005622FD" w:rsidRDefault="0070232F">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5622FD" w:rsidRDefault="0070232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3">
    <w:p w:rsidR="005622FD" w:rsidRDefault="0070232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 El derecho humano de acceso a la información pública es la prerrogativa de las personas para buscar, difundir, investigar, recabar, recibir y solicitar información pública, sin necesidad de acreditar personalidad ni interés jurídico. </w:t>
      </w:r>
    </w:p>
    <w:p w:rsidR="005622FD" w:rsidRDefault="0070232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5622FD" w:rsidRDefault="0070232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Los sujetos obligados deben poner en práctica, políticas y programas de acceso a la información que se apeguen a criterios de publicidad, veracidad, oportunidad, precisión y suficiencia en beneficio de los solicitantes.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2FD" w:rsidRDefault="0070232F">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-1080119</wp:posOffset>
          </wp:positionH>
          <wp:positionV relativeFrom="paragraph">
            <wp:posOffset>-488297</wp:posOffset>
          </wp:positionV>
          <wp:extent cx="7809865" cy="10165715"/>
          <wp:effectExtent l="0" t="0" r="0" b="0"/>
          <wp:wrapNone/>
          <wp:docPr id="13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2"/>
      <w:tblW w:w="5953" w:type="dxa"/>
      <w:tblInd w:w="3261" w:type="dxa"/>
      <w:tblLayout w:type="fixed"/>
      <w:tblLook w:val="0400" w:firstRow="0" w:lastRow="0" w:firstColumn="0" w:lastColumn="0" w:noHBand="0" w:noVBand="1"/>
    </w:tblPr>
    <w:tblGrid>
      <w:gridCol w:w="2489"/>
      <w:gridCol w:w="3464"/>
    </w:tblGrid>
    <w:tr w:rsidR="005622FD">
      <w:tc>
        <w:tcPr>
          <w:tcW w:w="2489" w:type="dxa"/>
          <w:shd w:val="clear" w:color="auto" w:fill="auto"/>
        </w:tcPr>
        <w:p w:rsidR="005622FD" w:rsidRDefault="007023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5622FD" w:rsidRDefault="007023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14994/INFOEM/IP/RR/2022</w:t>
          </w:r>
        </w:p>
      </w:tc>
    </w:tr>
    <w:tr w:rsidR="005622FD">
      <w:trPr>
        <w:trHeight w:val="228"/>
      </w:trPr>
      <w:tc>
        <w:tcPr>
          <w:tcW w:w="2489" w:type="dxa"/>
          <w:shd w:val="clear" w:color="auto" w:fill="auto"/>
          <w:vAlign w:val="center"/>
        </w:tcPr>
        <w:p w:rsidR="005622FD" w:rsidRDefault="007023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5622FD" w:rsidRDefault="0070232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Movilidad</w:t>
          </w:r>
        </w:p>
      </w:tc>
    </w:tr>
    <w:tr w:rsidR="005622FD">
      <w:tc>
        <w:tcPr>
          <w:tcW w:w="2489" w:type="dxa"/>
          <w:shd w:val="clear" w:color="auto" w:fill="auto"/>
          <w:vAlign w:val="center"/>
        </w:tcPr>
        <w:p w:rsidR="005622FD" w:rsidRDefault="0070232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5622FD" w:rsidRDefault="007023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622FD" w:rsidRDefault="0070232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2FD" w:rsidRDefault="0070232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-1080125</wp:posOffset>
          </wp:positionH>
          <wp:positionV relativeFrom="paragraph">
            <wp:posOffset>-262868</wp:posOffset>
          </wp:positionV>
          <wp:extent cx="7809865" cy="10165715"/>
          <wp:effectExtent l="0" t="0" r="0" b="0"/>
          <wp:wrapNone/>
          <wp:docPr id="13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1"/>
      <w:tblW w:w="5670" w:type="dxa"/>
      <w:tblInd w:w="3261" w:type="dxa"/>
      <w:tblLayout w:type="fixed"/>
      <w:tblLook w:val="0400" w:firstRow="0" w:lastRow="0" w:firstColumn="0" w:lastColumn="0" w:noHBand="0" w:noVBand="1"/>
    </w:tblPr>
    <w:tblGrid>
      <w:gridCol w:w="2551"/>
      <w:gridCol w:w="3119"/>
    </w:tblGrid>
    <w:tr w:rsidR="005622FD">
      <w:tc>
        <w:tcPr>
          <w:tcW w:w="2551" w:type="dxa"/>
          <w:shd w:val="clear" w:color="auto" w:fill="auto"/>
          <w:vAlign w:val="center"/>
        </w:tcPr>
        <w:p w:rsidR="005622FD" w:rsidRDefault="007023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5622FD" w:rsidRDefault="0070232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14994/INFOEM/IP/RR/2022</w:t>
          </w:r>
        </w:p>
      </w:tc>
    </w:tr>
    <w:tr w:rsidR="005622FD">
      <w:trPr>
        <w:trHeight w:val="130"/>
      </w:trPr>
      <w:tc>
        <w:tcPr>
          <w:tcW w:w="2551" w:type="dxa"/>
          <w:shd w:val="clear" w:color="auto" w:fill="auto"/>
          <w:vAlign w:val="center"/>
        </w:tcPr>
        <w:p w:rsidR="005622FD" w:rsidRDefault="007023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5622FD" w:rsidRDefault="005622FD">
          <w:pPr>
            <w:jc w:val="both"/>
            <w:rPr>
              <w:rFonts w:ascii="Palatino Linotype" w:eastAsia="Palatino Linotype" w:hAnsi="Palatino Linotype" w:cs="Palatino Linotype"/>
              <w:b/>
              <w:sz w:val="22"/>
              <w:szCs w:val="22"/>
            </w:rPr>
          </w:pPr>
        </w:p>
      </w:tc>
    </w:tr>
    <w:tr w:rsidR="005622FD">
      <w:trPr>
        <w:trHeight w:val="228"/>
      </w:trPr>
      <w:tc>
        <w:tcPr>
          <w:tcW w:w="2551" w:type="dxa"/>
          <w:shd w:val="clear" w:color="auto" w:fill="auto"/>
          <w:vAlign w:val="center"/>
        </w:tcPr>
        <w:p w:rsidR="005622FD" w:rsidRDefault="007023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5622FD" w:rsidRDefault="0070232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Movilidad</w:t>
          </w:r>
        </w:p>
      </w:tc>
    </w:tr>
    <w:tr w:rsidR="005622FD">
      <w:tc>
        <w:tcPr>
          <w:tcW w:w="2551" w:type="dxa"/>
          <w:shd w:val="clear" w:color="auto" w:fill="auto"/>
          <w:vAlign w:val="center"/>
        </w:tcPr>
        <w:p w:rsidR="005622FD" w:rsidRDefault="007023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5622FD" w:rsidRDefault="0070232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622FD" w:rsidRDefault="005622FD">
    <w:pPr>
      <w:pBdr>
        <w:top w:val="nil"/>
        <w:left w:val="nil"/>
        <w:bottom w:val="nil"/>
        <w:right w:val="nil"/>
        <w:between w:val="nil"/>
      </w:pBdr>
      <w:tabs>
        <w:tab w:val="center" w:pos="4252"/>
        <w:tab w:val="right" w:pos="8504"/>
      </w:tabs>
      <w:rPr>
        <w:rFonts w:ascii="Cambria" w:eastAsia="Cambria" w:hAnsi="Cambria" w:cs="Cambria"/>
        <w:color w:val="000000"/>
      </w:rPr>
    </w:pPr>
  </w:p>
  <w:p w:rsidR="005622FD" w:rsidRDefault="005622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121FA"/>
    <w:multiLevelType w:val="multilevel"/>
    <w:tmpl w:val="6FA440D0"/>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BFD7E34"/>
    <w:multiLevelType w:val="multilevel"/>
    <w:tmpl w:val="ED624874"/>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66384741"/>
    <w:multiLevelType w:val="multilevel"/>
    <w:tmpl w:val="9426242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2FD"/>
    <w:rsid w:val="002B74DF"/>
    <w:rsid w:val="005622FD"/>
    <w:rsid w:val="0070232F"/>
    <w:rsid w:val="00807A1A"/>
    <w:rsid w:val="00A344B9"/>
    <w:rsid w:val="00CC7460"/>
    <w:rsid w:val="00D74F90"/>
    <w:rsid w:val="00DB1D98"/>
    <w:rsid w:val="00F74C03"/>
    <w:rsid w:val="00FA49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A48FB5-CBF2-4785-ABA6-0B385C0A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0"/>
    <w:tblPr>
      <w:tblStyleRowBandSize w:val="1"/>
      <w:tblStyleColBandSize w:val="1"/>
      <w:tblCellMar>
        <w:top w:w="0" w:type="dxa"/>
        <w:left w:w="115" w:type="dxa"/>
        <w:bottom w:w="0" w:type="dxa"/>
        <w:right w:w="115" w:type="dxa"/>
      </w:tblCellMar>
    </w:tblPr>
  </w:style>
  <w:style w:type="table" w:customStyle="1" w:styleId="19">
    <w:name w:val="19"/>
    <w:basedOn w:val="TableNormal40"/>
    <w:tblPr>
      <w:tblStyleRowBandSize w:val="1"/>
      <w:tblStyleColBandSize w:val="1"/>
      <w:tblCellMar>
        <w:top w:w="0" w:type="dxa"/>
        <w:left w:w="115" w:type="dxa"/>
        <w:bottom w:w="0" w:type="dxa"/>
        <w:right w:w="115" w:type="dxa"/>
      </w:tblCellMar>
    </w:tblPr>
  </w:style>
  <w:style w:type="table" w:customStyle="1" w:styleId="18">
    <w:name w:val="18"/>
    <w:basedOn w:val="TableNormal50"/>
    <w:tblPr>
      <w:tblStyleRowBandSize w:val="1"/>
      <w:tblStyleColBandSize w:val="1"/>
      <w:tblCellMar>
        <w:top w:w="0" w:type="dxa"/>
        <w:left w:w="115" w:type="dxa"/>
        <w:bottom w:w="0" w:type="dxa"/>
        <w:right w:w="115" w:type="dxa"/>
      </w:tblCellMar>
    </w:tblPr>
  </w:style>
  <w:style w:type="table" w:customStyle="1" w:styleId="17">
    <w:name w:val="17"/>
    <w:basedOn w:val="TableNormal50"/>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5"/>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2">
    <w:basedOn w:val="TableNormal5"/>
    <w:tblPr>
      <w:tblStyleRowBandSize w:val="1"/>
      <w:tblStyleColBandSize w:val="1"/>
      <w:tblCellMar>
        <w:top w:w="0" w:type="dxa"/>
        <w:left w:w="115" w:type="dxa"/>
        <w:bottom w:w="0" w:type="dxa"/>
        <w:right w:w="115" w:type="dxa"/>
      </w:tblCellMar>
    </w:tblPr>
  </w:style>
  <w:style w:type="table" w:customStyle="1" w:styleId="a3">
    <w:basedOn w:val="TableNormal4"/>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4"/>
    <w:tblPr>
      <w:tblStyleRowBandSize w:val="1"/>
      <w:tblStyleColBandSize w:val="1"/>
      <w:tblCellMar>
        <w:top w:w="0" w:type="dxa"/>
        <w:left w:w="115" w:type="dxa"/>
        <w:bottom w:w="0" w:type="dxa"/>
        <w:right w:w="115" w:type="dxa"/>
      </w:tblCellMar>
    </w:tblPr>
  </w:style>
  <w:style w:type="table" w:customStyle="1" w:styleId="a5">
    <w:basedOn w:val="TableNormal4"/>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3"/>
    <w:tblPr>
      <w:tblStyleRowBandSize w:val="1"/>
      <w:tblStyleColBandSize w:val="1"/>
      <w:tblCellMar>
        <w:top w:w="0" w:type="dxa"/>
        <w:left w:w="115" w:type="dxa"/>
        <w:bottom w:w="0" w:type="dxa"/>
        <w:right w:w="115"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numPr>
        <w:numId w:val="3"/>
      </w:numPr>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1"/>
    <w:tblPr>
      <w:tblStyleRowBandSize w:val="1"/>
      <w:tblStyleColBandSize w:val="1"/>
      <w:tblCellMar>
        <w:top w:w="0" w:type="dxa"/>
        <w:left w:w="108" w:type="dxa"/>
        <w:bottom w:w="0" w:type="dxa"/>
        <w:right w:w="108" w:type="dxa"/>
      </w:tblCellMar>
    </w:tblPr>
  </w:style>
  <w:style w:type="table" w:customStyle="1" w:styleId="ad">
    <w:basedOn w:val="TableNormal1"/>
    <w:tblPr>
      <w:tblStyleRowBandSize w:val="1"/>
      <w:tblStyleColBandSize w:val="1"/>
      <w:tblCellMar>
        <w:top w:w="0" w:type="dxa"/>
        <w:left w:w="108" w:type="dxa"/>
        <w:bottom w:w="0" w:type="dxa"/>
        <w:right w:w="108" w:type="dxa"/>
      </w:tblCellMar>
    </w:tblPr>
  </w:style>
  <w:style w:type="table" w:customStyle="1" w:styleId="ae">
    <w:basedOn w:val="TableNormal1"/>
    <w:tblPr>
      <w:tblStyleRowBandSize w:val="1"/>
      <w:tblStyleColBandSize w:val="1"/>
      <w:tblCellMar>
        <w:top w:w="0" w:type="dxa"/>
        <w:left w:w="108" w:type="dxa"/>
        <w:bottom w:w="0" w:type="dxa"/>
        <w:right w:w="108" w:type="dxa"/>
      </w:tblCellMar>
    </w:tbl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mailto:berenice.carrillo@infoem.org.m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ridiana.santana@itaipem.org.mx" TargetMode="External"/><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69joS9J0QrcjBqHfhPKNo81NCg==">AMUW2mVqW1gdVKjihYhcE4KgEUe57r40yNEhAwitVwb3N+jEjntf7l5Umq2aaSA1g0dSxa0pW4Ny9TdqmLMLRNQRnTHGwTjGCeuIU1qK6Nm0JSnGjoPXENUaPtbRJ56GAoMTfrvWB/W7SODOBvSthTk62E/6N1yHgeuhIZQdKW1fOyKYsXM1M6k4v5TrR/nK1wNX3BjAckUj7TI2VDAFlmqz09go/ttMNuG9WanUL3DSvxOReGlkyM7oo7RcputdyOe31haCU49YCS5yeaaXs0Uw9AcwZGj6sGrTvJCEr9zScAJpxDASgNRVrmzkJmV+EsTWdO4Gula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9651</Words>
  <Characters>53082</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2023-05-12T15:59:00Z</cp:lastPrinted>
  <dcterms:created xsi:type="dcterms:W3CDTF">2023-05-17T20:40:00Z</dcterms:created>
  <dcterms:modified xsi:type="dcterms:W3CDTF">2023-05-17T20:40:00Z</dcterms:modified>
</cp:coreProperties>
</file>