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4A9" w:rsidRPr="00392273" w:rsidRDefault="00397777">
      <w:pPr>
        <w:spacing w:after="0" w:line="360" w:lineRule="auto"/>
        <w:ind w:right="49"/>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cinco de septiembre de dos mil veintitrés.  </w:t>
      </w:r>
    </w:p>
    <w:p w:rsidR="00E134A9" w:rsidRPr="00392273" w:rsidRDefault="00E134A9">
      <w:pPr>
        <w:spacing w:after="0" w:line="360" w:lineRule="auto"/>
        <w:ind w:right="49"/>
        <w:jc w:val="center"/>
        <w:rPr>
          <w:rFonts w:ascii="Palatino Linotype" w:eastAsia="Palatino Linotype" w:hAnsi="Palatino Linotype" w:cs="Palatino Linotype"/>
          <w:sz w:val="24"/>
          <w:szCs w:val="24"/>
        </w:rPr>
      </w:pPr>
    </w:p>
    <w:p w:rsidR="00E134A9" w:rsidRPr="00392273" w:rsidRDefault="00397777">
      <w:pPr>
        <w:spacing w:after="0" w:line="360" w:lineRule="auto"/>
        <w:ind w:right="49"/>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Visto el expediente relativo al recurso de revisión </w:t>
      </w:r>
      <w:r w:rsidRPr="00392273">
        <w:rPr>
          <w:rFonts w:ascii="Palatino Linotype" w:eastAsia="Palatino Linotype" w:hAnsi="Palatino Linotype" w:cs="Palatino Linotype"/>
          <w:b/>
          <w:sz w:val="24"/>
          <w:szCs w:val="24"/>
        </w:rPr>
        <w:t>03444/INFOEM/IP/RR/2023</w:t>
      </w:r>
      <w:r w:rsidRPr="00392273">
        <w:rPr>
          <w:rFonts w:ascii="Palatino Linotype" w:eastAsia="Palatino Linotype" w:hAnsi="Palatino Linotype" w:cs="Palatino Linotype"/>
          <w:sz w:val="24"/>
          <w:szCs w:val="24"/>
        </w:rPr>
        <w:t xml:space="preserve">, interpuesto por </w:t>
      </w:r>
      <w:r w:rsidR="00873F29">
        <w:rPr>
          <w:rFonts w:ascii="Palatino Linotype" w:eastAsia="Palatino Linotype" w:hAnsi="Palatino Linotype" w:cs="Palatino Linotype"/>
          <w:b/>
        </w:rPr>
        <w:t>XXXXXX XXX XXXXXXXXXX,</w:t>
      </w:r>
      <w:bookmarkStart w:id="0" w:name="_GoBack"/>
      <w:bookmarkEnd w:id="0"/>
      <w:r w:rsidRPr="00392273">
        <w:rPr>
          <w:rFonts w:ascii="Palatino Linotype" w:eastAsia="Palatino Linotype" w:hAnsi="Palatino Linotype" w:cs="Palatino Linotype"/>
          <w:sz w:val="24"/>
          <w:szCs w:val="24"/>
        </w:rPr>
        <w:t xml:space="preserve"> al cual en lo sucesivo se le denominará la parte </w:t>
      </w:r>
      <w:r w:rsidRPr="00392273">
        <w:rPr>
          <w:rFonts w:ascii="Palatino Linotype" w:eastAsia="Palatino Linotype" w:hAnsi="Palatino Linotype" w:cs="Palatino Linotype"/>
          <w:b/>
          <w:sz w:val="24"/>
          <w:szCs w:val="24"/>
        </w:rPr>
        <w:t>RECURRENTE</w:t>
      </w:r>
      <w:r w:rsidRPr="00392273">
        <w:rPr>
          <w:rFonts w:ascii="Palatino Linotype" w:eastAsia="Palatino Linotype" w:hAnsi="Palatino Linotype" w:cs="Palatino Linotype"/>
          <w:sz w:val="24"/>
          <w:szCs w:val="24"/>
        </w:rPr>
        <w:t xml:space="preserve">, en contra de la respuesta a su solicitud de información identificada con número de folio </w:t>
      </w:r>
      <w:r w:rsidRPr="00392273">
        <w:rPr>
          <w:rFonts w:ascii="Palatino Linotype" w:eastAsia="Palatino Linotype" w:hAnsi="Palatino Linotype" w:cs="Palatino Linotype"/>
          <w:b/>
          <w:sz w:val="24"/>
          <w:szCs w:val="24"/>
        </w:rPr>
        <w:t>00338/CUAUTIZC/IP/2023</w:t>
      </w:r>
      <w:r w:rsidRPr="00392273">
        <w:rPr>
          <w:rFonts w:ascii="Palatino Linotype" w:eastAsia="Palatino Linotype" w:hAnsi="Palatino Linotype" w:cs="Palatino Linotype"/>
          <w:sz w:val="24"/>
          <w:szCs w:val="24"/>
        </w:rPr>
        <w:t xml:space="preserve"> proporcionada por parte del </w:t>
      </w:r>
      <w:r w:rsidRPr="00392273">
        <w:rPr>
          <w:rFonts w:ascii="Palatino Linotype" w:eastAsia="Palatino Linotype" w:hAnsi="Palatino Linotype" w:cs="Palatino Linotype"/>
          <w:b/>
          <w:sz w:val="24"/>
          <w:szCs w:val="24"/>
        </w:rPr>
        <w:t>Ayuntamiento de Cuautitlán Izcalli</w:t>
      </w:r>
      <w:r w:rsidRPr="00392273">
        <w:rPr>
          <w:rFonts w:ascii="Palatino Linotype" w:eastAsia="Palatino Linotype" w:hAnsi="Palatino Linotype" w:cs="Palatino Linotype"/>
          <w:sz w:val="24"/>
          <w:szCs w:val="24"/>
        </w:rPr>
        <w:t xml:space="preserve">, en lo sucesivo el </w:t>
      </w:r>
      <w:r w:rsidRPr="00392273">
        <w:rPr>
          <w:rFonts w:ascii="Palatino Linotype" w:eastAsia="Palatino Linotype" w:hAnsi="Palatino Linotype" w:cs="Palatino Linotype"/>
          <w:b/>
          <w:sz w:val="24"/>
          <w:szCs w:val="24"/>
        </w:rPr>
        <w:t>SUJETO OBLIGADO</w:t>
      </w:r>
      <w:r w:rsidRPr="00392273">
        <w:rPr>
          <w:rFonts w:ascii="Palatino Linotype" w:eastAsia="Palatino Linotype" w:hAnsi="Palatino Linotype" w:cs="Palatino Linotype"/>
          <w:sz w:val="24"/>
          <w:szCs w:val="24"/>
        </w:rPr>
        <w:t>; se procede a dictar la presente resolución, con base en los siguientes:</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p>
    <w:p w:rsidR="00E134A9" w:rsidRPr="00392273" w:rsidRDefault="00397777">
      <w:pPr>
        <w:spacing w:after="0" w:line="360" w:lineRule="auto"/>
        <w:ind w:right="49"/>
        <w:jc w:val="center"/>
        <w:rPr>
          <w:rFonts w:ascii="Palatino Linotype" w:eastAsia="Palatino Linotype" w:hAnsi="Palatino Linotype" w:cs="Palatino Linotype"/>
          <w:b/>
          <w:sz w:val="24"/>
          <w:szCs w:val="24"/>
        </w:rPr>
      </w:pPr>
      <w:r w:rsidRPr="00392273">
        <w:rPr>
          <w:rFonts w:ascii="Palatino Linotype" w:eastAsia="Palatino Linotype" w:hAnsi="Palatino Linotype" w:cs="Palatino Linotype"/>
          <w:b/>
          <w:sz w:val="24"/>
          <w:szCs w:val="24"/>
        </w:rPr>
        <w:t>I.</w:t>
      </w:r>
      <w:r w:rsidRPr="00392273">
        <w:rPr>
          <w:rFonts w:ascii="Palatino Linotype" w:eastAsia="Palatino Linotype" w:hAnsi="Palatino Linotype" w:cs="Palatino Linotype"/>
          <w:b/>
          <w:sz w:val="24"/>
          <w:szCs w:val="24"/>
        </w:rPr>
        <w:tab/>
        <w:t>A N T E C E D E N T E S</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p>
    <w:p w:rsidR="00E134A9" w:rsidRPr="00392273" w:rsidRDefault="0039777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b/>
          <w:sz w:val="24"/>
          <w:szCs w:val="24"/>
        </w:rPr>
        <w:t>Solicitud de acceso a la información.</w:t>
      </w:r>
      <w:r w:rsidRPr="00392273">
        <w:rPr>
          <w:rFonts w:ascii="Palatino Linotype" w:eastAsia="Palatino Linotype" w:hAnsi="Palatino Linotype" w:cs="Palatino Linotype"/>
          <w:sz w:val="24"/>
          <w:szCs w:val="24"/>
        </w:rPr>
        <w:t xml:space="preserve"> Con fecha </w:t>
      </w:r>
      <w:r w:rsidRPr="00392273">
        <w:rPr>
          <w:rFonts w:ascii="Palatino Linotype" w:eastAsia="Palatino Linotype" w:hAnsi="Palatino Linotype" w:cs="Palatino Linotype"/>
          <w:b/>
          <w:sz w:val="24"/>
          <w:szCs w:val="24"/>
        </w:rPr>
        <w:t>veintiséis de mayo de dos mil veintitrés</w:t>
      </w:r>
      <w:r w:rsidRPr="00392273">
        <w:rPr>
          <w:rFonts w:ascii="Palatino Linotype" w:eastAsia="Palatino Linotype" w:hAnsi="Palatino Linotype" w:cs="Palatino Linotype"/>
          <w:sz w:val="24"/>
          <w:szCs w:val="24"/>
        </w:rPr>
        <w:t xml:space="preserve">, la parte </w:t>
      </w:r>
      <w:r w:rsidRPr="00392273">
        <w:rPr>
          <w:rFonts w:ascii="Palatino Linotype" w:eastAsia="Palatino Linotype" w:hAnsi="Palatino Linotype" w:cs="Palatino Linotype"/>
          <w:b/>
          <w:sz w:val="24"/>
          <w:szCs w:val="24"/>
        </w:rPr>
        <w:t>RECURRENTE</w:t>
      </w:r>
      <w:r w:rsidRPr="00392273">
        <w:rPr>
          <w:rFonts w:ascii="Palatino Linotype" w:eastAsia="Palatino Linotype" w:hAnsi="Palatino Linotype" w:cs="Palatino Linotype"/>
          <w:sz w:val="24"/>
          <w:szCs w:val="24"/>
        </w:rPr>
        <w:t xml:space="preserve"> formuló solicitud de acceso a información pública al</w:t>
      </w:r>
      <w:r w:rsidRPr="00392273">
        <w:rPr>
          <w:rFonts w:ascii="Palatino Linotype" w:eastAsia="Palatino Linotype" w:hAnsi="Palatino Linotype" w:cs="Palatino Linotype"/>
          <w:b/>
          <w:sz w:val="24"/>
          <w:szCs w:val="24"/>
        </w:rPr>
        <w:t xml:space="preserve"> SUJETO OBLIGADO</w:t>
      </w:r>
      <w:r w:rsidRPr="00392273">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rsidR="00E134A9" w:rsidRPr="00392273" w:rsidRDefault="00E134A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E134A9" w:rsidRPr="00392273" w:rsidRDefault="00397777">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392273">
        <w:rPr>
          <w:rFonts w:ascii="Palatino Linotype" w:eastAsia="Palatino Linotype" w:hAnsi="Palatino Linotype" w:cs="Palatino Linotype"/>
          <w:i/>
        </w:rPr>
        <w:t>“</w:t>
      </w:r>
      <w:r w:rsidRPr="00392273">
        <w:rPr>
          <w:rFonts w:ascii="Palatino Linotype" w:eastAsia="Palatino Linotype" w:hAnsi="Palatino Linotype" w:cs="Palatino Linotype"/>
          <w:b/>
          <w:i/>
          <w:u w:val="single"/>
        </w:rPr>
        <w:t xml:space="preserve">Solicito </w:t>
      </w:r>
      <w:r w:rsidRPr="00392273">
        <w:rPr>
          <w:rFonts w:ascii="Palatino Linotype" w:eastAsia="Palatino Linotype" w:hAnsi="Palatino Linotype" w:cs="Palatino Linotype"/>
          <w:b/>
          <w:i/>
        </w:rPr>
        <w:t>saber si</w:t>
      </w:r>
      <w:r w:rsidRPr="00392273">
        <w:rPr>
          <w:rFonts w:ascii="Palatino Linotype" w:eastAsia="Palatino Linotype" w:hAnsi="Palatino Linotype" w:cs="Palatino Linotype"/>
          <w:i/>
        </w:rPr>
        <w:t xml:space="preserve"> los regidores y síndicos t</w:t>
      </w:r>
      <w:r w:rsidRPr="00392273">
        <w:rPr>
          <w:rFonts w:ascii="Palatino Linotype" w:eastAsia="Palatino Linotype" w:hAnsi="Palatino Linotype" w:cs="Palatino Linotype"/>
          <w:b/>
          <w:i/>
          <w:u w:val="single"/>
        </w:rPr>
        <w:t>ienen conocimiento de la relación que existe entre la actual titular de transparencia Isabel y el ex presidente Ricardo Núñez</w:t>
      </w:r>
      <w:r w:rsidRPr="00392273">
        <w:rPr>
          <w:rFonts w:ascii="Palatino Linotype" w:eastAsia="Palatino Linotype" w:hAnsi="Palatino Linotype" w:cs="Palatino Linotype"/>
          <w:i/>
        </w:rPr>
        <w:t xml:space="preserve">, ya que en su administración ella fue titular de transparencia de </w:t>
      </w:r>
      <w:proofErr w:type="spellStart"/>
      <w:r w:rsidRPr="00392273">
        <w:rPr>
          <w:rFonts w:ascii="Palatino Linotype" w:eastAsia="Palatino Linotype" w:hAnsi="Palatino Linotype" w:cs="Palatino Linotype"/>
          <w:i/>
        </w:rPr>
        <w:t>operagua</w:t>
      </w:r>
      <w:proofErr w:type="spellEnd"/>
      <w:r w:rsidRPr="00392273">
        <w:rPr>
          <w:rFonts w:ascii="Palatino Linotype" w:eastAsia="Palatino Linotype" w:hAnsi="Palatino Linotype" w:cs="Palatino Linotype"/>
          <w:i/>
        </w:rPr>
        <w:t>.”</w:t>
      </w:r>
    </w:p>
    <w:p w:rsidR="00E134A9" w:rsidRPr="00392273" w:rsidRDefault="00E134A9">
      <w:pPr>
        <w:spacing w:after="0" w:line="360" w:lineRule="auto"/>
        <w:ind w:left="567" w:right="560"/>
        <w:jc w:val="both"/>
        <w:rPr>
          <w:rFonts w:ascii="Palatino Linotype" w:eastAsia="Palatino Linotype" w:hAnsi="Palatino Linotype" w:cs="Palatino Linotype"/>
          <w:i/>
        </w:rPr>
      </w:pPr>
    </w:p>
    <w:p w:rsidR="00E134A9" w:rsidRPr="00392273" w:rsidRDefault="00397777">
      <w:pPr>
        <w:spacing w:after="0" w:line="360" w:lineRule="auto"/>
        <w:ind w:right="49"/>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b/>
          <w:sz w:val="24"/>
          <w:szCs w:val="24"/>
        </w:rPr>
        <w:lastRenderedPageBreak/>
        <w:t>Modalidad elegida para la entrega de la información:</w:t>
      </w:r>
      <w:r w:rsidRPr="00392273">
        <w:rPr>
          <w:rFonts w:ascii="Palatino Linotype" w:eastAsia="Palatino Linotype" w:hAnsi="Palatino Linotype" w:cs="Palatino Linotype"/>
          <w:sz w:val="24"/>
          <w:szCs w:val="24"/>
        </w:rPr>
        <w:t xml:space="preserve"> a través del Sistema de Acceso a la Información Mexiquense (SAIMEX). </w:t>
      </w:r>
    </w:p>
    <w:p w:rsidR="00E134A9" w:rsidRPr="00392273" w:rsidRDefault="0039777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b/>
          <w:sz w:val="24"/>
          <w:szCs w:val="24"/>
        </w:rPr>
        <w:t>Respuesta.</w:t>
      </w:r>
      <w:r w:rsidRPr="00392273">
        <w:rPr>
          <w:rFonts w:ascii="Palatino Linotype" w:eastAsia="Palatino Linotype" w:hAnsi="Palatino Linotype" w:cs="Palatino Linotype"/>
          <w:sz w:val="24"/>
          <w:szCs w:val="24"/>
        </w:rPr>
        <w:t xml:space="preserve"> Con fecha </w:t>
      </w:r>
      <w:r w:rsidRPr="00392273">
        <w:rPr>
          <w:rFonts w:ascii="Palatino Linotype" w:eastAsia="Palatino Linotype" w:hAnsi="Palatino Linotype" w:cs="Palatino Linotype"/>
          <w:b/>
          <w:sz w:val="24"/>
          <w:szCs w:val="24"/>
        </w:rPr>
        <w:t>dieciséis de junio de dos mil veintitrés</w:t>
      </w:r>
      <w:r w:rsidRPr="00392273">
        <w:rPr>
          <w:rFonts w:ascii="Palatino Linotype" w:eastAsia="Palatino Linotype" w:hAnsi="Palatino Linotype" w:cs="Palatino Linotype"/>
          <w:sz w:val="24"/>
          <w:szCs w:val="24"/>
        </w:rPr>
        <w:t xml:space="preserve">, el </w:t>
      </w:r>
      <w:r w:rsidRPr="00392273">
        <w:rPr>
          <w:rFonts w:ascii="Palatino Linotype" w:eastAsia="Palatino Linotype" w:hAnsi="Palatino Linotype" w:cs="Palatino Linotype"/>
          <w:b/>
          <w:sz w:val="24"/>
          <w:szCs w:val="24"/>
        </w:rPr>
        <w:t>SUJETO OBLIGADO</w:t>
      </w:r>
      <w:r w:rsidRPr="00392273">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p>
    <w:p w:rsidR="00E134A9" w:rsidRPr="00392273" w:rsidRDefault="00397777">
      <w:pPr>
        <w:spacing w:after="0" w:line="276" w:lineRule="auto"/>
        <w:ind w:left="567" w:right="843"/>
        <w:jc w:val="both"/>
        <w:rPr>
          <w:rFonts w:ascii="Palatino Linotype" w:eastAsia="Palatino Linotype" w:hAnsi="Palatino Linotype" w:cs="Palatino Linotype"/>
          <w:i/>
        </w:rPr>
      </w:pPr>
      <w:r w:rsidRPr="00392273">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34A9" w:rsidRPr="00392273" w:rsidRDefault="00397777">
      <w:pPr>
        <w:spacing w:after="0" w:line="276" w:lineRule="auto"/>
        <w:ind w:left="567" w:right="843"/>
        <w:jc w:val="both"/>
        <w:rPr>
          <w:rFonts w:ascii="Palatino Linotype" w:eastAsia="Palatino Linotype" w:hAnsi="Palatino Linotype" w:cs="Palatino Linotype"/>
          <w:i/>
        </w:rPr>
      </w:pPr>
      <w:r w:rsidRPr="00392273">
        <w:rPr>
          <w:rFonts w:ascii="Palatino Linotype" w:eastAsia="Palatino Linotype" w:hAnsi="Palatino Linotype" w:cs="Palatino Linotype"/>
          <w:i/>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(1) COORDINACIÓN DE TRANSPARENCIA 1 “A QUIEN CORRESPONDA: PRESENTE. En atención a la solicitud recibida bajo el folio 00338/CUAUTIZC/IP/2023 y cumpliendo con el requerimiento en el Sistema de Acceso a la Información Pública, donde solicita la siguiente información: “Solicito saber si los regidores y síndicos tienen conocimiento de la relación que existe entre la actual titular de transparencia Isabel y el ex presidente Ricardo Núñez, ya que en su administración ella fue titular de transparencia de </w:t>
      </w:r>
      <w:proofErr w:type="spellStart"/>
      <w:r w:rsidRPr="00392273">
        <w:rPr>
          <w:rFonts w:ascii="Palatino Linotype" w:eastAsia="Palatino Linotype" w:hAnsi="Palatino Linotype" w:cs="Palatino Linotype"/>
          <w:i/>
        </w:rPr>
        <w:t>operagua</w:t>
      </w:r>
      <w:proofErr w:type="spellEnd"/>
      <w:r w:rsidRPr="00392273">
        <w:rPr>
          <w:rFonts w:ascii="Palatino Linotype" w:eastAsia="Palatino Linotype" w:hAnsi="Palatino Linotype" w:cs="Palatino Linotype"/>
          <w:i/>
        </w:rPr>
        <w:t xml:space="preserve">.” (SIC) </w:t>
      </w:r>
      <w:r w:rsidRPr="00392273">
        <w:rPr>
          <w:rFonts w:ascii="Palatino Linotype" w:eastAsia="Palatino Linotype" w:hAnsi="Palatino Linotype" w:cs="Palatino Linotype"/>
          <w:b/>
          <w:i/>
        </w:rPr>
        <w:t xml:space="preserve">Al respecto, se advierte que las manifestaciones asentadas por el solicitante se tratan de una vía formal de relación y diálogo entre los particulares y la autoridad a la que pretende dirigirse, que debe ser ejercida en vía diversa al derecho de acceso a la información pública. Debe señalarse que, a través del ejercicio del derecho de acceso a la información pública, los titulares del mismo pueden solicitar la información referente de todos y cada uno de los documentos que en ejercicio </w:t>
      </w:r>
      <w:r w:rsidRPr="00392273">
        <w:rPr>
          <w:rFonts w:ascii="Palatino Linotype" w:eastAsia="Palatino Linotype" w:hAnsi="Palatino Linotype" w:cs="Palatino Linotype"/>
          <w:b/>
          <w:i/>
        </w:rPr>
        <w:lastRenderedPageBreak/>
        <w:t>de sus atribuciones generen, recopilen, administren, manejen, procesen, archiven o conserven, en los términos de las disposiciones jurídicas aplicables y que reflejen precisamente la toma de decisiones de los sujetos obligados o de aquéllos que por cualquier concepto reciban, administren o apliquen recursos públicos. Por otro lado, en el derecho de petición, se pueden realizar planteamientos de situaciones que afecten la esfera de cualquier persona, realizar la solicitu</w:t>
      </w:r>
      <w:r w:rsidRPr="00392273">
        <w:rPr>
          <w:rFonts w:ascii="Palatino Linotype" w:eastAsia="Palatino Linotype" w:hAnsi="Palatino Linotype" w:cs="Palatino Linotype"/>
          <w:i/>
        </w:rPr>
        <w:t xml:space="preserve">d </w:t>
      </w:r>
      <w:r w:rsidRPr="00392273">
        <w:rPr>
          <w:rFonts w:ascii="Palatino Linotype" w:eastAsia="Palatino Linotype" w:hAnsi="Palatino Linotype" w:cs="Palatino Linotype"/>
          <w:b/>
          <w:i/>
        </w:rPr>
        <w:t xml:space="preserve">de servicios públicos, o plantear inquietudes, ejercer derechos, interponer quejas, es decir, su finalidad no es propiamente resolver sobre la disposición de información pública tangible y con soporte documental, sino que su exigencia es responder por escrito, es decir, generar una respuesta debidamente fundada y motivada de los planteamientos de quien ejerce su derecho. Es decir, el derecho de petición tiene como misión mantener un vínculo de comunicación entre el gobernante y el </w:t>
      </w:r>
      <w:proofErr w:type="spellStart"/>
      <w:r w:rsidRPr="00392273">
        <w:rPr>
          <w:rFonts w:ascii="Palatino Linotype" w:eastAsia="Palatino Linotype" w:hAnsi="Palatino Linotype" w:cs="Palatino Linotype"/>
          <w:b/>
          <w:i/>
        </w:rPr>
        <w:t>gobernado</w:t>
      </w:r>
      <w:proofErr w:type="spellEnd"/>
      <w:r w:rsidRPr="00392273">
        <w:rPr>
          <w:rFonts w:ascii="Palatino Linotype" w:eastAsia="Palatino Linotype" w:hAnsi="Palatino Linotype" w:cs="Palatino Linotype"/>
          <w:b/>
          <w:i/>
        </w:rPr>
        <w:t xml:space="preserve">, con el objeto de que éste último se haga escuchar por el primero sobre cualesquiera que sean sus inquietudes y recibir atención puntual a sus problemáticas, esperando una respuesta acorde a sus planteamientos, demostrando un interés jurídico, lo cual no acontece tratándose del ejercicio del derecho de acceso a la información pública. En el caso en particular, el solicitante manifiesta inquietudes o juicios de valor dirigidos hacia la persona Titular de Transparencia respecto a determinado tema, del cual, este sujeto obligado no cuenta con la obligación de generar, recopilar, administrar, manejar, procesar, archivar o conservar (en términos de la Ley de Transparencia y Acceso a la Información Pública del Estado de México y Municipios). Cuestión por la cual esta dependencia se encuentra imposibilitada jurídica y materialmente para poner a disposición del solicitante información pública tangible y con soporte documental, en virtud de que el ejercicio del derecho que pretende accionar es diverso al derecho de acceso a la información pública. Lo que pretende el solicitante es que, con motivo de sus inquietudes y quejas, se genere una respuesta debidamente fundada y motivada de los planteamientos de quien ejerce su derecho, cuestión que debe ser ejercida a través del derecho de petición que se encuentra consagrado en el artículo 8° de la Constitución Política de los Estados Unidos Mexicanos, que debe ser ejercido por la vía conducente bajo las formalidades esenciales que al efecto dispongan las leyes en la materia. En virtud de los </w:t>
      </w:r>
      <w:r w:rsidRPr="00392273">
        <w:rPr>
          <w:rFonts w:ascii="Palatino Linotype" w:eastAsia="Palatino Linotype" w:hAnsi="Palatino Linotype" w:cs="Palatino Linotype"/>
          <w:b/>
          <w:i/>
        </w:rPr>
        <w:lastRenderedPageBreak/>
        <w:t>argumentos vertidos en el cuerpo del presente, se manifiesta la no competencia por parte de esta dependencia para brindar atención a la solicitud de mérito. Sin otro particular, reciba la seguridad de mi más alta consideración.</w:t>
      </w:r>
      <w:r w:rsidRPr="00392273">
        <w:rPr>
          <w:rFonts w:ascii="Palatino Linotype" w:eastAsia="Palatino Linotype" w:hAnsi="Palatino Linotype" w:cs="Palatino Linotype"/>
          <w:i/>
        </w:rPr>
        <w:t xml:space="preserve"> ATENTAMENTE. C. MARÍA ISABEL CISNEROS MÁRQUEZ. COORDINADORA DE TRANSPARENCIA AYUNTAMIENTO DE CUAUTITLÁN IZCALLI “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rsidR="00E134A9" w:rsidRPr="00392273" w:rsidRDefault="00E134A9">
      <w:pPr>
        <w:spacing w:after="0" w:line="360" w:lineRule="auto"/>
        <w:ind w:right="49"/>
        <w:jc w:val="both"/>
        <w:rPr>
          <w:rFonts w:ascii="Palatino Linotype" w:eastAsia="Palatino Linotype" w:hAnsi="Palatino Linotype" w:cs="Palatino Linotype"/>
          <w:i/>
        </w:rPr>
      </w:pPr>
    </w:p>
    <w:p w:rsidR="00E134A9" w:rsidRPr="00392273" w:rsidRDefault="00397777">
      <w:pPr>
        <w:spacing w:after="0" w:line="360" w:lineRule="auto"/>
        <w:ind w:right="49"/>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El Sujeto Obligado a su respuesta adjuntó el documento que se describe a continuación:  </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p>
    <w:p w:rsidR="00E134A9" w:rsidRPr="00392273" w:rsidRDefault="0039777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92273">
        <w:rPr>
          <w:rFonts w:ascii="Palatino Linotype" w:eastAsia="Palatino Linotype" w:hAnsi="Palatino Linotype" w:cs="Palatino Linotype"/>
        </w:rPr>
        <w:t xml:space="preserve">Oficio de fecha nueve de junio de dos mil veintitrés, signado por la Coordinadora de Transparencia mediante la cual informa en términos generales que las manifestaciones realizadas por la persona solicitante se tratan de derecho de petición. </w:t>
      </w:r>
    </w:p>
    <w:p w:rsidR="00E134A9" w:rsidRPr="00392273" w:rsidRDefault="00E134A9">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rsidR="00E134A9" w:rsidRPr="00392273" w:rsidRDefault="0039777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b/>
          <w:sz w:val="24"/>
          <w:szCs w:val="24"/>
        </w:rPr>
        <w:t xml:space="preserve">Interposición del Recurso de Revisión: </w:t>
      </w:r>
      <w:r w:rsidRPr="00392273">
        <w:rPr>
          <w:rFonts w:ascii="Palatino Linotype" w:eastAsia="Palatino Linotype" w:hAnsi="Palatino Linotype" w:cs="Palatino Linotype"/>
          <w:sz w:val="24"/>
          <w:szCs w:val="24"/>
        </w:rPr>
        <w:t xml:space="preserve">La parte Recurrente interpuso Recurso de Revisión a través del </w:t>
      </w:r>
      <w:r w:rsidRPr="00392273">
        <w:rPr>
          <w:rFonts w:ascii="Palatino Linotype" w:eastAsia="Palatino Linotype" w:hAnsi="Palatino Linotype" w:cs="Palatino Linotype"/>
          <w:b/>
          <w:sz w:val="24"/>
          <w:szCs w:val="24"/>
        </w:rPr>
        <w:t>SAIMEX</w:t>
      </w:r>
      <w:r w:rsidRPr="00392273">
        <w:rPr>
          <w:rFonts w:ascii="Palatino Linotype" w:eastAsia="Palatino Linotype" w:hAnsi="Palatino Linotype" w:cs="Palatino Linotype"/>
          <w:sz w:val="24"/>
          <w:szCs w:val="24"/>
        </w:rPr>
        <w:t xml:space="preserve"> en fecha </w:t>
      </w:r>
      <w:r w:rsidRPr="00392273">
        <w:rPr>
          <w:rFonts w:ascii="Palatino Linotype" w:eastAsia="Palatino Linotype" w:hAnsi="Palatino Linotype" w:cs="Palatino Linotype"/>
          <w:b/>
          <w:sz w:val="24"/>
          <w:szCs w:val="24"/>
        </w:rPr>
        <w:t>dieciséis de junio de dos mil veintitrés</w:t>
      </w:r>
      <w:r w:rsidRPr="00392273">
        <w:rPr>
          <w:rFonts w:ascii="Palatino Linotype" w:eastAsia="Palatino Linotype" w:hAnsi="Palatino Linotype" w:cs="Palatino Linotype"/>
          <w:sz w:val="24"/>
          <w:szCs w:val="24"/>
        </w:rPr>
        <w:t>, a través del cual expresó lo siguiente:</w:t>
      </w:r>
    </w:p>
    <w:p w:rsidR="00E134A9" w:rsidRPr="00392273" w:rsidRDefault="00E134A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E134A9" w:rsidRPr="00392273" w:rsidRDefault="00397777">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392273">
        <w:rPr>
          <w:rFonts w:ascii="Palatino Linotype" w:eastAsia="Palatino Linotype" w:hAnsi="Palatino Linotype" w:cs="Palatino Linotype"/>
          <w:b/>
          <w:sz w:val="24"/>
          <w:szCs w:val="24"/>
        </w:rPr>
        <w:t xml:space="preserve">Acto impugnado. </w:t>
      </w:r>
      <w:r w:rsidRPr="00392273">
        <w:rPr>
          <w:rFonts w:ascii="Palatino Linotype" w:eastAsia="Palatino Linotype" w:hAnsi="Palatino Linotype" w:cs="Palatino Linotype"/>
        </w:rPr>
        <w:t>“</w:t>
      </w:r>
      <w:r w:rsidRPr="00392273">
        <w:rPr>
          <w:rFonts w:ascii="Palatino Linotype" w:eastAsia="Palatino Linotype" w:hAnsi="Palatino Linotype" w:cs="Palatino Linotype"/>
          <w:i/>
        </w:rPr>
        <w:t>Respuesta”.</w:t>
      </w:r>
    </w:p>
    <w:p w:rsidR="00E134A9" w:rsidRPr="00392273" w:rsidRDefault="00E134A9">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rsidR="00E134A9" w:rsidRPr="00392273" w:rsidRDefault="00397777">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sz w:val="24"/>
          <w:szCs w:val="24"/>
        </w:rPr>
      </w:pPr>
      <w:r w:rsidRPr="00392273">
        <w:rPr>
          <w:rFonts w:ascii="Palatino Linotype" w:eastAsia="Palatino Linotype" w:hAnsi="Palatino Linotype" w:cs="Palatino Linotype"/>
          <w:b/>
          <w:sz w:val="24"/>
          <w:szCs w:val="24"/>
        </w:rPr>
        <w:t xml:space="preserve">Razones o motivos de la inconformidad: </w:t>
      </w:r>
      <w:r w:rsidRPr="00392273">
        <w:rPr>
          <w:rFonts w:ascii="Palatino Linotype" w:eastAsia="Palatino Linotype" w:hAnsi="Palatino Linotype" w:cs="Palatino Linotype"/>
        </w:rPr>
        <w:t>“</w:t>
      </w:r>
      <w:r w:rsidRPr="00392273">
        <w:rPr>
          <w:rFonts w:ascii="Palatino Linotype" w:eastAsia="Palatino Linotype" w:hAnsi="Palatino Linotype" w:cs="Palatino Linotype"/>
          <w:i/>
        </w:rPr>
        <w:t xml:space="preserve">No </w:t>
      </w:r>
      <w:r w:rsidRPr="00392273">
        <w:rPr>
          <w:rFonts w:ascii="Palatino Linotype" w:eastAsia="Palatino Linotype" w:hAnsi="Palatino Linotype" w:cs="Palatino Linotype"/>
          <w:b/>
          <w:i/>
          <w:u w:val="single"/>
        </w:rPr>
        <w:t>remitió pronunciamiento de las áreas competentes,</w:t>
      </w:r>
      <w:r w:rsidRPr="00392273">
        <w:rPr>
          <w:rFonts w:ascii="Palatino Linotype" w:eastAsia="Palatino Linotype" w:hAnsi="Palatino Linotype" w:cs="Palatino Linotype"/>
          <w:i/>
        </w:rPr>
        <w:t xml:space="preserve"> incumplimiento lo señalado en el artículo 162 de la Ley de Transparencia y acceso a la información pública del estado de México y municipios”. </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p>
    <w:p w:rsidR="00E134A9" w:rsidRPr="00392273" w:rsidRDefault="0039777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b/>
          <w:sz w:val="24"/>
          <w:szCs w:val="24"/>
        </w:rPr>
        <w:t>Turno.</w:t>
      </w:r>
      <w:r w:rsidRPr="00392273">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392273">
        <w:rPr>
          <w:rFonts w:ascii="Palatino Linotype" w:eastAsia="Palatino Linotype" w:hAnsi="Palatino Linotype" w:cs="Palatino Linotype"/>
          <w:b/>
          <w:sz w:val="24"/>
          <w:szCs w:val="24"/>
        </w:rPr>
        <w:t>03444/INFOEM/IP/RR/2023</w:t>
      </w:r>
      <w:r w:rsidRPr="00392273">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rsidR="00E134A9" w:rsidRPr="00392273" w:rsidRDefault="00E134A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E134A9" w:rsidRPr="00392273" w:rsidRDefault="0039777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b/>
          <w:sz w:val="24"/>
          <w:szCs w:val="24"/>
        </w:rPr>
        <w:t>Admisión del recurso de revisión</w:t>
      </w:r>
      <w:r w:rsidRPr="00392273">
        <w:rPr>
          <w:rFonts w:ascii="Palatino Linotype" w:eastAsia="Palatino Linotype" w:hAnsi="Palatino Linotype" w:cs="Palatino Linotype"/>
          <w:sz w:val="24"/>
          <w:szCs w:val="24"/>
        </w:rPr>
        <w:t xml:space="preserve">: En fecha </w:t>
      </w:r>
      <w:r w:rsidRPr="00392273">
        <w:rPr>
          <w:rFonts w:ascii="Palatino Linotype" w:eastAsia="Palatino Linotype" w:hAnsi="Palatino Linotype" w:cs="Palatino Linotype"/>
          <w:b/>
          <w:sz w:val="24"/>
          <w:szCs w:val="24"/>
        </w:rPr>
        <w:t>veintiuno de junio de dos mil veintitrés</w:t>
      </w:r>
      <w:r w:rsidRPr="00392273">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E134A9" w:rsidRPr="00392273" w:rsidRDefault="00E134A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E134A9" w:rsidRPr="00392273" w:rsidRDefault="0039777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b/>
          <w:sz w:val="24"/>
          <w:szCs w:val="24"/>
        </w:rPr>
        <w:t xml:space="preserve">Informe Justificado. </w:t>
      </w:r>
      <w:r w:rsidRPr="00392273">
        <w:rPr>
          <w:rFonts w:ascii="Palatino Linotype" w:eastAsia="Palatino Linotype" w:hAnsi="Palatino Linotype" w:cs="Palatino Linotype"/>
          <w:sz w:val="24"/>
          <w:szCs w:val="24"/>
        </w:rPr>
        <w:t xml:space="preserve">En fecha </w:t>
      </w:r>
      <w:r w:rsidRPr="00392273">
        <w:rPr>
          <w:rFonts w:ascii="Palatino Linotype" w:eastAsia="Palatino Linotype" w:hAnsi="Palatino Linotype" w:cs="Palatino Linotype"/>
          <w:b/>
          <w:sz w:val="24"/>
          <w:szCs w:val="24"/>
        </w:rPr>
        <w:t>treinta de junio de dos mil veintitrés</w:t>
      </w:r>
      <w:r w:rsidRPr="00392273">
        <w:rPr>
          <w:rFonts w:ascii="Palatino Linotype" w:eastAsia="Palatino Linotype" w:hAnsi="Palatino Linotype" w:cs="Palatino Linotype"/>
          <w:sz w:val="24"/>
          <w:szCs w:val="24"/>
        </w:rPr>
        <w:t xml:space="preserve">, el Sujeto Obligado rindió su informe justificado a través de los oficios que se describen a continuación: </w:t>
      </w:r>
    </w:p>
    <w:p w:rsidR="00E134A9" w:rsidRPr="00392273" w:rsidRDefault="00E134A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E134A9" w:rsidRPr="00392273" w:rsidRDefault="00397777">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92273">
        <w:rPr>
          <w:rFonts w:ascii="Palatino Linotype" w:eastAsia="Palatino Linotype" w:hAnsi="Palatino Linotype" w:cs="Palatino Linotype"/>
        </w:rPr>
        <w:t xml:space="preserve">Oficio de fecha treinta de junio de dos mil veintitrés, signado por la Coordinadora de Transparencia, mediante el cual ratificó su respuesta inicial. </w:t>
      </w:r>
    </w:p>
    <w:p w:rsidR="00E134A9" w:rsidRPr="00392273" w:rsidRDefault="00E134A9">
      <w:pPr>
        <w:spacing w:after="0" w:line="360" w:lineRule="auto"/>
        <w:ind w:left="360" w:right="49"/>
        <w:jc w:val="both"/>
        <w:rPr>
          <w:rFonts w:ascii="Palatino Linotype" w:eastAsia="Palatino Linotype" w:hAnsi="Palatino Linotype" w:cs="Palatino Linotype"/>
          <w:sz w:val="24"/>
          <w:szCs w:val="24"/>
        </w:rPr>
      </w:pPr>
    </w:p>
    <w:p w:rsidR="00E134A9" w:rsidRPr="00392273" w:rsidRDefault="00397777">
      <w:pPr>
        <w:spacing w:after="0" w:line="360" w:lineRule="auto"/>
        <w:ind w:right="49"/>
        <w:jc w:val="both"/>
        <w:rPr>
          <w:rFonts w:ascii="Palatino Linotype" w:eastAsia="Palatino Linotype" w:hAnsi="Palatino Linotype" w:cs="Palatino Linotype"/>
          <w:b/>
          <w:sz w:val="24"/>
          <w:szCs w:val="24"/>
        </w:rPr>
      </w:pPr>
      <w:r w:rsidRPr="00392273">
        <w:rPr>
          <w:rFonts w:ascii="Palatino Linotype" w:eastAsia="Palatino Linotype" w:hAnsi="Palatino Linotype" w:cs="Palatino Linotype"/>
          <w:sz w:val="24"/>
          <w:szCs w:val="24"/>
        </w:rPr>
        <w:lastRenderedPageBreak/>
        <w:t xml:space="preserve">Documento que se hizo del conocimiento de la parte Recurrente el </w:t>
      </w:r>
      <w:r w:rsidRPr="00392273">
        <w:rPr>
          <w:rFonts w:ascii="Palatino Linotype" w:eastAsia="Palatino Linotype" w:hAnsi="Palatino Linotype" w:cs="Palatino Linotype"/>
          <w:b/>
          <w:sz w:val="24"/>
          <w:szCs w:val="24"/>
        </w:rPr>
        <w:t>treinta de agosto de dos mil veintitrés.</w:t>
      </w:r>
    </w:p>
    <w:p w:rsidR="00E134A9" w:rsidRPr="00392273" w:rsidRDefault="00397777">
      <w:pPr>
        <w:spacing w:after="0" w:line="360" w:lineRule="auto"/>
        <w:ind w:right="49"/>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La parte Recurrente no realizó manifestaciones al respecto. </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p>
    <w:p w:rsidR="00E134A9" w:rsidRPr="00392273" w:rsidRDefault="00397777">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i/>
        </w:rPr>
      </w:pPr>
      <w:r w:rsidRPr="00392273">
        <w:rPr>
          <w:rFonts w:ascii="Palatino Linotype" w:eastAsia="Palatino Linotype" w:hAnsi="Palatino Linotype" w:cs="Palatino Linotype"/>
          <w:b/>
          <w:sz w:val="24"/>
          <w:szCs w:val="24"/>
        </w:rPr>
        <w:t>Ampliación de plazo:</w:t>
      </w:r>
      <w:r w:rsidRPr="00392273">
        <w:rPr>
          <w:rFonts w:ascii="Palatino Linotype" w:eastAsia="Palatino Linotype" w:hAnsi="Palatino Linotype" w:cs="Palatino Linotype"/>
          <w:sz w:val="24"/>
          <w:szCs w:val="24"/>
        </w:rPr>
        <w:t xml:space="preserve"> El </w:t>
      </w:r>
      <w:r w:rsidRPr="00392273">
        <w:rPr>
          <w:rFonts w:ascii="Palatino Linotype" w:eastAsia="Palatino Linotype" w:hAnsi="Palatino Linotype" w:cs="Palatino Linotype"/>
          <w:b/>
          <w:sz w:val="24"/>
          <w:szCs w:val="24"/>
        </w:rPr>
        <w:t>treinta de agosto de dos mil veintitrés</w:t>
      </w:r>
      <w:r w:rsidRPr="00392273">
        <w:rPr>
          <w:rFonts w:ascii="Palatino Linotype" w:eastAsia="Palatino Linotype" w:hAnsi="Palatino Linotype" w:cs="Palatino Linotype"/>
          <w:sz w:val="24"/>
          <w:szCs w:val="24"/>
        </w:rPr>
        <w:t xml:space="preserve">, la Comisionada Ponente aprobó la ampliación de plazo de treinta días para emitir la resolución, por un periodo de quince días hábiles, en términos de lo dispuesto en el artículo 181, párrafo tercero de la Ley de Transparencia y Acceso a la Información Pública del Estado de México y Municipios. </w:t>
      </w:r>
    </w:p>
    <w:p w:rsidR="00E134A9" w:rsidRPr="00392273" w:rsidRDefault="00E134A9">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i/>
        </w:rPr>
      </w:pPr>
    </w:p>
    <w:p w:rsidR="00E134A9" w:rsidRPr="00392273" w:rsidRDefault="00397777">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b/>
          <w:sz w:val="24"/>
          <w:szCs w:val="24"/>
        </w:rPr>
        <w:t>8. Cierre de instrucción</w:t>
      </w:r>
      <w:r w:rsidRPr="00392273">
        <w:rPr>
          <w:rFonts w:ascii="Palatino Linotype" w:eastAsia="Palatino Linotype" w:hAnsi="Palatino Linotype" w:cs="Palatino Linotype"/>
          <w:sz w:val="24"/>
          <w:szCs w:val="24"/>
        </w:rPr>
        <w:t xml:space="preserve">. En fecha </w:t>
      </w:r>
      <w:r w:rsidRPr="00392273">
        <w:rPr>
          <w:rFonts w:ascii="Palatino Linotype" w:eastAsia="Palatino Linotype" w:hAnsi="Palatino Linotype" w:cs="Palatino Linotype"/>
          <w:b/>
          <w:sz w:val="24"/>
          <w:szCs w:val="24"/>
        </w:rPr>
        <w:t>cinco de septiembre de dos mil veintitrés</w:t>
      </w:r>
      <w:r w:rsidRPr="00392273">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rsidR="00E134A9" w:rsidRPr="00392273" w:rsidRDefault="00E134A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E134A9" w:rsidRPr="00392273" w:rsidRDefault="00397777">
      <w:pPr>
        <w:spacing w:after="0" w:line="360" w:lineRule="auto"/>
        <w:ind w:right="49"/>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p>
    <w:p w:rsidR="00E134A9" w:rsidRPr="00392273" w:rsidRDefault="00397777">
      <w:pPr>
        <w:spacing w:after="0" w:line="360" w:lineRule="auto"/>
        <w:ind w:right="49"/>
        <w:jc w:val="center"/>
        <w:rPr>
          <w:rFonts w:ascii="Palatino Linotype" w:eastAsia="Palatino Linotype" w:hAnsi="Palatino Linotype" w:cs="Palatino Linotype"/>
          <w:b/>
          <w:sz w:val="24"/>
          <w:szCs w:val="24"/>
        </w:rPr>
      </w:pPr>
      <w:r w:rsidRPr="00392273">
        <w:rPr>
          <w:rFonts w:ascii="Palatino Linotype" w:eastAsia="Palatino Linotype" w:hAnsi="Palatino Linotype" w:cs="Palatino Linotype"/>
          <w:b/>
          <w:sz w:val="24"/>
          <w:szCs w:val="24"/>
        </w:rPr>
        <w:t>II.</w:t>
      </w:r>
      <w:r w:rsidRPr="00392273">
        <w:rPr>
          <w:rFonts w:ascii="Palatino Linotype" w:eastAsia="Palatino Linotype" w:hAnsi="Palatino Linotype" w:cs="Palatino Linotype"/>
          <w:b/>
          <w:sz w:val="24"/>
          <w:szCs w:val="24"/>
        </w:rPr>
        <w:tab/>
        <w:t>C O N S I D E R A N D O:</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p>
    <w:p w:rsidR="00E134A9" w:rsidRPr="00392273" w:rsidRDefault="00397777">
      <w:pPr>
        <w:spacing w:after="0" w:line="360" w:lineRule="auto"/>
        <w:ind w:right="49"/>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b/>
          <w:sz w:val="24"/>
          <w:szCs w:val="24"/>
        </w:rPr>
        <w:t>Primero. Competencia.</w:t>
      </w:r>
      <w:r w:rsidRPr="00392273">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w:t>
      </w:r>
      <w:r w:rsidRPr="00392273">
        <w:rPr>
          <w:rFonts w:ascii="Palatino Linotype" w:eastAsia="Palatino Linotype" w:hAnsi="Palatino Linotype" w:cs="Palatino Linotype"/>
          <w:sz w:val="24"/>
          <w:szCs w:val="24"/>
        </w:rPr>
        <w:lastRenderedPageBreak/>
        <w:t>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p>
    <w:p w:rsidR="00E134A9" w:rsidRPr="00392273" w:rsidRDefault="00397777">
      <w:pPr>
        <w:spacing w:after="0" w:line="360" w:lineRule="auto"/>
        <w:ind w:right="49"/>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b/>
          <w:sz w:val="24"/>
          <w:szCs w:val="24"/>
        </w:rPr>
        <w:t xml:space="preserve">Segundo. Oportunidad y </w:t>
      </w:r>
      <w:proofErr w:type="spellStart"/>
      <w:r w:rsidRPr="00392273">
        <w:rPr>
          <w:rFonts w:ascii="Palatino Linotype" w:eastAsia="Palatino Linotype" w:hAnsi="Palatino Linotype" w:cs="Palatino Linotype"/>
          <w:b/>
          <w:sz w:val="24"/>
          <w:szCs w:val="24"/>
        </w:rPr>
        <w:t>Procedibilidad</w:t>
      </w:r>
      <w:proofErr w:type="spellEnd"/>
      <w:r w:rsidRPr="00392273">
        <w:rPr>
          <w:rFonts w:ascii="Palatino Linotype" w:eastAsia="Palatino Linotype" w:hAnsi="Palatino Linotype" w:cs="Palatino Linotype"/>
          <w:b/>
          <w:sz w:val="24"/>
          <w:szCs w:val="24"/>
        </w:rPr>
        <w:t xml:space="preserve"> del Recurso de Revisión.</w:t>
      </w:r>
      <w:r w:rsidRPr="00392273">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392273">
        <w:rPr>
          <w:rFonts w:ascii="Palatino Linotype" w:eastAsia="Palatino Linotype" w:hAnsi="Palatino Linotype" w:cs="Palatino Linotype"/>
          <w:sz w:val="24"/>
          <w:szCs w:val="24"/>
        </w:rPr>
        <w:t>procedibilidad</w:t>
      </w:r>
      <w:proofErr w:type="spellEnd"/>
      <w:r w:rsidRPr="00392273">
        <w:rPr>
          <w:rFonts w:ascii="Palatino Linotype" w:eastAsia="Palatino Linotype" w:hAnsi="Palatino Linotype" w:cs="Palatino Linotype"/>
          <w:sz w:val="24"/>
          <w:szCs w:val="24"/>
        </w:rPr>
        <w:t xml:space="preserve"> que deben reunir el recurso de revisión interpuesto, previstos en los artículos 178 y 180 de la Ley de Transparencia y Acceso a la Información Pública del Estado de México y Municipios. </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p>
    <w:p w:rsidR="00E134A9" w:rsidRPr="00392273" w:rsidRDefault="00397777">
      <w:pPr>
        <w:spacing w:after="0" w:line="360" w:lineRule="auto"/>
        <w:ind w:right="49"/>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392273">
        <w:rPr>
          <w:rFonts w:ascii="Palatino Linotype" w:eastAsia="Palatino Linotype" w:hAnsi="Palatino Linotype" w:cs="Palatino Linotype"/>
          <w:b/>
          <w:sz w:val="24"/>
          <w:szCs w:val="24"/>
        </w:rPr>
        <w:t>SUJETO OBLIGADO</w:t>
      </w:r>
      <w:r w:rsidRPr="00392273">
        <w:rPr>
          <w:rFonts w:ascii="Palatino Linotype" w:eastAsia="Palatino Linotype" w:hAnsi="Palatino Linotype" w:cs="Palatino Linotype"/>
          <w:sz w:val="24"/>
          <w:szCs w:val="24"/>
        </w:rPr>
        <w:t xml:space="preserve"> remitió la respuesta a la solicitud de información el </w:t>
      </w:r>
      <w:r w:rsidRPr="00392273">
        <w:rPr>
          <w:rFonts w:ascii="Palatino Linotype" w:eastAsia="Palatino Linotype" w:hAnsi="Palatino Linotype" w:cs="Palatino Linotype"/>
          <w:b/>
          <w:sz w:val="24"/>
          <w:szCs w:val="24"/>
        </w:rPr>
        <w:t>dieciséis de junio de dos mil veintitrés</w:t>
      </w:r>
      <w:r w:rsidRPr="00392273">
        <w:rPr>
          <w:rFonts w:ascii="Palatino Linotype" w:eastAsia="Palatino Linotype" w:hAnsi="Palatino Linotype" w:cs="Palatino Linotype"/>
          <w:sz w:val="24"/>
          <w:szCs w:val="24"/>
        </w:rPr>
        <w:t xml:space="preserve"> mientras que el recurso de revisión interpuesto por la parte </w:t>
      </w:r>
      <w:r w:rsidRPr="00392273">
        <w:rPr>
          <w:rFonts w:ascii="Palatino Linotype" w:eastAsia="Palatino Linotype" w:hAnsi="Palatino Linotype" w:cs="Palatino Linotype"/>
          <w:b/>
          <w:sz w:val="24"/>
          <w:szCs w:val="24"/>
        </w:rPr>
        <w:t xml:space="preserve">RECURRENTE </w:t>
      </w:r>
      <w:r w:rsidRPr="00392273">
        <w:rPr>
          <w:rFonts w:ascii="Palatino Linotype" w:eastAsia="Palatino Linotype" w:hAnsi="Palatino Linotype" w:cs="Palatino Linotype"/>
          <w:sz w:val="24"/>
          <w:szCs w:val="24"/>
        </w:rPr>
        <w:t xml:space="preserve">se tuvo por presentado el mismo día en que tuvo conocimiento de la respuesta. </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p>
    <w:p w:rsidR="00E134A9" w:rsidRPr="00392273" w:rsidRDefault="0039777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lastRenderedPageBreak/>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E134A9" w:rsidRPr="00392273" w:rsidRDefault="00E134A9">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134A9" w:rsidRPr="00392273" w:rsidRDefault="00397777">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392273">
        <w:rPr>
          <w:rFonts w:ascii="Palatino Linotype" w:eastAsia="Palatino Linotype" w:hAnsi="Palatino Linotype" w:cs="Palatino Linotype"/>
          <w:b/>
          <w:i/>
        </w:rPr>
        <w:t>RECURSO DE RECLAMACIÓN. SU INTERPOSICIÓN NO ES EXTEMPORÁNEA SI SE REALIZA ANTES DE QUE INICIE EL PLAZO PARA HACERLO</w:t>
      </w:r>
      <w:r w:rsidRPr="00392273">
        <w:rPr>
          <w:rFonts w:ascii="Palatino Linotype" w:eastAsia="Palatino Linotype" w:hAnsi="Palatino Linotype" w:cs="Palatino Linotype"/>
          <w:i/>
        </w:rPr>
        <w:t>.</w:t>
      </w:r>
      <w:r w:rsidRPr="00392273">
        <w:rPr>
          <w:rFonts w:ascii="Times New Roman" w:eastAsia="Times New Roman" w:hAnsi="Times New Roman" w:cs="Times New Roman"/>
        </w:rPr>
        <w:t xml:space="preserve"> </w:t>
      </w:r>
      <w:r w:rsidRPr="00392273">
        <w:rPr>
          <w:rFonts w:ascii="Palatino Linotype" w:eastAsia="Palatino Linotype" w:hAnsi="Palatino Linotype" w:cs="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E134A9" w:rsidRPr="00392273" w:rsidRDefault="00E134A9">
      <w:pPr>
        <w:pBdr>
          <w:top w:val="nil"/>
          <w:left w:val="nil"/>
          <w:bottom w:val="nil"/>
          <w:right w:val="nil"/>
          <w:between w:val="nil"/>
        </w:pBdr>
        <w:spacing w:after="0" w:line="276" w:lineRule="auto"/>
        <w:ind w:left="567" w:right="902"/>
        <w:jc w:val="both"/>
        <w:rPr>
          <w:rFonts w:ascii="Times New Roman" w:eastAsia="Times New Roman" w:hAnsi="Times New Roman" w:cs="Times New Roman"/>
        </w:rPr>
      </w:pPr>
    </w:p>
    <w:p w:rsidR="00E134A9" w:rsidRPr="00392273" w:rsidRDefault="00E134A9">
      <w:pPr>
        <w:pBdr>
          <w:top w:val="nil"/>
          <w:left w:val="nil"/>
          <w:bottom w:val="nil"/>
          <w:right w:val="nil"/>
          <w:between w:val="nil"/>
        </w:pBdr>
        <w:spacing w:after="0" w:line="276" w:lineRule="auto"/>
        <w:ind w:right="843"/>
        <w:jc w:val="both"/>
        <w:rPr>
          <w:rFonts w:ascii="Palatino Linotype" w:eastAsia="Palatino Linotype" w:hAnsi="Palatino Linotype" w:cs="Palatino Linotype"/>
          <w:i/>
        </w:rPr>
      </w:pPr>
    </w:p>
    <w:p w:rsidR="00E134A9" w:rsidRPr="00392273" w:rsidRDefault="00397777">
      <w:pPr>
        <w:spacing w:after="0" w:line="360" w:lineRule="auto"/>
        <w:ind w:right="49"/>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392273">
        <w:rPr>
          <w:rFonts w:ascii="Palatino Linotype" w:eastAsia="Palatino Linotype" w:hAnsi="Palatino Linotype" w:cs="Palatino Linotype"/>
          <w:b/>
          <w:sz w:val="24"/>
          <w:szCs w:val="24"/>
        </w:rPr>
        <w:t>SUJETO OBLIGADO</w:t>
      </w:r>
      <w:r w:rsidRPr="00392273">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lastRenderedPageBreak/>
        <w:t>Es de suma importancia mencionar que si bien la parte proporcionó un seudónimo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134A9" w:rsidRPr="00392273" w:rsidRDefault="00E134A9">
      <w:pPr>
        <w:spacing w:after="0" w:line="360" w:lineRule="auto"/>
        <w:jc w:val="both"/>
        <w:rPr>
          <w:rFonts w:ascii="Palatino Linotype" w:eastAsia="Palatino Linotype" w:hAnsi="Palatino Linotype" w:cs="Palatino Linotype"/>
          <w:sz w:val="24"/>
          <w:szCs w:val="24"/>
        </w:rPr>
      </w:pPr>
    </w:p>
    <w:p w:rsidR="00E134A9" w:rsidRPr="00392273" w:rsidRDefault="00397777">
      <w:pPr>
        <w:spacing w:after="0" w:line="276" w:lineRule="auto"/>
        <w:ind w:left="567" w:right="843"/>
        <w:jc w:val="both"/>
        <w:rPr>
          <w:rFonts w:ascii="Palatino Linotype" w:eastAsia="Palatino Linotype" w:hAnsi="Palatino Linotype" w:cs="Palatino Linotype"/>
          <w:i/>
        </w:rPr>
      </w:pPr>
      <w:r w:rsidRPr="00392273">
        <w:rPr>
          <w:rFonts w:ascii="Palatino Linotype" w:eastAsia="Palatino Linotype" w:hAnsi="Palatino Linotype" w:cs="Palatino Linotype"/>
          <w:i/>
        </w:rPr>
        <w:t xml:space="preserve">"Las solicitudes anónimas, con nombre incompleto o </w:t>
      </w:r>
      <w:r w:rsidRPr="00392273">
        <w:rPr>
          <w:rFonts w:ascii="Palatino Linotype" w:eastAsia="Palatino Linotype" w:hAnsi="Palatino Linotype" w:cs="Palatino Linotype"/>
          <w:b/>
          <w:i/>
          <w:u w:val="single"/>
        </w:rPr>
        <w:t>seudónimo</w:t>
      </w:r>
      <w:r w:rsidRPr="00392273">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p>
    <w:p w:rsidR="00E134A9" w:rsidRPr="00392273" w:rsidRDefault="00397777">
      <w:pPr>
        <w:spacing w:after="0" w:line="360" w:lineRule="auto"/>
        <w:ind w:right="49"/>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392273">
        <w:rPr>
          <w:rFonts w:ascii="Palatino Linotype" w:eastAsia="Palatino Linotype" w:hAnsi="Palatino Linotype" w:cs="Palatino Linotype"/>
          <w:b/>
          <w:sz w:val="24"/>
          <w:szCs w:val="24"/>
        </w:rPr>
        <w:t>SAIMEX</w:t>
      </w:r>
      <w:r w:rsidRPr="00392273">
        <w:rPr>
          <w:rFonts w:ascii="Palatino Linotype" w:eastAsia="Palatino Linotype" w:hAnsi="Palatino Linotype" w:cs="Palatino Linotype"/>
          <w:sz w:val="24"/>
          <w:szCs w:val="24"/>
        </w:rPr>
        <w:t xml:space="preserve">.  </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p>
    <w:p w:rsidR="00E134A9" w:rsidRPr="00392273" w:rsidRDefault="00397777">
      <w:pPr>
        <w:spacing w:after="0" w:line="360" w:lineRule="auto"/>
        <w:ind w:right="49"/>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Finalmente, resulta procedente la interposición del recurso de revisión al rubro anotado, toda vez que se actualiza la hipótesis de procedencia prevista en el artículo 179, fracción XI de la Ley de la materia, que a la letra dice:</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p>
    <w:p w:rsidR="00E134A9" w:rsidRPr="00392273" w:rsidRDefault="00397777">
      <w:pPr>
        <w:spacing w:after="0" w:line="276" w:lineRule="auto"/>
        <w:ind w:left="567" w:right="560"/>
        <w:jc w:val="both"/>
        <w:rPr>
          <w:rFonts w:ascii="Palatino Linotype" w:eastAsia="Palatino Linotype" w:hAnsi="Palatino Linotype" w:cs="Palatino Linotype"/>
          <w:i/>
        </w:rPr>
      </w:pPr>
      <w:r w:rsidRPr="00392273">
        <w:rPr>
          <w:rFonts w:ascii="Palatino Linotype" w:eastAsia="Palatino Linotype" w:hAnsi="Palatino Linotype" w:cs="Palatino Linotype"/>
          <w:i/>
        </w:rPr>
        <w:t>“</w:t>
      </w:r>
      <w:r w:rsidRPr="00392273">
        <w:rPr>
          <w:rFonts w:ascii="Palatino Linotype" w:eastAsia="Palatino Linotype" w:hAnsi="Palatino Linotype" w:cs="Palatino Linotype"/>
          <w:b/>
          <w:i/>
        </w:rPr>
        <w:t>Artículo 179.</w:t>
      </w:r>
      <w:r w:rsidRPr="00392273">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rsidR="00E134A9" w:rsidRPr="00392273" w:rsidRDefault="00397777">
      <w:pPr>
        <w:spacing w:after="0" w:line="276" w:lineRule="auto"/>
        <w:ind w:left="567" w:right="560"/>
        <w:jc w:val="both"/>
        <w:rPr>
          <w:rFonts w:ascii="Palatino Linotype" w:eastAsia="Palatino Linotype" w:hAnsi="Palatino Linotype" w:cs="Palatino Linotype"/>
          <w:i/>
        </w:rPr>
      </w:pPr>
      <w:r w:rsidRPr="00392273">
        <w:rPr>
          <w:rFonts w:ascii="Palatino Linotype" w:eastAsia="Palatino Linotype" w:hAnsi="Palatino Linotype" w:cs="Palatino Linotype"/>
          <w:i/>
        </w:rPr>
        <w:t>…</w:t>
      </w:r>
    </w:p>
    <w:p w:rsidR="00E134A9" w:rsidRPr="00392273" w:rsidRDefault="00397777">
      <w:pPr>
        <w:spacing w:after="0" w:line="276" w:lineRule="auto"/>
        <w:ind w:left="567" w:right="560"/>
        <w:jc w:val="both"/>
        <w:rPr>
          <w:rFonts w:ascii="Palatino Linotype" w:eastAsia="Palatino Linotype" w:hAnsi="Palatino Linotype" w:cs="Palatino Linotype"/>
          <w:i/>
        </w:rPr>
      </w:pPr>
      <w:r w:rsidRPr="00392273">
        <w:rPr>
          <w:rFonts w:ascii="Palatino Linotype" w:eastAsia="Palatino Linotype" w:hAnsi="Palatino Linotype" w:cs="Palatino Linotype"/>
          <w:i/>
        </w:rPr>
        <w:t>XI. La falta de trámite a una solicitud;</w:t>
      </w:r>
      <w:r w:rsidRPr="00392273">
        <w:rPr>
          <w:rFonts w:ascii="Palatino Linotype" w:eastAsia="Palatino Linotype" w:hAnsi="Palatino Linotype" w:cs="Palatino Linotype"/>
          <w:i/>
        </w:rPr>
        <w:br/>
        <w:t>…</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b/>
          <w:sz w:val="24"/>
          <w:szCs w:val="24"/>
        </w:rPr>
        <w:t>Tercero. Análisis de las causales de improcedencia y sobreseimiento del recurso de revisión.</w:t>
      </w:r>
      <w:r w:rsidRPr="00392273">
        <w:rPr>
          <w:rFonts w:ascii="Palatino Linotype" w:eastAsia="Palatino Linotype" w:hAnsi="Palatino Linotype" w:cs="Palatino Linotype"/>
          <w:sz w:val="24"/>
          <w:szCs w:val="24"/>
        </w:rPr>
        <w:t xml:space="preserve"> Es menester resaltar que en el procedimiento de acceso a la información pública y de los medios de impugnación de la materia, se advierten diversos supuestos de </w:t>
      </w:r>
      <w:proofErr w:type="spellStart"/>
      <w:r w:rsidRPr="00392273">
        <w:rPr>
          <w:rFonts w:ascii="Palatino Linotype" w:eastAsia="Palatino Linotype" w:hAnsi="Palatino Linotype" w:cs="Palatino Linotype"/>
          <w:sz w:val="24"/>
          <w:szCs w:val="24"/>
        </w:rPr>
        <w:t>procedibilidad</w:t>
      </w:r>
      <w:proofErr w:type="spellEnd"/>
      <w:r w:rsidRPr="00392273">
        <w:rPr>
          <w:rFonts w:ascii="Palatino Linotype" w:eastAsia="Palatino Linotype" w:hAnsi="Palatino Linotype" w:cs="Palatino Linotype"/>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134A9" w:rsidRPr="00392273" w:rsidRDefault="00397777">
      <w:pPr>
        <w:tabs>
          <w:tab w:val="left" w:pos="1350"/>
        </w:tabs>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ab/>
      </w: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rsidR="00E134A9" w:rsidRPr="00392273" w:rsidRDefault="00E134A9">
      <w:pPr>
        <w:spacing w:after="0" w:line="360" w:lineRule="auto"/>
        <w:rPr>
          <w:rFonts w:ascii="Palatino Linotype" w:eastAsia="Palatino Linotype" w:hAnsi="Palatino Linotype" w:cs="Palatino Linotype"/>
          <w:sz w:val="24"/>
          <w:szCs w:val="24"/>
        </w:rPr>
      </w:pPr>
    </w:p>
    <w:p w:rsidR="00E134A9" w:rsidRPr="00392273" w:rsidRDefault="00397777">
      <w:pPr>
        <w:spacing w:after="0" w:line="360" w:lineRule="auto"/>
        <w:ind w:right="51"/>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De manera preliminar en el caso concreto conviene analizar si se actualiza alguna de las causales de sobreseimiento del recurso de revisión.</w:t>
      </w:r>
    </w:p>
    <w:p w:rsidR="00E134A9" w:rsidRPr="00392273" w:rsidRDefault="00E134A9">
      <w:pPr>
        <w:spacing w:after="0" w:line="360" w:lineRule="auto"/>
        <w:ind w:right="51"/>
        <w:jc w:val="both"/>
        <w:rPr>
          <w:rFonts w:ascii="Palatino Linotype" w:eastAsia="Palatino Linotype" w:hAnsi="Palatino Linotype" w:cs="Palatino Linotype"/>
          <w:sz w:val="24"/>
          <w:szCs w:val="24"/>
        </w:rPr>
      </w:pPr>
    </w:p>
    <w:p w:rsidR="00E134A9" w:rsidRPr="00392273" w:rsidRDefault="00397777">
      <w:pPr>
        <w:spacing w:after="0" w:line="360" w:lineRule="auto"/>
        <w:ind w:right="51"/>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lastRenderedPageBreak/>
        <w:t xml:space="preserve">Así, del análisis de la solicitud de información motivo del recurso de revisión que ahora se resuelve, se advierte que la parte solicitante requirió al </w:t>
      </w:r>
      <w:r w:rsidRPr="00392273">
        <w:rPr>
          <w:rFonts w:ascii="Palatino Linotype" w:eastAsia="Palatino Linotype" w:hAnsi="Palatino Linotype" w:cs="Palatino Linotype"/>
          <w:b/>
          <w:sz w:val="24"/>
          <w:szCs w:val="24"/>
        </w:rPr>
        <w:t>Sujeto Obligado</w:t>
      </w:r>
      <w:r w:rsidRPr="00392273">
        <w:rPr>
          <w:rFonts w:ascii="Palatino Linotype" w:eastAsia="Palatino Linotype" w:hAnsi="Palatino Linotype" w:cs="Palatino Linotype"/>
          <w:sz w:val="24"/>
          <w:szCs w:val="24"/>
        </w:rPr>
        <w:t xml:space="preserve"> le proporcione información consistente en lo siguiente:</w:t>
      </w:r>
    </w:p>
    <w:p w:rsidR="00E134A9" w:rsidRPr="00392273" w:rsidRDefault="00E134A9">
      <w:pPr>
        <w:spacing w:after="0" w:line="360" w:lineRule="auto"/>
        <w:ind w:right="51"/>
        <w:jc w:val="both"/>
        <w:rPr>
          <w:rFonts w:ascii="Palatino Linotype" w:eastAsia="Palatino Linotype" w:hAnsi="Palatino Linotype" w:cs="Palatino Linotype"/>
          <w:sz w:val="24"/>
          <w:szCs w:val="24"/>
        </w:rPr>
      </w:pPr>
    </w:p>
    <w:p w:rsidR="00E134A9" w:rsidRPr="00392273" w:rsidRDefault="00397777">
      <w:pPr>
        <w:numPr>
          <w:ilvl w:val="0"/>
          <w:numId w:val="2"/>
        </w:numPr>
        <w:pBdr>
          <w:top w:val="nil"/>
          <w:left w:val="nil"/>
          <w:bottom w:val="nil"/>
          <w:right w:val="nil"/>
          <w:between w:val="nil"/>
        </w:pBdr>
        <w:spacing w:after="0" w:line="360" w:lineRule="auto"/>
        <w:ind w:right="51"/>
        <w:jc w:val="both"/>
        <w:rPr>
          <w:rFonts w:ascii="Palatino Linotype" w:eastAsia="Palatino Linotype" w:hAnsi="Palatino Linotype" w:cs="Palatino Linotype"/>
        </w:rPr>
      </w:pPr>
      <w:r w:rsidRPr="00392273">
        <w:rPr>
          <w:rFonts w:ascii="Palatino Linotype" w:eastAsia="Palatino Linotype" w:hAnsi="Palatino Linotype" w:cs="Palatino Linotype"/>
        </w:rPr>
        <w:t xml:space="preserve">Solicito </w:t>
      </w:r>
      <w:r w:rsidRPr="00392273">
        <w:rPr>
          <w:rFonts w:ascii="Palatino Linotype" w:eastAsia="Palatino Linotype" w:hAnsi="Palatino Linotype" w:cs="Palatino Linotype"/>
          <w:b/>
          <w:u w:val="single"/>
        </w:rPr>
        <w:t>saber si los regidores y síndicos tienen conocimiento de la relación</w:t>
      </w:r>
      <w:r w:rsidRPr="00392273">
        <w:rPr>
          <w:rFonts w:ascii="Palatino Linotype" w:eastAsia="Palatino Linotype" w:hAnsi="Palatino Linotype" w:cs="Palatino Linotype"/>
        </w:rPr>
        <w:t xml:space="preserve"> que existe entre la actual Titular de la Unidad de Transparencia Isabel y el Ex Presidente Ricardo Núñez, ya que, en su administración ella fue Titular de Transparencia de OPERAGUA. </w:t>
      </w:r>
    </w:p>
    <w:p w:rsidR="00E134A9" w:rsidRPr="00392273" w:rsidRDefault="00E134A9">
      <w:pPr>
        <w:tabs>
          <w:tab w:val="left" w:pos="1134"/>
        </w:tabs>
        <w:spacing w:after="0" w:line="360" w:lineRule="auto"/>
        <w:ind w:right="900"/>
        <w:jc w:val="both"/>
        <w:rPr>
          <w:rFonts w:ascii="Palatino Linotype" w:eastAsia="Palatino Linotype" w:hAnsi="Palatino Linotype" w:cs="Palatino Linotype"/>
          <w:i/>
          <w:sz w:val="24"/>
          <w:szCs w:val="24"/>
        </w:rPr>
      </w:pP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En respuesta, el </w:t>
      </w:r>
      <w:r w:rsidRPr="00392273">
        <w:rPr>
          <w:rFonts w:ascii="Palatino Linotype" w:eastAsia="Palatino Linotype" w:hAnsi="Palatino Linotype" w:cs="Palatino Linotype"/>
          <w:b/>
          <w:sz w:val="24"/>
          <w:szCs w:val="24"/>
        </w:rPr>
        <w:t xml:space="preserve">Sujeto Obligado </w:t>
      </w:r>
      <w:r w:rsidRPr="00392273">
        <w:rPr>
          <w:rFonts w:ascii="Palatino Linotype" w:eastAsia="Palatino Linotype" w:hAnsi="Palatino Linotype" w:cs="Palatino Linotype"/>
          <w:sz w:val="24"/>
          <w:szCs w:val="24"/>
        </w:rPr>
        <w:t>a</w:t>
      </w:r>
      <w:r w:rsidRPr="00392273">
        <w:rPr>
          <w:rFonts w:ascii="Palatino Linotype" w:eastAsia="Palatino Linotype" w:hAnsi="Palatino Linotype" w:cs="Palatino Linotype"/>
          <w:b/>
          <w:sz w:val="24"/>
          <w:szCs w:val="24"/>
        </w:rPr>
        <w:t xml:space="preserve"> </w:t>
      </w:r>
      <w:r w:rsidRPr="00392273">
        <w:rPr>
          <w:rFonts w:ascii="Palatino Linotype" w:eastAsia="Palatino Linotype" w:hAnsi="Palatino Linotype" w:cs="Palatino Linotype"/>
          <w:sz w:val="24"/>
          <w:szCs w:val="24"/>
        </w:rPr>
        <w:t xml:space="preserve">través de la Coordinadora de Transparencia, refirió medularmente que la solicitud de información no constituía el ejercicio del derecho de acceso a la información pública, sino que, se trataba de un derecho de petición. </w:t>
      </w:r>
    </w:p>
    <w:p w:rsidR="00E134A9" w:rsidRPr="00392273" w:rsidRDefault="00E134A9">
      <w:pPr>
        <w:spacing w:after="0" w:line="360" w:lineRule="auto"/>
        <w:jc w:val="both"/>
        <w:rPr>
          <w:rFonts w:ascii="Palatino Linotype" w:eastAsia="Palatino Linotype" w:hAnsi="Palatino Linotype" w:cs="Palatino Linotype"/>
          <w:b/>
          <w:sz w:val="24"/>
          <w:szCs w:val="24"/>
        </w:rPr>
      </w:pPr>
    </w:p>
    <w:p w:rsidR="00E134A9" w:rsidRPr="00392273" w:rsidRDefault="0039777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Derivado de la respuesta proporcionada por el Sujeto Obligado, la parte Solicitante se inconformó porque no se había proporcionado el pronunciamiento de las áreas competentes, de conformidad con el artículo 162 de la Ley de Transparencia y Acceso a la Información Pública del Estado de México y Municipios.</w:t>
      </w:r>
    </w:p>
    <w:p w:rsidR="00E134A9" w:rsidRPr="00392273" w:rsidRDefault="00E134A9">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sz w:val="24"/>
          <w:szCs w:val="24"/>
        </w:rPr>
      </w:pPr>
    </w:p>
    <w:p w:rsidR="00E134A9" w:rsidRPr="00392273" w:rsidRDefault="00397777">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El Sujeto Obligado ratificó su respuesta inicial y la parte Recurrente no realizó manifestaciones. </w:t>
      </w:r>
    </w:p>
    <w:p w:rsidR="00E134A9" w:rsidRPr="00392273" w:rsidRDefault="00E134A9">
      <w:pPr>
        <w:spacing w:after="0" w:line="360" w:lineRule="auto"/>
        <w:jc w:val="both"/>
        <w:rPr>
          <w:rFonts w:ascii="Palatino Linotype" w:eastAsia="Palatino Linotype" w:hAnsi="Palatino Linotype" w:cs="Palatino Linotype"/>
          <w:sz w:val="24"/>
          <w:szCs w:val="24"/>
        </w:rPr>
      </w:pP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Conforme a lo anterior, del análisis a la solicitud de información, se colige que la pretensión de la parte Recurrente es conocer el pronunciamiento de los regidores en torno a si tiene conocimiento de en su caso de una relación extra laboral entre dos </w:t>
      </w:r>
      <w:r w:rsidRPr="00392273">
        <w:rPr>
          <w:rFonts w:ascii="Palatino Linotype" w:eastAsia="Palatino Linotype" w:hAnsi="Palatino Linotype" w:cs="Palatino Linotype"/>
          <w:sz w:val="24"/>
          <w:szCs w:val="24"/>
        </w:rPr>
        <w:lastRenderedPageBreak/>
        <w:t>personas, lo cual sería una cuestión de carácter privado e íntimo de estas y, que no se relacionan con el actuar del Sujeto Obligado, además que implicaría que este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rsidR="00E134A9" w:rsidRPr="00392273" w:rsidRDefault="00E134A9">
      <w:pPr>
        <w:spacing w:after="0" w:line="360" w:lineRule="auto"/>
        <w:jc w:val="both"/>
        <w:rPr>
          <w:rFonts w:ascii="Palatino Linotype" w:eastAsia="Palatino Linotype" w:hAnsi="Palatino Linotype" w:cs="Palatino Linotype"/>
          <w:sz w:val="24"/>
          <w:szCs w:val="24"/>
        </w:rPr>
      </w:pPr>
    </w:p>
    <w:p w:rsidR="00E134A9" w:rsidRPr="00392273" w:rsidRDefault="00397777">
      <w:pPr>
        <w:numPr>
          <w:ilvl w:val="0"/>
          <w:numId w:val="3"/>
        </w:numPr>
        <w:spacing w:after="0" w:line="360" w:lineRule="auto"/>
        <w:jc w:val="both"/>
        <w:rPr>
          <w:rFonts w:ascii="Palatino Linotype" w:eastAsia="Palatino Linotype" w:hAnsi="Palatino Linotype" w:cs="Palatino Linotype"/>
        </w:rPr>
      </w:pPr>
      <w:r w:rsidRPr="00392273">
        <w:rPr>
          <w:rFonts w:ascii="Palatino Linotype" w:eastAsia="Palatino Linotype" w:hAnsi="Palatino Linotype" w:cs="Palatino Linotype"/>
        </w:rPr>
        <w:t>Que uno de los objetivos de la Ley es proveer lo necesario para garantizar a toda persona el derecho de acceso a la información pública, y</w:t>
      </w:r>
    </w:p>
    <w:p w:rsidR="00E134A9" w:rsidRPr="00392273" w:rsidRDefault="00397777">
      <w:pPr>
        <w:numPr>
          <w:ilvl w:val="0"/>
          <w:numId w:val="3"/>
        </w:numPr>
        <w:spacing w:after="0" w:line="360" w:lineRule="auto"/>
        <w:jc w:val="both"/>
        <w:rPr>
          <w:rFonts w:ascii="Palatino Linotype" w:eastAsia="Palatino Linotype" w:hAnsi="Palatino Linotype" w:cs="Palatino Linotype"/>
        </w:rPr>
      </w:pPr>
      <w:r w:rsidRPr="00392273">
        <w:rPr>
          <w:rFonts w:ascii="Palatino Linotype" w:eastAsia="Palatino Linotype" w:hAnsi="Palatino Linotype" w:cs="Palatino Linotype"/>
        </w:rPr>
        <w:t xml:space="preserve">Que los </w:t>
      </w:r>
      <w:r w:rsidRPr="00392273">
        <w:rPr>
          <w:rFonts w:ascii="Palatino Linotype" w:eastAsia="Palatino Linotype" w:hAnsi="Palatino Linotype" w:cs="Palatino Linotype"/>
          <w:b/>
        </w:rPr>
        <w:t xml:space="preserve">documentos </w:t>
      </w:r>
      <w:r w:rsidRPr="00392273">
        <w:rPr>
          <w:rFonts w:ascii="Palatino Linotype" w:eastAsia="Palatino Linotype" w:hAnsi="Palatino Linotype" w:cs="Palatino Linotype"/>
        </w:rPr>
        <w:t xml:space="preserve">son los expedientes, reportes, estudios, actas, resoluciones, contratos, convenios, instructivos, notas, memorandos, estadísticas o </w:t>
      </w:r>
      <w:r w:rsidRPr="00392273">
        <w:rPr>
          <w:rFonts w:ascii="Palatino Linotype" w:eastAsia="Palatino Linotype" w:hAnsi="Palatino Linotype" w:cs="Palatino Linotype"/>
          <w:b/>
        </w:rPr>
        <w:t>cualquier registro que documente el ejercicio de facultades, funciones y competencia</w:t>
      </w:r>
      <w:r w:rsidRPr="00392273">
        <w:rPr>
          <w:rFonts w:ascii="Palatino Linotype" w:eastAsia="Palatino Linotype" w:hAnsi="Palatino Linotype" w:cs="Palatino Linotype"/>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rsidR="00E134A9" w:rsidRPr="00392273" w:rsidRDefault="00E134A9">
      <w:pPr>
        <w:spacing w:after="0" w:line="360" w:lineRule="auto"/>
        <w:jc w:val="both"/>
        <w:rPr>
          <w:rFonts w:ascii="Palatino Linotype" w:eastAsia="Palatino Linotype" w:hAnsi="Palatino Linotype" w:cs="Palatino Linotype"/>
        </w:rPr>
      </w:pP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En razón de lo anterior, se concluye que la parte Recurrente requiere un pronunciamiento específico, a una situación concreta y determinada, lo cual implicaría que el Sujeto Obligado elaborará una respuesta delimitada y </w:t>
      </w:r>
      <w:r w:rsidRPr="00392273">
        <w:rPr>
          <w:rFonts w:ascii="Palatino Linotype" w:eastAsia="Palatino Linotype" w:hAnsi="Palatino Linotype" w:cs="Palatino Linotype"/>
          <w:i/>
          <w:sz w:val="24"/>
          <w:szCs w:val="24"/>
        </w:rPr>
        <w:t>ad hoc.</w:t>
      </w:r>
      <w:r w:rsidRPr="00392273">
        <w:rPr>
          <w:rFonts w:ascii="Palatino Linotype" w:eastAsia="Palatino Linotype" w:hAnsi="Palatino Linotype" w:cs="Palatino Linotype"/>
          <w:sz w:val="24"/>
          <w:szCs w:val="24"/>
        </w:rPr>
        <w:t> </w:t>
      </w:r>
    </w:p>
    <w:p w:rsidR="00E134A9" w:rsidRPr="00392273" w:rsidRDefault="00E134A9">
      <w:pPr>
        <w:spacing w:after="0" w:line="360" w:lineRule="auto"/>
        <w:jc w:val="both"/>
        <w:rPr>
          <w:rFonts w:ascii="Palatino Linotype" w:eastAsia="Palatino Linotype" w:hAnsi="Palatino Linotype" w:cs="Palatino Linotype"/>
          <w:sz w:val="24"/>
          <w:szCs w:val="24"/>
        </w:rPr>
      </w:pPr>
    </w:p>
    <w:p w:rsidR="00E134A9" w:rsidRPr="00392273" w:rsidRDefault="00397777">
      <w:pPr>
        <w:spacing w:after="0" w:line="360" w:lineRule="auto"/>
        <w:jc w:val="both"/>
        <w:rPr>
          <w:rFonts w:ascii="Palatino Linotype" w:eastAsia="Palatino Linotype" w:hAnsi="Palatino Linotype" w:cs="Palatino Linotype"/>
          <w:b/>
          <w:sz w:val="24"/>
          <w:szCs w:val="24"/>
        </w:rPr>
      </w:pPr>
      <w:r w:rsidRPr="00392273">
        <w:rPr>
          <w:rFonts w:ascii="Palatino Linotype" w:eastAsia="Palatino Linotype" w:hAnsi="Palatino Linotype" w:cs="Palatino Linotype"/>
          <w:sz w:val="24"/>
          <w:szCs w:val="24"/>
        </w:rPr>
        <w:t xml:space="preserve">Sobre el tema, cabe precisar que de conformidad con los artículos 6°, apartado A, de la Constitución Política de los Estados Unidos Mexicanos, 5° de la Constitución Política </w:t>
      </w:r>
      <w:r w:rsidRPr="00392273">
        <w:rPr>
          <w:rFonts w:ascii="Palatino Linotype" w:eastAsia="Palatino Linotype" w:hAnsi="Palatino Linotype" w:cs="Palatino Linotype"/>
          <w:sz w:val="24"/>
          <w:szCs w:val="24"/>
        </w:rPr>
        <w:lastRenderedPageBreak/>
        <w:t xml:space="preserve">del Estado Libre y Soberano de México, 4° de la Ley General de Transparencia y Acceso a la Información Pública y 4° de la Ley de Transparencia y Acceso a la Información Pública del Estado de México y Municipios, toda la información </w:t>
      </w:r>
      <w:r w:rsidRPr="00392273">
        <w:rPr>
          <w:rFonts w:ascii="Palatino Linotype" w:eastAsia="Palatino Linotype" w:hAnsi="Palatino Linotype" w:cs="Palatino Linotype"/>
          <w:b/>
          <w:sz w:val="24"/>
          <w:szCs w:val="24"/>
        </w:rPr>
        <w:t xml:space="preserve">generada, obtenida, adquirida, transformada </w:t>
      </w:r>
      <w:r w:rsidRPr="00392273">
        <w:rPr>
          <w:rFonts w:ascii="Palatino Linotype" w:eastAsia="Palatino Linotype" w:hAnsi="Palatino Linotype" w:cs="Palatino Linotype"/>
          <w:sz w:val="24"/>
          <w:szCs w:val="24"/>
        </w:rPr>
        <w:t xml:space="preserve">por los sujetos obligados, o en su caso, </w:t>
      </w:r>
      <w:r w:rsidRPr="00392273">
        <w:rPr>
          <w:rFonts w:ascii="Palatino Linotype" w:eastAsia="Palatino Linotype" w:hAnsi="Palatino Linotype" w:cs="Palatino Linotype"/>
          <w:b/>
          <w:sz w:val="24"/>
          <w:szCs w:val="24"/>
        </w:rPr>
        <w:t xml:space="preserve">la tengan en su posesión, será pública y accesible para cualquier persona. </w:t>
      </w:r>
      <w:r w:rsidRPr="00392273">
        <w:rPr>
          <w:rFonts w:ascii="Palatino Linotype" w:eastAsia="Palatino Linotype" w:hAnsi="Palatino Linotype" w:cs="Palatino Linotype"/>
          <w:sz w:val="24"/>
          <w:szCs w:val="24"/>
        </w:rPr>
        <w:t xml:space="preserve">Así, se advierte que el derecho de acceso a la información, consiste en una prerrogativa de cualquier persona, a solicitar información pública que conste en </w:t>
      </w:r>
      <w:r w:rsidRPr="00392273">
        <w:rPr>
          <w:rFonts w:ascii="Palatino Linotype" w:eastAsia="Palatino Linotype" w:hAnsi="Palatino Linotype" w:cs="Palatino Linotype"/>
          <w:b/>
          <w:sz w:val="24"/>
          <w:szCs w:val="24"/>
        </w:rPr>
        <w:t>documentos generados, obtenidos, adquiridos, transformados o que tengan en posesión los sujetos obligados.</w:t>
      </w:r>
    </w:p>
    <w:p w:rsidR="00E134A9" w:rsidRPr="00392273" w:rsidRDefault="00E134A9">
      <w:pPr>
        <w:spacing w:after="0" w:line="360" w:lineRule="auto"/>
        <w:jc w:val="both"/>
        <w:rPr>
          <w:rFonts w:ascii="Palatino Linotype" w:eastAsia="Palatino Linotype" w:hAnsi="Palatino Linotype" w:cs="Palatino Linotype"/>
          <w:b/>
          <w:sz w:val="24"/>
          <w:szCs w:val="24"/>
        </w:rPr>
      </w:pP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En ese orden de ideas, el artículo 3°, fracción VII, de la Ley General Transparencia, con relación al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134A9" w:rsidRPr="00392273" w:rsidRDefault="00E134A9">
      <w:pPr>
        <w:spacing w:after="0" w:line="360" w:lineRule="auto"/>
        <w:jc w:val="both"/>
        <w:rPr>
          <w:rFonts w:ascii="Palatino Linotype" w:eastAsia="Palatino Linotype" w:hAnsi="Palatino Linotype" w:cs="Palatino Linotype"/>
          <w:sz w:val="24"/>
          <w:szCs w:val="24"/>
        </w:rPr>
      </w:pP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w:t>
      </w:r>
      <w:r w:rsidRPr="00392273">
        <w:rPr>
          <w:rFonts w:ascii="Palatino Linotype" w:eastAsia="Palatino Linotype" w:hAnsi="Palatino Linotype" w:cs="Palatino Linotype"/>
          <w:sz w:val="24"/>
          <w:szCs w:val="24"/>
        </w:rPr>
        <w:lastRenderedPageBreak/>
        <w:t>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rsidR="00E134A9" w:rsidRPr="00392273" w:rsidRDefault="00E134A9">
      <w:pPr>
        <w:spacing w:after="0" w:line="360" w:lineRule="auto"/>
        <w:jc w:val="both"/>
        <w:rPr>
          <w:rFonts w:ascii="Palatino Linotype" w:eastAsia="Palatino Linotype" w:hAnsi="Palatino Linotype" w:cs="Palatino Linotype"/>
          <w:sz w:val="24"/>
          <w:szCs w:val="24"/>
        </w:rPr>
      </w:pP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De tales circunstancias, se colige que los sujetos obligados únicamente están constreñidos a proporcionar </w:t>
      </w:r>
      <w:r w:rsidRPr="00392273">
        <w:rPr>
          <w:rFonts w:ascii="Palatino Linotype" w:eastAsia="Palatino Linotype" w:hAnsi="Palatino Linotype" w:cs="Palatino Linotype"/>
          <w:b/>
          <w:sz w:val="24"/>
          <w:szCs w:val="24"/>
        </w:rPr>
        <w:t>la documentación que obre en sus archivos</w:t>
      </w:r>
      <w:r w:rsidRPr="00392273">
        <w:rPr>
          <w:rFonts w:ascii="Palatino Linotype" w:eastAsia="Palatino Linotype" w:hAnsi="Palatino Linotype" w:cs="Palatino Linotype"/>
          <w:sz w:val="24"/>
          <w:szCs w:val="24"/>
        </w:rPr>
        <w:t>; por lo que, no están obligados a generar o elaborar documentos </w:t>
      </w:r>
      <w:r w:rsidRPr="00392273">
        <w:rPr>
          <w:rFonts w:ascii="Palatino Linotype" w:eastAsia="Palatino Linotype" w:hAnsi="Palatino Linotype" w:cs="Palatino Linotype"/>
          <w:i/>
          <w:sz w:val="24"/>
          <w:szCs w:val="24"/>
        </w:rPr>
        <w:t>ad hoc, </w:t>
      </w:r>
      <w:r w:rsidRPr="00392273">
        <w:rPr>
          <w:rFonts w:ascii="Palatino Linotype" w:eastAsia="Palatino Linotype" w:hAnsi="Palatino Linotype" w:cs="Palatino Linotype"/>
          <w:sz w:val="24"/>
          <w:szCs w:val="24"/>
        </w:rPr>
        <w:t>como es el caso de proporcionar respuesta a un cuestionamiento. Robustece lo anterior el Criterio de Interpretación, con clave de control SO/013/2017, de la Segunda Época, emitido por el Instituto Nacional de Transparencia, Acceso a la Información y Protección de Datos Personales, que a continuación se cita:</w:t>
      </w:r>
    </w:p>
    <w:p w:rsidR="00E134A9" w:rsidRPr="00392273" w:rsidRDefault="00E134A9">
      <w:pPr>
        <w:spacing w:after="0" w:line="360" w:lineRule="auto"/>
        <w:jc w:val="both"/>
        <w:rPr>
          <w:rFonts w:ascii="Palatino Linotype" w:eastAsia="Palatino Linotype" w:hAnsi="Palatino Linotype" w:cs="Palatino Linotype"/>
          <w:sz w:val="24"/>
          <w:szCs w:val="24"/>
        </w:rPr>
      </w:pPr>
    </w:p>
    <w:p w:rsidR="00E134A9" w:rsidRPr="00392273" w:rsidRDefault="00397777">
      <w:pPr>
        <w:spacing w:after="0" w:line="276" w:lineRule="auto"/>
        <w:ind w:left="567" w:right="567"/>
        <w:jc w:val="both"/>
        <w:rPr>
          <w:rFonts w:ascii="Palatino Linotype" w:eastAsia="Palatino Linotype" w:hAnsi="Palatino Linotype" w:cs="Palatino Linotype"/>
          <w:i/>
        </w:rPr>
      </w:pPr>
      <w:r w:rsidRPr="00392273">
        <w:rPr>
          <w:rFonts w:ascii="Palatino Linotype" w:eastAsia="Palatino Linotype" w:hAnsi="Palatino Linotype" w:cs="Palatino Linotype"/>
          <w:b/>
          <w:i/>
        </w:rPr>
        <w:t xml:space="preserve">“No existe obligación de elaborar documentos ad hoc para atender las solicitudes de acceso a la información. </w:t>
      </w:r>
      <w:r w:rsidRPr="00392273">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rsidR="00E134A9" w:rsidRPr="00392273" w:rsidRDefault="00E134A9">
      <w:pPr>
        <w:spacing w:after="0" w:line="360" w:lineRule="auto"/>
        <w:jc w:val="both"/>
        <w:rPr>
          <w:rFonts w:ascii="Palatino Linotype" w:eastAsia="Palatino Linotype" w:hAnsi="Palatino Linotype" w:cs="Palatino Linotype"/>
          <w:sz w:val="24"/>
          <w:szCs w:val="24"/>
        </w:rPr>
      </w:pP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Conforme a lo anterior, </w:t>
      </w:r>
      <w:r w:rsidRPr="00392273">
        <w:rPr>
          <w:rFonts w:ascii="Palatino Linotype" w:eastAsia="Palatino Linotype" w:hAnsi="Palatino Linotype" w:cs="Palatino Linotype"/>
          <w:b/>
          <w:sz w:val="24"/>
          <w:szCs w:val="24"/>
        </w:rPr>
        <w:t>se advierte que la respuesta al cuestionamiento previamente referido constituye una consulta</w:t>
      </w:r>
      <w:r w:rsidRPr="00392273">
        <w:rPr>
          <w:rFonts w:ascii="Palatino Linotype" w:eastAsia="Palatino Linotype" w:hAnsi="Palatino Linotype" w:cs="Palatino Linotype"/>
          <w:sz w:val="24"/>
          <w:szCs w:val="24"/>
        </w:rPr>
        <w:t xml:space="preserve"> y, no así a una solicitud de acceso a información </w:t>
      </w:r>
      <w:r w:rsidRPr="00392273">
        <w:rPr>
          <w:rFonts w:ascii="Palatino Linotype" w:eastAsia="Palatino Linotype" w:hAnsi="Palatino Linotype" w:cs="Palatino Linotype"/>
          <w:sz w:val="24"/>
          <w:szCs w:val="24"/>
        </w:rPr>
        <w:lastRenderedPageBreak/>
        <w:t xml:space="preserve">pública que pueda ser atendida mediante una expresión documental; lo anterior, debido a que el requerimiento corresponde a una pregunta que implicaría elaborar un documento </w:t>
      </w:r>
      <w:r w:rsidRPr="00392273">
        <w:rPr>
          <w:rFonts w:ascii="Palatino Linotype" w:eastAsia="Palatino Linotype" w:hAnsi="Palatino Linotype" w:cs="Palatino Linotype"/>
          <w:i/>
          <w:sz w:val="24"/>
          <w:szCs w:val="24"/>
        </w:rPr>
        <w:t>ad hoc</w:t>
      </w:r>
      <w:r w:rsidRPr="00392273">
        <w:rPr>
          <w:rFonts w:ascii="Palatino Linotype" w:eastAsia="Palatino Linotype" w:hAnsi="Palatino Linotype" w:cs="Palatino Linotype"/>
          <w:sz w:val="24"/>
          <w:szCs w:val="24"/>
        </w:rPr>
        <w:t xml:space="preserve">, en el que se precisará si conoce o desconoce que dos personas tengan una </w:t>
      </w:r>
      <w:r w:rsidRPr="00392273">
        <w:rPr>
          <w:rFonts w:ascii="Palatino Linotype" w:eastAsia="Palatino Linotype" w:hAnsi="Palatino Linotype" w:cs="Palatino Linotype"/>
          <w:i/>
          <w:sz w:val="24"/>
          <w:szCs w:val="24"/>
        </w:rPr>
        <w:t>“relación”.</w:t>
      </w:r>
    </w:p>
    <w:p w:rsidR="00E134A9" w:rsidRPr="00392273" w:rsidRDefault="00E134A9">
      <w:pPr>
        <w:spacing w:after="0" w:line="360" w:lineRule="auto"/>
        <w:jc w:val="both"/>
        <w:rPr>
          <w:rFonts w:ascii="Palatino Linotype" w:eastAsia="Palatino Linotype" w:hAnsi="Palatino Linotype" w:cs="Palatino Linotype"/>
          <w:sz w:val="24"/>
          <w:szCs w:val="24"/>
        </w:rPr>
      </w:pP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Lo anterior toma relevancia, pues según Trujillo, Humberto (2019), en el </w:t>
      </w:r>
      <w:r w:rsidRPr="00392273">
        <w:rPr>
          <w:rFonts w:ascii="Palatino Linotype" w:eastAsia="Palatino Linotype" w:hAnsi="Palatino Linotype" w:cs="Palatino Linotype"/>
          <w:i/>
          <w:sz w:val="24"/>
          <w:szCs w:val="24"/>
        </w:rPr>
        <w:t>“Diccionario de Transparencia y Acceso a la Información Pública”</w:t>
      </w:r>
      <w:r w:rsidRPr="00392273">
        <w:rPr>
          <w:rFonts w:ascii="Palatino Linotype" w:eastAsia="Palatino Linotype" w:hAnsi="Palatino Linotype" w:cs="Palatino Linotype"/>
          <w:sz w:val="24"/>
          <w:szCs w:val="24"/>
        </w:rPr>
        <w:t xml:space="preserve"> (p. 122), el derecho de petición, es un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rsidR="00E134A9" w:rsidRPr="00392273" w:rsidRDefault="00E134A9">
      <w:pPr>
        <w:spacing w:after="0" w:line="360" w:lineRule="auto"/>
        <w:jc w:val="both"/>
        <w:rPr>
          <w:rFonts w:ascii="Palatino Linotype" w:eastAsia="Palatino Linotype" w:hAnsi="Palatino Linotype" w:cs="Palatino Linotype"/>
          <w:sz w:val="24"/>
          <w:szCs w:val="24"/>
        </w:rPr>
      </w:pPr>
    </w:p>
    <w:p w:rsidR="00E134A9" w:rsidRPr="00392273" w:rsidRDefault="00397777">
      <w:pPr>
        <w:spacing w:after="0" w:line="276" w:lineRule="auto"/>
        <w:ind w:left="567" w:right="567"/>
        <w:jc w:val="both"/>
        <w:rPr>
          <w:rFonts w:ascii="Palatino Linotype" w:eastAsia="Palatino Linotype" w:hAnsi="Palatino Linotype" w:cs="Palatino Linotype"/>
          <w:i/>
        </w:rPr>
      </w:pPr>
      <w:r w:rsidRPr="00392273">
        <w:rPr>
          <w:rFonts w:ascii="Palatino Linotype" w:eastAsia="Palatino Linotype" w:hAnsi="Palatino Linotype" w:cs="Palatino Linotype"/>
          <w:b/>
          <w:i/>
        </w:rPr>
        <w:t xml:space="preserve">“DERECHO DE PETICIÓN. SUS ELEMENTOS. </w:t>
      </w:r>
      <w:r w:rsidRPr="00392273">
        <w:rPr>
          <w:rFonts w:ascii="Palatino Linotype" w:eastAsia="Palatino Linotype" w:hAnsi="Palatino Linotype" w:cs="Palatino Linotype"/>
          <w:i/>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w:t>
      </w:r>
      <w:r w:rsidRPr="00392273">
        <w:rPr>
          <w:rFonts w:ascii="Palatino Linotype" w:eastAsia="Palatino Linotype" w:hAnsi="Palatino Linotype" w:cs="Palatino Linotype"/>
          <w:i/>
        </w:rPr>
        <w:lastRenderedPageBreak/>
        <w:t xml:space="preserve">del derecho de petición no constriñe a la autoridad ante quien se formuló, a que provea de conformidad lo solicitado por el </w:t>
      </w:r>
      <w:proofErr w:type="spellStart"/>
      <w:r w:rsidRPr="00392273">
        <w:rPr>
          <w:rFonts w:ascii="Palatino Linotype" w:eastAsia="Palatino Linotype" w:hAnsi="Palatino Linotype" w:cs="Palatino Linotype"/>
          <w:i/>
        </w:rPr>
        <w:t>promovente</w:t>
      </w:r>
      <w:proofErr w:type="spellEnd"/>
      <w:r w:rsidRPr="00392273">
        <w:rPr>
          <w:rFonts w:ascii="Palatino Linotype" w:eastAsia="Palatino Linotype" w:hAnsi="Palatino Linotype" w:cs="Palatino Linotype"/>
          <w:i/>
        </w:rPr>
        <w:t>,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rsidR="00E134A9" w:rsidRPr="00392273" w:rsidRDefault="00E134A9">
      <w:pPr>
        <w:spacing w:after="0" w:line="360" w:lineRule="auto"/>
        <w:jc w:val="both"/>
        <w:rPr>
          <w:rFonts w:ascii="Palatino Linotype" w:eastAsia="Palatino Linotype" w:hAnsi="Palatino Linotype" w:cs="Palatino Linotype"/>
          <w:sz w:val="24"/>
          <w:szCs w:val="24"/>
        </w:rPr>
      </w:pP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rsidR="00E134A9" w:rsidRPr="00392273" w:rsidRDefault="00E134A9">
      <w:pPr>
        <w:spacing w:after="0" w:line="360" w:lineRule="auto"/>
        <w:jc w:val="both"/>
        <w:rPr>
          <w:rFonts w:ascii="Palatino Linotype" w:eastAsia="Palatino Linotype" w:hAnsi="Palatino Linotype" w:cs="Palatino Linotype"/>
          <w:sz w:val="24"/>
          <w:szCs w:val="24"/>
        </w:rPr>
      </w:pPr>
    </w:p>
    <w:p w:rsidR="00E134A9" w:rsidRPr="00392273" w:rsidRDefault="00397777">
      <w:pPr>
        <w:spacing w:after="0" w:line="360" w:lineRule="auto"/>
        <w:jc w:val="both"/>
        <w:rPr>
          <w:rFonts w:ascii="Palatino Linotype" w:eastAsia="Palatino Linotype" w:hAnsi="Palatino Linotype" w:cs="Palatino Linotype"/>
          <w:b/>
          <w:sz w:val="24"/>
          <w:szCs w:val="24"/>
        </w:rPr>
      </w:pPr>
      <w:r w:rsidRPr="00392273">
        <w:rPr>
          <w:rFonts w:ascii="Palatino Linotype" w:eastAsia="Palatino Linotype" w:hAnsi="Palatino Linotype" w:cs="Palatino Linotype"/>
          <w:b/>
          <w:sz w:val="24"/>
          <w:szCs w:val="24"/>
        </w:rPr>
        <w:t xml:space="preserve">De tal circunstancia, se puede colegir que el requerimiento de información realizado por la parte Recurrente, se trata de una consulta y del ejercicio del derecho de petición que implicaría la generación de un documento </w:t>
      </w:r>
      <w:r w:rsidRPr="00392273">
        <w:rPr>
          <w:rFonts w:ascii="Palatino Linotype" w:eastAsia="Palatino Linotype" w:hAnsi="Palatino Linotype" w:cs="Palatino Linotype"/>
          <w:b/>
          <w:i/>
          <w:sz w:val="24"/>
          <w:szCs w:val="24"/>
        </w:rPr>
        <w:t>ad hoc</w:t>
      </w:r>
      <w:r w:rsidRPr="00392273">
        <w:rPr>
          <w:rFonts w:ascii="Palatino Linotype" w:eastAsia="Palatino Linotype" w:hAnsi="Palatino Linotype" w:cs="Palatino Linotype"/>
          <w:b/>
          <w:sz w:val="24"/>
          <w:szCs w:val="24"/>
        </w:rPr>
        <w:t xml:space="preserve">, y, por lo tanto, no es procedente la vía del derecho de acceso a la información. </w:t>
      </w:r>
    </w:p>
    <w:p w:rsidR="00E134A9" w:rsidRPr="00392273" w:rsidRDefault="00E134A9">
      <w:pPr>
        <w:spacing w:after="0" w:line="360" w:lineRule="auto"/>
        <w:jc w:val="both"/>
        <w:rPr>
          <w:rFonts w:ascii="Palatino Linotype" w:eastAsia="Palatino Linotype" w:hAnsi="Palatino Linotype" w:cs="Palatino Linotype"/>
          <w:b/>
          <w:sz w:val="24"/>
          <w:szCs w:val="24"/>
        </w:rPr>
      </w:pP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En consecuencia, toda vez de que, la solicitud de acceso a la información se trata de una consulta, lo cual implicaría que el Sujeto Obligado realice un documento que contenga determinado contenido, con un pronunciamiento específico, el Medio de Impugnación actualiza la causal de </w:t>
      </w:r>
      <w:proofErr w:type="spellStart"/>
      <w:r w:rsidRPr="00392273">
        <w:rPr>
          <w:rFonts w:ascii="Palatino Linotype" w:eastAsia="Palatino Linotype" w:hAnsi="Palatino Linotype" w:cs="Palatino Linotype"/>
          <w:sz w:val="24"/>
          <w:szCs w:val="24"/>
        </w:rPr>
        <w:t>desechamiento</w:t>
      </w:r>
      <w:proofErr w:type="spellEnd"/>
      <w:r w:rsidRPr="00392273">
        <w:rPr>
          <w:rFonts w:ascii="Palatino Linotype" w:eastAsia="Palatino Linotype" w:hAnsi="Palatino Linotype" w:cs="Palatino Linotype"/>
          <w:sz w:val="24"/>
          <w:szCs w:val="24"/>
        </w:rPr>
        <w:t xml:space="preserve"> establecida en el artículo 191, fracción VI, de la Ley de Transparencia y Acceso a la Información Pública del Estado de México y Municipios;</w:t>
      </w:r>
      <w:r w:rsidRPr="00392273">
        <w:rPr>
          <w:rFonts w:ascii="Palatino Linotype" w:eastAsia="Palatino Linotype" w:hAnsi="Palatino Linotype" w:cs="Palatino Linotype"/>
          <w:b/>
          <w:sz w:val="24"/>
          <w:szCs w:val="24"/>
        </w:rPr>
        <w:t xml:space="preserve"> </w:t>
      </w:r>
      <w:r w:rsidRPr="00392273">
        <w:rPr>
          <w:rFonts w:ascii="Palatino Linotype" w:eastAsia="Palatino Linotype" w:hAnsi="Palatino Linotype" w:cs="Palatino Linotype"/>
          <w:sz w:val="24"/>
          <w:szCs w:val="24"/>
        </w:rPr>
        <w:t xml:space="preserve">por lo que  lo procedente es </w:t>
      </w:r>
      <w:r w:rsidRPr="00392273">
        <w:rPr>
          <w:rFonts w:ascii="Palatino Linotype" w:eastAsia="Palatino Linotype" w:hAnsi="Palatino Linotype" w:cs="Palatino Linotype"/>
          <w:b/>
          <w:sz w:val="24"/>
          <w:szCs w:val="24"/>
        </w:rPr>
        <w:t xml:space="preserve">SOBRESEER </w:t>
      </w:r>
      <w:r w:rsidRPr="00392273">
        <w:rPr>
          <w:rFonts w:ascii="Palatino Linotype" w:eastAsia="Palatino Linotype" w:hAnsi="Palatino Linotype" w:cs="Palatino Linotype"/>
          <w:sz w:val="24"/>
          <w:szCs w:val="24"/>
        </w:rPr>
        <w:t>el presente Recurso de Revisión, al actualizarse el supuesto previsto en el artículo 192, fracción IV, en relación con el diverso 186, fracción I, de ese ordenamiento legal.</w:t>
      </w:r>
    </w:p>
    <w:p w:rsidR="00E134A9" w:rsidRPr="00392273" w:rsidRDefault="00E134A9">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p>
    <w:p w:rsidR="00E134A9" w:rsidRPr="00392273" w:rsidRDefault="00397777">
      <w:pPr>
        <w:pBdr>
          <w:top w:val="nil"/>
          <w:left w:val="nil"/>
          <w:bottom w:val="nil"/>
          <w:right w:val="nil"/>
          <w:between w:val="nil"/>
        </w:pBd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392273">
        <w:rPr>
          <w:rFonts w:ascii="Palatino Linotype" w:eastAsia="Palatino Linotype" w:hAnsi="Palatino Linotype" w:cs="Palatino Linotype"/>
          <w:i/>
        </w:rPr>
        <w:t>“</w:t>
      </w:r>
      <w:r w:rsidRPr="00392273">
        <w:rPr>
          <w:rFonts w:ascii="Palatino Linotype" w:eastAsia="Palatino Linotype" w:hAnsi="Palatino Linotype" w:cs="Palatino Linotype"/>
          <w:b/>
          <w:i/>
        </w:rPr>
        <w:t>Artículo 191</w:t>
      </w:r>
      <w:r w:rsidRPr="00392273">
        <w:rPr>
          <w:rFonts w:ascii="Palatino Linotype" w:eastAsia="Palatino Linotype" w:hAnsi="Palatino Linotype" w:cs="Palatino Linotype"/>
          <w:i/>
        </w:rPr>
        <w:t xml:space="preserve">. </w:t>
      </w:r>
      <w:r w:rsidRPr="00392273">
        <w:rPr>
          <w:rFonts w:ascii="Palatino Linotype" w:eastAsia="Palatino Linotype" w:hAnsi="Palatino Linotype" w:cs="Palatino Linotype"/>
          <w:b/>
          <w:i/>
        </w:rPr>
        <w:t>El recurso</w:t>
      </w:r>
      <w:r w:rsidRPr="00392273">
        <w:rPr>
          <w:rFonts w:ascii="Palatino Linotype" w:eastAsia="Palatino Linotype" w:hAnsi="Palatino Linotype" w:cs="Palatino Linotype"/>
          <w:i/>
        </w:rPr>
        <w:t xml:space="preserve"> </w:t>
      </w:r>
      <w:r w:rsidRPr="00392273">
        <w:rPr>
          <w:rFonts w:ascii="Palatino Linotype" w:eastAsia="Palatino Linotype" w:hAnsi="Palatino Linotype" w:cs="Palatino Linotype"/>
          <w:b/>
          <w:i/>
        </w:rPr>
        <w:t xml:space="preserve">será </w:t>
      </w:r>
      <w:r w:rsidRPr="00392273">
        <w:rPr>
          <w:rFonts w:ascii="Palatino Linotype" w:eastAsia="Palatino Linotype" w:hAnsi="Palatino Linotype" w:cs="Palatino Linotype"/>
          <w:i/>
        </w:rPr>
        <w:t xml:space="preserve">desechado por </w:t>
      </w:r>
      <w:r w:rsidRPr="00392273">
        <w:rPr>
          <w:rFonts w:ascii="Palatino Linotype" w:eastAsia="Palatino Linotype" w:hAnsi="Palatino Linotype" w:cs="Palatino Linotype"/>
          <w:b/>
          <w:i/>
        </w:rPr>
        <w:t>improcedente cuando</w:t>
      </w:r>
      <w:r w:rsidRPr="00392273">
        <w:rPr>
          <w:rFonts w:ascii="Palatino Linotype" w:eastAsia="Palatino Linotype" w:hAnsi="Palatino Linotype" w:cs="Palatino Linotype"/>
          <w:i/>
        </w:rPr>
        <w:t>:</w:t>
      </w:r>
    </w:p>
    <w:p w:rsidR="00E134A9" w:rsidRPr="00392273" w:rsidRDefault="00397777">
      <w:pPr>
        <w:pBdr>
          <w:top w:val="nil"/>
          <w:left w:val="nil"/>
          <w:bottom w:val="nil"/>
          <w:right w:val="nil"/>
          <w:between w:val="nil"/>
        </w:pBd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392273">
        <w:rPr>
          <w:rFonts w:ascii="Palatino Linotype" w:eastAsia="Palatino Linotype" w:hAnsi="Palatino Linotype" w:cs="Palatino Linotype"/>
          <w:i/>
        </w:rPr>
        <w:t>…</w:t>
      </w:r>
    </w:p>
    <w:p w:rsidR="00E134A9" w:rsidRPr="00392273" w:rsidRDefault="00397777">
      <w:pP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392273">
        <w:rPr>
          <w:rFonts w:ascii="Palatino Linotype" w:eastAsia="Palatino Linotype" w:hAnsi="Palatino Linotype" w:cs="Palatino Linotype"/>
          <w:i/>
        </w:rPr>
        <w:t>VI. Se trate de una consulta, o trámite en específico; y;</w:t>
      </w:r>
    </w:p>
    <w:p w:rsidR="00E134A9" w:rsidRPr="00392273" w:rsidRDefault="00397777">
      <w:pPr>
        <w:tabs>
          <w:tab w:val="left" w:pos="1276"/>
          <w:tab w:val="left" w:pos="1560"/>
          <w:tab w:val="left" w:pos="7938"/>
        </w:tabs>
        <w:spacing w:after="0" w:line="276" w:lineRule="auto"/>
        <w:ind w:left="567" w:right="902"/>
        <w:jc w:val="both"/>
        <w:rPr>
          <w:rFonts w:ascii="Palatino Linotype" w:eastAsia="Palatino Linotype" w:hAnsi="Palatino Linotype" w:cs="Palatino Linotype"/>
          <w:b/>
          <w:i/>
        </w:rPr>
      </w:pPr>
      <w:r w:rsidRPr="00392273">
        <w:rPr>
          <w:rFonts w:ascii="Palatino Linotype" w:eastAsia="Palatino Linotype" w:hAnsi="Palatino Linotype" w:cs="Palatino Linotype"/>
          <w:b/>
          <w:i/>
        </w:rPr>
        <w:t>…</w:t>
      </w:r>
    </w:p>
    <w:p w:rsidR="00E134A9" w:rsidRPr="00392273" w:rsidRDefault="00397777">
      <w:pPr>
        <w:pBdr>
          <w:top w:val="nil"/>
          <w:left w:val="nil"/>
          <w:bottom w:val="nil"/>
          <w:right w:val="nil"/>
          <w:between w:val="nil"/>
        </w:pBd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392273">
        <w:rPr>
          <w:rFonts w:ascii="Palatino Linotype" w:eastAsia="Palatino Linotype" w:hAnsi="Palatino Linotype" w:cs="Palatino Linotype"/>
          <w:b/>
          <w:i/>
        </w:rPr>
        <w:t>Artículo 192.</w:t>
      </w:r>
      <w:r w:rsidRPr="00392273">
        <w:rPr>
          <w:rFonts w:ascii="Palatino Linotype" w:eastAsia="Palatino Linotype" w:hAnsi="Palatino Linotype" w:cs="Palatino Linotype"/>
          <w:i/>
        </w:rPr>
        <w:t xml:space="preserve"> El recurso será sobreseído, en todo o en parte, cuando una vez admitido, se actualicen alguno de los siguientes supuestos:</w:t>
      </w:r>
    </w:p>
    <w:p w:rsidR="00E134A9" w:rsidRPr="00392273" w:rsidRDefault="00397777">
      <w:pPr>
        <w:pBdr>
          <w:top w:val="nil"/>
          <w:left w:val="nil"/>
          <w:bottom w:val="nil"/>
          <w:right w:val="nil"/>
          <w:between w:val="nil"/>
        </w:pBd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392273">
        <w:rPr>
          <w:rFonts w:ascii="Palatino Linotype" w:eastAsia="Palatino Linotype" w:hAnsi="Palatino Linotype" w:cs="Palatino Linotype"/>
          <w:i/>
        </w:rPr>
        <w:t>…</w:t>
      </w:r>
    </w:p>
    <w:p w:rsidR="00E134A9" w:rsidRPr="00392273" w:rsidRDefault="00397777">
      <w:pPr>
        <w:pBdr>
          <w:top w:val="nil"/>
          <w:left w:val="nil"/>
          <w:bottom w:val="nil"/>
          <w:right w:val="nil"/>
          <w:between w:val="nil"/>
        </w:pBd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392273">
        <w:rPr>
          <w:rFonts w:ascii="Palatino Linotype" w:eastAsia="Palatino Linotype" w:hAnsi="Palatino Linotype" w:cs="Palatino Linotype"/>
          <w:b/>
          <w:i/>
        </w:rPr>
        <w:t>IV</w:t>
      </w:r>
      <w:r w:rsidRPr="00392273">
        <w:rPr>
          <w:rFonts w:ascii="Palatino Linotype" w:eastAsia="Palatino Linotype" w:hAnsi="Palatino Linotype" w:cs="Palatino Linotype"/>
          <w:i/>
        </w:rPr>
        <w:t xml:space="preserve">. Admitido el recurso de revisión, </w:t>
      </w:r>
      <w:r w:rsidRPr="00392273">
        <w:rPr>
          <w:rFonts w:ascii="Palatino Linotype" w:eastAsia="Palatino Linotype" w:hAnsi="Palatino Linotype" w:cs="Palatino Linotype"/>
          <w:b/>
          <w:i/>
        </w:rPr>
        <w:t>aparezca alguna causal de improcedencia</w:t>
      </w:r>
      <w:r w:rsidRPr="00392273">
        <w:rPr>
          <w:rFonts w:ascii="Palatino Linotype" w:eastAsia="Palatino Linotype" w:hAnsi="Palatino Linotype" w:cs="Palatino Linotype"/>
          <w:i/>
        </w:rPr>
        <w:t xml:space="preserve"> en los términos de la presente Ley. “</w:t>
      </w:r>
    </w:p>
    <w:p w:rsidR="00E134A9" w:rsidRPr="00392273" w:rsidRDefault="00E134A9">
      <w:pPr>
        <w:pBdr>
          <w:top w:val="nil"/>
          <w:left w:val="nil"/>
          <w:bottom w:val="nil"/>
          <w:right w:val="nil"/>
          <w:between w:val="nil"/>
        </w:pBdr>
        <w:tabs>
          <w:tab w:val="left" w:pos="1276"/>
          <w:tab w:val="left" w:pos="1560"/>
          <w:tab w:val="left" w:pos="7938"/>
        </w:tabs>
        <w:spacing w:after="0" w:line="360" w:lineRule="auto"/>
        <w:ind w:left="567" w:right="902"/>
        <w:jc w:val="both"/>
        <w:rPr>
          <w:rFonts w:ascii="Palatino Linotype" w:eastAsia="Palatino Linotype" w:hAnsi="Palatino Linotype" w:cs="Palatino Linotype"/>
          <w:i/>
          <w:sz w:val="24"/>
          <w:szCs w:val="24"/>
        </w:rPr>
      </w:pP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Siendo el </w:t>
      </w:r>
      <w:r w:rsidRPr="00392273">
        <w:rPr>
          <w:rFonts w:ascii="Palatino Linotype" w:eastAsia="Palatino Linotype" w:hAnsi="Palatino Linotype" w:cs="Palatino Linotype"/>
          <w:i/>
          <w:sz w:val="24"/>
          <w:szCs w:val="24"/>
        </w:rPr>
        <w:t>sobreseimiento</w:t>
      </w:r>
      <w:r w:rsidRPr="00392273">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E134A9" w:rsidRPr="00392273" w:rsidRDefault="00E134A9">
      <w:pPr>
        <w:spacing w:after="0" w:line="360" w:lineRule="auto"/>
        <w:jc w:val="both"/>
        <w:rPr>
          <w:rFonts w:ascii="Palatino Linotype" w:eastAsia="Palatino Linotype" w:hAnsi="Palatino Linotype" w:cs="Palatino Linotype"/>
          <w:sz w:val="24"/>
          <w:szCs w:val="24"/>
        </w:rPr>
      </w:pPr>
    </w:p>
    <w:p w:rsidR="00E134A9" w:rsidRPr="00392273" w:rsidRDefault="00397777">
      <w:pPr>
        <w:spacing w:after="0" w:line="276" w:lineRule="auto"/>
        <w:ind w:left="567" w:right="616"/>
        <w:jc w:val="both"/>
        <w:rPr>
          <w:rFonts w:ascii="Palatino Linotype" w:eastAsia="Palatino Linotype" w:hAnsi="Palatino Linotype" w:cs="Palatino Linotype"/>
          <w:i/>
        </w:rPr>
      </w:pPr>
      <w:r w:rsidRPr="00392273">
        <w:rPr>
          <w:rFonts w:ascii="Palatino Linotype" w:eastAsia="Palatino Linotype" w:hAnsi="Palatino Linotype" w:cs="Palatino Linotype"/>
          <w:b/>
          <w:i/>
        </w:rPr>
        <w:t>SOBRESEIMIENTO, NO PERMITE ENTRAR AL ESTUDIO DE LAS CUESTIONES DE FONDO</w:t>
      </w:r>
      <w:r w:rsidRPr="00392273">
        <w:rPr>
          <w:rFonts w:ascii="Palatino Linotype" w:eastAsia="Palatino Linotype" w:hAnsi="Palatino Linotype" w:cs="Palatino Linotype"/>
          <w:i/>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rsidR="00E134A9" w:rsidRPr="00392273" w:rsidRDefault="00E134A9">
      <w:pPr>
        <w:spacing w:after="0" w:line="360" w:lineRule="auto"/>
        <w:ind w:left="567" w:right="616"/>
        <w:jc w:val="both"/>
        <w:rPr>
          <w:rFonts w:ascii="Palatino Linotype" w:eastAsia="Palatino Linotype" w:hAnsi="Palatino Linotype" w:cs="Palatino Linotype"/>
          <w:b/>
          <w:i/>
          <w:sz w:val="24"/>
          <w:szCs w:val="24"/>
        </w:rPr>
      </w:pP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E134A9" w:rsidRPr="00392273" w:rsidRDefault="00E134A9">
      <w:pPr>
        <w:spacing w:after="0" w:line="360" w:lineRule="auto"/>
        <w:jc w:val="both"/>
        <w:rPr>
          <w:rFonts w:ascii="Palatino Linotype" w:eastAsia="Palatino Linotype" w:hAnsi="Palatino Linotype" w:cs="Palatino Linotype"/>
          <w:sz w:val="24"/>
          <w:szCs w:val="24"/>
        </w:rPr>
      </w:pPr>
    </w:p>
    <w:p w:rsidR="00E134A9" w:rsidRPr="00392273" w:rsidRDefault="00397777">
      <w:pPr>
        <w:spacing w:after="0" w:line="276" w:lineRule="auto"/>
        <w:ind w:left="567" w:right="902"/>
        <w:jc w:val="both"/>
        <w:rPr>
          <w:rFonts w:ascii="Palatino Linotype" w:eastAsia="Palatino Linotype" w:hAnsi="Palatino Linotype" w:cs="Palatino Linotype"/>
          <w:i/>
        </w:rPr>
      </w:pPr>
      <w:r w:rsidRPr="00392273">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392273">
        <w:rPr>
          <w:rFonts w:ascii="Palatino Linotype" w:eastAsia="Palatino Linotype" w:hAnsi="Palatino Linotype" w:cs="Palatino Linotype"/>
          <w:i/>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392273">
        <w:rPr>
          <w:rFonts w:ascii="Palatino Linotype" w:eastAsia="Palatino Linotype" w:hAnsi="Palatino Linotype" w:cs="Palatino Linotype"/>
          <w:i/>
        </w:rPr>
        <w:t>promovente</w:t>
      </w:r>
      <w:proofErr w:type="spellEnd"/>
      <w:r w:rsidRPr="00392273">
        <w:rPr>
          <w:rFonts w:ascii="Palatino Linotype" w:eastAsia="Palatino Linotype" w:hAnsi="Palatino Linotype" w:cs="Palatino Linotype"/>
          <w:i/>
        </w:rPr>
        <w:t xml:space="preserv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E134A9" w:rsidRPr="00392273" w:rsidRDefault="00E134A9">
      <w:pPr>
        <w:spacing w:after="0" w:line="360" w:lineRule="auto"/>
        <w:ind w:left="567" w:right="902"/>
        <w:jc w:val="both"/>
        <w:rPr>
          <w:rFonts w:ascii="Palatino Linotype" w:eastAsia="Palatino Linotype" w:hAnsi="Palatino Linotype" w:cs="Palatino Linotype"/>
          <w:b/>
          <w:i/>
          <w:sz w:val="24"/>
          <w:szCs w:val="24"/>
        </w:rPr>
      </w:pP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Finalmente, se dejan a salvo los derechos de la persona Recurrente a fin de que de considerarlo pertinente, interponga una nueva solicitud de acceso ante el </w:t>
      </w:r>
      <w:r w:rsidRPr="00392273">
        <w:rPr>
          <w:rFonts w:ascii="Palatino Linotype" w:eastAsia="Palatino Linotype" w:hAnsi="Palatino Linotype" w:cs="Palatino Linotype"/>
          <w:b/>
          <w:sz w:val="24"/>
          <w:szCs w:val="24"/>
        </w:rPr>
        <w:t>Sujeto Obligado</w:t>
      </w:r>
      <w:r w:rsidRPr="00392273">
        <w:rPr>
          <w:rFonts w:ascii="Palatino Linotype" w:eastAsia="Palatino Linotype" w:hAnsi="Palatino Linotype" w:cs="Palatino Linotype"/>
          <w:sz w:val="24"/>
          <w:szCs w:val="24"/>
        </w:rPr>
        <w:t xml:space="preserve">, a fin de solicitar la información de su interés. </w:t>
      </w:r>
    </w:p>
    <w:p w:rsidR="00E134A9" w:rsidRPr="00392273" w:rsidRDefault="00E134A9">
      <w:pPr>
        <w:spacing w:after="0" w:line="360" w:lineRule="auto"/>
        <w:jc w:val="both"/>
        <w:rPr>
          <w:rFonts w:ascii="Palatino Linotype" w:eastAsia="Palatino Linotype" w:hAnsi="Palatino Linotype" w:cs="Palatino Linotype"/>
          <w:sz w:val="24"/>
          <w:szCs w:val="24"/>
        </w:rPr>
      </w:pP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t xml:space="preserve">Bajo ese tenor con fundamento en la segunda hipótesis de la fracción I del artículo 186, de la Ley de Transparencia y Acceso a la Información Pública del Estado de México y Municipios, se determina </w:t>
      </w:r>
      <w:r w:rsidRPr="00392273">
        <w:rPr>
          <w:rFonts w:ascii="Palatino Linotype" w:eastAsia="Palatino Linotype" w:hAnsi="Palatino Linotype" w:cs="Palatino Linotype"/>
          <w:b/>
          <w:sz w:val="24"/>
          <w:szCs w:val="24"/>
        </w:rPr>
        <w:t xml:space="preserve">SOBRESEER </w:t>
      </w:r>
      <w:r w:rsidRPr="00392273">
        <w:rPr>
          <w:rFonts w:ascii="Palatino Linotype" w:eastAsia="Palatino Linotype" w:hAnsi="Palatino Linotype" w:cs="Palatino Linotype"/>
          <w:sz w:val="24"/>
          <w:szCs w:val="24"/>
        </w:rPr>
        <w:t xml:space="preserve">el Recurso de Revisión </w:t>
      </w:r>
      <w:r w:rsidRPr="00392273">
        <w:rPr>
          <w:rFonts w:ascii="Palatino Linotype" w:eastAsia="Palatino Linotype" w:hAnsi="Palatino Linotype" w:cs="Palatino Linotype"/>
          <w:b/>
          <w:sz w:val="24"/>
          <w:szCs w:val="24"/>
        </w:rPr>
        <w:t>03444/INFOEM/IP/RR/2023</w:t>
      </w:r>
      <w:r w:rsidRPr="00392273">
        <w:rPr>
          <w:rFonts w:ascii="Palatino Linotype" w:eastAsia="Palatino Linotype" w:hAnsi="Palatino Linotype" w:cs="Palatino Linotype"/>
          <w:sz w:val="24"/>
          <w:szCs w:val="24"/>
        </w:rPr>
        <w:t>, que ha sido materia del presente fallo.</w:t>
      </w:r>
    </w:p>
    <w:p w:rsidR="00E134A9" w:rsidRPr="00392273" w:rsidRDefault="00E134A9">
      <w:pPr>
        <w:spacing w:after="0" w:line="360" w:lineRule="auto"/>
        <w:jc w:val="both"/>
        <w:rPr>
          <w:rFonts w:ascii="Palatino Linotype" w:eastAsia="Palatino Linotype" w:hAnsi="Palatino Linotype" w:cs="Palatino Linotype"/>
          <w:sz w:val="24"/>
          <w:szCs w:val="24"/>
        </w:rPr>
      </w:pPr>
    </w:p>
    <w:p w:rsidR="00E134A9" w:rsidRPr="00392273" w:rsidRDefault="00397777">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sz w:val="24"/>
          <w:szCs w:val="24"/>
        </w:rPr>
        <w:lastRenderedPageBreak/>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E134A9" w:rsidRPr="00392273" w:rsidRDefault="00E134A9">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p>
    <w:p w:rsidR="00E134A9" w:rsidRPr="00392273" w:rsidRDefault="00397777">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bookmarkStart w:id="2" w:name="_heading=h.1fob9te" w:colFirst="0" w:colLast="0"/>
      <w:bookmarkEnd w:id="2"/>
      <w:r w:rsidRPr="00392273">
        <w:rPr>
          <w:rFonts w:ascii="Palatino Linotype" w:eastAsia="Palatino Linotype" w:hAnsi="Palatino Linotype" w:cs="Palatino Linotype"/>
          <w:b/>
          <w:sz w:val="24"/>
          <w:szCs w:val="24"/>
        </w:rPr>
        <w:t>III. R E S U E L V E:</w:t>
      </w:r>
    </w:p>
    <w:p w:rsidR="00E134A9" w:rsidRPr="00392273" w:rsidRDefault="00E134A9">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rsidR="00E134A9" w:rsidRPr="00392273" w:rsidRDefault="00397777">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b/>
          <w:sz w:val="24"/>
          <w:szCs w:val="24"/>
        </w:rPr>
        <w:t xml:space="preserve">Primero. </w:t>
      </w:r>
      <w:r w:rsidRPr="00392273">
        <w:rPr>
          <w:rFonts w:ascii="Palatino Linotype" w:eastAsia="Palatino Linotype" w:hAnsi="Palatino Linotype" w:cs="Palatino Linotype"/>
          <w:sz w:val="24"/>
          <w:szCs w:val="24"/>
        </w:rPr>
        <w:t>Se</w:t>
      </w:r>
      <w:r w:rsidRPr="00392273">
        <w:rPr>
          <w:rFonts w:ascii="Palatino Linotype" w:eastAsia="Palatino Linotype" w:hAnsi="Palatino Linotype" w:cs="Palatino Linotype"/>
          <w:b/>
          <w:sz w:val="24"/>
          <w:szCs w:val="24"/>
        </w:rPr>
        <w:t xml:space="preserve"> SOBRESEE </w:t>
      </w:r>
      <w:r w:rsidRPr="00392273">
        <w:rPr>
          <w:rFonts w:ascii="Palatino Linotype" w:eastAsia="Palatino Linotype" w:hAnsi="Palatino Linotype" w:cs="Palatino Linotype"/>
          <w:sz w:val="24"/>
          <w:szCs w:val="24"/>
        </w:rPr>
        <w:t xml:space="preserve">el Recurso de Revisión número </w:t>
      </w:r>
      <w:r w:rsidRPr="00392273">
        <w:rPr>
          <w:rFonts w:ascii="Palatino Linotype" w:eastAsia="Palatino Linotype" w:hAnsi="Palatino Linotype" w:cs="Palatino Linotype"/>
          <w:b/>
          <w:sz w:val="24"/>
          <w:szCs w:val="24"/>
        </w:rPr>
        <w:t>03444/INFOEM/IP/RR/2023</w:t>
      </w:r>
      <w:r w:rsidRPr="00392273">
        <w:rPr>
          <w:rFonts w:ascii="Palatino Linotype" w:eastAsia="Palatino Linotype" w:hAnsi="Palatino Linotype" w:cs="Palatino Linotype"/>
          <w:sz w:val="24"/>
          <w:szCs w:val="24"/>
        </w:rPr>
        <w:t>, porque una vez admitido se actualizó la causal de improcedencia prevista en artículo 192 fracción IV, en relación con la fracción VI del artículo 191, de la Ley de Transparencia y Acceso a la Información Pública del Estado de México y Municipios, que lo dejó sin materia en términos del Considerando</w:t>
      </w:r>
      <w:r w:rsidRPr="00392273">
        <w:rPr>
          <w:rFonts w:ascii="Palatino Linotype" w:eastAsia="Palatino Linotype" w:hAnsi="Palatino Linotype" w:cs="Palatino Linotype"/>
          <w:b/>
          <w:sz w:val="24"/>
          <w:szCs w:val="24"/>
        </w:rPr>
        <w:t xml:space="preserve"> </w:t>
      </w:r>
      <w:r w:rsidRPr="00392273">
        <w:rPr>
          <w:rFonts w:ascii="Palatino Linotype" w:eastAsia="Palatino Linotype" w:hAnsi="Palatino Linotype" w:cs="Palatino Linotype"/>
          <w:sz w:val="24"/>
          <w:szCs w:val="24"/>
        </w:rPr>
        <w:t>Tercero</w:t>
      </w:r>
      <w:r w:rsidRPr="00392273">
        <w:rPr>
          <w:rFonts w:ascii="Palatino Linotype" w:eastAsia="Palatino Linotype" w:hAnsi="Palatino Linotype" w:cs="Palatino Linotype"/>
          <w:b/>
          <w:sz w:val="24"/>
          <w:szCs w:val="24"/>
        </w:rPr>
        <w:t xml:space="preserve"> d</w:t>
      </w:r>
      <w:r w:rsidRPr="00392273">
        <w:rPr>
          <w:rFonts w:ascii="Palatino Linotype" w:eastAsia="Palatino Linotype" w:hAnsi="Palatino Linotype" w:cs="Palatino Linotype"/>
          <w:sz w:val="24"/>
          <w:szCs w:val="24"/>
        </w:rPr>
        <w:t>e la presente resolución.</w:t>
      </w:r>
    </w:p>
    <w:p w:rsidR="00E134A9" w:rsidRPr="00392273" w:rsidRDefault="00E134A9">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sz w:val="24"/>
          <w:szCs w:val="24"/>
        </w:rPr>
      </w:pPr>
    </w:p>
    <w:p w:rsidR="00E134A9" w:rsidRPr="00392273" w:rsidRDefault="00397777">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b/>
          <w:sz w:val="24"/>
          <w:szCs w:val="24"/>
        </w:rPr>
        <w:t xml:space="preserve">Segundo. Notifíquese, </w:t>
      </w:r>
      <w:r w:rsidRPr="00392273">
        <w:rPr>
          <w:rFonts w:ascii="Palatino Linotype" w:eastAsia="Palatino Linotype" w:hAnsi="Palatino Linotype" w:cs="Palatino Linotype"/>
          <w:sz w:val="24"/>
          <w:szCs w:val="24"/>
        </w:rPr>
        <w:t>vía</w:t>
      </w:r>
      <w:r w:rsidRPr="00392273">
        <w:rPr>
          <w:rFonts w:ascii="Palatino Linotype" w:eastAsia="Palatino Linotype" w:hAnsi="Palatino Linotype" w:cs="Palatino Linotype"/>
          <w:b/>
          <w:sz w:val="24"/>
          <w:szCs w:val="24"/>
        </w:rPr>
        <w:t xml:space="preserve"> SAIMEX,</w:t>
      </w:r>
      <w:r w:rsidRPr="00392273">
        <w:rPr>
          <w:rFonts w:ascii="Palatino Linotype" w:eastAsia="Palatino Linotype" w:hAnsi="Palatino Linotype" w:cs="Palatino Linotype"/>
          <w:sz w:val="24"/>
          <w:szCs w:val="24"/>
        </w:rPr>
        <w:t xml:space="preserve"> al Titular de la Unidad de Transparencia del </w:t>
      </w:r>
      <w:r w:rsidRPr="00392273">
        <w:rPr>
          <w:rFonts w:ascii="Palatino Linotype" w:eastAsia="Palatino Linotype" w:hAnsi="Palatino Linotype" w:cs="Palatino Linotype"/>
          <w:b/>
          <w:sz w:val="24"/>
          <w:szCs w:val="24"/>
        </w:rPr>
        <w:t>Sujeto Obligado</w:t>
      </w:r>
      <w:r w:rsidRPr="00392273">
        <w:rPr>
          <w:rFonts w:ascii="Palatino Linotype" w:eastAsia="Palatino Linotype" w:hAnsi="Palatino Linotype" w:cs="Palatino Linotype"/>
          <w:sz w:val="24"/>
          <w:szCs w:val="24"/>
        </w:rPr>
        <w:t xml:space="preserve"> la presente resolución, para su conocimiento.</w:t>
      </w:r>
    </w:p>
    <w:p w:rsidR="00E134A9" w:rsidRPr="00392273" w:rsidRDefault="00E134A9">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sz w:val="24"/>
          <w:szCs w:val="24"/>
        </w:rPr>
      </w:pPr>
    </w:p>
    <w:p w:rsidR="00E134A9" w:rsidRPr="00392273" w:rsidRDefault="00397777">
      <w:pPr>
        <w:spacing w:after="0" w:line="360" w:lineRule="auto"/>
        <w:jc w:val="both"/>
        <w:rPr>
          <w:rFonts w:ascii="Palatino Linotype" w:eastAsia="Palatino Linotype" w:hAnsi="Palatino Linotype" w:cs="Palatino Linotype"/>
          <w:sz w:val="24"/>
          <w:szCs w:val="24"/>
        </w:rPr>
      </w:pPr>
      <w:r w:rsidRPr="00392273">
        <w:rPr>
          <w:rFonts w:ascii="Palatino Linotype" w:eastAsia="Palatino Linotype" w:hAnsi="Palatino Linotype" w:cs="Palatino Linotype"/>
          <w:b/>
          <w:sz w:val="24"/>
          <w:szCs w:val="24"/>
        </w:rPr>
        <w:t>Tercero. Notifíquese</w:t>
      </w:r>
      <w:r w:rsidRPr="00392273">
        <w:rPr>
          <w:rFonts w:ascii="Palatino Linotype" w:eastAsia="Palatino Linotype" w:hAnsi="Palatino Linotype" w:cs="Palatino Linotype"/>
          <w:sz w:val="24"/>
          <w:szCs w:val="24"/>
        </w:rPr>
        <w:t>,</w:t>
      </w:r>
      <w:r w:rsidRPr="00392273">
        <w:rPr>
          <w:rFonts w:ascii="Palatino Linotype" w:eastAsia="Palatino Linotype" w:hAnsi="Palatino Linotype" w:cs="Palatino Linotype"/>
          <w:b/>
          <w:sz w:val="24"/>
          <w:szCs w:val="24"/>
        </w:rPr>
        <w:t xml:space="preserve"> </w:t>
      </w:r>
      <w:r w:rsidRPr="00392273">
        <w:rPr>
          <w:rFonts w:ascii="Palatino Linotype" w:eastAsia="Palatino Linotype" w:hAnsi="Palatino Linotype" w:cs="Palatino Linotype"/>
          <w:sz w:val="24"/>
          <w:szCs w:val="24"/>
        </w:rPr>
        <w:t>vía</w:t>
      </w:r>
      <w:r w:rsidRPr="00392273">
        <w:rPr>
          <w:rFonts w:ascii="Palatino Linotype" w:eastAsia="Palatino Linotype" w:hAnsi="Palatino Linotype" w:cs="Palatino Linotype"/>
          <w:b/>
          <w:sz w:val="24"/>
          <w:szCs w:val="24"/>
        </w:rPr>
        <w:t xml:space="preserve"> SAIMEX</w:t>
      </w:r>
      <w:r w:rsidRPr="00392273">
        <w:rPr>
          <w:rFonts w:ascii="Palatino Linotype" w:eastAsia="Palatino Linotype" w:hAnsi="Palatino Linotype" w:cs="Palatino Linotype"/>
          <w:sz w:val="24"/>
          <w:szCs w:val="24"/>
        </w:rPr>
        <w:t>, a</w:t>
      </w:r>
      <w:r w:rsidRPr="00392273">
        <w:rPr>
          <w:rFonts w:ascii="Palatino Linotype" w:eastAsia="Palatino Linotype" w:hAnsi="Palatino Linotype" w:cs="Palatino Linotype"/>
          <w:b/>
          <w:sz w:val="24"/>
          <w:szCs w:val="24"/>
        </w:rPr>
        <w:t xml:space="preserve"> </w:t>
      </w:r>
      <w:r w:rsidRPr="00392273">
        <w:rPr>
          <w:rFonts w:ascii="Palatino Linotype" w:eastAsia="Palatino Linotype" w:hAnsi="Palatino Linotype" w:cs="Palatino Linotype"/>
          <w:sz w:val="24"/>
          <w:szCs w:val="24"/>
        </w:rPr>
        <w:t xml:space="preserve">la parte </w:t>
      </w:r>
      <w:r w:rsidRPr="00392273">
        <w:rPr>
          <w:rFonts w:ascii="Palatino Linotype" w:eastAsia="Palatino Linotype" w:hAnsi="Palatino Linotype" w:cs="Palatino Linotype"/>
          <w:b/>
          <w:sz w:val="24"/>
          <w:szCs w:val="24"/>
        </w:rPr>
        <w:t>Recurrente</w:t>
      </w:r>
      <w:r w:rsidRPr="00392273">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p>
    <w:p w:rsidR="00E134A9" w:rsidRPr="00392273" w:rsidRDefault="00397777">
      <w:pPr>
        <w:spacing w:after="0" w:line="360" w:lineRule="auto"/>
        <w:ind w:right="49"/>
        <w:jc w:val="both"/>
        <w:rPr>
          <w:rFonts w:ascii="Palatino Linotype" w:eastAsia="Palatino Linotype" w:hAnsi="Palatino Linotype" w:cs="Palatino Linotype"/>
          <w:sz w:val="24"/>
          <w:szCs w:val="24"/>
        </w:rPr>
      </w:pPr>
      <w:bookmarkStart w:id="3" w:name="_heading=h.gjdgxs" w:colFirst="0" w:colLast="0"/>
      <w:bookmarkEnd w:id="3"/>
      <w:r w:rsidRPr="00392273">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CINCO DE SEPTIEMBRE DE DOS MIL VEINTITRÉS, ANTE EL SECRETARIO TÉCNICO DEL PLENO ALEXIS TAPIA RAMÍREZ.</w:t>
      </w:r>
    </w:p>
    <w:p w:rsidR="00E134A9" w:rsidRPr="00392273" w:rsidRDefault="00E134A9">
      <w:pPr>
        <w:spacing w:after="0" w:line="360" w:lineRule="auto"/>
        <w:ind w:right="49"/>
        <w:jc w:val="both"/>
        <w:rPr>
          <w:rFonts w:ascii="Palatino Linotype" w:eastAsia="Palatino Linotype" w:hAnsi="Palatino Linotype" w:cs="Palatino Linotype"/>
          <w:sz w:val="24"/>
          <w:szCs w:val="24"/>
        </w:rPr>
      </w:pPr>
      <w:bookmarkStart w:id="4" w:name="_heading=h.8g2nv885ojg3" w:colFirst="0" w:colLast="0"/>
      <w:bookmarkEnd w:id="4"/>
    </w:p>
    <w:p w:rsidR="00E134A9" w:rsidRPr="00392273" w:rsidRDefault="00E134A9">
      <w:pPr>
        <w:spacing w:after="0" w:line="360" w:lineRule="auto"/>
        <w:ind w:right="49"/>
        <w:jc w:val="both"/>
        <w:rPr>
          <w:rFonts w:ascii="Palatino Linotype" w:eastAsia="Palatino Linotype" w:hAnsi="Palatino Linotype" w:cs="Palatino Linotype"/>
          <w:sz w:val="24"/>
          <w:szCs w:val="24"/>
        </w:rPr>
      </w:pPr>
      <w:bookmarkStart w:id="5" w:name="_heading=h.npp6wm7lxxva" w:colFirst="0" w:colLast="0"/>
      <w:bookmarkEnd w:id="5"/>
    </w:p>
    <w:p w:rsidR="00E134A9" w:rsidRPr="00392273" w:rsidRDefault="00E134A9">
      <w:pPr>
        <w:spacing w:after="0" w:line="360" w:lineRule="auto"/>
        <w:ind w:right="49"/>
        <w:jc w:val="both"/>
        <w:rPr>
          <w:rFonts w:ascii="Palatino Linotype" w:eastAsia="Palatino Linotype" w:hAnsi="Palatino Linotype" w:cs="Palatino Linotype"/>
          <w:sz w:val="24"/>
          <w:szCs w:val="24"/>
        </w:rPr>
      </w:pPr>
      <w:bookmarkStart w:id="6" w:name="_heading=h.1gk6d8fsh8r2" w:colFirst="0" w:colLast="0"/>
      <w:bookmarkEnd w:id="6"/>
    </w:p>
    <w:p w:rsidR="00E134A9" w:rsidRPr="00392273" w:rsidRDefault="00E134A9">
      <w:pPr>
        <w:spacing w:after="0" w:line="360" w:lineRule="auto"/>
        <w:ind w:right="49"/>
        <w:jc w:val="both"/>
        <w:rPr>
          <w:rFonts w:ascii="Palatino Linotype" w:eastAsia="Palatino Linotype" w:hAnsi="Palatino Linotype" w:cs="Palatino Linotype"/>
          <w:sz w:val="24"/>
          <w:szCs w:val="24"/>
        </w:rPr>
      </w:pPr>
      <w:bookmarkStart w:id="7" w:name="_heading=h.w2m8o32xgxv2" w:colFirst="0" w:colLast="0"/>
      <w:bookmarkEnd w:id="7"/>
    </w:p>
    <w:p w:rsidR="00E134A9" w:rsidRDefault="00E134A9">
      <w:pPr>
        <w:spacing w:after="0" w:line="360" w:lineRule="auto"/>
        <w:ind w:right="49"/>
        <w:jc w:val="both"/>
        <w:rPr>
          <w:rFonts w:ascii="Palatino Linotype" w:eastAsia="Palatino Linotype" w:hAnsi="Palatino Linotype" w:cs="Palatino Linotype"/>
          <w:sz w:val="28"/>
          <w:szCs w:val="28"/>
        </w:rPr>
      </w:pPr>
    </w:p>
    <w:p w:rsidR="00392273" w:rsidRDefault="00392273">
      <w:pPr>
        <w:spacing w:after="0" w:line="360" w:lineRule="auto"/>
        <w:ind w:right="49"/>
        <w:jc w:val="both"/>
        <w:rPr>
          <w:rFonts w:ascii="Palatino Linotype" w:eastAsia="Palatino Linotype" w:hAnsi="Palatino Linotype" w:cs="Palatino Linotype"/>
          <w:sz w:val="28"/>
          <w:szCs w:val="28"/>
        </w:rPr>
      </w:pPr>
    </w:p>
    <w:p w:rsidR="00392273" w:rsidRDefault="00392273">
      <w:pPr>
        <w:spacing w:after="0" w:line="360" w:lineRule="auto"/>
        <w:ind w:right="49"/>
        <w:jc w:val="both"/>
        <w:rPr>
          <w:rFonts w:ascii="Palatino Linotype" w:eastAsia="Palatino Linotype" w:hAnsi="Palatino Linotype" w:cs="Palatino Linotype"/>
          <w:sz w:val="28"/>
          <w:szCs w:val="28"/>
        </w:rPr>
      </w:pPr>
    </w:p>
    <w:p w:rsidR="00392273" w:rsidRDefault="00392273">
      <w:pPr>
        <w:spacing w:after="0" w:line="360" w:lineRule="auto"/>
        <w:ind w:right="49"/>
        <w:jc w:val="both"/>
        <w:rPr>
          <w:rFonts w:ascii="Palatino Linotype" w:eastAsia="Palatino Linotype" w:hAnsi="Palatino Linotype" w:cs="Palatino Linotype"/>
          <w:sz w:val="28"/>
          <w:szCs w:val="28"/>
        </w:rPr>
      </w:pPr>
    </w:p>
    <w:p w:rsidR="00392273" w:rsidRDefault="00392273">
      <w:pPr>
        <w:spacing w:after="0" w:line="360" w:lineRule="auto"/>
        <w:ind w:right="49"/>
        <w:jc w:val="both"/>
        <w:rPr>
          <w:rFonts w:ascii="Palatino Linotype" w:eastAsia="Palatino Linotype" w:hAnsi="Palatino Linotype" w:cs="Palatino Linotype"/>
          <w:sz w:val="28"/>
          <w:szCs w:val="28"/>
        </w:rPr>
      </w:pPr>
    </w:p>
    <w:p w:rsidR="00392273" w:rsidRDefault="00392273">
      <w:pPr>
        <w:spacing w:after="0" w:line="360" w:lineRule="auto"/>
        <w:ind w:right="49"/>
        <w:jc w:val="both"/>
        <w:rPr>
          <w:rFonts w:ascii="Palatino Linotype" w:eastAsia="Palatino Linotype" w:hAnsi="Palatino Linotype" w:cs="Palatino Linotype"/>
          <w:sz w:val="28"/>
          <w:szCs w:val="28"/>
        </w:rPr>
      </w:pPr>
    </w:p>
    <w:p w:rsidR="00392273" w:rsidRDefault="00392273">
      <w:pPr>
        <w:spacing w:after="0" w:line="360" w:lineRule="auto"/>
        <w:ind w:right="49"/>
        <w:jc w:val="both"/>
        <w:rPr>
          <w:rFonts w:ascii="Palatino Linotype" w:eastAsia="Palatino Linotype" w:hAnsi="Palatino Linotype" w:cs="Palatino Linotype"/>
          <w:sz w:val="28"/>
          <w:szCs w:val="28"/>
        </w:rPr>
      </w:pPr>
    </w:p>
    <w:p w:rsidR="00392273" w:rsidRDefault="00392273">
      <w:pPr>
        <w:spacing w:after="0" w:line="360" w:lineRule="auto"/>
        <w:ind w:right="49"/>
        <w:jc w:val="both"/>
        <w:rPr>
          <w:rFonts w:ascii="Palatino Linotype" w:eastAsia="Palatino Linotype" w:hAnsi="Palatino Linotype" w:cs="Palatino Linotype"/>
          <w:sz w:val="28"/>
          <w:szCs w:val="28"/>
        </w:rPr>
      </w:pPr>
    </w:p>
    <w:p w:rsidR="00392273" w:rsidRDefault="00392273">
      <w:pPr>
        <w:spacing w:after="0" w:line="360" w:lineRule="auto"/>
        <w:ind w:right="49"/>
        <w:jc w:val="both"/>
        <w:rPr>
          <w:rFonts w:ascii="Palatino Linotype" w:eastAsia="Palatino Linotype" w:hAnsi="Palatino Linotype" w:cs="Palatino Linotype"/>
          <w:sz w:val="28"/>
          <w:szCs w:val="28"/>
        </w:rPr>
      </w:pPr>
    </w:p>
    <w:p w:rsidR="00392273" w:rsidRPr="00392273" w:rsidRDefault="00392273">
      <w:pPr>
        <w:spacing w:after="0" w:line="360" w:lineRule="auto"/>
        <w:ind w:right="49"/>
        <w:jc w:val="both"/>
        <w:rPr>
          <w:rFonts w:ascii="Palatino Linotype" w:eastAsia="Palatino Linotype" w:hAnsi="Palatino Linotype" w:cs="Palatino Linotype"/>
          <w:sz w:val="28"/>
          <w:szCs w:val="28"/>
        </w:rPr>
      </w:pPr>
    </w:p>
    <w:sectPr w:rsidR="00392273" w:rsidRPr="00392273">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EF6" w:rsidRDefault="00665EF6">
      <w:pPr>
        <w:spacing w:after="0" w:line="240" w:lineRule="auto"/>
      </w:pPr>
      <w:r>
        <w:separator/>
      </w:r>
    </w:p>
  </w:endnote>
  <w:endnote w:type="continuationSeparator" w:id="0">
    <w:p w:rsidR="00665EF6" w:rsidRDefault="00665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4A9" w:rsidRDefault="0039777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73F29">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73F29">
      <w:rPr>
        <w:b/>
        <w:noProof/>
        <w:color w:val="000000"/>
        <w:sz w:val="24"/>
        <w:szCs w:val="24"/>
      </w:rPr>
      <w:t>21</w:t>
    </w:r>
    <w:r>
      <w:rPr>
        <w:b/>
        <w:color w:val="000000"/>
        <w:sz w:val="24"/>
        <w:szCs w:val="24"/>
      </w:rPr>
      <w:fldChar w:fldCharType="end"/>
    </w:r>
  </w:p>
  <w:p w:rsidR="00E134A9" w:rsidRDefault="00E134A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4A9" w:rsidRDefault="0039777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73F2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73F29">
      <w:rPr>
        <w:b/>
        <w:noProof/>
        <w:color w:val="000000"/>
        <w:sz w:val="24"/>
        <w:szCs w:val="24"/>
      </w:rPr>
      <w:t>21</w:t>
    </w:r>
    <w:r>
      <w:rPr>
        <w:b/>
        <w:color w:val="000000"/>
        <w:sz w:val="24"/>
        <w:szCs w:val="24"/>
      </w:rPr>
      <w:fldChar w:fldCharType="end"/>
    </w:r>
  </w:p>
  <w:p w:rsidR="00E134A9" w:rsidRDefault="00E134A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EF6" w:rsidRDefault="00665EF6">
      <w:pPr>
        <w:spacing w:after="0" w:line="240" w:lineRule="auto"/>
      </w:pPr>
      <w:r>
        <w:separator/>
      </w:r>
    </w:p>
  </w:footnote>
  <w:footnote w:type="continuationSeparator" w:id="0">
    <w:p w:rsidR="00665EF6" w:rsidRDefault="00665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4A9" w:rsidRDefault="00397777">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simplePos x="0" y="0"/>
          <wp:positionH relativeFrom="column">
            <wp:posOffset>-753109</wp:posOffset>
          </wp:positionH>
          <wp:positionV relativeFrom="paragraph">
            <wp:posOffset>-402589</wp:posOffset>
          </wp:positionV>
          <wp:extent cx="7809865" cy="1016571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E134A9">
      <w:tc>
        <w:tcPr>
          <w:tcW w:w="2551" w:type="dxa"/>
          <w:vAlign w:val="center"/>
        </w:tcPr>
        <w:p w:rsidR="00E134A9" w:rsidRDefault="003977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E134A9" w:rsidRDefault="003977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03444/INFOEM/IP/RR/2023</w:t>
          </w:r>
        </w:p>
      </w:tc>
    </w:tr>
    <w:tr w:rsidR="00E134A9">
      <w:trPr>
        <w:trHeight w:val="501"/>
      </w:trPr>
      <w:tc>
        <w:tcPr>
          <w:tcW w:w="2551" w:type="dxa"/>
          <w:vAlign w:val="center"/>
        </w:tcPr>
        <w:p w:rsidR="00E134A9" w:rsidRDefault="003977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E134A9" w:rsidRDefault="00E134A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E134A9" w:rsidRDefault="00397777">
          <w:pPr>
            <w:jc w:val="both"/>
            <w:rPr>
              <w:rFonts w:ascii="Palatino Linotype" w:eastAsia="Palatino Linotype" w:hAnsi="Palatino Linotype" w:cs="Palatino Linotype"/>
              <w:sz w:val="36"/>
              <w:szCs w:val="36"/>
            </w:rPr>
          </w:pPr>
          <w:r>
            <w:rPr>
              <w:rFonts w:ascii="Palatino Linotype" w:eastAsia="Palatino Linotype" w:hAnsi="Palatino Linotype" w:cs="Palatino Linotype"/>
              <w:b/>
            </w:rPr>
            <w:t>Ayuntamiento de Cuautitlán Izcalli</w:t>
          </w:r>
        </w:p>
      </w:tc>
    </w:tr>
    <w:tr w:rsidR="00E134A9">
      <w:tc>
        <w:tcPr>
          <w:tcW w:w="2551" w:type="dxa"/>
          <w:vAlign w:val="center"/>
        </w:tcPr>
        <w:p w:rsidR="00E134A9" w:rsidRDefault="003977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E134A9" w:rsidRDefault="003977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E134A9" w:rsidRDefault="00E134A9">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4A9" w:rsidRDefault="00397777">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simplePos x="0" y="0"/>
          <wp:positionH relativeFrom="column">
            <wp:posOffset>-761364</wp:posOffset>
          </wp:positionH>
          <wp:positionV relativeFrom="paragraph">
            <wp:posOffset>-166369</wp:posOffset>
          </wp:positionV>
          <wp:extent cx="7809876" cy="10165823"/>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E134A9">
      <w:tc>
        <w:tcPr>
          <w:tcW w:w="2551" w:type="dxa"/>
          <w:vAlign w:val="center"/>
        </w:tcPr>
        <w:p w:rsidR="00E134A9" w:rsidRDefault="003977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E134A9" w:rsidRDefault="003977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03444/INFOEM/IP/RR/2023</w:t>
          </w:r>
        </w:p>
      </w:tc>
    </w:tr>
    <w:tr w:rsidR="00E134A9">
      <w:tc>
        <w:tcPr>
          <w:tcW w:w="2551" w:type="dxa"/>
          <w:vAlign w:val="center"/>
        </w:tcPr>
        <w:p w:rsidR="00E134A9" w:rsidRDefault="003977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rsidR="00E134A9" w:rsidRDefault="00873F29" w:rsidP="00873F29">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 XXXXXXXXXX</w:t>
          </w:r>
        </w:p>
      </w:tc>
    </w:tr>
    <w:tr w:rsidR="00E134A9">
      <w:trPr>
        <w:trHeight w:val="55"/>
      </w:trPr>
      <w:tc>
        <w:tcPr>
          <w:tcW w:w="2551" w:type="dxa"/>
          <w:vAlign w:val="center"/>
        </w:tcPr>
        <w:p w:rsidR="00E134A9" w:rsidRDefault="003977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E134A9" w:rsidRDefault="00E134A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E134A9" w:rsidRDefault="00397777">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Cuautitlán Izcalli</w:t>
          </w:r>
        </w:p>
      </w:tc>
    </w:tr>
    <w:tr w:rsidR="00E134A9">
      <w:tc>
        <w:tcPr>
          <w:tcW w:w="2551" w:type="dxa"/>
          <w:vAlign w:val="center"/>
        </w:tcPr>
        <w:p w:rsidR="00E134A9" w:rsidRDefault="003977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E134A9" w:rsidRDefault="003977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E134A9" w:rsidRDefault="00397777">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C013C"/>
    <w:multiLevelType w:val="multilevel"/>
    <w:tmpl w:val="FA0AD5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56652F"/>
    <w:multiLevelType w:val="multilevel"/>
    <w:tmpl w:val="EEEEE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95A090F"/>
    <w:multiLevelType w:val="multilevel"/>
    <w:tmpl w:val="47C83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F100B8D"/>
    <w:multiLevelType w:val="multilevel"/>
    <w:tmpl w:val="87CAC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A9"/>
    <w:rsid w:val="00392273"/>
    <w:rsid w:val="00397777"/>
    <w:rsid w:val="003A37E2"/>
    <w:rsid w:val="00540D62"/>
    <w:rsid w:val="00665EF6"/>
    <w:rsid w:val="00873F29"/>
    <w:rsid w:val="00C17667"/>
    <w:rsid w:val="00E134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64A300-4269-4441-A01E-B265D153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normaltextrun">
    <w:name w:val="normaltextrun"/>
    <w:basedOn w:val="Fuentedeprrafopredeter"/>
    <w:rsid w:val="005D03B5"/>
  </w:style>
  <w:style w:type="character" w:customStyle="1" w:styleId="eop">
    <w:name w:val="eop"/>
    <w:basedOn w:val="Fuentedeprrafopredeter"/>
    <w:rsid w:val="005D03B5"/>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bCb+kBpBSNU7XimTkfZb7PgseQ==">CgMxLjAyCWguMzBqMHpsbDIJaC4xZm9iOXRlMghoLmdqZGd4czIOaC44ZzJudjg4NW9qZzMyDmgubnBwNndtN2x4eHZhMg5oLjFnazZkOGZzaDhyMjIOaC53Mm04bzMyeGd4djI4AHIhMUtOV204em5JcUhLYnRkXzhwUVJ3b1JkM1hsNW5yZkEz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4941</Words>
  <Characters>27177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2023-09-07T16:01:00Z</cp:lastPrinted>
  <dcterms:created xsi:type="dcterms:W3CDTF">2023-09-20T20:32:00Z</dcterms:created>
  <dcterms:modified xsi:type="dcterms:W3CDTF">2023-09-20T20:32:00Z</dcterms:modified>
</cp:coreProperties>
</file>