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42E075" w14:textId="75ABB469" w:rsidR="006D5803" w:rsidRPr="002D28D0" w:rsidRDefault="006D5803" w:rsidP="00E669E6">
      <w:pPr>
        <w:spacing w:before="240" w:line="360" w:lineRule="auto"/>
        <w:jc w:val="both"/>
        <w:rPr>
          <w:rFonts w:ascii="Palatino Linotype" w:eastAsia="Times New Roman" w:hAnsi="Palatino Linotype" w:cs="Arial"/>
          <w:color w:val="000000"/>
          <w:sz w:val="24"/>
          <w:szCs w:val="24"/>
          <w:lang w:eastAsia="es-MX"/>
        </w:rPr>
      </w:pPr>
      <w:r w:rsidRPr="002D28D0">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CF219D" w:rsidRPr="002D28D0">
        <w:rPr>
          <w:rFonts w:ascii="Palatino Linotype" w:eastAsia="Times New Roman" w:hAnsi="Palatino Linotype" w:cs="Arial"/>
          <w:color w:val="000000"/>
          <w:sz w:val="24"/>
          <w:szCs w:val="24"/>
          <w:lang w:eastAsia="es-MX"/>
        </w:rPr>
        <w:t xml:space="preserve">quince de marzo de dos mil veintitrés. </w:t>
      </w:r>
      <w:r w:rsidR="006A0422" w:rsidRPr="002D28D0">
        <w:rPr>
          <w:rFonts w:ascii="Palatino Linotype" w:eastAsia="Times New Roman" w:hAnsi="Palatino Linotype" w:cs="Arial"/>
          <w:color w:val="000000"/>
          <w:sz w:val="24"/>
          <w:szCs w:val="24"/>
          <w:lang w:eastAsia="es-MX"/>
        </w:rPr>
        <w:t xml:space="preserve"> </w:t>
      </w:r>
      <w:r w:rsidR="00590062" w:rsidRPr="002D28D0">
        <w:rPr>
          <w:rFonts w:ascii="Palatino Linotype" w:eastAsia="Times New Roman" w:hAnsi="Palatino Linotype" w:cs="Arial"/>
          <w:color w:val="000000"/>
          <w:sz w:val="24"/>
          <w:szCs w:val="24"/>
          <w:lang w:eastAsia="es-MX"/>
        </w:rPr>
        <w:t xml:space="preserve"> </w:t>
      </w:r>
      <w:r w:rsidR="00BA604C" w:rsidRPr="002D28D0">
        <w:rPr>
          <w:rFonts w:ascii="Palatino Linotype" w:eastAsia="Times New Roman" w:hAnsi="Palatino Linotype" w:cs="Arial"/>
          <w:color w:val="000000"/>
          <w:sz w:val="24"/>
          <w:szCs w:val="24"/>
          <w:lang w:eastAsia="es-MX"/>
        </w:rPr>
        <w:t xml:space="preserve"> </w:t>
      </w:r>
      <w:r w:rsidR="002167CF" w:rsidRPr="002D28D0">
        <w:rPr>
          <w:rFonts w:ascii="Palatino Linotype" w:eastAsia="Times New Roman" w:hAnsi="Palatino Linotype" w:cs="Arial"/>
          <w:color w:val="000000"/>
          <w:sz w:val="24"/>
          <w:szCs w:val="24"/>
          <w:lang w:eastAsia="es-MX"/>
        </w:rPr>
        <w:t xml:space="preserve"> </w:t>
      </w:r>
      <w:r w:rsidR="0034605F" w:rsidRPr="002D28D0">
        <w:rPr>
          <w:rFonts w:ascii="Palatino Linotype" w:eastAsia="Times New Roman" w:hAnsi="Palatino Linotype" w:cs="Arial"/>
          <w:color w:val="000000"/>
          <w:sz w:val="24"/>
          <w:szCs w:val="24"/>
          <w:lang w:eastAsia="es-MX"/>
        </w:rPr>
        <w:t xml:space="preserve"> </w:t>
      </w:r>
      <w:r w:rsidR="00116FA9" w:rsidRPr="002D28D0">
        <w:rPr>
          <w:rFonts w:ascii="Palatino Linotype" w:eastAsia="Times New Roman" w:hAnsi="Palatino Linotype" w:cs="Arial"/>
          <w:color w:val="000000"/>
          <w:sz w:val="24"/>
          <w:szCs w:val="24"/>
          <w:lang w:eastAsia="es-MX"/>
        </w:rPr>
        <w:t xml:space="preserve"> </w:t>
      </w:r>
      <w:r w:rsidR="007F0DF4" w:rsidRPr="002D28D0">
        <w:rPr>
          <w:rFonts w:ascii="Palatino Linotype" w:eastAsia="Times New Roman" w:hAnsi="Palatino Linotype" w:cs="Arial"/>
          <w:color w:val="000000"/>
          <w:sz w:val="24"/>
          <w:szCs w:val="24"/>
          <w:lang w:eastAsia="es-MX"/>
        </w:rPr>
        <w:t xml:space="preserve"> </w:t>
      </w:r>
      <w:r w:rsidR="00E138CC" w:rsidRPr="002D28D0">
        <w:rPr>
          <w:rFonts w:ascii="Palatino Linotype" w:eastAsia="Times New Roman" w:hAnsi="Palatino Linotype" w:cs="Arial"/>
          <w:color w:val="000000"/>
          <w:sz w:val="24"/>
          <w:szCs w:val="24"/>
          <w:lang w:eastAsia="es-MX"/>
        </w:rPr>
        <w:t xml:space="preserve"> </w:t>
      </w:r>
      <w:r w:rsidR="00E0171F" w:rsidRPr="002D28D0">
        <w:rPr>
          <w:rFonts w:ascii="Palatino Linotype" w:eastAsia="Times New Roman" w:hAnsi="Palatino Linotype" w:cs="Arial"/>
          <w:color w:val="000000"/>
          <w:sz w:val="24"/>
          <w:szCs w:val="24"/>
          <w:lang w:eastAsia="es-MX"/>
        </w:rPr>
        <w:t xml:space="preserve"> </w:t>
      </w:r>
      <w:r w:rsidRPr="002D28D0">
        <w:rPr>
          <w:rFonts w:ascii="Palatino Linotype" w:eastAsia="Times New Roman" w:hAnsi="Palatino Linotype" w:cs="Arial"/>
          <w:color w:val="000000"/>
          <w:sz w:val="24"/>
          <w:szCs w:val="24"/>
          <w:lang w:eastAsia="es-MX"/>
        </w:rPr>
        <w:t xml:space="preserve">    </w:t>
      </w:r>
    </w:p>
    <w:p w14:paraId="2B986395" w14:textId="7D983F0D" w:rsidR="00CF219D" w:rsidRPr="002D28D0" w:rsidRDefault="006D5803" w:rsidP="00E669E6">
      <w:pPr>
        <w:tabs>
          <w:tab w:val="left" w:pos="1701"/>
        </w:tabs>
        <w:spacing w:before="240" w:line="360" w:lineRule="auto"/>
        <w:jc w:val="both"/>
        <w:rPr>
          <w:rFonts w:ascii="Palatino Linotype" w:hAnsi="Palatino Linotype" w:cs="Arial"/>
          <w:sz w:val="24"/>
        </w:rPr>
      </w:pPr>
      <w:r w:rsidRPr="002D28D0">
        <w:rPr>
          <w:rFonts w:ascii="Palatino Linotype" w:hAnsi="Palatino Linotype" w:cs="Arial"/>
          <w:b/>
          <w:sz w:val="24"/>
        </w:rPr>
        <w:t>VISTO</w:t>
      </w:r>
      <w:r w:rsidRPr="002D28D0">
        <w:rPr>
          <w:rFonts w:ascii="Palatino Linotype" w:hAnsi="Palatino Linotype" w:cs="Arial"/>
          <w:sz w:val="24"/>
        </w:rPr>
        <w:t xml:space="preserve"> el expediente electrónico formado con motivo del recurso de revisión número </w:t>
      </w:r>
      <w:r w:rsidR="00CF219D" w:rsidRPr="002D28D0">
        <w:rPr>
          <w:rFonts w:ascii="Palatino Linotype" w:hAnsi="Palatino Linotype" w:cs="Arial"/>
          <w:b/>
          <w:bCs/>
          <w:sz w:val="24"/>
        </w:rPr>
        <w:t>00310</w:t>
      </w:r>
      <w:r w:rsidR="00FD6B57" w:rsidRPr="002D28D0">
        <w:rPr>
          <w:rFonts w:ascii="Palatino Linotype" w:hAnsi="Palatino Linotype" w:cs="Arial"/>
          <w:b/>
          <w:sz w:val="24"/>
        </w:rPr>
        <w:t>/INFOEM/IP/RR/202</w:t>
      </w:r>
      <w:r w:rsidR="00CF219D" w:rsidRPr="002D28D0">
        <w:rPr>
          <w:rFonts w:ascii="Palatino Linotype" w:hAnsi="Palatino Linotype" w:cs="Arial"/>
          <w:b/>
          <w:sz w:val="24"/>
        </w:rPr>
        <w:t>3</w:t>
      </w:r>
      <w:r w:rsidRPr="002D28D0">
        <w:rPr>
          <w:rFonts w:ascii="Palatino Linotype" w:hAnsi="Palatino Linotype" w:cs="Arial"/>
          <w:b/>
          <w:sz w:val="24"/>
        </w:rPr>
        <w:t xml:space="preserve">, </w:t>
      </w:r>
      <w:r w:rsidRPr="002D28D0">
        <w:rPr>
          <w:rFonts w:ascii="Palatino Linotype" w:hAnsi="Palatino Linotype" w:cs="Arial"/>
          <w:sz w:val="24"/>
        </w:rPr>
        <w:t xml:space="preserve">interpuesto por </w:t>
      </w:r>
      <w:r w:rsidR="00CF219D" w:rsidRPr="002D28D0">
        <w:rPr>
          <w:rFonts w:ascii="Palatino Linotype" w:hAnsi="Palatino Linotype" w:cs="Arial"/>
          <w:sz w:val="24"/>
        </w:rPr>
        <w:t xml:space="preserve">el </w:t>
      </w:r>
      <w:r w:rsidR="00CF219D" w:rsidRPr="002D28D0">
        <w:rPr>
          <w:rFonts w:ascii="Palatino Linotype" w:hAnsi="Palatino Linotype" w:cs="Arial"/>
          <w:b/>
          <w:bCs/>
          <w:sz w:val="24"/>
        </w:rPr>
        <w:t xml:space="preserve">C. </w:t>
      </w:r>
      <w:r w:rsidR="0052362C">
        <w:rPr>
          <w:rFonts w:ascii="Palatino Linotype" w:hAnsi="Palatino Linotype" w:cs="Arial"/>
          <w:b/>
          <w:bCs/>
          <w:sz w:val="24"/>
        </w:rPr>
        <w:t>XXXXXXXXXXXXXXXX</w:t>
      </w:r>
      <w:bookmarkStart w:id="0" w:name="_GoBack"/>
      <w:bookmarkEnd w:id="0"/>
      <w:r w:rsidR="00CF219D" w:rsidRPr="002D28D0">
        <w:rPr>
          <w:rFonts w:ascii="Palatino Linotype" w:hAnsi="Palatino Linotype" w:cs="Arial"/>
          <w:b/>
          <w:bCs/>
          <w:sz w:val="24"/>
        </w:rPr>
        <w:t xml:space="preserve">, </w:t>
      </w:r>
      <w:r w:rsidR="00CF219D" w:rsidRPr="002D28D0">
        <w:rPr>
          <w:rFonts w:ascii="Palatino Linotype" w:hAnsi="Palatino Linotype" w:cs="Arial"/>
          <w:sz w:val="24"/>
        </w:rPr>
        <w:t xml:space="preserve">en lo sucesivo </w:t>
      </w:r>
      <w:r w:rsidR="00CF219D" w:rsidRPr="002D28D0">
        <w:rPr>
          <w:rFonts w:ascii="Palatino Linotype" w:hAnsi="Palatino Linotype" w:cs="Arial"/>
          <w:b/>
          <w:bCs/>
          <w:sz w:val="24"/>
        </w:rPr>
        <w:t xml:space="preserve">El Recurrente, </w:t>
      </w:r>
      <w:r w:rsidR="00CF219D" w:rsidRPr="002D28D0">
        <w:rPr>
          <w:rFonts w:ascii="Palatino Linotype" w:hAnsi="Palatino Linotype" w:cs="Arial"/>
          <w:sz w:val="24"/>
        </w:rPr>
        <w:t xml:space="preserve">en contra de la respuesta del </w:t>
      </w:r>
      <w:r w:rsidR="00CF219D" w:rsidRPr="002D28D0">
        <w:rPr>
          <w:rFonts w:ascii="Palatino Linotype" w:hAnsi="Palatino Linotype" w:cs="Arial"/>
          <w:b/>
          <w:bCs/>
          <w:sz w:val="24"/>
        </w:rPr>
        <w:t xml:space="preserve">Ayuntamiento de Toluca, </w:t>
      </w:r>
      <w:r w:rsidR="00CF219D" w:rsidRPr="002D28D0">
        <w:rPr>
          <w:rFonts w:ascii="Palatino Linotype" w:hAnsi="Palatino Linotype" w:cs="Arial"/>
          <w:sz w:val="24"/>
        </w:rPr>
        <w:t xml:space="preserve">en lo sucesivo </w:t>
      </w:r>
      <w:r w:rsidR="00CF219D" w:rsidRPr="002D28D0">
        <w:rPr>
          <w:rFonts w:ascii="Palatino Linotype" w:hAnsi="Palatino Linotype" w:cs="Arial"/>
          <w:b/>
          <w:bCs/>
          <w:sz w:val="24"/>
        </w:rPr>
        <w:t xml:space="preserve">El Sujeto Obligado, </w:t>
      </w:r>
      <w:r w:rsidR="00CF219D" w:rsidRPr="002D28D0">
        <w:rPr>
          <w:rFonts w:ascii="Palatino Linotype" w:hAnsi="Palatino Linotype" w:cs="Arial"/>
          <w:sz w:val="24"/>
        </w:rPr>
        <w:t xml:space="preserve">se procede a dictar la presente resolución. </w:t>
      </w:r>
    </w:p>
    <w:p w14:paraId="46A0C412" w14:textId="77777777" w:rsidR="00CF219D" w:rsidRPr="002D28D0" w:rsidRDefault="00CF219D" w:rsidP="00E669E6">
      <w:pPr>
        <w:tabs>
          <w:tab w:val="left" w:pos="1701"/>
        </w:tabs>
        <w:spacing w:before="240" w:line="360" w:lineRule="auto"/>
        <w:jc w:val="both"/>
        <w:rPr>
          <w:rFonts w:ascii="Palatino Linotype" w:hAnsi="Palatino Linotype" w:cs="Arial"/>
          <w:sz w:val="24"/>
        </w:rPr>
      </w:pPr>
    </w:p>
    <w:p w14:paraId="22CF085C" w14:textId="6782B2BE" w:rsidR="006D5803" w:rsidRPr="002D28D0" w:rsidRDefault="006D5803" w:rsidP="006D5803">
      <w:pPr>
        <w:pStyle w:val="infoemcitas"/>
        <w:jc w:val="center"/>
        <w:rPr>
          <w:b/>
          <w:bCs/>
          <w:i w:val="0"/>
          <w:iCs/>
          <w:sz w:val="28"/>
          <w:szCs w:val="28"/>
        </w:rPr>
      </w:pPr>
      <w:r w:rsidRPr="002D28D0">
        <w:rPr>
          <w:b/>
          <w:bCs/>
          <w:i w:val="0"/>
          <w:iCs/>
          <w:sz w:val="28"/>
          <w:szCs w:val="28"/>
        </w:rPr>
        <w:t>A N T E C E D E N T E S   D E L   A S U N T O</w:t>
      </w:r>
    </w:p>
    <w:p w14:paraId="7B8068B7" w14:textId="77777777" w:rsidR="006D5803" w:rsidRPr="002D28D0" w:rsidRDefault="006D5803" w:rsidP="006D5803">
      <w:pPr>
        <w:spacing w:before="240" w:after="240" w:line="360" w:lineRule="auto"/>
        <w:jc w:val="both"/>
        <w:rPr>
          <w:rFonts w:ascii="Palatino Linotype" w:hAnsi="Palatino Linotype"/>
        </w:rPr>
      </w:pPr>
      <w:r w:rsidRPr="002D28D0">
        <w:rPr>
          <w:rFonts w:ascii="Palatino Linotype" w:hAnsi="Palatino Linotype" w:cs="Arial"/>
          <w:b/>
          <w:sz w:val="28"/>
        </w:rPr>
        <w:t>PRIMERO.</w:t>
      </w:r>
      <w:r w:rsidRPr="002D28D0">
        <w:rPr>
          <w:rFonts w:ascii="Palatino Linotype" w:hAnsi="Palatino Linotype" w:cs="Arial"/>
        </w:rPr>
        <w:t xml:space="preserve"> </w:t>
      </w:r>
      <w:r w:rsidRPr="002D28D0">
        <w:rPr>
          <w:rFonts w:ascii="Palatino Linotype" w:hAnsi="Palatino Linotype"/>
          <w:b/>
          <w:sz w:val="28"/>
          <w:szCs w:val="28"/>
        </w:rPr>
        <w:t>De la Solicitud de Información.</w:t>
      </w:r>
    </w:p>
    <w:p w14:paraId="0BA1314D" w14:textId="5C1EC744" w:rsidR="00CF219D" w:rsidRPr="002D28D0" w:rsidRDefault="0098057B" w:rsidP="00590467">
      <w:pPr>
        <w:spacing w:before="240" w:line="360" w:lineRule="auto"/>
        <w:jc w:val="both"/>
        <w:rPr>
          <w:rFonts w:ascii="Palatino Linotype" w:hAnsi="Palatino Linotype" w:cs="Arial"/>
          <w:sz w:val="24"/>
        </w:rPr>
      </w:pPr>
      <w:r w:rsidRPr="002D28D0">
        <w:rPr>
          <w:rFonts w:ascii="Palatino Linotype" w:hAnsi="Palatino Linotype" w:cs="Arial"/>
          <w:sz w:val="24"/>
        </w:rPr>
        <w:t>Con fecha</w:t>
      </w:r>
      <w:r w:rsidR="00116FA9" w:rsidRPr="002D28D0">
        <w:rPr>
          <w:rFonts w:ascii="Palatino Linotype" w:hAnsi="Palatino Linotype" w:cs="Arial"/>
          <w:sz w:val="24"/>
        </w:rPr>
        <w:t xml:space="preserve"> </w:t>
      </w:r>
      <w:r w:rsidR="00CF219D" w:rsidRPr="002D28D0">
        <w:rPr>
          <w:rFonts w:ascii="Palatino Linotype" w:hAnsi="Palatino Linotype" w:cs="Arial"/>
          <w:sz w:val="24"/>
        </w:rPr>
        <w:t xml:space="preserve">ocho de diciembre de dos mil veintidós, </w:t>
      </w:r>
      <w:r w:rsidR="00CF219D" w:rsidRPr="002D28D0">
        <w:rPr>
          <w:rFonts w:ascii="Palatino Linotype" w:hAnsi="Palatino Linotype" w:cs="Arial"/>
          <w:b/>
          <w:bCs/>
          <w:sz w:val="24"/>
        </w:rPr>
        <w:t xml:space="preserve">El Recurrente, </w:t>
      </w:r>
      <w:r w:rsidR="00CF219D" w:rsidRPr="002D28D0">
        <w:rPr>
          <w:rFonts w:ascii="Palatino Linotype" w:hAnsi="Palatino Linotype" w:cs="Arial"/>
          <w:sz w:val="24"/>
        </w:rPr>
        <w:t xml:space="preserve">presentó a través </w:t>
      </w:r>
      <w:proofErr w:type="gramStart"/>
      <w:r w:rsidR="00CF219D" w:rsidRPr="002D28D0">
        <w:rPr>
          <w:rFonts w:ascii="Palatino Linotype" w:hAnsi="Palatino Linotype" w:cs="Arial"/>
          <w:sz w:val="24"/>
        </w:rPr>
        <w:t>del</w:t>
      </w:r>
      <w:proofErr w:type="gramEnd"/>
      <w:r w:rsidR="00CF219D" w:rsidRPr="002D28D0">
        <w:rPr>
          <w:rFonts w:ascii="Palatino Linotype" w:hAnsi="Palatino Linotype" w:cs="Arial"/>
          <w:sz w:val="24"/>
        </w:rPr>
        <w:t xml:space="preserve"> Sistema de Acceso a la Información Mexiquense (</w:t>
      </w:r>
      <w:r w:rsidR="00CF219D" w:rsidRPr="002D28D0">
        <w:rPr>
          <w:rFonts w:ascii="Palatino Linotype" w:hAnsi="Palatino Linotype" w:cs="Arial"/>
          <w:b/>
          <w:sz w:val="24"/>
        </w:rPr>
        <w:t>SAIMEX)</w:t>
      </w:r>
      <w:r w:rsidR="00CF219D" w:rsidRPr="002D28D0">
        <w:rPr>
          <w:rFonts w:ascii="Palatino Linotype" w:hAnsi="Palatino Linotype" w:cs="Arial"/>
          <w:sz w:val="24"/>
        </w:rPr>
        <w:t xml:space="preserve"> ante </w:t>
      </w:r>
      <w:r w:rsidR="00CF219D" w:rsidRPr="002D28D0">
        <w:rPr>
          <w:rFonts w:ascii="Palatino Linotype" w:hAnsi="Palatino Linotype" w:cs="Arial"/>
          <w:b/>
          <w:sz w:val="24"/>
        </w:rPr>
        <w:t>El Sujeto Obligado</w:t>
      </w:r>
      <w:r w:rsidR="00CF219D" w:rsidRPr="002D28D0">
        <w:rPr>
          <w:rFonts w:ascii="Palatino Linotype" w:hAnsi="Palatino Linotype" w:cs="Arial"/>
          <w:sz w:val="24"/>
        </w:rPr>
        <w:t xml:space="preserve">, solicitud de acceso a la información pública, registrada bajo el número de expediente </w:t>
      </w:r>
      <w:r w:rsidR="00CF219D" w:rsidRPr="002D28D0">
        <w:rPr>
          <w:rFonts w:ascii="Palatino Linotype" w:hAnsi="Palatino Linotype" w:cs="Arial"/>
          <w:b/>
          <w:bCs/>
          <w:sz w:val="24"/>
        </w:rPr>
        <w:t xml:space="preserve">02835/TOLUCA/IP/2022, </w:t>
      </w:r>
      <w:r w:rsidR="00CF219D" w:rsidRPr="002D28D0">
        <w:rPr>
          <w:rFonts w:ascii="Palatino Linotype" w:hAnsi="Palatino Linotype" w:cs="Arial"/>
          <w:sz w:val="24"/>
        </w:rPr>
        <w:t>mediante la cual solicitó información en el tenor siguiente:</w:t>
      </w:r>
    </w:p>
    <w:p w14:paraId="23CF58FE" w14:textId="5DCDC04C" w:rsidR="00CF219D" w:rsidRPr="002D28D0" w:rsidRDefault="00CF219D" w:rsidP="00CF219D">
      <w:pPr>
        <w:pStyle w:val="Citas"/>
        <w:rPr>
          <w:b/>
          <w:bCs/>
          <w:sz w:val="24"/>
        </w:rPr>
      </w:pPr>
      <w:r w:rsidRPr="002D28D0">
        <w:t xml:space="preserve">“CON LA FINALIDAD DE TRANSPARENTAR CADA UNA DE LAS DESICIONES DEL AYUNTAMIENTO DE TOLUCA SE SOLICITA ACTA O DOCUMENTO QUE AMPARE LA ADJUDICACIÓN D ELA EMPRESA QUE ESTA A CARGO DE PARQUMETROS, EXPEDIENTE DE LA ADJUDICACION DE LA EMPRESA, COPIA DEL ACTA EN CABILDO EN </w:t>
      </w:r>
      <w:r w:rsidRPr="002D28D0">
        <w:lastRenderedPageBreak/>
        <w:t xml:space="preserve">DONDE SE APRUEBA LOS PARQUIMETROS DIGITALES, DOCUMENTOS QUE AMPARAN LAS MESAS DE TRABAJO PREVIO A LA IMPLEMENTACION DE LOS ARCHIVOS DIGITALES” </w:t>
      </w:r>
      <w:r w:rsidRPr="002D28D0">
        <w:rPr>
          <w:b/>
          <w:bCs/>
        </w:rPr>
        <w:t>(Sic)</w:t>
      </w:r>
    </w:p>
    <w:p w14:paraId="6C718A25" w14:textId="121FF926" w:rsidR="0098057B" w:rsidRPr="002D28D0" w:rsidRDefault="0098057B" w:rsidP="0098057B">
      <w:pPr>
        <w:spacing w:before="240" w:line="360" w:lineRule="auto"/>
        <w:jc w:val="both"/>
        <w:rPr>
          <w:rFonts w:ascii="Palatino Linotype" w:eastAsia="Times New Roman" w:hAnsi="Palatino Linotype" w:cs="Times New Roman"/>
          <w:sz w:val="24"/>
          <w:szCs w:val="24"/>
          <w:lang w:val="es-ES_tradnl" w:eastAsia="es-ES"/>
        </w:rPr>
      </w:pPr>
      <w:r w:rsidRPr="002D28D0">
        <w:rPr>
          <w:rFonts w:ascii="Palatino Linotype" w:eastAsia="Times New Roman" w:hAnsi="Palatino Linotype" w:cs="Times New Roman"/>
          <w:b/>
          <w:sz w:val="24"/>
          <w:szCs w:val="24"/>
          <w:lang w:val="es-ES_tradnl" w:eastAsia="es-ES"/>
        </w:rPr>
        <w:t>Modalidad de entrega:</w:t>
      </w:r>
      <w:r w:rsidRPr="002D28D0">
        <w:rPr>
          <w:rFonts w:ascii="Palatino Linotype" w:eastAsia="Times New Roman" w:hAnsi="Palatino Linotype" w:cs="Times New Roman"/>
          <w:sz w:val="24"/>
          <w:szCs w:val="24"/>
          <w:lang w:val="es-ES_tradnl" w:eastAsia="es-ES"/>
        </w:rPr>
        <w:t xml:space="preserve"> A través del SAIMEX</w:t>
      </w:r>
      <w:r w:rsidR="0034605F" w:rsidRPr="002D28D0">
        <w:rPr>
          <w:rFonts w:ascii="Palatino Linotype" w:eastAsia="Times New Roman" w:hAnsi="Palatino Linotype" w:cs="Times New Roman"/>
          <w:sz w:val="24"/>
          <w:szCs w:val="24"/>
          <w:lang w:val="es-ES_tradnl" w:eastAsia="es-ES"/>
        </w:rPr>
        <w:t>.</w:t>
      </w:r>
    </w:p>
    <w:p w14:paraId="6FA5F301" w14:textId="77777777" w:rsidR="00CE3FFC" w:rsidRPr="002D28D0" w:rsidRDefault="00CE3FFC" w:rsidP="0098057B">
      <w:pPr>
        <w:spacing w:before="240" w:line="360" w:lineRule="auto"/>
        <w:jc w:val="both"/>
        <w:rPr>
          <w:rFonts w:ascii="Palatino Linotype" w:eastAsia="Times New Roman" w:hAnsi="Palatino Linotype" w:cs="Times New Roman"/>
          <w:sz w:val="24"/>
          <w:szCs w:val="24"/>
          <w:lang w:val="es-ES_tradnl" w:eastAsia="es-ES"/>
        </w:rPr>
      </w:pPr>
    </w:p>
    <w:p w14:paraId="3D1C9994" w14:textId="4BE4ED3F" w:rsidR="00073E92" w:rsidRPr="002D28D0" w:rsidRDefault="0098057B" w:rsidP="00073E92">
      <w:pPr>
        <w:spacing w:before="240" w:line="360" w:lineRule="auto"/>
        <w:jc w:val="both"/>
        <w:rPr>
          <w:rFonts w:ascii="Palatino Linotype" w:hAnsi="Palatino Linotype" w:cs="Arial"/>
          <w:b/>
          <w:sz w:val="28"/>
        </w:rPr>
      </w:pPr>
      <w:r w:rsidRPr="002D28D0">
        <w:rPr>
          <w:rFonts w:ascii="Palatino Linotype" w:hAnsi="Palatino Linotype" w:cs="Arial"/>
          <w:b/>
          <w:sz w:val="28"/>
        </w:rPr>
        <w:t>SEGUNDO</w:t>
      </w:r>
      <w:r w:rsidR="00073E92" w:rsidRPr="002D28D0">
        <w:rPr>
          <w:rFonts w:ascii="Palatino Linotype" w:hAnsi="Palatino Linotype" w:cs="Arial"/>
          <w:b/>
          <w:sz w:val="28"/>
        </w:rPr>
        <w:t xml:space="preserve">. </w:t>
      </w:r>
      <w:r w:rsidR="00073E92" w:rsidRPr="002D28D0">
        <w:rPr>
          <w:rFonts w:ascii="Palatino Linotype" w:hAnsi="Palatino Linotype" w:cs="Arial"/>
          <w:b/>
          <w:sz w:val="28"/>
          <w:szCs w:val="20"/>
        </w:rPr>
        <w:t>De la respuesta del Sujeto Obligado.</w:t>
      </w:r>
    </w:p>
    <w:p w14:paraId="5E0E7F5B" w14:textId="5CEC6699" w:rsidR="00CF219D" w:rsidRPr="002D28D0" w:rsidRDefault="00073E92" w:rsidP="00073E92">
      <w:pPr>
        <w:spacing w:before="240" w:line="360" w:lineRule="auto"/>
        <w:jc w:val="both"/>
        <w:rPr>
          <w:rFonts w:ascii="Palatino Linotype" w:hAnsi="Palatino Linotype" w:cs="Arial"/>
          <w:sz w:val="24"/>
          <w:szCs w:val="24"/>
        </w:rPr>
      </w:pPr>
      <w:r w:rsidRPr="002D28D0">
        <w:rPr>
          <w:rFonts w:ascii="Palatino Linotype" w:hAnsi="Palatino Linotype" w:cs="Arial"/>
          <w:sz w:val="24"/>
          <w:szCs w:val="24"/>
        </w:rPr>
        <w:t xml:space="preserve">En el expediente electrónico </w:t>
      </w:r>
      <w:r w:rsidRPr="002D28D0">
        <w:rPr>
          <w:rFonts w:ascii="Palatino Linotype" w:hAnsi="Palatino Linotype" w:cs="Arial"/>
          <w:b/>
          <w:sz w:val="24"/>
          <w:szCs w:val="24"/>
        </w:rPr>
        <w:t xml:space="preserve">SAIMEX, </w:t>
      </w:r>
      <w:r w:rsidRPr="002D28D0">
        <w:rPr>
          <w:rFonts w:ascii="Palatino Linotype" w:hAnsi="Palatino Linotype" w:cs="Arial"/>
          <w:sz w:val="24"/>
          <w:szCs w:val="24"/>
        </w:rPr>
        <w:t xml:space="preserve">se aprecia que el </w:t>
      </w:r>
      <w:r w:rsidR="00CF219D" w:rsidRPr="002D28D0">
        <w:rPr>
          <w:rFonts w:ascii="Palatino Linotype" w:hAnsi="Palatino Linotype" w:cs="Arial"/>
          <w:sz w:val="24"/>
          <w:szCs w:val="24"/>
        </w:rPr>
        <w:t xml:space="preserve">dieciséis de enero de dos mil veintitrés, </w:t>
      </w:r>
      <w:r w:rsidR="00CF219D" w:rsidRPr="002D28D0">
        <w:rPr>
          <w:rFonts w:ascii="Palatino Linotype" w:hAnsi="Palatino Linotype" w:cs="Arial"/>
          <w:b/>
          <w:bCs/>
          <w:sz w:val="24"/>
          <w:szCs w:val="24"/>
        </w:rPr>
        <w:t xml:space="preserve">El Sujeto Obligado </w:t>
      </w:r>
      <w:r w:rsidR="00CF219D" w:rsidRPr="002D28D0">
        <w:rPr>
          <w:rFonts w:ascii="Palatino Linotype" w:hAnsi="Palatino Linotype" w:cs="Arial"/>
          <w:sz w:val="24"/>
          <w:szCs w:val="24"/>
        </w:rPr>
        <w:t>dio respuesta a la solicitud de información en los siguientes términos:</w:t>
      </w:r>
    </w:p>
    <w:p w14:paraId="7428F3B0" w14:textId="0EA8AD61" w:rsidR="00CF219D" w:rsidRPr="002D28D0" w:rsidRDefault="00CF219D" w:rsidP="00CF219D">
      <w:pPr>
        <w:pStyle w:val="Citas"/>
      </w:pPr>
      <w:r w:rsidRPr="002D28D0">
        <w:t>“En respuesta a la solicitud recibida, nos permitimos hacer de su conocimiento que con fundamento en el artículo 53, Fracciones: II, V y VI de la Ley de Transparencia y Acceso a la Información Pública del Estado de México y Municipios, le contestamos que:</w:t>
      </w:r>
    </w:p>
    <w:p w14:paraId="781019E8" w14:textId="4A968D07" w:rsidR="00CF219D" w:rsidRPr="002D28D0" w:rsidRDefault="00CF219D" w:rsidP="00CF219D">
      <w:pPr>
        <w:pStyle w:val="Citas"/>
        <w:rPr>
          <w:b/>
          <w:bCs/>
        </w:rPr>
      </w:pPr>
      <w:r w:rsidRPr="002D28D0">
        <w:t xml:space="preserve">En atención a la solicitud con folio 02835/TOLUCA/IP/2022, me permito adjuntar al presente la respuesta correspondiente. Sin más por el momento, reciba un saludo” </w:t>
      </w:r>
      <w:r w:rsidRPr="002D28D0">
        <w:rPr>
          <w:b/>
          <w:bCs/>
        </w:rPr>
        <w:t>(Sic)</w:t>
      </w:r>
    </w:p>
    <w:p w14:paraId="0E27F6A7" w14:textId="1AE782EC" w:rsidR="00CF219D" w:rsidRPr="002D28D0" w:rsidRDefault="00CF219D" w:rsidP="00073E92">
      <w:pPr>
        <w:spacing w:before="240" w:line="360" w:lineRule="auto"/>
        <w:jc w:val="both"/>
        <w:rPr>
          <w:rFonts w:ascii="Palatino Linotype" w:hAnsi="Palatino Linotype" w:cs="Arial"/>
          <w:sz w:val="24"/>
          <w:szCs w:val="24"/>
        </w:rPr>
      </w:pPr>
      <w:r w:rsidRPr="002D28D0">
        <w:rPr>
          <w:rFonts w:ascii="Palatino Linotype" w:hAnsi="Palatino Linotype" w:cs="Arial"/>
          <w:sz w:val="24"/>
          <w:szCs w:val="24"/>
        </w:rPr>
        <w:t xml:space="preserve">Adicionalmente, </w:t>
      </w:r>
      <w:r w:rsidRPr="002D28D0">
        <w:rPr>
          <w:rFonts w:ascii="Palatino Linotype" w:hAnsi="Palatino Linotype" w:cs="Arial"/>
          <w:b/>
          <w:bCs/>
          <w:sz w:val="24"/>
          <w:szCs w:val="24"/>
        </w:rPr>
        <w:t xml:space="preserve">El Sujeto Obligado </w:t>
      </w:r>
      <w:r w:rsidRPr="002D28D0">
        <w:rPr>
          <w:rFonts w:ascii="Palatino Linotype" w:hAnsi="Palatino Linotype" w:cs="Arial"/>
          <w:sz w:val="24"/>
          <w:szCs w:val="24"/>
        </w:rPr>
        <w:t xml:space="preserve">adjuntó los documentos electrónicos </w:t>
      </w:r>
      <w:r w:rsidRPr="002D28D0">
        <w:rPr>
          <w:rFonts w:ascii="Palatino Linotype" w:hAnsi="Palatino Linotype" w:cs="Arial"/>
          <w:b/>
          <w:bCs/>
          <w:sz w:val="24"/>
          <w:szCs w:val="24"/>
        </w:rPr>
        <w:t xml:space="preserve">“Respuesta 2835.pdf” </w:t>
      </w:r>
      <w:r w:rsidRPr="002D28D0">
        <w:rPr>
          <w:rFonts w:ascii="Palatino Linotype" w:hAnsi="Palatino Linotype" w:cs="Arial"/>
          <w:sz w:val="24"/>
          <w:szCs w:val="24"/>
        </w:rPr>
        <w:t xml:space="preserve">y </w:t>
      </w:r>
      <w:r w:rsidRPr="002D28D0">
        <w:rPr>
          <w:rFonts w:ascii="Palatino Linotype" w:hAnsi="Palatino Linotype" w:cs="Arial"/>
          <w:b/>
          <w:bCs/>
          <w:sz w:val="24"/>
          <w:szCs w:val="24"/>
        </w:rPr>
        <w:t xml:space="preserve">“Acta 784.pdf”, </w:t>
      </w:r>
      <w:r w:rsidRPr="002D28D0">
        <w:rPr>
          <w:rFonts w:ascii="Palatino Linotype" w:hAnsi="Palatino Linotype" w:cs="Arial"/>
          <w:sz w:val="24"/>
          <w:szCs w:val="24"/>
        </w:rPr>
        <w:t xml:space="preserve">cuyo contenido será materia de estudio en el considerando respectivo. </w:t>
      </w:r>
    </w:p>
    <w:p w14:paraId="7B33E950" w14:textId="77777777" w:rsidR="00CF219D" w:rsidRPr="002D28D0" w:rsidRDefault="00CF219D" w:rsidP="00073E92">
      <w:pPr>
        <w:spacing w:before="240" w:line="360" w:lineRule="auto"/>
        <w:jc w:val="both"/>
        <w:rPr>
          <w:rFonts w:ascii="Palatino Linotype" w:hAnsi="Palatino Linotype" w:cs="Arial"/>
          <w:sz w:val="24"/>
          <w:szCs w:val="24"/>
        </w:rPr>
      </w:pPr>
    </w:p>
    <w:p w14:paraId="067753A9" w14:textId="7CBC783C" w:rsidR="00073E92" w:rsidRPr="002D28D0" w:rsidRDefault="0098057B" w:rsidP="00073E92">
      <w:pPr>
        <w:spacing w:before="240" w:line="360" w:lineRule="auto"/>
        <w:jc w:val="both"/>
        <w:rPr>
          <w:rFonts w:ascii="Palatino Linotype" w:hAnsi="Palatino Linotype" w:cs="Arial"/>
          <w:b/>
          <w:sz w:val="28"/>
        </w:rPr>
      </w:pPr>
      <w:r w:rsidRPr="002D28D0">
        <w:rPr>
          <w:rFonts w:ascii="Palatino Linotype" w:hAnsi="Palatino Linotype" w:cs="Arial"/>
          <w:b/>
          <w:sz w:val="28"/>
        </w:rPr>
        <w:lastRenderedPageBreak/>
        <w:t>TERCERO</w:t>
      </w:r>
      <w:r w:rsidR="00073E92" w:rsidRPr="002D28D0">
        <w:rPr>
          <w:rFonts w:ascii="Palatino Linotype" w:hAnsi="Palatino Linotype" w:cs="Arial"/>
          <w:b/>
          <w:sz w:val="28"/>
        </w:rPr>
        <w:t xml:space="preserve">. </w:t>
      </w:r>
      <w:r w:rsidR="00073E92" w:rsidRPr="002D28D0">
        <w:rPr>
          <w:rFonts w:ascii="Palatino Linotype" w:hAnsi="Palatino Linotype"/>
          <w:b/>
          <w:sz w:val="28"/>
        </w:rPr>
        <w:t>Del recurso de revisión.</w:t>
      </w:r>
    </w:p>
    <w:p w14:paraId="270F6572" w14:textId="140CC505" w:rsidR="00CF219D" w:rsidRPr="002D28D0" w:rsidRDefault="00073E92" w:rsidP="00073E92">
      <w:pPr>
        <w:spacing w:before="240" w:line="360" w:lineRule="auto"/>
        <w:jc w:val="both"/>
        <w:rPr>
          <w:rFonts w:ascii="Palatino Linotype" w:hAnsi="Palatino Linotype" w:cs="Arial"/>
          <w:sz w:val="24"/>
          <w:szCs w:val="24"/>
        </w:rPr>
      </w:pPr>
      <w:r w:rsidRPr="002D28D0">
        <w:rPr>
          <w:rFonts w:ascii="Palatino Linotype" w:hAnsi="Palatino Linotype" w:cs="Arial"/>
          <w:sz w:val="24"/>
          <w:szCs w:val="24"/>
        </w:rPr>
        <w:t xml:space="preserve">Inconforme con la respuesta por </w:t>
      </w:r>
      <w:r w:rsidRPr="002D28D0">
        <w:rPr>
          <w:rFonts w:ascii="Palatino Linotype" w:hAnsi="Palatino Linotype" w:cs="Arial"/>
          <w:b/>
          <w:sz w:val="24"/>
          <w:szCs w:val="24"/>
        </w:rPr>
        <w:t xml:space="preserve">El Sujeto Obligado, </w:t>
      </w:r>
      <w:r w:rsidR="003820FC" w:rsidRPr="002D28D0">
        <w:rPr>
          <w:rFonts w:ascii="Palatino Linotype" w:hAnsi="Palatino Linotype" w:cs="Arial"/>
          <w:b/>
          <w:sz w:val="24"/>
          <w:szCs w:val="24"/>
        </w:rPr>
        <w:t>El</w:t>
      </w:r>
      <w:r w:rsidRPr="002D28D0">
        <w:rPr>
          <w:rFonts w:ascii="Palatino Linotype" w:hAnsi="Palatino Linotype" w:cs="Arial"/>
          <w:b/>
          <w:sz w:val="24"/>
          <w:szCs w:val="24"/>
        </w:rPr>
        <w:t xml:space="preserve"> Recurrente </w:t>
      </w:r>
      <w:r w:rsidRPr="002D28D0">
        <w:rPr>
          <w:rFonts w:ascii="Palatino Linotype" w:hAnsi="Palatino Linotype" w:cs="Arial"/>
          <w:sz w:val="24"/>
          <w:szCs w:val="24"/>
        </w:rPr>
        <w:t>interpuso recurso de revisión, en fecha</w:t>
      </w:r>
      <w:r w:rsidR="00FF3A25" w:rsidRPr="002D28D0">
        <w:rPr>
          <w:rFonts w:ascii="Palatino Linotype" w:hAnsi="Palatino Linotype" w:cs="Arial"/>
          <w:sz w:val="24"/>
          <w:szCs w:val="24"/>
        </w:rPr>
        <w:t xml:space="preserve"> </w:t>
      </w:r>
      <w:r w:rsidR="00CF219D" w:rsidRPr="002D28D0">
        <w:rPr>
          <w:rFonts w:ascii="Palatino Linotype" w:hAnsi="Palatino Linotype" w:cs="Arial"/>
          <w:sz w:val="24"/>
          <w:szCs w:val="24"/>
        </w:rPr>
        <w:t xml:space="preserve">diecisiete de enero del presente, el cual fue registrado en el sistema electrónico con el expediente </w:t>
      </w:r>
      <w:r w:rsidR="00CF219D" w:rsidRPr="002D28D0">
        <w:rPr>
          <w:rFonts w:ascii="Palatino Linotype" w:hAnsi="Palatino Linotype" w:cs="Arial"/>
          <w:b/>
          <w:bCs/>
          <w:sz w:val="24"/>
          <w:szCs w:val="24"/>
        </w:rPr>
        <w:t xml:space="preserve">00310/INFOEM/IP/RR/2023, </w:t>
      </w:r>
      <w:r w:rsidR="00CF219D" w:rsidRPr="002D28D0">
        <w:rPr>
          <w:rFonts w:ascii="Palatino Linotype" w:hAnsi="Palatino Linotype" w:cs="Arial"/>
          <w:sz w:val="24"/>
          <w:szCs w:val="24"/>
        </w:rPr>
        <w:t>en el cual arguye las siguientes manifestaciones:</w:t>
      </w:r>
    </w:p>
    <w:p w14:paraId="1F46F7F6" w14:textId="77777777" w:rsidR="0034605F" w:rsidRPr="002D28D0" w:rsidRDefault="0034605F" w:rsidP="0034605F">
      <w:pPr>
        <w:spacing w:before="240" w:line="360" w:lineRule="auto"/>
        <w:jc w:val="both"/>
        <w:rPr>
          <w:rFonts w:ascii="Palatino Linotype" w:hAnsi="Palatino Linotype" w:cs="Arial"/>
          <w:b/>
          <w:sz w:val="24"/>
        </w:rPr>
      </w:pPr>
      <w:r w:rsidRPr="002D28D0">
        <w:rPr>
          <w:rFonts w:ascii="Palatino Linotype" w:hAnsi="Palatino Linotype" w:cs="Arial"/>
          <w:b/>
          <w:sz w:val="24"/>
        </w:rPr>
        <w:t>Acto Impugnado:</w:t>
      </w:r>
    </w:p>
    <w:p w14:paraId="00A34840" w14:textId="785FBF03" w:rsidR="0034605F" w:rsidRPr="002D28D0" w:rsidRDefault="0034605F" w:rsidP="0034605F">
      <w:pPr>
        <w:pStyle w:val="Citas"/>
        <w:rPr>
          <w:b/>
        </w:rPr>
      </w:pPr>
      <w:r w:rsidRPr="002D28D0">
        <w:t>“</w:t>
      </w:r>
      <w:r w:rsidR="00CF219D" w:rsidRPr="002D28D0">
        <w:t>EL ACTO INICIAL CONSISTIA EN LO SIGUIENTE: "... CON LA FINALIDAD DE TRANSPARENTAR CADA UNA DE LAS DESICIONES DEL AYUNTAMIENTO DE TOLUCA SE SOLICITA ACTA O DOCUMENTO QUE AMPARE LA ADJUDICACIÓN D ELA EMPRESA QUE ESTA A CARGO DE PARQUMETROS, EXPEDIENTE DE LA ADJUDICACION DE LA EMPRESA, COPIA DEL ACTA EN CABILDO EN DONDE SE APRUEBA LOS PARQUIMETROS DIGITALES, DOCUMENTOS QUE AMPARAN LAS MESAS DE TRABAJO PREVIO A LA IMPLEMENTACION DE LOS ARCHIVOS DIGITALES."</w:t>
      </w:r>
      <w:r w:rsidRPr="002D28D0">
        <w:t xml:space="preserve">” </w:t>
      </w:r>
      <w:r w:rsidRPr="002D28D0">
        <w:rPr>
          <w:b/>
        </w:rPr>
        <w:t xml:space="preserve">[Sic] </w:t>
      </w:r>
    </w:p>
    <w:p w14:paraId="05FDB6B9" w14:textId="77777777" w:rsidR="0034605F" w:rsidRPr="002D28D0" w:rsidRDefault="0034605F" w:rsidP="0034605F">
      <w:pPr>
        <w:spacing w:before="240" w:line="360" w:lineRule="auto"/>
        <w:jc w:val="both"/>
        <w:rPr>
          <w:rFonts w:ascii="Palatino Linotype" w:hAnsi="Palatino Linotype" w:cs="Arial"/>
          <w:b/>
          <w:sz w:val="24"/>
        </w:rPr>
      </w:pPr>
      <w:r w:rsidRPr="002D28D0">
        <w:rPr>
          <w:rFonts w:ascii="Palatino Linotype" w:hAnsi="Palatino Linotype" w:cs="Arial"/>
          <w:b/>
          <w:sz w:val="24"/>
        </w:rPr>
        <w:t>Razones o motivos de la inconformidad:</w:t>
      </w:r>
    </w:p>
    <w:p w14:paraId="71577896" w14:textId="6F74CF81" w:rsidR="0034605F" w:rsidRPr="002D28D0" w:rsidRDefault="0034605F" w:rsidP="0034605F">
      <w:pPr>
        <w:pStyle w:val="Citas"/>
        <w:rPr>
          <w:b/>
        </w:rPr>
      </w:pPr>
      <w:r w:rsidRPr="002D28D0">
        <w:t>“</w:t>
      </w:r>
      <w:r w:rsidR="00CF219D" w:rsidRPr="002D28D0">
        <w:t xml:space="preserve">EN SU RESPUESTA LA COMISION DE TRANSPARENCIA LA CLASIFICA COMO INFORMACIÓN CONFIDENCIAL, SIN EMBARGO SE OBSERVA SU IMPRPCEDENCIA A LO SIGUIENTE: PRIMERO: El Artículo 37 DE LA LEY DE CONTRATACIÓN PÚBLICA ESTABLECE LO SIGUIENTE.- El comité de adquisiciones y servicios realizará el análisis y evaluación de las propuestas, mediante la verificación del cumplimiento de la información y de la documentación solicitada en las bases de la licitación y conforme al criterio establecidas en las </w:t>
      </w:r>
      <w:r w:rsidR="00CF219D" w:rsidRPr="002D28D0">
        <w:lastRenderedPageBreak/>
        <w:t xml:space="preserve">mismas. Una vez efectuado el análisis cualitativo de las propuestas presentadas, emitirá el dictamen de adjudicación a favor del oferente u oferentes que reúnan los requisitos administrativos, financieros, legales y técnicos requeridos por la convocante; garantizando en todo momento la obtención de las mejores condiciones en cuanto a precio, calidad, financiamiento, oportunidad y demás circunstancias . SEGUNDO: EL ARTÍCULO 39 DE LA LEY EN COMENTO ESTABLECE QUE: Artículo 39.- Para cada uno de los actos del procedimiento adquisitivo se levantará el acta respectiva, la cual será firmada por los participantes, sin que la falta de firma de alguno de ellos invalide su contenido y efectos. </w:t>
      </w:r>
      <w:proofErr w:type="gramStart"/>
      <w:r w:rsidR="00CF219D" w:rsidRPr="002D28D0">
        <w:t>pertinentes</w:t>
      </w:r>
      <w:proofErr w:type="gramEnd"/>
      <w:r w:rsidR="00CF219D" w:rsidRPr="002D28D0">
        <w:t xml:space="preserve">. TERCERO: EL ARTÍCULO 85 DEL REGLAMENTO DE LA LEY DE CONTRATACIÓN PÚBLICA DEL ESTADO DE MÉXICO Y MUNICIPIOS ENUNCIA QUE: Al acto de presentación y apertura de propuestas, podrá asistir cualquier persona en calidad de observador sin tener derecho a voz y sólo las personas que hayan adquirido bases podrán participar de manera activa en dicho procedimiento. UNA VEZ EXPUESTO LA ANTERIOR SE SOLICITA LO SIGUIENTE: 1.- PROPORCIONAR EL EXPEDIENTE DEL PROCEDIMIENTO DE LICITACIÓN Y ADJUDICACION DE LA EMPRESA ENCARGADA DE PAQUIMETROS, ENTIENDACE POR EXPEDIENTO LO ENUNCIADO EN EL ARTÍCULO 67 DEL REGLAMENTO DE LA LEY DE CONTRATACIÓN PÚBLICA DEL ESTADO DE MÉXICO Y MUNICIPIOS; DICHO EXPEDIENTE SE INTEGRA POR: I. Publicación de la convocatoria; II. Venta de las bases de licitación; III. Visita, en su caso, al sitio donde se vayan a suministrar los bienes o a prestar los servicios; IV. Junta de aclaraciones, en su caso; V. Acto de presentación y apertura de propuestas; VI. Análisis y evaluación de propuestas; </w:t>
      </w:r>
      <w:proofErr w:type="spellStart"/>
      <w:r w:rsidR="00CF219D" w:rsidRPr="002D28D0">
        <w:t>VII.Dictamen</w:t>
      </w:r>
      <w:proofErr w:type="spellEnd"/>
      <w:r w:rsidR="00CF219D" w:rsidRPr="002D28D0">
        <w:t xml:space="preserve"> de adjudicación; VIII. Fallo; IX. Suscripción del contrato; y X. Suministro de los bienes o inicio de la prestación del servicio. ADEMAS DE LO </w:t>
      </w:r>
      <w:r w:rsidR="00CF219D" w:rsidRPr="002D28D0">
        <w:lastRenderedPageBreak/>
        <w:t>ANTERIOR SE SOLICITA: - LA SOLICITUD DE ADQUISICIÓN EMITIDA POR EL ÁREA USUARIA. -ESTUDIO Y PRECIO DE MERCADO ELABORADO POR LA DIRECCIÓN GENERAL DE ADMINISTRACIÓN. - ACTA DE LA SESIÓN DE CABILDO EN DONDE SE AUTORIZA LA IMPLEMENTACIÓN DE PARQUIMETROS (EN DICHA ACTA DEBERA CONTENER LAS OBSERVACIONES EMITIDAS POR CADA UNO DE LOS EDILES, COMO SON: PRESIDENTE MUNICIPAL, SINDICOS Y REGIDORES. NO OMITO MENCIONAR QUE EN NINGUN MOMENTO SE REQUIRIO LA INFORMACIÓN DE LAS EMPRESAS CONCURSNTES, TODA VEZ QUE DICHA INFORMACION ES CONFIDENCIAL, SIN EMBARGO EL ACTO DE PRESENTACIÓN Y APERTURA DE PROPUESTAS SI LA PUEDEN PRESENTAR, TODA VEZ QUE LA MISMA NORMATIVIDAD ENUNCIA QUE EN DICHOS ACTOS DEBERAN SER GRAVADOS Y ARCHIVADOS EN MEDIOS MAGNETICO. EN CONSECUENCIA EL SUJETO OBLIGADO CUENTA CON LOS ELEMENTOS BASTOS Y NECESARIOS PARA PODER DAR CABAL CUMPLIMIENTO A DICHA SOLCITUD, SIN LA NECESIDAD DE CLASIFICARLOS COMO CONFIDENCIALES. POR TAL MOTIVO SE SOLICITA PROPORCIONAR UNICAMENTE LA INFORMACIÓN SOLICITADA.</w:t>
      </w:r>
      <w:r w:rsidRPr="002D28D0">
        <w:t xml:space="preserve">” </w:t>
      </w:r>
      <w:r w:rsidRPr="002D28D0">
        <w:rPr>
          <w:b/>
        </w:rPr>
        <w:t>[Sic]</w:t>
      </w:r>
    </w:p>
    <w:p w14:paraId="357CE006" w14:textId="4FC15A89" w:rsidR="00590062" w:rsidRPr="002D28D0" w:rsidRDefault="00590062" w:rsidP="0068677F">
      <w:pPr>
        <w:pStyle w:val="Citas"/>
        <w:ind w:left="0" w:right="72"/>
        <w:rPr>
          <w:bCs/>
          <w:i w:val="0"/>
          <w:iCs/>
        </w:rPr>
      </w:pPr>
    </w:p>
    <w:p w14:paraId="6B689A4F" w14:textId="2ADFE30A" w:rsidR="00073E92" w:rsidRPr="002D28D0" w:rsidRDefault="00871F78" w:rsidP="00073E92">
      <w:pPr>
        <w:spacing w:before="240" w:line="360" w:lineRule="auto"/>
        <w:jc w:val="both"/>
        <w:rPr>
          <w:rFonts w:ascii="Palatino Linotype" w:hAnsi="Palatino Linotype" w:cs="Arial"/>
          <w:b/>
          <w:sz w:val="24"/>
          <w:szCs w:val="24"/>
        </w:rPr>
      </w:pPr>
      <w:r w:rsidRPr="002D28D0">
        <w:rPr>
          <w:rFonts w:ascii="Palatino Linotype" w:hAnsi="Palatino Linotype" w:cs="Arial"/>
          <w:b/>
          <w:sz w:val="28"/>
        </w:rPr>
        <w:t>CUARTO</w:t>
      </w:r>
      <w:r w:rsidR="00073E92" w:rsidRPr="002D28D0">
        <w:rPr>
          <w:rFonts w:ascii="Palatino Linotype" w:hAnsi="Palatino Linotype" w:cs="Arial"/>
          <w:b/>
          <w:sz w:val="24"/>
          <w:szCs w:val="24"/>
        </w:rPr>
        <w:t xml:space="preserve">. </w:t>
      </w:r>
      <w:r w:rsidR="00073E92" w:rsidRPr="002D28D0">
        <w:rPr>
          <w:rFonts w:ascii="Palatino Linotype" w:hAnsi="Palatino Linotype" w:cs="Arial"/>
          <w:b/>
          <w:sz w:val="28"/>
          <w:szCs w:val="28"/>
        </w:rPr>
        <w:t>Del turno del recurso de revisión.</w:t>
      </w:r>
    </w:p>
    <w:p w14:paraId="297F1E7E" w14:textId="47E6BB9A" w:rsidR="0036654D" w:rsidRPr="002D28D0" w:rsidRDefault="00073E92" w:rsidP="0036654D">
      <w:pPr>
        <w:spacing w:before="240" w:line="360" w:lineRule="auto"/>
        <w:jc w:val="both"/>
        <w:rPr>
          <w:rFonts w:ascii="Palatino Linotype" w:hAnsi="Palatino Linotype" w:cs="Arial"/>
          <w:sz w:val="24"/>
          <w:szCs w:val="24"/>
        </w:rPr>
      </w:pPr>
      <w:r w:rsidRPr="002D28D0">
        <w:rPr>
          <w:rFonts w:ascii="Palatino Linotype" w:hAnsi="Palatino Linotype" w:cs="Arial"/>
          <w:sz w:val="24"/>
          <w:szCs w:val="24"/>
        </w:rPr>
        <w:t>Medio de impugnación que le fue turnado al Comisionado</w:t>
      </w:r>
      <w:r w:rsidR="0034605F" w:rsidRPr="002D28D0">
        <w:rPr>
          <w:rFonts w:ascii="Palatino Linotype" w:hAnsi="Palatino Linotype" w:cs="Arial"/>
          <w:sz w:val="24"/>
          <w:szCs w:val="24"/>
        </w:rPr>
        <w:t xml:space="preserve"> </w:t>
      </w:r>
      <w:r w:rsidR="001E4787" w:rsidRPr="002D28D0">
        <w:rPr>
          <w:rFonts w:ascii="Palatino Linotype" w:hAnsi="Palatino Linotype" w:cs="Arial"/>
          <w:sz w:val="24"/>
          <w:szCs w:val="24"/>
        </w:rPr>
        <w:t>presidente</w:t>
      </w:r>
      <w:r w:rsidRPr="002D28D0">
        <w:rPr>
          <w:rFonts w:ascii="Palatino Linotype" w:hAnsi="Palatino Linotype" w:cs="Arial"/>
          <w:sz w:val="24"/>
          <w:szCs w:val="24"/>
        </w:rPr>
        <w:t xml:space="preserve"> </w:t>
      </w:r>
      <w:r w:rsidRPr="002D28D0">
        <w:rPr>
          <w:rFonts w:ascii="Palatino Linotype" w:hAnsi="Palatino Linotype" w:cs="Arial"/>
          <w:b/>
          <w:sz w:val="24"/>
          <w:szCs w:val="24"/>
        </w:rPr>
        <w:t xml:space="preserve">José Martínez Vilchis, </w:t>
      </w:r>
      <w:r w:rsidRPr="002D28D0">
        <w:rPr>
          <w:rFonts w:ascii="Palatino Linotype" w:hAnsi="Palatino Linotype" w:cs="Arial"/>
          <w:sz w:val="24"/>
          <w:szCs w:val="24"/>
        </w:rPr>
        <w:t xml:space="preserve">por medio del sistema electrónico en términos del arábigo 185 fracción I de la </w:t>
      </w:r>
      <w:r w:rsidRPr="002D28D0">
        <w:rPr>
          <w:rFonts w:ascii="Palatino Linotype" w:hAnsi="Palatino Linotype" w:cs="Arial"/>
          <w:sz w:val="24"/>
          <w:szCs w:val="24"/>
        </w:rPr>
        <w:lastRenderedPageBreak/>
        <w:t xml:space="preserve">Ley de Transparencia y Acceso a la información Pública del Estado de México y Municipios, del cual recayó acuerdo de admisión en fecha </w:t>
      </w:r>
      <w:r w:rsidR="00CF219D" w:rsidRPr="002D28D0">
        <w:rPr>
          <w:rFonts w:ascii="Palatino Linotype" w:hAnsi="Palatino Linotype" w:cs="Arial"/>
          <w:sz w:val="24"/>
          <w:szCs w:val="24"/>
        </w:rPr>
        <w:t>diecinueve de enero de los corrientes, d</w:t>
      </w:r>
      <w:r w:rsidR="0036654D" w:rsidRPr="002D28D0">
        <w:rPr>
          <w:rFonts w:ascii="Palatino Linotype" w:hAnsi="Palatino Linotype" w:cs="Arial"/>
          <w:sz w:val="24"/>
          <w:szCs w:val="24"/>
        </w:rPr>
        <w:t>eterminándose en él, un plazo de siete días para que las partes manifestaran lo que a su derecho corresponda en términos del numeral ya citado.</w:t>
      </w:r>
    </w:p>
    <w:p w14:paraId="158819BE" w14:textId="77777777" w:rsidR="00101FCB" w:rsidRPr="002D28D0" w:rsidRDefault="00101FCB" w:rsidP="0036654D">
      <w:pPr>
        <w:spacing w:before="240" w:line="360" w:lineRule="auto"/>
        <w:jc w:val="both"/>
        <w:rPr>
          <w:rFonts w:ascii="Palatino Linotype" w:hAnsi="Palatino Linotype" w:cs="Arial"/>
          <w:sz w:val="24"/>
          <w:szCs w:val="24"/>
        </w:rPr>
      </w:pPr>
    </w:p>
    <w:p w14:paraId="66F3567F" w14:textId="6E711A71" w:rsidR="00073E92" w:rsidRPr="002D28D0" w:rsidRDefault="00871F78" w:rsidP="00073E92">
      <w:pPr>
        <w:pStyle w:val="Prrafodelista"/>
        <w:spacing w:line="360" w:lineRule="auto"/>
        <w:ind w:left="0"/>
        <w:jc w:val="both"/>
        <w:rPr>
          <w:rFonts w:ascii="Palatino Linotype" w:hAnsi="Palatino Linotype" w:cs="Arial"/>
          <w:b/>
        </w:rPr>
      </w:pPr>
      <w:r w:rsidRPr="002D28D0">
        <w:rPr>
          <w:rFonts w:ascii="Palatino Linotype" w:hAnsi="Palatino Linotype" w:cs="Arial"/>
          <w:b/>
          <w:sz w:val="28"/>
        </w:rPr>
        <w:t>QUINTO</w:t>
      </w:r>
      <w:r w:rsidR="00073E92" w:rsidRPr="002D28D0">
        <w:rPr>
          <w:rFonts w:ascii="Palatino Linotype" w:hAnsi="Palatino Linotype" w:cs="Arial"/>
          <w:b/>
          <w:sz w:val="28"/>
          <w:szCs w:val="28"/>
        </w:rPr>
        <w:t>. De la etapa de instrucción.</w:t>
      </w:r>
    </w:p>
    <w:p w14:paraId="2016403E" w14:textId="41C96D90" w:rsidR="00CF219D" w:rsidRPr="002D28D0" w:rsidRDefault="00EE5878" w:rsidP="00EE5878">
      <w:pPr>
        <w:spacing w:after="0" w:line="360" w:lineRule="auto"/>
        <w:jc w:val="both"/>
        <w:rPr>
          <w:rFonts w:ascii="Palatino Linotype" w:hAnsi="Palatino Linotype" w:cs="Arial"/>
          <w:b/>
          <w:bCs/>
          <w:sz w:val="24"/>
          <w:szCs w:val="24"/>
        </w:rPr>
      </w:pPr>
      <w:r w:rsidRPr="002D28D0">
        <w:rPr>
          <w:rFonts w:ascii="Palatino Linotype" w:hAnsi="Palatino Linotype" w:cs="Arial"/>
          <w:sz w:val="24"/>
          <w:szCs w:val="24"/>
        </w:rPr>
        <w:t xml:space="preserve">Así, en la etapa de instrucción, de las constancias que obran en los expedientes electrónicos de los recursos de revisión se advierte que </w:t>
      </w:r>
      <w:r w:rsidRPr="002D28D0">
        <w:rPr>
          <w:rFonts w:ascii="Palatino Linotype" w:hAnsi="Palatino Linotype" w:cs="Arial"/>
          <w:b/>
          <w:bCs/>
          <w:sz w:val="24"/>
          <w:szCs w:val="24"/>
        </w:rPr>
        <w:t xml:space="preserve">El Sujeto Obligado </w:t>
      </w:r>
      <w:r w:rsidRPr="002D28D0">
        <w:rPr>
          <w:rFonts w:ascii="Palatino Linotype" w:hAnsi="Palatino Linotype" w:cs="Arial"/>
          <w:sz w:val="24"/>
          <w:szCs w:val="24"/>
        </w:rPr>
        <w:t xml:space="preserve">rindió su informe justificado en fecha </w:t>
      </w:r>
      <w:r w:rsidR="00A91347" w:rsidRPr="002D28D0">
        <w:rPr>
          <w:rFonts w:ascii="Palatino Linotype" w:hAnsi="Palatino Linotype" w:cs="Arial"/>
          <w:b/>
          <w:bCs/>
          <w:sz w:val="24"/>
          <w:szCs w:val="24"/>
        </w:rPr>
        <w:t xml:space="preserve">treinta de enero del año en curso. </w:t>
      </w:r>
    </w:p>
    <w:p w14:paraId="677D0D72" w14:textId="4379A9FA" w:rsidR="00A91347" w:rsidRPr="002D28D0" w:rsidRDefault="00A91347" w:rsidP="00EE5878">
      <w:pPr>
        <w:spacing w:after="0" w:line="360" w:lineRule="auto"/>
        <w:jc w:val="both"/>
        <w:rPr>
          <w:rFonts w:ascii="Palatino Linotype" w:hAnsi="Palatino Linotype" w:cs="Arial"/>
          <w:b/>
          <w:bCs/>
          <w:sz w:val="24"/>
          <w:szCs w:val="24"/>
        </w:rPr>
      </w:pPr>
    </w:p>
    <w:p w14:paraId="2D7AB450" w14:textId="7169B58C" w:rsidR="00A91347" w:rsidRPr="002D28D0" w:rsidRDefault="00A91347" w:rsidP="00EE5878">
      <w:pPr>
        <w:spacing w:after="0" w:line="360" w:lineRule="auto"/>
        <w:jc w:val="both"/>
        <w:rPr>
          <w:rFonts w:ascii="Palatino Linotype" w:hAnsi="Palatino Linotype" w:cs="Arial"/>
          <w:b/>
          <w:bCs/>
          <w:sz w:val="24"/>
          <w:szCs w:val="24"/>
        </w:rPr>
      </w:pPr>
      <w:r w:rsidRPr="002D28D0">
        <w:rPr>
          <w:rFonts w:ascii="Palatino Linotype" w:hAnsi="Palatino Linotype" w:cs="Arial"/>
          <w:sz w:val="24"/>
          <w:szCs w:val="24"/>
        </w:rPr>
        <w:t xml:space="preserve">En contraste, </w:t>
      </w:r>
      <w:r w:rsidRPr="002D28D0">
        <w:rPr>
          <w:rFonts w:ascii="Palatino Linotype" w:hAnsi="Palatino Linotype" w:cs="Arial"/>
          <w:b/>
          <w:bCs/>
          <w:sz w:val="24"/>
          <w:szCs w:val="24"/>
        </w:rPr>
        <w:t xml:space="preserve">El Recurrente </w:t>
      </w:r>
      <w:r w:rsidRPr="002D28D0">
        <w:rPr>
          <w:rFonts w:ascii="Palatino Linotype" w:hAnsi="Palatino Linotype" w:cs="Arial"/>
          <w:sz w:val="24"/>
          <w:szCs w:val="24"/>
        </w:rPr>
        <w:t xml:space="preserve">rindió las pruebas, manifestaciones y alegatos estimados pertinentes, en fecha </w:t>
      </w:r>
      <w:r w:rsidRPr="002D28D0">
        <w:rPr>
          <w:rFonts w:ascii="Palatino Linotype" w:hAnsi="Palatino Linotype" w:cs="Arial"/>
          <w:b/>
          <w:bCs/>
          <w:sz w:val="24"/>
          <w:szCs w:val="24"/>
        </w:rPr>
        <w:t xml:space="preserve">ocho de febrero de dos mil veintitrés. </w:t>
      </w:r>
    </w:p>
    <w:p w14:paraId="7F66B8E9" w14:textId="22D0C8FE" w:rsidR="00A91347" w:rsidRPr="002D28D0" w:rsidRDefault="00A91347" w:rsidP="00EE5878">
      <w:pPr>
        <w:spacing w:after="0" w:line="360" w:lineRule="auto"/>
        <w:jc w:val="both"/>
        <w:rPr>
          <w:rFonts w:ascii="Palatino Linotype" w:hAnsi="Palatino Linotype" w:cs="Arial"/>
          <w:b/>
          <w:bCs/>
          <w:sz w:val="24"/>
          <w:szCs w:val="24"/>
        </w:rPr>
      </w:pPr>
    </w:p>
    <w:p w14:paraId="3EBB85F9" w14:textId="173E41FB" w:rsidR="00A91347" w:rsidRPr="002D28D0" w:rsidRDefault="00A91347" w:rsidP="00EE5878">
      <w:pPr>
        <w:spacing w:after="0" w:line="360" w:lineRule="auto"/>
        <w:jc w:val="both"/>
        <w:rPr>
          <w:rFonts w:ascii="Palatino Linotype" w:hAnsi="Palatino Linotype" w:cs="Arial"/>
          <w:b/>
          <w:bCs/>
          <w:sz w:val="24"/>
          <w:szCs w:val="24"/>
        </w:rPr>
      </w:pPr>
      <w:r w:rsidRPr="002D28D0">
        <w:rPr>
          <w:rFonts w:ascii="Palatino Linotype" w:hAnsi="Palatino Linotype" w:cs="Arial"/>
          <w:sz w:val="24"/>
          <w:szCs w:val="24"/>
        </w:rPr>
        <w:t xml:space="preserve">Que el informe justificado fue puesto a la vista del </w:t>
      </w:r>
      <w:r w:rsidRPr="002D28D0">
        <w:rPr>
          <w:rFonts w:ascii="Palatino Linotype" w:hAnsi="Palatino Linotype" w:cs="Arial"/>
          <w:b/>
          <w:bCs/>
          <w:sz w:val="24"/>
          <w:szCs w:val="24"/>
        </w:rPr>
        <w:t xml:space="preserve">Recurrente, </w:t>
      </w:r>
      <w:r w:rsidRPr="002D28D0">
        <w:rPr>
          <w:rFonts w:ascii="Palatino Linotype" w:hAnsi="Palatino Linotype" w:cs="Arial"/>
          <w:sz w:val="24"/>
          <w:szCs w:val="24"/>
        </w:rPr>
        <w:t xml:space="preserve">en fecha </w:t>
      </w:r>
      <w:r w:rsidRPr="002D28D0">
        <w:rPr>
          <w:rFonts w:ascii="Palatino Linotype" w:hAnsi="Palatino Linotype" w:cs="Arial"/>
          <w:b/>
          <w:bCs/>
          <w:sz w:val="24"/>
          <w:szCs w:val="24"/>
        </w:rPr>
        <w:t xml:space="preserve">veinte de febrero de los corrientes. </w:t>
      </w:r>
    </w:p>
    <w:p w14:paraId="72EAD1EB" w14:textId="0DE7B093" w:rsidR="00EE5878" w:rsidRPr="002D28D0" w:rsidRDefault="00EE5878" w:rsidP="00EE5878">
      <w:pPr>
        <w:spacing w:before="240" w:line="360" w:lineRule="auto"/>
        <w:jc w:val="both"/>
        <w:rPr>
          <w:rFonts w:ascii="Palatino Linotype" w:hAnsi="Palatino Linotype" w:cs="Arial"/>
          <w:sz w:val="24"/>
          <w:szCs w:val="24"/>
        </w:rPr>
      </w:pPr>
      <w:r w:rsidRPr="002D28D0">
        <w:rPr>
          <w:rFonts w:ascii="Palatino Linotype" w:hAnsi="Palatino Linotype" w:cs="Arial"/>
          <w:sz w:val="24"/>
          <w:szCs w:val="24"/>
        </w:rPr>
        <w:t xml:space="preserve">Por lo cual se decretó instrucción con fecha </w:t>
      </w:r>
      <w:r w:rsidR="00A91347" w:rsidRPr="002D28D0">
        <w:rPr>
          <w:rFonts w:ascii="Palatino Linotype" w:hAnsi="Palatino Linotype" w:cs="Arial"/>
          <w:b/>
          <w:bCs/>
          <w:sz w:val="24"/>
          <w:szCs w:val="24"/>
        </w:rPr>
        <w:t xml:space="preserve">veintisiete de febrero del presente, </w:t>
      </w:r>
      <w:r w:rsidRPr="002D28D0">
        <w:rPr>
          <w:rFonts w:ascii="Palatino Linotype" w:hAnsi="Palatino Linotype" w:cs="Arial"/>
          <w:sz w:val="24"/>
          <w:szCs w:val="24"/>
        </w:rPr>
        <w:t xml:space="preserve">en términos del artículo 185 Fracción VI de la Ley de Transparencia y Acceso a la Información Pública del Estado de México y Municipios, iniciando el término legal para dictar resolución definitiva del asunto. </w:t>
      </w:r>
    </w:p>
    <w:p w14:paraId="3E5EA7B9" w14:textId="451EC26D" w:rsidR="00031AB1" w:rsidRPr="002D28D0" w:rsidRDefault="00031AB1" w:rsidP="00031AB1">
      <w:pPr>
        <w:spacing w:before="240" w:line="360" w:lineRule="auto"/>
        <w:jc w:val="both"/>
        <w:rPr>
          <w:rFonts w:ascii="Palatino Linotype" w:hAnsi="Palatino Linotype" w:cs="Arial"/>
          <w:sz w:val="24"/>
          <w:szCs w:val="24"/>
        </w:rPr>
      </w:pPr>
      <w:r w:rsidRPr="002D28D0">
        <w:rPr>
          <w:rFonts w:ascii="Palatino Linotype" w:hAnsi="Palatino Linotype" w:cs="Arial"/>
          <w:sz w:val="24"/>
          <w:szCs w:val="24"/>
        </w:rPr>
        <w:t xml:space="preserve">Así, en fecha </w:t>
      </w:r>
      <w:r w:rsidR="00F648F7" w:rsidRPr="002D28D0">
        <w:rPr>
          <w:rFonts w:ascii="Palatino Linotype" w:hAnsi="Palatino Linotype" w:cs="Arial"/>
          <w:b/>
          <w:bCs/>
          <w:sz w:val="24"/>
          <w:szCs w:val="24"/>
        </w:rPr>
        <w:t>catorce</w:t>
      </w:r>
      <w:r w:rsidRPr="002D28D0">
        <w:rPr>
          <w:rFonts w:ascii="Palatino Linotype" w:hAnsi="Palatino Linotype" w:cs="Arial"/>
          <w:b/>
          <w:bCs/>
          <w:sz w:val="24"/>
          <w:szCs w:val="24"/>
        </w:rPr>
        <w:t xml:space="preserve"> de marzo del año en curso, </w:t>
      </w:r>
      <w:r w:rsidRPr="002D28D0">
        <w:rPr>
          <w:rFonts w:ascii="Palatino Linotype" w:hAnsi="Palatino Linotype" w:cs="Arial"/>
          <w:sz w:val="24"/>
          <w:szCs w:val="24"/>
        </w:rPr>
        <w:t xml:space="preserve">en el expediente electrónico del recurso de revisión </w:t>
      </w:r>
      <w:r w:rsidRPr="002D28D0">
        <w:rPr>
          <w:rFonts w:ascii="Palatino Linotype" w:hAnsi="Palatino Linotype" w:cs="Arial"/>
          <w:sz w:val="24"/>
        </w:rPr>
        <w:t xml:space="preserve">se amplió plazo para dictar resolución, en términos del </w:t>
      </w:r>
      <w:r w:rsidRPr="002D28D0">
        <w:rPr>
          <w:rFonts w:ascii="Palatino Linotype" w:hAnsi="Palatino Linotype" w:cs="Arial"/>
          <w:sz w:val="24"/>
          <w:szCs w:val="24"/>
        </w:rPr>
        <w:t xml:space="preserve">artículo 181 </w:t>
      </w:r>
      <w:r w:rsidRPr="002D28D0">
        <w:rPr>
          <w:rFonts w:ascii="Palatino Linotype" w:hAnsi="Palatino Linotype" w:cs="Arial"/>
          <w:sz w:val="24"/>
          <w:szCs w:val="24"/>
        </w:rPr>
        <w:lastRenderedPageBreak/>
        <w:t xml:space="preserve">de la Ley de Transparencia y Acceso a la Información del Estado de México y Municipios. </w:t>
      </w:r>
    </w:p>
    <w:p w14:paraId="50553CB2"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Este organismo garante no pasa por alto justificar, </w:t>
      </w:r>
      <w:r w:rsidRPr="002D28D0">
        <w:rPr>
          <w:rFonts w:ascii="Palatino Linotype" w:hAnsi="Palatino Linotype" w:cstheme="majorHAnsi"/>
          <w:bCs/>
          <w:sz w:val="24"/>
          <w:szCs w:val="24"/>
        </w:rPr>
        <w:t xml:space="preserve">que el plazo para emitir resolución en el presente asunto </w:t>
      </w:r>
      <w:r w:rsidRPr="002D28D0">
        <w:rPr>
          <w:rFonts w:ascii="Palatino Linotype" w:hAnsi="Palatino Linotype" w:cstheme="majorHAnsi"/>
          <w:sz w:val="24"/>
          <w:szCs w:val="24"/>
        </w:rPr>
        <w:t>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7106665B"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Por ello, es menester precisar que si bien se ha excedido el plazo para resolver el presente medio de impugnación, de conformidad con la ley de la materia, </w:t>
      </w:r>
      <w:r w:rsidRPr="002D28D0">
        <w:rPr>
          <w:rFonts w:ascii="Palatino Linotype" w:hAnsi="Palatino Linotype" w:cstheme="majorHAnsi"/>
          <w:bCs/>
          <w:sz w:val="24"/>
          <w:szCs w:val="24"/>
        </w:rPr>
        <w:t>el plazo para emitir resolución</w:t>
      </w:r>
      <w:r w:rsidRPr="002D28D0">
        <w:rPr>
          <w:rFonts w:ascii="Palatino Linotype" w:hAnsi="Palatino Linotype" w:cstheme="majorHAnsi"/>
          <w:sz w:val="24"/>
          <w:szCs w:val="24"/>
        </w:rPr>
        <w:t xml:space="preserve"> se encuentra justificado en los elementos para medir su razonabilidad de asuntos conforme a los parámetros establecidos por diversos órganos jurisdiccionales federales, aplicables también en procedimientos análogos, como el que nos ocupa.</w:t>
      </w:r>
    </w:p>
    <w:p w14:paraId="1D91AE44"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78D72E42"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721685B9"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lastRenderedPageBreak/>
        <w:t xml:space="preserve"> Por ello, excepcionalmente, si un asunto es resuelto con posterioridad a los plazos señalados por la norma debe analizarse la razonabilidad del tiempo necesario para su resolución, atentos a los siguientes criterios:  </w:t>
      </w:r>
    </w:p>
    <w:p w14:paraId="6514EBD6"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a) Complejidad del asunto: La complejidad de la prueba, la pluralidad de sujetos procesales, el tiempo transcurrido, las características y contexto del recurso.</w:t>
      </w:r>
    </w:p>
    <w:p w14:paraId="6EA864A7"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b)     Actividad Procesal del interesado: Acciones u omisiones del interesado.</w:t>
      </w:r>
    </w:p>
    <w:p w14:paraId="4D2A5ACB"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c)  Conducta de la Autoridad: Las Acciones u omisiones realizadas en el procedimiento. Así como si la autoridad actuó con la debida diligencia.</w:t>
      </w:r>
    </w:p>
    <w:p w14:paraId="6CEA0EF6"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d)   La afectación generada en la situación jurídica de la persona involucrada en el proceso: Violación a sus derechos humanos.</w:t>
      </w:r>
    </w:p>
    <w:p w14:paraId="6A4CDED0" w14:textId="77777777" w:rsidR="00031AB1" w:rsidRPr="002D28D0" w:rsidRDefault="00031AB1" w:rsidP="00031AB1">
      <w:pPr>
        <w:spacing w:line="360" w:lineRule="auto"/>
        <w:jc w:val="both"/>
        <w:rPr>
          <w:rFonts w:ascii="Palatino Linotype" w:hAnsi="Palatino Linotype" w:cstheme="majorHAnsi"/>
          <w:sz w:val="24"/>
          <w:szCs w:val="24"/>
        </w:rPr>
      </w:pPr>
    </w:p>
    <w:p w14:paraId="220CBDB0"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5DD5C088"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Argumento que encuentra sustento en la jurisprudencia P</w:t>
      </w:r>
      <w:proofErr w:type="gramStart"/>
      <w:r w:rsidRPr="002D28D0">
        <w:rPr>
          <w:rFonts w:ascii="Palatino Linotype" w:hAnsi="Palatino Linotype" w:cstheme="majorHAnsi"/>
          <w:sz w:val="24"/>
          <w:szCs w:val="24"/>
        </w:rPr>
        <w:t>./</w:t>
      </w:r>
      <w:proofErr w:type="gramEnd"/>
      <w:r w:rsidRPr="002D28D0">
        <w:rPr>
          <w:rFonts w:ascii="Palatino Linotype" w:hAnsi="Palatino Linotype" w:cstheme="majorHAnsi"/>
          <w:sz w:val="24"/>
          <w:szCs w:val="24"/>
        </w:rPr>
        <w:t xml:space="preserve">J. 32/92 emitida por el Pleno de la Suprema Corte de Justicia de la Nación de rubro “TÉRMINOS PROCESALES. PARA DETERMINAR SI UN FUNCIONARIO JUDICIAL ACTUÓ INDEBIDAMENTE POR NO RESPETARLOS SE DEBE ATENDER AL PRESUPUESTO QUE CONSIDERÓ EL LEGISLADOR AL FIJARLOS Y LAS </w:t>
      </w:r>
      <w:r w:rsidRPr="002D28D0">
        <w:rPr>
          <w:rFonts w:ascii="Palatino Linotype" w:hAnsi="Palatino Linotype" w:cstheme="majorHAnsi"/>
          <w:sz w:val="24"/>
          <w:szCs w:val="24"/>
        </w:rPr>
        <w:lastRenderedPageBreak/>
        <w:t>CARACTERÍSTICAS DEL CASO.”, visible en la Gaceta del Seminario Judicial de la Federación con el registro digital 205635.</w:t>
      </w:r>
    </w:p>
    <w:p w14:paraId="6C481910"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24F67E17"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Al respecto, también son de considerar los criterios sostenidos por el Cuarto Tribunal Colegiado en Materia Administrativa del Primer Circuito, cuyos rubros y datos de identificación son los siguientes:</w:t>
      </w:r>
    </w:p>
    <w:p w14:paraId="1F4FF4D3"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“PLAZO RAZONABLE PARA RESOLVER. DIMENSIÓN Y EFECTOS DE ESTE CONCEPTO CUANDO SE ADUCE EXCESIVA CARGA DE TRABAJO.” consultable en el Seminario Judicial de la Federación y su gaceta, con el registro digital 2002351.</w:t>
      </w:r>
    </w:p>
    <w:p w14:paraId="59700C88" w14:textId="77777777" w:rsidR="00031AB1" w:rsidRPr="002D28D0" w:rsidRDefault="00031AB1" w:rsidP="00031AB1">
      <w:pPr>
        <w:spacing w:line="360" w:lineRule="auto"/>
        <w:jc w:val="both"/>
        <w:rPr>
          <w:rFonts w:ascii="Palatino Linotype" w:hAnsi="Palatino Linotype" w:cstheme="majorHAnsi"/>
          <w:sz w:val="24"/>
          <w:szCs w:val="24"/>
        </w:rPr>
      </w:pPr>
      <w:r w:rsidRPr="002D28D0">
        <w:rPr>
          <w:rFonts w:ascii="Palatino Linotype" w:hAnsi="Palatino Linotype" w:cstheme="majorHAnsi"/>
          <w:sz w:val="24"/>
          <w:szCs w:val="24"/>
        </w:rPr>
        <w:t xml:space="preserve"> “PLAZO RAZONABLE PARA RESOLVER. CONCEPTO Y ELEMENTOS QUE LO INTEGRAN A LA LUZ DEL DERECHO INTERNACIONAL DE LOS DERECHOS HUMANOS.”, visible en el Seminario Judicial de la Federación y su gaceta, con el registro digital 2002350.</w:t>
      </w:r>
    </w:p>
    <w:p w14:paraId="3A9D9AFE" w14:textId="77777777" w:rsidR="00031AB1" w:rsidRPr="002D28D0" w:rsidRDefault="00031AB1" w:rsidP="00031AB1">
      <w:pPr>
        <w:spacing w:line="360" w:lineRule="auto"/>
        <w:jc w:val="both"/>
        <w:rPr>
          <w:rFonts w:ascii="Palatino Linotype" w:hAnsi="Palatino Linotype"/>
          <w:sz w:val="24"/>
          <w:szCs w:val="24"/>
        </w:rPr>
      </w:pPr>
      <w:r w:rsidRPr="002D28D0">
        <w:rPr>
          <w:rFonts w:ascii="Palatino Linotype" w:hAnsi="Palatino Linotype" w:cstheme="majorHAnsi"/>
          <w:bCs/>
          <w:sz w:val="24"/>
          <w:szCs w:val="24"/>
        </w:rPr>
        <w:lastRenderedPageBreak/>
        <w:t>Por ello, este organismo garante comprometido con la tutela de los derechos humanos confiados, señala que este exceso del plazo legal para resolver el presente asunto, resulta de carácter excepcional.</w:t>
      </w:r>
    </w:p>
    <w:p w14:paraId="415C8CC7" w14:textId="77777777" w:rsidR="00031AB1" w:rsidRPr="002D28D0" w:rsidRDefault="00031AB1" w:rsidP="006D5803">
      <w:pPr>
        <w:spacing w:before="240" w:line="360" w:lineRule="auto"/>
        <w:jc w:val="center"/>
        <w:rPr>
          <w:rFonts w:ascii="Palatino Linotype" w:hAnsi="Palatino Linotype" w:cs="Arial"/>
          <w:b/>
          <w:sz w:val="24"/>
        </w:rPr>
      </w:pPr>
    </w:p>
    <w:p w14:paraId="0D4A17DB" w14:textId="1232C92D" w:rsidR="006D5803" w:rsidRPr="002D28D0" w:rsidRDefault="006D5803" w:rsidP="006D5803">
      <w:pPr>
        <w:spacing w:before="240" w:line="360" w:lineRule="auto"/>
        <w:jc w:val="center"/>
        <w:rPr>
          <w:rFonts w:ascii="Palatino Linotype" w:hAnsi="Palatino Linotype" w:cs="Arial"/>
          <w:b/>
          <w:sz w:val="24"/>
        </w:rPr>
      </w:pPr>
      <w:r w:rsidRPr="002D28D0">
        <w:rPr>
          <w:rFonts w:ascii="Palatino Linotype" w:hAnsi="Palatino Linotype" w:cs="Arial"/>
          <w:b/>
          <w:sz w:val="24"/>
        </w:rPr>
        <w:t xml:space="preserve">C O N S I D E R A N D O </w:t>
      </w:r>
    </w:p>
    <w:p w14:paraId="6E81E773" w14:textId="77777777" w:rsidR="006D5803" w:rsidRPr="002D28D0" w:rsidRDefault="006D5803" w:rsidP="006D5803">
      <w:pPr>
        <w:spacing w:before="240" w:line="360" w:lineRule="auto"/>
        <w:jc w:val="both"/>
        <w:rPr>
          <w:rFonts w:ascii="Palatino Linotype" w:hAnsi="Palatino Linotype" w:cs="Arial"/>
          <w:sz w:val="28"/>
          <w:szCs w:val="28"/>
        </w:rPr>
      </w:pPr>
      <w:r w:rsidRPr="002D28D0">
        <w:rPr>
          <w:rFonts w:ascii="Palatino Linotype" w:hAnsi="Palatino Linotype" w:cs="Arial"/>
          <w:b/>
          <w:sz w:val="28"/>
        </w:rPr>
        <w:t>PRIMERO.</w:t>
      </w:r>
      <w:r w:rsidRPr="002D28D0">
        <w:rPr>
          <w:rFonts w:ascii="Palatino Linotype" w:hAnsi="Palatino Linotype" w:cs="Arial"/>
          <w:b/>
        </w:rPr>
        <w:t xml:space="preserve"> </w:t>
      </w:r>
      <w:r w:rsidRPr="002D28D0">
        <w:rPr>
          <w:rFonts w:ascii="Palatino Linotype" w:hAnsi="Palatino Linotype" w:cs="Arial"/>
          <w:b/>
          <w:sz w:val="28"/>
          <w:szCs w:val="28"/>
        </w:rPr>
        <w:t>De la competencia</w:t>
      </w:r>
      <w:r w:rsidRPr="002D28D0">
        <w:rPr>
          <w:rFonts w:ascii="Palatino Linotype" w:hAnsi="Palatino Linotype" w:cs="Arial"/>
          <w:sz w:val="28"/>
          <w:szCs w:val="28"/>
        </w:rPr>
        <w:t>.</w:t>
      </w:r>
    </w:p>
    <w:p w14:paraId="110F5256" w14:textId="77777777" w:rsidR="007E24F0" w:rsidRPr="002D28D0" w:rsidRDefault="007E24F0" w:rsidP="007E24F0">
      <w:pPr>
        <w:spacing w:before="240" w:line="360" w:lineRule="auto"/>
        <w:jc w:val="both"/>
        <w:rPr>
          <w:rFonts w:ascii="Palatino Linotype" w:eastAsia="Calibri" w:hAnsi="Palatino Linotype" w:cs="Arial"/>
          <w:b/>
          <w:color w:val="000000" w:themeColor="text1"/>
          <w:sz w:val="24"/>
          <w:szCs w:val="24"/>
        </w:rPr>
      </w:pPr>
      <w:r w:rsidRPr="002D28D0">
        <w:rPr>
          <w:rFonts w:ascii="Palatino Linotype" w:hAnsi="Palatino Linotype" w:cs="Arial"/>
          <w:sz w:val="24"/>
          <w:szCs w:val="24"/>
          <w:lang w:val="es-ES"/>
        </w:rPr>
        <w:t xml:space="preserve">Este Instituto de Transparencia, Acceso a la Información Pública y Protección de Datos Personales del Estado de México, es competente para conocer y resolver el presente recurso de revisión interpuesto por </w:t>
      </w:r>
      <w:r w:rsidRPr="002D28D0">
        <w:rPr>
          <w:rFonts w:ascii="Palatino Linotype" w:hAnsi="Palatino Linotype" w:cs="Arial"/>
          <w:b/>
          <w:sz w:val="24"/>
          <w:szCs w:val="24"/>
          <w:lang w:val="es-ES"/>
        </w:rPr>
        <w:t xml:space="preserve">la parte recurrente </w:t>
      </w:r>
      <w:r w:rsidRPr="002D28D0">
        <w:rPr>
          <w:rFonts w:ascii="Palatino Linotype" w:hAnsi="Palatino Linotype" w:cs="Arial"/>
          <w:sz w:val="24"/>
          <w:szCs w:val="24"/>
          <w:lang w:val="es-ES"/>
        </w:rPr>
        <w:t xml:space="preserve">conforme a lo dispuesto en los artículos 1, párrafos segundo y tercero, </w:t>
      </w:r>
      <w:r w:rsidRPr="002D28D0">
        <w:rPr>
          <w:rFonts w:ascii="Palatino Linotype" w:eastAsia="Calibri" w:hAnsi="Palatino Linotype"/>
          <w:color w:val="000000" w:themeColor="text1"/>
          <w:sz w:val="24"/>
          <w:szCs w:val="24"/>
        </w:rPr>
        <w:t xml:space="preserve">6, apartado A, fracción IV de la </w:t>
      </w:r>
      <w:r w:rsidRPr="002D28D0">
        <w:rPr>
          <w:rFonts w:ascii="Palatino Linotype" w:eastAsia="Calibri" w:hAnsi="Palatino Linotype"/>
          <w:b/>
          <w:color w:val="000000" w:themeColor="text1"/>
          <w:sz w:val="24"/>
          <w:szCs w:val="24"/>
        </w:rPr>
        <w:t>Constitución Política de los Estados Unidos Mexicanos</w:t>
      </w:r>
      <w:r w:rsidRPr="002D28D0">
        <w:rPr>
          <w:rFonts w:ascii="Palatino Linotype" w:eastAsia="Calibri" w:hAnsi="Palatino Linotype"/>
          <w:color w:val="000000" w:themeColor="text1"/>
          <w:sz w:val="24"/>
          <w:szCs w:val="24"/>
        </w:rPr>
        <w:t xml:space="preserve">; 5, párrafos trigésimo, trigésimo primero y trigésimo segundo, fracciones IV y V, de la </w:t>
      </w:r>
      <w:r w:rsidRPr="002D28D0">
        <w:rPr>
          <w:rFonts w:ascii="Palatino Linotype" w:eastAsia="Calibri" w:hAnsi="Palatino Linotype"/>
          <w:b/>
          <w:color w:val="000000" w:themeColor="text1"/>
          <w:sz w:val="24"/>
          <w:szCs w:val="24"/>
        </w:rPr>
        <w:t>Constitución Política del Estado Libre y Soberano de México</w:t>
      </w:r>
      <w:r w:rsidRPr="002D28D0">
        <w:rPr>
          <w:rFonts w:ascii="Palatino Linotype" w:eastAsia="Calibri" w:hAnsi="Palatino Linotype"/>
          <w:color w:val="000000" w:themeColor="text1"/>
          <w:sz w:val="24"/>
          <w:szCs w:val="24"/>
        </w:rPr>
        <w:t xml:space="preserve">; artículos 1, 2 fracción II, 13, 29, 36 fracciones I y II, 176, 178, 179, 181 párrafo tercero y 185 </w:t>
      </w:r>
      <w:r w:rsidRPr="002D28D0">
        <w:rPr>
          <w:rFonts w:ascii="Palatino Linotype" w:eastAsia="Calibri" w:hAnsi="Palatino Linotype" w:cs="Arial"/>
          <w:color w:val="000000" w:themeColor="text1"/>
          <w:sz w:val="24"/>
          <w:szCs w:val="24"/>
        </w:rPr>
        <w:t xml:space="preserve">de la </w:t>
      </w:r>
      <w:r w:rsidRPr="002D28D0">
        <w:rPr>
          <w:rFonts w:ascii="Palatino Linotype" w:eastAsia="Calibri" w:hAnsi="Palatino Linotype" w:cs="Arial"/>
          <w:b/>
          <w:color w:val="000000" w:themeColor="text1"/>
          <w:sz w:val="24"/>
          <w:szCs w:val="24"/>
        </w:rPr>
        <w:t>Ley de Transparencia y Acceso a la Información Pública del Estado de México y Municipios</w:t>
      </w:r>
      <w:r w:rsidRPr="002D28D0">
        <w:rPr>
          <w:rFonts w:ascii="Palatino Linotype" w:eastAsia="Calibri" w:hAnsi="Palatino Linotype" w:cs="Arial"/>
          <w:color w:val="000000" w:themeColor="text1"/>
          <w:sz w:val="24"/>
          <w:szCs w:val="24"/>
        </w:rPr>
        <w:t xml:space="preserve">; y 10, 7, 9 fracciones I y XXIV, y 11 del </w:t>
      </w:r>
      <w:r w:rsidRPr="002D28D0">
        <w:rPr>
          <w:rFonts w:ascii="Palatino Linotype" w:eastAsia="Calibri" w:hAnsi="Palatino Linotype" w:cs="Arial"/>
          <w:b/>
          <w:color w:val="000000" w:themeColor="text1"/>
          <w:sz w:val="24"/>
          <w:szCs w:val="24"/>
        </w:rPr>
        <w:t>Reglamento Interior del Instituto de Transparencia, Acceso a la Información Pública y Protección de Datos Personales del Estado de México y Municipios.</w:t>
      </w:r>
    </w:p>
    <w:p w14:paraId="060FAED4" w14:textId="77777777" w:rsidR="0036654D" w:rsidRPr="002D28D0" w:rsidRDefault="0036654D" w:rsidP="007E24F0">
      <w:pPr>
        <w:spacing w:before="240" w:line="360" w:lineRule="auto"/>
        <w:jc w:val="both"/>
        <w:rPr>
          <w:rFonts w:ascii="Palatino Linotype" w:eastAsia="Calibri" w:hAnsi="Palatino Linotype"/>
          <w:b/>
          <w:color w:val="000000" w:themeColor="text1"/>
          <w:sz w:val="24"/>
          <w:szCs w:val="24"/>
        </w:rPr>
      </w:pPr>
    </w:p>
    <w:p w14:paraId="4FAE87B8" w14:textId="77777777" w:rsidR="006D5803" w:rsidRPr="002D28D0" w:rsidRDefault="006D5803" w:rsidP="006D5803">
      <w:pPr>
        <w:pStyle w:val="Prrafodelista"/>
        <w:autoSpaceDE w:val="0"/>
        <w:autoSpaceDN w:val="0"/>
        <w:adjustRightInd w:val="0"/>
        <w:spacing w:before="240" w:after="160" w:line="360" w:lineRule="auto"/>
        <w:ind w:left="0"/>
        <w:jc w:val="both"/>
        <w:rPr>
          <w:rFonts w:ascii="Palatino Linotype" w:hAnsi="Palatino Linotype" w:cs="Arial"/>
          <w:b/>
        </w:rPr>
      </w:pPr>
      <w:r w:rsidRPr="002D28D0">
        <w:rPr>
          <w:rFonts w:ascii="Palatino Linotype" w:hAnsi="Palatino Linotype" w:cs="Arial"/>
          <w:b/>
          <w:sz w:val="28"/>
        </w:rPr>
        <w:t>SEGUNDO</w:t>
      </w:r>
      <w:r w:rsidRPr="002D28D0">
        <w:rPr>
          <w:rFonts w:ascii="Palatino Linotype" w:hAnsi="Palatino Linotype" w:cs="Arial"/>
          <w:b/>
        </w:rPr>
        <w:t xml:space="preserve">. </w:t>
      </w:r>
      <w:r w:rsidRPr="002D28D0">
        <w:rPr>
          <w:rFonts w:ascii="Palatino Linotype" w:hAnsi="Palatino Linotype" w:cs="Arial"/>
          <w:b/>
          <w:sz w:val="28"/>
          <w:szCs w:val="28"/>
        </w:rPr>
        <w:t>Sobre los alcances del recurso de revisión.</w:t>
      </w:r>
      <w:r w:rsidRPr="002D28D0">
        <w:rPr>
          <w:rFonts w:ascii="Palatino Linotype" w:hAnsi="Palatino Linotype" w:cs="Arial"/>
          <w:b/>
        </w:rPr>
        <w:t xml:space="preserve"> </w:t>
      </w:r>
    </w:p>
    <w:p w14:paraId="75998877" w14:textId="77777777" w:rsidR="006D5803" w:rsidRPr="002D28D0" w:rsidRDefault="006D5803" w:rsidP="006D5803">
      <w:pPr>
        <w:pStyle w:val="Prrafodelista"/>
        <w:autoSpaceDE w:val="0"/>
        <w:autoSpaceDN w:val="0"/>
        <w:adjustRightInd w:val="0"/>
        <w:spacing w:before="240" w:after="160" w:line="360" w:lineRule="auto"/>
        <w:ind w:left="0"/>
        <w:jc w:val="both"/>
        <w:rPr>
          <w:rFonts w:ascii="Palatino Linotype" w:hAnsi="Palatino Linotype" w:cs="Arial"/>
        </w:rPr>
      </w:pPr>
      <w:r w:rsidRPr="002D28D0">
        <w:rPr>
          <w:rFonts w:ascii="Palatino Linotype" w:hAnsi="Palatino Linotype" w:cs="Arial"/>
        </w:rPr>
        <w:lastRenderedPageBreak/>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6A224F87" w14:textId="77777777" w:rsidR="005C3CD1" w:rsidRPr="002D28D0" w:rsidRDefault="005C3CD1" w:rsidP="006D5803">
      <w:pPr>
        <w:pStyle w:val="Prrafodelista"/>
        <w:autoSpaceDE w:val="0"/>
        <w:autoSpaceDN w:val="0"/>
        <w:adjustRightInd w:val="0"/>
        <w:spacing w:before="240" w:after="160" w:line="360" w:lineRule="auto"/>
        <w:ind w:left="0"/>
        <w:jc w:val="both"/>
        <w:rPr>
          <w:rFonts w:ascii="Palatino Linotype" w:hAnsi="Palatino Linotype" w:cs="Arial"/>
        </w:rPr>
      </w:pPr>
    </w:p>
    <w:p w14:paraId="18D7943D" w14:textId="77777777" w:rsidR="00EE5878" w:rsidRPr="002D28D0" w:rsidRDefault="00EE5878" w:rsidP="00EE5878">
      <w:pPr>
        <w:pStyle w:val="Prrafodelista"/>
        <w:autoSpaceDE w:val="0"/>
        <w:autoSpaceDN w:val="0"/>
        <w:adjustRightInd w:val="0"/>
        <w:spacing w:before="240" w:after="160" w:line="360" w:lineRule="auto"/>
        <w:ind w:left="0"/>
        <w:jc w:val="both"/>
        <w:rPr>
          <w:rFonts w:ascii="Palatino Linotype" w:hAnsi="Palatino Linotype" w:cs="Arial"/>
          <w:b/>
          <w:sz w:val="28"/>
          <w:szCs w:val="28"/>
        </w:rPr>
      </w:pPr>
      <w:r w:rsidRPr="002D28D0">
        <w:rPr>
          <w:rFonts w:ascii="Palatino Linotype" w:hAnsi="Palatino Linotype" w:cs="Arial"/>
          <w:b/>
          <w:sz w:val="28"/>
        </w:rPr>
        <w:t>TERCERO</w:t>
      </w:r>
      <w:r w:rsidRPr="002D28D0">
        <w:rPr>
          <w:rFonts w:ascii="Palatino Linotype" w:hAnsi="Palatino Linotype" w:cs="Arial"/>
          <w:b/>
        </w:rPr>
        <w:t xml:space="preserve">. </w:t>
      </w:r>
      <w:r w:rsidRPr="002D28D0">
        <w:rPr>
          <w:rFonts w:ascii="Palatino Linotype" w:hAnsi="Palatino Linotype" w:cs="Arial"/>
          <w:b/>
          <w:sz w:val="28"/>
          <w:szCs w:val="28"/>
        </w:rPr>
        <w:t>De las causas de improcedencia.</w:t>
      </w:r>
    </w:p>
    <w:p w14:paraId="215EB736" w14:textId="77777777" w:rsidR="00EE5878" w:rsidRPr="002D28D0" w:rsidRDefault="00EE5878" w:rsidP="00EE5878">
      <w:pPr>
        <w:pStyle w:val="Prrafodelista"/>
        <w:autoSpaceDE w:val="0"/>
        <w:autoSpaceDN w:val="0"/>
        <w:adjustRightInd w:val="0"/>
        <w:spacing w:before="240" w:after="160" w:line="360" w:lineRule="auto"/>
        <w:ind w:left="0"/>
        <w:jc w:val="both"/>
        <w:rPr>
          <w:rFonts w:ascii="Palatino Linotype" w:hAnsi="Palatino Linotype" w:cs="Arial"/>
        </w:rPr>
      </w:pPr>
      <w:r w:rsidRPr="002D28D0">
        <w:rPr>
          <w:rFonts w:ascii="Palatino Linotype" w:hAnsi="Palatino Linotype" w:cs="Arial"/>
        </w:rPr>
        <w:t>En el procedimiento de acceso a la información y de los medios de impugnación de la materia, se advierten diversos supuestos de procedibilidad, los cuales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49A75E4B" w14:textId="77777777" w:rsidR="00EE5878" w:rsidRPr="002D28D0" w:rsidRDefault="00EE5878" w:rsidP="00EE5878">
      <w:pPr>
        <w:pStyle w:val="Prrafodelista"/>
        <w:autoSpaceDE w:val="0"/>
        <w:autoSpaceDN w:val="0"/>
        <w:adjustRightInd w:val="0"/>
        <w:spacing w:line="360" w:lineRule="auto"/>
        <w:ind w:left="0"/>
        <w:jc w:val="both"/>
        <w:rPr>
          <w:rFonts w:ascii="Palatino Linotype" w:hAnsi="Palatino Linotype" w:cs="Arial"/>
        </w:rPr>
      </w:pPr>
      <w:r w:rsidRPr="002D28D0">
        <w:rPr>
          <w:rFonts w:ascii="Palatino Linotype" w:hAnsi="Palatino Linotype" w:cs="Arial"/>
        </w:rPr>
        <w:t xml:space="preserve">Siendo facultad de este Órgano entrar al estudio de las causas de improcedencia que hagan valer las partes o que se adviertan de oficio por este Resolutor y por ende objeto de análisis previo al estudio de fondo del asunto, en los presupuestos procesales sobre el inicio o trámite de un proceso, generando eficacia jurídica en las resoluciones, máxime que se trata de una figura procesal adoptada en la ley de la materia, la cual impide su estudio y resolución cuando una vez admitido el recurso de revisión se </w:t>
      </w:r>
      <w:r w:rsidRPr="002D28D0">
        <w:rPr>
          <w:rFonts w:ascii="Palatino Linotype" w:hAnsi="Palatino Linotype" w:cs="Arial"/>
        </w:rPr>
        <w:lastRenderedPageBreak/>
        <w:t>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Pr="002D28D0">
        <w:rPr>
          <w:rStyle w:val="Refdenotaalpie"/>
          <w:rFonts w:ascii="Palatino Linotype" w:hAnsi="Palatino Linotype" w:cs="Arial"/>
        </w:rPr>
        <w:footnoteReference w:id="1"/>
      </w:r>
      <w:r w:rsidRPr="002D28D0">
        <w:rPr>
          <w:rFonts w:ascii="Palatino Linotype" w:hAnsi="Palatino Linotype" w:cs="Arial"/>
        </w:rPr>
        <w:t>. Así las cosas, del análisis de los expedientes electrónicos no se advierte ninguna causa de improcedencia que se actualice ni mucho menos alguna hecha valer por alguna de las partes, procediendo al estudio del fondo del asunto, en los siguientes términos.</w:t>
      </w:r>
    </w:p>
    <w:p w14:paraId="7135174C" w14:textId="77777777" w:rsidR="00101FCB" w:rsidRPr="002D28D0" w:rsidRDefault="00101FCB" w:rsidP="006D5803">
      <w:pPr>
        <w:tabs>
          <w:tab w:val="left" w:pos="709"/>
        </w:tabs>
        <w:spacing w:before="240" w:line="360" w:lineRule="auto"/>
        <w:ind w:right="51"/>
        <w:jc w:val="both"/>
        <w:rPr>
          <w:rFonts w:ascii="Palatino Linotype" w:hAnsi="Palatino Linotype"/>
          <w:b/>
          <w:sz w:val="28"/>
          <w:szCs w:val="28"/>
          <w:lang w:val="es-ES"/>
        </w:rPr>
      </w:pPr>
    </w:p>
    <w:p w14:paraId="7879D459" w14:textId="4E56C0F3" w:rsidR="006D5803" w:rsidRPr="002D28D0" w:rsidRDefault="006D5803" w:rsidP="006D5803">
      <w:pPr>
        <w:tabs>
          <w:tab w:val="left" w:pos="709"/>
        </w:tabs>
        <w:spacing w:before="240" w:line="360" w:lineRule="auto"/>
        <w:ind w:right="51"/>
        <w:jc w:val="both"/>
        <w:rPr>
          <w:rFonts w:ascii="Palatino Linotype" w:hAnsi="Palatino Linotype"/>
          <w:b/>
          <w:sz w:val="28"/>
          <w:szCs w:val="28"/>
        </w:rPr>
      </w:pPr>
      <w:r w:rsidRPr="002D28D0">
        <w:rPr>
          <w:rFonts w:ascii="Palatino Linotype" w:hAnsi="Palatino Linotype"/>
          <w:b/>
          <w:sz w:val="28"/>
          <w:szCs w:val="28"/>
        </w:rPr>
        <w:t xml:space="preserve">CUARTO. Estudio y resolución del asunto </w:t>
      </w:r>
      <w:r w:rsidRPr="002D28D0">
        <w:rPr>
          <w:rFonts w:ascii="Palatino Linotype" w:hAnsi="Palatino Linotype"/>
          <w:b/>
          <w:sz w:val="28"/>
          <w:szCs w:val="28"/>
        </w:rPr>
        <w:tab/>
      </w:r>
    </w:p>
    <w:p w14:paraId="212BC7ED" w14:textId="77777777" w:rsidR="007E24F0" w:rsidRPr="002D28D0" w:rsidRDefault="007E24F0" w:rsidP="007E24F0">
      <w:pPr>
        <w:pStyle w:val="Prrafodelista"/>
        <w:autoSpaceDE w:val="0"/>
        <w:autoSpaceDN w:val="0"/>
        <w:adjustRightInd w:val="0"/>
        <w:spacing w:before="240" w:after="160" w:line="360" w:lineRule="auto"/>
        <w:ind w:left="0"/>
        <w:jc w:val="both"/>
        <w:rPr>
          <w:rFonts w:ascii="Palatino Linotype" w:hAnsi="Palatino Linotype" w:cs="Arial"/>
        </w:rPr>
      </w:pPr>
      <w:r w:rsidRPr="002D28D0">
        <w:rPr>
          <w:rFonts w:ascii="Palatino Linotype" w:hAnsi="Palatino Linotype" w:cs="Arial"/>
        </w:rPr>
        <w:t xml:space="preserve">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w:t>
      </w:r>
      <w:r w:rsidRPr="002D28D0">
        <w:rPr>
          <w:rFonts w:ascii="Palatino Linotype" w:hAnsi="Palatino Linotype" w:cs="Arial"/>
        </w:rPr>
        <w:lastRenderedPageBreak/>
        <w:t xml:space="preserve">y demás leyes aplicables en la materia, así como en los tratados internacionales en los que el Estado Mexicano sea parte, en concordancia con el párrafo tercero del artículo 1 de la Constitución Federal y el diverso 8 de la Ley de Transparencia local. </w:t>
      </w:r>
    </w:p>
    <w:p w14:paraId="27A18A71" w14:textId="2E890C28" w:rsidR="007E24F0" w:rsidRPr="002D28D0" w:rsidRDefault="007E24F0" w:rsidP="007E24F0">
      <w:pPr>
        <w:spacing w:after="0" w:line="360" w:lineRule="auto"/>
        <w:jc w:val="both"/>
        <w:rPr>
          <w:rFonts w:ascii="Palatino Linotype" w:eastAsia="Times New Roman" w:hAnsi="Palatino Linotype" w:cs="Times New Roman"/>
          <w:sz w:val="24"/>
          <w:szCs w:val="24"/>
          <w:lang w:eastAsia="es-ES"/>
        </w:rPr>
      </w:pPr>
      <w:r w:rsidRPr="002D28D0">
        <w:rPr>
          <w:rFonts w:ascii="Palatino Linotype" w:hAnsi="Palatino Linotype" w:cs="Arial"/>
          <w:sz w:val="24"/>
          <w:szCs w:val="24"/>
        </w:rPr>
        <w:t xml:space="preserve">En este tenor, es necesario subrayar que </w:t>
      </w:r>
      <w:r w:rsidRPr="002D28D0">
        <w:rPr>
          <w:rFonts w:ascii="Palatino Linotype" w:eastAsia="Times New Roman" w:hAnsi="Palatino Linotype" w:cs="Times New Roman"/>
          <w:sz w:val="24"/>
          <w:szCs w:val="24"/>
          <w:lang w:eastAsia="es-ES"/>
        </w:rPr>
        <w:t xml:space="preserve">el derecho de acceso a la información </w:t>
      </w:r>
      <w:r w:rsidR="00271BC1" w:rsidRPr="002D28D0">
        <w:rPr>
          <w:rFonts w:ascii="Palatino Linotype" w:eastAsia="Times New Roman" w:hAnsi="Palatino Linotype" w:cs="Times New Roman"/>
          <w:sz w:val="24"/>
          <w:szCs w:val="24"/>
          <w:lang w:eastAsia="es-ES"/>
        </w:rPr>
        <w:t>pública</w:t>
      </w:r>
      <w:r w:rsidRPr="002D28D0">
        <w:rPr>
          <w:rFonts w:ascii="Palatino Linotype" w:eastAsia="Times New Roman" w:hAnsi="Palatino Linotype" w:cs="Times New Roman"/>
          <w:sz w:val="24"/>
          <w:szCs w:val="24"/>
          <w:lang w:eastAsia="es-ES"/>
        </w:rPr>
        <w:t xml:space="preserve"> implica que cualquier persona conozca la información contenida en los documentos que se encuentren en los archivos de los sujetos obligados, conforme a los artículos 4, 12, 24 último párrafo y 160 de la Ley local en la materia, que a la letra citan:</w:t>
      </w:r>
    </w:p>
    <w:p w14:paraId="7B48E57E"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b/>
          <w:i/>
          <w:lang w:eastAsia="es-ES"/>
        </w:rPr>
        <w:t>“Artículo 4.</w:t>
      </w:r>
      <w:r w:rsidRPr="002D28D0">
        <w:rPr>
          <w:rFonts w:ascii="Palatino Linotype" w:eastAsia="Times New Roman" w:hAnsi="Palatino Linotype" w:cs="Times New Roman"/>
          <w:i/>
          <w:lang w:eastAsia="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369907D0"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i/>
          <w:lang w:eastAsia="es-ES"/>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27CD85EA"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i/>
          <w:lang w:eastAsia="es-ES"/>
        </w:rPr>
        <w:t>Los sujetos obligados deben poner en práctica, políticas y programas de acceso a la información que se apeguen a criterios de publicidad, veracidad, oportunidad, precisión y suficiencia en beneficio de los solicitantes.</w:t>
      </w:r>
    </w:p>
    <w:p w14:paraId="12972333"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b/>
          <w:i/>
          <w:lang w:eastAsia="es-ES"/>
        </w:rPr>
        <w:lastRenderedPageBreak/>
        <w:t>Artículo 12.</w:t>
      </w:r>
      <w:r w:rsidRPr="002D28D0">
        <w:rPr>
          <w:rFonts w:ascii="Palatino Linotype" w:eastAsia="Times New Roman" w:hAnsi="Palatino Linotype" w:cs="Times New Roman"/>
          <w:i/>
          <w:lang w:eastAsia="es-ES"/>
        </w:rPr>
        <w:t xml:space="preserve"> Quienes generen, recopilen, administren, manejen, procesen, archiven o conserven información pública serán responsables de la misma en los términos de las disposiciones jurídicas aplicables.</w:t>
      </w:r>
    </w:p>
    <w:p w14:paraId="4B2E100D"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i/>
          <w:lang w:eastAsia="es-ES"/>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14:paraId="412AA93A"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i/>
          <w:lang w:eastAsia="es-ES"/>
        </w:rPr>
        <w:t>(…)</w:t>
      </w:r>
    </w:p>
    <w:p w14:paraId="1CAADC21" w14:textId="77777777" w:rsidR="007E24F0" w:rsidRPr="002D28D0" w:rsidRDefault="007E24F0" w:rsidP="007E24F0">
      <w:pPr>
        <w:spacing w:before="240" w:line="360" w:lineRule="auto"/>
        <w:ind w:left="851" w:right="851"/>
        <w:jc w:val="both"/>
        <w:rPr>
          <w:rFonts w:ascii="Palatino Linotype" w:eastAsia="Times New Roman" w:hAnsi="Palatino Linotype" w:cs="Times New Roman"/>
          <w:b/>
          <w:i/>
          <w:lang w:eastAsia="es-ES"/>
        </w:rPr>
      </w:pPr>
      <w:r w:rsidRPr="002D28D0">
        <w:rPr>
          <w:rFonts w:ascii="Palatino Linotype" w:eastAsia="Times New Roman" w:hAnsi="Palatino Linotype" w:cs="Times New Roman"/>
          <w:b/>
          <w:i/>
          <w:lang w:eastAsia="es-ES"/>
        </w:rPr>
        <w:t xml:space="preserve">Artículo 24. </w:t>
      </w:r>
    </w:p>
    <w:p w14:paraId="61CBB175"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i/>
          <w:lang w:eastAsia="es-ES"/>
        </w:rPr>
        <w:t>(…)</w:t>
      </w:r>
    </w:p>
    <w:p w14:paraId="5E63BCAE"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i/>
          <w:lang w:eastAsia="es-ES"/>
        </w:rPr>
        <w:t>Los sujetos obligados solo proporcionarán la información pública que generen, administren o posean en el ejercicio de sus atribuciones.”</w:t>
      </w:r>
    </w:p>
    <w:p w14:paraId="334A3D9F"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i/>
          <w:lang w:eastAsia="es-ES"/>
        </w:rPr>
        <w:t>(…)</w:t>
      </w:r>
    </w:p>
    <w:p w14:paraId="422AD181" w14:textId="77777777" w:rsidR="007E24F0" w:rsidRPr="002D28D0" w:rsidRDefault="007E24F0" w:rsidP="007E24F0">
      <w:pPr>
        <w:spacing w:before="240" w:line="360" w:lineRule="auto"/>
        <w:ind w:left="851" w:right="851"/>
        <w:jc w:val="both"/>
        <w:rPr>
          <w:rFonts w:ascii="Palatino Linotype" w:eastAsia="Times New Roman" w:hAnsi="Palatino Linotype" w:cs="Times New Roman"/>
          <w:i/>
          <w:lang w:eastAsia="es-ES"/>
        </w:rPr>
      </w:pPr>
      <w:r w:rsidRPr="002D28D0">
        <w:rPr>
          <w:rFonts w:ascii="Palatino Linotype" w:eastAsia="Times New Roman" w:hAnsi="Palatino Linotype" w:cs="Times New Roman"/>
          <w:b/>
          <w:i/>
          <w:lang w:eastAsia="es-ES"/>
        </w:rPr>
        <w:t>Artículo 160.</w:t>
      </w:r>
      <w:r w:rsidRPr="002D28D0">
        <w:rPr>
          <w:rFonts w:ascii="Palatino Linotype" w:eastAsia="Times New Roman" w:hAnsi="Palatino Linotype" w:cs="Times New Roman"/>
          <w:i/>
          <w:lang w:eastAsia="es-ES"/>
        </w:rPr>
        <w:t xml:space="preserve"> Los sujetos obligados deberán otorgar acceso a los documentos que se </w:t>
      </w:r>
      <w:r w:rsidRPr="002D28D0">
        <w:rPr>
          <w:rFonts w:ascii="Palatino Linotype" w:eastAsia="Times New Roman" w:hAnsi="Palatino Linotype" w:cs="Times New Roman"/>
          <w:b/>
          <w:i/>
          <w:lang w:eastAsia="es-ES"/>
        </w:rPr>
        <w:t xml:space="preserve"> </w:t>
      </w:r>
      <w:r w:rsidRPr="002D28D0">
        <w:rPr>
          <w:rFonts w:ascii="Palatino Linotype" w:eastAsia="Times New Roman" w:hAnsi="Palatino Linotype" w:cs="Times New Roman"/>
          <w:i/>
          <w:lang w:eastAsia="es-ES"/>
        </w:rPr>
        <w:t>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7FB42C68" w14:textId="77777777" w:rsidR="007E24F0" w:rsidRPr="002D28D0" w:rsidRDefault="007E24F0" w:rsidP="007E24F0">
      <w:pPr>
        <w:spacing w:before="240" w:line="360" w:lineRule="auto"/>
        <w:ind w:left="851" w:right="851"/>
        <w:jc w:val="both"/>
        <w:rPr>
          <w:rFonts w:ascii="Palatino Linotype" w:eastAsia="Times New Roman" w:hAnsi="Palatino Linotype" w:cs="Times New Roman"/>
          <w:b/>
          <w:i/>
          <w:lang w:eastAsia="es-ES"/>
        </w:rPr>
      </w:pPr>
      <w:r w:rsidRPr="002D28D0">
        <w:rPr>
          <w:rFonts w:ascii="Palatino Linotype" w:eastAsia="Times New Roman" w:hAnsi="Palatino Linotype" w:cs="Times New Roman"/>
          <w:i/>
          <w:lang w:eastAsia="es-ES"/>
        </w:rPr>
        <w:t>En caso que la información solicitada consista en bases de datos se deberá privilegiar la entrega de la misma en formatos abiertos.”</w:t>
      </w:r>
      <w:r w:rsidRPr="002D28D0">
        <w:rPr>
          <w:rFonts w:ascii="Palatino Linotype" w:eastAsia="Times New Roman" w:hAnsi="Palatino Linotype" w:cs="Times New Roman"/>
          <w:b/>
          <w:i/>
          <w:lang w:eastAsia="es-ES"/>
        </w:rPr>
        <w:t>[Sic]</w:t>
      </w:r>
    </w:p>
    <w:p w14:paraId="5C825004" w14:textId="77777777" w:rsidR="00B76467" w:rsidRPr="002D28D0" w:rsidRDefault="00B76467" w:rsidP="007E24F0">
      <w:pPr>
        <w:spacing w:after="0" w:line="360" w:lineRule="auto"/>
        <w:jc w:val="both"/>
        <w:rPr>
          <w:rFonts w:ascii="Palatino Linotype" w:eastAsia="Times New Roman" w:hAnsi="Palatino Linotype" w:cs="Times New Roman"/>
          <w:sz w:val="24"/>
          <w:szCs w:val="24"/>
          <w:lang w:eastAsia="es-ES"/>
        </w:rPr>
      </w:pPr>
    </w:p>
    <w:p w14:paraId="51546EE5" w14:textId="1DFE165E" w:rsidR="007E24F0" w:rsidRPr="002D28D0" w:rsidRDefault="007E24F0" w:rsidP="007E24F0">
      <w:pPr>
        <w:spacing w:after="0" w:line="360" w:lineRule="auto"/>
        <w:jc w:val="both"/>
        <w:rPr>
          <w:rFonts w:ascii="Palatino Linotype" w:eastAsia="Times New Roman" w:hAnsi="Palatino Linotype" w:cs="Times New Roman"/>
          <w:sz w:val="24"/>
          <w:szCs w:val="24"/>
          <w:lang w:eastAsia="es-ES"/>
        </w:rPr>
      </w:pPr>
      <w:r w:rsidRPr="002D28D0">
        <w:rPr>
          <w:rFonts w:ascii="Palatino Linotype" w:eastAsia="Times New Roman" w:hAnsi="Palatino Linotype" w:cs="Times New Roman"/>
          <w:sz w:val="24"/>
          <w:szCs w:val="24"/>
          <w:lang w:eastAsia="es-ES"/>
        </w:rPr>
        <w:lastRenderedPageBreak/>
        <w:t xml:space="preserve">Así que la obligación de los </w:t>
      </w:r>
      <w:r w:rsidRPr="002D28D0">
        <w:rPr>
          <w:rFonts w:ascii="Palatino Linotype" w:eastAsia="Times New Roman" w:hAnsi="Palatino Linotype" w:cs="Times New Roman"/>
          <w:b/>
          <w:sz w:val="24"/>
          <w:szCs w:val="24"/>
          <w:lang w:eastAsia="es-ES"/>
        </w:rPr>
        <w:t>Sujetos Obligados</w:t>
      </w:r>
      <w:r w:rsidRPr="002D28D0">
        <w:rPr>
          <w:rFonts w:ascii="Palatino Linotype" w:eastAsia="Times New Roman" w:hAnsi="Palatino Linotype" w:cs="Times New Roman"/>
          <w:sz w:val="24"/>
          <w:szCs w:val="24"/>
          <w:lang w:eastAsia="es-ES"/>
        </w:rPr>
        <w:t xml:space="preserve"> de dar acceso a la información pública que generen, </w:t>
      </w:r>
      <w:r w:rsidR="00E77866" w:rsidRPr="002D28D0">
        <w:rPr>
          <w:rFonts w:ascii="Palatino Linotype" w:eastAsia="Times New Roman" w:hAnsi="Palatino Linotype" w:cs="Times New Roman"/>
          <w:sz w:val="24"/>
          <w:szCs w:val="24"/>
          <w:lang w:eastAsia="es-ES"/>
        </w:rPr>
        <w:t>administre</w:t>
      </w:r>
      <w:r w:rsidRPr="002D28D0">
        <w:rPr>
          <w:rFonts w:ascii="Palatino Linotype" w:eastAsia="Times New Roman" w:hAnsi="Palatino Linotype" w:cs="Times New Roman"/>
          <w:sz w:val="24"/>
          <w:szCs w:val="24"/>
          <w:lang w:eastAsia="es-ES"/>
        </w:rPr>
        <w:t xml:space="preserve"> o posean, se tendrá por cumplida cuando el solicitante tenga a su disposición la información requerida, o cuando realice la consulta de la misma en el lugar que ésta se localice, de acuerdo a lo señalado por el artículo 166 </w:t>
      </w:r>
      <w:r w:rsidRPr="002D28D0">
        <w:rPr>
          <w:rFonts w:ascii="Palatino Linotype" w:eastAsia="Times New Roman" w:hAnsi="Palatino Linotype" w:cs="Times New Roman"/>
          <w:bCs/>
          <w:sz w:val="24"/>
          <w:szCs w:val="24"/>
          <w:lang w:eastAsia="es-ES"/>
        </w:rPr>
        <w:t>de la Ley local en la materia, que se reproduce de la siguiente forma</w:t>
      </w:r>
      <w:r w:rsidRPr="002D28D0">
        <w:rPr>
          <w:rFonts w:ascii="Palatino Linotype" w:eastAsia="Times New Roman" w:hAnsi="Palatino Linotype" w:cs="Times New Roman"/>
          <w:sz w:val="24"/>
          <w:szCs w:val="24"/>
          <w:lang w:eastAsia="es-ES"/>
        </w:rPr>
        <w:t>:</w:t>
      </w:r>
    </w:p>
    <w:p w14:paraId="2F2F2334" w14:textId="77777777" w:rsidR="007E24F0" w:rsidRPr="002D28D0" w:rsidRDefault="007E24F0" w:rsidP="007E24F0">
      <w:pPr>
        <w:spacing w:before="240" w:line="360" w:lineRule="auto"/>
        <w:ind w:left="851" w:right="851"/>
        <w:jc w:val="both"/>
        <w:rPr>
          <w:rFonts w:ascii="Palatino Linotype" w:eastAsia="Times New Roman" w:hAnsi="Palatino Linotype" w:cs="Arial"/>
          <w:b/>
          <w:i/>
          <w:lang w:eastAsia="es-ES"/>
        </w:rPr>
      </w:pPr>
      <w:r w:rsidRPr="002D28D0">
        <w:rPr>
          <w:rFonts w:ascii="Palatino Linotype" w:eastAsia="Times New Roman" w:hAnsi="Palatino Linotype" w:cs="Arial"/>
          <w:i/>
          <w:lang w:eastAsia="es-ES"/>
        </w:rPr>
        <w:t xml:space="preserve">“Artículo 166. La obligación de acceso a la información pública se tendrá por cumplida cuando el solicitante tenga a su disposición la información requerida, o cuando realice la consulta de la misma en el lugar en el que ésta se localice.” </w:t>
      </w:r>
      <w:r w:rsidRPr="002D28D0">
        <w:rPr>
          <w:rFonts w:ascii="Palatino Linotype" w:eastAsia="Times New Roman" w:hAnsi="Palatino Linotype" w:cs="Arial"/>
          <w:b/>
          <w:i/>
          <w:lang w:eastAsia="es-ES"/>
        </w:rPr>
        <w:t>[Sic]</w:t>
      </w:r>
    </w:p>
    <w:p w14:paraId="42E16AD1" w14:textId="77777777" w:rsidR="00D52E7A" w:rsidRPr="002D28D0" w:rsidRDefault="00D52E7A" w:rsidP="00871F78">
      <w:pPr>
        <w:spacing w:before="240" w:line="360" w:lineRule="auto"/>
        <w:jc w:val="both"/>
        <w:rPr>
          <w:rFonts w:ascii="Palatino Linotype" w:hAnsi="Palatino Linotype"/>
          <w:sz w:val="24"/>
          <w:szCs w:val="24"/>
        </w:rPr>
      </w:pPr>
    </w:p>
    <w:p w14:paraId="7BA4B72C" w14:textId="5901DABF" w:rsidR="00A91347" w:rsidRPr="002D28D0" w:rsidRDefault="0072378A" w:rsidP="00871F78">
      <w:pPr>
        <w:spacing w:before="240" w:line="360" w:lineRule="auto"/>
        <w:jc w:val="both"/>
        <w:rPr>
          <w:rFonts w:ascii="Palatino Linotype" w:hAnsi="Palatino Linotype"/>
          <w:sz w:val="24"/>
          <w:szCs w:val="24"/>
        </w:rPr>
      </w:pPr>
      <w:r w:rsidRPr="002D28D0">
        <w:rPr>
          <w:rFonts w:ascii="Palatino Linotype" w:hAnsi="Palatino Linotype"/>
          <w:sz w:val="24"/>
          <w:szCs w:val="24"/>
        </w:rPr>
        <w:t xml:space="preserve">Una vez sentado lo anterior, </w:t>
      </w:r>
      <w:r w:rsidR="00DF1297" w:rsidRPr="002D28D0">
        <w:rPr>
          <w:rFonts w:ascii="Palatino Linotype" w:hAnsi="Palatino Linotype"/>
          <w:sz w:val="24"/>
          <w:szCs w:val="24"/>
        </w:rPr>
        <w:t xml:space="preserve">con </w:t>
      </w:r>
      <w:r w:rsidR="00A818AB" w:rsidRPr="002D28D0">
        <w:rPr>
          <w:rFonts w:ascii="Palatino Linotype" w:hAnsi="Palatino Linotype"/>
          <w:sz w:val="24"/>
          <w:szCs w:val="24"/>
        </w:rPr>
        <w:t xml:space="preserve">base en una interpretación literal y gramatical a la solicitud de información </w:t>
      </w:r>
      <w:r w:rsidR="00A91347" w:rsidRPr="002D28D0">
        <w:rPr>
          <w:rFonts w:ascii="Palatino Linotype" w:hAnsi="Palatino Linotype"/>
          <w:b/>
          <w:bCs/>
          <w:sz w:val="24"/>
          <w:szCs w:val="24"/>
        </w:rPr>
        <w:t xml:space="preserve">02835/TOLUCA/IP/2022 </w:t>
      </w:r>
      <w:r w:rsidR="00A91347" w:rsidRPr="002D28D0">
        <w:rPr>
          <w:rFonts w:ascii="Palatino Linotype" w:hAnsi="Palatino Linotype"/>
          <w:sz w:val="24"/>
          <w:szCs w:val="24"/>
        </w:rPr>
        <w:t xml:space="preserve">se advierte que fueron formulados </w:t>
      </w:r>
      <w:r w:rsidR="00A91347" w:rsidRPr="002D28D0">
        <w:rPr>
          <w:rFonts w:ascii="Palatino Linotype" w:hAnsi="Palatino Linotype"/>
          <w:b/>
          <w:bCs/>
          <w:sz w:val="24"/>
          <w:szCs w:val="24"/>
        </w:rPr>
        <w:t xml:space="preserve">4 -cuatro- </w:t>
      </w:r>
      <w:r w:rsidR="00A91347" w:rsidRPr="002D28D0">
        <w:rPr>
          <w:rFonts w:ascii="Palatino Linotype" w:hAnsi="Palatino Linotype"/>
          <w:sz w:val="24"/>
          <w:szCs w:val="24"/>
        </w:rPr>
        <w:t>requerimientos respecto de los cuales se desprenden las siguientes consideraciones:</w:t>
      </w:r>
    </w:p>
    <w:p w14:paraId="3731C8AC" w14:textId="76951A4D" w:rsidR="00A91347" w:rsidRPr="002D28D0" w:rsidRDefault="00A91347">
      <w:pPr>
        <w:pStyle w:val="Prrafodelista"/>
        <w:numPr>
          <w:ilvl w:val="0"/>
          <w:numId w:val="6"/>
        </w:numPr>
        <w:spacing w:before="240" w:line="360" w:lineRule="auto"/>
        <w:jc w:val="both"/>
        <w:rPr>
          <w:rFonts w:ascii="Palatino Linotype" w:hAnsi="Palatino Linotype"/>
        </w:rPr>
      </w:pPr>
      <w:r w:rsidRPr="002D28D0">
        <w:rPr>
          <w:rFonts w:ascii="Palatino Linotype" w:hAnsi="Palatino Linotype"/>
        </w:rPr>
        <w:t xml:space="preserve">Que en referencia a los requerimientos no fue delimitado elemento temporal, debiendo de ser fijado a la fecha en que se ejerció el derecho de acceso a la información pública, es decir, al ocho de diciembre de dos mil veintidós. </w:t>
      </w:r>
    </w:p>
    <w:p w14:paraId="51560607" w14:textId="77777777" w:rsidR="00A91347" w:rsidRPr="002D28D0" w:rsidRDefault="00A91347">
      <w:pPr>
        <w:pStyle w:val="Prrafodelista"/>
        <w:numPr>
          <w:ilvl w:val="0"/>
          <w:numId w:val="7"/>
        </w:numPr>
        <w:spacing w:before="240" w:line="360" w:lineRule="auto"/>
        <w:jc w:val="both"/>
        <w:rPr>
          <w:rFonts w:ascii="Palatino Linotype" w:hAnsi="Palatino Linotype"/>
        </w:rPr>
      </w:pPr>
      <w:r w:rsidRPr="002D28D0">
        <w:rPr>
          <w:rFonts w:ascii="Palatino Linotype" w:hAnsi="Palatino Linotype"/>
        </w:rPr>
        <w:t xml:space="preserve">Que en referencia a los requerimientos </w:t>
      </w:r>
      <w:r w:rsidRPr="002D28D0">
        <w:rPr>
          <w:rFonts w:ascii="Palatino Linotype" w:hAnsi="Palatino Linotype"/>
          <w:b/>
          <w:bCs/>
        </w:rPr>
        <w:t xml:space="preserve">1 -uno- </w:t>
      </w:r>
      <w:r w:rsidRPr="002D28D0">
        <w:rPr>
          <w:rFonts w:ascii="Palatino Linotype" w:hAnsi="Palatino Linotype"/>
        </w:rPr>
        <w:t xml:space="preserve">y </w:t>
      </w:r>
      <w:r w:rsidRPr="002D28D0">
        <w:rPr>
          <w:rFonts w:ascii="Palatino Linotype" w:hAnsi="Palatino Linotype"/>
          <w:b/>
          <w:bCs/>
        </w:rPr>
        <w:t xml:space="preserve">4 -cuatro-, </w:t>
      </w:r>
      <w:r w:rsidRPr="002D28D0">
        <w:rPr>
          <w:rFonts w:ascii="Palatino Linotype" w:hAnsi="Palatino Linotype"/>
        </w:rPr>
        <w:t xml:space="preserve">se destaca que cuando los particulares no identifican de forma precisa el documento requerido bastará con que se remita cualquiera que refleje la información requerida. Al respecto cobra relevancia el criterio emitido por el Órgano Garante Nacional con número </w:t>
      </w:r>
      <w:r w:rsidRPr="002D28D0">
        <w:rPr>
          <w:rFonts w:ascii="Palatino Linotype" w:hAnsi="Palatino Linotype"/>
          <w:b/>
          <w:bCs/>
        </w:rPr>
        <w:t xml:space="preserve">16/17 </w:t>
      </w:r>
      <w:r w:rsidRPr="002D28D0">
        <w:rPr>
          <w:rFonts w:ascii="Palatino Linotype" w:hAnsi="Palatino Linotype"/>
        </w:rPr>
        <w:t>cuyo rubro y texto disponen a la literalidad lo siguiente:</w:t>
      </w:r>
    </w:p>
    <w:p w14:paraId="6C320FE2" w14:textId="77777777" w:rsidR="00A91347" w:rsidRPr="002D28D0" w:rsidRDefault="00A91347" w:rsidP="00A91347">
      <w:pPr>
        <w:pStyle w:val="Citas"/>
        <w:jc w:val="center"/>
        <w:rPr>
          <w:b/>
          <w:bCs/>
          <w:sz w:val="24"/>
          <w:szCs w:val="24"/>
        </w:rPr>
      </w:pPr>
      <w:r w:rsidRPr="002D28D0">
        <w:rPr>
          <w:b/>
          <w:bCs/>
          <w:sz w:val="24"/>
          <w:szCs w:val="24"/>
        </w:rPr>
        <w:lastRenderedPageBreak/>
        <w:t>“EXPRESIÓN DOCUMENTAL.</w:t>
      </w:r>
    </w:p>
    <w:p w14:paraId="57984D08" w14:textId="77777777" w:rsidR="00A91347" w:rsidRPr="002D28D0" w:rsidRDefault="00A91347" w:rsidP="00A91347">
      <w:pPr>
        <w:pStyle w:val="Citas"/>
        <w:rPr>
          <w:szCs w:val="24"/>
        </w:rPr>
      </w:pPr>
      <w:r w:rsidRPr="002D28D0">
        <w:rPr>
          <w:bCs/>
          <w:szCs w:val="24"/>
        </w:rPr>
        <w:t>Cuando</w:t>
      </w:r>
      <w:r w:rsidRPr="002D28D0">
        <w:rPr>
          <w:lang w:val="es-ES"/>
        </w:rPr>
        <w:t xml:space="preserve"> los particulares presenten solicitudes de acceso a la información sin identificar de forma precisa la documentación que pudiera contener la información de su interés, </w:t>
      </w:r>
      <w:r w:rsidRPr="002D28D0">
        <w:rPr>
          <w:szCs w:val="24"/>
        </w:rPr>
        <w:t>o bien, la solicitud constituya una consulta,</w:t>
      </w:r>
      <w:r w:rsidRPr="002D28D0">
        <w:rPr>
          <w:lang w:val="es-ES"/>
        </w:rPr>
        <w:t xml:space="preserve"> pero la respuesta pudiera obrar en algún documento en poder de los sujetos obligados, éstos deben dar a dichas solicitudes una interpretación que les otorgue una expresión documental. </w:t>
      </w:r>
    </w:p>
    <w:p w14:paraId="08D01688" w14:textId="77777777" w:rsidR="00A91347" w:rsidRPr="002D28D0" w:rsidRDefault="00A91347" w:rsidP="00A91347">
      <w:pPr>
        <w:pStyle w:val="Citas"/>
        <w:rPr>
          <w:b/>
        </w:rPr>
      </w:pPr>
      <w:r w:rsidRPr="002D28D0">
        <w:rPr>
          <w:b/>
        </w:rPr>
        <w:t>Precedentes:</w:t>
      </w:r>
    </w:p>
    <w:p w14:paraId="31FD2517" w14:textId="77777777" w:rsidR="00A91347" w:rsidRPr="002D28D0" w:rsidRDefault="00A91347">
      <w:pPr>
        <w:pStyle w:val="Citas"/>
        <w:numPr>
          <w:ilvl w:val="0"/>
          <w:numId w:val="8"/>
        </w:numPr>
        <w:rPr>
          <w:color w:val="000000"/>
        </w:rPr>
      </w:pPr>
      <w:r w:rsidRPr="002D28D0">
        <w:t xml:space="preserve">Acceso a la información pública. RRA 0774/16. Sesión del 31 de agosto de 2016. Votación por unanimidad. </w:t>
      </w:r>
      <w:r w:rsidRPr="002D28D0">
        <w:rPr>
          <w:rFonts w:eastAsia="Arial"/>
        </w:rPr>
        <w:t>Sin votos disidentes o particulares.</w:t>
      </w:r>
      <w:r w:rsidRPr="002D28D0">
        <w:t xml:space="preserve"> Secretaría de Salud. Comisionada Ponente María Patricia </w:t>
      </w:r>
      <w:proofErr w:type="spellStart"/>
      <w:r w:rsidRPr="002D28D0">
        <w:t>Kurczyn</w:t>
      </w:r>
      <w:proofErr w:type="spellEnd"/>
      <w:r w:rsidRPr="002D28D0">
        <w:t xml:space="preserve"> Villalobos.</w:t>
      </w:r>
    </w:p>
    <w:p w14:paraId="5784BA59" w14:textId="77777777" w:rsidR="00A91347" w:rsidRPr="002D28D0" w:rsidRDefault="00A91347">
      <w:pPr>
        <w:pStyle w:val="Citas"/>
        <w:numPr>
          <w:ilvl w:val="0"/>
          <w:numId w:val="8"/>
        </w:numPr>
        <w:rPr>
          <w:color w:val="000000"/>
        </w:rPr>
      </w:pPr>
      <w:r w:rsidRPr="002D28D0">
        <w:t xml:space="preserve">Acceso a la información pública. RRA 0143/17. Sesión del 22 de febrero de 2017. Votación por unanimidad. </w:t>
      </w:r>
      <w:r w:rsidRPr="002D28D0">
        <w:rPr>
          <w:rFonts w:eastAsia="Arial"/>
        </w:rPr>
        <w:t>Sin votos disidentes o particulares.</w:t>
      </w:r>
      <w:r w:rsidRPr="002D28D0">
        <w:t xml:space="preserve"> Universidad Autónoma Agraria Antonio Narro. Comisionado Ponente Oscar Mauricio Guerra Ford. </w:t>
      </w:r>
    </w:p>
    <w:p w14:paraId="19EDBDC1" w14:textId="77777777" w:rsidR="00A91347" w:rsidRPr="002D28D0" w:rsidRDefault="00A91347">
      <w:pPr>
        <w:pStyle w:val="Citas"/>
        <w:numPr>
          <w:ilvl w:val="0"/>
          <w:numId w:val="8"/>
        </w:numPr>
        <w:rPr>
          <w:color w:val="000000"/>
        </w:rPr>
      </w:pPr>
      <w:r w:rsidRPr="002D28D0">
        <w:t xml:space="preserve">Acceso a la información pública. RRA 0540/17. Sesión del 08 de marzo del 2017. Votación por unanimidad. </w:t>
      </w:r>
      <w:r w:rsidRPr="002D28D0">
        <w:rPr>
          <w:rFonts w:eastAsia="Arial"/>
        </w:rPr>
        <w:t>Sin votos disidentes o particulares.</w:t>
      </w:r>
      <w:r w:rsidRPr="002D28D0">
        <w:t xml:space="preserve"> Secretaría de Economía. Comisionado Ponente Francisco Javier Acuña Llamas. “ </w:t>
      </w:r>
      <w:r w:rsidRPr="002D28D0">
        <w:rPr>
          <w:b/>
          <w:bCs/>
        </w:rPr>
        <w:t>(Sic)</w:t>
      </w:r>
    </w:p>
    <w:p w14:paraId="75513F3A" w14:textId="77777777" w:rsidR="00A91347" w:rsidRPr="002D28D0" w:rsidRDefault="00A91347" w:rsidP="00A91347">
      <w:pPr>
        <w:spacing w:before="240" w:line="360" w:lineRule="auto"/>
        <w:jc w:val="both"/>
        <w:rPr>
          <w:rFonts w:ascii="Palatino Linotype" w:hAnsi="Palatino Linotype"/>
        </w:rPr>
      </w:pPr>
    </w:p>
    <w:p w14:paraId="11EC2020" w14:textId="77777777" w:rsidR="00A91347" w:rsidRPr="002D28D0" w:rsidRDefault="00A91347" w:rsidP="00A91347">
      <w:pPr>
        <w:spacing w:before="240" w:line="360" w:lineRule="auto"/>
        <w:jc w:val="both"/>
        <w:rPr>
          <w:rFonts w:ascii="Palatino Linotype" w:hAnsi="Palatino Linotype"/>
          <w:sz w:val="24"/>
          <w:szCs w:val="24"/>
        </w:rPr>
      </w:pPr>
      <w:r w:rsidRPr="002D28D0">
        <w:rPr>
          <w:rFonts w:ascii="Palatino Linotype" w:hAnsi="Palatino Linotype"/>
          <w:sz w:val="24"/>
          <w:szCs w:val="24"/>
        </w:rPr>
        <w:t xml:space="preserve">Dichas precisiones, con fundamento en los artículos 13 y 181 cuarto párrafo de la Ley en materia, los cuales a la letra rezan: </w:t>
      </w:r>
    </w:p>
    <w:p w14:paraId="2A991AC2" w14:textId="77777777" w:rsidR="00A91347" w:rsidRPr="002D28D0" w:rsidRDefault="00A91347" w:rsidP="00A91347">
      <w:pPr>
        <w:pStyle w:val="Citas"/>
      </w:pPr>
      <w:r w:rsidRPr="002D28D0">
        <w:rPr>
          <w:b/>
          <w:bCs/>
        </w:rPr>
        <w:lastRenderedPageBreak/>
        <w:t xml:space="preserve">“Artículo 13. </w:t>
      </w:r>
      <w:r w:rsidRPr="002D28D0">
        <w:t>El Instituto, en el ámbito de sus atribuciones, deberá suplir cualquier deficiencia para garantizar el ejercicio del derecho de acceso a la información.</w:t>
      </w:r>
    </w:p>
    <w:p w14:paraId="4EA4419E" w14:textId="77777777" w:rsidR="00A91347" w:rsidRPr="002D28D0" w:rsidRDefault="00A91347" w:rsidP="00A91347">
      <w:pPr>
        <w:pStyle w:val="Citas"/>
        <w:rPr>
          <w:b/>
        </w:rPr>
      </w:pPr>
      <w:r w:rsidRPr="002D28D0">
        <w:rPr>
          <w:b/>
        </w:rPr>
        <w:t xml:space="preserve">Artículo 181. … </w:t>
      </w:r>
    </w:p>
    <w:p w14:paraId="0E762CA2" w14:textId="77777777" w:rsidR="00A91347" w:rsidRPr="002D28D0" w:rsidRDefault="00A91347" w:rsidP="00A91347">
      <w:pPr>
        <w:pStyle w:val="Citas"/>
        <w:rPr>
          <w:b/>
        </w:rPr>
      </w:pPr>
      <w:r w:rsidRPr="002D28D0">
        <w:t xml:space="preserve">Durante el procedimiento deberá aplicarse la suplencia de la queja a favor del recurrente, sin cambiar los hechos expuestos, asegurándose de que las partes puedan presentar, de manera oral o escrita, los argumentos que funden y motiven sus pretensiones.” </w:t>
      </w:r>
      <w:r w:rsidRPr="002D28D0">
        <w:rPr>
          <w:b/>
        </w:rPr>
        <w:t>[Sic]</w:t>
      </w:r>
    </w:p>
    <w:p w14:paraId="669AFB58" w14:textId="77777777" w:rsidR="00A91347" w:rsidRPr="002D28D0" w:rsidRDefault="00A91347" w:rsidP="00A91347">
      <w:pPr>
        <w:spacing w:before="240" w:line="360" w:lineRule="auto"/>
        <w:jc w:val="both"/>
        <w:rPr>
          <w:rFonts w:ascii="Palatino Linotype" w:hAnsi="Palatino Linotype"/>
          <w:sz w:val="24"/>
          <w:szCs w:val="24"/>
        </w:rPr>
      </w:pPr>
    </w:p>
    <w:p w14:paraId="62A95D85" w14:textId="77777777" w:rsidR="00A91347" w:rsidRPr="002D28D0" w:rsidRDefault="00A91347" w:rsidP="00A91347">
      <w:pPr>
        <w:spacing w:before="240" w:line="360" w:lineRule="auto"/>
        <w:jc w:val="both"/>
        <w:rPr>
          <w:rFonts w:ascii="Palatino Linotype" w:hAnsi="Palatino Linotype"/>
          <w:sz w:val="24"/>
          <w:szCs w:val="24"/>
        </w:rPr>
      </w:pPr>
      <w:r w:rsidRPr="002D28D0">
        <w:rPr>
          <w:rFonts w:ascii="Palatino Linotype" w:hAnsi="Palatino Linotype"/>
          <w:sz w:val="24"/>
          <w:szCs w:val="24"/>
        </w:rPr>
        <w:t xml:space="preserve">Bajo estas líneas argumentativas, al retomar y delimitar los requerimientos formulados por el ahora </w:t>
      </w:r>
      <w:r w:rsidRPr="002D28D0">
        <w:rPr>
          <w:rFonts w:ascii="Palatino Linotype" w:hAnsi="Palatino Linotype"/>
          <w:b/>
          <w:bCs/>
          <w:sz w:val="24"/>
          <w:szCs w:val="24"/>
        </w:rPr>
        <w:t xml:space="preserve">Recurrente, </w:t>
      </w:r>
      <w:r w:rsidRPr="002D28D0">
        <w:rPr>
          <w:rFonts w:ascii="Palatino Linotype" w:hAnsi="Palatino Linotype"/>
          <w:sz w:val="24"/>
          <w:szCs w:val="24"/>
        </w:rPr>
        <w:t xml:space="preserve">de manera objetiva se precisa que versa en conocer la siguiente información: </w:t>
      </w:r>
    </w:p>
    <w:p w14:paraId="511EE878" w14:textId="060B4670" w:rsidR="00A91347" w:rsidRPr="002D28D0" w:rsidRDefault="00A91347">
      <w:pPr>
        <w:pStyle w:val="Prrafodelista"/>
        <w:numPr>
          <w:ilvl w:val="0"/>
          <w:numId w:val="9"/>
        </w:numPr>
        <w:spacing w:before="240" w:line="360" w:lineRule="auto"/>
        <w:jc w:val="both"/>
        <w:rPr>
          <w:rFonts w:ascii="Palatino Linotype" w:hAnsi="Palatino Linotype"/>
        </w:rPr>
      </w:pPr>
      <w:bookmarkStart w:id="1" w:name="_Hlk129020851"/>
      <w:r w:rsidRPr="002D28D0">
        <w:rPr>
          <w:rFonts w:ascii="Palatino Linotype" w:hAnsi="Palatino Linotype"/>
        </w:rPr>
        <w:t>Acta o documento que ampare la adjudicación a favor de la empresa que</w:t>
      </w:r>
      <w:r w:rsidR="00676B1E" w:rsidRPr="002D28D0">
        <w:rPr>
          <w:rFonts w:ascii="Palatino Linotype" w:hAnsi="Palatino Linotype"/>
        </w:rPr>
        <w:t xml:space="preserve"> </w:t>
      </w:r>
      <w:r w:rsidR="00CA0309" w:rsidRPr="002D28D0">
        <w:rPr>
          <w:rFonts w:ascii="Palatino Linotype" w:hAnsi="Palatino Linotype"/>
        </w:rPr>
        <w:t>está</w:t>
      </w:r>
      <w:r w:rsidR="00676B1E" w:rsidRPr="002D28D0">
        <w:rPr>
          <w:rFonts w:ascii="Palatino Linotype" w:hAnsi="Palatino Linotype"/>
        </w:rPr>
        <w:t xml:space="preserve"> a cargo de parquímetros, al ocho de diciembre de dos mil veintidós. </w:t>
      </w:r>
    </w:p>
    <w:p w14:paraId="366FF1B7" w14:textId="39BA217E" w:rsidR="00676B1E" w:rsidRPr="002D28D0" w:rsidRDefault="00676B1E">
      <w:pPr>
        <w:pStyle w:val="Prrafodelista"/>
        <w:numPr>
          <w:ilvl w:val="0"/>
          <w:numId w:val="9"/>
        </w:numPr>
        <w:spacing w:before="240" w:line="360" w:lineRule="auto"/>
        <w:jc w:val="both"/>
        <w:rPr>
          <w:rFonts w:ascii="Palatino Linotype" w:hAnsi="Palatino Linotype"/>
        </w:rPr>
      </w:pPr>
      <w:r w:rsidRPr="002D28D0">
        <w:rPr>
          <w:rFonts w:ascii="Palatino Linotype" w:hAnsi="Palatino Linotype"/>
        </w:rPr>
        <w:t xml:space="preserve">El o los documentos que integran el expediente de adjudicación a favor de la empresa que </w:t>
      </w:r>
      <w:r w:rsidR="00CA0309" w:rsidRPr="002D28D0">
        <w:rPr>
          <w:rFonts w:ascii="Palatino Linotype" w:hAnsi="Palatino Linotype"/>
        </w:rPr>
        <w:t>está</w:t>
      </w:r>
      <w:r w:rsidRPr="002D28D0">
        <w:rPr>
          <w:rFonts w:ascii="Palatino Linotype" w:hAnsi="Palatino Linotype"/>
        </w:rPr>
        <w:t xml:space="preserve"> a cargo de parquímetros, al ocho de diciembre de dos mil veintidós. </w:t>
      </w:r>
    </w:p>
    <w:p w14:paraId="35BF3C87" w14:textId="28C199CF" w:rsidR="00676B1E" w:rsidRPr="002D28D0" w:rsidRDefault="00676B1E">
      <w:pPr>
        <w:pStyle w:val="Prrafodelista"/>
        <w:numPr>
          <w:ilvl w:val="0"/>
          <w:numId w:val="9"/>
        </w:numPr>
        <w:spacing w:before="240" w:line="360" w:lineRule="auto"/>
        <w:jc w:val="both"/>
        <w:rPr>
          <w:rFonts w:ascii="Palatino Linotype" w:hAnsi="Palatino Linotype"/>
        </w:rPr>
      </w:pPr>
      <w:r w:rsidRPr="002D28D0">
        <w:rPr>
          <w:rFonts w:ascii="Palatino Linotype" w:hAnsi="Palatino Linotype"/>
        </w:rPr>
        <w:t xml:space="preserve">Acta de cabildo en donde se aprueba el uso de parquímetros digitales, al ocho de diciembre de dos mil veintidós. </w:t>
      </w:r>
    </w:p>
    <w:p w14:paraId="263666DA" w14:textId="5C4D4E7A" w:rsidR="00676B1E" w:rsidRPr="002D28D0" w:rsidRDefault="00676B1E">
      <w:pPr>
        <w:pStyle w:val="Prrafodelista"/>
        <w:numPr>
          <w:ilvl w:val="0"/>
          <w:numId w:val="9"/>
        </w:numPr>
        <w:spacing w:before="240" w:line="360" w:lineRule="auto"/>
        <w:jc w:val="both"/>
        <w:rPr>
          <w:rFonts w:ascii="Palatino Linotype" w:hAnsi="Palatino Linotype"/>
        </w:rPr>
      </w:pPr>
      <w:r w:rsidRPr="002D28D0">
        <w:rPr>
          <w:rFonts w:ascii="Palatino Linotype" w:hAnsi="Palatino Linotype"/>
        </w:rPr>
        <w:t xml:space="preserve">El o los documentos que amparan mesas de trabajo </w:t>
      </w:r>
      <w:proofErr w:type="gramStart"/>
      <w:r w:rsidRPr="002D28D0">
        <w:rPr>
          <w:rFonts w:ascii="Palatino Linotype" w:hAnsi="Palatino Linotype"/>
        </w:rPr>
        <w:t>previa</w:t>
      </w:r>
      <w:proofErr w:type="gramEnd"/>
      <w:r w:rsidRPr="002D28D0">
        <w:rPr>
          <w:rFonts w:ascii="Palatino Linotype" w:hAnsi="Palatino Linotype"/>
        </w:rPr>
        <w:t xml:space="preserve"> a la implementación de parquímetros digitales, al ocho de diciembre de dos mil veintidós. </w:t>
      </w:r>
    </w:p>
    <w:bookmarkEnd w:id="1"/>
    <w:p w14:paraId="57841E32" w14:textId="27A5B764" w:rsidR="00A44FBE" w:rsidRPr="002D28D0" w:rsidRDefault="00A44FBE" w:rsidP="00A44FBE">
      <w:pPr>
        <w:spacing w:before="240" w:line="360" w:lineRule="auto"/>
        <w:jc w:val="both"/>
        <w:rPr>
          <w:rFonts w:ascii="Palatino Linotype" w:hAnsi="Palatino Linotype"/>
          <w:b/>
          <w:bCs/>
          <w:sz w:val="24"/>
          <w:szCs w:val="24"/>
        </w:rPr>
      </w:pPr>
      <w:r w:rsidRPr="002D28D0">
        <w:rPr>
          <w:rFonts w:ascii="Palatino Linotype" w:hAnsi="Palatino Linotype"/>
          <w:sz w:val="24"/>
          <w:szCs w:val="24"/>
        </w:rPr>
        <w:lastRenderedPageBreak/>
        <w:t xml:space="preserve">Ahora bien, en alusión a los requerimientos formulados por el particular, a efecto de identificar las unidades administrativas competentes, resulta oportuno traer a colación las siguientes imágenes ilustrativas, correspondientes al organigrama del </w:t>
      </w:r>
      <w:r w:rsidRPr="002D28D0">
        <w:rPr>
          <w:rFonts w:ascii="Palatino Linotype" w:hAnsi="Palatino Linotype"/>
          <w:b/>
          <w:bCs/>
          <w:sz w:val="24"/>
          <w:szCs w:val="24"/>
        </w:rPr>
        <w:t>Sujeto Obligado:</w:t>
      </w:r>
    </w:p>
    <w:p w14:paraId="4EC498C9" w14:textId="19DBC264" w:rsidR="00D962A7" w:rsidRPr="002D28D0" w:rsidRDefault="00676B1E" w:rsidP="00A44FBE">
      <w:pPr>
        <w:spacing w:before="240" w:line="360" w:lineRule="auto"/>
        <w:jc w:val="both"/>
        <w:rPr>
          <w:rFonts w:ascii="Palatino Linotype" w:hAnsi="Palatino Linotype"/>
          <w:b/>
          <w:bCs/>
          <w:sz w:val="24"/>
          <w:szCs w:val="24"/>
        </w:rPr>
      </w:pPr>
      <w:r w:rsidRPr="002D28D0">
        <w:rPr>
          <w:rFonts w:ascii="Palatino Linotype" w:hAnsi="Palatino Linotype"/>
          <w:b/>
          <w:bCs/>
          <w:noProof/>
          <w:sz w:val="24"/>
          <w:szCs w:val="24"/>
          <w:lang w:eastAsia="es-MX"/>
        </w:rPr>
        <w:drawing>
          <wp:anchor distT="0" distB="0" distL="114300" distR="114300" simplePos="0" relativeHeight="251689977" behindDoc="0" locked="0" layoutInCell="1" allowOverlap="1" wp14:anchorId="11D0BC89" wp14:editId="1EBD3CEA">
            <wp:simplePos x="0" y="0"/>
            <wp:positionH relativeFrom="column">
              <wp:posOffset>-24765</wp:posOffset>
            </wp:positionH>
            <wp:positionV relativeFrom="paragraph">
              <wp:posOffset>19050</wp:posOffset>
            </wp:positionV>
            <wp:extent cx="5760720" cy="3524250"/>
            <wp:effectExtent l="19050" t="19050" r="11430" b="19050"/>
            <wp:wrapThrough wrapText="bothSides">
              <wp:wrapPolygon edited="0">
                <wp:start x="-71" y="-117"/>
                <wp:lineTo x="-71" y="21600"/>
                <wp:lineTo x="21571" y="21600"/>
                <wp:lineTo x="21571" y="-117"/>
                <wp:lineTo x="-71" y="-117"/>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E55DE7B" w14:textId="33DFB330" w:rsidR="00D962A7" w:rsidRPr="002D28D0" w:rsidRDefault="00637057" w:rsidP="00A44FBE">
      <w:pPr>
        <w:spacing w:before="240" w:line="360" w:lineRule="auto"/>
        <w:jc w:val="both"/>
        <w:rPr>
          <w:rFonts w:ascii="Palatino Linotype" w:hAnsi="Palatino Linotype"/>
          <w:b/>
          <w:bCs/>
          <w:sz w:val="24"/>
          <w:szCs w:val="24"/>
        </w:rPr>
      </w:pPr>
      <w:r w:rsidRPr="002D28D0">
        <w:rPr>
          <w:rFonts w:ascii="Palatino Linotype" w:hAnsi="Palatino Linotype"/>
          <w:b/>
          <w:bCs/>
          <w:noProof/>
          <w:sz w:val="24"/>
          <w:szCs w:val="24"/>
          <w:lang w:eastAsia="es-MX"/>
        </w:rPr>
        <w:drawing>
          <wp:anchor distT="0" distB="0" distL="114300" distR="114300" simplePos="0" relativeHeight="251706366" behindDoc="0" locked="0" layoutInCell="1" allowOverlap="1" wp14:anchorId="05B433A7" wp14:editId="05BA32AA">
            <wp:simplePos x="0" y="0"/>
            <wp:positionH relativeFrom="column">
              <wp:posOffset>3861435</wp:posOffset>
            </wp:positionH>
            <wp:positionV relativeFrom="paragraph">
              <wp:posOffset>280035</wp:posOffset>
            </wp:positionV>
            <wp:extent cx="1196340" cy="1196340"/>
            <wp:effectExtent l="19050" t="19050" r="22860" b="22860"/>
            <wp:wrapThrough wrapText="bothSides">
              <wp:wrapPolygon edited="0">
                <wp:start x="-344" y="-344"/>
                <wp:lineTo x="-344" y="21669"/>
                <wp:lineTo x="21669" y="21669"/>
                <wp:lineTo x="21669" y="-344"/>
                <wp:lineTo x="-344" y="-344"/>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6340" cy="11963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D28D0">
        <w:rPr>
          <w:rFonts w:ascii="Palatino Linotype" w:hAnsi="Palatino Linotype"/>
          <w:b/>
          <w:bCs/>
          <w:noProof/>
          <w:sz w:val="24"/>
          <w:szCs w:val="24"/>
          <w:lang w:eastAsia="es-MX"/>
        </w:rPr>
        <w:drawing>
          <wp:anchor distT="0" distB="0" distL="114300" distR="114300" simplePos="0" relativeHeight="251705342" behindDoc="0" locked="0" layoutInCell="1" allowOverlap="1" wp14:anchorId="62F10418" wp14:editId="2BD42C74">
            <wp:simplePos x="0" y="0"/>
            <wp:positionH relativeFrom="column">
              <wp:posOffset>2261235</wp:posOffset>
            </wp:positionH>
            <wp:positionV relativeFrom="paragraph">
              <wp:posOffset>280035</wp:posOffset>
            </wp:positionV>
            <wp:extent cx="1188720" cy="1196340"/>
            <wp:effectExtent l="19050" t="19050" r="11430" b="22860"/>
            <wp:wrapThrough wrapText="bothSides">
              <wp:wrapPolygon edited="0">
                <wp:start x="-346" y="-344"/>
                <wp:lineTo x="-346" y="21669"/>
                <wp:lineTo x="21462" y="21669"/>
                <wp:lineTo x="21462" y="-344"/>
                <wp:lineTo x="-346" y="-344"/>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88720" cy="11963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D28D0">
        <w:rPr>
          <w:rFonts w:ascii="Palatino Linotype" w:hAnsi="Palatino Linotype"/>
          <w:noProof/>
          <w:sz w:val="24"/>
          <w:szCs w:val="24"/>
          <w:lang w:eastAsia="es-MX"/>
        </w:rPr>
        <w:drawing>
          <wp:anchor distT="0" distB="0" distL="114300" distR="114300" simplePos="0" relativeHeight="251704318" behindDoc="0" locked="0" layoutInCell="1" allowOverlap="1" wp14:anchorId="7C3CB935" wp14:editId="5BE14094">
            <wp:simplePos x="0" y="0"/>
            <wp:positionH relativeFrom="column">
              <wp:posOffset>676275</wp:posOffset>
            </wp:positionH>
            <wp:positionV relativeFrom="paragraph">
              <wp:posOffset>280035</wp:posOffset>
            </wp:positionV>
            <wp:extent cx="1181100" cy="1196340"/>
            <wp:effectExtent l="19050" t="19050" r="19050" b="22860"/>
            <wp:wrapThrough wrapText="bothSides">
              <wp:wrapPolygon edited="0">
                <wp:start x="-348" y="-344"/>
                <wp:lineTo x="-348" y="21669"/>
                <wp:lineTo x="21600" y="21669"/>
                <wp:lineTo x="21600" y="-344"/>
                <wp:lineTo x="-348" y="-344"/>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1100" cy="11963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E54EC54" w14:textId="5046824D" w:rsidR="00D962A7" w:rsidRPr="002D28D0" w:rsidRDefault="00D962A7" w:rsidP="00A44FBE">
      <w:pPr>
        <w:spacing w:before="240" w:line="360" w:lineRule="auto"/>
        <w:jc w:val="both"/>
        <w:rPr>
          <w:rFonts w:ascii="Palatino Linotype" w:hAnsi="Palatino Linotype"/>
          <w:b/>
          <w:bCs/>
          <w:sz w:val="24"/>
          <w:szCs w:val="24"/>
        </w:rPr>
      </w:pPr>
    </w:p>
    <w:p w14:paraId="5A2B284F" w14:textId="31E10C04" w:rsidR="001D606E" w:rsidRPr="002D28D0" w:rsidRDefault="001D606E" w:rsidP="00685F73">
      <w:pPr>
        <w:spacing w:before="240" w:line="360" w:lineRule="auto"/>
        <w:jc w:val="both"/>
        <w:rPr>
          <w:rFonts w:ascii="Palatino Linotype" w:hAnsi="Palatino Linotype"/>
          <w:sz w:val="24"/>
          <w:szCs w:val="24"/>
        </w:rPr>
      </w:pPr>
    </w:p>
    <w:p w14:paraId="211C0FD8" w14:textId="1AB2017C" w:rsidR="001D606E" w:rsidRPr="002D28D0" w:rsidRDefault="001D606E" w:rsidP="00685F73">
      <w:pPr>
        <w:spacing w:before="240" w:line="360" w:lineRule="auto"/>
        <w:jc w:val="both"/>
        <w:rPr>
          <w:rFonts w:ascii="Palatino Linotype" w:hAnsi="Palatino Linotype"/>
          <w:sz w:val="24"/>
          <w:szCs w:val="24"/>
        </w:rPr>
      </w:pPr>
    </w:p>
    <w:p w14:paraId="135E7E5C" w14:textId="2F0BCAAB" w:rsidR="00685F73" w:rsidRPr="002D28D0" w:rsidRDefault="00685F73" w:rsidP="00685F73">
      <w:pPr>
        <w:spacing w:before="240" w:line="360" w:lineRule="auto"/>
        <w:jc w:val="both"/>
        <w:rPr>
          <w:rFonts w:ascii="Palatino Linotype" w:hAnsi="Palatino Linotype"/>
          <w:b/>
          <w:sz w:val="24"/>
          <w:szCs w:val="24"/>
        </w:rPr>
      </w:pPr>
      <w:r w:rsidRPr="002D28D0">
        <w:rPr>
          <w:rFonts w:ascii="Palatino Linotype" w:hAnsi="Palatino Linotype"/>
          <w:sz w:val="24"/>
          <w:szCs w:val="24"/>
        </w:rPr>
        <w:lastRenderedPageBreak/>
        <w:t xml:space="preserve">De lo expuesto con anterioridad, se desprende que </w:t>
      </w:r>
      <w:r w:rsidRPr="002D28D0">
        <w:rPr>
          <w:rFonts w:ascii="Palatino Linotype" w:hAnsi="Palatino Linotype"/>
          <w:b/>
          <w:sz w:val="24"/>
          <w:szCs w:val="24"/>
        </w:rPr>
        <w:t xml:space="preserve">El Sujeto Obligado </w:t>
      </w:r>
      <w:r w:rsidRPr="002D28D0">
        <w:rPr>
          <w:rFonts w:ascii="Palatino Linotype" w:hAnsi="Palatino Linotype"/>
          <w:sz w:val="24"/>
          <w:szCs w:val="24"/>
        </w:rPr>
        <w:t xml:space="preserve">se auxilia de diversas Direcciones, Subdirecciones, Departamentos y Unidades Administrativas para cumplir con sus fines y objetivos, resultando de nuestro más amplio interés la </w:t>
      </w:r>
      <w:r w:rsidR="00637057" w:rsidRPr="002D28D0">
        <w:rPr>
          <w:rFonts w:ascii="Palatino Linotype" w:hAnsi="Palatino Linotype"/>
          <w:sz w:val="24"/>
          <w:szCs w:val="24"/>
        </w:rPr>
        <w:t xml:space="preserve">Secretaría del Ayuntamiento, Dirección General de Administración, así como la Dirección General de Servicios Públicos. </w:t>
      </w:r>
      <w:r w:rsidR="00344276" w:rsidRPr="002D28D0">
        <w:rPr>
          <w:rFonts w:ascii="Palatino Linotype" w:hAnsi="Palatino Linotype"/>
          <w:sz w:val="24"/>
          <w:szCs w:val="24"/>
        </w:rPr>
        <w:t xml:space="preserve"> </w:t>
      </w:r>
      <w:r w:rsidRPr="002D28D0">
        <w:rPr>
          <w:rFonts w:ascii="Palatino Linotype" w:hAnsi="Palatino Linotype"/>
          <w:sz w:val="24"/>
          <w:szCs w:val="24"/>
        </w:rPr>
        <w:t xml:space="preserve">  </w:t>
      </w:r>
    </w:p>
    <w:p w14:paraId="04EA930F" w14:textId="07F4FE56" w:rsidR="00637057" w:rsidRPr="002D28D0" w:rsidRDefault="00685F73" w:rsidP="00685F73">
      <w:pPr>
        <w:spacing w:before="240" w:line="360" w:lineRule="auto"/>
        <w:jc w:val="both"/>
        <w:rPr>
          <w:rFonts w:ascii="Palatino Linotype" w:hAnsi="Palatino Linotype"/>
          <w:iCs/>
          <w:sz w:val="24"/>
          <w:szCs w:val="24"/>
        </w:rPr>
      </w:pPr>
      <w:r w:rsidRPr="002D28D0">
        <w:rPr>
          <w:rFonts w:ascii="Palatino Linotype" w:hAnsi="Palatino Linotype"/>
          <w:iCs/>
          <w:sz w:val="24"/>
          <w:szCs w:val="24"/>
        </w:rPr>
        <w:t xml:space="preserve">De manera complementaria, a efecto de ilustrar la esfera competencial de las unidades administrativas en cita, resulta oportuno traer </w:t>
      </w:r>
      <w:r w:rsidR="00136D04" w:rsidRPr="002D28D0">
        <w:rPr>
          <w:rFonts w:ascii="Palatino Linotype" w:hAnsi="Palatino Linotype"/>
          <w:iCs/>
          <w:sz w:val="24"/>
          <w:szCs w:val="24"/>
        </w:rPr>
        <w:t>el artículo 91, fracciones I, IV y VI de la Ley Orgánica Municipal del Estado de México, así como los artículos 43, 44 y 78, fracción XIII del Bando Municipal de T</w:t>
      </w:r>
      <w:r w:rsidR="00617CA5" w:rsidRPr="002D28D0">
        <w:rPr>
          <w:rFonts w:ascii="Palatino Linotype" w:hAnsi="Palatino Linotype"/>
          <w:iCs/>
          <w:sz w:val="24"/>
          <w:szCs w:val="24"/>
        </w:rPr>
        <w:t>oluca 2023, porciones normativas que disponen a la literalidad lo siguiente:</w:t>
      </w:r>
    </w:p>
    <w:p w14:paraId="5E69F457" w14:textId="1A657B29" w:rsidR="00637057" w:rsidRPr="002D28D0" w:rsidRDefault="00136D04" w:rsidP="00136D04">
      <w:pPr>
        <w:pStyle w:val="Citas"/>
        <w:jc w:val="center"/>
        <w:rPr>
          <w:b/>
          <w:bCs/>
          <w:sz w:val="24"/>
          <w:szCs w:val="24"/>
        </w:rPr>
      </w:pPr>
      <w:r w:rsidRPr="002D28D0">
        <w:rPr>
          <w:b/>
          <w:bCs/>
          <w:sz w:val="24"/>
          <w:szCs w:val="24"/>
        </w:rPr>
        <w:t>LEY ORGÁNICA MUNICIPAL DEL ESTADO DE MÉXICO</w:t>
      </w:r>
    </w:p>
    <w:p w14:paraId="312FF63A" w14:textId="2FB33CF8" w:rsidR="00637057" w:rsidRPr="002D28D0" w:rsidRDefault="00617CA5" w:rsidP="00136D04">
      <w:pPr>
        <w:pStyle w:val="Citas"/>
      </w:pPr>
      <w:r w:rsidRPr="002D28D0">
        <w:t>“</w:t>
      </w:r>
      <w:r w:rsidR="00637057" w:rsidRPr="002D28D0">
        <w:t>Artículo 91.- La Secretaría del Ayuntamiento estará a cargo de un Secretario, el que, sin ser miembro del mismo, deberá ser nombrado por el propio Ayuntamiento a propuesta del Presidente Municipal como lo marca el artículo 31 de la presente ley. Sus faltas temporales serán cubiertas por quien designe el Ayuntamiento y sus atribuciones son las siguientes:</w:t>
      </w:r>
    </w:p>
    <w:p w14:paraId="66BD6844" w14:textId="6FB1D496" w:rsidR="00637057" w:rsidRPr="002D28D0" w:rsidRDefault="00637057" w:rsidP="00136D04">
      <w:pPr>
        <w:pStyle w:val="Citas"/>
      </w:pPr>
      <w:r w:rsidRPr="002D28D0">
        <w:t>I. Asistir a las sesiones del ayuntamiento y levantar las actas correspondientes;</w:t>
      </w:r>
    </w:p>
    <w:p w14:paraId="14357D20" w14:textId="0AFA2DA4" w:rsidR="00637057" w:rsidRPr="002D28D0" w:rsidRDefault="00637057" w:rsidP="00136D04">
      <w:pPr>
        <w:pStyle w:val="Citas"/>
      </w:pPr>
      <w:r w:rsidRPr="002D28D0">
        <w:t>(…)</w:t>
      </w:r>
    </w:p>
    <w:p w14:paraId="3AB5AC0B" w14:textId="083BCD1A" w:rsidR="00637057" w:rsidRPr="002D28D0" w:rsidRDefault="00637057" w:rsidP="00136D04">
      <w:pPr>
        <w:pStyle w:val="Citas"/>
      </w:pPr>
      <w:r w:rsidRPr="002D28D0">
        <w:t>IV. Llevar y conservar los libros de actas de cabildo, obteniendo las firmas de los asistentes a las sesiones;</w:t>
      </w:r>
    </w:p>
    <w:p w14:paraId="7938087A" w14:textId="1326523B" w:rsidR="00637057" w:rsidRPr="002D28D0" w:rsidRDefault="00637057" w:rsidP="00136D04">
      <w:pPr>
        <w:pStyle w:val="Citas"/>
      </w:pPr>
      <w:r w:rsidRPr="002D28D0">
        <w:t>(…)</w:t>
      </w:r>
    </w:p>
    <w:p w14:paraId="402D5150" w14:textId="423295C2" w:rsidR="00637057" w:rsidRPr="002D28D0" w:rsidRDefault="00637057" w:rsidP="00136D04">
      <w:pPr>
        <w:pStyle w:val="Citas"/>
      </w:pPr>
      <w:r w:rsidRPr="002D28D0">
        <w:lastRenderedPageBreak/>
        <w:t>VI. Tener a su cargo el archivo general del ayuntamiento;</w:t>
      </w:r>
    </w:p>
    <w:p w14:paraId="29A8005B" w14:textId="52481CA8" w:rsidR="00136D04" w:rsidRPr="002D28D0" w:rsidRDefault="00136D04" w:rsidP="00136D04">
      <w:pPr>
        <w:pStyle w:val="Citas"/>
        <w:rPr>
          <w:b/>
          <w:bCs/>
        </w:rPr>
      </w:pPr>
      <w:r w:rsidRPr="002D28D0">
        <w:t>(…)</w:t>
      </w:r>
      <w:r w:rsidR="00617CA5" w:rsidRPr="002D28D0">
        <w:t xml:space="preserve">” </w:t>
      </w:r>
      <w:r w:rsidR="00617CA5" w:rsidRPr="002D28D0">
        <w:rPr>
          <w:b/>
          <w:bCs/>
        </w:rPr>
        <w:t>(Sic)</w:t>
      </w:r>
    </w:p>
    <w:p w14:paraId="587DCB41" w14:textId="04184C77" w:rsidR="00136D04" w:rsidRPr="002D28D0" w:rsidRDefault="00136D04" w:rsidP="00685F73">
      <w:pPr>
        <w:spacing w:before="240" w:line="360" w:lineRule="auto"/>
        <w:jc w:val="both"/>
      </w:pPr>
    </w:p>
    <w:p w14:paraId="333A1B58" w14:textId="2485E4D1" w:rsidR="00136D04" w:rsidRPr="002D28D0" w:rsidRDefault="00136D04" w:rsidP="00136D04">
      <w:pPr>
        <w:pStyle w:val="Citas"/>
        <w:jc w:val="center"/>
        <w:rPr>
          <w:b/>
          <w:bCs/>
        </w:rPr>
      </w:pPr>
      <w:r w:rsidRPr="002D28D0">
        <w:rPr>
          <w:b/>
          <w:bCs/>
        </w:rPr>
        <w:t>BANDO MUNICIPAL DE TOLUCA 2023</w:t>
      </w:r>
    </w:p>
    <w:p w14:paraId="516E2960" w14:textId="1B04F717" w:rsidR="00136D04" w:rsidRPr="002D28D0" w:rsidRDefault="00617CA5" w:rsidP="00136D04">
      <w:pPr>
        <w:pStyle w:val="Citas"/>
        <w:rPr>
          <w:b/>
          <w:bCs/>
          <w:u w:val="single"/>
        </w:rPr>
      </w:pPr>
      <w:r w:rsidRPr="002D28D0">
        <w:rPr>
          <w:b/>
          <w:bCs/>
          <w:u w:val="single"/>
        </w:rPr>
        <w:t>“</w:t>
      </w:r>
      <w:r w:rsidR="00136D04" w:rsidRPr="002D28D0">
        <w:rPr>
          <w:b/>
          <w:bCs/>
          <w:u w:val="single"/>
        </w:rPr>
        <w:t xml:space="preserve">Artículo 43. El Ayuntamiento, a través de las dependencias y organismos municipales que determine, tendrá a su cargo la planeación, implementación, administración, organización, evaluación y modificación de los servicios públicos municipales. </w:t>
      </w:r>
    </w:p>
    <w:p w14:paraId="597EBDBD" w14:textId="77777777" w:rsidR="00136D04" w:rsidRPr="002D28D0" w:rsidRDefault="00136D04" w:rsidP="00136D04">
      <w:pPr>
        <w:pStyle w:val="Citas"/>
      </w:pPr>
      <w:r w:rsidRPr="002D28D0">
        <w:t xml:space="preserve">El gobierno municipal proporcionará los servicios públicos y ejecutará las obras que su prestación, instalación, funcionamiento y conservación requieran, con sus propios recursos y, en su caso, con la cooperación de otras entidades públicas, sociales o privadas. </w:t>
      </w:r>
    </w:p>
    <w:p w14:paraId="1C438799" w14:textId="6E41DABE" w:rsidR="00136D04" w:rsidRPr="002D28D0" w:rsidRDefault="00136D04" w:rsidP="00136D04">
      <w:pPr>
        <w:pStyle w:val="Citas"/>
      </w:pPr>
      <w:r w:rsidRPr="002D28D0">
        <w:t>El Organismo Agua y Saneamiento de Toluca prestará los servicios de agua potable, alcantarillado y tratamiento de aguas residuales en términos del marco jurídico aplicable. Tratándose de la prestación del servicio de agua potable, implica la instalación, mantenimiento y conservación de las redes de agua, su potabilización y distribución, así como la vigilancia de las condiciones sanitarias de las instalaciones y las calidades del agua; por su parte, el servicio público de alcantarillado comprende el drenaje sanitario y pluvial.</w:t>
      </w:r>
    </w:p>
    <w:p w14:paraId="5E1F4CD8" w14:textId="77777777" w:rsidR="00136D04" w:rsidRPr="002D28D0" w:rsidRDefault="00136D04" w:rsidP="00136D04">
      <w:pPr>
        <w:pStyle w:val="Citas"/>
        <w:rPr>
          <w:b/>
          <w:bCs/>
          <w:u w:val="single"/>
        </w:rPr>
      </w:pPr>
      <w:r w:rsidRPr="002D28D0">
        <w:rPr>
          <w:b/>
          <w:bCs/>
          <w:u w:val="single"/>
        </w:rPr>
        <w:t xml:space="preserve">Artículo 44. Son servicios públicos que presta el municipio los siguientes: </w:t>
      </w:r>
    </w:p>
    <w:p w14:paraId="6AD75A94" w14:textId="77777777" w:rsidR="00136D04" w:rsidRPr="002D28D0" w:rsidRDefault="00136D04">
      <w:pPr>
        <w:pStyle w:val="Citas"/>
        <w:numPr>
          <w:ilvl w:val="0"/>
          <w:numId w:val="10"/>
        </w:numPr>
      </w:pPr>
      <w:r w:rsidRPr="002D28D0">
        <w:t xml:space="preserve">Agua potable, drenaje, alcantarillado y tratamiento de aguas residuales; </w:t>
      </w:r>
    </w:p>
    <w:p w14:paraId="34129728" w14:textId="77777777" w:rsidR="00136D04" w:rsidRPr="002D28D0" w:rsidRDefault="00136D04">
      <w:pPr>
        <w:pStyle w:val="Citas"/>
        <w:numPr>
          <w:ilvl w:val="0"/>
          <w:numId w:val="10"/>
        </w:numPr>
      </w:pPr>
      <w:r w:rsidRPr="002D28D0">
        <w:t xml:space="preserve">Alumbrado público; </w:t>
      </w:r>
    </w:p>
    <w:p w14:paraId="7E70DF36" w14:textId="77777777" w:rsidR="00136D04" w:rsidRPr="002D28D0" w:rsidRDefault="00136D04">
      <w:pPr>
        <w:pStyle w:val="Citas"/>
        <w:numPr>
          <w:ilvl w:val="0"/>
          <w:numId w:val="10"/>
        </w:numPr>
      </w:pPr>
      <w:r w:rsidRPr="002D28D0">
        <w:lastRenderedPageBreak/>
        <w:t xml:space="preserve">Limpia y tratamiento integral de residuos sólidos; </w:t>
      </w:r>
    </w:p>
    <w:p w14:paraId="0EEF228F" w14:textId="77777777" w:rsidR="00136D04" w:rsidRPr="002D28D0" w:rsidRDefault="00136D04">
      <w:pPr>
        <w:pStyle w:val="Citas"/>
        <w:numPr>
          <w:ilvl w:val="0"/>
          <w:numId w:val="10"/>
        </w:numPr>
      </w:pPr>
      <w:r w:rsidRPr="002D28D0">
        <w:t xml:space="preserve">Mercados y centrales de abastos; </w:t>
      </w:r>
    </w:p>
    <w:p w14:paraId="2DF3D75D" w14:textId="77777777" w:rsidR="00136D04" w:rsidRPr="002D28D0" w:rsidRDefault="00136D04">
      <w:pPr>
        <w:pStyle w:val="Citas"/>
        <w:numPr>
          <w:ilvl w:val="0"/>
          <w:numId w:val="10"/>
        </w:numPr>
      </w:pPr>
      <w:r w:rsidRPr="002D28D0">
        <w:t xml:space="preserve">Panteones municipales; </w:t>
      </w:r>
    </w:p>
    <w:p w14:paraId="6CF3AD30" w14:textId="77777777" w:rsidR="00136D04" w:rsidRPr="002D28D0" w:rsidRDefault="00136D04">
      <w:pPr>
        <w:pStyle w:val="Citas"/>
        <w:numPr>
          <w:ilvl w:val="0"/>
          <w:numId w:val="10"/>
        </w:numPr>
      </w:pPr>
      <w:r w:rsidRPr="002D28D0">
        <w:t xml:space="preserve">Rastro; </w:t>
      </w:r>
    </w:p>
    <w:p w14:paraId="740C9B7F" w14:textId="77777777" w:rsidR="00136D04" w:rsidRPr="002D28D0" w:rsidRDefault="00136D04">
      <w:pPr>
        <w:pStyle w:val="Citas"/>
        <w:numPr>
          <w:ilvl w:val="0"/>
          <w:numId w:val="10"/>
        </w:numPr>
      </w:pPr>
      <w:r w:rsidRPr="002D28D0">
        <w:t xml:space="preserve">Parques y jardines; </w:t>
      </w:r>
    </w:p>
    <w:p w14:paraId="47D71B36" w14:textId="77777777" w:rsidR="00136D04" w:rsidRPr="002D28D0" w:rsidRDefault="00136D04">
      <w:pPr>
        <w:pStyle w:val="Citas"/>
        <w:numPr>
          <w:ilvl w:val="0"/>
          <w:numId w:val="10"/>
        </w:numPr>
      </w:pPr>
      <w:r w:rsidRPr="002D28D0">
        <w:t xml:space="preserve">Seguridad pública y vial; </w:t>
      </w:r>
    </w:p>
    <w:p w14:paraId="6B332493" w14:textId="77777777" w:rsidR="00136D04" w:rsidRPr="002D28D0" w:rsidRDefault="00136D04">
      <w:pPr>
        <w:pStyle w:val="Citas"/>
        <w:numPr>
          <w:ilvl w:val="0"/>
          <w:numId w:val="10"/>
        </w:numPr>
      </w:pPr>
      <w:r w:rsidRPr="002D28D0">
        <w:t xml:space="preserve">Protección civil y bomberos; </w:t>
      </w:r>
    </w:p>
    <w:p w14:paraId="72EAB7BF" w14:textId="77777777" w:rsidR="00136D04" w:rsidRPr="002D28D0" w:rsidRDefault="00136D04">
      <w:pPr>
        <w:pStyle w:val="Citas"/>
        <w:numPr>
          <w:ilvl w:val="0"/>
          <w:numId w:val="10"/>
        </w:numPr>
        <w:rPr>
          <w:b/>
          <w:bCs/>
          <w:u w:val="single"/>
        </w:rPr>
      </w:pPr>
      <w:r w:rsidRPr="002D28D0">
        <w:rPr>
          <w:b/>
          <w:bCs/>
          <w:u w:val="single"/>
        </w:rPr>
        <w:t xml:space="preserve">Estacionamientos y </w:t>
      </w:r>
      <w:proofErr w:type="spellStart"/>
      <w:r w:rsidRPr="002D28D0">
        <w:rPr>
          <w:b/>
          <w:bCs/>
          <w:u w:val="single"/>
        </w:rPr>
        <w:t>estacionómetros</w:t>
      </w:r>
      <w:proofErr w:type="spellEnd"/>
      <w:r w:rsidRPr="002D28D0">
        <w:rPr>
          <w:b/>
          <w:bCs/>
          <w:u w:val="single"/>
        </w:rPr>
        <w:t xml:space="preserve">; </w:t>
      </w:r>
    </w:p>
    <w:p w14:paraId="2F3EB2D9" w14:textId="77777777" w:rsidR="00136D04" w:rsidRPr="002D28D0" w:rsidRDefault="00136D04">
      <w:pPr>
        <w:pStyle w:val="Citas"/>
        <w:numPr>
          <w:ilvl w:val="0"/>
          <w:numId w:val="10"/>
        </w:numPr>
      </w:pPr>
      <w:r w:rsidRPr="002D28D0">
        <w:t xml:space="preserve">Control y Bienestar Animal; </w:t>
      </w:r>
    </w:p>
    <w:p w14:paraId="6481B3F1" w14:textId="77777777" w:rsidR="00136D04" w:rsidRPr="002D28D0" w:rsidRDefault="00136D04">
      <w:pPr>
        <w:pStyle w:val="Citas"/>
        <w:numPr>
          <w:ilvl w:val="0"/>
          <w:numId w:val="10"/>
        </w:numPr>
      </w:pPr>
      <w:r w:rsidRPr="002D28D0">
        <w:t xml:space="preserve">Sistema de Bicicleta Pública; y </w:t>
      </w:r>
    </w:p>
    <w:p w14:paraId="6D15AC38" w14:textId="76764104" w:rsidR="00136D04" w:rsidRPr="002D28D0" w:rsidRDefault="00136D04">
      <w:pPr>
        <w:pStyle w:val="Citas"/>
        <w:numPr>
          <w:ilvl w:val="0"/>
          <w:numId w:val="10"/>
        </w:numPr>
      </w:pPr>
      <w:r w:rsidRPr="002D28D0">
        <w:t>Los demás que le confiera la ley</w:t>
      </w:r>
    </w:p>
    <w:p w14:paraId="31A936F5" w14:textId="5EA5509F" w:rsidR="00136D04" w:rsidRPr="002D28D0" w:rsidRDefault="00136D04" w:rsidP="00136D04">
      <w:pPr>
        <w:pStyle w:val="Citas"/>
      </w:pPr>
      <w:r w:rsidRPr="002D28D0">
        <w:t>Artículo 78. Son atribuciones de las autoridades municipales en materia de Tránsito y Vialidad las siguientes:</w:t>
      </w:r>
    </w:p>
    <w:p w14:paraId="0712DFB2" w14:textId="150D00B2" w:rsidR="00136D04" w:rsidRPr="002D28D0" w:rsidRDefault="00136D04" w:rsidP="00136D04">
      <w:pPr>
        <w:pStyle w:val="Citas"/>
      </w:pPr>
      <w:r w:rsidRPr="002D28D0">
        <w:t>(…)</w:t>
      </w:r>
    </w:p>
    <w:p w14:paraId="2EE073EC" w14:textId="392A4F31" w:rsidR="00136D04" w:rsidRPr="002D28D0" w:rsidRDefault="00136D04" w:rsidP="00136D04">
      <w:pPr>
        <w:pStyle w:val="Citas"/>
      </w:pPr>
      <w:r w:rsidRPr="002D28D0">
        <w:t xml:space="preserve">XIII. Aplicar sanciones por incumplimiento al pago de derechos por el uso de estacionamiento en la vía pública donde haya aparatos </w:t>
      </w:r>
      <w:proofErr w:type="spellStart"/>
      <w:r w:rsidRPr="002D28D0">
        <w:t>estacionómetros</w:t>
      </w:r>
      <w:proofErr w:type="spellEnd"/>
      <w:r w:rsidRPr="002D28D0">
        <w:t>;</w:t>
      </w:r>
    </w:p>
    <w:p w14:paraId="272CEE9B" w14:textId="0AC558E7" w:rsidR="00136D04" w:rsidRPr="002D28D0" w:rsidRDefault="00136D04" w:rsidP="00136D04">
      <w:pPr>
        <w:pStyle w:val="Citas"/>
        <w:rPr>
          <w:b/>
          <w:bCs/>
        </w:rPr>
      </w:pPr>
      <w:r w:rsidRPr="002D28D0">
        <w:t>(…)</w:t>
      </w:r>
      <w:r w:rsidR="00617CA5" w:rsidRPr="002D28D0">
        <w:t xml:space="preserve">” </w:t>
      </w:r>
      <w:r w:rsidR="00617CA5" w:rsidRPr="002D28D0">
        <w:rPr>
          <w:b/>
          <w:bCs/>
        </w:rPr>
        <w:t>(Sic)</w:t>
      </w:r>
    </w:p>
    <w:p w14:paraId="4FC57954" w14:textId="4FF05BAD" w:rsidR="00637057" w:rsidRPr="002D28D0" w:rsidRDefault="00637057" w:rsidP="00685F73">
      <w:pPr>
        <w:spacing w:before="240" w:line="360" w:lineRule="auto"/>
        <w:jc w:val="both"/>
      </w:pPr>
    </w:p>
    <w:p w14:paraId="52F9D9CF" w14:textId="1E1C1CD5" w:rsidR="00617CA5" w:rsidRPr="002D28D0" w:rsidRDefault="00617CA5" w:rsidP="00685F73">
      <w:pPr>
        <w:spacing w:before="240" w:line="360" w:lineRule="auto"/>
        <w:jc w:val="both"/>
        <w:rPr>
          <w:rFonts w:ascii="Palatino Linotype" w:hAnsi="Palatino Linotype"/>
          <w:sz w:val="24"/>
          <w:szCs w:val="24"/>
        </w:rPr>
      </w:pPr>
      <w:r w:rsidRPr="002D28D0">
        <w:rPr>
          <w:rFonts w:ascii="Palatino Linotype" w:hAnsi="Palatino Linotype"/>
          <w:sz w:val="24"/>
          <w:szCs w:val="24"/>
        </w:rPr>
        <w:lastRenderedPageBreak/>
        <w:t>En efecto, de la normatividad previamente plasmada se desprende que:</w:t>
      </w:r>
    </w:p>
    <w:p w14:paraId="378ADE69" w14:textId="44F082FF" w:rsidR="00617CA5" w:rsidRPr="002D28D0" w:rsidRDefault="00617CA5">
      <w:pPr>
        <w:pStyle w:val="Prrafodelista"/>
        <w:numPr>
          <w:ilvl w:val="0"/>
          <w:numId w:val="11"/>
        </w:numPr>
        <w:spacing w:before="240" w:line="360" w:lineRule="auto"/>
        <w:jc w:val="both"/>
        <w:rPr>
          <w:rFonts w:ascii="Palatino Linotype" w:hAnsi="Palatino Linotype"/>
        </w:rPr>
      </w:pPr>
      <w:r w:rsidRPr="002D28D0">
        <w:rPr>
          <w:rFonts w:ascii="Palatino Linotype" w:hAnsi="Palatino Linotype"/>
        </w:rPr>
        <w:t xml:space="preserve">La instalación de estacionamientos y </w:t>
      </w:r>
      <w:proofErr w:type="spellStart"/>
      <w:r w:rsidRPr="002D28D0">
        <w:rPr>
          <w:rFonts w:ascii="Palatino Linotype" w:hAnsi="Palatino Linotype"/>
        </w:rPr>
        <w:t>estacionómetros</w:t>
      </w:r>
      <w:proofErr w:type="spellEnd"/>
      <w:r w:rsidRPr="002D28D0">
        <w:rPr>
          <w:rFonts w:ascii="Palatino Linotype" w:hAnsi="Palatino Linotype"/>
        </w:rPr>
        <w:t xml:space="preserve"> es un servicio público prestado por </w:t>
      </w:r>
      <w:r w:rsidRPr="002D28D0">
        <w:rPr>
          <w:rFonts w:ascii="Palatino Linotype" w:hAnsi="Palatino Linotype"/>
          <w:b/>
          <w:bCs/>
        </w:rPr>
        <w:t>El Sujeto Obligado</w:t>
      </w:r>
      <w:r w:rsidR="008D6397" w:rsidRPr="002D28D0">
        <w:rPr>
          <w:rFonts w:ascii="Palatino Linotype" w:hAnsi="Palatino Linotype"/>
          <w:b/>
          <w:bCs/>
        </w:rPr>
        <w:t>.</w:t>
      </w:r>
      <w:r w:rsidRPr="002D28D0">
        <w:rPr>
          <w:rFonts w:ascii="Palatino Linotype" w:hAnsi="Palatino Linotype"/>
        </w:rPr>
        <w:t xml:space="preserve"> </w:t>
      </w:r>
    </w:p>
    <w:p w14:paraId="73D47CBA" w14:textId="6437988A" w:rsidR="00617CA5" w:rsidRPr="002D28D0" w:rsidRDefault="00617CA5">
      <w:pPr>
        <w:pStyle w:val="Prrafodelista"/>
        <w:numPr>
          <w:ilvl w:val="0"/>
          <w:numId w:val="11"/>
        </w:numPr>
        <w:spacing w:before="240" w:line="360" w:lineRule="auto"/>
        <w:jc w:val="both"/>
        <w:rPr>
          <w:rFonts w:ascii="Palatino Linotype" w:hAnsi="Palatino Linotype"/>
        </w:rPr>
      </w:pPr>
      <w:r w:rsidRPr="002D28D0">
        <w:rPr>
          <w:rFonts w:ascii="Palatino Linotype" w:hAnsi="Palatino Linotype"/>
        </w:rPr>
        <w:t xml:space="preserve">Los servicios públicos prestados por los Ayuntamientos son susceptibles de concesionarse a terceros, con excepción de los de Seguridad Pública y Tránsito. </w:t>
      </w:r>
    </w:p>
    <w:p w14:paraId="43E3D208" w14:textId="5A6A8993" w:rsidR="00617CA5" w:rsidRPr="002D28D0" w:rsidRDefault="00617CA5">
      <w:pPr>
        <w:pStyle w:val="Prrafodelista"/>
        <w:numPr>
          <w:ilvl w:val="0"/>
          <w:numId w:val="11"/>
        </w:numPr>
        <w:spacing w:before="240" w:line="360" w:lineRule="auto"/>
        <w:jc w:val="both"/>
        <w:rPr>
          <w:rFonts w:ascii="Palatino Linotype" w:hAnsi="Palatino Linotype"/>
        </w:rPr>
      </w:pPr>
      <w:r w:rsidRPr="002D28D0">
        <w:rPr>
          <w:rFonts w:ascii="Palatino Linotype" w:hAnsi="Palatino Linotype"/>
        </w:rPr>
        <w:t xml:space="preserve">El incumplimiento al pago de derechos por el uso de estacionamiento en la vía pública mediante </w:t>
      </w:r>
      <w:proofErr w:type="spellStart"/>
      <w:r w:rsidRPr="002D28D0">
        <w:rPr>
          <w:rFonts w:ascii="Palatino Linotype" w:hAnsi="Palatino Linotype"/>
        </w:rPr>
        <w:t>estacionómetros</w:t>
      </w:r>
      <w:proofErr w:type="spellEnd"/>
      <w:r w:rsidRPr="002D28D0">
        <w:rPr>
          <w:rFonts w:ascii="Palatino Linotype" w:hAnsi="Palatino Linotype"/>
        </w:rPr>
        <w:t xml:space="preserve"> se traduce en la imposición de sanciones de carácter económico en detrimento de la ciudadanía. </w:t>
      </w:r>
    </w:p>
    <w:p w14:paraId="3B52B34C" w14:textId="423CDE1E" w:rsidR="00617CA5" w:rsidRPr="002D28D0" w:rsidRDefault="00617CA5">
      <w:pPr>
        <w:pStyle w:val="Prrafodelista"/>
        <w:numPr>
          <w:ilvl w:val="0"/>
          <w:numId w:val="11"/>
        </w:numPr>
        <w:spacing w:before="240" w:line="360" w:lineRule="auto"/>
        <w:jc w:val="both"/>
        <w:rPr>
          <w:rFonts w:ascii="Palatino Linotype" w:hAnsi="Palatino Linotype"/>
        </w:rPr>
      </w:pPr>
      <w:r w:rsidRPr="002D28D0">
        <w:rPr>
          <w:rFonts w:ascii="Palatino Linotype" w:hAnsi="Palatino Linotype"/>
        </w:rPr>
        <w:t xml:space="preserve">Que los ayuntamientos como órganos deliberantes, deberán de resolver colegiadamente los asuntos de su competencia, </w:t>
      </w:r>
      <w:r w:rsidR="00B87BB7" w:rsidRPr="002D28D0">
        <w:rPr>
          <w:rFonts w:ascii="Palatino Linotype" w:hAnsi="Palatino Linotype"/>
        </w:rPr>
        <w:t xml:space="preserve">sesionando crónicamente mediante audiencias públicas, respecto de las cuales, el Secretario del Ayuntamiento deberá de asistir y levantar las actas correspondientes.  </w:t>
      </w:r>
    </w:p>
    <w:p w14:paraId="6F44BE00" w14:textId="77777777" w:rsidR="00637057" w:rsidRPr="002D28D0" w:rsidRDefault="00637057" w:rsidP="00685F73">
      <w:pPr>
        <w:spacing w:before="240" w:line="360" w:lineRule="auto"/>
        <w:jc w:val="both"/>
        <w:rPr>
          <w:rFonts w:ascii="Palatino Linotype" w:hAnsi="Palatino Linotype"/>
          <w:iCs/>
          <w:sz w:val="24"/>
          <w:szCs w:val="24"/>
        </w:rPr>
      </w:pPr>
    </w:p>
    <w:p w14:paraId="2B723EAC" w14:textId="6D5F3422" w:rsidR="005D147E" w:rsidRPr="002D28D0" w:rsidRDefault="00B87BB7" w:rsidP="00B87BB7">
      <w:pPr>
        <w:pStyle w:val="Citas"/>
        <w:ind w:left="0" w:right="72"/>
        <w:rPr>
          <w:i w:val="0"/>
          <w:iCs/>
          <w:sz w:val="24"/>
          <w:szCs w:val="24"/>
        </w:rPr>
      </w:pPr>
      <w:r w:rsidRPr="002D28D0">
        <w:rPr>
          <w:i w:val="0"/>
          <w:iCs/>
          <w:sz w:val="24"/>
          <w:szCs w:val="24"/>
        </w:rPr>
        <w:t>De manera complementaria, se destaca que la adquisición de productos y/o servicios se encuentra sujeta a los siguientes principios:</w:t>
      </w:r>
    </w:p>
    <w:p w14:paraId="785FF92E" w14:textId="258A235C" w:rsidR="00B87BB7" w:rsidRPr="002D28D0" w:rsidRDefault="00B87BB7">
      <w:pPr>
        <w:pStyle w:val="Citas"/>
        <w:numPr>
          <w:ilvl w:val="0"/>
          <w:numId w:val="12"/>
        </w:numPr>
        <w:ind w:right="72"/>
        <w:rPr>
          <w:i w:val="0"/>
          <w:iCs/>
          <w:sz w:val="24"/>
          <w:szCs w:val="24"/>
        </w:rPr>
      </w:pPr>
      <w:r w:rsidRPr="002D28D0">
        <w:rPr>
          <w:b/>
          <w:bCs/>
          <w:i w:val="0"/>
          <w:iCs/>
          <w:sz w:val="24"/>
          <w:szCs w:val="24"/>
        </w:rPr>
        <w:t>Licitación pública:</w:t>
      </w:r>
      <w:r w:rsidRPr="002D28D0">
        <w:rPr>
          <w:i w:val="0"/>
          <w:iCs/>
          <w:sz w:val="24"/>
          <w:szCs w:val="24"/>
        </w:rPr>
        <w:t xml:space="preserve"> Procedimiento de contratación en </w:t>
      </w:r>
      <w:r w:rsidR="00603652" w:rsidRPr="002D28D0">
        <w:rPr>
          <w:i w:val="0"/>
          <w:iCs/>
          <w:sz w:val="24"/>
          <w:szCs w:val="24"/>
        </w:rPr>
        <w:t>que,</w:t>
      </w:r>
      <w:r w:rsidRPr="002D28D0">
        <w:rPr>
          <w:i w:val="0"/>
          <w:iCs/>
          <w:sz w:val="24"/>
          <w:szCs w:val="24"/>
        </w:rPr>
        <w:t xml:space="preserve"> a través de una declaración unilateral de voluntad contenida en una convocatoria pública, el Estado de obliga a celebrar un contrato para la adquisición de un bien o servicio -incluido obra pública-, con aquel interesado que cumpliendo determinados requisitos prefijados en la convocatoria por el ente público de que se trate, ofrezca al Estado las mejores condiciones de contratación. Dicho </w:t>
      </w:r>
      <w:r w:rsidRPr="002D28D0">
        <w:rPr>
          <w:i w:val="0"/>
          <w:iCs/>
          <w:sz w:val="24"/>
          <w:szCs w:val="24"/>
        </w:rPr>
        <w:lastRenderedPageBreak/>
        <w:t>procedimiento se encuentra abierto a todos aquellos interesados que reúnan los requisitos previstos, de ahí que la licitación pública sea un procedimiento cuya esencia se encuentra en la competencia.</w:t>
      </w:r>
      <w:r w:rsidR="00603652" w:rsidRPr="002D28D0">
        <w:rPr>
          <w:rStyle w:val="Refdenotaalpie"/>
          <w:i w:val="0"/>
          <w:iCs/>
          <w:sz w:val="24"/>
          <w:szCs w:val="24"/>
        </w:rPr>
        <w:footnoteReference w:id="2"/>
      </w:r>
    </w:p>
    <w:p w14:paraId="6D8F7D0D" w14:textId="613741CE" w:rsidR="00B87BB7" w:rsidRPr="002D28D0" w:rsidRDefault="00B87BB7">
      <w:pPr>
        <w:pStyle w:val="Citas"/>
        <w:numPr>
          <w:ilvl w:val="0"/>
          <w:numId w:val="12"/>
        </w:numPr>
        <w:ind w:right="72"/>
        <w:rPr>
          <w:b/>
          <w:bCs/>
          <w:i w:val="0"/>
          <w:iCs/>
          <w:sz w:val="24"/>
          <w:szCs w:val="24"/>
        </w:rPr>
      </w:pPr>
      <w:r w:rsidRPr="002D28D0">
        <w:rPr>
          <w:b/>
          <w:bCs/>
          <w:i w:val="0"/>
          <w:iCs/>
          <w:sz w:val="24"/>
          <w:szCs w:val="24"/>
        </w:rPr>
        <w:t>Adjudicación directa:</w:t>
      </w:r>
      <w:r w:rsidR="00603652" w:rsidRPr="002D28D0">
        <w:rPr>
          <w:b/>
          <w:bCs/>
          <w:i w:val="0"/>
          <w:iCs/>
          <w:sz w:val="24"/>
          <w:szCs w:val="24"/>
        </w:rPr>
        <w:t xml:space="preserve"> </w:t>
      </w:r>
      <w:r w:rsidR="00603652" w:rsidRPr="002D28D0">
        <w:rPr>
          <w:i w:val="0"/>
          <w:iCs/>
          <w:sz w:val="24"/>
          <w:szCs w:val="24"/>
        </w:rPr>
        <w:t xml:space="preserve">Procedimiento que se realiza sin puesta en concurrencia y por ende sin que exista competencia, adjudicándose el contrato a un proveedor que ha sido preseleccionado para tales efectos por la dependencia o entidad. </w:t>
      </w:r>
      <w:r w:rsidR="00603652" w:rsidRPr="002D28D0">
        <w:rPr>
          <w:rStyle w:val="Refdenotaalpie"/>
          <w:i w:val="0"/>
          <w:iCs/>
          <w:sz w:val="24"/>
          <w:szCs w:val="24"/>
        </w:rPr>
        <w:footnoteReference w:id="3"/>
      </w:r>
    </w:p>
    <w:p w14:paraId="1B24BABD" w14:textId="4089F8EB" w:rsidR="005D147E" w:rsidRPr="002D28D0" w:rsidRDefault="005D147E" w:rsidP="00685F73">
      <w:pPr>
        <w:spacing w:before="240" w:line="360" w:lineRule="auto"/>
        <w:jc w:val="both"/>
      </w:pPr>
    </w:p>
    <w:p w14:paraId="4809C92D" w14:textId="77777777" w:rsidR="008D6397" w:rsidRPr="002D28D0" w:rsidRDefault="008D6397" w:rsidP="008D6397">
      <w:pPr>
        <w:autoSpaceDE w:val="0"/>
        <w:autoSpaceDN w:val="0"/>
        <w:adjustRightInd w:val="0"/>
        <w:spacing w:before="240" w:line="360" w:lineRule="auto"/>
        <w:jc w:val="both"/>
        <w:rPr>
          <w:rFonts w:ascii="Palatino Linotype" w:hAnsi="Palatino Linotype" w:cs="Arial"/>
          <w:sz w:val="24"/>
          <w:szCs w:val="24"/>
        </w:rPr>
      </w:pPr>
      <w:r w:rsidRPr="002D28D0">
        <w:rPr>
          <w:rFonts w:ascii="Palatino Linotype" w:hAnsi="Palatino Linotype" w:cs="Tahoma"/>
          <w:sz w:val="24"/>
          <w:szCs w:val="24"/>
        </w:rPr>
        <w:t xml:space="preserve">Bajo este contexto, en dicho </w:t>
      </w:r>
      <w:r w:rsidRPr="002D28D0">
        <w:rPr>
          <w:rFonts w:ascii="Palatino Linotype" w:hAnsi="Palatino Linotype" w:cs="Arial"/>
          <w:color w:val="000000"/>
          <w:sz w:val="24"/>
          <w:szCs w:val="24"/>
          <w:lang w:val="es-ES_tradnl"/>
        </w:rPr>
        <w:t>proceso, participará un Comité de Adquisiciones y Servicios, el cual se nutre por representantes de múltiples unidades administrativas, en términos de,</w:t>
      </w:r>
      <w:r w:rsidRPr="002D28D0">
        <w:rPr>
          <w:rFonts w:ascii="Palatino Linotype" w:hAnsi="Palatino Linotype" w:cs="Arial"/>
          <w:b/>
          <w:sz w:val="24"/>
          <w:szCs w:val="24"/>
        </w:rPr>
        <w:t xml:space="preserve"> </w:t>
      </w:r>
      <w:r w:rsidRPr="002D28D0">
        <w:rPr>
          <w:rFonts w:ascii="Palatino Linotype" w:hAnsi="Palatino Linotype" w:cs="Arial"/>
          <w:sz w:val="24"/>
          <w:szCs w:val="24"/>
        </w:rPr>
        <w:t xml:space="preserve">los numerales 26 y 27 de la Ley de Contratación Pública del Estado de México; así como los artículos 43 y 44 del Reglamento de la Ley de Contratación Pública del Estado de México; porciones normativas que disponen a la literalidad lo siguiente: </w:t>
      </w:r>
    </w:p>
    <w:p w14:paraId="3A77B0AB" w14:textId="72C3D9B1" w:rsidR="008D6397" w:rsidRPr="002D28D0" w:rsidRDefault="008D6397" w:rsidP="008D6397">
      <w:pPr>
        <w:spacing w:after="0" w:line="360" w:lineRule="auto"/>
        <w:jc w:val="center"/>
        <w:rPr>
          <w:rFonts w:ascii="Palatino Linotype" w:hAnsi="Palatino Linotype" w:cs="Arial"/>
          <w:b/>
          <w:i/>
          <w:color w:val="000000"/>
          <w:lang w:val="es-ES_tradnl"/>
        </w:rPr>
      </w:pPr>
      <w:r w:rsidRPr="002D28D0">
        <w:rPr>
          <w:rFonts w:ascii="Palatino Linotype" w:hAnsi="Palatino Linotype" w:cs="Arial"/>
          <w:b/>
          <w:i/>
          <w:color w:val="000000"/>
          <w:lang w:val="es-ES_tradnl"/>
        </w:rPr>
        <w:t>LEY DE CONTRATACIÓN PÚBLICA DEL ESTADO DE MÉXICO</w:t>
      </w:r>
    </w:p>
    <w:p w14:paraId="1CC16A7D"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“Artículo 26.- Las adquisiciones, arrendamientos y servicios se adjudicarán a través de licitaciones públicas, mediante convocatoria pública. </w:t>
      </w:r>
    </w:p>
    <w:p w14:paraId="431EF322"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Artículo 27.- La Secretaría, las entidades, los tribunales administrativos y los ayuntamientos podrán adjudicar adquisiciones, arrendamientos y servicios, </w:t>
      </w:r>
      <w:r w:rsidRPr="002D28D0">
        <w:rPr>
          <w:rFonts w:ascii="Palatino Linotype" w:hAnsi="Palatino Linotype"/>
          <w:i/>
        </w:rPr>
        <w:lastRenderedPageBreak/>
        <w:t>mediante las excepciones al procedimiento de licitación que a continuación se señalan:</w:t>
      </w:r>
    </w:p>
    <w:p w14:paraId="15624243" w14:textId="77777777" w:rsidR="008D6397" w:rsidRPr="002D28D0" w:rsidRDefault="008D6397">
      <w:pPr>
        <w:pStyle w:val="Prrafodelista"/>
        <w:numPr>
          <w:ilvl w:val="0"/>
          <w:numId w:val="13"/>
        </w:numPr>
        <w:spacing w:before="240" w:after="160" w:line="360" w:lineRule="auto"/>
        <w:ind w:left="851" w:right="851" w:firstLine="0"/>
        <w:jc w:val="both"/>
        <w:rPr>
          <w:rFonts w:ascii="Palatino Linotype" w:hAnsi="Palatino Linotype"/>
          <w:i/>
          <w:sz w:val="22"/>
          <w:szCs w:val="22"/>
        </w:rPr>
      </w:pPr>
      <w:r w:rsidRPr="002D28D0">
        <w:rPr>
          <w:rFonts w:ascii="Palatino Linotype" w:hAnsi="Palatino Linotype"/>
          <w:i/>
          <w:sz w:val="22"/>
          <w:szCs w:val="22"/>
        </w:rPr>
        <w:t>Invitación restringida.</w:t>
      </w:r>
    </w:p>
    <w:p w14:paraId="7594AED2" w14:textId="77777777" w:rsidR="008D6397" w:rsidRPr="002D28D0" w:rsidRDefault="008D6397">
      <w:pPr>
        <w:pStyle w:val="Prrafodelista"/>
        <w:numPr>
          <w:ilvl w:val="0"/>
          <w:numId w:val="13"/>
        </w:numPr>
        <w:spacing w:before="240" w:after="160" w:line="360" w:lineRule="auto"/>
        <w:ind w:left="851" w:right="851" w:firstLine="0"/>
        <w:jc w:val="both"/>
        <w:rPr>
          <w:rFonts w:ascii="Palatino Linotype" w:hAnsi="Palatino Linotype" w:cs="Arial"/>
          <w:b/>
          <w:i/>
          <w:color w:val="000000"/>
          <w:sz w:val="22"/>
          <w:szCs w:val="22"/>
          <w:lang w:val="es-ES_tradnl"/>
        </w:rPr>
      </w:pPr>
      <w:r w:rsidRPr="002D28D0">
        <w:rPr>
          <w:rFonts w:ascii="Palatino Linotype" w:hAnsi="Palatino Linotype"/>
          <w:i/>
          <w:sz w:val="22"/>
          <w:szCs w:val="22"/>
        </w:rPr>
        <w:t xml:space="preserve"> Adjudicación directa.” </w:t>
      </w:r>
      <w:r w:rsidRPr="002D28D0">
        <w:rPr>
          <w:rFonts w:ascii="Palatino Linotype" w:hAnsi="Palatino Linotype"/>
          <w:b/>
          <w:i/>
          <w:sz w:val="22"/>
          <w:szCs w:val="22"/>
        </w:rPr>
        <w:t>[Sic]</w:t>
      </w:r>
    </w:p>
    <w:p w14:paraId="6403AE1D" w14:textId="77777777" w:rsidR="008D6397" w:rsidRPr="002D28D0" w:rsidRDefault="008D6397" w:rsidP="008D6397">
      <w:pPr>
        <w:spacing w:after="0" w:line="360" w:lineRule="auto"/>
        <w:jc w:val="both"/>
        <w:rPr>
          <w:rFonts w:ascii="Palatino Linotype" w:hAnsi="Palatino Linotype" w:cs="Arial"/>
          <w:sz w:val="24"/>
          <w:szCs w:val="24"/>
        </w:rPr>
      </w:pPr>
    </w:p>
    <w:p w14:paraId="7C3B8A3D" w14:textId="6D6ED73B" w:rsidR="008D6397" w:rsidRPr="002D28D0" w:rsidRDefault="008D6397" w:rsidP="008D6397">
      <w:pPr>
        <w:spacing w:before="240" w:line="360" w:lineRule="auto"/>
        <w:ind w:left="851" w:right="851"/>
        <w:jc w:val="center"/>
        <w:rPr>
          <w:rFonts w:ascii="Palatino Linotype" w:hAnsi="Palatino Linotype"/>
          <w:b/>
          <w:i/>
        </w:rPr>
      </w:pPr>
      <w:r w:rsidRPr="002D28D0">
        <w:rPr>
          <w:rFonts w:ascii="Palatino Linotype" w:hAnsi="Palatino Linotype"/>
          <w:b/>
          <w:i/>
        </w:rPr>
        <w:t>REGLAMENTO DE LA LEY DE CONTRATACIÓN PÚBLICA DEL ESTADO DE MÉXICO Y MUNICIPIOS</w:t>
      </w:r>
    </w:p>
    <w:p w14:paraId="13334218"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“Artículo 43.- La Secretaría, organismos auxiliares, tribunales administrativos y municipios, se auxiliarán de un Comité de Adquisiciones y Servicios, para la substanciación de los procedimientos de adquisición regulados en la Ley. </w:t>
      </w:r>
    </w:p>
    <w:p w14:paraId="307B56FB" w14:textId="77777777" w:rsidR="008D6397" w:rsidRPr="002D28D0" w:rsidRDefault="008D6397" w:rsidP="008D6397">
      <w:pPr>
        <w:spacing w:before="240" w:line="360" w:lineRule="auto"/>
        <w:ind w:left="851" w:right="851"/>
        <w:jc w:val="both"/>
        <w:rPr>
          <w:rFonts w:ascii="Palatino Linotype" w:hAnsi="Palatino Linotype"/>
          <w:b/>
          <w:i/>
          <w:u w:val="single"/>
        </w:rPr>
      </w:pPr>
      <w:r w:rsidRPr="002D28D0">
        <w:rPr>
          <w:rFonts w:ascii="Palatino Linotype" w:hAnsi="Palatino Linotype"/>
          <w:b/>
          <w:i/>
          <w:u w:val="single"/>
        </w:rPr>
        <w:t xml:space="preserve">Artículo 44.- El Comité de Adquisiciones y Servicios se integrará por: </w:t>
      </w:r>
    </w:p>
    <w:p w14:paraId="06C4A0DF" w14:textId="77777777" w:rsidR="008D6397" w:rsidRPr="002D28D0" w:rsidRDefault="008D6397">
      <w:pPr>
        <w:pStyle w:val="Prrafodelista"/>
        <w:numPr>
          <w:ilvl w:val="0"/>
          <w:numId w:val="14"/>
        </w:numPr>
        <w:spacing w:before="240" w:line="360" w:lineRule="auto"/>
        <w:ind w:right="851"/>
        <w:jc w:val="both"/>
        <w:rPr>
          <w:rFonts w:ascii="Palatino Linotype" w:hAnsi="Palatino Linotype"/>
          <w:b/>
          <w:i/>
          <w:sz w:val="22"/>
          <w:szCs w:val="22"/>
          <w:u w:val="single"/>
        </w:rPr>
      </w:pPr>
      <w:r w:rsidRPr="002D28D0">
        <w:rPr>
          <w:rFonts w:ascii="Palatino Linotype" w:hAnsi="Palatino Linotype"/>
          <w:i/>
          <w:sz w:val="22"/>
          <w:szCs w:val="22"/>
        </w:rPr>
        <w:t xml:space="preserve">En la Secretaría, por el titular del área encargada de operar el sistema de adquisiciones de las dependencias del Poder Ejecutivo, y en los organismos auxiliares, tribunales administrativos y </w:t>
      </w:r>
      <w:r w:rsidRPr="002D28D0">
        <w:rPr>
          <w:rFonts w:ascii="Palatino Linotype" w:hAnsi="Palatino Linotype"/>
          <w:b/>
          <w:i/>
          <w:sz w:val="22"/>
          <w:szCs w:val="22"/>
          <w:u w:val="single"/>
        </w:rPr>
        <w:t xml:space="preserve">municipios, por el titular de la unidad administrativa, quien fungirá como presidente; </w:t>
      </w:r>
    </w:p>
    <w:p w14:paraId="405C3BA4" w14:textId="77777777" w:rsidR="008D6397" w:rsidRPr="002D28D0" w:rsidRDefault="008D6397">
      <w:pPr>
        <w:pStyle w:val="Prrafodelista"/>
        <w:numPr>
          <w:ilvl w:val="0"/>
          <w:numId w:val="14"/>
        </w:numPr>
        <w:spacing w:before="240" w:line="360" w:lineRule="auto"/>
        <w:ind w:right="851"/>
        <w:jc w:val="both"/>
        <w:rPr>
          <w:rFonts w:ascii="Palatino Linotype" w:hAnsi="Palatino Linotype" w:cs="Arial"/>
          <w:b/>
          <w:i/>
          <w:sz w:val="22"/>
          <w:szCs w:val="22"/>
        </w:rPr>
      </w:pPr>
      <w:r w:rsidRPr="002D28D0">
        <w:rPr>
          <w:rFonts w:ascii="Palatino Linotype" w:hAnsi="Palatino Linotype"/>
          <w:i/>
          <w:sz w:val="22"/>
          <w:szCs w:val="22"/>
        </w:rPr>
        <w:t xml:space="preserve">Un representante del </w:t>
      </w:r>
      <w:r w:rsidRPr="002D28D0">
        <w:rPr>
          <w:rFonts w:ascii="Palatino Linotype" w:hAnsi="Palatino Linotype"/>
          <w:b/>
          <w:i/>
          <w:sz w:val="22"/>
          <w:szCs w:val="22"/>
          <w:u w:val="single"/>
        </w:rPr>
        <w:t>área financiera</w:t>
      </w:r>
      <w:r w:rsidRPr="002D28D0">
        <w:rPr>
          <w:rFonts w:ascii="Palatino Linotype" w:hAnsi="Palatino Linotype"/>
          <w:i/>
          <w:sz w:val="22"/>
          <w:szCs w:val="22"/>
        </w:rPr>
        <w:t xml:space="preserve"> de la Secretaría, entidad, tribunal administrativo o municipio, con función de vocal; </w:t>
      </w:r>
    </w:p>
    <w:p w14:paraId="2D68D7FF" w14:textId="77777777" w:rsidR="008D6397" w:rsidRPr="002D28D0" w:rsidRDefault="008D6397">
      <w:pPr>
        <w:pStyle w:val="Prrafodelista"/>
        <w:numPr>
          <w:ilvl w:val="0"/>
          <w:numId w:val="14"/>
        </w:numPr>
        <w:spacing w:before="240" w:line="360" w:lineRule="auto"/>
        <w:ind w:right="851"/>
        <w:jc w:val="both"/>
        <w:rPr>
          <w:rFonts w:ascii="Palatino Linotype" w:hAnsi="Palatino Linotype" w:cs="Arial"/>
          <w:b/>
          <w:i/>
          <w:sz w:val="22"/>
          <w:szCs w:val="22"/>
        </w:rPr>
      </w:pPr>
      <w:r w:rsidRPr="002D28D0">
        <w:rPr>
          <w:rFonts w:ascii="Palatino Linotype" w:hAnsi="Palatino Linotype"/>
          <w:b/>
          <w:i/>
          <w:sz w:val="22"/>
          <w:szCs w:val="22"/>
          <w:u w:val="single"/>
        </w:rPr>
        <w:t>Un representante de cada dependencia o unidad administrativa interesada</w:t>
      </w:r>
      <w:r w:rsidRPr="002D28D0">
        <w:rPr>
          <w:rFonts w:ascii="Palatino Linotype" w:hAnsi="Palatino Linotype"/>
          <w:i/>
          <w:sz w:val="22"/>
          <w:szCs w:val="22"/>
        </w:rPr>
        <w:t xml:space="preserve"> en la adquisición de los bienes o contratación del servicio, con función de vocal;</w:t>
      </w:r>
    </w:p>
    <w:p w14:paraId="2A332E2D" w14:textId="77777777" w:rsidR="008D6397" w:rsidRPr="002D28D0" w:rsidRDefault="008D6397">
      <w:pPr>
        <w:pStyle w:val="Prrafodelista"/>
        <w:numPr>
          <w:ilvl w:val="0"/>
          <w:numId w:val="14"/>
        </w:numPr>
        <w:spacing w:before="240" w:line="360" w:lineRule="auto"/>
        <w:ind w:right="851"/>
        <w:jc w:val="both"/>
        <w:rPr>
          <w:rFonts w:ascii="Palatino Linotype" w:hAnsi="Palatino Linotype" w:cs="Arial"/>
          <w:b/>
          <w:i/>
          <w:sz w:val="22"/>
          <w:szCs w:val="22"/>
        </w:rPr>
      </w:pPr>
      <w:r w:rsidRPr="002D28D0">
        <w:rPr>
          <w:rFonts w:ascii="Palatino Linotype" w:hAnsi="Palatino Linotype"/>
          <w:i/>
          <w:sz w:val="22"/>
          <w:szCs w:val="22"/>
        </w:rPr>
        <w:lastRenderedPageBreak/>
        <w:t xml:space="preserve"> Un representante de la </w:t>
      </w:r>
      <w:r w:rsidRPr="002D28D0">
        <w:rPr>
          <w:rFonts w:ascii="Palatino Linotype" w:hAnsi="Palatino Linotype"/>
          <w:b/>
          <w:i/>
          <w:sz w:val="22"/>
          <w:szCs w:val="22"/>
          <w:u w:val="single"/>
        </w:rPr>
        <w:t>Consejería Jurídica o del área jurídica respectiva</w:t>
      </w:r>
      <w:r w:rsidRPr="002D28D0">
        <w:rPr>
          <w:rFonts w:ascii="Palatino Linotype" w:hAnsi="Palatino Linotype"/>
          <w:i/>
          <w:sz w:val="22"/>
          <w:szCs w:val="22"/>
        </w:rPr>
        <w:t xml:space="preserve"> o quien lleve a cabo las funciones de esta naturaleza, con función de vocal; </w:t>
      </w:r>
    </w:p>
    <w:p w14:paraId="087F3457" w14:textId="77777777" w:rsidR="008D6397" w:rsidRPr="002D28D0" w:rsidRDefault="008D6397">
      <w:pPr>
        <w:pStyle w:val="Prrafodelista"/>
        <w:numPr>
          <w:ilvl w:val="0"/>
          <w:numId w:val="14"/>
        </w:numPr>
        <w:spacing w:before="240" w:line="360" w:lineRule="auto"/>
        <w:ind w:right="851"/>
        <w:jc w:val="both"/>
        <w:rPr>
          <w:rFonts w:ascii="Palatino Linotype" w:hAnsi="Palatino Linotype" w:cs="Arial"/>
          <w:b/>
          <w:i/>
          <w:sz w:val="22"/>
          <w:szCs w:val="22"/>
        </w:rPr>
      </w:pPr>
      <w:r w:rsidRPr="002D28D0">
        <w:rPr>
          <w:rFonts w:ascii="Palatino Linotype" w:hAnsi="Palatino Linotype"/>
          <w:i/>
          <w:sz w:val="22"/>
          <w:szCs w:val="22"/>
        </w:rPr>
        <w:t xml:space="preserve">Un representante del </w:t>
      </w:r>
      <w:r w:rsidRPr="002D28D0">
        <w:rPr>
          <w:rFonts w:ascii="Palatino Linotype" w:hAnsi="Palatino Linotype"/>
          <w:b/>
          <w:i/>
          <w:sz w:val="22"/>
          <w:szCs w:val="22"/>
          <w:u w:val="single"/>
        </w:rPr>
        <w:t>Órgano de Control,</w:t>
      </w:r>
      <w:r w:rsidRPr="002D28D0">
        <w:rPr>
          <w:rFonts w:ascii="Palatino Linotype" w:hAnsi="Palatino Linotype"/>
          <w:i/>
          <w:sz w:val="22"/>
          <w:szCs w:val="22"/>
        </w:rPr>
        <w:t xml:space="preserve"> con función de vocal; y </w:t>
      </w:r>
    </w:p>
    <w:p w14:paraId="1307A5BB" w14:textId="77777777" w:rsidR="008D6397" w:rsidRPr="002D28D0" w:rsidRDefault="008D6397">
      <w:pPr>
        <w:pStyle w:val="Prrafodelista"/>
        <w:numPr>
          <w:ilvl w:val="0"/>
          <w:numId w:val="14"/>
        </w:numPr>
        <w:spacing w:before="240" w:line="360" w:lineRule="auto"/>
        <w:ind w:right="851"/>
        <w:jc w:val="both"/>
        <w:rPr>
          <w:rFonts w:ascii="Palatino Linotype" w:hAnsi="Palatino Linotype" w:cs="Arial"/>
          <w:b/>
          <w:i/>
          <w:sz w:val="22"/>
          <w:szCs w:val="22"/>
        </w:rPr>
      </w:pPr>
      <w:r w:rsidRPr="002D28D0">
        <w:rPr>
          <w:rFonts w:ascii="Palatino Linotype" w:hAnsi="Palatino Linotype"/>
          <w:b/>
          <w:i/>
          <w:sz w:val="22"/>
          <w:szCs w:val="22"/>
          <w:u w:val="single"/>
        </w:rPr>
        <w:t>Un secretario ejecutivo,</w:t>
      </w:r>
      <w:r w:rsidRPr="002D28D0">
        <w:rPr>
          <w:rFonts w:ascii="Palatino Linotype" w:hAnsi="Palatino Linotype"/>
          <w:i/>
          <w:sz w:val="22"/>
          <w:szCs w:val="22"/>
        </w:rPr>
        <w:t xml:space="preserve"> que será designado por el presidente. </w:t>
      </w:r>
    </w:p>
    <w:p w14:paraId="276DAC49" w14:textId="77777777" w:rsidR="008D6397" w:rsidRPr="002D28D0" w:rsidRDefault="008D6397" w:rsidP="008D6397">
      <w:pPr>
        <w:pStyle w:val="Prrafodelista"/>
        <w:spacing w:before="240" w:after="160" w:line="360" w:lineRule="auto"/>
        <w:ind w:left="851" w:right="851"/>
        <w:jc w:val="both"/>
        <w:rPr>
          <w:rFonts w:ascii="Palatino Linotype" w:hAnsi="Palatino Linotype"/>
          <w:i/>
          <w:sz w:val="22"/>
          <w:szCs w:val="22"/>
        </w:rPr>
      </w:pPr>
      <w:r w:rsidRPr="002D28D0">
        <w:rPr>
          <w:rFonts w:ascii="Palatino Linotype" w:hAnsi="Palatino Linotype"/>
          <w:i/>
          <w:sz w:val="22"/>
          <w:szCs w:val="22"/>
        </w:rPr>
        <w:t xml:space="preserve">Los organismos auxiliares y tribunales administrativos que no cuenten con unidades administrativas con funciones de contraloría y jurídico, corresponderá a los titulares designar a los servidores públicos que por su perfil realicen las funciones de jurídico, y a la Contraloría, designar al servidor público que fungirá como su representante. </w:t>
      </w:r>
    </w:p>
    <w:p w14:paraId="35772C96" w14:textId="77777777" w:rsidR="008D6397" w:rsidRPr="002D28D0" w:rsidRDefault="008D6397" w:rsidP="008D6397">
      <w:pPr>
        <w:pStyle w:val="Prrafodelista"/>
        <w:spacing w:before="240" w:after="160" w:line="360" w:lineRule="auto"/>
        <w:ind w:left="851" w:right="851"/>
        <w:jc w:val="both"/>
        <w:rPr>
          <w:rFonts w:ascii="Palatino Linotype" w:hAnsi="Palatino Linotype"/>
          <w:i/>
          <w:sz w:val="22"/>
          <w:szCs w:val="22"/>
        </w:rPr>
      </w:pPr>
      <w:r w:rsidRPr="002D28D0">
        <w:rPr>
          <w:rFonts w:ascii="Palatino Linotype" w:hAnsi="Palatino Linotype"/>
          <w:i/>
          <w:sz w:val="22"/>
          <w:szCs w:val="22"/>
        </w:rPr>
        <w:t xml:space="preserve">Los integrantes del comité tendrán derecho a voz y voto a excepción de los indicados en las fracciones V y VI, quienes sólo participarán con voz, debiendo fundamentar y motivar el sentido de su opinión, a efecto de que sea incluida en el acta correspondiente. En caso de empate, el presidente tendrá voto de calidad. </w:t>
      </w:r>
    </w:p>
    <w:p w14:paraId="37F63595" w14:textId="77777777" w:rsidR="008D6397" w:rsidRPr="002D28D0" w:rsidRDefault="008D6397" w:rsidP="008D6397">
      <w:pPr>
        <w:pStyle w:val="Prrafodelista"/>
        <w:spacing w:before="240" w:after="160" w:line="360" w:lineRule="auto"/>
        <w:ind w:left="851" w:right="851"/>
        <w:jc w:val="both"/>
        <w:rPr>
          <w:rFonts w:ascii="Palatino Linotype" w:hAnsi="Palatino Linotype"/>
          <w:i/>
          <w:sz w:val="22"/>
          <w:szCs w:val="22"/>
        </w:rPr>
      </w:pPr>
      <w:r w:rsidRPr="002D28D0">
        <w:rPr>
          <w:rFonts w:ascii="Palatino Linotype" w:hAnsi="Palatino Linotype"/>
          <w:i/>
          <w:sz w:val="22"/>
          <w:szCs w:val="22"/>
        </w:rPr>
        <w:t xml:space="preserve">A las sesiones del comité podrá invitarse a cualquier persona cuya intervención se considere necesaria por el secretario ejecutivo, para aclarar aspectos técnicos o administrativos relacionados con los asuntos sometidos al comité. </w:t>
      </w:r>
    </w:p>
    <w:p w14:paraId="7B726CB7" w14:textId="77777777" w:rsidR="008D6397" w:rsidRPr="002D28D0" w:rsidRDefault="008D6397" w:rsidP="008D6397">
      <w:pPr>
        <w:pStyle w:val="Prrafodelista"/>
        <w:spacing w:before="240" w:after="160" w:line="360" w:lineRule="auto"/>
        <w:ind w:left="851" w:right="851"/>
        <w:jc w:val="both"/>
        <w:rPr>
          <w:rFonts w:ascii="Palatino Linotype" w:hAnsi="Palatino Linotype"/>
          <w:i/>
          <w:sz w:val="22"/>
          <w:szCs w:val="22"/>
        </w:rPr>
      </w:pPr>
      <w:r w:rsidRPr="002D28D0">
        <w:rPr>
          <w:rFonts w:ascii="Palatino Linotype" w:hAnsi="Palatino Linotype"/>
          <w:i/>
          <w:sz w:val="22"/>
          <w:szCs w:val="22"/>
        </w:rPr>
        <w:t xml:space="preserve">Los integrantes del comité designarán por escrito a sus respectivos suplentes, y sólo participarán en ausencia del titular. </w:t>
      </w:r>
    </w:p>
    <w:p w14:paraId="6FC1B5A5" w14:textId="77777777" w:rsidR="008D6397" w:rsidRPr="002D28D0" w:rsidRDefault="008D6397" w:rsidP="008D6397">
      <w:pPr>
        <w:pStyle w:val="Prrafodelista"/>
        <w:spacing w:before="240" w:after="160" w:line="360" w:lineRule="auto"/>
        <w:ind w:left="851" w:right="851"/>
        <w:jc w:val="both"/>
        <w:rPr>
          <w:rFonts w:ascii="Palatino Linotype" w:hAnsi="Palatino Linotype" w:cs="Arial"/>
          <w:b/>
          <w:i/>
          <w:sz w:val="22"/>
          <w:szCs w:val="22"/>
        </w:rPr>
      </w:pPr>
      <w:r w:rsidRPr="002D28D0">
        <w:rPr>
          <w:rFonts w:ascii="Palatino Linotype" w:hAnsi="Palatino Linotype"/>
          <w:i/>
          <w:sz w:val="22"/>
          <w:szCs w:val="22"/>
        </w:rPr>
        <w:t xml:space="preserve">Los cargos de los integrantes del comité serán honoríficos.” </w:t>
      </w:r>
      <w:r w:rsidRPr="002D28D0">
        <w:rPr>
          <w:rFonts w:ascii="Palatino Linotype" w:hAnsi="Palatino Linotype"/>
          <w:b/>
          <w:i/>
          <w:sz w:val="22"/>
          <w:szCs w:val="22"/>
        </w:rPr>
        <w:t>[Sic]</w:t>
      </w:r>
    </w:p>
    <w:p w14:paraId="081F1A74" w14:textId="39C14713" w:rsidR="008D6397" w:rsidRPr="002D28D0" w:rsidRDefault="008D6397" w:rsidP="00685F73">
      <w:pPr>
        <w:spacing w:before="240" w:line="360" w:lineRule="auto"/>
        <w:jc w:val="both"/>
        <w:rPr>
          <w:rFonts w:ascii="Palatino Linotype" w:hAnsi="Palatino Linotype" w:cs="Tahoma"/>
          <w:sz w:val="24"/>
          <w:szCs w:val="24"/>
        </w:rPr>
      </w:pPr>
    </w:p>
    <w:p w14:paraId="5881C7D5" w14:textId="5B0D16BC" w:rsidR="008D6397" w:rsidRPr="002D28D0" w:rsidRDefault="008D6397" w:rsidP="00685F73">
      <w:pPr>
        <w:spacing w:before="240" w:line="360" w:lineRule="auto"/>
        <w:jc w:val="both"/>
        <w:rPr>
          <w:rFonts w:ascii="Palatino Linotype" w:hAnsi="Palatino Linotype"/>
          <w:sz w:val="24"/>
          <w:szCs w:val="24"/>
        </w:rPr>
      </w:pPr>
      <w:r w:rsidRPr="002D28D0">
        <w:rPr>
          <w:rFonts w:ascii="Palatino Linotype" w:hAnsi="Palatino Linotype"/>
          <w:sz w:val="24"/>
          <w:szCs w:val="24"/>
        </w:rPr>
        <w:lastRenderedPageBreak/>
        <w:t xml:space="preserve">De ahí que deba arribarse a la premisa de que la Secretaría del Ayuntamiento genera, posee y administra soportes documentales vinculados con </w:t>
      </w:r>
      <w:r w:rsidR="009F381A" w:rsidRPr="002D28D0">
        <w:rPr>
          <w:rFonts w:ascii="Palatino Linotype" w:hAnsi="Palatino Linotype"/>
          <w:sz w:val="24"/>
          <w:szCs w:val="24"/>
        </w:rPr>
        <w:t xml:space="preserve">la deliberación de asuntos de competencia municipal, tales como las Actas de Cabildo. En contraste, una de las funciones sustantivas reservadas a la Dirección de Servicios Públicos estriba en otorgar insumos o factores que repercutan en la satisfacción social tales como estacionamientos públicos o </w:t>
      </w:r>
      <w:proofErr w:type="spellStart"/>
      <w:r w:rsidR="009F381A" w:rsidRPr="002D28D0">
        <w:rPr>
          <w:rFonts w:ascii="Palatino Linotype" w:hAnsi="Palatino Linotype"/>
          <w:sz w:val="24"/>
          <w:szCs w:val="24"/>
        </w:rPr>
        <w:t>estacionómetros</w:t>
      </w:r>
      <w:proofErr w:type="spellEnd"/>
      <w:r w:rsidR="009F381A" w:rsidRPr="002D28D0">
        <w:rPr>
          <w:rFonts w:ascii="Palatino Linotype" w:hAnsi="Palatino Linotype"/>
          <w:sz w:val="24"/>
          <w:szCs w:val="24"/>
        </w:rPr>
        <w:t xml:space="preserve">, precisando que los servicios públicos son susceptibles de concesionarse a terceros, con excepción de aquellos en materia de seguridad. Finalmente, la Dirección General de Administración preside el Comité de Adquisiciones y Servicios. </w:t>
      </w:r>
    </w:p>
    <w:p w14:paraId="7162371C" w14:textId="77777777" w:rsidR="009D1F61" w:rsidRPr="002D28D0" w:rsidRDefault="009D1F61" w:rsidP="009D1F61">
      <w:pPr>
        <w:pStyle w:val="Prrafodelista"/>
        <w:autoSpaceDE w:val="0"/>
        <w:autoSpaceDN w:val="0"/>
        <w:adjustRightInd w:val="0"/>
        <w:spacing w:before="240" w:after="160" w:line="360" w:lineRule="auto"/>
        <w:ind w:left="0"/>
        <w:jc w:val="both"/>
        <w:rPr>
          <w:rFonts w:ascii="Palatino Linotype" w:hAnsi="Palatino Linotype" w:cs="Arial"/>
          <w:bCs/>
        </w:rPr>
      </w:pPr>
      <w:r w:rsidRPr="002D28D0">
        <w:rPr>
          <w:rFonts w:ascii="Palatino Linotype" w:hAnsi="Palatino Linotype" w:cs="Arial"/>
          <w:bCs/>
        </w:rPr>
        <w:t xml:space="preserve">De manera complementaria, esta Ponencia </w:t>
      </w:r>
      <w:proofErr w:type="spellStart"/>
      <w:r w:rsidRPr="002D28D0">
        <w:rPr>
          <w:rFonts w:ascii="Palatino Linotype" w:hAnsi="Palatino Linotype" w:cs="Arial"/>
          <w:bCs/>
        </w:rPr>
        <w:t>Resolutora</w:t>
      </w:r>
      <w:proofErr w:type="spellEnd"/>
      <w:r w:rsidRPr="002D28D0">
        <w:rPr>
          <w:rFonts w:ascii="Palatino Linotype" w:hAnsi="Palatino Linotype" w:cs="Arial"/>
          <w:bCs/>
        </w:rPr>
        <w:t xml:space="preserve"> procedió a consultar información difundida en medios electrónicos, misma que puede ser consultada ingresando a las siguientes ligas electrónicas: </w:t>
      </w:r>
    </w:p>
    <w:p w14:paraId="1A6639D9" w14:textId="415D6224" w:rsidR="009D1F61" w:rsidRPr="002D28D0" w:rsidRDefault="0052362C" w:rsidP="009D1F61">
      <w:pPr>
        <w:pStyle w:val="Prrafodelista"/>
        <w:autoSpaceDE w:val="0"/>
        <w:autoSpaceDN w:val="0"/>
        <w:adjustRightInd w:val="0"/>
        <w:spacing w:before="240" w:after="160" w:line="360" w:lineRule="auto"/>
        <w:ind w:left="0"/>
        <w:jc w:val="both"/>
        <w:rPr>
          <w:rFonts w:ascii="Palatino Linotype" w:hAnsi="Palatino Linotype"/>
        </w:rPr>
      </w:pPr>
      <w:hyperlink r:id="rId12" w:history="1">
        <w:r w:rsidR="009D1F61" w:rsidRPr="002D28D0">
          <w:rPr>
            <w:rStyle w:val="Hipervnculo"/>
            <w:rFonts w:ascii="Palatino Linotype" w:hAnsi="Palatino Linotype"/>
          </w:rPr>
          <w:t>https://www.excelsior.com.mx/comunidad/colocan-parquimetros-en-toluca-sin-previo-aviso/1550916</w:t>
        </w:r>
      </w:hyperlink>
      <w:r w:rsidR="009D1F61" w:rsidRPr="002D28D0">
        <w:rPr>
          <w:rFonts w:ascii="Palatino Linotype" w:hAnsi="Palatino Linotype"/>
        </w:rPr>
        <w:t xml:space="preserve"> </w:t>
      </w:r>
    </w:p>
    <w:p w14:paraId="368AD28D" w14:textId="11C0C55A" w:rsidR="009D1F61" w:rsidRPr="002D28D0" w:rsidRDefault="0052362C" w:rsidP="009D1F61">
      <w:pPr>
        <w:pStyle w:val="Prrafodelista"/>
        <w:autoSpaceDE w:val="0"/>
        <w:autoSpaceDN w:val="0"/>
        <w:adjustRightInd w:val="0"/>
        <w:spacing w:before="240" w:after="160" w:line="360" w:lineRule="auto"/>
        <w:ind w:left="0"/>
        <w:jc w:val="both"/>
        <w:rPr>
          <w:rFonts w:ascii="Palatino Linotype" w:hAnsi="Palatino Linotype"/>
        </w:rPr>
      </w:pPr>
      <w:hyperlink r:id="rId13" w:history="1">
        <w:r w:rsidR="009D1F61" w:rsidRPr="002D28D0">
          <w:rPr>
            <w:rStyle w:val="Hipervnculo"/>
            <w:rFonts w:ascii="Palatino Linotype" w:hAnsi="Palatino Linotype"/>
          </w:rPr>
          <w:t>https://adnoticias.mx/parquimetros-virtuales-toluca/</w:t>
        </w:r>
      </w:hyperlink>
      <w:r w:rsidR="009D1F61" w:rsidRPr="002D28D0">
        <w:rPr>
          <w:rFonts w:ascii="Palatino Linotype" w:hAnsi="Palatino Linotype"/>
        </w:rPr>
        <w:t xml:space="preserve"> </w:t>
      </w:r>
    </w:p>
    <w:p w14:paraId="7BF233AD" w14:textId="15B56EF5" w:rsidR="009D1F61" w:rsidRPr="002D28D0" w:rsidRDefault="009D1F61" w:rsidP="009D1F61">
      <w:pPr>
        <w:pStyle w:val="Prrafodelista"/>
        <w:autoSpaceDE w:val="0"/>
        <w:autoSpaceDN w:val="0"/>
        <w:adjustRightInd w:val="0"/>
        <w:spacing w:before="240" w:after="160" w:line="360" w:lineRule="auto"/>
        <w:ind w:left="0"/>
        <w:jc w:val="both"/>
        <w:rPr>
          <w:rFonts w:ascii="Palatino Linotype" w:hAnsi="Palatino Linotype"/>
        </w:rPr>
      </w:pPr>
    </w:p>
    <w:p w14:paraId="3E4791A9" w14:textId="0DF2EDB0" w:rsidR="009D1F61" w:rsidRPr="002D28D0" w:rsidRDefault="009D1F61" w:rsidP="009D1F61">
      <w:pPr>
        <w:pStyle w:val="Prrafodelista"/>
        <w:autoSpaceDE w:val="0"/>
        <w:autoSpaceDN w:val="0"/>
        <w:adjustRightInd w:val="0"/>
        <w:spacing w:before="240" w:after="160" w:line="360" w:lineRule="auto"/>
        <w:ind w:left="0"/>
        <w:jc w:val="both"/>
        <w:rPr>
          <w:rFonts w:ascii="Palatino Linotype" w:hAnsi="Palatino Linotype" w:cs="Arial"/>
          <w:bCs/>
        </w:rPr>
      </w:pPr>
      <w:r w:rsidRPr="002D28D0">
        <w:rPr>
          <w:rFonts w:ascii="Palatino Linotype" w:hAnsi="Palatino Linotype" w:cs="Arial"/>
          <w:bCs/>
        </w:rPr>
        <w:t>Sirven de sustento las siguientes imágenes ilustrativas:</w:t>
      </w:r>
    </w:p>
    <w:p w14:paraId="3B952C1D" w14:textId="3BBB068A" w:rsidR="009D1F61" w:rsidRPr="002D28D0" w:rsidRDefault="009D1F61" w:rsidP="009D1F61">
      <w:pPr>
        <w:pStyle w:val="Prrafodelista"/>
        <w:autoSpaceDE w:val="0"/>
        <w:autoSpaceDN w:val="0"/>
        <w:adjustRightInd w:val="0"/>
        <w:spacing w:before="240" w:after="160" w:line="360" w:lineRule="auto"/>
        <w:ind w:left="0"/>
        <w:jc w:val="both"/>
        <w:rPr>
          <w:rFonts w:ascii="Palatino Linotype" w:hAnsi="Palatino Linotype" w:cs="Arial"/>
          <w:bCs/>
        </w:rPr>
      </w:pPr>
      <w:r w:rsidRPr="002D28D0">
        <w:rPr>
          <w:rFonts w:ascii="Palatino Linotype" w:hAnsi="Palatino Linotype" w:cs="Arial"/>
          <w:bCs/>
          <w:noProof/>
          <w:lang w:val="es-MX" w:eastAsia="es-MX"/>
        </w:rPr>
        <mc:AlternateContent>
          <mc:Choice Requires="wps">
            <w:drawing>
              <wp:anchor distT="0" distB="0" distL="114300" distR="114300" simplePos="0" relativeHeight="251707390" behindDoc="0" locked="0" layoutInCell="1" allowOverlap="1" wp14:anchorId="10F6A8DD" wp14:editId="48A2D469">
                <wp:simplePos x="0" y="0"/>
                <wp:positionH relativeFrom="column">
                  <wp:posOffset>-42643</wp:posOffset>
                </wp:positionH>
                <wp:positionV relativeFrom="paragraph">
                  <wp:posOffset>120405</wp:posOffset>
                </wp:positionV>
                <wp:extent cx="6125308" cy="1482969"/>
                <wp:effectExtent l="0" t="0" r="27940" b="22225"/>
                <wp:wrapNone/>
                <wp:docPr id="13" name="Straight Connector 13"/>
                <wp:cNvGraphicFramePr/>
                <a:graphic xmlns:a="http://schemas.openxmlformats.org/drawingml/2006/main">
                  <a:graphicData uri="http://schemas.microsoft.com/office/word/2010/wordprocessingShape">
                    <wps:wsp>
                      <wps:cNvCnPr/>
                      <wps:spPr>
                        <a:xfrm>
                          <a:off x="0" y="0"/>
                          <a:ext cx="6125308" cy="148296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38F49F6" id="Straight Connector 13" o:spid="_x0000_s1026" style="position:absolute;z-index:251707390;visibility:visible;mso-wrap-style:square;mso-wrap-distance-left:9pt;mso-wrap-distance-top:0;mso-wrap-distance-right:9pt;mso-wrap-distance-bottom:0;mso-position-horizontal:absolute;mso-position-horizontal-relative:text;mso-position-vertical:absolute;mso-position-vertical-relative:text" from="-3.35pt,9.5pt" to="478.95pt,1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" strokecolor="#5b9bd5 [3204]" strokeweight=".5pt">
                <v:stroke joinstyle="miter"/>
              </v:line>
            </w:pict>
          </mc:Fallback>
        </mc:AlternateContent>
      </w:r>
    </w:p>
    <w:p w14:paraId="33F98E66" w14:textId="07D8A39E" w:rsidR="009D1F61" w:rsidRPr="002D28D0" w:rsidRDefault="009D1F61" w:rsidP="009D1F61">
      <w:pPr>
        <w:pStyle w:val="Prrafodelista"/>
        <w:autoSpaceDE w:val="0"/>
        <w:autoSpaceDN w:val="0"/>
        <w:adjustRightInd w:val="0"/>
        <w:spacing w:before="240" w:after="160" w:line="360" w:lineRule="auto"/>
        <w:ind w:left="0"/>
        <w:jc w:val="both"/>
        <w:rPr>
          <w:rFonts w:ascii="Palatino Linotype" w:hAnsi="Palatino Linotype" w:cs="Arial"/>
          <w:bCs/>
        </w:rPr>
      </w:pPr>
    </w:p>
    <w:p w14:paraId="1D099F98" w14:textId="153C50BB" w:rsidR="009D1F61" w:rsidRPr="002D28D0" w:rsidRDefault="009D1F61" w:rsidP="009D1F61">
      <w:pPr>
        <w:pStyle w:val="Prrafodelista"/>
        <w:autoSpaceDE w:val="0"/>
        <w:autoSpaceDN w:val="0"/>
        <w:adjustRightInd w:val="0"/>
        <w:spacing w:before="240" w:after="160" w:line="360" w:lineRule="auto"/>
        <w:ind w:left="0"/>
        <w:jc w:val="both"/>
        <w:rPr>
          <w:rFonts w:ascii="Palatino Linotype" w:hAnsi="Palatino Linotype" w:cs="Arial"/>
          <w:bCs/>
        </w:rPr>
      </w:pPr>
    </w:p>
    <w:p w14:paraId="45F1C67D" w14:textId="2299597C" w:rsidR="009D1F61" w:rsidRPr="002D28D0" w:rsidRDefault="00D003CF" w:rsidP="009D1F61">
      <w:pPr>
        <w:pStyle w:val="Prrafodelista"/>
        <w:autoSpaceDE w:val="0"/>
        <w:autoSpaceDN w:val="0"/>
        <w:adjustRightInd w:val="0"/>
        <w:spacing w:before="240" w:after="160" w:line="360" w:lineRule="auto"/>
        <w:ind w:left="0"/>
        <w:jc w:val="both"/>
        <w:rPr>
          <w:rFonts w:ascii="Palatino Linotype" w:hAnsi="Palatino Linotype" w:cs="Arial"/>
          <w:bCs/>
        </w:rPr>
      </w:pPr>
      <w:r w:rsidRPr="002D28D0">
        <w:rPr>
          <w:rFonts w:ascii="Palatino Linotype" w:hAnsi="Palatino Linotype" w:cs="Arial"/>
          <w:bCs/>
          <w:noProof/>
          <w:lang w:val="es-MX" w:eastAsia="es-MX"/>
        </w:rPr>
        <w:lastRenderedPageBreak/>
        <w:drawing>
          <wp:anchor distT="0" distB="0" distL="114300" distR="114300" simplePos="0" relativeHeight="251708414" behindDoc="0" locked="0" layoutInCell="1" allowOverlap="1" wp14:anchorId="0F8434D0" wp14:editId="700AB56C">
            <wp:simplePos x="0" y="0"/>
            <wp:positionH relativeFrom="column">
              <wp:posOffset>20955</wp:posOffset>
            </wp:positionH>
            <wp:positionV relativeFrom="paragraph">
              <wp:posOffset>3949065</wp:posOffset>
            </wp:positionV>
            <wp:extent cx="5758815" cy="3522345"/>
            <wp:effectExtent l="19050" t="19050" r="13335" b="20955"/>
            <wp:wrapThrough wrapText="bothSides">
              <wp:wrapPolygon edited="0">
                <wp:start x="-71" y="-117"/>
                <wp:lineTo x="-71" y="21612"/>
                <wp:lineTo x="21579" y="21612"/>
                <wp:lineTo x="21579" y="-117"/>
                <wp:lineTo x="-71" y="-117"/>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8815" cy="35223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D1F61" w:rsidRPr="002D28D0">
        <w:rPr>
          <w:rFonts w:ascii="Palatino Linotype" w:hAnsi="Palatino Linotype" w:cs="Arial"/>
          <w:bCs/>
          <w:noProof/>
          <w:lang w:val="es-MX" w:eastAsia="es-MX"/>
        </w:rPr>
        <w:drawing>
          <wp:anchor distT="0" distB="0" distL="114300" distR="114300" simplePos="0" relativeHeight="251687927" behindDoc="0" locked="0" layoutInCell="1" allowOverlap="1" wp14:anchorId="00E75121" wp14:editId="275FF165">
            <wp:simplePos x="0" y="0"/>
            <wp:positionH relativeFrom="column">
              <wp:posOffset>22860</wp:posOffset>
            </wp:positionH>
            <wp:positionV relativeFrom="paragraph">
              <wp:posOffset>20320</wp:posOffset>
            </wp:positionV>
            <wp:extent cx="5758815" cy="3522345"/>
            <wp:effectExtent l="19050" t="19050" r="13335" b="20955"/>
            <wp:wrapThrough wrapText="bothSides">
              <wp:wrapPolygon edited="0">
                <wp:start x="-71" y="-117"/>
                <wp:lineTo x="-71" y="21612"/>
                <wp:lineTo x="21579" y="21612"/>
                <wp:lineTo x="21579" y="-117"/>
                <wp:lineTo x="-71" y="-117"/>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8815" cy="35223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42A954" w14:textId="2EE4A9B2" w:rsidR="00D003CF" w:rsidRPr="002D28D0" w:rsidRDefault="009D1F61" w:rsidP="009D1F61">
      <w:pPr>
        <w:pStyle w:val="Prrafodelista"/>
        <w:autoSpaceDE w:val="0"/>
        <w:autoSpaceDN w:val="0"/>
        <w:adjustRightInd w:val="0"/>
        <w:spacing w:before="240" w:after="160" w:line="360" w:lineRule="auto"/>
        <w:ind w:left="0"/>
        <w:jc w:val="both"/>
        <w:rPr>
          <w:rFonts w:ascii="Palatino Linotype" w:hAnsi="Palatino Linotype" w:cs="Arial"/>
          <w:bCs/>
        </w:rPr>
      </w:pPr>
      <w:r w:rsidRPr="002D28D0">
        <w:rPr>
          <w:rFonts w:ascii="Palatino Linotype" w:hAnsi="Palatino Linotype" w:cs="Arial"/>
          <w:bCs/>
        </w:rPr>
        <w:lastRenderedPageBreak/>
        <w:t>Dominios electrónicos en los cuales en síntesis se da cuenta respecto de</w:t>
      </w:r>
      <w:r w:rsidR="00D003CF" w:rsidRPr="002D28D0">
        <w:rPr>
          <w:rFonts w:ascii="Palatino Linotype" w:hAnsi="Palatino Linotype" w:cs="Arial"/>
          <w:bCs/>
        </w:rPr>
        <w:t xml:space="preserve"> la instalación y operación de parquímetros virtuales en el municipio de Toluca, mediante el uso de la App “</w:t>
      </w:r>
      <w:proofErr w:type="spellStart"/>
      <w:r w:rsidR="00D003CF" w:rsidRPr="002D28D0">
        <w:rPr>
          <w:rFonts w:ascii="Palatino Linotype" w:hAnsi="Palatino Linotype" w:cs="Arial"/>
          <w:bCs/>
        </w:rPr>
        <w:t>Parkimovil</w:t>
      </w:r>
      <w:proofErr w:type="spellEnd"/>
      <w:r w:rsidR="00D003CF" w:rsidRPr="002D28D0">
        <w:rPr>
          <w:rFonts w:ascii="Palatino Linotype" w:hAnsi="Palatino Linotype" w:cs="Arial"/>
          <w:bCs/>
        </w:rPr>
        <w:t xml:space="preserve">”. </w:t>
      </w:r>
    </w:p>
    <w:p w14:paraId="0D3948F9" w14:textId="77777777" w:rsidR="009D1F61" w:rsidRPr="002D28D0" w:rsidRDefault="009D1F61" w:rsidP="009D1F61">
      <w:pPr>
        <w:spacing w:line="360" w:lineRule="auto"/>
        <w:contextualSpacing/>
        <w:jc w:val="both"/>
        <w:rPr>
          <w:rFonts w:ascii="Palatino Linotype" w:hAnsi="Palatino Linotype"/>
          <w:sz w:val="24"/>
        </w:rPr>
      </w:pPr>
      <w:r w:rsidRPr="002D28D0">
        <w:rPr>
          <w:rFonts w:ascii="Palatino Linotype" w:hAnsi="Palatino Linotype"/>
          <w:sz w:val="24"/>
        </w:rPr>
        <w:t>Ahora bien, es importante mencionar que, la información precisada con anterioridad es referente a notas periodísticas, por lo que es de precisarse que, en el caso concreto, las notas periodísticas y los argumentos vertidos en párrafos que preceden, si bien es cierto, carecen de valor probatorio, también lo es que arrojan indicios sobre los hechos a los que se refieren.</w:t>
      </w:r>
    </w:p>
    <w:p w14:paraId="69B13453" w14:textId="77777777" w:rsidR="009D1F61" w:rsidRPr="002D28D0" w:rsidRDefault="009D1F61" w:rsidP="009D1F61">
      <w:pPr>
        <w:spacing w:line="360" w:lineRule="auto"/>
        <w:contextualSpacing/>
        <w:jc w:val="both"/>
        <w:rPr>
          <w:rFonts w:ascii="Palatino Linotype" w:hAnsi="Palatino Linotype"/>
          <w:sz w:val="24"/>
        </w:rPr>
      </w:pPr>
      <w:r w:rsidRPr="002D28D0">
        <w:rPr>
          <w:rFonts w:ascii="Palatino Linotype" w:hAnsi="Palatino Linotype"/>
          <w:sz w:val="24"/>
        </w:rPr>
        <w:t>Sirve de apoyo a lo anteriormente señalado, la Jurisprudencia emitida por la Sala Superior de la Suprema Corte de Justicia de la Nación, Tercera Época</w:t>
      </w:r>
      <w:r w:rsidRPr="002D28D0">
        <w:rPr>
          <w:rStyle w:val="Refdenotaalpie"/>
          <w:rFonts w:ascii="Palatino Linotype" w:hAnsi="Palatino Linotype"/>
          <w:sz w:val="24"/>
        </w:rPr>
        <w:footnoteReference w:id="4"/>
      </w:r>
      <w:r w:rsidRPr="002D28D0">
        <w:rPr>
          <w:rFonts w:ascii="Palatino Linotype" w:hAnsi="Palatino Linotype"/>
          <w:sz w:val="24"/>
        </w:rPr>
        <w:t>, que se muestra a continuación:</w:t>
      </w:r>
    </w:p>
    <w:p w14:paraId="4E313303" w14:textId="77777777" w:rsidR="009D1F61" w:rsidRPr="002D28D0" w:rsidRDefault="009D1F61" w:rsidP="009D1F61">
      <w:pPr>
        <w:pStyle w:val="Citas"/>
        <w:rPr>
          <w:b/>
        </w:rPr>
      </w:pPr>
      <w:r w:rsidRPr="002D28D0">
        <w:rPr>
          <w:b/>
        </w:rPr>
        <w:t xml:space="preserve">“NOTAS PERIODÍSTICAS. ELEMENTOS PARA DETERMINAR SU FUERZA INDICIARIA. </w:t>
      </w:r>
    </w:p>
    <w:p w14:paraId="507ED248" w14:textId="77777777" w:rsidR="009D1F61" w:rsidRPr="002D28D0" w:rsidRDefault="009D1F61" w:rsidP="009D1F61">
      <w:pPr>
        <w:pStyle w:val="Citas"/>
        <w:rPr>
          <w:rFonts w:eastAsia="Times New Roman"/>
          <w:b/>
          <w:bCs/>
          <w:sz w:val="24"/>
          <w:szCs w:val="24"/>
          <w:lang w:eastAsia="es-MX"/>
        </w:rPr>
      </w:pPr>
      <w:r w:rsidRPr="002D28D0">
        <w:t xml:space="preserve">Los medios probatorios que se hacen consistir en notas periodísticas, sólo pueden arrojar indicios sobre los hechos a que se refieren, pero para calificar si se trata de indicios simples o de indicios de mayor grado </w:t>
      </w:r>
      <w:proofErr w:type="spellStart"/>
      <w:r w:rsidRPr="002D28D0">
        <w:t>convictivo</w:t>
      </w:r>
      <w:proofErr w:type="spellEnd"/>
      <w:r w:rsidRPr="002D28D0">
        <w:t xml:space="preserve">, el juzgador debe ponderar las circunstancias existentes en cada caso concreto. Así, si se aportaron varias notas, provenientes de distintos órganos de información, atribuidas a diferentes autores y coincidentes en lo sustancial, y si además no obra constancia de que el afectado con su contenido haya ofrecido algún mentís sobre lo que en las noticias se le atribuye, y en el juicio donde se presenten se concreta a manifestar que esos medios informativos </w:t>
      </w:r>
      <w:r w:rsidRPr="002D28D0">
        <w:lastRenderedPageBreak/>
        <w:t xml:space="preserve">carecen de valor probatorio, pero omite pronunciarse sobre la certeza o falsedad de los hechos consignados en ellos, al sopesar todas esas circunstancias con la aplicación de las reglas de la lógica, la sana crítica y las máximas de experiencia, en términos del artículo 16, apartado 1, de la Ley General del Sistema de Medios de Impugnación en Materia Electoral, o de la ley que sea aplicable, esto permite otorgar mayor calidad indiciaria a los citados medios de prueba, y por tanto, a que los elementos faltantes para alcanzar la fuerza probatoria plena sean menores que en los casos en que no medien tales circunstancias.” </w:t>
      </w:r>
      <w:r w:rsidRPr="002D28D0">
        <w:rPr>
          <w:b/>
          <w:bCs/>
        </w:rPr>
        <w:t>(Sic)</w:t>
      </w:r>
    </w:p>
    <w:p w14:paraId="3E9A15C0" w14:textId="38414696" w:rsidR="008D6397" w:rsidRPr="002D28D0" w:rsidRDefault="008D6397" w:rsidP="00685F73">
      <w:pPr>
        <w:spacing w:before="240" w:line="360" w:lineRule="auto"/>
        <w:jc w:val="both"/>
        <w:rPr>
          <w:rFonts w:ascii="Palatino Linotype" w:hAnsi="Palatino Linotype"/>
          <w:sz w:val="24"/>
          <w:szCs w:val="24"/>
        </w:rPr>
      </w:pPr>
    </w:p>
    <w:p w14:paraId="7E80CB51" w14:textId="16208B9B" w:rsidR="00D003CF" w:rsidRPr="002D28D0" w:rsidRDefault="008D6397" w:rsidP="008D6397">
      <w:pPr>
        <w:spacing w:before="240" w:line="360" w:lineRule="auto"/>
        <w:jc w:val="both"/>
        <w:rPr>
          <w:rFonts w:ascii="Palatino Linotype" w:hAnsi="Palatino Linotype"/>
          <w:bCs/>
          <w:sz w:val="24"/>
          <w:szCs w:val="24"/>
        </w:rPr>
      </w:pPr>
      <w:r w:rsidRPr="002D28D0">
        <w:rPr>
          <w:rFonts w:ascii="Palatino Linotype" w:hAnsi="Palatino Linotype" w:cs="Arial"/>
          <w:sz w:val="24"/>
          <w:szCs w:val="24"/>
        </w:rPr>
        <w:t xml:space="preserve">Por otra parte, es óbice mencionar que la información requerida estriba parcialmente en las obligaciones en las obligaciones de transparencia común, lo anterior con fundamento </w:t>
      </w:r>
      <w:r w:rsidRPr="002D28D0">
        <w:rPr>
          <w:rFonts w:ascii="Palatino Linotype" w:hAnsi="Palatino Linotype"/>
          <w:bCs/>
          <w:sz w:val="24"/>
          <w:szCs w:val="24"/>
        </w:rPr>
        <w:t xml:space="preserve">en </w:t>
      </w:r>
      <w:r w:rsidR="00D003CF" w:rsidRPr="002D28D0">
        <w:rPr>
          <w:rFonts w:ascii="Palatino Linotype" w:hAnsi="Palatino Linotype"/>
          <w:bCs/>
          <w:sz w:val="24"/>
          <w:szCs w:val="24"/>
        </w:rPr>
        <w:t>los artículos</w:t>
      </w:r>
      <w:r w:rsidRPr="002D28D0">
        <w:rPr>
          <w:rFonts w:ascii="Palatino Linotype" w:hAnsi="Palatino Linotype"/>
          <w:bCs/>
          <w:sz w:val="24"/>
          <w:szCs w:val="24"/>
        </w:rPr>
        <w:t xml:space="preserve"> 24, fracción XII, 92, </w:t>
      </w:r>
      <w:r w:rsidR="00D003CF" w:rsidRPr="002D28D0">
        <w:rPr>
          <w:rFonts w:ascii="Palatino Linotype" w:hAnsi="Palatino Linotype"/>
          <w:bCs/>
          <w:sz w:val="24"/>
          <w:szCs w:val="24"/>
        </w:rPr>
        <w:t>fracción</w:t>
      </w:r>
      <w:r w:rsidRPr="002D28D0">
        <w:rPr>
          <w:rFonts w:ascii="Palatino Linotype" w:hAnsi="Palatino Linotype"/>
          <w:bCs/>
          <w:sz w:val="24"/>
          <w:szCs w:val="24"/>
        </w:rPr>
        <w:t xml:space="preserve"> XXIX</w:t>
      </w:r>
      <w:r w:rsidR="00D003CF" w:rsidRPr="002D28D0">
        <w:rPr>
          <w:rFonts w:ascii="Palatino Linotype" w:hAnsi="Palatino Linotype"/>
          <w:bCs/>
          <w:sz w:val="24"/>
          <w:szCs w:val="24"/>
        </w:rPr>
        <w:t xml:space="preserve">, 94 apartado II, inciso b) de la Ley de Transparencia y Acceso a la </w:t>
      </w:r>
      <w:r w:rsidR="00C85B50" w:rsidRPr="002D28D0">
        <w:rPr>
          <w:rFonts w:ascii="Palatino Linotype" w:hAnsi="Palatino Linotype"/>
          <w:bCs/>
          <w:sz w:val="24"/>
          <w:szCs w:val="24"/>
        </w:rPr>
        <w:t>Información Pública del Estado de México y Municipios, porciones normativas que disponen a la literalidad lo siguiente:</w:t>
      </w:r>
    </w:p>
    <w:p w14:paraId="4ADDE171" w14:textId="52BB7E68"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“Artículo 24. Para el cumplimiento de los objetivos de esta Ley, los sujetos obligados deberán cumplir con las siguientes obligaciones, según corresponda, de acuerdo a su naturaleza:</w:t>
      </w:r>
    </w:p>
    <w:p w14:paraId="3D1E8C1C"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w:t>
      </w:r>
    </w:p>
    <w:p w14:paraId="57F1E2C4" w14:textId="77777777" w:rsidR="008D6397" w:rsidRPr="002D28D0" w:rsidRDefault="008D6397" w:rsidP="008D6397">
      <w:pPr>
        <w:spacing w:before="240" w:line="360" w:lineRule="auto"/>
        <w:ind w:left="851" w:right="851"/>
        <w:jc w:val="both"/>
        <w:rPr>
          <w:rFonts w:ascii="Palatino Linotype" w:hAnsi="Palatino Linotype"/>
          <w:bCs/>
          <w:i/>
        </w:rPr>
      </w:pPr>
      <w:r w:rsidRPr="002D28D0">
        <w:rPr>
          <w:rFonts w:ascii="Palatino Linotype" w:hAnsi="Palatino Linotype"/>
          <w:bCs/>
          <w:i/>
        </w:rPr>
        <w:t>XII. Publicar y mantener actualizada la información relativa a las obligaciones generales de transparencia previstas en la presente Ley o determinadas así por el Instituto, y en general aquella que sea de interés público;</w:t>
      </w:r>
    </w:p>
    <w:p w14:paraId="759555D0" w14:textId="77777777" w:rsidR="008D6397" w:rsidRPr="002D28D0" w:rsidRDefault="008D6397" w:rsidP="008D6397">
      <w:pPr>
        <w:spacing w:before="240" w:line="360" w:lineRule="auto"/>
        <w:ind w:left="851" w:right="851"/>
        <w:jc w:val="both"/>
        <w:rPr>
          <w:rFonts w:ascii="Palatino Linotype" w:hAnsi="Palatino Linotype"/>
          <w:bCs/>
          <w:i/>
        </w:rPr>
      </w:pPr>
      <w:r w:rsidRPr="002D28D0">
        <w:rPr>
          <w:rFonts w:ascii="Palatino Linotype" w:hAnsi="Palatino Linotype"/>
          <w:bCs/>
          <w:i/>
        </w:rPr>
        <w:t>(…)</w:t>
      </w:r>
    </w:p>
    <w:p w14:paraId="7D09F9E1" w14:textId="77777777" w:rsidR="008D6397" w:rsidRPr="002D28D0" w:rsidRDefault="008D6397" w:rsidP="008D6397">
      <w:pPr>
        <w:spacing w:before="240" w:line="360" w:lineRule="auto"/>
        <w:ind w:left="851" w:right="851"/>
        <w:jc w:val="both"/>
        <w:rPr>
          <w:rFonts w:ascii="Palatino Linotype" w:hAnsi="Palatino Linotype"/>
          <w:bCs/>
          <w:sz w:val="24"/>
          <w:szCs w:val="24"/>
        </w:rPr>
      </w:pPr>
      <w:r w:rsidRPr="002D28D0">
        <w:rPr>
          <w:rFonts w:ascii="Palatino Linotype" w:hAnsi="Palatino Linotype"/>
          <w:i/>
        </w:rPr>
        <w:lastRenderedPageBreak/>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02C42D8B" w14:textId="77777777" w:rsidR="008D6397" w:rsidRPr="002D28D0" w:rsidRDefault="008D6397" w:rsidP="008D6397">
      <w:pPr>
        <w:pStyle w:val="Citas"/>
      </w:pPr>
      <w:r w:rsidRPr="002D28D0">
        <w:t>(…)</w:t>
      </w:r>
    </w:p>
    <w:p w14:paraId="066A66D4" w14:textId="77777777" w:rsidR="008D6397" w:rsidRPr="002D28D0" w:rsidRDefault="008D6397" w:rsidP="008D6397">
      <w:pPr>
        <w:spacing w:before="240" w:line="360" w:lineRule="auto"/>
        <w:ind w:left="851" w:right="851"/>
        <w:jc w:val="both"/>
        <w:rPr>
          <w:rFonts w:ascii="Palatino Linotype" w:hAnsi="Palatino Linotype"/>
          <w:b/>
          <w:i/>
          <w:u w:val="single"/>
        </w:rPr>
      </w:pPr>
      <w:r w:rsidRPr="002D28D0">
        <w:rPr>
          <w:rFonts w:ascii="Palatino Linotype" w:hAnsi="Palatino Linotype"/>
          <w:b/>
          <w:i/>
          <w:u w:val="single"/>
        </w:rPr>
        <w:t>XXIX.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w:t>
      </w:r>
    </w:p>
    <w:p w14:paraId="3AF779E7" w14:textId="77777777" w:rsidR="008D6397" w:rsidRPr="002D28D0" w:rsidRDefault="008D6397" w:rsidP="008D6397">
      <w:pPr>
        <w:spacing w:before="240" w:line="360" w:lineRule="auto"/>
        <w:ind w:left="851" w:right="851"/>
        <w:jc w:val="both"/>
        <w:rPr>
          <w:rFonts w:ascii="Palatino Linotype" w:hAnsi="Palatino Linotype"/>
          <w:b/>
          <w:bCs/>
          <w:i/>
          <w:u w:val="single"/>
        </w:rPr>
      </w:pPr>
      <w:r w:rsidRPr="002D28D0">
        <w:rPr>
          <w:rFonts w:ascii="Palatino Linotype" w:hAnsi="Palatino Linotype"/>
          <w:b/>
          <w:bCs/>
          <w:i/>
          <w:u w:val="single"/>
        </w:rPr>
        <w:t xml:space="preserve">a) De licitaciones públicas o procedimientos de invitación restringida: </w:t>
      </w:r>
    </w:p>
    <w:p w14:paraId="430C772C"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1) La convocatoria o invitación emitida, así como los fundamentos legales aplicados para llevarla a cabo; </w:t>
      </w:r>
    </w:p>
    <w:p w14:paraId="5044AE2C"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2) Los nombres de los participantes o invitados; </w:t>
      </w:r>
    </w:p>
    <w:p w14:paraId="75DAA9FE"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3) El nombre del ganador y las razones que lo justifican; </w:t>
      </w:r>
    </w:p>
    <w:p w14:paraId="60B87792"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4) El área solicitante y la responsable de su ejecución; </w:t>
      </w:r>
    </w:p>
    <w:p w14:paraId="1FD01773"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5) Las convocatorias e invitaciones emitidas; </w:t>
      </w:r>
    </w:p>
    <w:p w14:paraId="0D20507A"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6) Los dictámenes y fallo de adjudicación; </w:t>
      </w:r>
    </w:p>
    <w:p w14:paraId="2BBC068D"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7) El contrato y, en su caso, sus anexos; </w:t>
      </w:r>
    </w:p>
    <w:p w14:paraId="67542BD5"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lastRenderedPageBreak/>
        <w:t xml:space="preserve">8) Los mecanismos de vigilancia y supervisión, incluyendo en su caso, los estudios de impacto urbano y ambiental, según corresponda; </w:t>
      </w:r>
    </w:p>
    <w:p w14:paraId="232277B4"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9) La partida presupuestal, de conformidad con el clasificador por objeto del gasto, en el caso de ser aplicable; </w:t>
      </w:r>
    </w:p>
    <w:p w14:paraId="7C56E863"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10) Origen de los recursos especificando si son federales, estatales o municipales, así como el tipo de fondo de participación o aportación respectiva; </w:t>
      </w:r>
    </w:p>
    <w:p w14:paraId="2D1E206B"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11) Los convenios modificatorios que, en su caso, sean firmados, precisando el objeto y la fecha de celebración;</w:t>
      </w:r>
    </w:p>
    <w:p w14:paraId="77CE657C"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 12) Los informes de avance físico y financiero sobre las obras o servicios contratados; 13) El convenio de terminación; y </w:t>
      </w:r>
    </w:p>
    <w:p w14:paraId="4418443A"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14) El finiquito. </w:t>
      </w:r>
    </w:p>
    <w:p w14:paraId="71FE3A69" w14:textId="77777777" w:rsidR="008D6397" w:rsidRPr="002D28D0" w:rsidRDefault="008D6397" w:rsidP="008D6397">
      <w:pPr>
        <w:spacing w:before="240" w:line="360" w:lineRule="auto"/>
        <w:ind w:left="851" w:right="851"/>
        <w:jc w:val="both"/>
        <w:rPr>
          <w:rFonts w:ascii="Palatino Linotype" w:hAnsi="Palatino Linotype"/>
          <w:b/>
          <w:i/>
          <w:u w:val="single"/>
        </w:rPr>
      </w:pPr>
      <w:r w:rsidRPr="002D28D0">
        <w:rPr>
          <w:rFonts w:ascii="Palatino Linotype" w:hAnsi="Palatino Linotype"/>
          <w:b/>
          <w:i/>
          <w:u w:val="single"/>
        </w:rPr>
        <w:t xml:space="preserve">b) De las adjudicaciones directas: </w:t>
      </w:r>
    </w:p>
    <w:p w14:paraId="4113CA14"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1) La propuesta enviada por el participante; </w:t>
      </w:r>
    </w:p>
    <w:p w14:paraId="2F3C2587"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2) Los motivos y fundamentos legales aplicados para llevarla a cabo; </w:t>
      </w:r>
    </w:p>
    <w:p w14:paraId="317871BA"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3) La autorización del ejercicio de la opción; </w:t>
      </w:r>
    </w:p>
    <w:p w14:paraId="74AFC38F"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4) En su caso, las cotizaciones consideradas, especificando los nombres de los proveedores y sus montos; </w:t>
      </w:r>
    </w:p>
    <w:p w14:paraId="15EE40BC"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5) El nombre de la persona física o jurídica colectiva adjudicada; </w:t>
      </w:r>
    </w:p>
    <w:p w14:paraId="70362278"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6) La unidad administrativa solicitante y la responsable de su ejecución; </w:t>
      </w:r>
    </w:p>
    <w:p w14:paraId="67D53BF2"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lastRenderedPageBreak/>
        <w:t xml:space="preserve">7) El número, fecha, el monto del contrato y el plazo de entrega o de ejecución de los servicios u obra; </w:t>
      </w:r>
    </w:p>
    <w:p w14:paraId="7A69918C"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8) Los mecanismos de vigilancia y supervisión, incluyendo, en su caso, los estudios de impacto urbano y ambiental, según corresponda; </w:t>
      </w:r>
    </w:p>
    <w:p w14:paraId="3F019182"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9) Los informes de avance sobre las obras o servicios contratados; </w:t>
      </w:r>
    </w:p>
    <w:p w14:paraId="3A380690"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 xml:space="preserve">10) El convenio de terminación; y </w:t>
      </w:r>
    </w:p>
    <w:p w14:paraId="12609017" w14:textId="77777777" w:rsidR="008D6397" w:rsidRPr="002D28D0" w:rsidRDefault="008D6397" w:rsidP="008D6397">
      <w:pPr>
        <w:spacing w:before="240" w:line="360" w:lineRule="auto"/>
        <w:ind w:left="851" w:right="851"/>
        <w:jc w:val="both"/>
        <w:rPr>
          <w:rFonts w:ascii="Palatino Linotype" w:hAnsi="Palatino Linotype"/>
          <w:i/>
        </w:rPr>
      </w:pPr>
      <w:r w:rsidRPr="002D28D0">
        <w:rPr>
          <w:rFonts w:ascii="Palatino Linotype" w:hAnsi="Palatino Linotype"/>
          <w:i/>
        </w:rPr>
        <w:t>11) El finiquito.</w:t>
      </w:r>
    </w:p>
    <w:p w14:paraId="00C85A1A" w14:textId="497B0F42" w:rsidR="008D6397" w:rsidRPr="002D28D0" w:rsidRDefault="008D6397" w:rsidP="008D6397">
      <w:pPr>
        <w:pStyle w:val="Citas"/>
        <w:rPr>
          <w:b/>
          <w:bCs/>
        </w:rPr>
      </w:pPr>
      <w:r w:rsidRPr="002D28D0">
        <w:t>(…)</w:t>
      </w:r>
    </w:p>
    <w:p w14:paraId="2A3B7662" w14:textId="05AEA3FF" w:rsidR="00D003CF" w:rsidRPr="002D28D0" w:rsidRDefault="00D003CF" w:rsidP="008D6397">
      <w:pPr>
        <w:pStyle w:val="Citas"/>
      </w:pPr>
      <w:r w:rsidRPr="002D28D0">
        <w:t>Artículo 94. Además de las obligaciones de transparencia común a que se refiere el Capítulo II de este Título, los sujetos obligados del Poder Ejecutivo Local y municipales, deberán poner a disposición del público y actualizar la siguiente información:</w:t>
      </w:r>
    </w:p>
    <w:p w14:paraId="17D61846" w14:textId="62E92384" w:rsidR="00D003CF" w:rsidRPr="002D28D0" w:rsidRDefault="00D003CF" w:rsidP="008D6397">
      <w:pPr>
        <w:pStyle w:val="Citas"/>
      </w:pPr>
      <w:r w:rsidRPr="002D28D0">
        <w:t>(…)</w:t>
      </w:r>
    </w:p>
    <w:p w14:paraId="250477D0" w14:textId="6456657D" w:rsidR="00D003CF" w:rsidRPr="002D28D0" w:rsidRDefault="00D003CF" w:rsidP="008D6397">
      <w:pPr>
        <w:pStyle w:val="Citas"/>
        <w:rPr>
          <w:b/>
          <w:bCs/>
          <w:u w:val="single"/>
        </w:rPr>
      </w:pPr>
      <w:r w:rsidRPr="002D28D0">
        <w:rPr>
          <w:b/>
          <w:bCs/>
          <w:u w:val="single"/>
        </w:rPr>
        <w:t>b) Las actas de sesiones de cabildo, los controles de asistencia de los integrantes del Ayuntamiento a las sesiones de cabildo y el sentido de votación de los miembros del cabildo sobre las iniciativas o acuerdos;</w:t>
      </w:r>
    </w:p>
    <w:p w14:paraId="61806977" w14:textId="2EE75DFC" w:rsidR="00D003CF" w:rsidRPr="002D28D0" w:rsidRDefault="00D003CF" w:rsidP="008D6397">
      <w:pPr>
        <w:pStyle w:val="Citas"/>
        <w:rPr>
          <w:b/>
          <w:bCs/>
        </w:rPr>
      </w:pPr>
      <w:r w:rsidRPr="002D28D0">
        <w:t>(…)</w:t>
      </w:r>
      <w:r w:rsidR="00C85B50" w:rsidRPr="002D28D0">
        <w:t xml:space="preserve">” </w:t>
      </w:r>
      <w:r w:rsidR="00C85B50" w:rsidRPr="002D28D0">
        <w:rPr>
          <w:b/>
          <w:bCs/>
        </w:rPr>
        <w:t>(Sic)</w:t>
      </w:r>
    </w:p>
    <w:p w14:paraId="21354FB8" w14:textId="0271BFEE" w:rsidR="008D6397" w:rsidRPr="002D28D0" w:rsidRDefault="008D6397" w:rsidP="008D6397">
      <w:pPr>
        <w:spacing w:after="0" w:line="360" w:lineRule="auto"/>
        <w:jc w:val="both"/>
      </w:pPr>
    </w:p>
    <w:p w14:paraId="60DCC56E" w14:textId="77777777" w:rsidR="00C85B50" w:rsidRPr="002D28D0" w:rsidRDefault="00C85B50" w:rsidP="008D6397">
      <w:pPr>
        <w:spacing w:after="0" w:line="360" w:lineRule="auto"/>
        <w:jc w:val="both"/>
      </w:pPr>
    </w:p>
    <w:p w14:paraId="15400922" w14:textId="0C757B8B" w:rsidR="008D6397" w:rsidRPr="002D28D0" w:rsidRDefault="008D6397" w:rsidP="008D6397">
      <w:pPr>
        <w:spacing w:after="0" w:line="360" w:lineRule="auto"/>
        <w:jc w:val="both"/>
        <w:rPr>
          <w:rFonts w:ascii="Palatino Linotype" w:eastAsia="Arial Unicode MS" w:hAnsi="Palatino Linotype"/>
          <w:sz w:val="24"/>
          <w:szCs w:val="24"/>
        </w:rPr>
      </w:pPr>
      <w:r w:rsidRPr="002D28D0">
        <w:rPr>
          <w:rFonts w:ascii="Palatino Linotype" w:eastAsia="MS Mincho" w:hAnsi="Palatino Linotype" w:cs="Tahoma"/>
          <w:sz w:val="24"/>
          <w:szCs w:val="24"/>
        </w:rPr>
        <w:t xml:space="preserve">Así la Ley de Transparencia y Acceso a la Información Pública del Estado de México y Municipios </w:t>
      </w:r>
      <w:r w:rsidRPr="002D28D0">
        <w:rPr>
          <w:rFonts w:ascii="Palatino Linotype" w:eastAsia="Arial Unicode MS" w:hAnsi="Palatino Linotype" w:cs="Arial"/>
          <w:sz w:val="24"/>
          <w:szCs w:val="24"/>
        </w:rPr>
        <w:t xml:space="preserve">en el artículo 92 </w:t>
      </w:r>
      <w:r w:rsidR="00C85B50" w:rsidRPr="002D28D0">
        <w:rPr>
          <w:rFonts w:ascii="Palatino Linotype" w:eastAsia="Arial Unicode MS" w:hAnsi="Palatino Linotype" w:cs="Arial"/>
          <w:sz w:val="24"/>
          <w:szCs w:val="24"/>
        </w:rPr>
        <w:t xml:space="preserve">fracción </w:t>
      </w:r>
      <w:r w:rsidR="00C85B50" w:rsidRPr="002D28D0">
        <w:rPr>
          <w:rFonts w:ascii="Palatino Linotype" w:hAnsi="Palatino Linotype"/>
          <w:bCs/>
          <w:sz w:val="24"/>
          <w:szCs w:val="24"/>
        </w:rPr>
        <w:t xml:space="preserve">XXIX y 94 apartado II, inciso b) de la Ley de </w:t>
      </w:r>
      <w:r w:rsidR="00C85B50" w:rsidRPr="002D28D0">
        <w:rPr>
          <w:rFonts w:ascii="Palatino Linotype" w:hAnsi="Palatino Linotype"/>
          <w:bCs/>
          <w:sz w:val="24"/>
          <w:szCs w:val="24"/>
        </w:rPr>
        <w:lastRenderedPageBreak/>
        <w:t xml:space="preserve">Transparencia y Acceso a la Información Pública del Estado de México y Municipios </w:t>
      </w:r>
      <w:r w:rsidRPr="002D28D0">
        <w:rPr>
          <w:rFonts w:ascii="Palatino Linotype" w:eastAsia="Arial Unicode MS" w:hAnsi="Palatino Linotype"/>
          <w:sz w:val="24"/>
          <w:szCs w:val="24"/>
        </w:rPr>
        <w:t xml:space="preserve">señala que la información requerida respecto de procesos y resultados de procedimientos de adjudicación directa, invitación restringida y licitación se tratan de una obligación de transparencia común, hipótesis fáctica que también resulta aplicable respecto de </w:t>
      </w:r>
      <w:r w:rsidR="00C85B50" w:rsidRPr="002D28D0">
        <w:rPr>
          <w:rFonts w:ascii="Palatino Linotype" w:eastAsia="Arial Unicode MS" w:hAnsi="Palatino Linotype"/>
          <w:sz w:val="24"/>
          <w:szCs w:val="24"/>
        </w:rPr>
        <w:t xml:space="preserve">las actas de cabildo. </w:t>
      </w:r>
      <w:r w:rsidRPr="002D28D0">
        <w:rPr>
          <w:rFonts w:ascii="Palatino Linotype" w:eastAsia="Arial Unicode MS" w:hAnsi="Palatino Linotype"/>
          <w:sz w:val="24"/>
          <w:szCs w:val="24"/>
        </w:rPr>
        <w:t xml:space="preserve"> </w:t>
      </w:r>
    </w:p>
    <w:p w14:paraId="54AB20AC" w14:textId="77777777" w:rsidR="008D6397" w:rsidRPr="002D28D0" w:rsidRDefault="008D6397" w:rsidP="008D6397">
      <w:pPr>
        <w:pStyle w:val="Prrafodelista"/>
        <w:autoSpaceDE w:val="0"/>
        <w:autoSpaceDN w:val="0"/>
        <w:adjustRightInd w:val="0"/>
        <w:spacing w:before="240" w:after="160" w:line="360" w:lineRule="auto"/>
        <w:ind w:left="0"/>
        <w:jc w:val="both"/>
        <w:rPr>
          <w:rFonts w:ascii="Palatino Linotype" w:eastAsia="MS Mincho" w:hAnsi="Palatino Linotype"/>
        </w:rPr>
      </w:pPr>
      <w:r w:rsidRPr="002D28D0">
        <w:rPr>
          <w:rFonts w:ascii="Palatino Linotype" w:eastAsia="Arial Unicode MS" w:hAnsi="Palatino Linotype"/>
        </w:rPr>
        <w:t>Esto es, información que por su naturaleza es pública y que los sujetos obligados deben</w:t>
      </w:r>
      <w:r w:rsidRPr="002D28D0">
        <w:rPr>
          <w:rFonts w:ascii="Palatino Linotype" w:eastAsia="MS Mincho" w:hAnsi="Palatino Linotype"/>
        </w:rPr>
        <w:t xml:space="preserve"> poner a disposición del público de manera permanente y por tanto deberán mantenerla actualizada, en los respectivos medios electrónicos, de acuerdo con sus facultades, atribuciones, funciones u objeto social.</w:t>
      </w:r>
    </w:p>
    <w:p w14:paraId="44115B56" w14:textId="77777777" w:rsidR="008D6397" w:rsidRPr="002D28D0" w:rsidRDefault="008D6397" w:rsidP="008D6397">
      <w:pPr>
        <w:pStyle w:val="infoemcitas"/>
        <w:tabs>
          <w:tab w:val="left" w:pos="7655"/>
        </w:tabs>
        <w:ind w:left="0" w:right="0"/>
        <w:rPr>
          <w:i w:val="0"/>
          <w:sz w:val="24"/>
          <w:szCs w:val="24"/>
        </w:rPr>
      </w:pPr>
      <w:r w:rsidRPr="002D28D0">
        <w:rPr>
          <w:i w:val="0"/>
          <w:sz w:val="24"/>
          <w:szCs w:val="24"/>
        </w:rPr>
        <w:t xml:space="preserve">Robustece lo anterior, las siguientes imágenes ilustrativas, correspondientes a la tabla de aplicabilidad del </w:t>
      </w:r>
      <w:r w:rsidRPr="002D28D0">
        <w:rPr>
          <w:b/>
          <w:i w:val="0"/>
          <w:sz w:val="24"/>
          <w:szCs w:val="24"/>
        </w:rPr>
        <w:t xml:space="preserve">Sujeto Obligado, </w:t>
      </w:r>
      <w:r w:rsidRPr="002D28D0">
        <w:rPr>
          <w:i w:val="0"/>
          <w:sz w:val="24"/>
          <w:szCs w:val="24"/>
        </w:rPr>
        <w:t xml:space="preserve">misma que puede ser consultada en la siguiente dirección electrónica: </w:t>
      </w:r>
    </w:p>
    <w:p w14:paraId="68E9C32A" w14:textId="77777777" w:rsidR="008D6397" w:rsidRPr="002D28D0" w:rsidRDefault="0052362C" w:rsidP="008D6397">
      <w:pPr>
        <w:spacing w:after="0" w:line="360" w:lineRule="auto"/>
        <w:jc w:val="both"/>
        <w:rPr>
          <w:rFonts w:ascii="Palatino Linotype" w:hAnsi="Palatino Linotype"/>
          <w:sz w:val="24"/>
          <w:szCs w:val="24"/>
        </w:rPr>
      </w:pPr>
      <w:hyperlink r:id="rId16" w:history="1">
        <w:r w:rsidR="008D6397" w:rsidRPr="002D28D0">
          <w:rPr>
            <w:rStyle w:val="Hipervnculo"/>
            <w:rFonts w:ascii="Palatino Linotype" w:hAnsi="Palatino Linotype"/>
            <w:bCs/>
            <w:sz w:val="24"/>
            <w:szCs w:val="24"/>
          </w:rPr>
          <w:t>https://www.infoem.org.mx/es/contenido/transparencia/directorio-de-sujetos-obligados</w:t>
        </w:r>
      </w:hyperlink>
    </w:p>
    <w:p w14:paraId="1A18D32E" w14:textId="332E1C48" w:rsidR="00603652" w:rsidRPr="002D28D0" w:rsidRDefault="001229FC" w:rsidP="00685F73">
      <w:pPr>
        <w:spacing w:before="240" w:line="360" w:lineRule="auto"/>
        <w:jc w:val="both"/>
      </w:pPr>
      <w:r w:rsidRPr="002D28D0">
        <w:rPr>
          <w:noProof/>
          <w:lang w:eastAsia="es-MX"/>
        </w:rPr>
        <mc:AlternateContent>
          <mc:Choice Requires="wps">
            <w:drawing>
              <wp:anchor distT="0" distB="0" distL="114300" distR="114300" simplePos="0" relativeHeight="251709438" behindDoc="0" locked="0" layoutInCell="1" allowOverlap="1" wp14:anchorId="0AFFCFC6" wp14:editId="5B5A30C6">
                <wp:simplePos x="0" y="0"/>
                <wp:positionH relativeFrom="column">
                  <wp:posOffset>-173355</wp:posOffset>
                </wp:positionH>
                <wp:positionV relativeFrom="paragraph">
                  <wp:posOffset>189230</wp:posOffset>
                </wp:positionV>
                <wp:extent cx="6156960" cy="2735580"/>
                <wp:effectExtent l="0" t="0" r="34290" b="26670"/>
                <wp:wrapNone/>
                <wp:docPr id="24" name="Straight Connector 24"/>
                <wp:cNvGraphicFramePr/>
                <a:graphic xmlns:a="http://schemas.openxmlformats.org/drawingml/2006/main">
                  <a:graphicData uri="http://schemas.microsoft.com/office/word/2010/wordprocessingShape">
                    <wps:wsp>
                      <wps:cNvCnPr/>
                      <wps:spPr>
                        <a:xfrm>
                          <a:off x="0" y="0"/>
                          <a:ext cx="6156960" cy="27355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44A8289" id="Straight Connector 24" o:spid="_x0000_s1026" style="position:absolute;z-index:251709438;visibility:visible;mso-wrap-style:square;mso-wrap-distance-left:9pt;mso-wrap-distance-top:0;mso-wrap-distance-right:9pt;mso-wrap-distance-bottom:0;mso-position-horizontal:absolute;mso-position-horizontal-relative:text;mso-position-vertical:absolute;mso-position-vertical-relative:text" from="-13.65pt,14.9pt" to="471.15pt,2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" strokecolor="#5b9bd5 [3204]" strokeweight=".5pt">
                <v:stroke joinstyle="miter"/>
              </v:line>
            </w:pict>
          </mc:Fallback>
        </mc:AlternateContent>
      </w:r>
    </w:p>
    <w:p w14:paraId="2746329D" w14:textId="4B1066C2" w:rsidR="00C85B50" w:rsidRPr="002D28D0" w:rsidRDefault="00C85B50" w:rsidP="00685F73">
      <w:pPr>
        <w:spacing w:before="240" w:line="360" w:lineRule="auto"/>
        <w:jc w:val="both"/>
      </w:pPr>
    </w:p>
    <w:p w14:paraId="4F430362" w14:textId="58E59773" w:rsidR="00C85B50" w:rsidRPr="002D28D0" w:rsidRDefault="00C85B50" w:rsidP="00685F73">
      <w:pPr>
        <w:spacing w:before="240" w:line="360" w:lineRule="auto"/>
        <w:jc w:val="both"/>
      </w:pPr>
    </w:p>
    <w:p w14:paraId="7AEFF03D" w14:textId="070CA5E8" w:rsidR="00C85B50" w:rsidRPr="002D28D0" w:rsidRDefault="001229FC" w:rsidP="00685F73">
      <w:pPr>
        <w:spacing w:before="240" w:line="360" w:lineRule="auto"/>
        <w:jc w:val="both"/>
      </w:pPr>
      <w:r w:rsidRPr="002D28D0">
        <w:rPr>
          <w:noProof/>
          <w:lang w:eastAsia="es-MX"/>
        </w:rPr>
        <w:lastRenderedPageBreak/>
        <w:drawing>
          <wp:anchor distT="0" distB="0" distL="114300" distR="114300" simplePos="0" relativeHeight="251710462" behindDoc="0" locked="0" layoutInCell="1" allowOverlap="1" wp14:anchorId="57664F37" wp14:editId="0B4563AA">
            <wp:simplePos x="0" y="0"/>
            <wp:positionH relativeFrom="column">
              <wp:posOffset>20955</wp:posOffset>
            </wp:positionH>
            <wp:positionV relativeFrom="paragraph">
              <wp:posOffset>3949065</wp:posOffset>
            </wp:positionV>
            <wp:extent cx="5753100" cy="3526155"/>
            <wp:effectExtent l="19050" t="19050" r="19050" b="17145"/>
            <wp:wrapThrough wrapText="bothSides">
              <wp:wrapPolygon edited="0">
                <wp:start x="-72" y="-117"/>
                <wp:lineTo x="-72" y="21588"/>
                <wp:lineTo x="21600" y="21588"/>
                <wp:lineTo x="21600" y="-117"/>
                <wp:lineTo x="-72" y="-117"/>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5261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D28D0">
        <w:rPr>
          <w:noProof/>
          <w:lang w:eastAsia="es-MX"/>
        </w:rPr>
        <w:drawing>
          <wp:anchor distT="0" distB="0" distL="114300" distR="114300" simplePos="0" relativeHeight="251685877" behindDoc="0" locked="0" layoutInCell="1" allowOverlap="1" wp14:anchorId="48C815B0" wp14:editId="0B809B95">
            <wp:simplePos x="0" y="0"/>
            <wp:positionH relativeFrom="column">
              <wp:posOffset>20955</wp:posOffset>
            </wp:positionH>
            <wp:positionV relativeFrom="paragraph">
              <wp:posOffset>19050</wp:posOffset>
            </wp:positionV>
            <wp:extent cx="5753100" cy="3526155"/>
            <wp:effectExtent l="19050" t="19050" r="19050" b="17145"/>
            <wp:wrapThrough wrapText="bothSides">
              <wp:wrapPolygon edited="0">
                <wp:start x="-72" y="-117"/>
                <wp:lineTo x="-72" y="21588"/>
                <wp:lineTo x="21600" y="21588"/>
                <wp:lineTo x="21600" y="-117"/>
                <wp:lineTo x="-72" y="-117"/>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35261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55F0D8C" w14:textId="405E86DC" w:rsidR="00C85B50" w:rsidRPr="002D28D0" w:rsidRDefault="001229FC" w:rsidP="00685F73">
      <w:pPr>
        <w:spacing w:before="240" w:line="360" w:lineRule="auto"/>
        <w:jc w:val="both"/>
      </w:pPr>
      <w:r w:rsidRPr="002D28D0">
        <w:rPr>
          <w:rFonts w:ascii="Palatino Linotype" w:hAnsi="Palatino Linotype" w:cs="Arial"/>
          <w:noProof/>
          <w:sz w:val="24"/>
          <w:szCs w:val="24"/>
          <w:lang w:eastAsia="es-MX"/>
        </w:rPr>
        <w:lastRenderedPageBreak/>
        <w:drawing>
          <wp:anchor distT="0" distB="0" distL="114300" distR="114300" simplePos="0" relativeHeight="251712510" behindDoc="0" locked="0" layoutInCell="1" allowOverlap="1" wp14:anchorId="7DE14D67" wp14:editId="3C2B96DE">
            <wp:simplePos x="0" y="0"/>
            <wp:positionH relativeFrom="column">
              <wp:posOffset>59055</wp:posOffset>
            </wp:positionH>
            <wp:positionV relativeFrom="paragraph">
              <wp:posOffset>3813810</wp:posOffset>
            </wp:positionV>
            <wp:extent cx="5753100" cy="3522345"/>
            <wp:effectExtent l="19050" t="19050" r="19050" b="20955"/>
            <wp:wrapThrough wrapText="bothSides">
              <wp:wrapPolygon edited="0">
                <wp:start x="-72" y="-117"/>
                <wp:lineTo x="-72" y="21612"/>
                <wp:lineTo x="21600" y="21612"/>
                <wp:lineTo x="21600" y="-117"/>
                <wp:lineTo x="-72" y="-117"/>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5223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D28D0">
        <w:rPr>
          <w:rFonts w:ascii="Palatino Linotype" w:hAnsi="Palatino Linotype" w:cs="Arial"/>
          <w:noProof/>
          <w:sz w:val="24"/>
          <w:szCs w:val="24"/>
          <w:lang w:eastAsia="es-MX"/>
        </w:rPr>
        <w:drawing>
          <wp:anchor distT="0" distB="0" distL="114300" distR="114300" simplePos="0" relativeHeight="251711486" behindDoc="0" locked="0" layoutInCell="1" allowOverlap="1" wp14:anchorId="4589D352" wp14:editId="6659E4C1">
            <wp:simplePos x="0" y="0"/>
            <wp:positionH relativeFrom="column">
              <wp:posOffset>59055</wp:posOffset>
            </wp:positionH>
            <wp:positionV relativeFrom="paragraph">
              <wp:posOffset>19050</wp:posOffset>
            </wp:positionV>
            <wp:extent cx="5756275" cy="3522345"/>
            <wp:effectExtent l="19050" t="19050" r="15875" b="20955"/>
            <wp:wrapThrough wrapText="bothSides">
              <wp:wrapPolygon edited="0">
                <wp:start x="-71" y="-117"/>
                <wp:lineTo x="-71" y="21612"/>
                <wp:lineTo x="21588" y="21612"/>
                <wp:lineTo x="21588" y="-117"/>
                <wp:lineTo x="-71" y="-117"/>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275" cy="35223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60987FA" w14:textId="77777777" w:rsidR="00E365E6" w:rsidRPr="002D28D0" w:rsidRDefault="00E365E6" w:rsidP="00E365E6">
      <w:pPr>
        <w:spacing w:line="360" w:lineRule="auto"/>
        <w:jc w:val="both"/>
        <w:rPr>
          <w:rFonts w:ascii="Palatino Linotype" w:hAnsi="Palatino Linotype" w:cs="Arial"/>
          <w:sz w:val="24"/>
          <w:szCs w:val="24"/>
        </w:rPr>
      </w:pPr>
      <w:r w:rsidRPr="002D28D0">
        <w:rPr>
          <w:rFonts w:ascii="Palatino Linotype" w:hAnsi="Palatino Linotype" w:cs="Arial"/>
          <w:sz w:val="24"/>
          <w:szCs w:val="24"/>
        </w:rPr>
        <w:lastRenderedPageBreak/>
        <w:t xml:space="preserve">Bajo este contexto, en términos de los numerales 18 y 19 de la Ley de Transparencia local existe obligación de documentar actos de autoridad, así como una presunción de existencia de la información cuando se refiera a las atribuciones de los sujetos obligados, porciones normativas que disponen a la literalidad lo siguiente: </w:t>
      </w:r>
    </w:p>
    <w:p w14:paraId="36B2324D" w14:textId="77777777" w:rsidR="00E365E6" w:rsidRPr="002D28D0" w:rsidRDefault="00E365E6" w:rsidP="00E365E6">
      <w:pPr>
        <w:pStyle w:val="Citas"/>
      </w:pPr>
      <w:r w:rsidRPr="002D28D0">
        <w:t xml:space="preserve">“Artículo 18. Los sujetos obligados deberán documentar todo acto que derive del ejercicio de sus facultades, competencias o funciones, considerando desde su origen la eventual publicidad y reutilización de la información que generen. </w:t>
      </w:r>
    </w:p>
    <w:p w14:paraId="6D407B74" w14:textId="77777777" w:rsidR="00E365E6" w:rsidRPr="002D28D0" w:rsidRDefault="00E365E6" w:rsidP="00E365E6">
      <w:pPr>
        <w:pStyle w:val="Citas"/>
      </w:pPr>
      <w:r w:rsidRPr="002D28D0">
        <w:t xml:space="preserve">Artículo 19. Se presume que la información debe existir si se refiere a las facultades, competencias y funciones que los ordenamientos jurídicos aplicables otorgan a los sujetos obligados. </w:t>
      </w:r>
    </w:p>
    <w:p w14:paraId="5DCCF5EB" w14:textId="77777777" w:rsidR="00E365E6" w:rsidRPr="002D28D0" w:rsidRDefault="00E365E6" w:rsidP="00E365E6">
      <w:pPr>
        <w:pStyle w:val="Citas"/>
      </w:pPr>
      <w:r w:rsidRPr="002D28D0">
        <w:t xml:space="preserve">En los casos en que ciertas facultades, competencias o funciones no se hayan ejercido, se debe motivar la respuesta en función de las causas que motiven tal circunstancia. </w:t>
      </w:r>
    </w:p>
    <w:p w14:paraId="1B031E0D" w14:textId="77777777" w:rsidR="00E365E6" w:rsidRPr="002D28D0" w:rsidRDefault="00E365E6" w:rsidP="00E365E6">
      <w:pPr>
        <w:pStyle w:val="Citas"/>
        <w:rPr>
          <w:b/>
          <w:bCs/>
          <w:sz w:val="24"/>
          <w:szCs w:val="24"/>
        </w:rPr>
      </w:pPr>
      <w:r w:rsidRPr="002D28D0">
        <w:t xml:space="preserve">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 </w:t>
      </w:r>
      <w:r w:rsidRPr="002D28D0">
        <w:rPr>
          <w:b/>
          <w:bCs/>
        </w:rPr>
        <w:t>(Sic)</w:t>
      </w:r>
    </w:p>
    <w:p w14:paraId="61A49EDB" w14:textId="77777777" w:rsidR="00E365E6" w:rsidRPr="002D28D0" w:rsidRDefault="00E365E6" w:rsidP="00E365E6">
      <w:pPr>
        <w:spacing w:before="240" w:after="240" w:line="360" w:lineRule="auto"/>
        <w:jc w:val="both"/>
        <w:rPr>
          <w:rFonts w:ascii="Palatino Linotype" w:hAnsi="Palatino Linotype" w:cs="Arial"/>
          <w:sz w:val="24"/>
          <w:szCs w:val="24"/>
        </w:rPr>
      </w:pPr>
    </w:p>
    <w:p w14:paraId="3A83FDDE" w14:textId="57C09328" w:rsidR="005236A4" w:rsidRPr="002D28D0" w:rsidRDefault="00D9557E" w:rsidP="00BB1C32">
      <w:pPr>
        <w:spacing w:after="0" w:line="360" w:lineRule="auto"/>
        <w:jc w:val="both"/>
        <w:rPr>
          <w:rFonts w:ascii="Palatino Linotype" w:hAnsi="Palatino Linotype" w:cs="Arial"/>
          <w:color w:val="000000"/>
          <w:sz w:val="24"/>
          <w:lang w:val="es-ES_tradnl"/>
        </w:rPr>
      </w:pPr>
      <w:r w:rsidRPr="002D28D0">
        <w:rPr>
          <w:rFonts w:ascii="Palatino Linotype" w:hAnsi="Palatino Linotype" w:cs="Arial"/>
          <w:color w:val="000000"/>
          <w:sz w:val="24"/>
          <w:lang w:val="es-ES_tradnl"/>
        </w:rPr>
        <w:t xml:space="preserve">Una vez sentado lo anterior, como se mencionó en el antecedente segundo, </w:t>
      </w:r>
      <w:r w:rsidRPr="002D28D0">
        <w:rPr>
          <w:rFonts w:ascii="Palatino Linotype" w:hAnsi="Palatino Linotype" w:cs="Arial"/>
          <w:b/>
          <w:color w:val="000000"/>
          <w:sz w:val="24"/>
          <w:lang w:val="es-ES_tradnl"/>
        </w:rPr>
        <w:t xml:space="preserve">El Sujeto Obligado </w:t>
      </w:r>
      <w:r w:rsidRPr="002D28D0">
        <w:rPr>
          <w:rFonts w:ascii="Palatino Linotype" w:hAnsi="Palatino Linotype" w:cs="Arial"/>
          <w:color w:val="000000"/>
          <w:sz w:val="24"/>
          <w:lang w:val="es-ES_tradnl"/>
        </w:rPr>
        <w:t>en fecha</w:t>
      </w:r>
      <w:r w:rsidR="00181C01" w:rsidRPr="002D28D0">
        <w:rPr>
          <w:rFonts w:ascii="Palatino Linotype" w:hAnsi="Palatino Linotype" w:cs="Arial"/>
          <w:color w:val="000000"/>
          <w:sz w:val="24"/>
          <w:lang w:val="es-ES_tradnl"/>
        </w:rPr>
        <w:t xml:space="preserve"> </w:t>
      </w:r>
      <w:r w:rsidR="005236A4" w:rsidRPr="002D28D0">
        <w:rPr>
          <w:rFonts w:ascii="Palatino Linotype" w:hAnsi="Palatino Linotype" w:cs="Arial"/>
          <w:b/>
          <w:bCs/>
          <w:color w:val="000000"/>
          <w:sz w:val="24"/>
          <w:lang w:val="es-ES_tradnl"/>
        </w:rPr>
        <w:t xml:space="preserve">dieciséis de enero de dos mil veintitrés, </w:t>
      </w:r>
      <w:r w:rsidR="005236A4" w:rsidRPr="002D28D0">
        <w:rPr>
          <w:rFonts w:ascii="Palatino Linotype" w:hAnsi="Palatino Linotype" w:cs="Arial"/>
          <w:color w:val="000000"/>
          <w:sz w:val="24"/>
          <w:lang w:val="es-ES_tradnl"/>
        </w:rPr>
        <w:t>rindió su respuesta a la solicitud de información formulada por el particular, adjuntando para tal  efecto lo siguiente:</w:t>
      </w:r>
    </w:p>
    <w:p w14:paraId="11DA5733" w14:textId="0515F3E9" w:rsidR="005236A4" w:rsidRPr="002D28D0" w:rsidRDefault="005236A4">
      <w:pPr>
        <w:pStyle w:val="Prrafodelista"/>
        <w:numPr>
          <w:ilvl w:val="0"/>
          <w:numId w:val="15"/>
        </w:numPr>
        <w:spacing w:line="360" w:lineRule="auto"/>
        <w:jc w:val="both"/>
        <w:rPr>
          <w:rFonts w:ascii="Palatino Linotype" w:hAnsi="Palatino Linotype" w:cs="Arial"/>
          <w:b/>
          <w:bCs/>
          <w:color w:val="000000"/>
          <w:lang w:val="es-ES_tradnl"/>
        </w:rPr>
      </w:pPr>
      <w:r w:rsidRPr="002D28D0">
        <w:rPr>
          <w:rFonts w:ascii="Palatino Linotype" w:hAnsi="Palatino Linotype" w:cs="Arial"/>
          <w:b/>
          <w:bCs/>
          <w:color w:val="000000"/>
          <w:lang w:val="es-ES_tradnl"/>
        </w:rPr>
        <w:lastRenderedPageBreak/>
        <w:t xml:space="preserve">“Respuesta 2835.pdf”: </w:t>
      </w:r>
      <w:r w:rsidRPr="002D28D0">
        <w:rPr>
          <w:rFonts w:ascii="Palatino Linotype" w:hAnsi="Palatino Linotype" w:cs="Arial"/>
          <w:color w:val="000000"/>
          <w:lang w:val="es-ES_tradnl"/>
        </w:rPr>
        <w:t xml:space="preserve">Oficio sin número signado por la Titular de la Unidad de Transparencia y dirigido al solicitante, de fecha dieciséis de enero de dos mil veintitrés, en síntesis refiere que el expediente </w:t>
      </w:r>
      <w:r w:rsidRPr="002D28D0">
        <w:rPr>
          <w:rFonts w:ascii="Palatino Linotype" w:hAnsi="Palatino Linotype" w:cs="Arial"/>
          <w:b/>
          <w:bCs/>
          <w:color w:val="000000"/>
          <w:lang w:val="es-ES_tradnl"/>
        </w:rPr>
        <w:t xml:space="preserve">HAT/CAYS/AD-SERV-030/RP/2022 </w:t>
      </w:r>
      <w:r w:rsidRPr="002D28D0">
        <w:rPr>
          <w:rFonts w:ascii="Palatino Linotype" w:hAnsi="Palatino Linotype" w:cs="Arial"/>
          <w:color w:val="000000"/>
          <w:lang w:val="es-ES_tradnl"/>
        </w:rPr>
        <w:t xml:space="preserve">fue reservado por el Comité de Transparencia. En contraste, la Secretaría del Ayuntamiento informó que después de realizar una búsqueda exhaustiva y razonable en sus archivos no localizó la información solicitada, referente a acta de cabildo en donde se apruebe uso de parquímetros digitales. </w:t>
      </w:r>
    </w:p>
    <w:p w14:paraId="363AE3C6" w14:textId="77777777" w:rsidR="005236A4" w:rsidRPr="002D28D0" w:rsidRDefault="005236A4" w:rsidP="005236A4">
      <w:pPr>
        <w:pStyle w:val="Prrafodelista"/>
        <w:spacing w:line="360" w:lineRule="auto"/>
        <w:ind w:left="720"/>
        <w:jc w:val="both"/>
        <w:rPr>
          <w:rFonts w:ascii="Palatino Linotype" w:hAnsi="Palatino Linotype" w:cs="Arial"/>
          <w:b/>
          <w:bCs/>
          <w:color w:val="000000"/>
          <w:lang w:val="es-ES_tradnl"/>
        </w:rPr>
      </w:pPr>
    </w:p>
    <w:p w14:paraId="2B2B35B3" w14:textId="10E8BDC2" w:rsidR="005236A4" w:rsidRPr="002D28D0" w:rsidRDefault="005236A4">
      <w:pPr>
        <w:pStyle w:val="Prrafodelista"/>
        <w:numPr>
          <w:ilvl w:val="0"/>
          <w:numId w:val="15"/>
        </w:numPr>
        <w:spacing w:line="360" w:lineRule="auto"/>
        <w:jc w:val="both"/>
        <w:rPr>
          <w:rFonts w:ascii="Palatino Linotype" w:hAnsi="Palatino Linotype" w:cs="Arial"/>
          <w:b/>
          <w:bCs/>
          <w:color w:val="000000"/>
          <w:lang w:val="es-ES_tradnl"/>
        </w:rPr>
      </w:pPr>
      <w:r w:rsidRPr="002D28D0">
        <w:rPr>
          <w:rFonts w:ascii="Palatino Linotype" w:hAnsi="Palatino Linotype" w:cs="Arial"/>
          <w:b/>
          <w:bCs/>
          <w:color w:val="000000"/>
          <w:lang w:val="es-ES_tradnl"/>
        </w:rPr>
        <w:t xml:space="preserve">“Acta 784.pdf”: </w:t>
      </w:r>
      <w:r w:rsidRPr="002D28D0">
        <w:rPr>
          <w:rFonts w:ascii="Palatino Linotype" w:hAnsi="Palatino Linotype" w:cs="Arial"/>
          <w:color w:val="000000"/>
          <w:lang w:val="es-ES_tradnl"/>
        </w:rPr>
        <w:t xml:space="preserve">Acta de la Septingentésima Octogésima Cuarta Sesión Extraordinaria 2022 del Comité de Transparencia, en síntesis, clasifica como reservada la información requerida mediante la solicitud </w:t>
      </w:r>
      <w:r w:rsidRPr="002D28D0">
        <w:rPr>
          <w:rFonts w:ascii="Palatino Linotype" w:hAnsi="Palatino Linotype" w:cs="Arial"/>
          <w:b/>
          <w:bCs/>
          <w:color w:val="000000"/>
          <w:lang w:val="es-ES_tradnl"/>
        </w:rPr>
        <w:t>02835/TOLUCA/IP/2022</w:t>
      </w:r>
      <w:r w:rsidR="00134D0E" w:rsidRPr="002D28D0">
        <w:rPr>
          <w:rFonts w:ascii="Palatino Linotype" w:hAnsi="Palatino Linotype" w:cs="Arial"/>
          <w:b/>
          <w:bCs/>
          <w:color w:val="000000"/>
          <w:lang w:val="es-ES_tradnl"/>
        </w:rPr>
        <w:t xml:space="preserve">. </w:t>
      </w:r>
    </w:p>
    <w:p w14:paraId="772CD5B2" w14:textId="77777777" w:rsidR="005236A4" w:rsidRPr="002D28D0" w:rsidRDefault="005236A4" w:rsidP="00BB1C32">
      <w:pPr>
        <w:spacing w:after="0" w:line="360" w:lineRule="auto"/>
        <w:jc w:val="both"/>
        <w:rPr>
          <w:rFonts w:ascii="Palatino Linotype" w:hAnsi="Palatino Linotype" w:cs="Arial"/>
          <w:color w:val="000000"/>
          <w:sz w:val="24"/>
          <w:lang w:val="es-ES_tradnl"/>
        </w:rPr>
      </w:pPr>
    </w:p>
    <w:p w14:paraId="4BBE82D8" w14:textId="77777777" w:rsidR="00134D0E" w:rsidRPr="002D28D0" w:rsidRDefault="00134D0E" w:rsidP="00BB1C32">
      <w:pPr>
        <w:spacing w:after="0" w:line="360" w:lineRule="auto"/>
        <w:jc w:val="both"/>
        <w:rPr>
          <w:rFonts w:ascii="Palatino Linotype" w:hAnsi="Palatino Linotype" w:cs="Arial"/>
          <w:color w:val="000000"/>
          <w:sz w:val="24"/>
          <w:lang w:val="es-ES_tradnl"/>
        </w:rPr>
      </w:pPr>
    </w:p>
    <w:p w14:paraId="3AB5FB70" w14:textId="43254304" w:rsidR="00E63D11" w:rsidRPr="002D28D0" w:rsidRDefault="00134D0E" w:rsidP="00134D0E">
      <w:pPr>
        <w:spacing w:before="240" w:line="360" w:lineRule="auto"/>
        <w:jc w:val="both"/>
        <w:rPr>
          <w:rFonts w:ascii="Palatino Linotype" w:hAnsi="Palatino Linotype" w:cs="Arial"/>
          <w:color w:val="000000"/>
          <w:sz w:val="24"/>
          <w:lang w:val="es-ES_tradnl"/>
        </w:rPr>
      </w:pPr>
      <w:r w:rsidRPr="002D28D0">
        <w:rPr>
          <w:rFonts w:ascii="Palatino Linotype" w:hAnsi="Palatino Linotype" w:cs="Arial"/>
          <w:color w:val="000000"/>
          <w:sz w:val="24"/>
          <w:lang w:val="es-ES_tradnl"/>
        </w:rPr>
        <w:t xml:space="preserve">Bajo este contexto, </w:t>
      </w:r>
      <w:r w:rsidR="00E63D11" w:rsidRPr="002D28D0">
        <w:rPr>
          <w:rFonts w:ascii="Palatino Linotype" w:hAnsi="Palatino Linotype" w:cs="Arial"/>
          <w:color w:val="000000"/>
          <w:sz w:val="24"/>
          <w:lang w:val="es-ES_tradnl"/>
        </w:rPr>
        <w:t xml:space="preserve">con relación al requerimiento </w:t>
      </w:r>
      <w:r w:rsidR="00E63D11" w:rsidRPr="002D28D0">
        <w:rPr>
          <w:rFonts w:ascii="Palatino Linotype" w:hAnsi="Palatino Linotype" w:cs="Arial"/>
          <w:b/>
          <w:bCs/>
          <w:color w:val="000000"/>
          <w:sz w:val="24"/>
          <w:lang w:val="es-ES_tradnl"/>
        </w:rPr>
        <w:t xml:space="preserve">3 -tres-, </w:t>
      </w:r>
      <w:r w:rsidR="00E63D11" w:rsidRPr="002D28D0">
        <w:rPr>
          <w:rFonts w:ascii="Palatino Linotype" w:hAnsi="Palatino Linotype" w:cs="Arial"/>
          <w:color w:val="000000"/>
          <w:sz w:val="24"/>
          <w:lang w:val="es-ES_tradnl"/>
        </w:rPr>
        <w:t xml:space="preserve">se destaca que </w:t>
      </w:r>
      <w:r w:rsidR="00615900" w:rsidRPr="002D28D0">
        <w:rPr>
          <w:rFonts w:ascii="Palatino Linotype" w:hAnsi="Palatino Linotype" w:cs="Arial"/>
          <w:color w:val="000000"/>
          <w:sz w:val="24"/>
          <w:lang w:val="es-ES_tradnl"/>
        </w:rPr>
        <w:t>la Secretaría del Ayuntamiento clarificó que no cuenta con Acta de Cabildo en la cual se haya aprobado el uso de parquímetros digitales</w:t>
      </w:r>
      <w:r w:rsidR="00D035AE" w:rsidRPr="002D28D0">
        <w:rPr>
          <w:rFonts w:ascii="Palatino Linotype" w:hAnsi="Palatino Linotype" w:cs="Arial"/>
          <w:color w:val="000000"/>
          <w:sz w:val="24"/>
          <w:lang w:val="es-ES_tradnl"/>
        </w:rPr>
        <w:t xml:space="preserve">, por ello, el requerimiento en cita se tiene por colmado. </w:t>
      </w:r>
    </w:p>
    <w:p w14:paraId="6CF17E26" w14:textId="77777777" w:rsidR="00615900" w:rsidRPr="002D28D0" w:rsidRDefault="00615900" w:rsidP="00615900">
      <w:pPr>
        <w:spacing w:before="100" w:beforeAutospacing="1" w:after="100" w:afterAutospacing="1" w:line="360" w:lineRule="auto"/>
        <w:jc w:val="both"/>
        <w:rPr>
          <w:rFonts w:ascii="Palatino Linotype" w:hAnsi="Palatino Linotype"/>
          <w:sz w:val="24"/>
          <w:szCs w:val="24"/>
        </w:rPr>
      </w:pPr>
      <w:r w:rsidRPr="002D28D0">
        <w:rPr>
          <w:rFonts w:ascii="Palatino Linotype" w:hAnsi="Palatino Linotype"/>
          <w:sz w:val="24"/>
          <w:szCs w:val="24"/>
        </w:rPr>
        <w:t xml:space="preserve">No se omite comentar que, al haber existido un pronunciamiento por parte del </w:t>
      </w:r>
      <w:r w:rsidRPr="002D28D0">
        <w:rPr>
          <w:rFonts w:ascii="Palatino Linotype" w:hAnsi="Palatino Linotype"/>
          <w:b/>
          <w:sz w:val="24"/>
          <w:szCs w:val="24"/>
        </w:rPr>
        <w:t>Sujeto Obligado</w:t>
      </w:r>
      <w:r w:rsidRPr="002D28D0">
        <w:rPr>
          <w:rFonts w:ascii="Palatino Linotype" w:hAnsi="Palatino Linotype"/>
          <w:sz w:val="24"/>
          <w:szCs w:val="24"/>
        </w:rPr>
        <w:t>, a fin de dar respuesta a la solicitud planteada, este Instituto no está facultado para manifestarse sobre la veracidad de la información proporcionada, pues este Órgano Garante, conforme al artículo 36 de la Ley de la Materia, no se encuentra facultado para pronunciarse acerca de la autenticidad de dicho pronunciamiento.</w:t>
      </w:r>
    </w:p>
    <w:p w14:paraId="078179BC" w14:textId="77777777" w:rsidR="00615900" w:rsidRPr="002D28D0" w:rsidRDefault="00615900" w:rsidP="00615900">
      <w:pPr>
        <w:spacing w:before="100" w:beforeAutospacing="1" w:after="100" w:afterAutospacing="1" w:line="360" w:lineRule="auto"/>
        <w:jc w:val="both"/>
        <w:rPr>
          <w:rFonts w:ascii="Palatino Linotype" w:hAnsi="Palatino Linotype" w:cs="Arial"/>
          <w:sz w:val="24"/>
          <w:szCs w:val="24"/>
        </w:rPr>
      </w:pPr>
      <w:r w:rsidRPr="002D28D0">
        <w:rPr>
          <w:rFonts w:ascii="Palatino Linotype" w:hAnsi="Palatino Linotype" w:cs="Arial"/>
          <w:sz w:val="24"/>
          <w:szCs w:val="24"/>
        </w:rPr>
        <w:lastRenderedPageBreak/>
        <w:t xml:space="preserve">Sirve de sustento a lo anterior, el criterio </w:t>
      </w:r>
      <w:r w:rsidRPr="002D28D0">
        <w:rPr>
          <w:rFonts w:ascii="Palatino Linotype" w:hAnsi="Palatino Linotype" w:cs="Arial"/>
          <w:b/>
          <w:bCs/>
          <w:sz w:val="24"/>
          <w:szCs w:val="24"/>
        </w:rPr>
        <w:t>31/10</w:t>
      </w:r>
      <w:r w:rsidRPr="002D28D0">
        <w:rPr>
          <w:rFonts w:ascii="Palatino Linotype" w:hAnsi="Palatino Linotype" w:cs="Arial"/>
          <w:sz w:val="24"/>
          <w:szCs w:val="24"/>
        </w:rPr>
        <w:t xml:space="preserve"> emitido por el entonces Instituto Federal de Acceso a la Información y Protección de Datos, ahora Instituto Nacional de Transparencia, Acceso a la Información y Protección de Datos Personales (INAI), el cual refiere: </w:t>
      </w:r>
    </w:p>
    <w:p w14:paraId="0D27D394" w14:textId="77777777" w:rsidR="00615900" w:rsidRPr="002D28D0" w:rsidRDefault="00615900" w:rsidP="00615900">
      <w:pPr>
        <w:pStyle w:val="Citas"/>
        <w:rPr>
          <w:b/>
        </w:rPr>
      </w:pPr>
      <w:r w:rsidRPr="002D28D0">
        <w:rPr>
          <w:b/>
        </w:rPr>
        <w:t xml:space="preserve">“EL INSTITUTO FEDERAL DE ACCESO A LA INFORMACIÓN Y PROTECCIÓN DE DATOS NO CUENTA CON FACULTADES PARA PRONUNCIARSE RESPECTO DE LA VERACIDAD DE LOS DOCUMENTOS PROPORCIONADOS POR LOS SUJETOS OBLIGADOS. </w:t>
      </w:r>
    </w:p>
    <w:p w14:paraId="4BEC83AC" w14:textId="77777777" w:rsidR="00615900" w:rsidRPr="002D28D0" w:rsidRDefault="00615900" w:rsidP="00615900">
      <w:pPr>
        <w:pStyle w:val="Citas"/>
      </w:pPr>
      <w:r w:rsidRPr="002D28D0">
        <w:t xml:space="preserve">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w:t>
      </w:r>
    </w:p>
    <w:p w14:paraId="4B842C15" w14:textId="77777777" w:rsidR="00615900" w:rsidRPr="002D28D0" w:rsidRDefault="00615900" w:rsidP="00615900">
      <w:pPr>
        <w:pStyle w:val="Citas"/>
      </w:pPr>
      <w:r w:rsidRPr="002D28D0">
        <w:t xml:space="preserve">Expedientes: </w:t>
      </w:r>
    </w:p>
    <w:p w14:paraId="289C103A" w14:textId="77777777" w:rsidR="00615900" w:rsidRPr="002D28D0" w:rsidRDefault="00615900">
      <w:pPr>
        <w:pStyle w:val="Citas"/>
        <w:numPr>
          <w:ilvl w:val="0"/>
          <w:numId w:val="4"/>
        </w:numPr>
      </w:pPr>
      <w:r w:rsidRPr="002D28D0">
        <w:t xml:space="preserve">2440/07 Comisión Federal de Electricidad - Alonso Lujambio Irazábal </w:t>
      </w:r>
    </w:p>
    <w:p w14:paraId="06273872" w14:textId="77777777" w:rsidR="00615900" w:rsidRPr="002D28D0" w:rsidRDefault="00615900">
      <w:pPr>
        <w:pStyle w:val="Citas"/>
        <w:numPr>
          <w:ilvl w:val="0"/>
          <w:numId w:val="4"/>
        </w:numPr>
      </w:pPr>
      <w:r w:rsidRPr="002D28D0">
        <w:t xml:space="preserve">0113/09 Instituto de Seguridad y Servicios Sociales de los Trabajadores del Estado – Alonso Lujambio Irazábal </w:t>
      </w:r>
    </w:p>
    <w:p w14:paraId="29AD29CF" w14:textId="77777777" w:rsidR="00615900" w:rsidRPr="002D28D0" w:rsidRDefault="00615900">
      <w:pPr>
        <w:pStyle w:val="Citas"/>
        <w:numPr>
          <w:ilvl w:val="0"/>
          <w:numId w:val="4"/>
        </w:numPr>
      </w:pPr>
      <w:r w:rsidRPr="002D28D0">
        <w:lastRenderedPageBreak/>
        <w:t xml:space="preserve">1624/09 Instituto Nacional para la Educación de los Adultos - María </w:t>
      </w:r>
      <w:proofErr w:type="spellStart"/>
      <w:r w:rsidRPr="002D28D0">
        <w:t>Marván</w:t>
      </w:r>
      <w:proofErr w:type="spellEnd"/>
      <w:r w:rsidRPr="002D28D0">
        <w:t xml:space="preserve"> Laborde </w:t>
      </w:r>
    </w:p>
    <w:p w14:paraId="7329AD1B" w14:textId="77777777" w:rsidR="00615900" w:rsidRPr="002D28D0" w:rsidRDefault="00615900">
      <w:pPr>
        <w:pStyle w:val="Citas"/>
        <w:numPr>
          <w:ilvl w:val="0"/>
          <w:numId w:val="4"/>
        </w:numPr>
      </w:pPr>
      <w:r w:rsidRPr="002D28D0">
        <w:t xml:space="preserve">2395/09 Secretaría de Economía - María </w:t>
      </w:r>
      <w:proofErr w:type="spellStart"/>
      <w:r w:rsidRPr="002D28D0">
        <w:t>Marván</w:t>
      </w:r>
      <w:proofErr w:type="spellEnd"/>
      <w:r w:rsidRPr="002D28D0">
        <w:t xml:space="preserve"> Laborde </w:t>
      </w:r>
    </w:p>
    <w:p w14:paraId="20E2ECE1" w14:textId="77777777" w:rsidR="00615900" w:rsidRPr="002D28D0" w:rsidRDefault="00615900">
      <w:pPr>
        <w:pStyle w:val="Citas"/>
        <w:numPr>
          <w:ilvl w:val="0"/>
          <w:numId w:val="4"/>
        </w:numPr>
      </w:pPr>
      <w:r w:rsidRPr="002D28D0">
        <w:t xml:space="preserve">0837/10 Administración Portuaria Integral de Veracruz, S.A. de C.V. – María </w:t>
      </w:r>
      <w:proofErr w:type="spellStart"/>
      <w:r w:rsidRPr="002D28D0">
        <w:t>Marván</w:t>
      </w:r>
      <w:proofErr w:type="spellEnd"/>
      <w:r w:rsidRPr="002D28D0">
        <w:t xml:space="preserve"> Laborde” </w:t>
      </w:r>
      <w:r w:rsidRPr="002D28D0">
        <w:rPr>
          <w:b/>
        </w:rPr>
        <w:t>[Sic]</w:t>
      </w:r>
    </w:p>
    <w:p w14:paraId="3D085DFC" w14:textId="77777777" w:rsidR="00E63D11" w:rsidRPr="002D28D0" w:rsidRDefault="00E63D11" w:rsidP="00134D0E">
      <w:pPr>
        <w:spacing w:before="240" w:line="360" w:lineRule="auto"/>
        <w:jc w:val="both"/>
        <w:rPr>
          <w:rFonts w:ascii="Palatino Linotype" w:hAnsi="Palatino Linotype" w:cs="Arial"/>
          <w:color w:val="000000"/>
          <w:sz w:val="24"/>
          <w:lang w:val="es-ES"/>
        </w:rPr>
      </w:pPr>
    </w:p>
    <w:p w14:paraId="1A224C26" w14:textId="5296B513" w:rsidR="00134D0E" w:rsidRPr="002D28D0" w:rsidRDefault="00615900" w:rsidP="00134D0E">
      <w:pPr>
        <w:spacing w:before="240" w:line="360" w:lineRule="auto"/>
        <w:jc w:val="both"/>
        <w:rPr>
          <w:rFonts w:ascii="Palatino Linotype" w:hAnsi="Palatino Linotype"/>
          <w:sz w:val="24"/>
          <w:szCs w:val="24"/>
        </w:rPr>
      </w:pPr>
      <w:r w:rsidRPr="002D28D0">
        <w:rPr>
          <w:rFonts w:ascii="Palatino Linotype" w:hAnsi="Palatino Linotype" w:cs="Arial"/>
          <w:color w:val="000000"/>
          <w:sz w:val="24"/>
          <w:lang w:val="es-ES_tradnl"/>
        </w:rPr>
        <w:t xml:space="preserve">Ahora bien, </w:t>
      </w:r>
      <w:r w:rsidR="00134D0E" w:rsidRPr="002D28D0">
        <w:rPr>
          <w:rFonts w:ascii="Palatino Linotype" w:hAnsi="Palatino Linotype" w:cs="Arial"/>
          <w:color w:val="000000"/>
          <w:sz w:val="24"/>
          <w:lang w:val="es-ES_tradnl"/>
        </w:rPr>
        <w:t xml:space="preserve">con relación a la respuesta </w:t>
      </w:r>
      <w:r w:rsidRPr="002D28D0">
        <w:rPr>
          <w:rFonts w:ascii="Palatino Linotype" w:hAnsi="Palatino Linotype" w:cs="Arial"/>
          <w:color w:val="000000"/>
          <w:sz w:val="24"/>
          <w:lang w:val="es-ES_tradnl"/>
        </w:rPr>
        <w:t xml:space="preserve">a los requerimientos </w:t>
      </w:r>
      <w:r w:rsidRPr="002D28D0">
        <w:rPr>
          <w:rFonts w:ascii="Palatino Linotype" w:hAnsi="Palatino Linotype" w:cs="Arial"/>
          <w:b/>
          <w:bCs/>
          <w:color w:val="000000"/>
          <w:sz w:val="24"/>
          <w:lang w:val="es-ES_tradnl"/>
        </w:rPr>
        <w:t>1 -uno-</w:t>
      </w:r>
      <w:r w:rsidR="00031AB1" w:rsidRPr="002D28D0">
        <w:rPr>
          <w:rFonts w:ascii="Palatino Linotype" w:hAnsi="Palatino Linotype" w:cs="Arial"/>
          <w:b/>
          <w:bCs/>
          <w:color w:val="000000"/>
          <w:sz w:val="24"/>
          <w:lang w:val="es-ES_tradnl"/>
        </w:rPr>
        <w:t xml:space="preserve"> y</w:t>
      </w:r>
      <w:r w:rsidRPr="002D28D0">
        <w:rPr>
          <w:rFonts w:ascii="Palatino Linotype" w:hAnsi="Palatino Linotype" w:cs="Arial"/>
          <w:b/>
          <w:bCs/>
          <w:color w:val="000000"/>
          <w:sz w:val="24"/>
          <w:lang w:val="es-ES_tradnl"/>
        </w:rPr>
        <w:t xml:space="preserve"> 2 -dos- </w:t>
      </w:r>
      <w:r w:rsidR="00134D0E" w:rsidRPr="002D28D0">
        <w:rPr>
          <w:rFonts w:ascii="Palatino Linotype" w:hAnsi="Palatino Linotype" w:cs="Arial"/>
          <w:color w:val="000000"/>
          <w:sz w:val="24"/>
          <w:lang w:val="es-ES_tradnl"/>
        </w:rPr>
        <w:t xml:space="preserve">se destaca </w:t>
      </w:r>
      <w:r w:rsidR="00134D0E" w:rsidRPr="002D28D0">
        <w:rPr>
          <w:rFonts w:ascii="Palatino Linotype" w:hAnsi="Palatino Linotype"/>
          <w:sz w:val="24"/>
        </w:rPr>
        <w:t>que la clasificación debe de concebirse</w:t>
      </w:r>
      <w:r w:rsidR="00134D0E" w:rsidRPr="002D28D0">
        <w:rPr>
          <w:rFonts w:ascii="Palatino Linotype" w:hAnsi="Palatino Linotype"/>
          <w:i/>
          <w:iCs/>
          <w:sz w:val="24"/>
        </w:rPr>
        <w:t xml:space="preserve"> </w:t>
      </w:r>
      <w:r w:rsidR="00134D0E" w:rsidRPr="002D28D0">
        <w:rPr>
          <w:rFonts w:ascii="Palatino Linotype" w:hAnsi="Palatino Linotype"/>
          <w:sz w:val="24"/>
        </w:rPr>
        <w:t xml:space="preserve">como </w:t>
      </w:r>
      <w:r w:rsidR="00134D0E" w:rsidRPr="002D28D0">
        <w:rPr>
          <w:rFonts w:ascii="Palatino Linotype" w:hAnsi="Palatino Linotype"/>
          <w:sz w:val="24"/>
          <w:szCs w:val="24"/>
        </w:rPr>
        <w:t xml:space="preserve">el acto administrativo mediante el cual los </w:t>
      </w:r>
      <w:r w:rsidR="00134D0E" w:rsidRPr="002D28D0">
        <w:rPr>
          <w:rFonts w:ascii="Palatino Linotype" w:hAnsi="Palatino Linotype"/>
          <w:b/>
          <w:sz w:val="24"/>
          <w:szCs w:val="24"/>
        </w:rPr>
        <w:t xml:space="preserve">Sujetos Obligados </w:t>
      </w:r>
      <w:r w:rsidR="00134D0E" w:rsidRPr="002D28D0">
        <w:rPr>
          <w:rFonts w:ascii="Palatino Linotype" w:hAnsi="Palatino Linotype"/>
          <w:sz w:val="24"/>
          <w:szCs w:val="24"/>
        </w:rPr>
        <w:t xml:space="preserve">determinan que la información requerida actualiza alguno de los supuestos de confidencialidad </w:t>
      </w:r>
      <w:r w:rsidR="00134D0E" w:rsidRPr="002D28D0">
        <w:rPr>
          <w:rFonts w:ascii="Palatino Linotype" w:hAnsi="Palatino Linotype"/>
          <w:b/>
          <w:sz w:val="24"/>
          <w:szCs w:val="24"/>
        </w:rPr>
        <w:t xml:space="preserve">o </w:t>
      </w:r>
      <w:r w:rsidR="00134D0E" w:rsidRPr="002D28D0">
        <w:rPr>
          <w:rFonts w:ascii="Palatino Linotype" w:hAnsi="Palatino Linotype"/>
          <w:b/>
          <w:sz w:val="24"/>
          <w:szCs w:val="24"/>
          <w:u w:val="single"/>
        </w:rPr>
        <w:t>reserva,</w:t>
      </w:r>
      <w:r w:rsidR="00134D0E" w:rsidRPr="002D28D0">
        <w:rPr>
          <w:rFonts w:ascii="Palatino Linotype" w:hAnsi="Palatino Linotype"/>
          <w:b/>
          <w:sz w:val="24"/>
          <w:szCs w:val="24"/>
        </w:rPr>
        <w:t xml:space="preserve"> </w:t>
      </w:r>
      <w:r w:rsidR="00134D0E" w:rsidRPr="002D28D0">
        <w:rPr>
          <w:rFonts w:ascii="Palatino Linotype" w:hAnsi="Palatino Linotype"/>
          <w:sz w:val="24"/>
          <w:szCs w:val="24"/>
        </w:rPr>
        <w:t xml:space="preserve">de acuerdo con las bases y los principios inmersos en la normatividad aplicable. </w:t>
      </w:r>
    </w:p>
    <w:p w14:paraId="30D01BE2" w14:textId="77777777" w:rsidR="00134D0E" w:rsidRPr="002D28D0" w:rsidRDefault="00134D0E" w:rsidP="00134D0E">
      <w:pPr>
        <w:autoSpaceDE w:val="0"/>
        <w:autoSpaceDN w:val="0"/>
        <w:adjustRightInd w:val="0"/>
        <w:spacing w:line="360" w:lineRule="auto"/>
        <w:jc w:val="both"/>
        <w:rPr>
          <w:rFonts w:ascii="Palatino Linotype" w:hAnsi="Palatino Linotype"/>
          <w:b/>
          <w:sz w:val="24"/>
          <w:szCs w:val="24"/>
        </w:rPr>
      </w:pPr>
      <w:r w:rsidRPr="002D28D0">
        <w:rPr>
          <w:rFonts w:ascii="Palatino Linotype" w:hAnsi="Palatino Linotype" w:cs="Arial"/>
          <w:sz w:val="24"/>
          <w:szCs w:val="24"/>
        </w:rPr>
        <w:t xml:space="preserve">Luego entonces, </w:t>
      </w:r>
      <w:r w:rsidRPr="002D28D0">
        <w:rPr>
          <w:rFonts w:ascii="Palatino Linotype" w:hAnsi="Palatino Linotype"/>
          <w:sz w:val="24"/>
          <w:szCs w:val="24"/>
        </w:rPr>
        <w:t xml:space="preserve">para realizar la reserva de la información, no basta con invocar alguna de las causales previstas en la Ley de transparencia local. En sentido contrario, dicha valoración debe realizarse a través de lo que se conoce como </w:t>
      </w:r>
      <w:r w:rsidRPr="002D28D0">
        <w:rPr>
          <w:rFonts w:ascii="Palatino Linotype" w:hAnsi="Palatino Linotype"/>
          <w:b/>
          <w:i/>
          <w:sz w:val="24"/>
          <w:szCs w:val="24"/>
        </w:rPr>
        <w:t xml:space="preserve">“prueba de daño”, </w:t>
      </w:r>
      <w:r w:rsidRPr="002D28D0">
        <w:rPr>
          <w:rFonts w:ascii="Palatino Linotype" w:hAnsi="Palatino Linotype"/>
          <w:sz w:val="24"/>
          <w:szCs w:val="24"/>
        </w:rPr>
        <w:t>que consiste en exponer los argumentos y razones, basados en elementos objetivos o verificables, a partir de los cuales se derive que la divulgación de información, en particular, puede afectar, poner en riesgo o dañar el interés protegido</w:t>
      </w:r>
      <w:r w:rsidRPr="002D28D0">
        <w:rPr>
          <w:sz w:val="24"/>
          <w:szCs w:val="24"/>
          <w:vertAlign w:val="superscript"/>
        </w:rPr>
        <w:footnoteReference w:id="5"/>
      </w:r>
      <w:r w:rsidRPr="002D28D0">
        <w:rPr>
          <w:rFonts w:ascii="Palatino Linotype" w:hAnsi="Palatino Linotype"/>
          <w:sz w:val="24"/>
          <w:szCs w:val="24"/>
        </w:rPr>
        <w:t>. Asimismo, ésta no debe basarse en meras especulaciones o suposiciones, sino en elementos objetivos que deban evaluar que existe un riego actual e inminente</w:t>
      </w:r>
      <w:r w:rsidRPr="002D28D0">
        <w:rPr>
          <w:sz w:val="24"/>
          <w:szCs w:val="24"/>
          <w:vertAlign w:val="superscript"/>
        </w:rPr>
        <w:footnoteReference w:id="6"/>
      </w:r>
      <w:r w:rsidRPr="002D28D0">
        <w:rPr>
          <w:rFonts w:ascii="Palatino Linotype" w:hAnsi="Palatino Linotype"/>
          <w:sz w:val="24"/>
          <w:szCs w:val="24"/>
        </w:rPr>
        <w:t>.</w:t>
      </w:r>
    </w:p>
    <w:p w14:paraId="3ACA6AEB" w14:textId="77777777" w:rsidR="00134D0E" w:rsidRPr="002D28D0" w:rsidRDefault="00134D0E" w:rsidP="00134D0E">
      <w:pPr>
        <w:spacing w:line="360" w:lineRule="auto"/>
        <w:jc w:val="both"/>
        <w:rPr>
          <w:rFonts w:ascii="Palatino Linotype" w:hAnsi="Palatino Linotype"/>
          <w:color w:val="000000" w:themeColor="text1"/>
          <w:sz w:val="24"/>
          <w:szCs w:val="24"/>
        </w:rPr>
      </w:pPr>
      <w:r w:rsidRPr="002D28D0">
        <w:rPr>
          <w:rFonts w:ascii="Palatino Linotype" w:hAnsi="Palatino Linotype"/>
          <w:color w:val="000000" w:themeColor="text1"/>
          <w:sz w:val="24"/>
          <w:szCs w:val="24"/>
        </w:rPr>
        <w:lastRenderedPageBreak/>
        <w:t xml:space="preserve">Adicionalmente los artículos 129 y 134 último párrafo de la Ley Estatal y 104 y 108 último párrafo de la Ley General, respectivamente, determinan que se debe realizar un análisis caso por caso, aplicando la prueba de daño. Esto implica que la motivación, que acredite la correspondencia entre el supuesto de hecho y la hipótesis normativa señalando las razones, motivos o circunstancias es una parte del acuerdo y otra parte, distinta, es la que corresponde a la prueba de daño, la que debe aplicarse caso por caso, esto es, no se puede hacer una prueba de daño de un expediente completo, </w:t>
      </w:r>
      <w:r w:rsidRPr="002D28D0">
        <w:rPr>
          <w:rFonts w:ascii="Palatino Linotype" w:hAnsi="Palatino Linotype"/>
          <w:b/>
          <w:color w:val="000000" w:themeColor="text1"/>
          <w:sz w:val="24"/>
          <w:szCs w:val="24"/>
          <w:u w:val="single"/>
        </w:rPr>
        <w:t>sino de cada uno de los documentos que lo integran</w:t>
      </w:r>
      <w:r w:rsidRPr="002D28D0">
        <w:rPr>
          <w:rFonts w:ascii="Palatino Linotype" w:hAnsi="Palatino Linotype"/>
          <w:color w:val="000000" w:themeColor="text1"/>
          <w:sz w:val="24"/>
          <w:szCs w:val="24"/>
        </w:rPr>
        <w:t>.</w:t>
      </w:r>
    </w:p>
    <w:p w14:paraId="02748D98" w14:textId="77777777" w:rsidR="00134D0E" w:rsidRPr="002D28D0" w:rsidRDefault="00134D0E" w:rsidP="00134D0E">
      <w:pPr>
        <w:spacing w:line="360" w:lineRule="auto"/>
        <w:jc w:val="both"/>
        <w:rPr>
          <w:rFonts w:ascii="Palatino Linotype" w:hAnsi="Palatino Linotype"/>
          <w:color w:val="000000" w:themeColor="text1"/>
          <w:sz w:val="24"/>
          <w:szCs w:val="24"/>
        </w:rPr>
      </w:pPr>
      <w:r w:rsidRPr="002D28D0">
        <w:rPr>
          <w:rFonts w:ascii="Palatino Linotype" w:hAnsi="Palatino Linotype"/>
          <w:color w:val="000000" w:themeColor="text1"/>
          <w:sz w:val="24"/>
          <w:szCs w:val="24"/>
        </w:rPr>
        <w:t>Para aplicar la prueba de daño, se deberán de precisar las razones objetivas por las que la apertura genera una afectación, acreditando que:</w:t>
      </w:r>
    </w:p>
    <w:p w14:paraId="4C68B9FD" w14:textId="77777777" w:rsidR="00134D0E" w:rsidRPr="002D28D0" w:rsidRDefault="00134D0E" w:rsidP="00134D0E">
      <w:pPr>
        <w:widowControl w:val="0"/>
        <w:autoSpaceDE w:val="0"/>
        <w:autoSpaceDN w:val="0"/>
        <w:adjustRightInd w:val="0"/>
        <w:spacing w:after="240" w:line="360" w:lineRule="auto"/>
        <w:ind w:left="851" w:right="333"/>
        <w:jc w:val="both"/>
        <w:rPr>
          <w:rFonts w:ascii="Palatino Linotype" w:hAnsi="Palatino Linotype" w:cs="Times"/>
          <w:color w:val="000000" w:themeColor="text1"/>
          <w:sz w:val="24"/>
          <w:szCs w:val="24"/>
          <w:lang w:val="es-ES_tradnl"/>
        </w:rPr>
      </w:pPr>
      <w:r w:rsidRPr="002D28D0">
        <w:rPr>
          <w:rFonts w:ascii="Palatino Linotype" w:hAnsi="Palatino Linotype" w:cs="Bookman Old Style"/>
          <w:bCs/>
          <w:color w:val="000000" w:themeColor="text1"/>
          <w:sz w:val="24"/>
          <w:szCs w:val="24"/>
          <w:lang w:val="es-ES_tradnl"/>
        </w:rPr>
        <w:t xml:space="preserve">I. </w:t>
      </w:r>
      <w:r w:rsidRPr="002D28D0">
        <w:rPr>
          <w:rFonts w:ascii="Palatino Linotype" w:hAnsi="Palatino Linotype" w:cs="Bookman Old Style"/>
          <w:color w:val="000000" w:themeColor="text1"/>
          <w:sz w:val="24"/>
          <w:szCs w:val="24"/>
          <w:lang w:val="es-ES_tradnl"/>
        </w:rPr>
        <w:t xml:space="preserve">La divulgación de la información representa un riesgo real, demostrable e identificable del perjuicio significativo al interés público o a la seguridad pública; </w:t>
      </w:r>
    </w:p>
    <w:p w14:paraId="68B3FA79" w14:textId="77777777" w:rsidR="00134D0E" w:rsidRPr="002D28D0" w:rsidRDefault="00134D0E" w:rsidP="00134D0E">
      <w:pPr>
        <w:widowControl w:val="0"/>
        <w:autoSpaceDE w:val="0"/>
        <w:autoSpaceDN w:val="0"/>
        <w:adjustRightInd w:val="0"/>
        <w:spacing w:after="240" w:line="360" w:lineRule="auto"/>
        <w:ind w:left="851" w:right="333"/>
        <w:jc w:val="both"/>
        <w:rPr>
          <w:rFonts w:ascii="Palatino Linotype" w:hAnsi="Palatino Linotype" w:cs="Times"/>
          <w:color w:val="000000" w:themeColor="text1"/>
          <w:sz w:val="24"/>
          <w:szCs w:val="24"/>
          <w:lang w:val="es-ES_tradnl"/>
        </w:rPr>
      </w:pPr>
      <w:r w:rsidRPr="002D28D0">
        <w:rPr>
          <w:rFonts w:ascii="Palatino Linotype" w:hAnsi="Palatino Linotype" w:cs="Bookman Old Style"/>
          <w:bCs/>
          <w:color w:val="000000" w:themeColor="text1"/>
          <w:sz w:val="24"/>
          <w:szCs w:val="24"/>
          <w:lang w:val="es-ES_tradnl"/>
        </w:rPr>
        <w:t xml:space="preserve">II. </w:t>
      </w:r>
      <w:r w:rsidRPr="002D28D0">
        <w:rPr>
          <w:rFonts w:ascii="Palatino Linotype" w:hAnsi="Palatino Linotype" w:cs="Bookman Old Style"/>
          <w:color w:val="000000" w:themeColor="text1"/>
          <w:sz w:val="24"/>
          <w:szCs w:val="24"/>
          <w:lang w:val="es-ES_tradnl"/>
        </w:rPr>
        <w:t xml:space="preserve">El riesgo de perjuicio que supondría la divulgación supera el interés público general de que se difunda; y </w:t>
      </w:r>
    </w:p>
    <w:p w14:paraId="5B9CE373" w14:textId="77777777" w:rsidR="00134D0E" w:rsidRPr="002D28D0" w:rsidRDefault="00134D0E" w:rsidP="00134D0E">
      <w:pPr>
        <w:widowControl w:val="0"/>
        <w:autoSpaceDE w:val="0"/>
        <w:autoSpaceDN w:val="0"/>
        <w:adjustRightInd w:val="0"/>
        <w:spacing w:after="240" w:line="360" w:lineRule="auto"/>
        <w:ind w:left="851" w:right="333"/>
        <w:jc w:val="both"/>
        <w:rPr>
          <w:rFonts w:ascii="Palatino Linotype" w:hAnsi="Palatino Linotype" w:cs="Times"/>
          <w:color w:val="000000" w:themeColor="text1"/>
          <w:sz w:val="24"/>
          <w:szCs w:val="24"/>
          <w:lang w:val="es-ES_tradnl"/>
        </w:rPr>
      </w:pPr>
      <w:r w:rsidRPr="002D28D0">
        <w:rPr>
          <w:rFonts w:ascii="Palatino Linotype" w:hAnsi="Palatino Linotype" w:cs="Bookman Old Style"/>
          <w:bCs/>
          <w:color w:val="000000" w:themeColor="text1"/>
          <w:sz w:val="24"/>
          <w:szCs w:val="24"/>
          <w:lang w:val="es-ES_tradnl"/>
        </w:rPr>
        <w:t xml:space="preserve">III. </w:t>
      </w:r>
      <w:r w:rsidRPr="002D28D0">
        <w:rPr>
          <w:rFonts w:ascii="Palatino Linotype" w:hAnsi="Palatino Linotype" w:cs="Bookman Old Style"/>
          <w:color w:val="000000" w:themeColor="text1"/>
          <w:sz w:val="24"/>
          <w:szCs w:val="24"/>
          <w:lang w:val="es-ES_tradnl"/>
        </w:rPr>
        <w:t xml:space="preserve">La limitación se adecua al principio de proporcionalidad y representa el medio menos restrictivo disponible para evitar el perjuicio. </w:t>
      </w:r>
    </w:p>
    <w:p w14:paraId="2CCE9768" w14:textId="77777777" w:rsidR="00134D0E" w:rsidRPr="002D28D0" w:rsidRDefault="00134D0E" w:rsidP="00134D0E">
      <w:pPr>
        <w:spacing w:line="360" w:lineRule="auto"/>
        <w:jc w:val="both"/>
        <w:rPr>
          <w:rFonts w:ascii="Palatino Linotype" w:hAnsi="Palatino Linotype"/>
          <w:color w:val="000000" w:themeColor="text1"/>
          <w:sz w:val="24"/>
          <w:szCs w:val="24"/>
        </w:rPr>
      </w:pPr>
    </w:p>
    <w:p w14:paraId="0C934873" w14:textId="77777777" w:rsidR="00134D0E" w:rsidRPr="002D28D0" w:rsidRDefault="00134D0E" w:rsidP="00134D0E">
      <w:pPr>
        <w:spacing w:line="360" w:lineRule="auto"/>
        <w:jc w:val="both"/>
        <w:rPr>
          <w:rFonts w:ascii="Palatino Linotype" w:hAnsi="Palatino Linotype"/>
          <w:color w:val="000000" w:themeColor="text1"/>
          <w:sz w:val="24"/>
          <w:szCs w:val="24"/>
        </w:rPr>
      </w:pPr>
      <w:r w:rsidRPr="002D28D0">
        <w:rPr>
          <w:rFonts w:ascii="Palatino Linotype" w:hAnsi="Palatino Linotype"/>
          <w:color w:val="000000" w:themeColor="text1"/>
          <w:sz w:val="24"/>
          <w:szCs w:val="24"/>
        </w:rPr>
        <w:t xml:space="preserve">Por lo que entonces, el primer supuesto de la prueba de daño consiste en acreditar que la entrega de la información provoca tres aspectos concurrentes: 1) la contingencia o proximidad de un daño, un perjuicio o lesión que tiene existencia objetiva, que se puede manifestar, declarar o probar mediante cualquier género de demostración a </w:t>
      </w:r>
      <w:r w:rsidRPr="002D28D0">
        <w:rPr>
          <w:rFonts w:ascii="Palatino Linotype" w:hAnsi="Palatino Linotype"/>
          <w:color w:val="000000" w:themeColor="text1"/>
          <w:sz w:val="24"/>
          <w:szCs w:val="24"/>
        </w:rPr>
        <w:lastRenderedPageBreak/>
        <w:t>partir de proporcionar datos necesarios para reconocer el daño, perjuicio o lesión que provocaría a un interés público o a la seguridad pública.</w:t>
      </w:r>
    </w:p>
    <w:p w14:paraId="094F2B30" w14:textId="77777777" w:rsidR="00134D0E" w:rsidRPr="002D28D0" w:rsidRDefault="00134D0E" w:rsidP="00134D0E">
      <w:pPr>
        <w:spacing w:line="360" w:lineRule="auto"/>
        <w:jc w:val="both"/>
        <w:rPr>
          <w:rFonts w:ascii="Palatino Linotype" w:hAnsi="Palatino Linotype"/>
          <w:color w:val="000000" w:themeColor="text1"/>
          <w:sz w:val="24"/>
          <w:szCs w:val="24"/>
        </w:rPr>
      </w:pPr>
      <w:r w:rsidRPr="002D28D0">
        <w:rPr>
          <w:rFonts w:ascii="Palatino Linotype" w:hAnsi="Palatino Linotype"/>
          <w:color w:val="000000" w:themeColor="text1"/>
          <w:sz w:val="24"/>
          <w:szCs w:val="24"/>
        </w:rPr>
        <w:t xml:space="preserve">Identificado ese riesgo, se debe demostrar que el mismo supera el interés público general porque se difunda dicha información. </w:t>
      </w:r>
    </w:p>
    <w:p w14:paraId="3D3887E3" w14:textId="77777777" w:rsidR="00134D0E" w:rsidRPr="002D28D0" w:rsidRDefault="00134D0E" w:rsidP="00134D0E">
      <w:pPr>
        <w:spacing w:line="360" w:lineRule="auto"/>
        <w:jc w:val="both"/>
        <w:rPr>
          <w:rFonts w:ascii="Palatino Linotype" w:hAnsi="Palatino Linotype"/>
          <w:color w:val="000000" w:themeColor="text1"/>
          <w:sz w:val="24"/>
          <w:szCs w:val="24"/>
        </w:rPr>
      </w:pPr>
      <w:r w:rsidRPr="002D28D0">
        <w:rPr>
          <w:rFonts w:ascii="Palatino Linotype" w:hAnsi="Palatino Linotype"/>
          <w:color w:val="000000" w:themeColor="text1"/>
          <w:sz w:val="24"/>
          <w:szCs w:val="24"/>
        </w:rPr>
        <w:t>Y, por último,  que la limitación es acorde con el principio de proporcionalidad, para ello, se sugiere emplear los tres juicios propuestos por la Corte Constitucional Colombiana</w:t>
      </w:r>
      <w:r w:rsidRPr="002D28D0">
        <w:rPr>
          <w:rStyle w:val="Refdenotaalpie"/>
          <w:rFonts w:ascii="Palatino Linotype" w:hAnsi="Palatino Linotype"/>
          <w:color w:val="000000" w:themeColor="text1"/>
        </w:rPr>
        <w:footnoteReference w:id="7"/>
      </w:r>
      <w:r w:rsidRPr="002D28D0">
        <w:rPr>
          <w:rFonts w:ascii="Palatino Linotype" w:hAnsi="Palatino Linotype"/>
          <w:color w:val="000000" w:themeColor="text1"/>
          <w:sz w:val="24"/>
          <w:szCs w:val="24"/>
        </w:rPr>
        <w:t>, siguiendo el principio de ponderación propuesto por el Tribunal Constitucional Alemán,</w:t>
      </w:r>
      <w:r w:rsidRPr="002D28D0">
        <w:rPr>
          <w:rStyle w:val="Refdenotaalpie"/>
          <w:rFonts w:ascii="Palatino Linotype" w:hAnsi="Palatino Linotype"/>
          <w:color w:val="000000" w:themeColor="text1"/>
        </w:rPr>
        <w:footnoteReference w:id="8"/>
      </w:r>
      <w:r w:rsidRPr="002D28D0">
        <w:rPr>
          <w:rFonts w:ascii="Palatino Linotype" w:hAnsi="Palatino Linotype"/>
          <w:color w:val="000000" w:themeColor="text1"/>
          <w:sz w:val="24"/>
          <w:szCs w:val="24"/>
        </w:rPr>
        <w:t xml:space="preserve"> el juicio de idoneidad, que la medida adoptada sea la idónea para el ejercicio del derecho; de necesidad, que sea necearía para que el derecho que prevalece se ejerza y el de estricta proporcionalidad esto es, que el derecho que prevalezca sea en la dimensión estrictamente proporcional al derecho que retrocede.</w:t>
      </w:r>
    </w:p>
    <w:p w14:paraId="3CC1D2D3" w14:textId="77777777" w:rsidR="00134D0E" w:rsidRPr="002D28D0" w:rsidRDefault="00134D0E" w:rsidP="00134D0E">
      <w:pPr>
        <w:spacing w:line="360" w:lineRule="auto"/>
        <w:jc w:val="both"/>
        <w:rPr>
          <w:rFonts w:ascii="Palatino Linotype" w:hAnsi="Palatino Linotype"/>
          <w:sz w:val="24"/>
          <w:szCs w:val="24"/>
          <w:lang w:val="es-ES"/>
        </w:rPr>
      </w:pPr>
      <w:r w:rsidRPr="002D28D0">
        <w:rPr>
          <w:rFonts w:ascii="Palatino Linotype" w:hAnsi="Palatino Linotype"/>
          <w:color w:val="000000" w:themeColor="text1"/>
          <w:sz w:val="24"/>
          <w:szCs w:val="24"/>
        </w:rPr>
        <w:lastRenderedPageBreak/>
        <w:t xml:space="preserve">Es así, que al configurarse tales requisitos, se otorga certidumbre jurídica y se protege la esfera más íntima del derecho humano constitucional y convencionalmente reconocido. </w:t>
      </w:r>
    </w:p>
    <w:p w14:paraId="4E4A0806" w14:textId="2BA4CCFC" w:rsidR="00134D0E" w:rsidRPr="002D28D0" w:rsidRDefault="00134D0E" w:rsidP="00134D0E">
      <w:pPr>
        <w:spacing w:after="0" w:line="360" w:lineRule="auto"/>
        <w:jc w:val="both"/>
        <w:rPr>
          <w:rFonts w:ascii="Palatino Linotype" w:hAnsi="Palatino Linotype"/>
          <w:sz w:val="24"/>
          <w:szCs w:val="24"/>
        </w:rPr>
      </w:pPr>
      <w:r w:rsidRPr="002D28D0">
        <w:rPr>
          <w:rFonts w:ascii="Palatino Linotype" w:hAnsi="Palatino Linotype"/>
          <w:sz w:val="24"/>
          <w:szCs w:val="24"/>
        </w:rPr>
        <w:t>En virtud de lo anterior, se desprende que los Acuerdos de Reserva deberán de cumplir parámetros de forma y fondo, los cuales se abordan a continuación:</w:t>
      </w:r>
    </w:p>
    <w:p w14:paraId="041576C3" w14:textId="77777777" w:rsidR="00615900" w:rsidRPr="002D28D0" w:rsidRDefault="00615900" w:rsidP="00134D0E">
      <w:pPr>
        <w:spacing w:after="0" w:line="360" w:lineRule="auto"/>
        <w:jc w:val="both"/>
        <w:rPr>
          <w:rFonts w:ascii="Palatino Linotype" w:hAnsi="Palatino Linotype"/>
        </w:rPr>
      </w:pPr>
    </w:p>
    <w:p w14:paraId="729EB223" w14:textId="4D24EB17" w:rsidR="00134D0E" w:rsidRPr="002D28D0" w:rsidRDefault="00134D0E" w:rsidP="00134D0E">
      <w:pPr>
        <w:spacing w:after="0" w:line="360" w:lineRule="auto"/>
        <w:jc w:val="both"/>
        <w:rPr>
          <w:rFonts w:ascii="Palatino Linotype" w:hAnsi="Palatino Linotype"/>
        </w:rPr>
      </w:pPr>
    </w:p>
    <w:tbl>
      <w:tblPr>
        <w:tblW w:w="9326"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5"/>
        <w:gridCol w:w="1696"/>
        <w:gridCol w:w="6095"/>
      </w:tblGrid>
      <w:tr w:rsidR="00134D0E" w:rsidRPr="002D28D0" w14:paraId="12BB29BD" w14:textId="77777777" w:rsidTr="00946021">
        <w:tc>
          <w:tcPr>
            <w:tcW w:w="1535" w:type="dxa"/>
            <w:tcBorders>
              <w:top w:val="nil"/>
              <w:left w:val="nil"/>
            </w:tcBorders>
          </w:tcPr>
          <w:p w14:paraId="4414894A" w14:textId="77777777" w:rsidR="00134D0E" w:rsidRPr="002D28D0" w:rsidRDefault="00134D0E" w:rsidP="00946021">
            <w:pPr>
              <w:pBdr>
                <w:top w:val="nil"/>
                <w:left w:val="nil"/>
                <w:bottom w:val="nil"/>
                <w:right w:val="nil"/>
                <w:between w:val="nil"/>
              </w:pBdr>
              <w:spacing w:after="120"/>
              <w:ind w:left="47"/>
              <w:jc w:val="both"/>
              <w:rPr>
                <w:rFonts w:ascii="Palatino Linotype" w:eastAsia="Palatino Linotype" w:hAnsi="Palatino Linotype" w:cs="Palatino Linotype"/>
                <w:b/>
                <w:color w:val="000000"/>
                <w:sz w:val="20"/>
                <w:szCs w:val="20"/>
              </w:rPr>
            </w:pPr>
          </w:p>
        </w:tc>
        <w:tc>
          <w:tcPr>
            <w:tcW w:w="1696" w:type="dxa"/>
            <w:tcBorders>
              <w:bottom w:val="single" w:sz="4" w:space="0" w:color="000000"/>
            </w:tcBorders>
            <w:shd w:val="clear" w:color="auto" w:fill="BFBFBF"/>
            <w:vAlign w:val="bottom"/>
          </w:tcPr>
          <w:p w14:paraId="62E3B33F" w14:textId="77777777" w:rsidR="00134D0E" w:rsidRPr="002D28D0" w:rsidRDefault="00134D0E" w:rsidP="00946021">
            <w:pPr>
              <w:pBdr>
                <w:top w:val="nil"/>
                <w:left w:val="nil"/>
                <w:bottom w:val="nil"/>
                <w:right w:val="nil"/>
                <w:between w:val="nil"/>
              </w:pBdr>
              <w:spacing w:after="120"/>
              <w:ind w:left="47"/>
              <w:jc w:val="center"/>
              <w:rPr>
                <w:rFonts w:ascii="Palatino Linotype" w:eastAsia="Palatino Linotype" w:hAnsi="Palatino Linotype" w:cs="Palatino Linotype"/>
                <w:b/>
                <w:color w:val="000000"/>
                <w:sz w:val="20"/>
                <w:szCs w:val="20"/>
              </w:rPr>
            </w:pPr>
            <w:r w:rsidRPr="002D28D0">
              <w:rPr>
                <w:rFonts w:ascii="Palatino Linotype" w:eastAsia="Palatino Linotype" w:hAnsi="Palatino Linotype" w:cs="Palatino Linotype"/>
                <w:b/>
                <w:color w:val="000000"/>
              </w:rPr>
              <w:t>Cumplió:</w:t>
            </w:r>
          </w:p>
        </w:tc>
        <w:tc>
          <w:tcPr>
            <w:tcW w:w="6095" w:type="dxa"/>
            <w:tcBorders>
              <w:bottom w:val="single" w:sz="4" w:space="0" w:color="000000"/>
            </w:tcBorders>
            <w:shd w:val="clear" w:color="auto" w:fill="BFBFBF"/>
            <w:vAlign w:val="bottom"/>
          </w:tcPr>
          <w:p w14:paraId="54607025" w14:textId="77777777" w:rsidR="00134D0E" w:rsidRPr="002D28D0" w:rsidRDefault="00134D0E" w:rsidP="00946021">
            <w:pPr>
              <w:pBdr>
                <w:top w:val="nil"/>
                <w:left w:val="nil"/>
                <w:bottom w:val="nil"/>
                <w:right w:val="nil"/>
                <w:between w:val="nil"/>
              </w:pBdr>
              <w:spacing w:after="120"/>
              <w:ind w:left="47"/>
              <w:jc w:val="center"/>
              <w:rPr>
                <w:rFonts w:ascii="Palatino Linotype" w:eastAsia="Palatino Linotype" w:hAnsi="Palatino Linotype" w:cs="Palatino Linotype"/>
                <w:b/>
                <w:color w:val="000000"/>
              </w:rPr>
            </w:pPr>
            <w:r w:rsidRPr="002D28D0">
              <w:rPr>
                <w:rFonts w:ascii="Palatino Linotype" w:eastAsia="Palatino Linotype" w:hAnsi="Palatino Linotype" w:cs="Palatino Linotype"/>
                <w:b/>
                <w:color w:val="000000"/>
              </w:rPr>
              <w:t>Contenido</w:t>
            </w:r>
          </w:p>
        </w:tc>
      </w:tr>
      <w:tr w:rsidR="00134D0E" w:rsidRPr="002D28D0" w14:paraId="4F265237" w14:textId="77777777" w:rsidTr="00946021">
        <w:tc>
          <w:tcPr>
            <w:tcW w:w="1535" w:type="dxa"/>
            <w:vAlign w:val="center"/>
          </w:tcPr>
          <w:p w14:paraId="313CF986" w14:textId="77777777" w:rsidR="00134D0E" w:rsidRPr="002D28D0" w:rsidRDefault="00134D0E" w:rsidP="00946021">
            <w:pPr>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Número de folio de la solicitud</w:t>
            </w:r>
          </w:p>
        </w:tc>
        <w:tc>
          <w:tcPr>
            <w:tcW w:w="1696" w:type="dxa"/>
            <w:tcBorders>
              <w:top w:val="single" w:sz="4" w:space="0" w:color="000000"/>
            </w:tcBorders>
            <w:vAlign w:val="center"/>
          </w:tcPr>
          <w:p w14:paraId="0B3D568F" w14:textId="397D5EB9" w:rsidR="00134D0E" w:rsidRPr="002D28D0" w:rsidRDefault="00C6307A" w:rsidP="00946021">
            <w:pPr>
              <w:spacing w:after="120"/>
              <w:ind w:left="47"/>
              <w:jc w:val="center"/>
              <w:rPr>
                <w:rFonts w:ascii="Palatino Linotype" w:eastAsia="Palatino Linotype" w:hAnsi="Palatino Linotype" w:cs="Palatino Linotype"/>
                <w:bCs/>
                <w:sz w:val="18"/>
                <w:szCs w:val="18"/>
              </w:rPr>
            </w:pPr>
            <w:r w:rsidRPr="002D28D0">
              <w:rPr>
                <w:rFonts w:ascii="Palatino Linotype" w:eastAsia="Palatino Linotype" w:hAnsi="Palatino Linotype" w:cs="Palatino Linotype"/>
                <w:bCs/>
                <w:sz w:val="18"/>
                <w:szCs w:val="18"/>
              </w:rPr>
              <w:t>Sí</w:t>
            </w:r>
          </w:p>
        </w:tc>
        <w:tc>
          <w:tcPr>
            <w:tcW w:w="6095" w:type="dxa"/>
            <w:tcBorders>
              <w:top w:val="single" w:sz="4" w:space="0" w:color="000000"/>
            </w:tcBorders>
            <w:vAlign w:val="center"/>
          </w:tcPr>
          <w:p w14:paraId="4B2E6D5C" w14:textId="4B9E4306" w:rsidR="00134D0E" w:rsidRPr="002D28D0" w:rsidRDefault="00C6307A" w:rsidP="00946021">
            <w:pPr>
              <w:spacing w:after="120"/>
              <w:ind w:left="-115"/>
              <w:jc w:val="center"/>
              <w:rPr>
                <w:rFonts w:ascii="Palatino Linotype" w:eastAsia="Palatino Linotype" w:hAnsi="Palatino Linotype" w:cs="Palatino Linotype"/>
              </w:rPr>
            </w:pPr>
            <w:r w:rsidRPr="002D28D0">
              <w:object w:dxaOrig="15312" w:dyaOrig="4884" w14:anchorId="4AC544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3.25pt;height:93.75pt" o:ole="">
                  <v:imagedata r:id="rId21" o:title=""/>
                </v:shape>
                <o:OLEObject Type="Embed" ProgID="PBrush" ShapeID="_x0000_i1025" DrawAspect="Content" ObjectID="_1741605722" r:id="rId22"/>
              </w:object>
            </w:r>
          </w:p>
        </w:tc>
      </w:tr>
      <w:tr w:rsidR="00134D0E" w:rsidRPr="002D28D0" w14:paraId="28C0F584" w14:textId="77777777" w:rsidTr="00946021">
        <w:trPr>
          <w:trHeight w:val="1825"/>
        </w:trPr>
        <w:tc>
          <w:tcPr>
            <w:tcW w:w="1535" w:type="dxa"/>
            <w:vAlign w:val="center"/>
          </w:tcPr>
          <w:p w14:paraId="0C2CE21F" w14:textId="77777777" w:rsidR="00134D0E" w:rsidRPr="002D28D0" w:rsidRDefault="00134D0E" w:rsidP="00946021">
            <w:pPr>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Referencia de la información solicitada</w:t>
            </w:r>
          </w:p>
        </w:tc>
        <w:tc>
          <w:tcPr>
            <w:tcW w:w="1696" w:type="dxa"/>
            <w:vAlign w:val="center"/>
          </w:tcPr>
          <w:p w14:paraId="30EB8672" w14:textId="0A8FF885" w:rsidR="00134D0E" w:rsidRPr="002D28D0" w:rsidRDefault="00C6307A" w:rsidP="00946021">
            <w:pPr>
              <w:spacing w:after="120"/>
              <w:ind w:left="47"/>
              <w:jc w:val="center"/>
              <w:rPr>
                <w:rFonts w:ascii="Palatino Linotype" w:eastAsia="Palatino Linotype" w:hAnsi="Palatino Linotype" w:cs="Palatino Linotype"/>
                <w:bCs/>
                <w:sz w:val="18"/>
                <w:szCs w:val="18"/>
              </w:rPr>
            </w:pPr>
            <w:r w:rsidRPr="002D28D0">
              <w:rPr>
                <w:rFonts w:ascii="Palatino Linotype" w:eastAsia="Palatino Linotype" w:hAnsi="Palatino Linotype" w:cs="Palatino Linotype"/>
                <w:bCs/>
                <w:sz w:val="18"/>
                <w:szCs w:val="18"/>
              </w:rPr>
              <w:t>Sí</w:t>
            </w:r>
          </w:p>
        </w:tc>
        <w:tc>
          <w:tcPr>
            <w:tcW w:w="6095" w:type="dxa"/>
            <w:vAlign w:val="center"/>
          </w:tcPr>
          <w:p w14:paraId="56918C51" w14:textId="4EDE6DBA" w:rsidR="00134D0E" w:rsidRPr="002D28D0" w:rsidRDefault="00237402" w:rsidP="00946021">
            <w:pPr>
              <w:spacing w:after="120"/>
              <w:jc w:val="both"/>
              <w:rPr>
                <w:rFonts w:ascii="Palatino Linotype" w:eastAsia="Palatino Linotype" w:hAnsi="Palatino Linotype" w:cs="Palatino Linotype"/>
                <w:b/>
              </w:rPr>
            </w:pPr>
            <w:r w:rsidRPr="002D28D0">
              <w:object w:dxaOrig="13104" w:dyaOrig="4320" w14:anchorId="404FF4BC">
                <v:shape id="_x0000_i1026" type="#_x0000_t75" style="width:293.25pt;height:96.75pt" o:ole="">
                  <v:imagedata r:id="rId23" o:title=""/>
                </v:shape>
                <o:OLEObject Type="Embed" ProgID="PBrush" ShapeID="_x0000_i1026" DrawAspect="Content" ObjectID="_1741605723" r:id="rId24"/>
              </w:object>
            </w:r>
          </w:p>
        </w:tc>
      </w:tr>
      <w:tr w:rsidR="00134D0E" w:rsidRPr="002D28D0" w14:paraId="6A8D3553" w14:textId="77777777" w:rsidTr="00946021">
        <w:tc>
          <w:tcPr>
            <w:tcW w:w="1535" w:type="dxa"/>
            <w:vAlign w:val="center"/>
          </w:tcPr>
          <w:p w14:paraId="0D97869F" w14:textId="77777777" w:rsidR="00134D0E" w:rsidRPr="002D28D0" w:rsidRDefault="00134D0E" w:rsidP="00946021">
            <w:pPr>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 xml:space="preserve">Causal aplicable del artículo 113 de la Ley General, vinculándola con el Lineamiento específico del presente ordenamiento y, cuando corresponda, el supuesto normativo que expresamente le otorga el carácter </w:t>
            </w:r>
            <w:r w:rsidRPr="002D28D0">
              <w:rPr>
                <w:rFonts w:ascii="Palatino Linotype" w:eastAsia="Palatino Linotype" w:hAnsi="Palatino Linotype" w:cs="Palatino Linotype"/>
                <w:b/>
                <w:sz w:val="16"/>
                <w:szCs w:val="16"/>
              </w:rPr>
              <w:lastRenderedPageBreak/>
              <w:t>de información reservada</w:t>
            </w:r>
          </w:p>
        </w:tc>
        <w:tc>
          <w:tcPr>
            <w:tcW w:w="1696" w:type="dxa"/>
            <w:vAlign w:val="center"/>
          </w:tcPr>
          <w:p w14:paraId="0914480C" w14:textId="4E3F62B1" w:rsidR="00134D0E" w:rsidRPr="002D28D0" w:rsidRDefault="00C6307A" w:rsidP="00946021">
            <w:pPr>
              <w:spacing w:after="120"/>
              <w:ind w:left="47"/>
              <w:jc w:val="center"/>
              <w:rPr>
                <w:rFonts w:ascii="Palatino Linotype" w:eastAsia="Palatino Linotype" w:hAnsi="Palatino Linotype" w:cs="Palatino Linotype"/>
                <w:sz w:val="18"/>
              </w:rPr>
            </w:pPr>
            <w:r w:rsidRPr="002D28D0">
              <w:rPr>
                <w:rFonts w:ascii="Palatino Linotype" w:eastAsia="Palatino Linotype" w:hAnsi="Palatino Linotype" w:cs="Palatino Linotype"/>
                <w:sz w:val="18"/>
              </w:rPr>
              <w:lastRenderedPageBreak/>
              <w:t xml:space="preserve">No, indebida fundamentación </w:t>
            </w:r>
          </w:p>
        </w:tc>
        <w:tc>
          <w:tcPr>
            <w:tcW w:w="6095" w:type="dxa"/>
            <w:vAlign w:val="center"/>
          </w:tcPr>
          <w:p w14:paraId="6A1CB65E" w14:textId="39C11DBF" w:rsidR="00134D0E" w:rsidRPr="002D28D0" w:rsidRDefault="00237402" w:rsidP="00946021">
            <w:pPr>
              <w:spacing w:after="120"/>
              <w:jc w:val="center"/>
              <w:rPr>
                <w:rFonts w:ascii="Palatino Linotype" w:eastAsia="Palatino Linotype" w:hAnsi="Palatino Linotype" w:cs="Palatino Linotype"/>
                <w:b/>
              </w:rPr>
            </w:pPr>
            <w:r w:rsidRPr="002D28D0">
              <w:object w:dxaOrig="17556" w:dyaOrig="4668" w14:anchorId="20D079C9">
                <v:shape id="_x0000_i1027" type="#_x0000_t75" style="width:293.25pt;height:123.75pt" o:ole="">
                  <v:imagedata r:id="rId25" o:title=""/>
                </v:shape>
                <o:OLEObject Type="Embed" ProgID="PBrush" ShapeID="_x0000_i1027" DrawAspect="Content" ObjectID="_1741605724" r:id="rId26"/>
              </w:object>
            </w:r>
          </w:p>
        </w:tc>
      </w:tr>
      <w:tr w:rsidR="00134D0E" w:rsidRPr="002D28D0" w14:paraId="117BE6AA" w14:textId="77777777" w:rsidTr="00946021">
        <w:tc>
          <w:tcPr>
            <w:tcW w:w="1535" w:type="dxa"/>
            <w:vAlign w:val="center"/>
          </w:tcPr>
          <w:p w14:paraId="464390B0" w14:textId="77777777" w:rsidR="00134D0E" w:rsidRPr="002D28D0" w:rsidRDefault="00134D0E" w:rsidP="00946021">
            <w:pPr>
              <w:tabs>
                <w:tab w:val="left" w:pos="317"/>
              </w:tabs>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Fundamento y Motivación Legal</w:t>
            </w:r>
          </w:p>
        </w:tc>
        <w:tc>
          <w:tcPr>
            <w:tcW w:w="1696" w:type="dxa"/>
            <w:vAlign w:val="center"/>
          </w:tcPr>
          <w:p w14:paraId="6C1731F8" w14:textId="4243B736" w:rsidR="00134D0E" w:rsidRPr="002D28D0" w:rsidRDefault="00C6307A" w:rsidP="00946021">
            <w:pPr>
              <w:spacing w:after="120"/>
              <w:ind w:left="47"/>
              <w:jc w:val="center"/>
              <w:rPr>
                <w:rFonts w:ascii="Palatino Linotype" w:eastAsia="Palatino Linotype" w:hAnsi="Palatino Linotype" w:cs="Palatino Linotype"/>
                <w:bCs/>
                <w:sz w:val="18"/>
                <w:szCs w:val="18"/>
              </w:rPr>
            </w:pPr>
            <w:r w:rsidRPr="002D28D0">
              <w:rPr>
                <w:rFonts w:ascii="Palatino Linotype" w:eastAsia="Palatino Linotype" w:hAnsi="Palatino Linotype" w:cs="Palatino Linotype"/>
                <w:bCs/>
                <w:sz w:val="18"/>
                <w:szCs w:val="18"/>
              </w:rPr>
              <w:t>No, indebida fundamentación</w:t>
            </w:r>
          </w:p>
        </w:tc>
        <w:tc>
          <w:tcPr>
            <w:tcW w:w="6095" w:type="dxa"/>
            <w:vAlign w:val="center"/>
          </w:tcPr>
          <w:p w14:paraId="50E4EA1C" w14:textId="77777777" w:rsidR="00134D0E" w:rsidRPr="002D28D0" w:rsidRDefault="00134D0E" w:rsidP="00946021">
            <w:pPr>
              <w:spacing w:after="120"/>
              <w:jc w:val="center"/>
              <w:rPr>
                <w:rFonts w:ascii="Palatino Linotype" w:eastAsia="Palatino Linotype" w:hAnsi="Palatino Linotype" w:cs="Palatino Linotype"/>
                <w:b/>
                <w:sz w:val="2"/>
                <w:szCs w:val="2"/>
              </w:rPr>
            </w:pPr>
          </w:p>
          <w:p w14:paraId="78F6071D" w14:textId="0E597EE8" w:rsidR="00134D0E" w:rsidRPr="002D28D0" w:rsidRDefault="00237402" w:rsidP="00946021">
            <w:pPr>
              <w:spacing w:after="120"/>
              <w:ind w:left="47"/>
              <w:jc w:val="center"/>
              <w:rPr>
                <w:rFonts w:ascii="Palatino Linotype" w:eastAsia="Palatino Linotype" w:hAnsi="Palatino Linotype" w:cs="Palatino Linotype"/>
                <w:b/>
              </w:rPr>
            </w:pPr>
            <w:r w:rsidRPr="002D28D0">
              <w:object w:dxaOrig="17556" w:dyaOrig="4668" w14:anchorId="2A7FB88C">
                <v:shape id="_x0000_i1028" type="#_x0000_t75" style="width:293.25pt;height:97.5pt" o:ole="">
                  <v:imagedata r:id="rId25" o:title=""/>
                </v:shape>
                <o:OLEObject Type="Embed" ProgID="PBrush" ShapeID="_x0000_i1028" DrawAspect="Content" ObjectID="_1741605725" r:id="rId27"/>
              </w:object>
            </w:r>
          </w:p>
        </w:tc>
      </w:tr>
      <w:tr w:rsidR="00134D0E" w:rsidRPr="002D28D0" w14:paraId="714325AB" w14:textId="77777777" w:rsidTr="00946021">
        <w:tc>
          <w:tcPr>
            <w:tcW w:w="1535" w:type="dxa"/>
            <w:vAlign w:val="bottom"/>
          </w:tcPr>
          <w:p w14:paraId="594CB670"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6EFFC6BE"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657861FB"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5653B6DE"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0D77049E" w14:textId="77777777" w:rsidR="00237402" w:rsidRPr="002D28D0" w:rsidRDefault="00237402" w:rsidP="00946021">
            <w:pPr>
              <w:spacing w:after="120"/>
              <w:jc w:val="center"/>
              <w:rPr>
                <w:rFonts w:ascii="Palatino Linotype" w:eastAsia="Palatino Linotype" w:hAnsi="Palatino Linotype" w:cs="Palatino Linotype"/>
                <w:b/>
                <w:sz w:val="16"/>
                <w:szCs w:val="16"/>
              </w:rPr>
            </w:pPr>
          </w:p>
          <w:p w14:paraId="4D38E272" w14:textId="77777777" w:rsidR="00237402" w:rsidRPr="002D28D0" w:rsidRDefault="00237402" w:rsidP="00946021">
            <w:pPr>
              <w:spacing w:after="120"/>
              <w:jc w:val="center"/>
              <w:rPr>
                <w:rFonts w:ascii="Palatino Linotype" w:eastAsia="Palatino Linotype" w:hAnsi="Palatino Linotype" w:cs="Palatino Linotype"/>
                <w:b/>
                <w:sz w:val="16"/>
                <w:szCs w:val="16"/>
              </w:rPr>
            </w:pPr>
          </w:p>
          <w:p w14:paraId="45DEE401" w14:textId="3C9E5098" w:rsidR="00237402" w:rsidRPr="002D28D0" w:rsidRDefault="00134D0E" w:rsidP="00946021">
            <w:pPr>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Conexión entre los fundamentos y motivos que dieron origen a la Reserva de la información</w:t>
            </w:r>
          </w:p>
          <w:p w14:paraId="60B2DCA0" w14:textId="77777777" w:rsidR="00237402" w:rsidRPr="002D28D0" w:rsidRDefault="00237402" w:rsidP="00946021">
            <w:pPr>
              <w:spacing w:after="120"/>
              <w:jc w:val="center"/>
              <w:rPr>
                <w:rFonts w:ascii="Palatino Linotype" w:eastAsia="Palatino Linotype" w:hAnsi="Palatino Linotype" w:cs="Palatino Linotype"/>
                <w:b/>
                <w:sz w:val="16"/>
                <w:szCs w:val="16"/>
              </w:rPr>
            </w:pPr>
          </w:p>
          <w:p w14:paraId="36630B6E"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10BA576D"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57B8A99E"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5BCEDA31" w14:textId="77777777" w:rsidR="00134D0E" w:rsidRPr="002D28D0" w:rsidRDefault="00134D0E" w:rsidP="00946021">
            <w:pPr>
              <w:spacing w:after="120"/>
              <w:jc w:val="center"/>
              <w:rPr>
                <w:rFonts w:ascii="Palatino Linotype" w:eastAsia="Palatino Linotype" w:hAnsi="Palatino Linotype" w:cs="Palatino Linotype"/>
                <w:b/>
                <w:sz w:val="16"/>
                <w:szCs w:val="16"/>
              </w:rPr>
            </w:pPr>
          </w:p>
          <w:p w14:paraId="6777AA12"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2BC5DC7A"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2A4B0B89"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36B30C06"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0F674437"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22156528"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22F6FA80"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055DE4D2"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29FD7266" w14:textId="77777777" w:rsidR="00E1122A" w:rsidRPr="002D28D0" w:rsidRDefault="00E1122A" w:rsidP="00946021">
            <w:pPr>
              <w:spacing w:after="120"/>
              <w:jc w:val="center"/>
              <w:rPr>
                <w:rFonts w:ascii="Palatino Linotype" w:eastAsia="Palatino Linotype" w:hAnsi="Palatino Linotype" w:cs="Palatino Linotype"/>
                <w:b/>
                <w:sz w:val="16"/>
                <w:szCs w:val="16"/>
              </w:rPr>
            </w:pPr>
          </w:p>
          <w:p w14:paraId="624FF501" w14:textId="7E1FEE14" w:rsidR="00E1122A" w:rsidRPr="002D28D0" w:rsidRDefault="00E1122A" w:rsidP="00946021">
            <w:pPr>
              <w:spacing w:after="120"/>
              <w:jc w:val="center"/>
              <w:rPr>
                <w:rFonts w:ascii="Palatino Linotype" w:eastAsia="Palatino Linotype" w:hAnsi="Palatino Linotype" w:cs="Palatino Linotype"/>
                <w:b/>
                <w:sz w:val="16"/>
                <w:szCs w:val="16"/>
              </w:rPr>
            </w:pPr>
          </w:p>
        </w:tc>
        <w:tc>
          <w:tcPr>
            <w:tcW w:w="1696" w:type="dxa"/>
            <w:vAlign w:val="center"/>
          </w:tcPr>
          <w:p w14:paraId="307702B4" w14:textId="1EF84514" w:rsidR="00134D0E" w:rsidRPr="002D28D0" w:rsidRDefault="008E1DF0" w:rsidP="00946021">
            <w:pPr>
              <w:spacing w:after="120"/>
              <w:ind w:left="47"/>
              <w:jc w:val="center"/>
              <w:rPr>
                <w:rFonts w:ascii="Palatino Linotype" w:eastAsia="Palatino Linotype" w:hAnsi="Palatino Linotype" w:cs="Palatino Linotype"/>
                <w:bCs/>
                <w:sz w:val="18"/>
                <w:szCs w:val="18"/>
              </w:rPr>
            </w:pPr>
            <w:r w:rsidRPr="002D28D0">
              <w:rPr>
                <w:rFonts w:ascii="Palatino Linotype" w:eastAsia="Palatino Linotype" w:hAnsi="Palatino Linotype" w:cs="Palatino Linotype"/>
                <w:bCs/>
                <w:sz w:val="18"/>
                <w:szCs w:val="18"/>
              </w:rPr>
              <w:lastRenderedPageBreak/>
              <w:t>No, indebida motivación</w:t>
            </w:r>
            <w:r w:rsidR="00E1122A" w:rsidRPr="002D28D0">
              <w:rPr>
                <w:rFonts w:ascii="Palatino Linotype" w:eastAsia="Palatino Linotype" w:hAnsi="Palatino Linotype" w:cs="Palatino Linotype"/>
                <w:bCs/>
                <w:sz w:val="18"/>
                <w:szCs w:val="18"/>
              </w:rPr>
              <w:t xml:space="preserve"> y fundamentación</w:t>
            </w:r>
          </w:p>
        </w:tc>
        <w:tc>
          <w:tcPr>
            <w:tcW w:w="6095" w:type="dxa"/>
            <w:vAlign w:val="center"/>
          </w:tcPr>
          <w:p w14:paraId="60AF76F9" w14:textId="28550D5C" w:rsidR="00134D0E" w:rsidRPr="002D28D0" w:rsidRDefault="00237402" w:rsidP="00946021">
            <w:pPr>
              <w:pBdr>
                <w:top w:val="nil"/>
                <w:left w:val="nil"/>
                <w:bottom w:val="nil"/>
                <w:right w:val="nil"/>
                <w:between w:val="nil"/>
              </w:pBdr>
              <w:spacing w:after="120"/>
              <w:ind w:left="29" w:firstLine="18"/>
              <w:jc w:val="center"/>
              <w:rPr>
                <w:color w:val="000000"/>
              </w:rPr>
            </w:pPr>
            <w:r w:rsidRPr="002D28D0">
              <w:object w:dxaOrig="15876" w:dyaOrig="8856" w14:anchorId="2D7C7848">
                <v:shape id="_x0000_i1029" type="#_x0000_t75" style="width:294pt;height:204pt" o:ole="">
                  <v:imagedata r:id="rId28" o:title=""/>
                </v:shape>
                <o:OLEObject Type="Embed" ProgID="PBrush" ShapeID="_x0000_i1029" DrawAspect="Content" ObjectID="_1741605726" r:id="rId29"/>
              </w:object>
            </w:r>
          </w:p>
          <w:p w14:paraId="7C4AFBBC" w14:textId="77777777" w:rsidR="00134D0E" w:rsidRPr="002D28D0" w:rsidRDefault="00134D0E" w:rsidP="00946021">
            <w:pPr>
              <w:pBdr>
                <w:top w:val="nil"/>
                <w:left w:val="nil"/>
                <w:bottom w:val="nil"/>
                <w:right w:val="nil"/>
                <w:between w:val="nil"/>
              </w:pBdr>
              <w:spacing w:after="120"/>
              <w:rPr>
                <w:color w:val="000000"/>
              </w:rPr>
            </w:pPr>
          </w:p>
          <w:p w14:paraId="46742884" w14:textId="01307B2C" w:rsidR="00237402" w:rsidRPr="002D28D0" w:rsidRDefault="00237402" w:rsidP="00946021">
            <w:pPr>
              <w:pBdr>
                <w:top w:val="nil"/>
                <w:left w:val="nil"/>
                <w:bottom w:val="nil"/>
                <w:right w:val="nil"/>
                <w:between w:val="nil"/>
              </w:pBdr>
              <w:spacing w:after="120"/>
              <w:rPr>
                <w:color w:val="000000"/>
              </w:rPr>
            </w:pPr>
          </w:p>
        </w:tc>
      </w:tr>
      <w:tr w:rsidR="00134D0E" w:rsidRPr="002D28D0" w14:paraId="4DBF7C59" w14:textId="77777777" w:rsidTr="00946021">
        <w:tc>
          <w:tcPr>
            <w:tcW w:w="9326" w:type="dxa"/>
            <w:gridSpan w:val="3"/>
            <w:shd w:val="clear" w:color="auto" w:fill="D9D9D9"/>
            <w:vAlign w:val="center"/>
          </w:tcPr>
          <w:p w14:paraId="38090988" w14:textId="6ACC33B5" w:rsidR="00134D0E" w:rsidRPr="002D28D0" w:rsidRDefault="00134D0E" w:rsidP="00946021">
            <w:pPr>
              <w:pBdr>
                <w:top w:val="nil"/>
                <w:left w:val="nil"/>
                <w:bottom w:val="nil"/>
                <w:right w:val="nil"/>
                <w:between w:val="nil"/>
              </w:pBdr>
              <w:spacing w:after="120"/>
              <w:ind w:left="29" w:firstLine="18"/>
              <w:jc w:val="center"/>
              <w:rPr>
                <w:rFonts w:ascii="Palatino Linotype" w:eastAsia="Palatino Linotype" w:hAnsi="Palatino Linotype" w:cs="Palatino Linotype"/>
                <w:color w:val="000000"/>
              </w:rPr>
            </w:pPr>
            <w:r w:rsidRPr="002D28D0">
              <w:rPr>
                <w:rFonts w:ascii="Palatino Linotype" w:eastAsia="Palatino Linotype" w:hAnsi="Palatino Linotype" w:cs="Palatino Linotype"/>
                <w:b/>
                <w:color w:val="000000"/>
              </w:rPr>
              <w:t>Prueba de Daño</w:t>
            </w:r>
          </w:p>
        </w:tc>
      </w:tr>
      <w:tr w:rsidR="00134D0E" w:rsidRPr="002D28D0" w14:paraId="6BCC03D9" w14:textId="77777777" w:rsidTr="00237402">
        <w:trPr>
          <w:trHeight w:val="4990"/>
        </w:trPr>
        <w:tc>
          <w:tcPr>
            <w:tcW w:w="1535" w:type="dxa"/>
            <w:vAlign w:val="center"/>
          </w:tcPr>
          <w:p w14:paraId="46124949" w14:textId="77777777" w:rsidR="00134D0E" w:rsidRPr="002D28D0" w:rsidRDefault="00134D0E" w:rsidP="00946021">
            <w:pPr>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Riesgo Real, Demostrable e Identificable</w:t>
            </w:r>
          </w:p>
          <w:p w14:paraId="46923F06" w14:textId="77777777" w:rsidR="00134D0E" w:rsidRPr="002D28D0" w:rsidRDefault="00134D0E" w:rsidP="00946021">
            <w:pPr>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(Modo, Tiempo y Lugar)</w:t>
            </w:r>
          </w:p>
        </w:tc>
        <w:tc>
          <w:tcPr>
            <w:tcW w:w="1696" w:type="dxa"/>
            <w:vAlign w:val="center"/>
          </w:tcPr>
          <w:p w14:paraId="7388AA49" w14:textId="347F96C3" w:rsidR="00134D0E" w:rsidRPr="002D28D0" w:rsidRDefault="008E1DF0" w:rsidP="00946021">
            <w:pPr>
              <w:pBdr>
                <w:top w:val="nil"/>
                <w:left w:val="nil"/>
                <w:bottom w:val="nil"/>
                <w:right w:val="nil"/>
                <w:between w:val="nil"/>
              </w:pBdr>
              <w:spacing w:after="120"/>
              <w:ind w:left="29" w:firstLine="18"/>
              <w:jc w:val="center"/>
              <w:rPr>
                <w:rFonts w:ascii="Palatino Linotype" w:eastAsia="Palatino Linotype" w:hAnsi="Palatino Linotype" w:cs="Palatino Linotype"/>
                <w:bCs/>
                <w:color w:val="000000"/>
                <w:sz w:val="18"/>
                <w:szCs w:val="18"/>
              </w:rPr>
            </w:pPr>
            <w:r w:rsidRPr="002D28D0">
              <w:rPr>
                <w:rFonts w:ascii="Palatino Linotype" w:eastAsia="Palatino Linotype" w:hAnsi="Palatino Linotype" w:cs="Palatino Linotype"/>
                <w:bCs/>
                <w:color w:val="000000"/>
                <w:sz w:val="18"/>
                <w:szCs w:val="18"/>
              </w:rPr>
              <w:t>No, indebida motivación</w:t>
            </w:r>
            <w:r w:rsidR="00E1122A" w:rsidRPr="002D28D0">
              <w:rPr>
                <w:rFonts w:ascii="Palatino Linotype" w:eastAsia="Palatino Linotype" w:hAnsi="Palatino Linotype" w:cs="Palatino Linotype"/>
                <w:bCs/>
                <w:color w:val="000000"/>
                <w:sz w:val="18"/>
                <w:szCs w:val="18"/>
              </w:rPr>
              <w:t xml:space="preserve"> y fundamentación</w:t>
            </w:r>
          </w:p>
        </w:tc>
        <w:tc>
          <w:tcPr>
            <w:tcW w:w="6095" w:type="dxa"/>
            <w:vAlign w:val="center"/>
          </w:tcPr>
          <w:p w14:paraId="5CF99BF1" w14:textId="399F1ED8" w:rsidR="00134D0E" w:rsidRPr="002D28D0" w:rsidRDefault="00134D0E" w:rsidP="00946021">
            <w:pPr>
              <w:rPr>
                <w:rFonts w:ascii="Palatino Linotype" w:eastAsia="Palatino Linotype" w:hAnsi="Palatino Linotype" w:cs="Palatino Linotype"/>
              </w:rPr>
            </w:pPr>
          </w:p>
          <w:p w14:paraId="6EE05C44" w14:textId="1F1C7C5D" w:rsidR="00134D0E" w:rsidRPr="002D28D0" w:rsidRDefault="00237402" w:rsidP="00946021">
            <w:pPr>
              <w:rPr>
                <w:rFonts w:ascii="Palatino Linotype" w:eastAsia="Palatino Linotype" w:hAnsi="Palatino Linotype" w:cs="Palatino Linotype"/>
              </w:rPr>
            </w:pPr>
            <w:r w:rsidRPr="002D28D0">
              <w:object w:dxaOrig="15516" w:dyaOrig="9672" w14:anchorId="286F18EA">
                <v:shape id="_x0000_i1030" type="#_x0000_t75" style="width:293.25pt;height:233.25pt" o:ole="">
                  <v:imagedata r:id="rId30" o:title=""/>
                </v:shape>
                <o:OLEObject Type="Embed" ProgID="PBrush" ShapeID="_x0000_i1030" DrawAspect="Content" ObjectID="_1741605727" r:id="rId31"/>
              </w:object>
            </w:r>
          </w:p>
          <w:p w14:paraId="0DE380AC" w14:textId="77777777" w:rsidR="00134D0E" w:rsidRPr="002D28D0" w:rsidRDefault="00134D0E" w:rsidP="00946021">
            <w:pPr>
              <w:jc w:val="both"/>
              <w:rPr>
                <w:rFonts w:ascii="Palatino Linotype" w:eastAsia="Palatino Linotype" w:hAnsi="Palatino Linotype" w:cs="Palatino Linotype"/>
              </w:rPr>
            </w:pPr>
          </w:p>
        </w:tc>
      </w:tr>
      <w:tr w:rsidR="00134D0E" w:rsidRPr="002D28D0" w14:paraId="56991465" w14:textId="77777777" w:rsidTr="00946021">
        <w:trPr>
          <w:trHeight w:val="4087"/>
        </w:trPr>
        <w:tc>
          <w:tcPr>
            <w:tcW w:w="1535" w:type="dxa"/>
            <w:vAlign w:val="center"/>
          </w:tcPr>
          <w:p w14:paraId="0CBC92F9" w14:textId="77777777" w:rsidR="00134D0E" w:rsidRPr="002D28D0" w:rsidRDefault="00134D0E" w:rsidP="00946021">
            <w:pPr>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t>Temporalidad de la Reserva de la información</w:t>
            </w:r>
          </w:p>
        </w:tc>
        <w:tc>
          <w:tcPr>
            <w:tcW w:w="1696" w:type="dxa"/>
            <w:shd w:val="clear" w:color="auto" w:fill="auto"/>
            <w:vAlign w:val="center"/>
          </w:tcPr>
          <w:p w14:paraId="395F06BE" w14:textId="77777777" w:rsidR="00134D0E" w:rsidRPr="002D28D0" w:rsidRDefault="00134D0E" w:rsidP="00946021">
            <w:pPr>
              <w:pBdr>
                <w:top w:val="nil"/>
                <w:left w:val="nil"/>
                <w:bottom w:val="nil"/>
                <w:right w:val="nil"/>
                <w:between w:val="nil"/>
              </w:pBdr>
              <w:spacing w:after="120"/>
              <w:ind w:left="29" w:firstLine="18"/>
              <w:jc w:val="center"/>
              <w:rPr>
                <w:rFonts w:ascii="Palatino Linotype" w:eastAsia="Palatino Linotype" w:hAnsi="Palatino Linotype" w:cs="Palatino Linotype"/>
                <w:bCs/>
                <w:color w:val="000000"/>
                <w:sz w:val="18"/>
                <w:szCs w:val="18"/>
              </w:rPr>
            </w:pPr>
            <w:r w:rsidRPr="002D28D0">
              <w:rPr>
                <w:rFonts w:ascii="Palatino Linotype" w:eastAsia="Palatino Linotype" w:hAnsi="Palatino Linotype" w:cs="Palatino Linotype"/>
                <w:bCs/>
                <w:color w:val="000000"/>
                <w:sz w:val="18"/>
                <w:szCs w:val="18"/>
              </w:rPr>
              <w:t>Sí</w:t>
            </w:r>
          </w:p>
        </w:tc>
        <w:tc>
          <w:tcPr>
            <w:tcW w:w="6095" w:type="dxa"/>
            <w:vAlign w:val="center"/>
          </w:tcPr>
          <w:p w14:paraId="0D9267EA" w14:textId="1BEE953A" w:rsidR="00134D0E" w:rsidRPr="002D28D0" w:rsidRDefault="00134D0E" w:rsidP="00946021">
            <w:pPr>
              <w:pBdr>
                <w:top w:val="nil"/>
                <w:left w:val="nil"/>
                <w:bottom w:val="nil"/>
                <w:right w:val="nil"/>
                <w:between w:val="nil"/>
              </w:pBdr>
              <w:spacing w:after="120"/>
              <w:ind w:left="29" w:firstLine="18"/>
              <w:jc w:val="center"/>
              <w:rPr>
                <w:color w:val="000000"/>
              </w:rPr>
            </w:pPr>
          </w:p>
          <w:p w14:paraId="44A93B06" w14:textId="77777777" w:rsidR="00134D0E" w:rsidRPr="002D28D0" w:rsidRDefault="00134D0E" w:rsidP="00946021"/>
          <w:p w14:paraId="2B4A25CE" w14:textId="177E83C0" w:rsidR="00134D0E" w:rsidRPr="002D28D0" w:rsidRDefault="00FF150E" w:rsidP="00946021">
            <w:r w:rsidRPr="002D28D0">
              <w:object w:dxaOrig="13548" w:dyaOrig="8124" w14:anchorId="5F085305">
                <v:shape id="_x0000_i1031" type="#_x0000_t75" style="width:293.25pt;height:177pt" o:ole="">
                  <v:imagedata r:id="rId32" o:title=""/>
                </v:shape>
                <o:OLEObject Type="Embed" ProgID="PBrush" ShapeID="_x0000_i1031" DrawAspect="Content" ObjectID="_1741605728" r:id="rId33"/>
              </w:object>
            </w:r>
          </w:p>
        </w:tc>
      </w:tr>
      <w:tr w:rsidR="00134D0E" w:rsidRPr="002D28D0" w14:paraId="0BF01397" w14:textId="77777777" w:rsidTr="00946021">
        <w:trPr>
          <w:trHeight w:val="3517"/>
        </w:trPr>
        <w:tc>
          <w:tcPr>
            <w:tcW w:w="1535" w:type="dxa"/>
            <w:vAlign w:val="center"/>
          </w:tcPr>
          <w:p w14:paraId="49B0483F" w14:textId="77777777" w:rsidR="00134D0E" w:rsidRPr="002D28D0" w:rsidRDefault="00134D0E" w:rsidP="00946021">
            <w:pPr>
              <w:tabs>
                <w:tab w:val="left" w:pos="317"/>
              </w:tabs>
              <w:spacing w:after="120"/>
              <w:jc w:val="center"/>
              <w:rPr>
                <w:rFonts w:ascii="Palatino Linotype" w:eastAsia="Palatino Linotype" w:hAnsi="Palatino Linotype" w:cs="Palatino Linotype"/>
                <w:b/>
                <w:sz w:val="16"/>
                <w:szCs w:val="16"/>
              </w:rPr>
            </w:pPr>
            <w:r w:rsidRPr="002D28D0">
              <w:rPr>
                <w:rFonts w:ascii="Palatino Linotype" w:eastAsia="Palatino Linotype" w:hAnsi="Palatino Linotype" w:cs="Palatino Linotype"/>
                <w:b/>
                <w:sz w:val="16"/>
                <w:szCs w:val="16"/>
              </w:rPr>
              <w:lastRenderedPageBreak/>
              <w:t>Autoridades competentes.</w:t>
            </w:r>
          </w:p>
        </w:tc>
        <w:tc>
          <w:tcPr>
            <w:tcW w:w="1696" w:type="dxa"/>
            <w:vAlign w:val="center"/>
          </w:tcPr>
          <w:p w14:paraId="0AD085C3" w14:textId="77777777" w:rsidR="00134D0E" w:rsidRPr="002D28D0" w:rsidRDefault="00134D0E" w:rsidP="00946021">
            <w:pPr>
              <w:pBdr>
                <w:top w:val="nil"/>
                <w:left w:val="nil"/>
                <w:bottom w:val="nil"/>
                <w:right w:val="nil"/>
                <w:between w:val="nil"/>
              </w:pBdr>
              <w:spacing w:after="120"/>
              <w:ind w:left="29" w:firstLine="18"/>
              <w:jc w:val="center"/>
              <w:rPr>
                <w:rFonts w:ascii="Palatino Linotype" w:eastAsia="Palatino Linotype" w:hAnsi="Palatino Linotype" w:cs="Palatino Linotype"/>
                <w:bCs/>
                <w:color w:val="000000"/>
                <w:sz w:val="18"/>
                <w:szCs w:val="18"/>
              </w:rPr>
            </w:pPr>
            <w:r w:rsidRPr="002D28D0">
              <w:rPr>
                <w:rFonts w:ascii="Palatino Linotype" w:eastAsia="Palatino Linotype" w:hAnsi="Palatino Linotype" w:cs="Palatino Linotype"/>
                <w:bCs/>
                <w:color w:val="000000"/>
                <w:sz w:val="18"/>
                <w:szCs w:val="18"/>
              </w:rPr>
              <w:t>Sí</w:t>
            </w:r>
          </w:p>
        </w:tc>
        <w:tc>
          <w:tcPr>
            <w:tcW w:w="6095" w:type="dxa"/>
          </w:tcPr>
          <w:p w14:paraId="7CA83A64" w14:textId="77777777" w:rsidR="00134D0E" w:rsidRPr="002D28D0" w:rsidRDefault="00134D0E" w:rsidP="00946021"/>
          <w:p w14:paraId="72E65CCF" w14:textId="68411531" w:rsidR="00134D0E" w:rsidRPr="002D28D0" w:rsidRDefault="00237402" w:rsidP="00946021">
            <w:pPr>
              <w:tabs>
                <w:tab w:val="left" w:pos="1140"/>
              </w:tabs>
            </w:pPr>
            <w:r w:rsidRPr="002D28D0">
              <w:object w:dxaOrig="8064" w:dyaOrig="9300" w14:anchorId="3E6FF61A">
                <v:shape id="_x0000_i1032" type="#_x0000_t75" style="width:294pt;height:266.25pt" o:ole="">
                  <v:imagedata r:id="rId34" o:title=""/>
                </v:shape>
                <o:OLEObject Type="Embed" ProgID="PBrush" ShapeID="_x0000_i1032" DrawAspect="Content" ObjectID="_1741605729" r:id="rId35"/>
              </w:object>
            </w:r>
          </w:p>
          <w:p w14:paraId="0A835E26" w14:textId="7D22E31E" w:rsidR="00134D0E" w:rsidRPr="002D28D0" w:rsidRDefault="00134D0E" w:rsidP="00946021">
            <w:pPr>
              <w:tabs>
                <w:tab w:val="left" w:pos="1140"/>
              </w:tabs>
            </w:pPr>
          </w:p>
          <w:p w14:paraId="6CBF8F79" w14:textId="48A77D55" w:rsidR="00134D0E" w:rsidRPr="002D28D0" w:rsidRDefault="00FF150E" w:rsidP="00946021">
            <w:pPr>
              <w:tabs>
                <w:tab w:val="left" w:pos="1140"/>
              </w:tabs>
            </w:pPr>
            <w:r w:rsidRPr="002D28D0">
              <w:object w:dxaOrig="8052" w:dyaOrig="5520" w14:anchorId="2540EBD7">
                <v:shape id="_x0000_i1033" type="#_x0000_t75" style="width:294pt;height:201.75pt" o:ole="">
                  <v:imagedata r:id="rId36" o:title=""/>
                </v:shape>
                <o:OLEObject Type="Embed" ProgID="PBrush" ShapeID="_x0000_i1033" DrawAspect="Content" ObjectID="_1741605730" r:id="rId37"/>
              </w:object>
            </w:r>
          </w:p>
        </w:tc>
      </w:tr>
    </w:tbl>
    <w:p w14:paraId="1D19D05F" w14:textId="025B9EDD" w:rsidR="00134D0E" w:rsidRPr="002D28D0" w:rsidRDefault="00134D0E" w:rsidP="00134D0E">
      <w:pPr>
        <w:spacing w:after="0" w:line="360" w:lineRule="auto"/>
        <w:jc w:val="both"/>
        <w:rPr>
          <w:rFonts w:ascii="Palatino Linotype" w:hAnsi="Palatino Linotype" w:cs="Arial"/>
          <w:color w:val="000000"/>
          <w:sz w:val="24"/>
          <w:lang w:val="es-ES_tradnl"/>
        </w:rPr>
      </w:pPr>
    </w:p>
    <w:p w14:paraId="0FEA294E" w14:textId="253F3E7A" w:rsidR="00134D0E" w:rsidRPr="002D28D0" w:rsidRDefault="00134D0E" w:rsidP="00134D0E">
      <w:pPr>
        <w:spacing w:after="0" w:line="360" w:lineRule="auto"/>
        <w:jc w:val="both"/>
        <w:rPr>
          <w:rFonts w:ascii="Palatino Linotype" w:hAnsi="Palatino Linotype" w:cs="Arial"/>
          <w:color w:val="000000"/>
          <w:sz w:val="24"/>
          <w:lang w:val="es-ES_tradnl"/>
        </w:rPr>
      </w:pPr>
    </w:p>
    <w:p w14:paraId="4A243117" w14:textId="77777777" w:rsidR="00237402" w:rsidRPr="002D28D0" w:rsidRDefault="00237402" w:rsidP="00237402">
      <w:pPr>
        <w:spacing w:before="240" w:line="360" w:lineRule="auto"/>
        <w:jc w:val="both"/>
        <w:rPr>
          <w:rFonts w:ascii="Palatino Linotype" w:hAnsi="Palatino Linotype"/>
          <w:sz w:val="24"/>
          <w:szCs w:val="24"/>
        </w:rPr>
      </w:pPr>
      <w:r w:rsidRPr="002D28D0">
        <w:rPr>
          <w:rFonts w:ascii="Palatino Linotype" w:hAnsi="Palatino Linotype"/>
          <w:sz w:val="24"/>
          <w:szCs w:val="24"/>
        </w:rPr>
        <w:lastRenderedPageBreak/>
        <w:t>En razón de lo anterior, se destaca que la pauta metodológica necesaria para clasificar la información como reservada se desprende inicialmente de identificar las causales aplicables, por ello, resulta oportuno realizar un análisis sistemático del numeral 140 de la Ley de Transparencia y Acceso a la Información Pública del Estado de México y Municipios,</w:t>
      </w:r>
      <w:r w:rsidRPr="002D28D0">
        <w:rPr>
          <w:rFonts w:ascii="Palatino Linotype" w:hAnsi="Palatino Linotype"/>
        </w:rPr>
        <w:t xml:space="preserve"> </w:t>
      </w:r>
      <w:r w:rsidRPr="002D28D0">
        <w:rPr>
          <w:rFonts w:ascii="Palatino Linotype" w:hAnsi="Palatino Linotype"/>
          <w:sz w:val="24"/>
          <w:szCs w:val="24"/>
        </w:rPr>
        <w:t xml:space="preserve">porción normativa que dispone a la literalidad lo siguiente: </w:t>
      </w:r>
    </w:p>
    <w:p w14:paraId="697C1991" w14:textId="77777777" w:rsidR="00237402" w:rsidRPr="002D28D0" w:rsidRDefault="00237402" w:rsidP="00237402">
      <w:pPr>
        <w:pStyle w:val="Citas"/>
        <w:jc w:val="center"/>
        <w:rPr>
          <w:b/>
        </w:rPr>
      </w:pPr>
      <w:r w:rsidRPr="002D28D0">
        <w:rPr>
          <w:b/>
        </w:rPr>
        <w:t xml:space="preserve">Ley de Transparencia y Acceso a la Información Pública del Estado de México y Municipios </w:t>
      </w:r>
    </w:p>
    <w:p w14:paraId="58EDC430" w14:textId="77777777" w:rsidR="00237402" w:rsidRPr="002D28D0" w:rsidRDefault="00237402" w:rsidP="00237402">
      <w:pPr>
        <w:pStyle w:val="Citas"/>
      </w:pPr>
      <w:r w:rsidRPr="002D28D0">
        <w:t xml:space="preserve">“Artículo 140. El acceso a la información pública será restringido excepcionalmente, cuando por razones de interés público, ésta sea clasificada como reservada, conforme a los criterios siguientes: </w:t>
      </w:r>
    </w:p>
    <w:p w14:paraId="348C5096" w14:textId="77777777" w:rsidR="00237402" w:rsidRPr="002D28D0" w:rsidRDefault="00237402" w:rsidP="00237402">
      <w:pPr>
        <w:pStyle w:val="Citas"/>
        <w:rPr>
          <w:bCs/>
        </w:rPr>
      </w:pPr>
      <w:r w:rsidRPr="002D28D0">
        <w:rPr>
          <w:bCs/>
        </w:rPr>
        <w:t xml:space="preserve">I. Comprometa la seguridad pública y cuente con un propósito genuino y un efecto demostrable; </w:t>
      </w:r>
    </w:p>
    <w:p w14:paraId="05FC5A98" w14:textId="77777777" w:rsidR="00237402" w:rsidRPr="002D28D0" w:rsidRDefault="00237402" w:rsidP="00237402">
      <w:pPr>
        <w:pStyle w:val="Citas"/>
      </w:pPr>
      <w:r w:rsidRPr="002D28D0">
        <w:t xml:space="preserve">II. Pueda menoscabar la conducción de las negociaciones y relaciones internacionales; </w:t>
      </w:r>
    </w:p>
    <w:p w14:paraId="3D2C335D" w14:textId="77777777" w:rsidR="00237402" w:rsidRPr="002D28D0" w:rsidRDefault="00237402" w:rsidP="00237402">
      <w:pPr>
        <w:pStyle w:val="Citas"/>
      </w:pPr>
      <w:r w:rsidRPr="002D28D0">
        <w:t xml:space="preserve">III.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63BB4ED3" w14:textId="77777777" w:rsidR="00237402" w:rsidRPr="002D28D0" w:rsidRDefault="00237402" w:rsidP="00237402">
      <w:pPr>
        <w:pStyle w:val="Citas"/>
        <w:rPr>
          <w:bCs/>
        </w:rPr>
      </w:pPr>
      <w:r w:rsidRPr="002D28D0">
        <w:rPr>
          <w:bCs/>
        </w:rPr>
        <w:t xml:space="preserve">IV. Ponga en riesgo la vida, la seguridad o la salud de una persona física; </w:t>
      </w:r>
    </w:p>
    <w:p w14:paraId="23CBDEE7" w14:textId="77777777" w:rsidR="00237402" w:rsidRPr="002D28D0" w:rsidRDefault="00237402" w:rsidP="00237402">
      <w:pPr>
        <w:pStyle w:val="Citas"/>
      </w:pPr>
      <w:r w:rsidRPr="002D28D0">
        <w:t xml:space="preserve">V. Aquella cuya divulgación obstruya o pueda causar un serio perjuicio a: </w:t>
      </w:r>
    </w:p>
    <w:p w14:paraId="5F330D1F" w14:textId="77777777" w:rsidR="00237402" w:rsidRPr="002D28D0" w:rsidRDefault="00237402" w:rsidP="00237402">
      <w:pPr>
        <w:pStyle w:val="Citas"/>
      </w:pPr>
      <w:r w:rsidRPr="002D28D0">
        <w:t xml:space="preserve">1. Las actividades de fiscalización, verificación, inspección, comprobación y auditoría sobre el cumplimiento de las Leyes; o </w:t>
      </w:r>
    </w:p>
    <w:p w14:paraId="448B49DC" w14:textId="77777777" w:rsidR="00237402" w:rsidRPr="002D28D0" w:rsidRDefault="00237402" w:rsidP="00237402">
      <w:pPr>
        <w:pStyle w:val="Citas"/>
      </w:pPr>
      <w:r w:rsidRPr="002D28D0">
        <w:lastRenderedPageBreak/>
        <w:t xml:space="preserve">2. La recaudación de las contribuciones. </w:t>
      </w:r>
    </w:p>
    <w:p w14:paraId="2E9D5078" w14:textId="77777777" w:rsidR="00237402" w:rsidRPr="002D28D0" w:rsidRDefault="00237402" w:rsidP="00237402">
      <w:pPr>
        <w:pStyle w:val="Citas"/>
      </w:pPr>
      <w:r w:rsidRPr="002D28D0">
        <w:t xml:space="preserve">VI.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6424D360" w14:textId="77777777" w:rsidR="00237402" w:rsidRPr="002D28D0" w:rsidRDefault="00237402" w:rsidP="00237402">
      <w:pPr>
        <w:pStyle w:val="Citas"/>
      </w:pPr>
      <w:r w:rsidRPr="002D28D0">
        <w:t xml:space="preserve">VII. La que contengan las opiniones, recomendaciones o puntos de vista que formen parte del proceso deliberativo de los servidores públicos, hasta en tanto sea adoptada la decisión definitiva, la cual deberá estar documentada; </w:t>
      </w:r>
    </w:p>
    <w:p w14:paraId="73CDE429" w14:textId="77777777" w:rsidR="00237402" w:rsidRPr="002D28D0" w:rsidRDefault="00237402" w:rsidP="00237402">
      <w:pPr>
        <w:pStyle w:val="Citas"/>
      </w:pPr>
      <w:r w:rsidRPr="002D28D0">
        <w:t xml:space="preserve">VIII. Vulnere la conducción de los expedientes judiciales o de los procedimientos administrativos seguidos en forma de juicio, en tanto no hayan quedado firmes; </w:t>
      </w:r>
    </w:p>
    <w:p w14:paraId="3CB6F460" w14:textId="77777777" w:rsidR="00237402" w:rsidRPr="002D28D0" w:rsidRDefault="00237402" w:rsidP="00237402">
      <w:pPr>
        <w:pStyle w:val="Citas"/>
      </w:pPr>
      <w:r w:rsidRPr="002D28D0">
        <w:t xml:space="preserve">IX. Se encuentre contenida dentro de las investigaciones de hechos que la Ley señale como delitos y se tramiten ante el Ministerio Público; </w:t>
      </w:r>
    </w:p>
    <w:p w14:paraId="51C9EDE7" w14:textId="77777777" w:rsidR="00237402" w:rsidRPr="002D28D0" w:rsidRDefault="00237402" w:rsidP="00237402">
      <w:pPr>
        <w:pStyle w:val="Citas"/>
      </w:pPr>
      <w:r w:rsidRPr="002D28D0">
        <w:t xml:space="preserve">X.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4AB88764" w14:textId="77777777" w:rsidR="00237402" w:rsidRPr="002D28D0" w:rsidRDefault="00237402" w:rsidP="00237402">
      <w:pPr>
        <w:pStyle w:val="Citas"/>
      </w:pPr>
      <w:r w:rsidRPr="002D28D0">
        <w:t xml:space="preserve">Cuando se trate de información sobre estudios y proyectos cuya divulgación pueda causar daños al interés del Estado o suponga un riesgo para su realización, siempre </w:t>
      </w:r>
      <w:r w:rsidRPr="002D28D0">
        <w:lastRenderedPageBreak/>
        <w:t xml:space="preserve">que esté directamente relacionado con procesos o procedimientos administrativos o judiciales que no hayan quedado firmes; y </w:t>
      </w:r>
    </w:p>
    <w:p w14:paraId="242EE451" w14:textId="77777777" w:rsidR="00237402" w:rsidRPr="002D28D0" w:rsidRDefault="00237402" w:rsidP="00237402">
      <w:pPr>
        <w:pStyle w:val="Citas"/>
        <w:rPr>
          <w:b/>
          <w:sz w:val="24"/>
          <w:szCs w:val="24"/>
        </w:rPr>
      </w:pPr>
      <w:r w:rsidRPr="002D28D0">
        <w:rPr>
          <w:bCs/>
        </w:rPr>
        <w:t>XI. Las que por disposición expresa de una ley tengan tal carácter, siempre que sean acordes con las bases, principios y disposiciones establecidos en esta Ley y no la contravengan; así como las previstas en tratados internacionales.”</w:t>
      </w:r>
      <w:r w:rsidRPr="002D28D0">
        <w:rPr>
          <w:b/>
          <w:u w:val="single"/>
        </w:rPr>
        <w:t xml:space="preserve"> </w:t>
      </w:r>
      <w:r w:rsidRPr="002D28D0">
        <w:rPr>
          <w:b/>
        </w:rPr>
        <w:t>(Sic)</w:t>
      </w:r>
    </w:p>
    <w:p w14:paraId="064C8E17" w14:textId="41F3AB92" w:rsidR="00134D0E" w:rsidRPr="002D28D0" w:rsidRDefault="00134D0E" w:rsidP="00134D0E">
      <w:pPr>
        <w:spacing w:after="0" w:line="360" w:lineRule="auto"/>
        <w:jc w:val="both"/>
        <w:rPr>
          <w:rFonts w:ascii="Palatino Linotype" w:hAnsi="Palatino Linotype" w:cs="Arial"/>
          <w:color w:val="000000"/>
          <w:sz w:val="24"/>
          <w:lang w:val="es-ES_tradnl"/>
        </w:rPr>
      </w:pPr>
    </w:p>
    <w:p w14:paraId="518608F8" w14:textId="7B460849" w:rsidR="00615900" w:rsidRPr="002D28D0" w:rsidRDefault="00237402" w:rsidP="00134D0E">
      <w:pPr>
        <w:spacing w:after="0" w:line="360" w:lineRule="auto"/>
        <w:jc w:val="both"/>
        <w:rPr>
          <w:rFonts w:ascii="Palatino Linotype" w:hAnsi="Palatino Linotype"/>
          <w:sz w:val="24"/>
          <w:szCs w:val="24"/>
        </w:rPr>
      </w:pPr>
      <w:r w:rsidRPr="002D28D0">
        <w:rPr>
          <w:rFonts w:ascii="Palatino Linotype" w:hAnsi="Palatino Linotype"/>
          <w:sz w:val="24"/>
          <w:szCs w:val="24"/>
        </w:rPr>
        <w:t xml:space="preserve">Luego entonces, esta Ponencia </w:t>
      </w:r>
      <w:proofErr w:type="spellStart"/>
      <w:r w:rsidRPr="002D28D0">
        <w:rPr>
          <w:rFonts w:ascii="Palatino Linotype" w:hAnsi="Palatino Linotype"/>
          <w:sz w:val="24"/>
          <w:szCs w:val="24"/>
        </w:rPr>
        <w:t>Resolutora</w:t>
      </w:r>
      <w:proofErr w:type="spellEnd"/>
      <w:r w:rsidRPr="002D28D0">
        <w:rPr>
          <w:rFonts w:ascii="Palatino Linotype" w:hAnsi="Palatino Linotype"/>
          <w:sz w:val="24"/>
          <w:szCs w:val="24"/>
        </w:rPr>
        <w:t xml:space="preserve"> estima que la información requerida no es susceptible de actualizar la causal de procedencia de reserva de la información inmersa en el artículo 140, fracción V, numeral 1 de la Ley de Transparencia local, al tomar en </w:t>
      </w:r>
      <w:r w:rsidR="00615900" w:rsidRPr="002D28D0">
        <w:rPr>
          <w:rFonts w:ascii="Palatino Linotype" w:hAnsi="Palatino Linotype"/>
          <w:sz w:val="24"/>
          <w:szCs w:val="24"/>
        </w:rPr>
        <w:t>cuenta las siguientes consideraciones:</w:t>
      </w:r>
    </w:p>
    <w:p w14:paraId="2F4BC74C" w14:textId="37041BB7" w:rsidR="00D1282D" w:rsidRPr="002D28D0" w:rsidRDefault="00D1282D">
      <w:pPr>
        <w:pStyle w:val="Prrafodelista"/>
        <w:numPr>
          <w:ilvl w:val="0"/>
          <w:numId w:val="16"/>
        </w:numPr>
        <w:spacing w:line="360" w:lineRule="auto"/>
        <w:jc w:val="both"/>
        <w:rPr>
          <w:rFonts w:ascii="Palatino Linotype" w:hAnsi="Palatino Linotype"/>
        </w:rPr>
      </w:pPr>
      <w:r w:rsidRPr="002D28D0">
        <w:rPr>
          <w:rFonts w:ascii="Palatino Linotype" w:hAnsi="Palatino Linotype"/>
        </w:rPr>
        <w:t xml:space="preserve">Que las obligaciones de transparencia comunes se refieren a la </w:t>
      </w:r>
      <w:r w:rsidRPr="002D28D0">
        <w:rPr>
          <w:rFonts w:ascii="Palatino Linotype" w:hAnsi="Palatino Linotype"/>
          <w:b/>
          <w:bCs/>
          <w:u w:val="single"/>
        </w:rPr>
        <w:t>información mínima</w:t>
      </w:r>
      <w:r w:rsidRPr="002D28D0">
        <w:rPr>
          <w:rFonts w:ascii="Palatino Linotype" w:hAnsi="Palatino Linotype"/>
        </w:rPr>
        <w:t xml:space="preserve"> que los </w:t>
      </w:r>
      <w:r w:rsidRPr="002D28D0">
        <w:rPr>
          <w:rFonts w:ascii="Palatino Linotype" w:hAnsi="Palatino Linotype"/>
          <w:b/>
          <w:bCs/>
        </w:rPr>
        <w:t xml:space="preserve">Sujetos Obligados, </w:t>
      </w:r>
      <w:r w:rsidRPr="002D28D0">
        <w:rPr>
          <w:rFonts w:ascii="Palatino Linotype" w:hAnsi="Palatino Linotype"/>
        </w:rPr>
        <w:t xml:space="preserve">sin importar su naturaleza jurídica deben poner a disposición del público en los portales de internet respectivos. </w:t>
      </w:r>
    </w:p>
    <w:p w14:paraId="48B8CD42" w14:textId="129D156E" w:rsidR="00615900" w:rsidRPr="002D28D0" w:rsidRDefault="00615900">
      <w:pPr>
        <w:pStyle w:val="Prrafodelista"/>
        <w:numPr>
          <w:ilvl w:val="0"/>
          <w:numId w:val="16"/>
        </w:numPr>
        <w:spacing w:line="360" w:lineRule="auto"/>
        <w:jc w:val="both"/>
        <w:rPr>
          <w:rFonts w:ascii="Palatino Linotype" w:hAnsi="Palatino Linotype"/>
        </w:rPr>
      </w:pPr>
      <w:r w:rsidRPr="002D28D0">
        <w:rPr>
          <w:rFonts w:ascii="Palatino Linotype" w:hAnsi="Palatino Linotype"/>
        </w:rPr>
        <w:t xml:space="preserve">Que la información sobre procedimientos de adjudicación directa, invitación restringida y licitaciones, englobando los dictámenes, fallo de adjudicación, contratos y convenios modificatorios, constituyen una obligación de transparencia común, es decir, un registro público o fuente de acceso público. </w:t>
      </w:r>
    </w:p>
    <w:p w14:paraId="378D46ED" w14:textId="60100C6E" w:rsidR="00615900" w:rsidRPr="002D28D0" w:rsidRDefault="00D1282D">
      <w:pPr>
        <w:pStyle w:val="Prrafodelista"/>
        <w:numPr>
          <w:ilvl w:val="0"/>
          <w:numId w:val="16"/>
        </w:numPr>
        <w:spacing w:line="360" w:lineRule="auto"/>
        <w:jc w:val="both"/>
        <w:rPr>
          <w:rFonts w:ascii="Palatino Linotype" w:hAnsi="Palatino Linotype"/>
        </w:rPr>
      </w:pPr>
      <w:r w:rsidRPr="002D28D0">
        <w:rPr>
          <w:rFonts w:ascii="Palatino Linotype" w:hAnsi="Palatino Linotype"/>
        </w:rPr>
        <w:t xml:space="preserve">Que existe un fin constitucionalmente valido para conocer los datos respecto de </w:t>
      </w:r>
      <w:r w:rsidR="00711CCC" w:rsidRPr="002D28D0">
        <w:rPr>
          <w:rFonts w:ascii="Palatino Linotype" w:hAnsi="Palatino Linotype"/>
          <w:b/>
          <w:bCs/>
          <w:u w:val="single"/>
        </w:rPr>
        <w:t>quién</w:t>
      </w:r>
      <w:r w:rsidR="00711CCC" w:rsidRPr="002D28D0">
        <w:rPr>
          <w:rFonts w:ascii="Palatino Linotype" w:hAnsi="Palatino Linotype"/>
        </w:rPr>
        <w:t xml:space="preserve"> es la</w:t>
      </w:r>
      <w:r w:rsidRPr="002D28D0">
        <w:rPr>
          <w:rFonts w:ascii="Palatino Linotype" w:hAnsi="Palatino Linotype"/>
        </w:rPr>
        <w:t xml:space="preserve"> persona moral a la cual le fue concesionado el servicio público consistente en </w:t>
      </w:r>
      <w:proofErr w:type="spellStart"/>
      <w:r w:rsidRPr="002D28D0">
        <w:rPr>
          <w:rFonts w:ascii="Palatino Linotype" w:hAnsi="Palatino Linotype"/>
        </w:rPr>
        <w:t>estacionómetros</w:t>
      </w:r>
      <w:proofErr w:type="spellEnd"/>
      <w:r w:rsidRPr="002D28D0">
        <w:rPr>
          <w:rFonts w:ascii="Palatino Linotype" w:hAnsi="Palatino Linotype"/>
        </w:rPr>
        <w:t xml:space="preserve"> (parquímetros)</w:t>
      </w:r>
      <w:r w:rsidR="00711CCC" w:rsidRPr="002D28D0">
        <w:rPr>
          <w:rFonts w:ascii="Palatino Linotype" w:hAnsi="Palatino Linotype"/>
        </w:rPr>
        <w:t xml:space="preserve"> y </w:t>
      </w:r>
      <w:r w:rsidR="00711CCC" w:rsidRPr="002D28D0">
        <w:rPr>
          <w:rFonts w:ascii="Palatino Linotype" w:hAnsi="Palatino Linotype"/>
          <w:b/>
          <w:bCs/>
          <w:u w:val="single"/>
        </w:rPr>
        <w:t>por qué</w:t>
      </w:r>
      <w:r w:rsidR="00711CCC" w:rsidRPr="002D28D0">
        <w:rPr>
          <w:rFonts w:ascii="Palatino Linotype" w:hAnsi="Palatino Linotype"/>
        </w:rPr>
        <w:t xml:space="preserve"> le fue concesionado</w:t>
      </w:r>
      <w:r w:rsidR="006E34E4" w:rsidRPr="002D28D0">
        <w:rPr>
          <w:rFonts w:ascii="Palatino Linotype" w:hAnsi="Palatino Linotype"/>
        </w:rPr>
        <w:t xml:space="preserve">, al figurar como un proveedor que recibe recursos públicos y se encuentra sujeto a un robusto marco de obligaciones frente al Estado y la ciudadanía. </w:t>
      </w:r>
    </w:p>
    <w:p w14:paraId="43B899B7" w14:textId="3C8B5FE3" w:rsidR="006E34E4" w:rsidRPr="002D28D0" w:rsidRDefault="006E34E4">
      <w:pPr>
        <w:pStyle w:val="Prrafodelista"/>
        <w:numPr>
          <w:ilvl w:val="0"/>
          <w:numId w:val="16"/>
        </w:numPr>
        <w:spacing w:line="360" w:lineRule="auto"/>
        <w:jc w:val="both"/>
        <w:rPr>
          <w:rFonts w:ascii="Palatino Linotype" w:hAnsi="Palatino Linotype"/>
        </w:rPr>
      </w:pPr>
      <w:r w:rsidRPr="002D28D0">
        <w:rPr>
          <w:rFonts w:ascii="Palatino Linotype" w:hAnsi="Palatino Linotype"/>
        </w:rPr>
        <w:t xml:space="preserve">Que la información requerida no encuadra como declaraciones, datos suministrados por contribuyentes, facultades de comprobación o incluso como </w:t>
      </w:r>
      <w:r w:rsidRPr="002D28D0">
        <w:rPr>
          <w:rFonts w:ascii="Palatino Linotype" w:hAnsi="Palatino Linotype"/>
        </w:rPr>
        <w:lastRenderedPageBreak/>
        <w:t>un obstáculo para impedir actividades de fiscalización</w:t>
      </w:r>
      <w:r w:rsidR="00711CCC" w:rsidRPr="002D28D0">
        <w:rPr>
          <w:rFonts w:ascii="Palatino Linotype" w:hAnsi="Palatino Linotype"/>
        </w:rPr>
        <w:t>.</w:t>
      </w:r>
      <w:r w:rsidRPr="002D28D0">
        <w:rPr>
          <w:rFonts w:ascii="Palatino Linotype" w:hAnsi="Palatino Linotype"/>
        </w:rPr>
        <w:t xml:space="preserve"> </w:t>
      </w:r>
      <w:r w:rsidR="00711CCC" w:rsidRPr="002D28D0">
        <w:rPr>
          <w:rFonts w:ascii="Palatino Linotype" w:hAnsi="Palatino Linotype"/>
        </w:rPr>
        <w:t>P</w:t>
      </w:r>
      <w:r w:rsidRPr="002D28D0">
        <w:rPr>
          <w:rFonts w:ascii="Palatino Linotype" w:hAnsi="Palatino Linotype"/>
        </w:rPr>
        <w:t>or el contrario, propicia</w:t>
      </w:r>
      <w:r w:rsidR="00C00141" w:rsidRPr="002D28D0">
        <w:rPr>
          <w:rFonts w:ascii="Palatino Linotype" w:hAnsi="Palatino Linotype"/>
        </w:rPr>
        <w:t xml:space="preserve"> a</w:t>
      </w:r>
      <w:r w:rsidRPr="002D28D0">
        <w:rPr>
          <w:rFonts w:ascii="Palatino Linotype" w:hAnsi="Palatino Linotype"/>
        </w:rPr>
        <w:t xml:space="preserve"> la transparencia y rendición de cuentas</w:t>
      </w:r>
      <w:r w:rsidR="00C00141" w:rsidRPr="002D28D0">
        <w:rPr>
          <w:rFonts w:ascii="Palatino Linotype" w:hAnsi="Palatino Linotype"/>
        </w:rPr>
        <w:t>, en términos del numeral 92, fracciones XXIX</w:t>
      </w:r>
      <w:r w:rsidR="00711CCC" w:rsidRPr="002D28D0">
        <w:rPr>
          <w:rFonts w:ascii="Palatino Linotype" w:hAnsi="Palatino Linotype"/>
        </w:rPr>
        <w:t xml:space="preserve"> </w:t>
      </w:r>
      <w:r w:rsidR="00711CCC" w:rsidRPr="002D28D0">
        <w:rPr>
          <w:rFonts w:ascii="Palatino Linotype" w:hAnsi="Palatino Linotype"/>
          <w:b/>
          <w:bCs/>
        </w:rPr>
        <w:t>-adjudicación y licitaciones-</w:t>
      </w:r>
      <w:r w:rsidR="00C00141" w:rsidRPr="002D28D0">
        <w:rPr>
          <w:rFonts w:ascii="Palatino Linotype" w:hAnsi="Palatino Linotype"/>
        </w:rPr>
        <w:t>, XXXII</w:t>
      </w:r>
      <w:r w:rsidR="00711CCC" w:rsidRPr="002D28D0">
        <w:rPr>
          <w:rFonts w:ascii="Palatino Linotype" w:hAnsi="Palatino Linotype"/>
        </w:rPr>
        <w:t xml:space="preserve"> </w:t>
      </w:r>
      <w:r w:rsidR="00711CCC" w:rsidRPr="002D28D0">
        <w:rPr>
          <w:rFonts w:ascii="Palatino Linotype" w:hAnsi="Palatino Linotype"/>
          <w:b/>
          <w:bCs/>
        </w:rPr>
        <w:t>-concesiones, contratos, convenios, licencias-</w:t>
      </w:r>
      <w:r w:rsidR="00C00141" w:rsidRPr="002D28D0">
        <w:rPr>
          <w:rFonts w:ascii="Palatino Linotype" w:hAnsi="Palatino Linotype"/>
        </w:rPr>
        <w:t xml:space="preserve"> XXXVI</w:t>
      </w:r>
      <w:r w:rsidR="00711CCC" w:rsidRPr="002D28D0">
        <w:rPr>
          <w:rFonts w:ascii="Palatino Linotype" w:hAnsi="Palatino Linotype"/>
        </w:rPr>
        <w:t xml:space="preserve"> </w:t>
      </w:r>
      <w:r w:rsidR="00711CCC" w:rsidRPr="002D28D0">
        <w:rPr>
          <w:rFonts w:ascii="Palatino Linotype" w:hAnsi="Palatino Linotype"/>
          <w:b/>
          <w:bCs/>
        </w:rPr>
        <w:t>-padrón de proveedores y contratistas-</w:t>
      </w:r>
      <w:r w:rsidR="00C00141" w:rsidRPr="002D28D0">
        <w:rPr>
          <w:rFonts w:ascii="Palatino Linotype" w:hAnsi="Palatino Linotype"/>
        </w:rPr>
        <w:t xml:space="preserve"> </w:t>
      </w:r>
      <w:r w:rsidR="00711CCC" w:rsidRPr="002D28D0">
        <w:rPr>
          <w:rFonts w:ascii="Palatino Linotype" w:hAnsi="Palatino Linotype"/>
        </w:rPr>
        <w:t xml:space="preserve">XLVII </w:t>
      </w:r>
      <w:r w:rsidR="00711CCC" w:rsidRPr="002D28D0">
        <w:rPr>
          <w:rFonts w:ascii="Palatino Linotype" w:hAnsi="Palatino Linotype"/>
          <w:b/>
          <w:bCs/>
        </w:rPr>
        <w:t>-ingresos recibidos por cualquier concepto-</w:t>
      </w:r>
      <w:r w:rsidR="00711CCC" w:rsidRPr="002D28D0">
        <w:rPr>
          <w:rFonts w:ascii="Palatino Linotype" w:hAnsi="Palatino Linotype"/>
        </w:rPr>
        <w:t xml:space="preserve"> de la Ley de Transparencia local.</w:t>
      </w:r>
    </w:p>
    <w:p w14:paraId="466C9972" w14:textId="51A4DBEE" w:rsidR="006E34E4" w:rsidRPr="002D28D0" w:rsidRDefault="006E34E4">
      <w:pPr>
        <w:pStyle w:val="Prrafodelista"/>
        <w:numPr>
          <w:ilvl w:val="0"/>
          <w:numId w:val="16"/>
        </w:numPr>
        <w:spacing w:line="360" w:lineRule="auto"/>
        <w:jc w:val="both"/>
        <w:rPr>
          <w:rFonts w:ascii="Palatino Linotype" w:hAnsi="Palatino Linotype"/>
        </w:rPr>
      </w:pPr>
      <w:r w:rsidRPr="002D28D0">
        <w:rPr>
          <w:rFonts w:ascii="Palatino Linotype" w:hAnsi="Palatino Linotype"/>
        </w:rPr>
        <w:t xml:space="preserve"> Que de una interpretación sistemática a la corriente argumentativa </w:t>
      </w:r>
      <w:r w:rsidR="00C00141" w:rsidRPr="002D28D0">
        <w:rPr>
          <w:rFonts w:ascii="Palatino Linotype" w:hAnsi="Palatino Linotype"/>
        </w:rPr>
        <w:t xml:space="preserve">plasmada en el acuerdo del Comité de Transparencia no se advierte una conexión causal entre la hipótesis de reserva propuesta y la información requerida, en este sentido, la prueba de daño parte inicialmente de identificar la causal de reserva aplicable en el caso en concreto, destacando que ninguna de ellas encuadra a la hipótesis fáctica. </w:t>
      </w:r>
    </w:p>
    <w:p w14:paraId="7790C408" w14:textId="40A0FF91" w:rsidR="00C00141" w:rsidRPr="002D28D0" w:rsidRDefault="00C00141" w:rsidP="00C00141">
      <w:pPr>
        <w:spacing w:line="360" w:lineRule="auto"/>
        <w:jc w:val="both"/>
        <w:rPr>
          <w:rFonts w:ascii="Palatino Linotype" w:hAnsi="Palatino Linotype"/>
        </w:rPr>
      </w:pPr>
    </w:p>
    <w:p w14:paraId="10EDFD3F" w14:textId="77777777" w:rsidR="00C00141" w:rsidRPr="002D28D0" w:rsidRDefault="00C00141" w:rsidP="00C00141">
      <w:pPr>
        <w:spacing w:before="240" w:line="360" w:lineRule="auto"/>
        <w:jc w:val="both"/>
        <w:rPr>
          <w:rFonts w:ascii="Palatino Linotype" w:hAnsi="Palatino Linotype"/>
          <w:sz w:val="24"/>
          <w:szCs w:val="24"/>
        </w:rPr>
      </w:pPr>
      <w:r w:rsidRPr="002D28D0">
        <w:rPr>
          <w:rFonts w:ascii="Palatino Linotype" w:hAnsi="Palatino Linotype"/>
          <w:sz w:val="24"/>
          <w:szCs w:val="24"/>
        </w:rPr>
        <w:t xml:space="preserve">Bajo este contexto, para delimitar las fronteras conceptuales entre </w:t>
      </w:r>
      <w:r w:rsidRPr="002D28D0">
        <w:rPr>
          <w:rFonts w:ascii="Palatino Linotype" w:hAnsi="Palatino Linotype"/>
          <w:bCs/>
          <w:sz w:val="24"/>
          <w:szCs w:val="24"/>
        </w:rPr>
        <w:t>falta e</w:t>
      </w:r>
      <w:r w:rsidRPr="002D28D0">
        <w:rPr>
          <w:rFonts w:ascii="Palatino Linotype" w:hAnsi="Palatino Linotype"/>
          <w:b/>
          <w:bCs/>
          <w:sz w:val="24"/>
          <w:szCs w:val="24"/>
          <w:u w:val="single"/>
        </w:rPr>
        <w:t xml:space="preserve"> indebida fundamentación y motivación,</w:t>
      </w:r>
      <w:r w:rsidRPr="002D28D0">
        <w:rPr>
          <w:rFonts w:ascii="Palatino Linotype" w:hAnsi="Palatino Linotype"/>
          <w:sz w:val="24"/>
          <w:szCs w:val="24"/>
        </w:rPr>
        <w:t xml:space="preserve"> cobra particular relevancia la corriente que emana del Tercer Tribunal Colegiado en Materia Civil del Primer Circuito, a través de la jurisprudencia con número de registro digital </w:t>
      </w:r>
      <w:r w:rsidRPr="002D28D0">
        <w:rPr>
          <w:rFonts w:ascii="Palatino Linotype" w:hAnsi="Palatino Linotype"/>
          <w:b/>
          <w:sz w:val="24"/>
          <w:szCs w:val="24"/>
        </w:rPr>
        <w:t xml:space="preserve">170307 </w:t>
      </w:r>
      <w:r w:rsidRPr="002D28D0">
        <w:rPr>
          <w:rFonts w:ascii="Palatino Linotype" w:hAnsi="Palatino Linotype"/>
          <w:sz w:val="24"/>
          <w:szCs w:val="24"/>
        </w:rPr>
        <w:t>de la Novena Época, visible en el Semanario Judicial de la Federación y su Gaceta, Tomo XXVII, de febrero de 2008, tesis I.3o.C. J/47 en materia común, en la que establece lo siguiente:</w:t>
      </w:r>
    </w:p>
    <w:p w14:paraId="151902F3" w14:textId="77777777" w:rsidR="00C00141" w:rsidRPr="002D28D0" w:rsidRDefault="00C00141" w:rsidP="00C00141">
      <w:pPr>
        <w:pStyle w:val="Citas"/>
        <w:rPr>
          <w:b/>
        </w:rPr>
      </w:pPr>
      <w:r w:rsidRPr="002D28D0">
        <w:rPr>
          <w:b/>
        </w:rPr>
        <w:t>“FUNDAMENTACIÓN Y MOTIVACIÓN. LA DIFERENCIA ENTRE LA FALTA Y LA INDEBIDA SATISFACCIÓN DE AMBOS REQUISITOS CONSTITUCIONALES TRASCIENDE AL ORDEN EN QUE DEBEN ESTUDIARSE LOS CONCEPTOS DE VIOLACIÓN Y A LOS EFECTOS DEL FALLO PROTECTOR.</w:t>
      </w:r>
    </w:p>
    <w:p w14:paraId="7B92EC6E" w14:textId="77777777" w:rsidR="00C00141" w:rsidRPr="002D28D0" w:rsidRDefault="00C00141" w:rsidP="00C00141">
      <w:pPr>
        <w:pStyle w:val="Citas"/>
      </w:pPr>
      <w:r w:rsidRPr="002D28D0">
        <w:lastRenderedPageBreak/>
        <w:t>La falta de fundamentación y motivación es una violación formal diversa a la indebida o incorrecta fundamentación y motivación, que es una violación material o de fondo, siendo distintos los efectos que genera la existencia de una u otra, por lo que el estudio de aquella omisión debe hacerse de manera previa. En efecto, el artículo </w:t>
      </w:r>
      <w:hyperlink r:id="rId38" w:history="1">
        <w:r w:rsidRPr="002D28D0">
          <w:t>16 constitucional</w:t>
        </w:r>
      </w:hyperlink>
      <w:r w:rsidRPr="002D28D0">
        <w:t xml:space="preserve"> establece, en su primer párrafo, el imperativo para las autoridades de fundar y motivar sus actos que incidan en la esfera de los gobernados, pero la contravención al mandato constitucional que exige la expresión de ambas en los actos de autoridad puede revestir dos formas distintas, a saber: la derivada de su falta, y la correspondiente a su incorrección. Se produce la falta de fundamentación y motivación, cuando se omite expresar el dispositivo legal aplicable al asunto y las razones que se hayan considerado para estimar que el caso puede subsumirse en la hipótesis prevista en esa norma jurídica. En cambio, hay una indebida fundamentación cuando en el acto de autoridad sí se invoca el precepto legal, sin embargo, resulta inaplicable al asunto por las características específicas de éste que impiden su adecuación o encuadre en la hipótesis normativa; y una incorrecta motivación, en el supuesto en que sí se indican las razones que tiene en consideración la autoridad para emitir el acto, pero aquéllas están en disonancia con el contenido de la norma legal que se aplica en el caso. De manera que la falta de fundamentación y motivación significa la carencia o ausencia de tales requisitos, mientras que la indebida o incorrecta fundamentación y motivación entraña la presencia de ambos requisitos constitucionales, pero con un desajuste entre la aplicación de normas y los razonamientos formulados por la autoridad con el caso concreto. La diferencia apuntada permite advertir que en el primer supuesto se trata de una violación formal dado que el acto de autoridad carece de elementos ínsitos, connaturales, al mismo por virtud de un imperativo constitucional, por lo que, advertida su ausencia mediante la simple lectura del acto reclamado, procederá </w:t>
      </w:r>
      <w:r w:rsidRPr="002D28D0">
        <w:lastRenderedPageBreak/>
        <w:t>conceder el amparo solicitado; y en el segundo caso consiste en una violación material o de fondo porque se ha cumplido con la forma mediante la expresión de fundamentos y motivos, pero unos y otros son incorrectos, lo cual, por regla general, también dará lugar a un fallo protector, sin embargo, será menester un previo análisis del contenido del asunto para llegar a concluir la mencionada incorrección. Por virtud de esa nota distintiva, los efectos de la concesión del amparo, tratándose de una resolución jurisdiccional, son igualmente diversos en uno y otro caso, pues aunque existe un elemento común, o sea, que la autoridad deje insubsistente el acto inconstitucional, en el primer supuesto será para que subsane la irregularidad expresando la fundamentación y motivación antes ausente, y en el segundo para que aporte fundamentos y motivos diferentes a los que formuló previamente. La apuntada diferencia trasciende, igualmente, al orden en que se deberán estudiar los argumentos que hagan valer los quejosos, ya que si en un caso se advierte la carencia de los requisitos constitucionales de que se trata, es decir, una violación formal, se concederá el amparo para los efectos indicados, con exclusión del análisis de los motivos de disenso que, concurriendo con los atinentes al defecto, versen sobre la incorrección de ambos elementos inherentes al acto de autoridad; empero, si han sido satisfechos aquéllos, será factible el estudio de la indebida fundamentación y motivación, esto es, de la violación material o de fondo.</w:t>
      </w:r>
    </w:p>
    <w:p w14:paraId="4E853517" w14:textId="77777777" w:rsidR="00C00141" w:rsidRPr="002D28D0" w:rsidRDefault="00C00141" w:rsidP="00C00141">
      <w:pPr>
        <w:pStyle w:val="Citas"/>
      </w:pPr>
      <w:r w:rsidRPr="002D28D0">
        <w:t>TERCER TRIBUNAL COLEGIADO EN MATERIA CIVIL DEL PRIMER CIRCUITO.</w:t>
      </w:r>
    </w:p>
    <w:p w14:paraId="67529A61" w14:textId="77777777" w:rsidR="00C00141" w:rsidRPr="002D28D0" w:rsidRDefault="00C00141" w:rsidP="00C00141">
      <w:pPr>
        <w:pStyle w:val="Citas"/>
      </w:pPr>
      <w:r w:rsidRPr="002D28D0">
        <w:t xml:space="preserve">Amparo directo 551/2005. Jorge Luis </w:t>
      </w:r>
      <w:proofErr w:type="spellStart"/>
      <w:r w:rsidRPr="002D28D0">
        <w:t>Almaral</w:t>
      </w:r>
      <w:proofErr w:type="spellEnd"/>
      <w:r w:rsidRPr="002D28D0">
        <w:t xml:space="preserve"> </w:t>
      </w:r>
      <w:proofErr w:type="spellStart"/>
      <w:r w:rsidRPr="002D28D0">
        <w:t>Mendívil</w:t>
      </w:r>
      <w:proofErr w:type="spellEnd"/>
      <w:r w:rsidRPr="002D28D0">
        <w:t xml:space="preserve">. 20 de octubre de 2005. Unanimidad de votos. Ponente: Neófito López Ramos. Secretario: Raúl Alfaro </w:t>
      </w:r>
      <w:proofErr w:type="spellStart"/>
      <w:r w:rsidRPr="002D28D0">
        <w:t>Telpalo</w:t>
      </w:r>
      <w:proofErr w:type="spellEnd"/>
      <w:r w:rsidRPr="002D28D0">
        <w:t>.</w:t>
      </w:r>
    </w:p>
    <w:p w14:paraId="66F97213" w14:textId="77777777" w:rsidR="00C00141" w:rsidRPr="002D28D0" w:rsidRDefault="00C00141" w:rsidP="00C00141">
      <w:pPr>
        <w:pStyle w:val="Citas"/>
      </w:pPr>
      <w:r w:rsidRPr="002D28D0">
        <w:lastRenderedPageBreak/>
        <w:t xml:space="preserve">Amparo directo 66/2007. Juan Ramón Jaime Alcántara. 15 de febrero de 2007. Unanimidad de votos. Ponente: Neófito López Ramos. Secretario: Raúl Alfaro </w:t>
      </w:r>
      <w:proofErr w:type="spellStart"/>
      <w:r w:rsidRPr="002D28D0">
        <w:t>Telpalo</w:t>
      </w:r>
      <w:proofErr w:type="spellEnd"/>
      <w:r w:rsidRPr="002D28D0">
        <w:t>.</w:t>
      </w:r>
    </w:p>
    <w:p w14:paraId="0A9A1FE4" w14:textId="77777777" w:rsidR="00C00141" w:rsidRPr="002D28D0" w:rsidRDefault="00C00141" w:rsidP="00C00141">
      <w:pPr>
        <w:pStyle w:val="Citas"/>
      </w:pPr>
      <w:r w:rsidRPr="002D28D0">
        <w:t>Amparo directo 364/2007. Guadalupe Rodríguez Daniel. 6 de julio de 2007. Unanimidad de votos. Ponente: Neófito López Ramos. Secretaria: Greta Lozada Amezcua.</w:t>
      </w:r>
    </w:p>
    <w:p w14:paraId="55C63143" w14:textId="77777777" w:rsidR="00C00141" w:rsidRPr="002D28D0" w:rsidRDefault="00C00141" w:rsidP="00C00141">
      <w:pPr>
        <w:pStyle w:val="Citas"/>
      </w:pPr>
      <w:r w:rsidRPr="002D28D0">
        <w:t xml:space="preserve">Amparo directo 513/2007. Autofinanciamiento México, S.A. de C.V. 4 de octubre de 2007. Unanimidad de votos. Ponente: Neófito López Ramos. Secretario: Raúl Alfaro </w:t>
      </w:r>
      <w:proofErr w:type="spellStart"/>
      <w:r w:rsidRPr="002D28D0">
        <w:t>Telpalo</w:t>
      </w:r>
      <w:proofErr w:type="spellEnd"/>
      <w:r w:rsidRPr="002D28D0">
        <w:t>.</w:t>
      </w:r>
    </w:p>
    <w:p w14:paraId="2F5CC376" w14:textId="77777777" w:rsidR="00C00141" w:rsidRPr="002D28D0" w:rsidRDefault="00C00141" w:rsidP="00C00141">
      <w:pPr>
        <w:pStyle w:val="Citas"/>
        <w:rPr>
          <w:b/>
        </w:rPr>
      </w:pPr>
      <w:r w:rsidRPr="002D28D0">
        <w:t xml:space="preserve">Amparo directo 562/2007. Arenas y Gravas </w:t>
      </w:r>
      <w:proofErr w:type="spellStart"/>
      <w:r w:rsidRPr="002D28D0">
        <w:t>Xaltepec</w:t>
      </w:r>
      <w:proofErr w:type="spellEnd"/>
      <w:r w:rsidRPr="002D28D0">
        <w:t xml:space="preserve">, S.A. 11 de octubre de 2007. Unanimidad de votos. Ponente: Neófito López Ramos. Secretario: Raúl Alfaro </w:t>
      </w:r>
      <w:proofErr w:type="spellStart"/>
      <w:r w:rsidRPr="002D28D0">
        <w:t>Telpalo</w:t>
      </w:r>
      <w:proofErr w:type="spellEnd"/>
      <w:r w:rsidRPr="002D28D0">
        <w:t xml:space="preserve">.” </w:t>
      </w:r>
      <w:r w:rsidRPr="002D28D0">
        <w:rPr>
          <w:b/>
        </w:rPr>
        <w:t>(Sic)</w:t>
      </w:r>
    </w:p>
    <w:p w14:paraId="14C363D5" w14:textId="77777777" w:rsidR="00C00141" w:rsidRPr="002D28D0" w:rsidRDefault="00C00141" w:rsidP="00C00141">
      <w:pPr>
        <w:spacing w:after="0" w:line="360" w:lineRule="auto"/>
        <w:jc w:val="both"/>
        <w:rPr>
          <w:rFonts w:ascii="Palatino Linotype" w:hAnsi="Palatino Linotype" w:cs="Arial"/>
          <w:noProof/>
          <w:color w:val="000000"/>
          <w:sz w:val="24"/>
          <w:lang w:eastAsia="es-MX"/>
        </w:rPr>
      </w:pPr>
    </w:p>
    <w:p w14:paraId="26D98D51" w14:textId="2C79290A" w:rsidR="00C00141" w:rsidRPr="002D28D0" w:rsidRDefault="00C00141" w:rsidP="00C00141">
      <w:pPr>
        <w:spacing w:after="0" w:line="360" w:lineRule="auto"/>
        <w:jc w:val="both"/>
        <w:rPr>
          <w:rFonts w:ascii="Palatino Linotype" w:hAnsi="Palatino Linotype" w:cs="Arial"/>
          <w:sz w:val="24"/>
          <w:szCs w:val="24"/>
        </w:rPr>
      </w:pPr>
      <w:r w:rsidRPr="002D28D0">
        <w:rPr>
          <w:rFonts w:ascii="Palatino Linotype" w:hAnsi="Palatino Linotype" w:cs="Arial"/>
          <w:noProof/>
          <w:color w:val="000000"/>
          <w:sz w:val="24"/>
          <w:szCs w:val="24"/>
          <w:lang w:eastAsia="es-MX"/>
        </w:rPr>
        <w:t xml:space="preserve">Con base en lo anteriormente expuesto, se arriba a la conclusión de que el acuerdo de clasificación remitido no cumple con la pauta metodologica prevista en los </w:t>
      </w:r>
      <w:r w:rsidRPr="002D28D0">
        <w:rPr>
          <w:rFonts w:ascii="Palatino Linotype" w:hAnsi="Palatino Linotype" w:cs="Arial"/>
          <w:sz w:val="24"/>
          <w:szCs w:val="24"/>
        </w:rPr>
        <w:t xml:space="preserve">Lineamientos Generales en Materia de Clasificación y Desclasificación de la Información, así como para la Elaboración de Versiones Públicas, y demás normatividad aplicable, lo anterior al tomar en consideración que el acuerdo remitido refleja </w:t>
      </w:r>
      <w:r w:rsidRPr="002D28D0">
        <w:rPr>
          <w:rFonts w:ascii="Palatino Linotype" w:hAnsi="Palatino Linotype" w:cs="Arial"/>
          <w:b/>
          <w:bCs/>
          <w:sz w:val="24"/>
          <w:szCs w:val="24"/>
          <w:u w:val="single"/>
        </w:rPr>
        <w:t>indebida fundamentación y motivación.</w:t>
      </w:r>
      <w:r w:rsidRPr="002D28D0">
        <w:rPr>
          <w:rFonts w:ascii="Palatino Linotype" w:hAnsi="Palatino Linotype" w:cs="Arial"/>
          <w:sz w:val="24"/>
          <w:szCs w:val="24"/>
        </w:rPr>
        <w:t xml:space="preserve"> </w:t>
      </w:r>
    </w:p>
    <w:p w14:paraId="3F283016" w14:textId="03C99277" w:rsidR="00C00141" w:rsidRPr="002D28D0" w:rsidRDefault="00C00141" w:rsidP="00C00141">
      <w:pPr>
        <w:spacing w:after="0" w:line="360" w:lineRule="auto"/>
        <w:jc w:val="both"/>
        <w:rPr>
          <w:rFonts w:ascii="Palatino Linotype" w:hAnsi="Palatino Linotype" w:cs="Arial"/>
          <w:sz w:val="24"/>
          <w:szCs w:val="24"/>
        </w:rPr>
      </w:pPr>
    </w:p>
    <w:p w14:paraId="70768798" w14:textId="66FC8E9C" w:rsidR="00C00141" w:rsidRPr="002D28D0" w:rsidRDefault="00C00141" w:rsidP="00C00141">
      <w:pPr>
        <w:spacing w:after="240" w:line="360" w:lineRule="auto"/>
        <w:jc w:val="both"/>
        <w:rPr>
          <w:rFonts w:ascii="Palatino Linotype" w:hAnsi="Palatino Linotype" w:cs="Arial"/>
          <w:color w:val="000000"/>
          <w:sz w:val="24"/>
          <w:lang w:val="es-ES_tradnl"/>
        </w:rPr>
      </w:pPr>
      <w:r w:rsidRPr="002D28D0">
        <w:rPr>
          <w:rFonts w:ascii="Palatino Linotype" w:hAnsi="Palatino Linotype" w:cs="Arial"/>
          <w:color w:val="000000"/>
          <w:sz w:val="24"/>
          <w:lang w:val="es-ES_tradnl"/>
        </w:rPr>
        <w:t xml:space="preserve">Inconforme con la respuesta rendida por </w:t>
      </w:r>
      <w:r w:rsidRPr="002D28D0">
        <w:rPr>
          <w:rFonts w:ascii="Palatino Linotype" w:hAnsi="Palatino Linotype" w:cs="Arial"/>
          <w:b/>
          <w:bCs/>
          <w:color w:val="000000"/>
          <w:sz w:val="24"/>
          <w:lang w:val="es-ES_tradnl"/>
        </w:rPr>
        <w:t xml:space="preserve">El Sujeto Obligado, El Recurrente </w:t>
      </w:r>
      <w:r w:rsidRPr="002D28D0">
        <w:rPr>
          <w:rFonts w:ascii="Palatino Linotype" w:hAnsi="Palatino Linotype" w:cs="Arial"/>
          <w:color w:val="000000"/>
          <w:sz w:val="24"/>
          <w:lang w:val="es-ES_tradnl"/>
        </w:rPr>
        <w:t xml:space="preserve">interpuso recurso de revisión en fecha diecisiete de enero, admitiéndose el diecinueve de enero, ambos de dos mil veintitrés. Señalando como razones o motivos de inconformidad: </w:t>
      </w:r>
    </w:p>
    <w:p w14:paraId="4B702CDD" w14:textId="3E80823A" w:rsidR="00C00141" w:rsidRPr="002D28D0" w:rsidRDefault="00711CCC" w:rsidP="00711CCC">
      <w:pPr>
        <w:pStyle w:val="Citas"/>
        <w:rPr>
          <w:b/>
          <w:bCs/>
          <w:sz w:val="24"/>
          <w:lang w:val="es-ES_tradnl"/>
        </w:rPr>
      </w:pPr>
      <w:r w:rsidRPr="002D28D0">
        <w:lastRenderedPageBreak/>
        <w:t xml:space="preserve">“EN SU RESPUESTA LA COMISION DE TRANSPARENCIA LA CLASIFICA COMO INFORMACIÓN CONFIDENCIAL, SIN EMBARGO SE OBSERVA SU IMPRPCEDENCIA A LO SIGUIENTE: PRIMERO: El Artículo 37 DE LA LEY DE CONTRATACIÓN PÚBLICA ESTABLECE LO SIGUIENTE.- El comité de adquisiciones y servicios realizará el análisis y evaluación de las propuestas, mediante la verificación del cumplimiento de la información y de la documentación solicitada en las bases de la licitación y conforme al criterio establecidas en las mismas. Una vez efectuado el análisis cualitativo de las propuestas presentadas, emitirá el dictamen de adjudicación a favor del oferente u oferentes que reúnan los requisitos administrativos, financieros, legales y técnicos requeridos por la convocante; garantizando en todo momento la obtención de las mejores condiciones en cuanto a precio, calidad, financiamiento, oportunidad y demás circunstancias . SEGUNDO: EL ARTÍCULO 39 DE LA LEY EN COMENTO ESTABLECE QUE: Artículo 39.- Para cada uno de los actos del procedimiento adquisitivo se levantará el acta respectiva, la cual será firmada por los participantes, sin que la falta de firma de alguno de ellos invalide su contenido y efectos. </w:t>
      </w:r>
      <w:proofErr w:type="gramStart"/>
      <w:r w:rsidRPr="002D28D0">
        <w:t>pertinentes</w:t>
      </w:r>
      <w:proofErr w:type="gramEnd"/>
      <w:r w:rsidRPr="002D28D0">
        <w:t xml:space="preserve">. TERCERO: EL ARTÍCULO 85 DEL REGLAMENTO DE LA LEY DE CONTRATACIÓN PÚBLICA DEL ESTADO DE MÉXICO Y MUNICIPIOS ENUNCIA QUE: Al acto de presentación y apertura de propuestas, podrá asistir cualquier persona en calidad de observador sin tener derecho a voz y sólo las personas que hayan adquirido bases podrán participar de manera activa en dicho procedimiento. UNA VEZ EXPUESTO LA ANTERIOR SE SOLICITA LO SIGUIENTE: 1.- PROPORCIONAR EL EXPEDIENTE DEL PROCEDIMIENTO DE LICITACIÓN Y ADJUDICACION DE LA EMPRESA ENCARGADA DE PAQUIMETROS, ENTIENDACE POR EXPEDIENTO LO ENUNCIADO EN EL ARTÍCULO 67 DEL REGLAMENTO DE LA LEY DE CONTRATACIÓN </w:t>
      </w:r>
      <w:r w:rsidRPr="002D28D0">
        <w:lastRenderedPageBreak/>
        <w:t xml:space="preserve">PÚBLICA DEL ESTADO DE MÉXICO Y MUNICIPIOS; DICHO EXPEDIENTE SE INTEGRA POR: I. Publicación de la convocatoria; II. Venta de las bases de licitación; III. Visita, en su caso, al sitio donde se vayan a suministrar los bienes o a prestar los servicios; IV. Junta de aclaraciones, en su caso; V. Acto de presentación y apertura de propuestas; VI. Análisis y evaluación de propuestas; </w:t>
      </w:r>
      <w:proofErr w:type="spellStart"/>
      <w:r w:rsidRPr="002D28D0">
        <w:t>VII.Dictamen</w:t>
      </w:r>
      <w:proofErr w:type="spellEnd"/>
      <w:r w:rsidRPr="002D28D0">
        <w:t xml:space="preserve"> de adjudicación; VIII. Fallo; IX. Suscripción del contrato; y X. Suministro de los bienes o inicio de la prestación del servicio. ADEMAS DE LO ANTERIOR SE SOLICITA: - LA SOLICITUD DE ADQUISICIÓN EMITIDA POR EL ÁREA USUARIA. -ESTUDIO Y PRECIO DE MERCADO ELABORADO POR LA DIRECCIÓN GENERAL DE ADMINISTRACIÓN. - ACTA DE LA SESIÓN DE CABILDO EN DONDE SE AUTORIZA LA IMPLEMENTACIÓN DE PARQUIMETROS (EN DICHA ACTA DEBERA CONTENER LAS OBSERVACIONES EMITIDAS POR CADA UNO DE LOS EDILES, COMO SON: PRESIDENTE MUNICIPAL, SINDICOS Y REGIDORES. NO OMITO MENCIONAR QUE EN NINGUN MOMENTO SE REQUIRIO LA INFORMACIÓN DE LAS EMPRESAS CONCURSNTES, TODA VEZ QUE DICHA INFORMACION ES CONFIDENCIAL, SIN EMBARGO EL ACTO DE PRESENTACIÓN Y APERTURA DE PROPUESTAS SI LA PUEDEN PRESENTAR, TODA VEZ QUE LA MISMA NORMATIVIDAD ENUNCIA QUE EN DICHOS ACTOS DEBERAN SER GRAVADOS Y ARCHIVADOS EN MEDIOS MAGNETICO. EN CONSECUENCIA EL SUJETO OBLIGADO CUENTA CON LOS ELEMENTOS BASTOS Y NECESARIOS PARA PODER DAR CABAL CUMPLIMIENTO A DICHA SOLCITUD, SIN LA NECESIDAD DE CLASIFICARLOS COMO CONFIDENCIALES. POR TAL MOTIVO SE </w:t>
      </w:r>
      <w:r w:rsidRPr="002D28D0">
        <w:lastRenderedPageBreak/>
        <w:t xml:space="preserve">SOLICITA PROPORCIONAR UNICAMENTE LA INFORMACIÓN SOLICITADA.” </w:t>
      </w:r>
      <w:r w:rsidRPr="002D28D0">
        <w:rPr>
          <w:b/>
          <w:bCs/>
        </w:rPr>
        <w:t>(Sic)</w:t>
      </w:r>
    </w:p>
    <w:p w14:paraId="2EF20C7A" w14:textId="77777777" w:rsidR="00C00141" w:rsidRPr="002D28D0" w:rsidRDefault="00C00141" w:rsidP="00C00141">
      <w:pPr>
        <w:spacing w:after="240" w:line="360" w:lineRule="auto"/>
        <w:jc w:val="both"/>
        <w:rPr>
          <w:rFonts w:ascii="Palatino Linotype" w:hAnsi="Palatino Linotype" w:cs="Arial"/>
          <w:color w:val="000000"/>
          <w:sz w:val="24"/>
          <w:lang w:val="es-ES_tradnl"/>
        </w:rPr>
      </w:pPr>
    </w:p>
    <w:p w14:paraId="40EE3AA2" w14:textId="01318ED9" w:rsidR="003A4076" w:rsidRPr="002D28D0" w:rsidRDefault="003A4076" w:rsidP="003A4076">
      <w:pPr>
        <w:pStyle w:val="infoemcitas"/>
        <w:tabs>
          <w:tab w:val="left" w:pos="7655"/>
        </w:tabs>
        <w:ind w:left="0" w:right="0"/>
        <w:rPr>
          <w:rFonts w:cs="Arial"/>
          <w:i w:val="0"/>
          <w:noProof/>
          <w:color w:val="000000"/>
          <w:sz w:val="24"/>
          <w:lang w:eastAsia="es-MX"/>
        </w:rPr>
      </w:pPr>
      <w:r w:rsidRPr="002D28D0">
        <w:rPr>
          <w:i w:val="0"/>
          <w:sz w:val="24"/>
          <w:szCs w:val="24"/>
        </w:rPr>
        <w:t xml:space="preserve">Así las cosas, hasta aquí lo expuesto, resulta inconcuso que </w:t>
      </w:r>
      <w:r w:rsidRPr="002D28D0">
        <w:rPr>
          <w:b/>
          <w:i w:val="0"/>
          <w:sz w:val="24"/>
          <w:szCs w:val="24"/>
        </w:rPr>
        <w:t xml:space="preserve">El Sujeto Obligado </w:t>
      </w:r>
      <w:r w:rsidRPr="002D28D0">
        <w:rPr>
          <w:rFonts w:cs="Arial"/>
          <w:i w:val="0"/>
          <w:noProof/>
          <w:color w:val="000000"/>
          <w:sz w:val="24"/>
          <w:lang w:eastAsia="es-MX"/>
        </w:rPr>
        <w:t xml:space="preserve">no satisfizo el derecho de acceso a la información pública ejercido por </w:t>
      </w:r>
      <w:r w:rsidRPr="002D28D0">
        <w:rPr>
          <w:rFonts w:cs="Arial"/>
          <w:b/>
          <w:i w:val="0"/>
          <w:noProof/>
          <w:color w:val="000000"/>
          <w:sz w:val="24"/>
          <w:lang w:eastAsia="es-MX"/>
        </w:rPr>
        <w:t xml:space="preserve">El Recurrente, </w:t>
      </w:r>
      <w:r w:rsidRPr="002D28D0">
        <w:rPr>
          <w:rFonts w:cs="Arial"/>
          <w:i w:val="0"/>
          <w:noProof/>
          <w:color w:val="000000"/>
          <w:sz w:val="24"/>
          <w:lang w:eastAsia="es-MX"/>
        </w:rPr>
        <w:t xml:space="preserve">al tenerse por actualizadas las hipotesis normativas previstas en el artículo 179, fracciones I y </w:t>
      </w:r>
      <w:r w:rsidR="00711CCC" w:rsidRPr="002D28D0">
        <w:rPr>
          <w:rFonts w:cs="Arial"/>
          <w:i w:val="0"/>
          <w:noProof/>
          <w:color w:val="000000"/>
          <w:sz w:val="24"/>
          <w:lang w:eastAsia="es-MX"/>
        </w:rPr>
        <w:t>II</w:t>
      </w:r>
      <w:r w:rsidRPr="002D28D0">
        <w:rPr>
          <w:rFonts w:cs="Arial"/>
          <w:i w:val="0"/>
          <w:noProof/>
          <w:color w:val="000000"/>
          <w:sz w:val="24"/>
          <w:lang w:eastAsia="es-MX"/>
        </w:rPr>
        <w:t xml:space="preserve"> de la Ley de Transparencia y Acceso a la Información Pública del Estado de Mexico y Municipios, cuyo contenido literal es el siguiente: </w:t>
      </w:r>
    </w:p>
    <w:p w14:paraId="0E4C3325" w14:textId="77777777" w:rsidR="003A4076" w:rsidRPr="002D28D0" w:rsidRDefault="003A4076" w:rsidP="003A4076">
      <w:pPr>
        <w:pStyle w:val="Citas"/>
      </w:pPr>
      <w:r w:rsidRPr="002D28D0">
        <w:t xml:space="preserve"> “Artículo 179. El recurso de revisión es un medio de protección que la Ley otorga a los particulares, para hacer valer su derecho de acceso a la información pública, y procederá en contra de las siguientes causas:</w:t>
      </w:r>
    </w:p>
    <w:p w14:paraId="1C52CCAA" w14:textId="77777777" w:rsidR="003A4076" w:rsidRPr="002D28D0" w:rsidRDefault="003A4076" w:rsidP="003A4076">
      <w:pPr>
        <w:pStyle w:val="Citas"/>
      </w:pPr>
      <w:r w:rsidRPr="002D28D0">
        <w:t>I. La negativa a la información solicitada;</w:t>
      </w:r>
    </w:p>
    <w:p w14:paraId="3506AB8C" w14:textId="10ABDCD4" w:rsidR="003A4076" w:rsidRPr="002D28D0" w:rsidRDefault="00711CCC" w:rsidP="003A4076">
      <w:pPr>
        <w:pStyle w:val="Citas"/>
        <w:rPr>
          <w:b/>
          <w:bCs/>
          <w:u w:val="single"/>
        </w:rPr>
      </w:pPr>
      <w:r w:rsidRPr="002D28D0">
        <w:rPr>
          <w:b/>
          <w:bCs/>
          <w:u w:val="single"/>
        </w:rPr>
        <w:t>II. La clasificación de la información;</w:t>
      </w:r>
      <w:r w:rsidR="003A4076" w:rsidRPr="002D28D0">
        <w:rPr>
          <w:b/>
          <w:bCs/>
          <w:u w:val="single"/>
        </w:rPr>
        <w:t xml:space="preserve"> </w:t>
      </w:r>
    </w:p>
    <w:p w14:paraId="5BEFE370" w14:textId="77777777" w:rsidR="003A4076" w:rsidRPr="002D28D0" w:rsidRDefault="003A4076" w:rsidP="003A4076">
      <w:pPr>
        <w:pStyle w:val="Citas"/>
        <w:rPr>
          <w:b/>
          <w:bCs/>
          <w:noProof/>
          <w:color w:val="000000"/>
          <w:sz w:val="24"/>
          <w:lang w:eastAsia="es-MX"/>
        </w:rPr>
      </w:pPr>
      <w:r w:rsidRPr="002D28D0">
        <w:rPr>
          <w:noProof/>
          <w:color w:val="000000"/>
          <w:sz w:val="24"/>
          <w:lang w:eastAsia="es-MX"/>
        </w:rPr>
        <w:t xml:space="preserve">(…)” </w:t>
      </w:r>
      <w:r w:rsidRPr="002D28D0">
        <w:rPr>
          <w:b/>
          <w:bCs/>
          <w:noProof/>
          <w:color w:val="000000"/>
          <w:sz w:val="24"/>
          <w:lang w:eastAsia="es-MX"/>
        </w:rPr>
        <w:t>[Sic]</w:t>
      </w:r>
    </w:p>
    <w:p w14:paraId="218092C0" w14:textId="5C8A96EE" w:rsidR="00E46639" w:rsidRPr="002D28D0" w:rsidRDefault="00E46639" w:rsidP="00BB1C32">
      <w:pPr>
        <w:spacing w:after="0" w:line="360" w:lineRule="auto"/>
        <w:jc w:val="both"/>
        <w:rPr>
          <w:rFonts w:ascii="Palatino Linotype" w:hAnsi="Palatino Linotype" w:cs="Arial"/>
          <w:color w:val="000000"/>
          <w:sz w:val="24"/>
          <w:lang w:val="es-ES_tradnl"/>
        </w:rPr>
      </w:pPr>
    </w:p>
    <w:p w14:paraId="2A768061" w14:textId="7EF1E658" w:rsidR="00D51541" w:rsidRPr="002D28D0" w:rsidRDefault="003A4076" w:rsidP="003A4076">
      <w:pPr>
        <w:pStyle w:val="Citas"/>
        <w:ind w:left="0" w:right="0"/>
        <w:rPr>
          <w:i w:val="0"/>
          <w:sz w:val="24"/>
          <w:szCs w:val="24"/>
        </w:rPr>
      </w:pPr>
      <w:r w:rsidRPr="002D28D0">
        <w:rPr>
          <w:i w:val="0"/>
          <w:sz w:val="24"/>
          <w:szCs w:val="24"/>
        </w:rPr>
        <w:t xml:space="preserve">Por otra parte, como fue referido en el antecedente quinto, </w:t>
      </w:r>
      <w:r w:rsidR="00D51541" w:rsidRPr="002D28D0">
        <w:rPr>
          <w:b/>
          <w:bCs/>
          <w:i w:val="0"/>
          <w:sz w:val="24"/>
          <w:szCs w:val="24"/>
        </w:rPr>
        <w:t xml:space="preserve">El Recurrente </w:t>
      </w:r>
      <w:r w:rsidR="00D51541" w:rsidRPr="002D28D0">
        <w:rPr>
          <w:i w:val="0"/>
          <w:sz w:val="24"/>
          <w:szCs w:val="24"/>
        </w:rPr>
        <w:t>rindió las manifestaciones y alegatos estimados pertinentes, adjuntando para tal efecto lo siguiente:</w:t>
      </w:r>
    </w:p>
    <w:p w14:paraId="211ECA63" w14:textId="606683F7" w:rsidR="00D51541" w:rsidRPr="002D28D0" w:rsidRDefault="00D51541">
      <w:pPr>
        <w:pStyle w:val="Citas"/>
        <w:numPr>
          <w:ilvl w:val="0"/>
          <w:numId w:val="18"/>
        </w:numPr>
        <w:ind w:right="0"/>
        <w:rPr>
          <w:b/>
          <w:bCs/>
          <w:i w:val="0"/>
          <w:sz w:val="24"/>
          <w:szCs w:val="24"/>
        </w:rPr>
      </w:pPr>
      <w:r w:rsidRPr="002D28D0">
        <w:rPr>
          <w:b/>
          <w:bCs/>
          <w:i w:val="0"/>
          <w:sz w:val="24"/>
          <w:szCs w:val="24"/>
        </w:rPr>
        <w:t xml:space="preserve">“argumentos.docx”: </w:t>
      </w:r>
      <w:r w:rsidRPr="002D28D0">
        <w:rPr>
          <w:i w:val="0"/>
          <w:sz w:val="24"/>
          <w:szCs w:val="24"/>
        </w:rPr>
        <w:t xml:space="preserve">Escrito libre consistente en </w:t>
      </w:r>
      <w:r w:rsidRPr="002D28D0">
        <w:rPr>
          <w:b/>
          <w:bCs/>
          <w:i w:val="0"/>
          <w:sz w:val="24"/>
          <w:szCs w:val="24"/>
        </w:rPr>
        <w:t xml:space="preserve">2 -dos- </w:t>
      </w:r>
      <w:r w:rsidRPr="002D28D0">
        <w:rPr>
          <w:i w:val="0"/>
          <w:sz w:val="24"/>
          <w:szCs w:val="24"/>
        </w:rPr>
        <w:t xml:space="preserve">fojas, encauzado a combatir la clasificación de la información, refleja diversos preceptos de la ley de contratación pública y demás normatividad aplicable. </w:t>
      </w:r>
    </w:p>
    <w:p w14:paraId="3D7307A4" w14:textId="51FC9E41" w:rsidR="00E33834" w:rsidRPr="002D28D0" w:rsidRDefault="00D51541" w:rsidP="003A4076">
      <w:pPr>
        <w:pStyle w:val="Citas"/>
        <w:ind w:left="0" w:right="0"/>
        <w:rPr>
          <w:i w:val="0"/>
          <w:sz w:val="24"/>
          <w:szCs w:val="24"/>
        </w:rPr>
      </w:pPr>
      <w:r w:rsidRPr="002D28D0">
        <w:rPr>
          <w:i w:val="0"/>
          <w:sz w:val="24"/>
          <w:szCs w:val="24"/>
        </w:rPr>
        <w:lastRenderedPageBreak/>
        <w:t xml:space="preserve">En contraste, </w:t>
      </w:r>
      <w:r w:rsidR="003A4076" w:rsidRPr="002D28D0">
        <w:rPr>
          <w:b/>
          <w:i w:val="0"/>
          <w:sz w:val="24"/>
          <w:szCs w:val="24"/>
        </w:rPr>
        <w:t xml:space="preserve">El Sujeto Obligado </w:t>
      </w:r>
      <w:r w:rsidR="003A4076" w:rsidRPr="002D28D0">
        <w:rPr>
          <w:i w:val="0"/>
          <w:sz w:val="24"/>
          <w:szCs w:val="24"/>
        </w:rPr>
        <w:t xml:space="preserve">rindió su informe justificado en fecha </w:t>
      </w:r>
      <w:r w:rsidR="00E33834" w:rsidRPr="002D28D0">
        <w:rPr>
          <w:i w:val="0"/>
          <w:sz w:val="24"/>
          <w:szCs w:val="24"/>
        </w:rPr>
        <w:t>treinta de enero de dos mil veintitrés, en los siguientes términos:</w:t>
      </w:r>
    </w:p>
    <w:p w14:paraId="66E83573" w14:textId="1F229959" w:rsidR="00E33834" w:rsidRPr="002D28D0" w:rsidRDefault="00E33834">
      <w:pPr>
        <w:pStyle w:val="Citas"/>
        <w:numPr>
          <w:ilvl w:val="0"/>
          <w:numId w:val="17"/>
        </w:numPr>
        <w:ind w:right="0"/>
        <w:rPr>
          <w:b/>
          <w:bCs/>
          <w:i w:val="0"/>
          <w:sz w:val="24"/>
          <w:szCs w:val="24"/>
        </w:rPr>
      </w:pPr>
      <w:r w:rsidRPr="002D28D0">
        <w:rPr>
          <w:b/>
          <w:bCs/>
          <w:i w:val="0"/>
          <w:sz w:val="24"/>
          <w:szCs w:val="24"/>
        </w:rPr>
        <w:t xml:space="preserve">“RR 00310_23.pdf”: </w:t>
      </w:r>
      <w:r w:rsidRPr="002D28D0">
        <w:rPr>
          <w:i w:val="0"/>
          <w:sz w:val="24"/>
          <w:szCs w:val="24"/>
        </w:rPr>
        <w:t xml:space="preserve">Oficio número </w:t>
      </w:r>
      <w:r w:rsidRPr="002D28D0">
        <w:rPr>
          <w:b/>
          <w:bCs/>
          <w:i w:val="0"/>
          <w:sz w:val="24"/>
          <w:szCs w:val="24"/>
        </w:rPr>
        <w:t xml:space="preserve">2010A40000/UT/RR/0114/2023 </w:t>
      </w:r>
      <w:r w:rsidRPr="002D28D0">
        <w:rPr>
          <w:i w:val="0"/>
          <w:sz w:val="24"/>
          <w:szCs w:val="24"/>
        </w:rPr>
        <w:t xml:space="preserve">signado por la Titular de la Unidad de Transparencia y dirigido al Comisionado Ponente, de fecha treinta de enero de dos mil veintitrés, </w:t>
      </w:r>
      <w:r w:rsidR="00776651" w:rsidRPr="002D28D0">
        <w:rPr>
          <w:i w:val="0"/>
          <w:sz w:val="24"/>
          <w:szCs w:val="24"/>
        </w:rPr>
        <w:t xml:space="preserve">con relación a la clasificación del expediente </w:t>
      </w:r>
      <w:r w:rsidR="00776651" w:rsidRPr="002D28D0">
        <w:rPr>
          <w:b/>
          <w:bCs/>
          <w:i w:val="0"/>
          <w:sz w:val="24"/>
          <w:szCs w:val="24"/>
        </w:rPr>
        <w:t xml:space="preserve">HAT/CAYS/AD-SER-030/RP/2022 </w:t>
      </w:r>
      <w:r w:rsidR="00776651" w:rsidRPr="002D28D0">
        <w:rPr>
          <w:i w:val="0"/>
          <w:sz w:val="24"/>
          <w:szCs w:val="24"/>
        </w:rPr>
        <w:t xml:space="preserve">ratifica la reserva de la información. </w:t>
      </w:r>
    </w:p>
    <w:p w14:paraId="0D61B0DE" w14:textId="2D428FDB" w:rsidR="00776651" w:rsidRPr="002D28D0" w:rsidRDefault="00776651" w:rsidP="00776651">
      <w:pPr>
        <w:pStyle w:val="Citas"/>
        <w:ind w:left="720" w:right="0"/>
        <w:rPr>
          <w:i w:val="0"/>
          <w:sz w:val="24"/>
          <w:szCs w:val="24"/>
        </w:rPr>
      </w:pPr>
      <w:r w:rsidRPr="002D28D0">
        <w:rPr>
          <w:i w:val="0"/>
          <w:sz w:val="24"/>
          <w:szCs w:val="24"/>
        </w:rPr>
        <w:t xml:space="preserve">En alusión a los requerimientos </w:t>
      </w:r>
      <w:r w:rsidRPr="002D28D0">
        <w:rPr>
          <w:b/>
          <w:bCs/>
          <w:i w:val="0"/>
          <w:sz w:val="24"/>
          <w:szCs w:val="24"/>
        </w:rPr>
        <w:t xml:space="preserve">3 -tres- (acta de cabildo en donde se aprueba uso de parquímetros digitales) </w:t>
      </w:r>
      <w:r w:rsidRPr="002D28D0">
        <w:rPr>
          <w:i w:val="0"/>
          <w:sz w:val="24"/>
          <w:szCs w:val="24"/>
        </w:rPr>
        <w:t xml:space="preserve">y </w:t>
      </w:r>
      <w:r w:rsidRPr="002D28D0">
        <w:rPr>
          <w:b/>
          <w:bCs/>
          <w:i w:val="0"/>
          <w:sz w:val="24"/>
          <w:szCs w:val="24"/>
        </w:rPr>
        <w:t xml:space="preserve">4 -cuatro- (documentos que amparan mesas de trabajo previa a la implementación de parquímetros digitales) </w:t>
      </w:r>
      <w:r w:rsidRPr="002D28D0">
        <w:rPr>
          <w:i w:val="0"/>
          <w:sz w:val="24"/>
          <w:szCs w:val="24"/>
        </w:rPr>
        <w:t xml:space="preserve">refiere hechos negativos. </w:t>
      </w:r>
    </w:p>
    <w:p w14:paraId="6B700641" w14:textId="1C039593" w:rsidR="00E33834" w:rsidRPr="002D28D0" w:rsidRDefault="00E33834" w:rsidP="003A4076">
      <w:pPr>
        <w:pStyle w:val="Citas"/>
        <w:ind w:left="0" w:right="0"/>
        <w:rPr>
          <w:i w:val="0"/>
          <w:sz w:val="24"/>
          <w:szCs w:val="24"/>
        </w:rPr>
      </w:pPr>
    </w:p>
    <w:p w14:paraId="22DCF26A" w14:textId="691EC42A" w:rsidR="00D035AE" w:rsidRPr="002D28D0" w:rsidRDefault="00A63C00" w:rsidP="00D035AE">
      <w:pPr>
        <w:pStyle w:val="Citas"/>
        <w:ind w:left="0" w:right="0"/>
        <w:rPr>
          <w:rFonts w:ascii="Arial" w:hAnsi="Arial"/>
          <w:i w:val="0"/>
          <w:iCs/>
          <w:color w:val="222222"/>
          <w:sz w:val="24"/>
          <w:szCs w:val="24"/>
          <w:lang w:eastAsia="es-MX"/>
        </w:rPr>
      </w:pPr>
      <w:r w:rsidRPr="002D28D0">
        <w:rPr>
          <w:i w:val="0"/>
          <w:sz w:val="24"/>
          <w:szCs w:val="24"/>
        </w:rPr>
        <w:t xml:space="preserve">En virtud de lo anterior, con relación a los requerimientos </w:t>
      </w:r>
      <w:r w:rsidRPr="002D28D0">
        <w:rPr>
          <w:b/>
          <w:bCs/>
          <w:i w:val="0"/>
          <w:sz w:val="24"/>
          <w:szCs w:val="24"/>
        </w:rPr>
        <w:t xml:space="preserve">3 -tres- </w:t>
      </w:r>
      <w:r w:rsidRPr="002D28D0">
        <w:rPr>
          <w:i w:val="0"/>
          <w:sz w:val="24"/>
          <w:szCs w:val="24"/>
        </w:rPr>
        <w:t xml:space="preserve">y </w:t>
      </w:r>
      <w:r w:rsidRPr="002D28D0">
        <w:rPr>
          <w:b/>
          <w:bCs/>
          <w:i w:val="0"/>
          <w:sz w:val="24"/>
          <w:szCs w:val="24"/>
        </w:rPr>
        <w:t>4 -cuatro-</w:t>
      </w:r>
      <w:r w:rsidR="00D035AE" w:rsidRPr="002D28D0">
        <w:rPr>
          <w:b/>
          <w:bCs/>
          <w:i w:val="0"/>
          <w:sz w:val="24"/>
          <w:szCs w:val="24"/>
        </w:rPr>
        <w:t xml:space="preserve">, </w:t>
      </w:r>
      <w:r w:rsidR="00D035AE" w:rsidRPr="002D28D0">
        <w:rPr>
          <w:i w:val="0"/>
          <w:iCs/>
          <w:sz w:val="24"/>
          <w:szCs w:val="24"/>
        </w:rPr>
        <w:t>el Pleno del Órgano Garante local ha sostenido que, ante la presencia de un hecho negativo, resultaría innecesaria una declaratoria de inexistencia en términos de 19, 169 y 170 de la Ley de Transparencia y Acceso a la Información Pública del Estado de México y Municipios, y ante un hecho negativo resulta aplicable la siguiente tesis</w:t>
      </w:r>
      <w:r w:rsidR="00D035AE" w:rsidRPr="002D28D0">
        <w:rPr>
          <w:i w:val="0"/>
          <w:iCs/>
          <w:color w:val="222222"/>
          <w:sz w:val="24"/>
          <w:szCs w:val="24"/>
        </w:rPr>
        <w:t>:</w:t>
      </w:r>
    </w:p>
    <w:p w14:paraId="114C9F15" w14:textId="77777777" w:rsidR="00D035AE" w:rsidRPr="002D28D0" w:rsidRDefault="00D035AE" w:rsidP="00D035AE">
      <w:pPr>
        <w:pStyle w:val="Prrafodelista"/>
        <w:spacing w:before="240" w:line="360" w:lineRule="auto"/>
        <w:ind w:left="720" w:right="851"/>
        <w:jc w:val="both"/>
        <w:rPr>
          <w:rFonts w:ascii="Arial" w:hAnsi="Arial" w:cs="Arial"/>
          <w:color w:val="222222"/>
        </w:rPr>
      </w:pPr>
      <w:r w:rsidRPr="002D28D0">
        <w:rPr>
          <w:rFonts w:ascii="Palatino Linotype" w:hAnsi="Palatino Linotype" w:cs="Arial"/>
          <w:color w:val="222222"/>
        </w:rPr>
        <w:t> </w:t>
      </w:r>
      <w:r w:rsidRPr="002D28D0">
        <w:rPr>
          <w:rFonts w:ascii="Palatino Linotype" w:hAnsi="Palatino Linotype" w:cs="Arial"/>
          <w:b/>
          <w:bCs/>
          <w:i/>
          <w:iCs/>
          <w:color w:val="222222"/>
        </w:rPr>
        <w:t>“HECHOS NEGATIVOS, NO SON SUSCEPTIBLES DE DEMOSTRACION.</w:t>
      </w:r>
    </w:p>
    <w:p w14:paraId="437FA28C" w14:textId="77777777" w:rsidR="00D035AE" w:rsidRPr="002D28D0" w:rsidRDefault="00D035AE" w:rsidP="00D035AE">
      <w:pPr>
        <w:pStyle w:val="Prrafodelista"/>
        <w:spacing w:before="240" w:line="360" w:lineRule="auto"/>
        <w:ind w:left="720" w:right="851"/>
        <w:jc w:val="both"/>
        <w:rPr>
          <w:rFonts w:ascii="Palatino Linotype" w:hAnsi="Palatino Linotype" w:cs="Arial"/>
          <w:i/>
          <w:iCs/>
          <w:color w:val="222222"/>
        </w:rPr>
      </w:pPr>
      <w:r w:rsidRPr="002D28D0">
        <w:rPr>
          <w:rFonts w:ascii="Palatino Linotype" w:hAnsi="Palatino Linotype" w:cs="Arial"/>
          <w:i/>
          <w:iCs/>
          <w:color w:val="222222"/>
        </w:rPr>
        <w:lastRenderedPageBreak/>
        <w:t xml:space="preserve">Tratándose de un hecho negativo, el Juez no tiene por qué invocar prueba alguna de la que se desprenda, ya que es bien sabido que esta clase de hechos no son susceptibles de demostración.” </w:t>
      </w:r>
      <w:r w:rsidRPr="002D28D0">
        <w:rPr>
          <w:rFonts w:ascii="Palatino Linotype" w:hAnsi="Palatino Linotype" w:cs="Arial"/>
          <w:b/>
          <w:i/>
          <w:iCs/>
          <w:color w:val="222222"/>
        </w:rPr>
        <w:t>[Sic]</w:t>
      </w:r>
    </w:p>
    <w:p w14:paraId="5EE5AFC7" w14:textId="5C586802" w:rsidR="003A4076" w:rsidRPr="002D28D0" w:rsidRDefault="003A4076" w:rsidP="003A4076">
      <w:pPr>
        <w:pStyle w:val="Citas"/>
        <w:ind w:left="0" w:right="0"/>
        <w:rPr>
          <w:i w:val="0"/>
          <w:sz w:val="24"/>
          <w:szCs w:val="24"/>
        </w:rPr>
      </w:pPr>
    </w:p>
    <w:p w14:paraId="469AEC05" w14:textId="2EA42A47" w:rsidR="00D035AE" w:rsidRPr="002D28D0" w:rsidRDefault="00D035AE" w:rsidP="003A4076">
      <w:pPr>
        <w:pStyle w:val="Citas"/>
        <w:ind w:left="0" w:right="0"/>
        <w:rPr>
          <w:i w:val="0"/>
          <w:sz w:val="24"/>
          <w:szCs w:val="24"/>
        </w:rPr>
      </w:pPr>
      <w:r w:rsidRPr="002D28D0">
        <w:rPr>
          <w:i w:val="0"/>
          <w:sz w:val="24"/>
          <w:szCs w:val="24"/>
        </w:rPr>
        <w:t xml:space="preserve">En contraste, con relación a los requerimientos </w:t>
      </w:r>
      <w:r w:rsidRPr="002D28D0">
        <w:rPr>
          <w:b/>
          <w:bCs/>
          <w:i w:val="0"/>
          <w:sz w:val="24"/>
          <w:szCs w:val="24"/>
        </w:rPr>
        <w:t xml:space="preserve">1 -uno- </w:t>
      </w:r>
      <w:r w:rsidRPr="002D28D0">
        <w:rPr>
          <w:i w:val="0"/>
          <w:sz w:val="24"/>
          <w:szCs w:val="24"/>
        </w:rPr>
        <w:t xml:space="preserve">y </w:t>
      </w:r>
      <w:r w:rsidRPr="002D28D0">
        <w:rPr>
          <w:b/>
          <w:bCs/>
          <w:i w:val="0"/>
          <w:sz w:val="24"/>
          <w:szCs w:val="24"/>
        </w:rPr>
        <w:t xml:space="preserve">2 -dos-, </w:t>
      </w:r>
      <w:r w:rsidRPr="002D28D0">
        <w:rPr>
          <w:i w:val="0"/>
          <w:sz w:val="24"/>
          <w:szCs w:val="24"/>
        </w:rPr>
        <w:t>no se reparó la violación al derecho de acceso a la información pública,</w:t>
      </w:r>
      <w:r w:rsidR="00D51541" w:rsidRPr="002D28D0">
        <w:rPr>
          <w:i w:val="0"/>
          <w:sz w:val="24"/>
          <w:szCs w:val="24"/>
        </w:rPr>
        <w:t xml:space="preserve"> en términos de lo expuesto en párrafos precedentes,</w:t>
      </w:r>
      <w:r w:rsidRPr="002D28D0">
        <w:rPr>
          <w:i w:val="0"/>
          <w:sz w:val="24"/>
          <w:szCs w:val="24"/>
        </w:rPr>
        <w:t xml:space="preserve"> resultando procedente ordenar la entrega de la siguiente información:</w:t>
      </w:r>
    </w:p>
    <w:p w14:paraId="6397D246" w14:textId="456F0F82" w:rsidR="00300AAE" w:rsidRPr="002D28D0" w:rsidRDefault="00D035AE">
      <w:pPr>
        <w:pStyle w:val="Citas"/>
        <w:numPr>
          <w:ilvl w:val="0"/>
          <w:numId w:val="5"/>
        </w:numPr>
        <w:ind w:right="72"/>
        <w:rPr>
          <w:i w:val="0"/>
          <w:iCs/>
          <w:sz w:val="24"/>
          <w:szCs w:val="24"/>
        </w:rPr>
      </w:pPr>
      <w:r w:rsidRPr="002D28D0">
        <w:rPr>
          <w:i w:val="0"/>
          <w:iCs/>
          <w:sz w:val="24"/>
          <w:szCs w:val="24"/>
        </w:rPr>
        <w:t xml:space="preserve">El o los documentos que integran el expediente </w:t>
      </w:r>
      <w:r w:rsidRPr="002D28D0">
        <w:rPr>
          <w:b/>
          <w:bCs/>
          <w:i w:val="0"/>
          <w:iCs/>
          <w:sz w:val="24"/>
          <w:szCs w:val="24"/>
        </w:rPr>
        <w:t xml:space="preserve">HAT/CAYS/AD-SER-030/RP/2022 </w:t>
      </w:r>
      <w:r w:rsidRPr="002D28D0">
        <w:rPr>
          <w:i w:val="0"/>
          <w:iCs/>
          <w:sz w:val="24"/>
          <w:szCs w:val="24"/>
        </w:rPr>
        <w:t>correspondiente al procedimiento de adjudicación directa por excepción a la licitación, referente a la contratación de servicio de parquímetros</w:t>
      </w:r>
      <w:r w:rsidR="005930E6" w:rsidRPr="002D28D0">
        <w:rPr>
          <w:i w:val="0"/>
          <w:iCs/>
          <w:sz w:val="24"/>
          <w:szCs w:val="24"/>
        </w:rPr>
        <w:t>,</w:t>
      </w:r>
      <w:r w:rsidRPr="002D28D0">
        <w:rPr>
          <w:i w:val="0"/>
          <w:iCs/>
          <w:sz w:val="24"/>
          <w:szCs w:val="24"/>
        </w:rPr>
        <w:t xml:space="preserve"> al </w:t>
      </w:r>
      <w:r w:rsidR="005930E6" w:rsidRPr="002D28D0">
        <w:rPr>
          <w:i w:val="0"/>
          <w:iCs/>
          <w:sz w:val="24"/>
          <w:szCs w:val="24"/>
        </w:rPr>
        <w:t xml:space="preserve">ocho de diciembre de dos mil veintidós. </w:t>
      </w:r>
    </w:p>
    <w:p w14:paraId="737A9EDE" w14:textId="77777777" w:rsidR="00D035AE" w:rsidRPr="002D28D0" w:rsidRDefault="00D035AE" w:rsidP="00300AAE">
      <w:pPr>
        <w:spacing w:before="240" w:after="240" w:line="360" w:lineRule="auto"/>
        <w:jc w:val="both"/>
        <w:rPr>
          <w:rFonts w:ascii="Palatino Linotype" w:hAnsi="Palatino Linotype"/>
          <w:b/>
          <w:bCs/>
          <w:sz w:val="28"/>
          <w:szCs w:val="28"/>
        </w:rPr>
      </w:pPr>
    </w:p>
    <w:p w14:paraId="32892739" w14:textId="4479107F" w:rsidR="00300AAE" w:rsidRPr="002D28D0" w:rsidRDefault="00300AAE" w:rsidP="00300AAE">
      <w:pPr>
        <w:spacing w:before="240" w:after="240" w:line="360" w:lineRule="auto"/>
        <w:jc w:val="both"/>
        <w:rPr>
          <w:rFonts w:ascii="Palatino Linotype" w:hAnsi="Palatino Linotype"/>
          <w:b/>
          <w:sz w:val="28"/>
          <w:szCs w:val="28"/>
        </w:rPr>
      </w:pPr>
      <w:r w:rsidRPr="002D28D0">
        <w:rPr>
          <w:rFonts w:ascii="Palatino Linotype" w:hAnsi="Palatino Linotype"/>
          <w:b/>
          <w:bCs/>
          <w:sz w:val="28"/>
          <w:szCs w:val="28"/>
        </w:rPr>
        <w:t>De la</w:t>
      </w:r>
      <w:r w:rsidRPr="002D28D0">
        <w:rPr>
          <w:rFonts w:ascii="Palatino Linotype" w:hAnsi="Palatino Linotype"/>
          <w:bCs/>
          <w:sz w:val="24"/>
          <w:szCs w:val="24"/>
        </w:rPr>
        <w:t xml:space="preserve"> </w:t>
      </w:r>
      <w:r w:rsidRPr="002D28D0">
        <w:rPr>
          <w:rFonts w:ascii="Palatino Linotype" w:hAnsi="Palatino Linotype"/>
          <w:b/>
          <w:sz w:val="28"/>
          <w:szCs w:val="28"/>
        </w:rPr>
        <w:t xml:space="preserve">Versión Pública </w:t>
      </w:r>
    </w:p>
    <w:p w14:paraId="52B2958A" w14:textId="77777777" w:rsidR="00300AAE" w:rsidRPr="002D28D0" w:rsidRDefault="00300AAE" w:rsidP="00300AAE">
      <w:pPr>
        <w:tabs>
          <w:tab w:val="left" w:pos="7938"/>
        </w:tabs>
        <w:spacing w:before="240" w:after="240" w:line="360" w:lineRule="auto"/>
        <w:jc w:val="both"/>
        <w:rPr>
          <w:rFonts w:ascii="Palatino Linotype" w:eastAsia="Arial Unicode MS" w:hAnsi="Palatino Linotype" w:cs="Arial"/>
          <w:sz w:val="24"/>
          <w:szCs w:val="24"/>
        </w:rPr>
      </w:pPr>
      <w:r w:rsidRPr="002D28D0">
        <w:rPr>
          <w:rFonts w:ascii="Palatino Linotype" w:eastAsia="Arial Unicode MS" w:hAnsi="Palatino Linotype" w:cs="Arial"/>
          <w:sz w:val="24"/>
          <w:szCs w:val="24"/>
        </w:rPr>
        <w:t xml:space="preserve">No pasa desapercibido que la información podría contener información susceptible de clasificar, por lo cual, dicha información debe ser clasificada para no vulnerar un derecho intangible. Aunado a que de ser en caso de contar con otra información consistente en datos personales, deberá generarse una versión pública, tal excepción a la publicidad, atiende a la coexistencia de datos públicos e información que tenga el carácter de confidencial (datos personales) o reservada, por lo que debe privilegiarse el acceso a la información bajo el principio de máxima divulgación, empero sin violar </w:t>
      </w:r>
      <w:r w:rsidRPr="002D28D0">
        <w:rPr>
          <w:rFonts w:ascii="Palatino Linotype" w:eastAsia="Arial Unicode MS" w:hAnsi="Palatino Linotype" w:cs="Arial"/>
          <w:sz w:val="24"/>
          <w:szCs w:val="24"/>
        </w:rPr>
        <w:lastRenderedPageBreak/>
        <w:t>el derecho a la protección de datos personales, cuyo fundamento legal aplicable se encuentra inmerso en los numerales de la Ley de la materia, que a la letra esgrimen:</w:t>
      </w:r>
    </w:p>
    <w:p w14:paraId="281FB530" w14:textId="77777777" w:rsidR="00300AAE" w:rsidRPr="002D28D0" w:rsidRDefault="00300AAE" w:rsidP="00300AAE">
      <w:pPr>
        <w:spacing w:before="240" w:line="360" w:lineRule="auto"/>
        <w:ind w:left="851" w:right="851"/>
        <w:jc w:val="both"/>
        <w:rPr>
          <w:rFonts w:ascii="Palatino Linotype" w:hAnsi="Palatino Linotype" w:cs="Arial"/>
          <w:i/>
        </w:rPr>
      </w:pPr>
      <w:r w:rsidRPr="002D28D0">
        <w:rPr>
          <w:rFonts w:ascii="Palatino Linotype" w:hAnsi="Palatino Linotype" w:cs="Arial"/>
          <w:i/>
        </w:rPr>
        <w:t>“Artículo 3. Para los efectos de la presente Ley se entenderá por:</w:t>
      </w:r>
    </w:p>
    <w:p w14:paraId="6376B50C" w14:textId="77777777" w:rsidR="00300AAE" w:rsidRPr="002D28D0" w:rsidRDefault="00300AAE" w:rsidP="00300AAE">
      <w:pPr>
        <w:spacing w:before="240" w:line="360" w:lineRule="auto"/>
        <w:ind w:left="851" w:right="851"/>
        <w:jc w:val="both"/>
        <w:rPr>
          <w:rFonts w:ascii="Palatino Linotype" w:hAnsi="Palatino Linotype" w:cs="Arial"/>
          <w:i/>
        </w:rPr>
      </w:pPr>
      <w:r w:rsidRPr="002D28D0">
        <w:rPr>
          <w:rFonts w:ascii="Palatino Linotype" w:hAnsi="Palatino Linotype" w:cs="Arial"/>
          <w:i/>
        </w:rPr>
        <w:t>(…)</w:t>
      </w:r>
    </w:p>
    <w:p w14:paraId="5C0C798E" w14:textId="77777777" w:rsidR="00300AAE" w:rsidRPr="002D28D0" w:rsidRDefault="00300AAE" w:rsidP="00300AAE">
      <w:pPr>
        <w:spacing w:before="240" w:line="360" w:lineRule="auto"/>
        <w:ind w:left="851" w:right="851"/>
        <w:jc w:val="both"/>
        <w:rPr>
          <w:rFonts w:ascii="Palatino Linotype" w:hAnsi="Palatino Linotype" w:cs="Arial"/>
          <w:b/>
          <w:i/>
        </w:rPr>
      </w:pPr>
      <w:r w:rsidRPr="002D28D0">
        <w:rPr>
          <w:rFonts w:ascii="Palatino Linotype" w:hAnsi="Palatino Linotype" w:cs="Arial"/>
          <w:b/>
          <w:i/>
          <w:u w:val="single"/>
        </w:rPr>
        <w:t>IX. Datos personales:</w:t>
      </w:r>
      <w:r w:rsidRPr="002D28D0">
        <w:rPr>
          <w:rFonts w:ascii="Palatino Linotype" w:hAnsi="Palatino Linotype" w:cs="Arial"/>
          <w:b/>
          <w:i/>
        </w:rPr>
        <w:t xml:space="preserve"> </w:t>
      </w:r>
      <w:r w:rsidRPr="002D28D0">
        <w:rPr>
          <w:rFonts w:ascii="Palatino Linotype" w:hAnsi="Palatino Linotype" w:cs="Arial"/>
          <w:i/>
        </w:rPr>
        <w:t>La información concerniente a una persona, identificada o identificable según lo dispuesto por la Ley de Protección de Datos Personales del Estado de México;</w:t>
      </w:r>
    </w:p>
    <w:p w14:paraId="65A02183" w14:textId="77777777" w:rsidR="00300AAE" w:rsidRPr="002D28D0" w:rsidRDefault="00300AAE" w:rsidP="00300AAE">
      <w:pPr>
        <w:spacing w:before="240" w:line="360" w:lineRule="auto"/>
        <w:ind w:left="851" w:right="851"/>
        <w:jc w:val="both"/>
        <w:rPr>
          <w:rFonts w:ascii="Palatino Linotype" w:hAnsi="Palatino Linotype" w:cs="Arial"/>
          <w:b/>
          <w:i/>
        </w:rPr>
      </w:pPr>
      <w:r w:rsidRPr="002D28D0">
        <w:rPr>
          <w:rFonts w:ascii="Palatino Linotype" w:hAnsi="Palatino Linotype" w:cs="Arial"/>
          <w:b/>
          <w:i/>
        </w:rPr>
        <w:t>(…)</w:t>
      </w:r>
    </w:p>
    <w:p w14:paraId="4B329221" w14:textId="77777777" w:rsidR="00300AAE" w:rsidRPr="002D28D0" w:rsidRDefault="00300AAE" w:rsidP="00300AAE">
      <w:pPr>
        <w:spacing w:before="240" w:line="360" w:lineRule="auto"/>
        <w:ind w:left="851" w:right="851"/>
        <w:jc w:val="both"/>
        <w:rPr>
          <w:rFonts w:ascii="Palatino Linotype" w:hAnsi="Palatino Linotype" w:cs="Arial"/>
          <w:b/>
          <w:i/>
        </w:rPr>
      </w:pPr>
      <w:r w:rsidRPr="002D28D0">
        <w:rPr>
          <w:rFonts w:ascii="Palatino Linotype" w:hAnsi="Palatino Linotype" w:cs="Arial"/>
          <w:b/>
          <w:i/>
          <w:u w:val="single"/>
        </w:rPr>
        <w:t>XLV. Versión pública:</w:t>
      </w:r>
      <w:r w:rsidRPr="002D28D0">
        <w:rPr>
          <w:rFonts w:ascii="Palatino Linotype" w:hAnsi="Palatino Linotype" w:cs="Arial"/>
          <w:b/>
          <w:i/>
        </w:rPr>
        <w:t xml:space="preserve"> </w:t>
      </w:r>
      <w:r w:rsidRPr="002D28D0">
        <w:rPr>
          <w:rFonts w:ascii="Palatino Linotype" w:hAnsi="Palatino Linotype" w:cs="Arial"/>
          <w:i/>
        </w:rPr>
        <w:t>Documento en el que se elimine, suprime o borra la información clasificada como reservada o confidencial para permitir su acceso.</w:t>
      </w:r>
    </w:p>
    <w:p w14:paraId="6E1CD946" w14:textId="77777777" w:rsidR="00300AAE" w:rsidRPr="002D28D0" w:rsidRDefault="00300AAE" w:rsidP="00300AAE">
      <w:pPr>
        <w:spacing w:before="240" w:line="360" w:lineRule="auto"/>
        <w:ind w:left="851" w:right="851"/>
        <w:jc w:val="both"/>
        <w:rPr>
          <w:rFonts w:ascii="Palatino Linotype" w:hAnsi="Palatino Linotype" w:cs="Arial"/>
          <w:b/>
          <w:i/>
        </w:rPr>
      </w:pPr>
      <w:r w:rsidRPr="002D28D0">
        <w:rPr>
          <w:rFonts w:ascii="Palatino Linotype" w:hAnsi="Palatino Linotype" w:cs="Arial"/>
          <w:i/>
        </w:rPr>
        <w:t xml:space="preserve">Artículo 122. </w:t>
      </w:r>
      <w:r w:rsidRPr="002D28D0">
        <w:rPr>
          <w:rFonts w:ascii="Palatino Linotype" w:hAnsi="Palatino Linotype" w:cs="Arial"/>
          <w:b/>
          <w:i/>
          <w:u w:val="single"/>
        </w:rPr>
        <w:t xml:space="preserve">La clasificación es el proceso mediante el cual el sujeto obligado determina que la información en su poder </w:t>
      </w:r>
      <w:proofErr w:type="spellStart"/>
      <w:r w:rsidRPr="002D28D0">
        <w:rPr>
          <w:rFonts w:ascii="Palatino Linotype" w:hAnsi="Palatino Linotype" w:cs="Arial"/>
          <w:b/>
          <w:i/>
          <w:u w:val="single"/>
        </w:rPr>
        <w:t>actualiza</w:t>
      </w:r>
      <w:proofErr w:type="spellEnd"/>
      <w:r w:rsidRPr="002D28D0">
        <w:rPr>
          <w:rFonts w:ascii="Palatino Linotype" w:hAnsi="Palatino Linotype" w:cs="Arial"/>
          <w:b/>
          <w:i/>
          <w:u w:val="single"/>
        </w:rPr>
        <w:t xml:space="preserve"> alguno de los supuestos de reserva o confidencialidad, de conformidad con lo dispuesto en el presente título.</w:t>
      </w:r>
    </w:p>
    <w:p w14:paraId="63C831BD" w14:textId="77777777" w:rsidR="00300AAE" w:rsidRPr="002D28D0" w:rsidRDefault="00300AAE" w:rsidP="00300AAE">
      <w:pPr>
        <w:spacing w:before="240" w:line="360" w:lineRule="auto"/>
        <w:ind w:left="851" w:right="851"/>
        <w:jc w:val="both"/>
        <w:rPr>
          <w:rFonts w:ascii="Palatino Linotype" w:hAnsi="Palatino Linotype" w:cs="Arial"/>
          <w:i/>
        </w:rPr>
      </w:pPr>
      <w:r w:rsidRPr="002D28D0">
        <w:rPr>
          <w:rFonts w:ascii="Palatino Linotype" w:hAnsi="Palatino Linotype" w:cs="Arial"/>
          <w:i/>
        </w:rPr>
        <w:t>[…]</w:t>
      </w:r>
    </w:p>
    <w:p w14:paraId="1228FB4D" w14:textId="77777777" w:rsidR="00300AAE" w:rsidRPr="002D28D0" w:rsidRDefault="00300AAE" w:rsidP="00300AAE">
      <w:pPr>
        <w:spacing w:before="240" w:line="360" w:lineRule="auto"/>
        <w:ind w:left="851" w:right="851"/>
        <w:jc w:val="both"/>
        <w:rPr>
          <w:rFonts w:ascii="Palatino Linotype" w:hAnsi="Palatino Linotype" w:cs="Arial"/>
          <w:i/>
        </w:rPr>
      </w:pPr>
      <w:r w:rsidRPr="002D28D0">
        <w:rPr>
          <w:rFonts w:ascii="Palatino Linotype" w:hAnsi="Palatino Linotype" w:cs="Arial"/>
          <w:i/>
        </w:rPr>
        <w:t>Artículo 132. La clasificación de la información se llevará a cabo en el momento en que:</w:t>
      </w:r>
    </w:p>
    <w:p w14:paraId="493D7211" w14:textId="77777777" w:rsidR="00300AAE" w:rsidRPr="002D28D0" w:rsidRDefault="00300AAE" w:rsidP="00300AAE">
      <w:pPr>
        <w:spacing w:before="240" w:line="360" w:lineRule="auto"/>
        <w:ind w:left="851" w:right="851"/>
        <w:jc w:val="both"/>
        <w:rPr>
          <w:rFonts w:ascii="Palatino Linotype" w:hAnsi="Palatino Linotype" w:cs="Arial"/>
          <w:i/>
        </w:rPr>
      </w:pPr>
      <w:r w:rsidRPr="002D28D0">
        <w:rPr>
          <w:rFonts w:ascii="Palatino Linotype" w:hAnsi="Palatino Linotype" w:cs="Arial"/>
          <w:i/>
        </w:rPr>
        <w:t>[…]</w:t>
      </w:r>
    </w:p>
    <w:p w14:paraId="554DDFC0" w14:textId="77777777" w:rsidR="00300AAE" w:rsidRPr="002D28D0" w:rsidRDefault="00300AAE" w:rsidP="00300AAE">
      <w:pPr>
        <w:spacing w:before="240" w:line="360" w:lineRule="auto"/>
        <w:ind w:left="851" w:right="851"/>
        <w:jc w:val="both"/>
        <w:rPr>
          <w:rFonts w:ascii="Palatino Linotype" w:hAnsi="Palatino Linotype" w:cs="Arial"/>
          <w:b/>
          <w:i/>
          <w:u w:val="single"/>
        </w:rPr>
      </w:pPr>
      <w:r w:rsidRPr="002D28D0">
        <w:rPr>
          <w:rFonts w:ascii="Palatino Linotype" w:hAnsi="Palatino Linotype" w:cs="Arial"/>
          <w:b/>
          <w:i/>
          <w:u w:val="single"/>
        </w:rPr>
        <w:t>II. Se determine mediante resolución de autoridad competente; o</w:t>
      </w:r>
    </w:p>
    <w:p w14:paraId="278D9FF8" w14:textId="77777777" w:rsidR="00300AAE" w:rsidRPr="002D28D0" w:rsidRDefault="00300AAE" w:rsidP="00300AAE">
      <w:pPr>
        <w:spacing w:before="240" w:line="360" w:lineRule="auto"/>
        <w:ind w:left="851" w:right="851"/>
        <w:jc w:val="both"/>
        <w:rPr>
          <w:rFonts w:ascii="Palatino Linotype" w:hAnsi="Palatino Linotype" w:cs="Arial"/>
          <w:b/>
          <w:i/>
        </w:rPr>
      </w:pPr>
      <w:r w:rsidRPr="002D28D0">
        <w:rPr>
          <w:rFonts w:ascii="Palatino Linotype" w:hAnsi="Palatino Linotype" w:cs="Arial"/>
          <w:b/>
          <w:i/>
        </w:rPr>
        <w:t>(…)</w:t>
      </w:r>
    </w:p>
    <w:p w14:paraId="7F3EB10D" w14:textId="77777777" w:rsidR="00300AAE" w:rsidRPr="002D28D0" w:rsidRDefault="00300AAE" w:rsidP="00300AAE">
      <w:pPr>
        <w:spacing w:before="240" w:line="360" w:lineRule="auto"/>
        <w:ind w:left="851" w:right="851"/>
        <w:jc w:val="both"/>
        <w:rPr>
          <w:rFonts w:ascii="Palatino Linotype" w:hAnsi="Palatino Linotype" w:cs="Arial"/>
          <w:b/>
          <w:i/>
        </w:rPr>
      </w:pPr>
      <w:r w:rsidRPr="002D28D0">
        <w:rPr>
          <w:rFonts w:ascii="Palatino Linotype" w:hAnsi="Palatino Linotype" w:cs="Arial"/>
          <w:i/>
        </w:rPr>
        <w:lastRenderedPageBreak/>
        <w:t>Artículo 137.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w:t>
      </w:r>
      <w:r w:rsidRPr="002D28D0">
        <w:rPr>
          <w:rFonts w:ascii="Palatino Linotype" w:hAnsi="Palatino Linotype" w:cs="Arial"/>
          <w:b/>
          <w:i/>
        </w:rPr>
        <w:t xml:space="preserve"> </w:t>
      </w:r>
      <w:r w:rsidRPr="002D28D0">
        <w:rPr>
          <w:rFonts w:ascii="Palatino Linotype" w:hAnsi="Palatino Linotype" w:cs="Arial"/>
          <w:b/>
          <w:i/>
          <w:u w:val="single"/>
        </w:rPr>
        <w:t xml:space="preserve">de manera genérica y fundando y motivando su clasificación.” </w:t>
      </w:r>
      <w:r w:rsidRPr="002D28D0">
        <w:rPr>
          <w:rFonts w:ascii="Palatino Linotype" w:hAnsi="Palatino Linotype" w:cs="Arial"/>
          <w:b/>
          <w:i/>
        </w:rPr>
        <w:t>[Sic]</w:t>
      </w:r>
    </w:p>
    <w:p w14:paraId="231B3643" w14:textId="77777777" w:rsidR="00300AAE" w:rsidRPr="002D28D0" w:rsidRDefault="00300AAE" w:rsidP="00300AAE">
      <w:pPr>
        <w:spacing w:after="0" w:line="360" w:lineRule="auto"/>
        <w:ind w:right="51"/>
        <w:jc w:val="both"/>
        <w:rPr>
          <w:rFonts w:ascii="Palatino Linotype" w:eastAsia="Arial Unicode MS" w:hAnsi="Palatino Linotype" w:cs="Arial"/>
          <w:sz w:val="24"/>
          <w:szCs w:val="24"/>
        </w:rPr>
      </w:pPr>
    </w:p>
    <w:p w14:paraId="65FD699A" w14:textId="77777777" w:rsidR="00300AAE" w:rsidRPr="002D28D0" w:rsidRDefault="00300AAE" w:rsidP="00300AAE">
      <w:pPr>
        <w:spacing w:after="0" w:line="360" w:lineRule="auto"/>
        <w:ind w:right="51"/>
        <w:jc w:val="both"/>
        <w:rPr>
          <w:rFonts w:ascii="Palatino Linotype" w:hAnsi="Palatino Linotype" w:cs="Arial"/>
          <w:sz w:val="24"/>
          <w:szCs w:val="24"/>
        </w:rPr>
      </w:pPr>
      <w:r w:rsidRPr="002D28D0">
        <w:rPr>
          <w:rFonts w:ascii="Palatino Linotype" w:eastAsia="Arial Unicode MS" w:hAnsi="Palatino Linotype" w:cs="Arial"/>
          <w:sz w:val="24"/>
          <w:szCs w:val="24"/>
        </w:rPr>
        <w:t xml:space="preserve">Verbigracia, previo a poner a disposición la información correspondiente debe considerarse que tiene carácter de confidencial </w:t>
      </w:r>
      <w:r w:rsidRPr="002D28D0">
        <w:rPr>
          <w:rFonts w:ascii="Palatino Linotype" w:hAnsi="Palatino Linotype" w:cs="Arial"/>
          <w:sz w:val="24"/>
          <w:szCs w:val="24"/>
        </w:rPr>
        <w:t xml:space="preserve">el Registro Federal de Contribuyentes </w:t>
      </w:r>
      <w:r w:rsidRPr="002D28D0">
        <w:rPr>
          <w:rFonts w:ascii="Palatino Linotype" w:hAnsi="Palatino Linotype" w:cs="Arial"/>
          <w:b/>
          <w:bCs/>
          <w:sz w:val="24"/>
          <w:szCs w:val="24"/>
          <w:u w:val="single"/>
        </w:rPr>
        <w:t>(RFC) que no sean de proveedores,</w:t>
      </w:r>
      <w:r w:rsidRPr="002D28D0">
        <w:rPr>
          <w:rFonts w:ascii="Palatino Linotype" w:hAnsi="Palatino Linotype" w:cs="Arial"/>
          <w:sz w:val="24"/>
          <w:szCs w:val="24"/>
        </w:rPr>
        <w:t xml:space="preserve"> cuenta bancaria, la Clave Única de Registro de Población (CURP), domicilio particular, teléfono particular, el nombre de las personas físicas que no tengan la calidad de servidor público  o aquellos que no reciban recursos públicos, entre otros considerados como datos personales en términos de la normatividad aplicable.</w:t>
      </w:r>
    </w:p>
    <w:p w14:paraId="45C91ACD" w14:textId="77777777" w:rsidR="00300AAE" w:rsidRPr="002D28D0" w:rsidRDefault="00300AAE" w:rsidP="00300AAE">
      <w:pPr>
        <w:autoSpaceDE w:val="0"/>
        <w:autoSpaceDN w:val="0"/>
        <w:adjustRightInd w:val="0"/>
        <w:spacing w:before="240" w:after="240" w:line="360" w:lineRule="auto"/>
        <w:ind w:right="-91"/>
        <w:jc w:val="both"/>
        <w:rPr>
          <w:rFonts w:ascii="Palatino Linotype" w:eastAsia="Times New Roman" w:hAnsi="Palatino Linotype" w:cs="Arial"/>
          <w:sz w:val="24"/>
          <w:szCs w:val="24"/>
          <w:lang w:eastAsia="es-MX"/>
        </w:rPr>
      </w:pPr>
      <w:r w:rsidRPr="002D28D0">
        <w:rPr>
          <w:rFonts w:ascii="Palatino Linotype" w:eastAsia="Times New Roman" w:hAnsi="Palatino Linotype" w:cs="Arial"/>
          <w:sz w:val="24"/>
          <w:szCs w:val="24"/>
          <w:lang w:eastAsia="es-MX"/>
        </w:rPr>
        <w:t>En cuanto al Registro Federal de Contribuyentes de las personas físicas constituye un dato personal, ya que para su obtención es necesario acreditar ante la autoridad fiscal previamente la identidad de la persona, su fecha de nacimiento, entre otros aspectos.</w:t>
      </w:r>
    </w:p>
    <w:p w14:paraId="4F160CDA" w14:textId="77777777" w:rsidR="00300AAE" w:rsidRPr="002D28D0" w:rsidRDefault="00300AAE" w:rsidP="00300AAE">
      <w:pPr>
        <w:spacing w:before="240" w:after="240" w:line="360" w:lineRule="auto"/>
        <w:ind w:right="-91"/>
        <w:jc w:val="both"/>
        <w:rPr>
          <w:rFonts w:ascii="Palatino Linotype" w:eastAsia="Times New Roman" w:hAnsi="Palatino Linotype" w:cs="Arial"/>
          <w:sz w:val="24"/>
          <w:szCs w:val="24"/>
          <w:lang w:eastAsia="es-MX"/>
        </w:rPr>
      </w:pPr>
      <w:r w:rsidRPr="002D28D0">
        <w:rPr>
          <w:rFonts w:ascii="Palatino Linotype" w:eastAsia="Times New Roman" w:hAnsi="Palatino Linotype" w:cs="Arial"/>
          <w:sz w:val="24"/>
          <w:szCs w:val="24"/>
          <w:lang w:eastAsia="es-MX"/>
        </w:rPr>
        <w:t>Ahora bien, las personas físicas tramitan su inscripción en el registro con el propósito de realizar —mediante esa clave de identificación— operaciones o actividades de naturaleza fiscal, la cual, les permite hacer identificable respecto de una situación fiscal determinada.</w:t>
      </w:r>
    </w:p>
    <w:p w14:paraId="1BF7F3FE" w14:textId="77777777" w:rsidR="00300AAE" w:rsidRPr="002D28D0" w:rsidRDefault="00300AAE" w:rsidP="00300AAE">
      <w:pPr>
        <w:spacing w:before="240" w:after="240" w:line="360" w:lineRule="auto"/>
        <w:ind w:right="-91"/>
        <w:jc w:val="both"/>
        <w:rPr>
          <w:rFonts w:ascii="Palatino Linotype" w:eastAsia="Times New Roman" w:hAnsi="Palatino Linotype" w:cs="Arial"/>
          <w:sz w:val="24"/>
          <w:szCs w:val="24"/>
          <w:lang w:eastAsia="es-MX"/>
        </w:rPr>
      </w:pPr>
      <w:r w:rsidRPr="002D28D0">
        <w:rPr>
          <w:rFonts w:ascii="Palatino Linotype" w:eastAsia="Times New Roman" w:hAnsi="Palatino Linotype" w:cs="Arial"/>
          <w:sz w:val="24"/>
          <w:szCs w:val="24"/>
          <w:lang w:eastAsia="es-MX"/>
        </w:rPr>
        <w:t xml:space="preserve">Lo anterior es compartido por el ahora </w:t>
      </w:r>
      <w:r w:rsidRPr="002D28D0">
        <w:rPr>
          <w:rFonts w:ascii="Palatino Linotype" w:eastAsia="Times New Roman" w:hAnsi="Palatino Linotype" w:cs="Arial"/>
          <w:b/>
          <w:bCs/>
          <w:sz w:val="24"/>
          <w:szCs w:val="24"/>
          <w:lang w:eastAsia="es-MX"/>
        </w:rPr>
        <w:t>Instituto Nacional de Transparencia, Acceso a la Información y Protección de Datos Personales</w:t>
      </w:r>
      <w:r w:rsidRPr="002D28D0">
        <w:rPr>
          <w:rFonts w:ascii="Palatino Linotype" w:eastAsia="Times New Roman" w:hAnsi="Palatino Linotype" w:cs="Arial"/>
          <w:sz w:val="24"/>
          <w:szCs w:val="24"/>
          <w:lang w:eastAsia="es-MX"/>
        </w:rPr>
        <w:t xml:space="preserve"> (INAI), conforme al criterio </w:t>
      </w:r>
      <w:r w:rsidRPr="002D28D0">
        <w:rPr>
          <w:rFonts w:ascii="Palatino Linotype" w:eastAsia="Times New Roman" w:hAnsi="Palatino Linotype" w:cs="Arial"/>
          <w:b/>
          <w:sz w:val="24"/>
          <w:szCs w:val="24"/>
          <w:lang w:eastAsia="es-MX"/>
        </w:rPr>
        <w:t>19/17,</w:t>
      </w:r>
      <w:r w:rsidRPr="002D28D0">
        <w:rPr>
          <w:rFonts w:ascii="Palatino Linotype" w:eastAsia="Times New Roman" w:hAnsi="Palatino Linotype" w:cs="Arial"/>
          <w:sz w:val="24"/>
          <w:szCs w:val="24"/>
          <w:lang w:eastAsia="es-MX"/>
        </w:rPr>
        <w:t xml:space="preserve"> el cual es del tenor literal siguiente:</w:t>
      </w:r>
    </w:p>
    <w:p w14:paraId="1258273A" w14:textId="77777777" w:rsidR="00300AAE" w:rsidRPr="002D28D0" w:rsidRDefault="00300AAE" w:rsidP="00300AAE">
      <w:pPr>
        <w:autoSpaceDE w:val="0"/>
        <w:autoSpaceDN w:val="0"/>
        <w:adjustRightInd w:val="0"/>
        <w:spacing w:before="240" w:line="360" w:lineRule="auto"/>
        <w:ind w:left="851" w:right="851"/>
        <w:jc w:val="center"/>
        <w:rPr>
          <w:rFonts w:ascii="Palatino Linotype" w:eastAsia="Times New Roman" w:hAnsi="Palatino Linotype" w:cs="Arial"/>
          <w:b/>
          <w:bCs/>
          <w:i/>
        </w:rPr>
      </w:pPr>
      <w:r w:rsidRPr="002D28D0">
        <w:rPr>
          <w:rFonts w:ascii="Palatino Linotype" w:eastAsia="Times New Roman" w:hAnsi="Palatino Linotype" w:cs="Arial"/>
          <w:bCs/>
          <w:i/>
        </w:rPr>
        <w:lastRenderedPageBreak/>
        <w:t>“</w:t>
      </w:r>
      <w:r w:rsidRPr="002D28D0">
        <w:rPr>
          <w:rFonts w:ascii="Palatino Linotype" w:eastAsia="Times New Roman" w:hAnsi="Palatino Linotype" w:cs="Arial"/>
          <w:b/>
          <w:bCs/>
          <w:i/>
        </w:rPr>
        <w:t>REGISTRO FEDERAL DE CONTRIBUYENTES (RFC) DE PERSONAS FÍSICAS.</w:t>
      </w:r>
    </w:p>
    <w:p w14:paraId="5AE58847"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Cs/>
          <w:i/>
        </w:rPr>
      </w:pPr>
      <w:r w:rsidRPr="002D28D0">
        <w:rPr>
          <w:rFonts w:ascii="Palatino Linotype" w:eastAsia="Times New Roman" w:hAnsi="Palatino Linotype" w:cs="Arial"/>
          <w:bCs/>
          <w:i/>
        </w:rPr>
        <w:t xml:space="preserve">El RFC es una clave de carácter fiscal, </w:t>
      </w:r>
      <w:proofErr w:type="gramStart"/>
      <w:r w:rsidRPr="002D28D0">
        <w:rPr>
          <w:rFonts w:ascii="Palatino Linotype" w:eastAsia="Times New Roman" w:hAnsi="Palatino Linotype" w:cs="Arial"/>
          <w:bCs/>
          <w:i/>
        </w:rPr>
        <w:t>única</w:t>
      </w:r>
      <w:proofErr w:type="gramEnd"/>
      <w:r w:rsidRPr="002D28D0">
        <w:rPr>
          <w:rFonts w:ascii="Palatino Linotype" w:eastAsia="Times New Roman" w:hAnsi="Palatino Linotype" w:cs="Arial"/>
          <w:bCs/>
          <w:i/>
        </w:rPr>
        <w:t xml:space="preserve"> e irrepetible, que permite identificar al titular, su edad y fecha de nacimiento, por lo que es un dato personal de carácter confidencial.</w:t>
      </w:r>
    </w:p>
    <w:p w14:paraId="32A9EC14"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
          <w:i/>
        </w:rPr>
      </w:pPr>
      <w:r w:rsidRPr="002D28D0">
        <w:rPr>
          <w:rFonts w:ascii="Palatino Linotype" w:eastAsia="Times New Roman" w:hAnsi="Palatino Linotype" w:cs="Arial"/>
          <w:b/>
          <w:i/>
        </w:rPr>
        <w:t>Resoluciones:</w:t>
      </w:r>
    </w:p>
    <w:p w14:paraId="3BD27E67"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i/>
          <w:lang w:val="es-ES"/>
        </w:rPr>
      </w:pPr>
      <w:r w:rsidRPr="002D28D0">
        <w:rPr>
          <w:rFonts w:ascii="Palatino Linotype" w:eastAsia="Times New Roman" w:hAnsi="Palatino Linotype" w:cs="Arial"/>
          <w:b/>
          <w:i/>
        </w:rPr>
        <w:t xml:space="preserve">RRA </w:t>
      </w:r>
      <w:r w:rsidRPr="002D28D0">
        <w:rPr>
          <w:rFonts w:ascii="Palatino Linotype" w:eastAsia="Times New Roman" w:hAnsi="Palatino Linotype" w:cs="Arial"/>
          <w:b/>
          <w:i/>
          <w:lang w:val="es-ES"/>
        </w:rPr>
        <w:t xml:space="preserve">0189/17. </w:t>
      </w:r>
      <w:r w:rsidRPr="002D28D0">
        <w:rPr>
          <w:rFonts w:ascii="Palatino Linotype" w:eastAsia="Times New Roman" w:hAnsi="Palatino Linotype" w:cs="Arial"/>
          <w:i/>
          <w:lang w:val="es-ES"/>
        </w:rPr>
        <w:t xml:space="preserve">Morena. 08 de febrero de 2017. Por unanimidad. Comisionado Ponente </w:t>
      </w:r>
      <w:r w:rsidRPr="002D28D0">
        <w:rPr>
          <w:rFonts w:ascii="Palatino Linotype" w:eastAsia="Times New Roman" w:hAnsi="Palatino Linotype" w:cs="Arial"/>
          <w:i/>
        </w:rPr>
        <w:t>Joel Salas Suárez.</w:t>
      </w:r>
    </w:p>
    <w:p w14:paraId="154805AB"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i/>
          <w:lang w:val="es-ES"/>
        </w:rPr>
      </w:pPr>
      <w:r w:rsidRPr="002D28D0">
        <w:rPr>
          <w:rFonts w:ascii="Palatino Linotype" w:eastAsia="Times New Roman" w:hAnsi="Palatino Linotype" w:cs="Arial"/>
          <w:b/>
          <w:i/>
        </w:rPr>
        <w:t xml:space="preserve">RRA </w:t>
      </w:r>
      <w:r w:rsidRPr="002D28D0">
        <w:rPr>
          <w:rFonts w:ascii="Palatino Linotype" w:eastAsia="Times New Roman" w:hAnsi="Palatino Linotype" w:cs="Arial"/>
          <w:b/>
          <w:bCs/>
          <w:i/>
        </w:rPr>
        <w:t>0677</w:t>
      </w:r>
      <w:r w:rsidRPr="002D28D0">
        <w:rPr>
          <w:rFonts w:ascii="Palatino Linotype" w:eastAsia="Times New Roman" w:hAnsi="Palatino Linotype" w:cs="Arial"/>
          <w:b/>
          <w:i/>
        </w:rPr>
        <w:t xml:space="preserve">/17. </w:t>
      </w:r>
      <w:r w:rsidRPr="002D28D0">
        <w:rPr>
          <w:rFonts w:ascii="Palatino Linotype" w:eastAsia="Times New Roman" w:hAnsi="Palatino Linotype" w:cs="Arial"/>
          <w:i/>
          <w:lang w:val="es-ES"/>
        </w:rPr>
        <w:t xml:space="preserve">Universidad Nacional Autónoma de México. 08 de marzo de 2017. Por unanimidad. Comisionado Ponente </w:t>
      </w:r>
      <w:proofErr w:type="spellStart"/>
      <w:r w:rsidRPr="002D28D0">
        <w:rPr>
          <w:rFonts w:ascii="Palatino Linotype" w:eastAsia="Times New Roman" w:hAnsi="Palatino Linotype" w:cs="Arial"/>
          <w:i/>
          <w:lang w:val="es-ES"/>
        </w:rPr>
        <w:t>Rosendoevgueni</w:t>
      </w:r>
      <w:proofErr w:type="spellEnd"/>
      <w:r w:rsidRPr="002D28D0">
        <w:rPr>
          <w:rFonts w:ascii="Palatino Linotype" w:eastAsia="Times New Roman" w:hAnsi="Palatino Linotype" w:cs="Arial"/>
          <w:i/>
          <w:lang w:val="es-ES"/>
        </w:rPr>
        <w:t xml:space="preserve"> Monterrey </w:t>
      </w:r>
      <w:proofErr w:type="spellStart"/>
      <w:r w:rsidRPr="002D28D0">
        <w:rPr>
          <w:rFonts w:ascii="Palatino Linotype" w:eastAsia="Times New Roman" w:hAnsi="Palatino Linotype" w:cs="Arial"/>
          <w:i/>
          <w:lang w:val="es-ES"/>
        </w:rPr>
        <w:t>Chepov</w:t>
      </w:r>
      <w:proofErr w:type="spellEnd"/>
      <w:r w:rsidRPr="002D28D0">
        <w:rPr>
          <w:rFonts w:ascii="Palatino Linotype" w:eastAsia="Times New Roman" w:hAnsi="Palatino Linotype" w:cs="Arial"/>
          <w:i/>
        </w:rPr>
        <w:t>.</w:t>
      </w:r>
      <w:r w:rsidRPr="002D28D0">
        <w:rPr>
          <w:rFonts w:ascii="Palatino Linotype" w:eastAsia="Times New Roman" w:hAnsi="Palatino Linotype" w:cs="Arial"/>
          <w:b/>
          <w:i/>
        </w:rPr>
        <w:t xml:space="preserve"> </w:t>
      </w:r>
    </w:p>
    <w:p w14:paraId="070E3935"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
          <w:i/>
          <w:lang w:val="es-ES"/>
        </w:rPr>
      </w:pPr>
      <w:r w:rsidRPr="002D28D0">
        <w:rPr>
          <w:rFonts w:ascii="Palatino Linotype" w:eastAsia="Times New Roman" w:hAnsi="Palatino Linotype" w:cs="Arial"/>
          <w:b/>
          <w:i/>
        </w:rPr>
        <w:t>RRA</w:t>
      </w:r>
      <w:r w:rsidRPr="002D28D0">
        <w:rPr>
          <w:rFonts w:ascii="Palatino Linotype" w:eastAsia="Times New Roman" w:hAnsi="Palatino Linotype" w:cs="Arial"/>
          <w:i/>
          <w:lang w:val="es-ES"/>
        </w:rPr>
        <w:t xml:space="preserve"> </w:t>
      </w:r>
      <w:r w:rsidRPr="002D28D0">
        <w:rPr>
          <w:rFonts w:ascii="Palatino Linotype" w:eastAsia="Times New Roman" w:hAnsi="Palatino Linotype" w:cs="Arial"/>
          <w:b/>
          <w:i/>
        </w:rPr>
        <w:t xml:space="preserve">1564/17. </w:t>
      </w:r>
      <w:r w:rsidRPr="002D28D0">
        <w:rPr>
          <w:rFonts w:ascii="Palatino Linotype" w:eastAsia="Times New Roman" w:hAnsi="Palatino Linotype" w:cs="Arial"/>
          <w:i/>
          <w:lang w:val="es-ES"/>
        </w:rPr>
        <w:t>Tribunal Electoral del Poder Judicial de la Federación</w:t>
      </w:r>
      <w:r w:rsidRPr="002D28D0">
        <w:rPr>
          <w:rFonts w:ascii="Palatino Linotype" w:eastAsia="Times New Roman" w:hAnsi="Palatino Linotype" w:cs="Arial"/>
          <w:i/>
        </w:rPr>
        <w:t xml:space="preserve">. 26 de abril de 2017. Por unanimidad. Comisionado Ponente Oscar Mauricio Guerra Ford.” </w:t>
      </w:r>
      <w:r w:rsidRPr="002D28D0">
        <w:rPr>
          <w:rFonts w:ascii="Palatino Linotype" w:eastAsia="Times New Roman" w:hAnsi="Palatino Linotype" w:cs="Arial"/>
          <w:b/>
          <w:i/>
        </w:rPr>
        <w:t>[Sic]</w:t>
      </w:r>
    </w:p>
    <w:p w14:paraId="47B54FB0" w14:textId="77777777" w:rsidR="00300AAE" w:rsidRPr="002D28D0" w:rsidRDefault="00300AAE" w:rsidP="00300AAE">
      <w:pPr>
        <w:autoSpaceDE w:val="0"/>
        <w:autoSpaceDN w:val="0"/>
        <w:adjustRightInd w:val="0"/>
        <w:spacing w:before="120" w:after="120"/>
        <w:ind w:left="567" w:right="850"/>
        <w:jc w:val="both"/>
        <w:rPr>
          <w:rFonts w:ascii="Palatino Linotype" w:eastAsia="Times New Roman" w:hAnsi="Palatino Linotype" w:cs="Arial"/>
          <w:i/>
        </w:rPr>
      </w:pPr>
    </w:p>
    <w:p w14:paraId="11BEFDF0" w14:textId="77777777" w:rsidR="00300AAE" w:rsidRPr="002D28D0" w:rsidRDefault="00300AAE" w:rsidP="00300AAE">
      <w:pPr>
        <w:spacing w:before="240" w:after="240" w:line="360" w:lineRule="auto"/>
        <w:jc w:val="both"/>
        <w:rPr>
          <w:rFonts w:ascii="Palatino Linotype" w:hAnsi="Palatino Linotype" w:cs="Arial"/>
          <w:sz w:val="24"/>
          <w:szCs w:val="24"/>
          <w:lang w:eastAsia="es-MX"/>
        </w:rPr>
      </w:pPr>
      <w:r w:rsidRPr="002D28D0">
        <w:rPr>
          <w:rFonts w:ascii="Palatino Linotype" w:hAnsi="Palatino Linotype" w:cs="Arial"/>
          <w:sz w:val="24"/>
          <w:szCs w:val="24"/>
          <w:lang w:eastAsia="es-MX"/>
        </w:rPr>
        <w:t xml:space="preserve">Así, el RFC se vincula al nombre de su titular, permite identificar la edad de la persona, su fecha de nacimiento, así como su </w:t>
      </w:r>
      <w:proofErr w:type="spellStart"/>
      <w:r w:rsidRPr="002D28D0">
        <w:rPr>
          <w:rFonts w:ascii="Palatino Linotype" w:hAnsi="Palatino Linotype" w:cs="Arial"/>
          <w:sz w:val="24"/>
          <w:szCs w:val="24"/>
          <w:lang w:eastAsia="es-MX"/>
        </w:rPr>
        <w:t>homoclave</w:t>
      </w:r>
      <w:proofErr w:type="spellEnd"/>
      <w:r w:rsidRPr="002D28D0">
        <w:rPr>
          <w:rFonts w:ascii="Palatino Linotype" w:hAnsi="Palatino Linotype" w:cs="Arial"/>
          <w:sz w:val="24"/>
          <w:szCs w:val="24"/>
          <w:lang w:eastAsia="es-MX"/>
        </w:rPr>
        <w:t>, la cual es única e irrepetible y determina justamente la identificación de dicha persona para efectos fiscales, por lo éste constituye un dato personal que concierne a una persona física identificada e identificable.</w:t>
      </w:r>
    </w:p>
    <w:p w14:paraId="6720A259" w14:textId="77777777" w:rsidR="00300AAE" w:rsidRPr="002D28D0" w:rsidRDefault="00300AAE" w:rsidP="00300AAE">
      <w:pPr>
        <w:spacing w:before="240" w:after="240" w:line="360" w:lineRule="auto"/>
        <w:jc w:val="both"/>
        <w:rPr>
          <w:rFonts w:ascii="Palatino Linotype" w:hAnsi="Palatino Linotype" w:cs="Arial"/>
          <w:sz w:val="24"/>
          <w:szCs w:val="24"/>
          <w:lang w:eastAsia="es-MX"/>
        </w:rPr>
      </w:pPr>
      <w:r w:rsidRPr="002D28D0">
        <w:rPr>
          <w:rFonts w:ascii="Palatino Linotype" w:hAnsi="Palatino Linotype" w:cs="Arial"/>
          <w:sz w:val="24"/>
          <w:szCs w:val="24"/>
          <w:lang w:eastAsia="es-MX"/>
        </w:rPr>
        <w:t xml:space="preserve">No obstante lo anterior, como fue advertido con antelación el Registro Federal de Contribuyentes tratándose de proveedores o contratistas encuadra dentro de las fronteras conceptuales del interés general y el alcance público, al tratarse de un elemento que, en el caso en particular abona a la transparencia y rendición de cuentas. </w:t>
      </w:r>
    </w:p>
    <w:p w14:paraId="6A011914" w14:textId="77777777" w:rsidR="00300AAE" w:rsidRPr="002D28D0" w:rsidRDefault="00300AAE" w:rsidP="00300AAE">
      <w:pPr>
        <w:spacing w:before="240" w:after="240" w:line="360" w:lineRule="auto"/>
        <w:jc w:val="both"/>
        <w:rPr>
          <w:rFonts w:ascii="Palatino Linotype" w:hAnsi="Palatino Linotype" w:cs="Arial"/>
          <w:sz w:val="24"/>
          <w:szCs w:val="24"/>
          <w:lang w:eastAsia="es-MX"/>
        </w:rPr>
      </w:pPr>
      <w:r w:rsidRPr="002D28D0">
        <w:rPr>
          <w:rFonts w:ascii="Palatino Linotype" w:hAnsi="Palatino Linotype" w:cs="Arial"/>
          <w:sz w:val="24"/>
          <w:szCs w:val="24"/>
          <w:lang w:eastAsia="es-MX"/>
        </w:rPr>
        <w:lastRenderedPageBreak/>
        <w:t xml:space="preserve">Robustece lo anterior, el criterio </w:t>
      </w:r>
      <w:r w:rsidRPr="002D28D0">
        <w:rPr>
          <w:rFonts w:ascii="Palatino Linotype" w:hAnsi="Palatino Linotype" w:cs="Arial"/>
          <w:b/>
          <w:bCs/>
          <w:sz w:val="24"/>
          <w:szCs w:val="24"/>
          <w:lang w:eastAsia="es-MX"/>
        </w:rPr>
        <w:t xml:space="preserve">04/21 </w:t>
      </w:r>
      <w:r w:rsidRPr="002D28D0">
        <w:rPr>
          <w:rFonts w:ascii="Palatino Linotype" w:hAnsi="Palatino Linotype" w:cs="Arial"/>
          <w:sz w:val="24"/>
          <w:szCs w:val="24"/>
          <w:lang w:eastAsia="es-MX"/>
        </w:rPr>
        <w:t xml:space="preserve">emitido por el Órgano Garante Nacional, cuyo rubro y texto disponen a la literalidad lo siguiente: </w:t>
      </w:r>
    </w:p>
    <w:p w14:paraId="472C11EC" w14:textId="77777777" w:rsidR="00300AAE" w:rsidRPr="002D28D0" w:rsidRDefault="00300AAE" w:rsidP="00300AAE">
      <w:pPr>
        <w:pStyle w:val="Citas"/>
        <w:rPr>
          <w:b/>
          <w:sz w:val="24"/>
          <w:szCs w:val="24"/>
        </w:rPr>
      </w:pPr>
      <w:r w:rsidRPr="002D28D0">
        <w:rPr>
          <w:b/>
          <w:sz w:val="24"/>
          <w:szCs w:val="24"/>
        </w:rPr>
        <w:t xml:space="preserve">“REGISTRO FEDERAL DE CONTRIBUYENTES (RFC) DE PERSONAS FÍSICAS PROVEEDORES O CONTRATISTAS. </w:t>
      </w:r>
    </w:p>
    <w:p w14:paraId="00B855AB" w14:textId="77777777" w:rsidR="00300AAE" w:rsidRPr="002D28D0" w:rsidRDefault="00300AAE" w:rsidP="00300AAE">
      <w:pPr>
        <w:pStyle w:val="Citas"/>
        <w:rPr>
          <w:color w:val="000000"/>
        </w:rPr>
      </w:pPr>
      <w:r w:rsidRPr="002D28D0">
        <w:t xml:space="preserve">El RFC de contratistas o proveedores de sujetos obligados debe ser público, ya que al tratarse de personas relacionadas con contrataciones públicas, su difusión favorece la transparencia con la que deben administrarse los recursos públicos, en términos del artículo 134 de la Constitución Política de los Estados Unidos Mexicanos. </w:t>
      </w:r>
    </w:p>
    <w:p w14:paraId="3ABB26D0" w14:textId="77777777" w:rsidR="00300AAE" w:rsidRPr="002D28D0" w:rsidRDefault="00300AAE" w:rsidP="00300AAE">
      <w:pPr>
        <w:pStyle w:val="Citas"/>
        <w:rPr>
          <w:b/>
        </w:rPr>
      </w:pPr>
      <w:r w:rsidRPr="002D28D0">
        <w:rPr>
          <w:b/>
        </w:rPr>
        <w:t>Precedentes:</w:t>
      </w:r>
    </w:p>
    <w:p w14:paraId="38CCBB0D" w14:textId="77777777" w:rsidR="00300AAE" w:rsidRPr="002D28D0" w:rsidRDefault="00300AAE" w:rsidP="00300AAE">
      <w:pPr>
        <w:pStyle w:val="Citas"/>
        <w:numPr>
          <w:ilvl w:val="0"/>
          <w:numId w:val="3"/>
        </w:numPr>
      </w:pPr>
      <w:r w:rsidRPr="002D28D0">
        <w:t>Acceso a la información Pública. RRA 3639/19.</w:t>
      </w:r>
      <w:r w:rsidRPr="002D28D0">
        <w:rPr>
          <w:b/>
        </w:rPr>
        <w:t xml:space="preserve"> </w:t>
      </w:r>
      <w:r w:rsidRPr="002D28D0">
        <w:t xml:space="preserve">Sesión del 10 de julio de 2019. Votación por mayoría. Con voto disidente del Comisionado Joel Salas Suárez. Instituto para la Protección del Ahorro Bancario. Comisionada Ponente María Patricia </w:t>
      </w:r>
      <w:proofErr w:type="spellStart"/>
      <w:r w:rsidRPr="002D28D0">
        <w:t>Kurczyn</w:t>
      </w:r>
      <w:proofErr w:type="spellEnd"/>
      <w:r w:rsidRPr="002D28D0">
        <w:t xml:space="preserve"> Villalobos.</w:t>
      </w:r>
    </w:p>
    <w:p w14:paraId="2130BD96" w14:textId="77777777" w:rsidR="00300AAE" w:rsidRPr="002D28D0" w:rsidRDefault="00300AAE" w:rsidP="00300AAE">
      <w:pPr>
        <w:pStyle w:val="Citas"/>
        <w:numPr>
          <w:ilvl w:val="0"/>
          <w:numId w:val="3"/>
        </w:numPr>
        <w:rPr>
          <w:b/>
        </w:rPr>
      </w:pPr>
      <w:r w:rsidRPr="002D28D0">
        <w:t>Acceso a la información Pública. RRA 7709/19.</w:t>
      </w:r>
      <w:r w:rsidRPr="002D28D0">
        <w:rPr>
          <w:b/>
        </w:rPr>
        <w:t xml:space="preserve"> </w:t>
      </w:r>
      <w:r w:rsidRPr="002D28D0">
        <w:t>Sesión del 13 de agosto de 2019. Votación por unanimidad. Con voto particular de la Comisionada Josefina Román Vergara. Suprema Corte de Justicia de la Nación. Comisionada Ponente Josefina Román Vergara.</w:t>
      </w:r>
    </w:p>
    <w:p w14:paraId="65E5F17E" w14:textId="77777777" w:rsidR="00300AAE" w:rsidRPr="002D28D0" w:rsidRDefault="00300AAE" w:rsidP="00300AAE">
      <w:pPr>
        <w:pStyle w:val="Citas"/>
        <w:numPr>
          <w:ilvl w:val="0"/>
          <w:numId w:val="3"/>
        </w:numPr>
        <w:rPr>
          <w:color w:val="000000"/>
        </w:rPr>
      </w:pPr>
      <w:r w:rsidRPr="002D28D0">
        <w:t>Acceso a la información Pública. RRA 5774/19.</w:t>
      </w:r>
      <w:r w:rsidRPr="002D28D0">
        <w:rPr>
          <w:b/>
        </w:rPr>
        <w:t xml:space="preserve"> </w:t>
      </w:r>
      <w:r w:rsidRPr="002D28D0">
        <w:t xml:space="preserve">Sesión del 21 de agosto de 2019. Votación por mayoría. Con voto disidente del Comisionado Joel Salas Suárez. Secretaría de Marina. Comisionada Ponente Blanca Lilia Ibarra Cadena.” </w:t>
      </w:r>
      <w:r w:rsidRPr="002D28D0">
        <w:rPr>
          <w:b/>
          <w:bCs/>
        </w:rPr>
        <w:t>(Sic)</w:t>
      </w:r>
    </w:p>
    <w:p w14:paraId="416E4BFC" w14:textId="77777777" w:rsidR="00300AAE" w:rsidRPr="002D28D0" w:rsidRDefault="00300AAE" w:rsidP="00300AAE">
      <w:pPr>
        <w:spacing w:before="240" w:after="240" w:line="360" w:lineRule="auto"/>
        <w:jc w:val="both"/>
        <w:rPr>
          <w:rFonts w:ascii="Palatino Linotype" w:hAnsi="Palatino Linotype" w:cs="Arial"/>
          <w:sz w:val="24"/>
          <w:szCs w:val="24"/>
          <w:lang w:eastAsia="es-MX"/>
        </w:rPr>
      </w:pPr>
    </w:p>
    <w:p w14:paraId="3F65DAE3" w14:textId="77777777" w:rsidR="00300AAE" w:rsidRPr="002D28D0" w:rsidRDefault="00300AAE" w:rsidP="00300AAE">
      <w:pPr>
        <w:spacing w:before="240" w:after="240" w:line="360" w:lineRule="auto"/>
        <w:jc w:val="both"/>
        <w:rPr>
          <w:rFonts w:ascii="Palatino Linotype" w:eastAsia="Calibri" w:hAnsi="Palatino Linotype" w:cs="Arial"/>
          <w:sz w:val="24"/>
          <w:szCs w:val="24"/>
          <w:lang w:eastAsia="es-MX"/>
        </w:rPr>
      </w:pPr>
      <w:r w:rsidRPr="002D28D0">
        <w:rPr>
          <w:rFonts w:ascii="Palatino Linotype" w:hAnsi="Palatino Linotype" w:cs="Arial"/>
          <w:sz w:val="24"/>
          <w:szCs w:val="24"/>
          <w:lang w:eastAsia="es-MX"/>
        </w:rPr>
        <w:lastRenderedPageBreak/>
        <w:t xml:space="preserve">En cuanto a la </w:t>
      </w:r>
      <w:r w:rsidRPr="002D28D0">
        <w:rPr>
          <w:rFonts w:ascii="Palatino Linotype" w:hAnsi="Palatino Linotype" w:cs="Arial"/>
          <w:sz w:val="24"/>
          <w:szCs w:val="24"/>
        </w:rPr>
        <w:t xml:space="preserve">Clave Única de Registro de Población (CURP) en virtud de que éste se </w:t>
      </w:r>
      <w:r w:rsidRPr="002D28D0">
        <w:rPr>
          <w:rFonts w:ascii="Palatino Linotype" w:eastAsia="Calibri" w:hAnsi="Palatino Linotype" w:cs="Arial"/>
          <w:sz w:val="24"/>
          <w:szCs w:val="24"/>
          <w:lang w:eastAsia="es-MX"/>
        </w:rPr>
        <w:t>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14:paraId="418B1639" w14:textId="77777777" w:rsidR="00300AAE" w:rsidRPr="002D28D0" w:rsidRDefault="00300AAE" w:rsidP="00300AAE">
      <w:pPr>
        <w:spacing w:before="240" w:after="240" w:line="360" w:lineRule="auto"/>
        <w:ind w:right="-91"/>
        <w:jc w:val="both"/>
        <w:rPr>
          <w:rFonts w:ascii="Palatino Linotype" w:eastAsia="Times New Roman" w:hAnsi="Palatino Linotype" w:cs="Arial"/>
          <w:sz w:val="24"/>
          <w:szCs w:val="24"/>
        </w:rPr>
      </w:pPr>
      <w:r w:rsidRPr="002D28D0">
        <w:rPr>
          <w:rFonts w:ascii="Palatino Linotype" w:hAnsi="Palatino Linotype" w:cs="Arial"/>
          <w:sz w:val="24"/>
          <w:szCs w:val="24"/>
        </w:rPr>
        <w:t xml:space="preserve">Argumento que es compartido por el </w:t>
      </w:r>
      <w:r w:rsidRPr="002D28D0">
        <w:rPr>
          <w:rStyle w:val="Textoennegrita"/>
          <w:rFonts w:ascii="Palatino Linotype" w:hAnsi="Palatino Linotype" w:cs="Arial"/>
          <w:sz w:val="24"/>
          <w:szCs w:val="24"/>
        </w:rPr>
        <w:t xml:space="preserve">Instituto Nacional de Transparencia, Acceso a la Información y Protección de Datos Personales, conforme al </w:t>
      </w:r>
      <w:r w:rsidRPr="002D28D0">
        <w:rPr>
          <w:rFonts w:ascii="Palatino Linotype" w:eastAsia="Times New Roman" w:hAnsi="Palatino Linotype" w:cs="Arial"/>
          <w:sz w:val="24"/>
          <w:szCs w:val="24"/>
        </w:rPr>
        <w:t xml:space="preserve">criterio número 18/17 el cual refiere: </w:t>
      </w:r>
    </w:p>
    <w:p w14:paraId="0FE067CB" w14:textId="77777777" w:rsidR="00300AAE" w:rsidRPr="002D28D0" w:rsidRDefault="00300AAE" w:rsidP="00300AAE">
      <w:pPr>
        <w:autoSpaceDE w:val="0"/>
        <w:autoSpaceDN w:val="0"/>
        <w:adjustRightInd w:val="0"/>
        <w:spacing w:before="240" w:line="360" w:lineRule="auto"/>
        <w:ind w:left="851" w:right="851"/>
        <w:jc w:val="center"/>
        <w:rPr>
          <w:rFonts w:ascii="Palatino Linotype" w:eastAsia="Times New Roman" w:hAnsi="Palatino Linotype" w:cs="Arial"/>
          <w:b/>
          <w:bCs/>
          <w:i/>
          <w:lang w:eastAsia="es-MX"/>
        </w:rPr>
      </w:pPr>
      <w:r w:rsidRPr="002D28D0">
        <w:rPr>
          <w:rFonts w:ascii="Palatino Linotype" w:eastAsia="Times New Roman" w:hAnsi="Palatino Linotype" w:cs="Arial"/>
          <w:bCs/>
          <w:i/>
          <w:lang w:eastAsia="es-MX"/>
        </w:rPr>
        <w:t>“</w:t>
      </w:r>
      <w:r w:rsidRPr="002D28D0">
        <w:rPr>
          <w:rFonts w:ascii="Palatino Linotype" w:eastAsia="Times New Roman" w:hAnsi="Palatino Linotype" w:cs="Arial"/>
          <w:b/>
          <w:bCs/>
          <w:i/>
          <w:lang w:eastAsia="es-MX"/>
        </w:rPr>
        <w:t>CLAVE ÚNICA DE REGISTRO DE POBLACIÓN (CURP).</w:t>
      </w:r>
    </w:p>
    <w:p w14:paraId="2EFA9D7B"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
          <w:bCs/>
          <w:i/>
          <w:lang w:eastAsia="es-MX"/>
        </w:rPr>
      </w:pPr>
      <w:r w:rsidRPr="002D28D0">
        <w:rPr>
          <w:rFonts w:ascii="Palatino Linotype" w:eastAsia="Times New Roman" w:hAnsi="Palatino Linotype" w:cs="Arial"/>
          <w:bCs/>
          <w:i/>
          <w:lang w:eastAsia="es-MX"/>
        </w:rPr>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w:t>
      </w:r>
    </w:p>
    <w:p w14:paraId="5F783D24"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2D28D0">
        <w:rPr>
          <w:rFonts w:ascii="Palatino Linotype" w:eastAsia="Times New Roman" w:hAnsi="Palatino Linotype" w:cs="Arial"/>
          <w:i/>
          <w:lang w:eastAsia="es-MX"/>
        </w:rPr>
        <w:t xml:space="preserve"> </w:t>
      </w:r>
      <w:r w:rsidRPr="002D28D0">
        <w:rPr>
          <w:rFonts w:ascii="Palatino Linotype" w:eastAsia="Times New Roman" w:hAnsi="Palatino Linotype" w:cs="Arial"/>
          <w:b/>
          <w:i/>
          <w:lang w:eastAsia="es-MX"/>
        </w:rPr>
        <w:t>Resoluciones:</w:t>
      </w:r>
    </w:p>
    <w:p w14:paraId="22CE7688"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2D28D0">
        <w:rPr>
          <w:rFonts w:ascii="Palatino Linotype" w:eastAsia="Times New Roman" w:hAnsi="Palatino Linotype" w:cs="Arial"/>
          <w:b/>
          <w:i/>
          <w:lang w:eastAsia="es-MX"/>
        </w:rPr>
        <w:t xml:space="preserve">RRA 3995/16. </w:t>
      </w:r>
      <w:r w:rsidRPr="002D28D0">
        <w:rPr>
          <w:rFonts w:ascii="Palatino Linotype" w:eastAsia="Times New Roman" w:hAnsi="Palatino Linotype" w:cs="Arial"/>
          <w:i/>
          <w:lang w:eastAsia="es-MX"/>
        </w:rPr>
        <w:t xml:space="preserve">Secretaría de la Defensa Nacional. 1 de febrero de 2017. Por unanimidad. Comisionado Ponente </w:t>
      </w:r>
      <w:proofErr w:type="spellStart"/>
      <w:r w:rsidRPr="002D28D0">
        <w:rPr>
          <w:rFonts w:ascii="Palatino Linotype" w:eastAsia="Times New Roman" w:hAnsi="Palatino Linotype" w:cs="Arial"/>
          <w:i/>
          <w:lang w:eastAsia="es-MX"/>
        </w:rPr>
        <w:t>Rosendoevgueni</w:t>
      </w:r>
      <w:proofErr w:type="spellEnd"/>
      <w:r w:rsidRPr="002D28D0">
        <w:rPr>
          <w:rFonts w:ascii="Palatino Linotype" w:eastAsia="Times New Roman" w:hAnsi="Palatino Linotype" w:cs="Arial"/>
          <w:i/>
          <w:lang w:eastAsia="es-MX"/>
        </w:rPr>
        <w:t xml:space="preserve"> Monterrey </w:t>
      </w:r>
      <w:proofErr w:type="spellStart"/>
      <w:r w:rsidRPr="002D28D0">
        <w:rPr>
          <w:rFonts w:ascii="Palatino Linotype" w:eastAsia="Times New Roman" w:hAnsi="Palatino Linotype" w:cs="Arial"/>
          <w:i/>
          <w:lang w:eastAsia="es-MX"/>
        </w:rPr>
        <w:t>Chepov</w:t>
      </w:r>
      <w:proofErr w:type="spellEnd"/>
      <w:r w:rsidRPr="002D28D0">
        <w:rPr>
          <w:rFonts w:ascii="Palatino Linotype" w:eastAsia="Times New Roman" w:hAnsi="Palatino Linotype" w:cs="Arial"/>
          <w:i/>
          <w:lang w:eastAsia="es-MX"/>
        </w:rPr>
        <w:t>.</w:t>
      </w:r>
    </w:p>
    <w:p w14:paraId="65A5FAD3"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2D28D0">
        <w:rPr>
          <w:rFonts w:ascii="Palatino Linotype" w:eastAsia="Times New Roman" w:hAnsi="Palatino Linotype" w:cs="Arial"/>
          <w:b/>
          <w:i/>
          <w:lang w:eastAsia="es-MX"/>
        </w:rPr>
        <w:t xml:space="preserve">RRA </w:t>
      </w:r>
      <w:r w:rsidRPr="002D28D0">
        <w:rPr>
          <w:rFonts w:ascii="Palatino Linotype" w:eastAsia="Times New Roman" w:hAnsi="Palatino Linotype" w:cs="Arial"/>
          <w:b/>
          <w:bCs/>
          <w:i/>
          <w:lang w:eastAsia="es-MX"/>
        </w:rPr>
        <w:t xml:space="preserve">0937/17. </w:t>
      </w:r>
      <w:r w:rsidRPr="002D28D0">
        <w:rPr>
          <w:rFonts w:ascii="Palatino Linotype" w:eastAsia="Times New Roman" w:hAnsi="Palatino Linotype" w:cs="Arial"/>
          <w:bCs/>
          <w:i/>
          <w:lang w:eastAsia="es-MX"/>
        </w:rPr>
        <w:t xml:space="preserve">Senado de la República. </w:t>
      </w:r>
      <w:r w:rsidRPr="002D28D0">
        <w:rPr>
          <w:rFonts w:ascii="Palatino Linotype" w:eastAsia="Times New Roman" w:hAnsi="Palatino Linotype" w:cs="Arial"/>
          <w:bCs/>
          <w:i/>
          <w:lang w:val="es-ES_tradnl" w:eastAsia="es-MX"/>
        </w:rPr>
        <w:t xml:space="preserve">15 de marzo de 2017. Por unanimidad. Comisionada Ponente Ximena Puente de la Mora. </w:t>
      </w:r>
    </w:p>
    <w:p w14:paraId="2B944C11" w14:textId="77777777" w:rsidR="00300AAE" w:rsidRPr="002D28D0" w:rsidRDefault="00300AAE" w:rsidP="00300AAE">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2D28D0">
        <w:rPr>
          <w:rFonts w:ascii="Palatino Linotype" w:eastAsia="Times New Roman" w:hAnsi="Palatino Linotype" w:cs="Arial"/>
          <w:b/>
          <w:i/>
          <w:lang w:eastAsia="es-MX"/>
        </w:rPr>
        <w:t xml:space="preserve">RRA 0478/17. </w:t>
      </w:r>
      <w:r w:rsidRPr="002D28D0">
        <w:rPr>
          <w:rFonts w:ascii="Palatino Linotype" w:eastAsia="Times New Roman" w:hAnsi="Palatino Linotype" w:cs="Arial"/>
          <w:i/>
          <w:lang w:eastAsia="es-MX"/>
        </w:rPr>
        <w:t xml:space="preserve">Secretaría de Relaciones Exteriores. 26 de abril de 2017. Por unanimidad. Comisionada Ponente Areli Cano Guadiana.” </w:t>
      </w:r>
      <w:r w:rsidRPr="002D28D0">
        <w:rPr>
          <w:rFonts w:ascii="Palatino Linotype" w:eastAsia="Times New Roman" w:hAnsi="Palatino Linotype" w:cs="Arial"/>
          <w:b/>
          <w:i/>
          <w:lang w:eastAsia="es-MX"/>
        </w:rPr>
        <w:t>[Sic]</w:t>
      </w:r>
    </w:p>
    <w:p w14:paraId="1E0ABF83" w14:textId="77777777" w:rsidR="00300AAE" w:rsidRPr="002D28D0" w:rsidRDefault="00300AAE" w:rsidP="00300AAE">
      <w:pPr>
        <w:spacing w:after="0" w:line="360" w:lineRule="auto"/>
        <w:ind w:right="51"/>
        <w:jc w:val="both"/>
        <w:rPr>
          <w:rFonts w:ascii="Palatino Linotype" w:hAnsi="Palatino Linotype" w:cs="Arial"/>
          <w:sz w:val="24"/>
          <w:szCs w:val="24"/>
        </w:rPr>
      </w:pPr>
      <w:r w:rsidRPr="002D28D0">
        <w:rPr>
          <w:rFonts w:ascii="Palatino Linotype" w:hAnsi="Palatino Linotype" w:cs="Arial"/>
          <w:sz w:val="24"/>
          <w:szCs w:val="24"/>
        </w:rPr>
        <w:lastRenderedPageBreak/>
        <w:t xml:space="preserve">Lo anterior, sólo en caso de advertir información susceptible de clasificar, por ende, resulta necesario que el Comité de Transparencia del Sujeto Obligado emita el Acuerdo de Clasificación correspondiente que sustente la versión pública, el cual deberá cumplir cabalmente las formalidades previstas en el artículo 137 de la Ley de Transparencia y Acceso a la Información Pública del Estado de México y Municipios, así como los numerales aplicables de los </w:t>
      </w:r>
      <w:r w:rsidRPr="002D28D0">
        <w:rPr>
          <w:rFonts w:ascii="Palatino Linotype" w:hAnsi="Palatino Linotype" w:cs="Arial"/>
          <w:b/>
          <w:sz w:val="24"/>
          <w:szCs w:val="24"/>
        </w:rPr>
        <w:t>LINEAMIENTOS GENERALES EN MATERIA DE CLASIFICACIÓN Y DESCLASIFICACIÓN DE LA INFORMACIÓN, ASÍ COMO PARA LA ELABORACIÓN DE VERSIONES PÚBLICAS,</w:t>
      </w:r>
      <w:r w:rsidRPr="002D28D0">
        <w:rPr>
          <w:rFonts w:ascii="Palatino Linotype" w:hAnsi="Palatino Linotype" w:cs="Arial"/>
          <w:sz w:val="24"/>
          <w:szCs w:val="24"/>
        </w:rPr>
        <w:t xml:space="preserve"> publicados en el Diario Oficial de la Federación en fecha quince de abril de dos mil dieciséis, mediante Acuerdo del Consejo Nacional del Sistema Nacional de Transparencia, Acceso a la Información Pública y Protección de Datos Personales. </w:t>
      </w:r>
    </w:p>
    <w:p w14:paraId="2A64C29E" w14:textId="19C651AC" w:rsidR="00D12653" w:rsidRPr="002D28D0" w:rsidRDefault="00D12653" w:rsidP="00D12653">
      <w:pPr>
        <w:tabs>
          <w:tab w:val="left" w:pos="709"/>
        </w:tabs>
        <w:spacing w:before="240" w:line="360" w:lineRule="auto"/>
        <w:ind w:right="51"/>
        <w:jc w:val="both"/>
        <w:rPr>
          <w:rFonts w:ascii="Palatino Linotype" w:hAnsi="Palatino Linotype"/>
          <w:sz w:val="24"/>
          <w:szCs w:val="24"/>
        </w:rPr>
      </w:pPr>
      <w:r w:rsidRPr="002D28D0">
        <w:rPr>
          <w:rFonts w:ascii="Palatino Linotype" w:hAnsi="Palatino Linotype"/>
          <w:iCs/>
          <w:sz w:val="24"/>
          <w:szCs w:val="24"/>
        </w:rPr>
        <w:t xml:space="preserve">En mérito de lo expuesto </w:t>
      </w:r>
      <w:r w:rsidRPr="002D28D0">
        <w:rPr>
          <w:rFonts w:ascii="Palatino Linotype" w:hAnsi="Palatino Linotype"/>
          <w:sz w:val="24"/>
          <w:szCs w:val="24"/>
        </w:rPr>
        <w:t xml:space="preserve">en líneas anteriores, resultan parcialmente fundados los motivos de inconformidad vertidos por </w:t>
      </w:r>
      <w:r w:rsidRPr="002D28D0">
        <w:rPr>
          <w:rFonts w:ascii="Palatino Linotype" w:hAnsi="Palatino Linotype"/>
          <w:b/>
          <w:sz w:val="24"/>
          <w:szCs w:val="24"/>
        </w:rPr>
        <w:t xml:space="preserve">El Recurrente, </w:t>
      </w:r>
      <w:r w:rsidRPr="002D28D0">
        <w:rPr>
          <w:rFonts w:ascii="Palatino Linotype" w:hAnsi="Palatino Linotype"/>
          <w:sz w:val="24"/>
          <w:szCs w:val="24"/>
        </w:rPr>
        <w:t xml:space="preserve">por ello con fundamento en el artículo 186 fracción III de la Ley de Transparencia y Acceso a la Información Pública del Estado de México y Municipios, se </w:t>
      </w:r>
      <w:r w:rsidRPr="002D28D0">
        <w:rPr>
          <w:rFonts w:ascii="Palatino Linotype" w:hAnsi="Palatino Linotype"/>
          <w:b/>
          <w:sz w:val="24"/>
          <w:szCs w:val="24"/>
        </w:rPr>
        <w:t xml:space="preserve">MODIFICA </w:t>
      </w:r>
      <w:r w:rsidRPr="002D28D0">
        <w:rPr>
          <w:rFonts w:ascii="Palatino Linotype" w:hAnsi="Palatino Linotype"/>
          <w:sz w:val="24"/>
          <w:szCs w:val="24"/>
        </w:rPr>
        <w:t xml:space="preserve">la respuesta a la solicitud de información </w:t>
      </w:r>
      <w:r w:rsidR="005930E6" w:rsidRPr="002D28D0">
        <w:rPr>
          <w:rFonts w:ascii="Palatino Linotype" w:hAnsi="Palatino Linotype"/>
          <w:b/>
          <w:sz w:val="24"/>
          <w:szCs w:val="24"/>
        </w:rPr>
        <w:t>02835/TOLUCA/IP/2022</w:t>
      </w:r>
      <w:r w:rsidRPr="002D28D0">
        <w:rPr>
          <w:rFonts w:ascii="Palatino Linotype" w:hAnsi="Palatino Linotype"/>
          <w:b/>
          <w:sz w:val="24"/>
          <w:szCs w:val="24"/>
        </w:rPr>
        <w:t xml:space="preserve">, </w:t>
      </w:r>
      <w:r w:rsidRPr="002D28D0">
        <w:rPr>
          <w:rFonts w:ascii="Palatino Linotype" w:hAnsi="Palatino Linotype"/>
          <w:sz w:val="24"/>
          <w:szCs w:val="24"/>
        </w:rPr>
        <w:t xml:space="preserve">que ha sido materia del presente fallo. </w:t>
      </w:r>
    </w:p>
    <w:p w14:paraId="768AE942" w14:textId="256A4DE9" w:rsidR="00D12653" w:rsidRPr="002D28D0" w:rsidRDefault="004853F7" w:rsidP="00D12653">
      <w:pPr>
        <w:pStyle w:val="Prrafodelista"/>
        <w:spacing w:before="240" w:after="240" w:line="360" w:lineRule="auto"/>
        <w:ind w:left="0"/>
        <w:jc w:val="both"/>
        <w:rPr>
          <w:rFonts w:ascii="Palatino Linotype" w:hAnsi="Palatino Linotype"/>
        </w:rPr>
      </w:pPr>
      <w:r w:rsidRPr="002D28D0">
        <w:rPr>
          <w:rFonts w:ascii="Palatino Linotype" w:hAnsi="Palatino Linotype"/>
          <w:noProof/>
          <w:lang w:val="es-MX" w:eastAsia="es-MX"/>
        </w:rPr>
        <mc:AlternateContent>
          <mc:Choice Requires="wps">
            <w:drawing>
              <wp:anchor distT="0" distB="0" distL="114300" distR="114300" simplePos="0" relativeHeight="251714558" behindDoc="0" locked="0" layoutInCell="1" allowOverlap="1" wp14:anchorId="7A3BA74D" wp14:editId="346AB37E">
                <wp:simplePos x="0" y="0"/>
                <wp:positionH relativeFrom="column">
                  <wp:posOffset>-241936</wp:posOffset>
                </wp:positionH>
                <wp:positionV relativeFrom="paragraph">
                  <wp:posOffset>502284</wp:posOffset>
                </wp:positionV>
                <wp:extent cx="6188529" cy="2100943"/>
                <wp:effectExtent l="0" t="0" r="22225" b="33020"/>
                <wp:wrapNone/>
                <wp:docPr id="10" name="Straight Connector 10"/>
                <wp:cNvGraphicFramePr/>
                <a:graphic xmlns:a="http://schemas.openxmlformats.org/drawingml/2006/main">
                  <a:graphicData uri="http://schemas.microsoft.com/office/word/2010/wordprocessingShape">
                    <wps:wsp>
                      <wps:cNvCnPr/>
                      <wps:spPr>
                        <a:xfrm>
                          <a:off x="0" y="0"/>
                          <a:ext cx="6188529" cy="210094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5AED99" id="Straight Connector 10" o:spid="_x0000_s1026" style="position:absolute;z-index:251714558;visibility:visible;mso-wrap-style:square;mso-wrap-distance-left:9pt;mso-wrap-distance-top:0;mso-wrap-distance-right:9pt;mso-wrap-distance-bottom:0;mso-position-horizontal:absolute;mso-position-horizontal-relative:text;mso-position-vertical:absolute;mso-position-vertical-relative:text" from="-19.05pt,39.55pt" to="468.2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" strokecolor="#5b9bd5 [3204]" strokeweight=".5pt">
                <v:stroke joinstyle="miter"/>
              </v:line>
            </w:pict>
          </mc:Fallback>
        </mc:AlternateContent>
      </w:r>
      <w:r w:rsidR="00D12653" w:rsidRPr="002D28D0">
        <w:rPr>
          <w:rFonts w:ascii="Palatino Linotype" w:hAnsi="Palatino Linotype"/>
        </w:rPr>
        <w:t xml:space="preserve">Por lo antes expuesto y fundado es de resolverse y, </w:t>
      </w:r>
    </w:p>
    <w:p w14:paraId="1B1DA853" w14:textId="74BCD51B" w:rsidR="004853F7" w:rsidRPr="002D28D0" w:rsidRDefault="004853F7" w:rsidP="00D12653">
      <w:pPr>
        <w:spacing w:before="240" w:line="360" w:lineRule="auto"/>
        <w:jc w:val="center"/>
        <w:rPr>
          <w:rFonts w:ascii="Palatino Linotype" w:eastAsia="Times New Roman" w:hAnsi="Palatino Linotype"/>
          <w:b/>
          <w:bCs/>
          <w:spacing w:val="60"/>
          <w:sz w:val="28"/>
          <w:szCs w:val="28"/>
          <w:lang w:val="es-ES_tradnl"/>
        </w:rPr>
      </w:pPr>
    </w:p>
    <w:p w14:paraId="0B4855B6" w14:textId="710CE5FB" w:rsidR="004853F7" w:rsidRPr="002D28D0" w:rsidRDefault="004853F7" w:rsidP="00D12653">
      <w:pPr>
        <w:spacing w:before="240" w:line="360" w:lineRule="auto"/>
        <w:jc w:val="center"/>
        <w:rPr>
          <w:rFonts w:ascii="Palatino Linotype" w:eastAsia="Times New Roman" w:hAnsi="Palatino Linotype"/>
          <w:b/>
          <w:bCs/>
          <w:spacing w:val="60"/>
          <w:sz w:val="28"/>
          <w:szCs w:val="28"/>
          <w:lang w:val="es-ES_tradnl"/>
        </w:rPr>
      </w:pPr>
    </w:p>
    <w:p w14:paraId="16DFB73C" w14:textId="1F8545C0" w:rsidR="004853F7" w:rsidRPr="002D28D0" w:rsidRDefault="004853F7" w:rsidP="00D12653">
      <w:pPr>
        <w:spacing w:before="240" w:line="360" w:lineRule="auto"/>
        <w:jc w:val="center"/>
        <w:rPr>
          <w:rFonts w:ascii="Palatino Linotype" w:eastAsia="Times New Roman" w:hAnsi="Palatino Linotype"/>
          <w:b/>
          <w:bCs/>
          <w:spacing w:val="60"/>
          <w:sz w:val="28"/>
          <w:szCs w:val="28"/>
          <w:lang w:val="es-ES_tradnl"/>
        </w:rPr>
      </w:pPr>
    </w:p>
    <w:p w14:paraId="56D19F21" w14:textId="77777777" w:rsidR="004853F7" w:rsidRPr="002D28D0" w:rsidRDefault="004853F7" w:rsidP="00D12653">
      <w:pPr>
        <w:spacing w:before="240" w:line="360" w:lineRule="auto"/>
        <w:jc w:val="center"/>
        <w:rPr>
          <w:rFonts w:ascii="Palatino Linotype" w:eastAsia="Times New Roman" w:hAnsi="Palatino Linotype"/>
          <w:b/>
          <w:bCs/>
          <w:spacing w:val="60"/>
          <w:sz w:val="28"/>
          <w:szCs w:val="28"/>
          <w:lang w:val="es-ES_tradnl"/>
        </w:rPr>
      </w:pPr>
    </w:p>
    <w:p w14:paraId="4E6131E8" w14:textId="4F84221E" w:rsidR="00D12653" w:rsidRPr="002D28D0" w:rsidRDefault="00D12653" w:rsidP="00D12653">
      <w:pPr>
        <w:spacing w:before="240" w:line="360" w:lineRule="auto"/>
        <w:jc w:val="center"/>
        <w:rPr>
          <w:rFonts w:ascii="Palatino Linotype" w:eastAsia="Times New Roman" w:hAnsi="Palatino Linotype"/>
          <w:b/>
          <w:bCs/>
          <w:spacing w:val="60"/>
          <w:sz w:val="28"/>
          <w:szCs w:val="28"/>
          <w:lang w:val="es-ES_tradnl"/>
        </w:rPr>
      </w:pPr>
      <w:r w:rsidRPr="002D28D0">
        <w:rPr>
          <w:rFonts w:ascii="Palatino Linotype" w:eastAsia="Times New Roman" w:hAnsi="Palatino Linotype"/>
          <w:b/>
          <w:bCs/>
          <w:spacing w:val="60"/>
          <w:sz w:val="28"/>
          <w:szCs w:val="28"/>
          <w:lang w:val="es-ES_tradnl"/>
        </w:rPr>
        <w:lastRenderedPageBreak/>
        <w:t>SE    RESUELVE</w:t>
      </w:r>
    </w:p>
    <w:p w14:paraId="01C468A7" w14:textId="7D156342" w:rsidR="00D12653" w:rsidRPr="002D28D0" w:rsidRDefault="00D12653" w:rsidP="00D12653">
      <w:pPr>
        <w:spacing w:before="240" w:line="360" w:lineRule="auto"/>
        <w:jc w:val="both"/>
        <w:rPr>
          <w:rFonts w:ascii="Palatino Linotype" w:hAnsi="Palatino Linotype" w:cs="Arial"/>
          <w:sz w:val="24"/>
        </w:rPr>
      </w:pPr>
      <w:r w:rsidRPr="002D28D0">
        <w:rPr>
          <w:rFonts w:ascii="Palatino Linotype" w:hAnsi="Palatino Linotype" w:cs="Arial"/>
          <w:b/>
          <w:sz w:val="28"/>
          <w:szCs w:val="28"/>
          <w:lang w:val="es-ES_tradnl"/>
        </w:rPr>
        <w:t>PRIMERO.</w:t>
      </w:r>
      <w:r w:rsidRPr="002D28D0">
        <w:rPr>
          <w:rFonts w:ascii="Palatino Linotype" w:hAnsi="Palatino Linotype" w:cs="Arial"/>
          <w:sz w:val="24"/>
          <w:szCs w:val="24"/>
          <w:lang w:val="es-ES_tradnl"/>
        </w:rPr>
        <w:t xml:space="preserve"> </w:t>
      </w:r>
      <w:r w:rsidRPr="002D28D0">
        <w:rPr>
          <w:rFonts w:ascii="Palatino Linotype" w:hAnsi="Palatino Linotype" w:cs="Arial"/>
          <w:sz w:val="24"/>
          <w:szCs w:val="24"/>
        </w:rPr>
        <w:t xml:space="preserve">Se </w:t>
      </w:r>
      <w:r w:rsidRPr="002D28D0">
        <w:rPr>
          <w:rFonts w:ascii="Palatino Linotype" w:hAnsi="Palatino Linotype" w:cs="Arial"/>
          <w:b/>
          <w:sz w:val="24"/>
          <w:szCs w:val="24"/>
        </w:rPr>
        <w:t xml:space="preserve">MODIFICA </w:t>
      </w:r>
      <w:r w:rsidRPr="002D28D0">
        <w:rPr>
          <w:rFonts w:ascii="Palatino Linotype" w:hAnsi="Palatino Linotype" w:cs="Arial"/>
          <w:sz w:val="24"/>
          <w:szCs w:val="24"/>
        </w:rPr>
        <w:t xml:space="preserve">la respuesta entregada por </w:t>
      </w:r>
      <w:r w:rsidRPr="002D28D0">
        <w:rPr>
          <w:rFonts w:ascii="Palatino Linotype" w:hAnsi="Palatino Linotype" w:cs="Arial"/>
          <w:b/>
          <w:sz w:val="24"/>
          <w:szCs w:val="24"/>
        </w:rPr>
        <w:t xml:space="preserve">EL SUJETO OBLIGADO, </w:t>
      </w:r>
      <w:r w:rsidRPr="002D28D0">
        <w:rPr>
          <w:rFonts w:ascii="Palatino Linotype" w:hAnsi="Palatino Linotype" w:cs="Arial"/>
          <w:sz w:val="24"/>
          <w:szCs w:val="24"/>
        </w:rPr>
        <w:t xml:space="preserve">a la solicitud de información número </w:t>
      </w:r>
      <w:r w:rsidR="005930E6" w:rsidRPr="002D28D0">
        <w:rPr>
          <w:rFonts w:ascii="Palatino Linotype" w:hAnsi="Palatino Linotype"/>
          <w:b/>
          <w:sz w:val="24"/>
          <w:szCs w:val="24"/>
        </w:rPr>
        <w:t>02835/TOLUCA/IP/2022</w:t>
      </w:r>
      <w:r w:rsidRPr="002D28D0">
        <w:rPr>
          <w:rFonts w:ascii="Palatino Linotype" w:hAnsi="Palatino Linotype" w:cs="Arial"/>
          <w:b/>
          <w:sz w:val="24"/>
        </w:rPr>
        <w:t xml:space="preserve">, </w:t>
      </w:r>
      <w:r w:rsidRPr="002D28D0">
        <w:rPr>
          <w:rFonts w:ascii="Palatino Linotype" w:hAnsi="Palatino Linotype" w:cs="Arial"/>
          <w:sz w:val="24"/>
        </w:rPr>
        <w:t xml:space="preserve">por resultar parcialmente fundados los motivos de inconformidad que arguye </w:t>
      </w:r>
      <w:r w:rsidRPr="002D28D0">
        <w:rPr>
          <w:rFonts w:ascii="Palatino Linotype" w:hAnsi="Palatino Linotype" w:cs="Arial"/>
          <w:b/>
          <w:sz w:val="24"/>
        </w:rPr>
        <w:t xml:space="preserve">EL RECURRENTE, </w:t>
      </w:r>
      <w:r w:rsidRPr="002D28D0">
        <w:rPr>
          <w:rFonts w:ascii="Palatino Linotype" w:hAnsi="Palatino Linotype" w:cs="Arial"/>
          <w:sz w:val="24"/>
        </w:rPr>
        <w:t xml:space="preserve">en términos del </w:t>
      </w:r>
      <w:r w:rsidRPr="002D28D0">
        <w:rPr>
          <w:rFonts w:ascii="Palatino Linotype" w:hAnsi="Palatino Linotype" w:cs="Arial"/>
          <w:b/>
          <w:sz w:val="24"/>
        </w:rPr>
        <w:t xml:space="preserve">Considerando CUARTO </w:t>
      </w:r>
      <w:r w:rsidRPr="002D28D0">
        <w:rPr>
          <w:rFonts w:ascii="Palatino Linotype" w:hAnsi="Palatino Linotype" w:cs="Arial"/>
          <w:sz w:val="24"/>
        </w:rPr>
        <w:t xml:space="preserve">de la presente resolución. </w:t>
      </w:r>
    </w:p>
    <w:p w14:paraId="67772E49" w14:textId="62379EC7" w:rsidR="00D12653" w:rsidRPr="002D28D0" w:rsidRDefault="00D12653" w:rsidP="00A3394A">
      <w:pPr>
        <w:spacing w:after="0" w:line="360" w:lineRule="auto"/>
        <w:ind w:right="51"/>
        <w:jc w:val="both"/>
        <w:rPr>
          <w:rFonts w:ascii="Palatino Linotype" w:hAnsi="Palatino Linotype" w:cs="Arial"/>
          <w:sz w:val="24"/>
          <w:szCs w:val="24"/>
        </w:rPr>
      </w:pPr>
    </w:p>
    <w:p w14:paraId="7CBE464F" w14:textId="7D270B1B" w:rsidR="00E761C2" w:rsidRPr="002D28D0" w:rsidRDefault="00E761C2" w:rsidP="00E761C2">
      <w:pPr>
        <w:autoSpaceDE w:val="0"/>
        <w:autoSpaceDN w:val="0"/>
        <w:adjustRightInd w:val="0"/>
        <w:spacing w:before="240" w:line="360" w:lineRule="auto"/>
        <w:ind w:right="49"/>
        <w:jc w:val="both"/>
        <w:rPr>
          <w:rFonts w:ascii="Palatino Linotype" w:hAnsi="Palatino Linotype" w:cs="Arial"/>
          <w:sz w:val="24"/>
          <w:szCs w:val="24"/>
        </w:rPr>
      </w:pPr>
      <w:r w:rsidRPr="002D28D0">
        <w:rPr>
          <w:rFonts w:ascii="Palatino Linotype" w:hAnsi="Palatino Linotype" w:cs="Arial"/>
          <w:b/>
          <w:sz w:val="28"/>
          <w:szCs w:val="28"/>
          <w:lang w:val="es-ES_tradnl"/>
        </w:rPr>
        <w:t>SEGUNDO.</w:t>
      </w:r>
      <w:r w:rsidRPr="002D28D0">
        <w:rPr>
          <w:rFonts w:ascii="Palatino Linotype" w:hAnsi="Palatino Linotype" w:cs="Arial"/>
          <w:sz w:val="28"/>
          <w:szCs w:val="28"/>
        </w:rPr>
        <w:t xml:space="preserve"> </w:t>
      </w:r>
      <w:r w:rsidRPr="002D28D0">
        <w:rPr>
          <w:rFonts w:ascii="Palatino Linotype" w:hAnsi="Palatino Linotype" w:cs="Arial"/>
          <w:sz w:val="24"/>
          <w:szCs w:val="24"/>
        </w:rPr>
        <w:t xml:space="preserve">Se </w:t>
      </w:r>
      <w:r w:rsidRPr="002D28D0">
        <w:rPr>
          <w:rFonts w:ascii="Palatino Linotype" w:hAnsi="Palatino Linotype" w:cs="Arial"/>
          <w:b/>
          <w:sz w:val="24"/>
          <w:szCs w:val="24"/>
        </w:rPr>
        <w:t>ORDENA</w:t>
      </w:r>
      <w:r w:rsidRPr="002D28D0">
        <w:rPr>
          <w:rFonts w:ascii="Palatino Linotype" w:hAnsi="Palatino Linotype" w:cs="Arial"/>
          <w:sz w:val="24"/>
          <w:szCs w:val="24"/>
        </w:rPr>
        <w:t xml:space="preserve"> al </w:t>
      </w:r>
      <w:r w:rsidRPr="002D28D0">
        <w:rPr>
          <w:rFonts w:ascii="Palatino Linotype" w:hAnsi="Palatino Linotype" w:cs="Arial"/>
          <w:b/>
          <w:sz w:val="24"/>
          <w:szCs w:val="24"/>
        </w:rPr>
        <w:t>SUJETO OBLIGADO</w:t>
      </w:r>
      <w:r w:rsidRPr="002D28D0">
        <w:rPr>
          <w:rFonts w:ascii="Palatino Linotype" w:hAnsi="Palatino Linotype" w:cs="Arial"/>
          <w:sz w:val="24"/>
          <w:szCs w:val="24"/>
        </w:rPr>
        <w:t xml:space="preserve"> </w:t>
      </w:r>
      <w:r w:rsidR="00287CF0" w:rsidRPr="002D28D0">
        <w:rPr>
          <w:rFonts w:ascii="Palatino Linotype" w:hAnsi="Palatino Linotype" w:cs="Arial"/>
          <w:sz w:val="24"/>
          <w:szCs w:val="24"/>
        </w:rPr>
        <w:t>haga entrega al</w:t>
      </w:r>
      <w:r w:rsidRPr="002D28D0">
        <w:rPr>
          <w:rFonts w:ascii="Palatino Linotype" w:hAnsi="Palatino Linotype" w:cs="Arial"/>
          <w:b/>
          <w:sz w:val="24"/>
          <w:szCs w:val="24"/>
        </w:rPr>
        <w:t xml:space="preserve"> RECURRENTE </w:t>
      </w:r>
      <w:r w:rsidRPr="002D28D0">
        <w:rPr>
          <w:rFonts w:ascii="Palatino Linotype" w:hAnsi="Palatino Linotype" w:cs="Arial"/>
          <w:sz w:val="24"/>
          <w:szCs w:val="24"/>
        </w:rPr>
        <w:t xml:space="preserve">en términos del Considerando </w:t>
      </w:r>
      <w:r w:rsidRPr="002D28D0">
        <w:rPr>
          <w:rFonts w:ascii="Palatino Linotype" w:hAnsi="Palatino Linotype" w:cs="Arial"/>
          <w:b/>
          <w:sz w:val="24"/>
          <w:szCs w:val="24"/>
        </w:rPr>
        <w:t xml:space="preserve">CUARTO </w:t>
      </w:r>
      <w:r w:rsidRPr="002D28D0">
        <w:rPr>
          <w:rFonts w:ascii="Palatino Linotype" w:hAnsi="Palatino Linotype" w:cs="Arial"/>
          <w:sz w:val="24"/>
          <w:szCs w:val="24"/>
        </w:rPr>
        <w:t>de esta resolución</w:t>
      </w:r>
      <w:r w:rsidRPr="002D28D0">
        <w:rPr>
          <w:rFonts w:ascii="Palatino Linotype" w:hAnsi="Palatino Linotype" w:cs="Arial"/>
          <w:b/>
          <w:sz w:val="24"/>
          <w:szCs w:val="24"/>
        </w:rPr>
        <w:t xml:space="preserve">, </w:t>
      </w:r>
      <w:r w:rsidRPr="002D28D0">
        <w:rPr>
          <w:rFonts w:ascii="Palatino Linotype" w:hAnsi="Palatino Linotype" w:cs="Arial"/>
          <w:sz w:val="24"/>
          <w:szCs w:val="24"/>
        </w:rPr>
        <w:t xml:space="preserve">a través del Sistema de Acceso a la Información Mexiquense </w:t>
      </w:r>
      <w:r w:rsidRPr="002D28D0">
        <w:rPr>
          <w:rFonts w:ascii="Palatino Linotype" w:hAnsi="Palatino Linotype" w:cs="Arial"/>
          <w:b/>
          <w:sz w:val="24"/>
          <w:szCs w:val="24"/>
        </w:rPr>
        <w:t xml:space="preserve">(SAIMEX), </w:t>
      </w:r>
      <w:r w:rsidR="00C313A2" w:rsidRPr="002D28D0">
        <w:rPr>
          <w:rFonts w:ascii="Palatino Linotype" w:hAnsi="Palatino Linotype" w:cs="Arial"/>
          <w:bCs/>
          <w:sz w:val="24"/>
          <w:szCs w:val="24"/>
        </w:rPr>
        <w:t xml:space="preserve">en versión pública </w:t>
      </w:r>
      <w:r w:rsidR="005930E6" w:rsidRPr="002D28D0">
        <w:rPr>
          <w:rFonts w:ascii="Palatino Linotype" w:hAnsi="Palatino Linotype" w:cs="Arial"/>
          <w:bCs/>
          <w:sz w:val="24"/>
          <w:szCs w:val="24"/>
        </w:rPr>
        <w:t xml:space="preserve">de ser procedente, </w:t>
      </w:r>
      <w:r w:rsidRPr="002D28D0">
        <w:rPr>
          <w:rFonts w:ascii="Palatino Linotype" w:hAnsi="Palatino Linotype" w:cs="Arial"/>
          <w:sz w:val="24"/>
          <w:szCs w:val="24"/>
        </w:rPr>
        <w:t xml:space="preserve">de lo siguiente: </w:t>
      </w:r>
    </w:p>
    <w:p w14:paraId="38E98366" w14:textId="77777777" w:rsidR="005930E6" w:rsidRPr="002D28D0" w:rsidRDefault="005930E6" w:rsidP="005930E6">
      <w:pPr>
        <w:pStyle w:val="Citas"/>
        <w:numPr>
          <w:ilvl w:val="0"/>
          <w:numId w:val="2"/>
        </w:numPr>
        <w:ind w:right="72"/>
        <w:rPr>
          <w:sz w:val="24"/>
          <w:szCs w:val="24"/>
        </w:rPr>
      </w:pPr>
      <w:r w:rsidRPr="002D28D0">
        <w:rPr>
          <w:sz w:val="24"/>
          <w:szCs w:val="24"/>
        </w:rPr>
        <w:t xml:space="preserve">El o los documentos que integran el expediente </w:t>
      </w:r>
      <w:r w:rsidRPr="002D28D0">
        <w:rPr>
          <w:b/>
          <w:bCs/>
          <w:sz w:val="24"/>
          <w:szCs w:val="24"/>
        </w:rPr>
        <w:t xml:space="preserve">HAT/CAYS/AD-SER-030/RP/2022 </w:t>
      </w:r>
      <w:r w:rsidRPr="002D28D0">
        <w:rPr>
          <w:sz w:val="24"/>
          <w:szCs w:val="24"/>
        </w:rPr>
        <w:t xml:space="preserve">correspondiente al procedimiento de adjudicación directa por excepción a la licitación, referente a la contratación de servicio de parquímetros, al ocho de diciembre de dos mil veintidós. </w:t>
      </w:r>
    </w:p>
    <w:p w14:paraId="18E81B15" w14:textId="191ED9BA" w:rsidR="009E0DF0" w:rsidRPr="002D28D0" w:rsidRDefault="00287CF0" w:rsidP="009E0DF0">
      <w:pPr>
        <w:pStyle w:val="Prrafodelista"/>
        <w:spacing w:before="240" w:line="360" w:lineRule="auto"/>
        <w:ind w:left="720"/>
        <w:jc w:val="both"/>
        <w:rPr>
          <w:rFonts w:ascii="Palatino Linotype" w:hAnsi="Palatino Linotype" w:cs="Arial"/>
          <w:i/>
        </w:rPr>
      </w:pPr>
      <w:r w:rsidRPr="002D28D0">
        <w:rPr>
          <w:rFonts w:ascii="Palatino Linotype" w:hAnsi="Palatino Linotype" w:cs="Arial"/>
          <w:i/>
        </w:rPr>
        <w:t>Para</w:t>
      </w:r>
      <w:r w:rsidR="009E0DF0" w:rsidRPr="002D28D0">
        <w:rPr>
          <w:rFonts w:ascii="Palatino Linotype" w:hAnsi="Palatino Linotype" w:cs="Arial"/>
          <w:i/>
        </w:rPr>
        <w:t xml:space="preserve"> la entrega en versión pública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y se ponga a disposición del recurrente.</w:t>
      </w:r>
    </w:p>
    <w:p w14:paraId="540B121A" w14:textId="0AE4A4FE" w:rsidR="00C313A2" w:rsidRPr="002D28D0" w:rsidRDefault="00C313A2" w:rsidP="009E0DF0">
      <w:pPr>
        <w:pStyle w:val="Prrafodelista"/>
        <w:spacing w:before="240" w:line="360" w:lineRule="auto"/>
        <w:ind w:left="720"/>
        <w:jc w:val="both"/>
        <w:rPr>
          <w:rFonts w:ascii="Palatino Linotype" w:hAnsi="Palatino Linotype" w:cs="Arial"/>
          <w:i/>
        </w:rPr>
      </w:pPr>
    </w:p>
    <w:p w14:paraId="329857FA" w14:textId="77777777" w:rsidR="00B07F0A" w:rsidRPr="002D28D0" w:rsidRDefault="00B07F0A" w:rsidP="00B07F0A">
      <w:pPr>
        <w:autoSpaceDE w:val="0"/>
        <w:autoSpaceDN w:val="0"/>
        <w:adjustRightInd w:val="0"/>
        <w:spacing w:before="240" w:line="360" w:lineRule="auto"/>
        <w:jc w:val="both"/>
        <w:rPr>
          <w:rFonts w:ascii="Palatino Linotype" w:hAnsi="Palatino Linotype" w:cs="Arial"/>
          <w:sz w:val="24"/>
          <w:szCs w:val="24"/>
        </w:rPr>
      </w:pPr>
      <w:r w:rsidRPr="002D28D0">
        <w:rPr>
          <w:rFonts w:ascii="Palatino Linotype" w:hAnsi="Palatino Linotype" w:cs="Arial"/>
          <w:b/>
          <w:sz w:val="28"/>
          <w:szCs w:val="28"/>
        </w:rPr>
        <w:lastRenderedPageBreak/>
        <w:t>TERCERO.</w:t>
      </w:r>
      <w:r w:rsidRPr="002D28D0">
        <w:rPr>
          <w:rFonts w:ascii="Palatino Linotype" w:hAnsi="Palatino Linotype" w:cs="Arial"/>
          <w:b/>
          <w:sz w:val="24"/>
          <w:szCs w:val="24"/>
        </w:rPr>
        <w:t xml:space="preserve"> Notifíquese</w:t>
      </w:r>
      <w:r w:rsidRPr="002D28D0">
        <w:rPr>
          <w:rFonts w:ascii="Palatino Linotype" w:hAnsi="Palatino Linotype" w:cs="Arial"/>
          <w:b/>
          <w:i/>
          <w:sz w:val="24"/>
          <w:szCs w:val="24"/>
        </w:rPr>
        <w:t xml:space="preserve"> </w:t>
      </w:r>
      <w:r w:rsidRPr="002D28D0">
        <w:rPr>
          <w:rFonts w:ascii="Palatino Linotype" w:hAnsi="Palatino Linotype" w:cs="Arial"/>
          <w:sz w:val="24"/>
          <w:szCs w:val="24"/>
        </w:rPr>
        <w:t>al Titular de la Unidad de Transparencia del</w:t>
      </w:r>
      <w:r w:rsidRPr="002D28D0">
        <w:rPr>
          <w:rFonts w:ascii="Palatino Linotype" w:hAnsi="Palatino Linotype" w:cs="Arial"/>
          <w:b/>
          <w:sz w:val="24"/>
          <w:szCs w:val="24"/>
        </w:rPr>
        <w:t xml:space="preserve"> SUJETO OBLIGADO</w:t>
      </w:r>
      <w:r w:rsidRPr="002D28D0">
        <w:rPr>
          <w:rFonts w:ascii="Palatino Linotype" w:hAnsi="Palatino Linotype" w:cs="Arial"/>
          <w:sz w:val="24"/>
          <w:szCs w:val="24"/>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14:paraId="1973DE06" w14:textId="77777777" w:rsidR="00B07F0A" w:rsidRPr="002D28D0" w:rsidRDefault="00B07F0A" w:rsidP="00B07F0A">
      <w:pPr>
        <w:autoSpaceDE w:val="0"/>
        <w:autoSpaceDN w:val="0"/>
        <w:adjustRightInd w:val="0"/>
        <w:spacing w:before="240" w:line="360" w:lineRule="auto"/>
        <w:jc w:val="both"/>
        <w:rPr>
          <w:rFonts w:ascii="Palatino Linotype" w:hAnsi="Palatino Linotype" w:cs="Arial"/>
          <w:sz w:val="24"/>
          <w:szCs w:val="24"/>
        </w:rPr>
      </w:pPr>
    </w:p>
    <w:p w14:paraId="0D195B9B" w14:textId="77777777" w:rsidR="00B07F0A" w:rsidRPr="002D28D0" w:rsidRDefault="00B07F0A" w:rsidP="00B07F0A">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2D28D0">
        <w:rPr>
          <w:rFonts w:ascii="Palatino Linotype" w:eastAsia="Times New Roman" w:hAnsi="Palatino Linotype" w:cs="Arial"/>
          <w:b/>
          <w:sz w:val="28"/>
          <w:szCs w:val="28"/>
          <w:lang w:eastAsia="es-ES"/>
        </w:rPr>
        <w:t>CUARTO.</w:t>
      </w:r>
      <w:r w:rsidRPr="002D28D0">
        <w:rPr>
          <w:rFonts w:ascii="Palatino Linotype" w:eastAsia="Times New Roman" w:hAnsi="Palatino Linotype" w:cs="Arial"/>
          <w:b/>
          <w:sz w:val="24"/>
          <w:szCs w:val="24"/>
          <w:lang w:eastAsia="es-ES"/>
        </w:rPr>
        <w:t xml:space="preserve"> </w:t>
      </w:r>
      <w:r w:rsidRPr="002D28D0">
        <w:rPr>
          <w:rFonts w:ascii="Palatino Linotype" w:eastAsia="Times New Roman" w:hAnsi="Palatino Linotype" w:cs="Arial"/>
          <w:sz w:val="24"/>
          <w:szCs w:val="24"/>
          <w:lang w:val="es-ES" w:eastAsia="es-ES"/>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3596D900" w14:textId="77777777" w:rsidR="00B07F0A" w:rsidRPr="002D28D0" w:rsidRDefault="00B07F0A" w:rsidP="00B07F0A">
      <w:pPr>
        <w:spacing w:after="0" w:line="360" w:lineRule="auto"/>
        <w:jc w:val="both"/>
        <w:rPr>
          <w:rFonts w:ascii="Palatino Linotype" w:eastAsia="Times New Roman" w:hAnsi="Palatino Linotype" w:cs="Arial"/>
          <w:b/>
          <w:sz w:val="18"/>
          <w:szCs w:val="24"/>
          <w:lang w:eastAsia="es-ES"/>
        </w:rPr>
      </w:pPr>
    </w:p>
    <w:p w14:paraId="770F9583" w14:textId="5776D2DB" w:rsidR="00B07F0A" w:rsidRPr="002D28D0" w:rsidRDefault="00B07F0A" w:rsidP="00B07F0A">
      <w:pPr>
        <w:spacing w:after="0" w:line="360" w:lineRule="auto"/>
        <w:jc w:val="both"/>
        <w:rPr>
          <w:rFonts w:ascii="Palatino Linotype" w:eastAsia="Times New Roman" w:hAnsi="Palatino Linotype" w:cs="Times New Roman"/>
          <w:color w:val="222222"/>
          <w:sz w:val="24"/>
          <w:szCs w:val="24"/>
          <w:lang w:eastAsia="es-ES"/>
        </w:rPr>
      </w:pPr>
      <w:r w:rsidRPr="002D28D0">
        <w:rPr>
          <w:rFonts w:ascii="Palatino Linotype" w:eastAsia="Times New Roman" w:hAnsi="Palatino Linotype" w:cs="Arial"/>
          <w:b/>
          <w:sz w:val="28"/>
          <w:szCs w:val="28"/>
          <w:lang w:eastAsia="es-ES"/>
        </w:rPr>
        <w:t>QUINTO.</w:t>
      </w:r>
      <w:r w:rsidRPr="002D28D0">
        <w:rPr>
          <w:rFonts w:ascii="Palatino Linotype" w:eastAsia="Times New Roman" w:hAnsi="Palatino Linotype" w:cs="Arial"/>
          <w:b/>
          <w:sz w:val="24"/>
          <w:szCs w:val="24"/>
          <w:lang w:eastAsia="es-ES"/>
        </w:rPr>
        <w:t xml:space="preserve"> NOTIFÍQUESE </w:t>
      </w:r>
      <w:r w:rsidRPr="002D28D0">
        <w:rPr>
          <w:rFonts w:ascii="Palatino Linotype" w:eastAsia="Times New Roman" w:hAnsi="Palatino Linotype" w:cs="Arial"/>
          <w:sz w:val="24"/>
          <w:szCs w:val="24"/>
          <w:lang w:eastAsia="es-ES"/>
        </w:rPr>
        <w:t xml:space="preserve">la presente resolución al </w:t>
      </w:r>
      <w:r w:rsidRPr="002D28D0">
        <w:rPr>
          <w:rFonts w:ascii="Palatino Linotype" w:eastAsia="Times New Roman" w:hAnsi="Palatino Linotype" w:cs="Arial"/>
          <w:b/>
          <w:sz w:val="24"/>
          <w:szCs w:val="24"/>
          <w:lang w:eastAsia="es-ES"/>
        </w:rPr>
        <w:t>RECURRENTE</w:t>
      </w:r>
      <w:r w:rsidRPr="002D28D0">
        <w:rPr>
          <w:rFonts w:ascii="Palatino Linotype" w:eastAsia="Times New Roman" w:hAnsi="Palatino Linotype" w:cs="Arial"/>
          <w:sz w:val="24"/>
          <w:szCs w:val="24"/>
          <w:lang w:eastAsia="es-ES"/>
        </w:rPr>
        <w:t xml:space="preserve"> </w:t>
      </w:r>
      <w:r w:rsidRPr="002D28D0">
        <w:rPr>
          <w:rFonts w:ascii="Palatino Linotype" w:hAnsi="Palatino Linotype" w:cs="Arial"/>
          <w:sz w:val="24"/>
          <w:szCs w:val="24"/>
        </w:rPr>
        <w:t>a través del Sistema de Acceso a la Información Mexiquense</w:t>
      </w:r>
      <w:r w:rsidRPr="002D28D0">
        <w:rPr>
          <w:rFonts w:ascii="Palatino Linotype" w:hAnsi="Palatino Linotype" w:cs="Arial"/>
          <w:b/>
          <w:sz w:val="24"/>
          <w:szCs w:val="24"/>
        </w:rPr>
        <w:t xml:space="preserve"> (SAIMEX)</w:t>
      </w:r>
      <w:r w:rsidR="0003628E" w:rsidRPr="002D28D0">
        <w:rPr>
          <w:rFonts w:ascii="Palatino Linotype" w:hAnsi="Palatino Linotype" w:cs="Arial"/>
          <w:b/>
          <w:sz w:val="24"/>
          <w:szCs w:val="24"/>
        </w:rPr>
        <w:t xml:space="preserve"> </w:t>
      </w:r>
      <w:r w:rsidRPr="002D28D0">
        <w:rPr>
          <w:rFonts w:ascii="Palatino Linotype" w:eastAsia="Times New Roman" w:hAnsi="Palatino Linotype" w:cs="Arial"/>
          <w:sz w:val="24"/>
          <w:szCs w:val="24"/>
          <w:lang w:eastAsia="es-ES"/>
        </w:rPr>
        <w:t xml:space="preserve">y hágase de su conocimiento que, </w:t>
      </w:r>
      <w:r w:rsidRPr="002D28D0">
        <w:rPr>
          <w:rFonts w:ascii="Palatino Linotype" w:eastAsia="Times New Roman" w:hAnsi="Palatino Linotype" w:cs="Times New Roman"/>
          <w:color w:val="222222"/>
          <w:sz w:val="24"/>
          <w:szCs w:val="24"/>
          <w:lang w:eastAsia="es-ES"/>
        </w:rPr>
        <w:t>de conformidad con lo establecido en el artículo 196, de la Ley de Transparencia y Acceso a la Información Pública del Estado de México y Municipios, podrá promover el Juicio de Amparo en los términos de las leyes aplicables.</w:t>
      </w:r>
    </w:p>
    <w:p w14:paraId="04840CB4" w14:textId="58E81381" w:rsidR="00AA00BC" w:rsidRPr="002D28D0" w:rsidRDefault="00AA00BC" w:rsidP="00B07F0A">
      <w:pPr>
        <w:spacing w:after="0" w:line="360" w:lineRule="auto"/>
        <w:jc w:val="both"/>
        <w:rPr>
          <w:rFonts w:ascii="Palatino Linotype" w:eastAsia="Times New Roman" w:hAnsi="Palatino Linotype" w:cs="Times New Roman"/>
          <w:color w:val="222222"/>
          <w:sz w:val="24"/>
          <w:szCs w:val="24"/>
          <w:lang w:eastAsia="es-ES"/>
        </w:rPr>
      </w:pPr>
    </w:p>
    <w:p w14:paraId="024207BC" w14:textId="1A44965E" w:rsidR="00C313A2" w:rsidRPr="002D28D0" w:rsidRDefault="00C313A2" w:rsidP="00C313A2">
      <w:pPr>
        <w:pStyle w:val="Prrafodelista"/>
        <w:autoSpaceDE w:val="0"/>
        <w:autoSpaceDN w:val="0"/>
        <w:adjustRightInd w:val="0"/>
        <w:spacing w:before="240" w:after="160" w:line="360" w:lineRule="auto"/>
        <w:ind w:left="0"/>
        <w:jc w:val="both"/>
        <w:rPr>
          <w:rFonts w:ascii="Palatino Linotype" w:hAnsi="Palatino Linotype" w:cs="Arial"/>
        </w:rPr>
      </w:pPr>
      <w:r w:rsidRPr="002D28D0">
        <w:rPr>
          <w:rFonts w:ascii="Palatino Linotype" w:hAnsi="Palatino Linotype" w:cs="Arial"/>
        </w:rPr>
        <w:t>ASÍ LO ACORDÓ, POR UNANIMIDAD DE VOTOS, EL PLENO DEL</w:t>
      </w:r>
      <w:r w:rsidRPr="002D28D0">
        <w:rPr>
          <w:rFonts w:ascii="Palatino Linotype" w:eastAsia="Arial Unicode MS" w:hAnsi="Palatino Linotype" w:cs="Arial"/>
        </w:rPr>
        <w:t xml:space="preserve"> INSTITUTO DE TRANSPARENCIA, ACCESO A LA INFORMACIÓN PÚBLICA Y PROTECCIÓN DE DATOS PERSONALES DEL ESTADO DE MÉXICO Y MUNICIPIOS</w:t>
      </w:r>
      <w:r w:rsidRPr="002D28D0">
        <w:rPr>
          <w:rFonts w:ascii="Palatino Linotype" w:hAnsi="Palatino Linotype" w:cs="Arial"/>
        </w:rPr>
        <w:t xml:space="preserve">, CONFORMADO POR LOS COMISIONADOS JOSÉ MARTÍNEZ </w:t>
      </w:r>
      <w:r w:rsidR="005930E6" w:rsidRPr="002D28D0">
        <w:rPr>
          <w:rFonts w:ascii="Palatino Linotype" w:hAnsi="Palatino Linotype" w:cs="Arial"/>
        </w:rPr>
        <w:t xml:space="preserve">VILCHIS, MARÍA DEL ROSARIO MEJÍA AYALA, SHARON CRISTINA MORALES MARTÍNEZ, LUIS GUSTAVO </w:t>
      </w:r>
      <w:r w:rsidR="005930E6" w:rsidRPr="002D28D0">
        <w:rPr>
          <w:rFonts w:ascii="Palatino Linotype" w:hAnsi="Palatino Linotype" w:cs="Arial"/>
        </w:rPr>
        <w:lastRenderedPageBreak/>
        <w:t xml:space="preserve">PARRA NORIEGA Y GUADALUPE RAMÍREZ PEÑA; EN LA DÉCIMA SESIÓN ORDINARIA CELEBRADA EL QUINCE DE MARZO </w:t>
      </w:r>
      <w:r w:rsidR="002D28D0">
        <w:rPr>
          <w:rFonts w:ascii="Palatino Linotype" w:hAnsi="Palatino Linotype" w:cs="Arial"/>
        </w:rPr>
        <w:t xml:space="preserve">DE DOS MIL VEINTITRÉS, ANTE EL </w:t>
      </w:r>
      <w:r w:rsidR="005930E6" w:rsidRPr="002D28D0">
        <w:rPr>
          <w:rFonts w:ascii="Palatino Linotype" w:hAnsi="Palatino Linotype" w:cs="Arial"/>
        </w:rPr>
        <w:t xml:space="preserve">SECRETARIO TÉCNICO DEL PLENO, ALEXIS TAPIA RAMÍREZ. </w:t>
      </w:r>
    </w:p>
    <w:p w14:paraId="3A2F76C3" w14:textId="77777777" w:rsidR="00C313A2" w:rsidRPr="002D28D0" w:rsidRDefault="00C313A2" w:rsidP="00C313A2">
      <w:pPr>
        <w:pStyle w:val="Prrafodelista"/>
        <w:autoSpaceDE w:val="0"/>
        <w:autoSpaceDN w:val="0"/>
        <w:adjustRightInd w:val="0"/>
        <w:spacing w:before="240" w:after="160" w:line="360" w:lineRule="auto"/>
        <w:ind w:left="0"/>
        <w:jc w:val="both"/>
        <w:rPr>
          <w:rFonts w:ascii="Palatino Linotype" w:hAnsi="Palatino Linotype"/>
          <w:bCs/>
          <w:sz w:val="18"/>
          <w:szCs w:val="18"/>
        </w:rPr>
      </w:pPr>
      <w:r w:rsidRPr="002D28D0">
        <w:rPr>
          <w:rFonts w:ascii="Palatino Linotype" w:hAnsi="Palatino Linotype"/>
          <w:bCs/>
          <w:sz w:val="18"/>
          <w:szCs w:val="18"/>
        </w:rPr>
        <w:t>CCR/JCMA</w:t>
      </w:r>
    </w:p>
    <w:p w14:paraId="55B9FD1F" w14:textId="0B826DCA" w:rsidR="00C313A2" w:rsidRDefault="005930E6" w:rsidP="00E761C2">
      <w:pPr>
        <w:spacing w:line="360" w:lineRule="auto"/>
        <w:jc w:val="both"/>
        <w:rPr>
          <w:rFonts w:ascii="Palatino Linotype" w:hAnsi="Palatino Linotype"/>
          <w:bCs/>
          <w:sz w:val="18"/>
          <w:szCs w:val="18"/>
        </w:rPr>
      </w:pPr>
      <w:r w:rsidRPr="002D28D0">
        <w:rPr>
          <w:rFonts w:ascii="Palatino Linotype" w:hAnsi="Palatino Linotype"/>
          <w:bCs/>
          <w:noProof/>
          <w:sz w:val="18"/>
          <w:szCs w:val="18"/>
          <w:lang w:eastAsia="es-MX"/>
        </w:rPr>
        <mc:AlternateContent>
          <mc:Choice Requires="wps">
            <w:drawing>
              <wp:anchor distT="0" distB="0" distL="114300" distR="114300" simplePos="0" relativeHeight="251713534" behindDoc="0" locked="0" layoutInCell="1" allowOverlap="1" wp14:anchorId="25BA9B60" wp14:editId="13E7158C">
                <wp:simplePos x="0" y="0"/>
                <wp:positionH relativeFrom="column">
                  <wp:posOffset>-29664</wp:posOffset>
                </wp:positionH>
                <wp:positionV relativeFrom="paragraph">
                  <wp:posOffset>158024</wp:posOffset>
                </wp:positionV>
                <wp:extent cx="5954486" cy="6422572"/>
                <wp:effectExtent l="0" t="0" r="27305" b="35560"/>
                <wp:wrapNone/>
                <wp:docPr id="8" name="Straight Connector 8"/>
                <wp:cNvGraphicFramePr/>
                <a:graphic xmlns:a="http://schemas.openxmlformats.org/drawingml/2006/main">
                  <a:graphicData uri="http://schemas.microsoft.com/office/word/2010/wordprocessingShape">
                    <wps:wsp>
                      <wps:cNvCnPr/>
                      <wps:spPr>
                        <a:xfrm>
                          <a:off x="0" y="0"/>
                          <a:ext cx="5954486" cy="642257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A293F96" id="Straight Connector 8" o:spid="_x0000_s1026" style="position:absolute;z-index:251713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12.45pt" to="466.5pt,5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" strokecolor="#5b9bd5 [3204]" strokeweight=".5pt">
                <v:stroke joinstyle="miter"/>
              </v:line>
            </w:pict>
          </mc:Fallback>
        </mc:AlternateContent>
      </w:r>
    </w:p>
    <w:p w14:paraId="5026FF84" w14:textId="7DB079BA" w:rsidR="00CB4788" w:rsidRDefault="00CB4788" w:rsidP="00CB4788">
      <w:pPr>
        <w:spacing w:after="0" w:line="360" w:lineRule="auto"/>
        <w:jc w:val="both"/>
        <w:rPr>
          <w:rFonts w:ascii="Palatino Linotype" w:eastAsia="Calibri" w:hAnsi="Palatino Linotype" w:cs="Times New Roman"/>
          <w:sz w:val="24"/>
          <w:szCs w:val="24"/>
          <w:lang w:eastAsia="es-ES"/>
        </w:rPr>
      </w:pPr>
    </w:p>
    <w:p w14:paraId="763ADFDC" w14:textId="4BAAEE89" w:rsidR="00C313A2" w:rsidRDefault="00C313A2" w:rsidP="00CB4788">
      <w:pPr>
        <w:spacing w:after="0" w:line="360" w:lineRule="auto"/>
        <w:jc w:val="both"/>
        <w:rPr>
          <w:rFonts w:ascii="Palatino Linotype" w:eastAsia="Calibri" w:hAnsi="Palatino Linotype" w:cs="Times New Roman"/>
          <w:sz w:val="24"/>
          <w:szCs w:val="24"/>
          <w:lang w:eastAsia="es-ES"/>
        </w:rPr>
      </w:pPr>
    </w:p>
    <w:p w14:paraId="778DE218" w14:textId="1927BB3E" w:rsidR="00C313A2" w:rsidRDefault="00C313A2" w:rsidP="00CB4788">
      <w:pPr>
        <w:spacing w:after="0" w:line="360" w:lineRule="auto"/>
        <w:jc w:val="both"/>
        <w:rPr>
          <w:rFonts w:ascii="Palatino Linotype" w:eastAsia="Calibri" w:hAnsi="Palatino Linotype" w:cs="Times New Roman"/>
          <w:sz w:val="24"/>
          <w:szCs w:val="24"/>
          <w:lang w:eastAsia="es-ES"/>
        </w:rPr>
      </w:pPr>
    </w:p>
    <w:p w14:paraId="2446EB34" w14:textId="4FB9EDC6" w:rsidR="00C313A2" w:rsidRDefault="00C313A2" w:rsidP="00CB4788">
      <w:pPr>
        <w:spacing w:after="0" w:line="360" w:lineRule="auto"/>
        <w:jc w:val="both"/>
        <w:rPr>
          <w:rFonts w:ascii="Palatino Linotype" w:eastAsia="Calibri" w:hAnsi="Palatino Linotype" w:cs="Times New Roman"/>
          <w:sz w:val="24"/>
          <w:szCs w:val="24"/>
          <w:lang w:eastAsia="es-ES"/>
        </w:rPr>
      </w:pPr>
    </w:p>
    <w:p w14:paraId="2AE3B480" w14:textId="7C9057BB" w:rsidR="00C313A2" w:rsidRDefault="00C313A2" w:rsidP="00CB4788">
      <w:pPr>
        <w:spacing w:after="0" w:line="360" w:lineRule="auto"/>
        <w:jc w:val="both"/>
        <w:rPr>
          <w:rFonts w:ascii="Palatino Linotype" w:eastAsia="Calibri" w:hAnsi="Palatino Linotype" w:cs="Times New Roman"/>
          <w:sz w:val="24"/>
          <w:szCs w:val="24"/>
          <w:lang w:eastAsia="es-ES"/>
        </w:rPr>
      </w:pPr>
    </w:p>
    <w:p w14:paraId="48829AD7" w14:textId="557B1853" w:rsidR="00C313A2" w:rsidRDefault="00C313A2" w:rsidP="00CB4788">
      <w:pPr>
        <w:spacing w:after="0" w:line="360" w:lineRule="auto"/>
        <w:jc w:val="both"/>
        <w:rPr>
          <w:rFonts w:ascii="Palatino Linotype" w:eastAsia="Calibri" w:hAnsi="Palatino Linotype" w:cs="Times New Roman"/>
          <w:sz w:val="24"/>
          <w:szCs w:val="24"/>
          <w:lang w:eastAsia="es-ES"/>
        </w:rPr>
      </w:pPr>
    </w:p>
    <w:p w14:paraId="6E610968" w14:textId="1BB2D225" w:rsidR="00C313A2" w:rsidRDefault="00C313A2" w:rsidP="00CB4788">
      <w:pPr>
        <w:spacing w:after="0" w:line="360" w:lineRule="auto"/>
        <w:jc w:val="both"/>
        <w:rPr>
          <w:rFonts w:ascii="Palatino Linotype" w:eastAsia="Calibri" w:hAnsi="Palatino Linotype" w:cs="Times New Roman"/>
          <w:sz w:val="24"/>
          <w:szCs w:val="24"/>
          <w:lang w:eastAsia="es-ES"/>
        </w:rPr>
      </w:pPr>
    </w:p>
    <w:p w14:paraId="3634968E" w14:textId="1A809982" w:rsidR="00C313A2" w:rsidRDefault="00C313A2" w:rsidP="00CB4788">
      <w:pPr>
        <w:spacing w:after="0" w:line="360" w:lineRule="auto"/>
        <w:jc w:val="both"/>
        <w:rPr>
          <w:rFonts w:ascii="Palatino Linotype" w:eastAsia="Calibri" w:hAnsi="Palatino Linotype" w:cs="Times New Roman"/>
          <w:sz w:val="24"/>
          <w:szCs w:val="24"/>
          <w:lang w:eastAsia="es-ES"/>
        </w:rPr>
      </w:pPr>
    </w:p>
    <w:p w14:paraId="528DD47C" w14:textId="261D8518" w:rsidR="00C313A2" w:rsidRDefault="00C313A2" w:rsidP="00CB4788">
      <w:pPr>
        <w:spacing w:after="0" w:line="360" w:lineRule="auto"/>
        <w:jc w:val="both"/>
        <w:rPr>
          <w:rFonts w:ascii="Palatino Linotype" w:eastAsia="Calibri" w:hAnsi="Palatino Linotype" w:cs="Times New Roman"/>
          <w:sz w:val="24"/>
          <w:szCs w:val="24"/>
          <w:lang w:eastAsia="es-ES"/>
        </w:rPr>
      </w:pPr>
    </w:p>
    <w:p w14:paraId="5587C0B6" w14:textId="53F8DB89" w:rsidR="00C313A2" w:rsidRDefault="00C313A2" w:rsidP="00CB4788">
      <w:pPr>
        <w:spacing w:after="0" w:line="360" w:lineRule="auto"/>
        <w:jc w:val="both"/>
        <w:rPr>
          <w:rFonts w:ascii="Palatino Linotype" w:eastAsia="Calibri" w:hAnsi="Palatino Linotype" w:cs="Times New Roman"/>
          <w:sz w:val="24"/>
          <w:szCs w:val="24"/>
          <w:lang w:eastAsia="es-ES"/>
        </w:rPr>
      </w:pPr>
    </w:p>
    <w:p w14:paraId="0D0AF34F" w14:textId="7824DDAF" w:rsidR="00C313A2" w:rsidRDefault="00C313A2" w:rsidP="00CB4788">
      <w:pPr>
        <w:spacing w:after="0" w:line="360" w:lineRule="auto"/>
        <w:jc w:val="both"/>
        <w:rPr>
          <w:rFonts w:ascii="Palatino Linotype" w:eastAsia="Calibri" w:hAnsi="Palatino Linotype" w:cs="Times New Roman"/>
          <w:sz w:val="24"/>
          <w:szCs w:val="24"/>
          <w:lang w:eastAsia="es-ES"/>
        </w:rPr>
      </w:pPr>
    </w:p>
    <w:p w14:paraId="3959876C" w14:textId="3AAD1606" w:rsidR="00C313A2" w:rsidRDefault="00C313A2" w:rsidP="00CB4788">
      <w:pPr>
        <w:spacing w:after="0" w:line="360" w:lineRule="auto"/>
        <w:jc w:val="both"/>
        <w:rPr>
          <w:rFonts w:ascii="Palatino Linotype" w:eastAsia="Calibri" w:hAnsi="Palatino Linotype" w:cs="Times New Roman"/>
          <w:sz w:val="24"/>
          <w:szCs w:val="24"/>
          <w:lang w:eastAsia="es-ES"/>
        </w:rPr>
      </w:pPr>
    </w:p>
    <w:p w14:paraId="1D32AB37" w14:textId="77777777" w:rsidR="00C313A2" w:rsidRDefault="00C313A2" w:rsidP="00CB4788">
      <w:pPr>
        <w:spacing w:after="0" w:line="360" w:lineRule="auto"/>
        <w:jc w:val="both"/>
        <w:rPr>
          <w:rFonts w:ascii="Palatino Linotype" w:eastAsia="Calibri" w:hAnsi="Palatino Linotype" w:cs="Times New Roman"/>
          <w:sz w:val="24"/>
          <w:szCs w:val="24"/>
          <w:lang w:eastAsia="es-ES"/>
        </w:rPr>
      </w:pPr>
    </w:p>
    <w:p w14:paraId="03254E6D"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493E50C3"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76AD2646"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6BA24FAD"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4CD7909D"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04D3BF1D"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4A577A7A"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190263FA"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0BC23681"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34B1ADAF"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1F60DC9B" w14:textId="77777777" w:rsidR="00CB4788" w:rsidRDefault="00CB4788" w:rsidP="00CB4788">
      <w:pPr>
        <w:spacing w:after="0" w:line="360" w:lineRule="auto"/>
        <w:jc w:val="both"/>
        <w:rPr>
          <w:rFonts w:ascii="Palatino Linotype" w:eastAsia="Calibri" w:hAnsi="Palatino Linotype" w:cs="Times New Roman"/>
          <w:sz w:val="24"/>
          <w:szCs w:val="24"/>
          <w:lang w:eastAsia="es-ES"/>
        </w:rPr>
      </w:pPr>
    </w:p>
    <w:p w14:paraId="2A35A499" w14:textId="77777777" w:rsidR="00A711CC" w:rsidRDefault="00A711CC" w:rsidP="00814EDB">
      <w:pPr>
        <w:autoSpaceDE w:val="0"/>
        <w:autoSpaceDN w:val="0"/>
        <w:adjustRightInd w:val="0"/>
        <w:spacing w:after="0" w:line="360" w:lineRule="auto"/>
        <w:jc w:val="both"/>
        <w:rPr>
          <w:rFonts w:ascii="Palatino Linotype" w:eastAsia="Times New Roman" w:hAnsi="Palatino Linotype" w:cs="Times New Roman"/>
          <w:sz w:val="24"/>
          <w:szCs w:val="24"/>
          <w:lang w:val="es-ES" w:eastAsia="es-ES"/>
        </w:rPr>
      </w:pPr>
    </w:p>
    <w:sectPr w:rsidR="00A711CC" w:rsidSect="00FB4AAD">
      <w:headerReference w:type="default" r:id="rId39"/>
      <w:footerReference w:type="default" r:id="rId40"/>
      <w:headerReference w:type="first" r:id="rId41"/>
      <w:footerReference w:type="first" r:id="rId42"/>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E0BF77" w14:textId="77777777" w:rsidR="001B421D" w:rsidRDefault="001B421D" w:rsidP="006168E4">
      <w:pPr>
        <w:spacing w:after="0" w:line="240" w:lineRule="auto"/>
      </w:pPr>
      <w:r>
        <w:separator/>
      </w:r>
    </w:p>
  </w:endnote>
  <w:endnote w:type="continuationSeparator" w:id="0">
    <w:p w14:paraId="38263194" w14:textId="77777777" w:rsidR="001B421D" w:rsidRDefault="001B421D" w:rsidP="00616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2DC73D" w14:textId="77777777" w:rsidR="00E761C2" w:rsidRPr="000B69FA" w:rsidRDefault="00E761C2" w:rsidP="00FB4AAD">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2362C">
      <w:rPr>
        <w:rFonts w:ascii="Palatino Linotype" w:hAnsi="Palatino Linotype"/>
        <w:bCs/>
        <w:noProof/>
        <w:sz w:val="20"/>
      </w:rPr>
      <w:t>65</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2362C">
      <w:rPr>
        <w:rFonts w:ascii="Palatino Linotype" w:hAnsi="Palatino Linotype"/>
        <w:bCs/>
        <w:noProof/>
        <w:sz w:val="20"/>
      </w:rPr>
      <w:t>67</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4BE9FD" w14:textId="14A06319" w:rsidR="00E761C2" w:rsidRPr="000B69FA" w:rsidRDefault="00E761C2" w:rsidP="00FB4AAD">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2362C">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2362C">
      <w:rPr>
        <w:rFonts w:ascii="Palatino Linotype" w:hAnsi="Palatino Linotype"/>
        <w:bCs/>
        <w:noProof/>
        <w:sz w:val="20"/>
      </w:rPr>
      <w:t>67</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C62F19" w14:textId="77777777" w:rsidR="001B421D" w:rsidRDefault="001B421D" w:rsidP="006168E4">
      <w:pPr>
        <w:spacing w:after="0" w:line="240" w:lineRule="auto"/>
      </w:pPr>
      <w:r>
        <w:separator/>
      </w:r>
    </w:p>
  </w:footnote>
  <w:footnote w:type="continuationSeparator" w:id="0">
    <w:p w14:paraId="5A58707E" w14:textId="77777777" w:rsidR="001B421D" w:rsidRDefault="001B421D" w:rsidP="006168E4">
      <w:pPr>
        <w:spacing w:after="0" w:line="240" w:lineRule="auto"/>
      </w:pPr>
      <w:r>
        <w:continuationSeparator/>
      </w:r>
    </w:p>
  </w:footnote>
  <w:footnote w:id="1">
    <w:p w14:paraId="34D94E9F" w14:textId="77777777" w:rsidR="00EE5878" w:rsidRPr="005552A8" w:rsidRDefault="00EE5878" w:rsidP="00EE5878">
      <w:pPr>
        <w:jc w:val="both"/>
        <w:rPr>
          <w:rFonts w:ascii="Palatino Linotype" w:eastAsia="Times New Roman" w:hAnsi="Palatino Linotype"/>
          <w:b/>
          <w:bCs/>
          <w:i/>
          <w:sz w:val="16"/>
          <w:szCs w:val="16"/>
          <w:lang w:eastAsia="es-MX"/>
        </w:rPr>
      </w:pPr>
      <w:r>
        <w:rPr>
          <w:rStyle w:val="Refdenotaalpie"/>
        </w:rPr>
        <w:footnoteRef/>
      </w:r>
      <w:r>
        <w:t xml:space="preserve"> </w:t>
      </w:r>
      <w:r w:rsidRPr="005552A8">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14:paraId="0FA9E868" w14:textId="77777777" w:rsidR="00EE5878" w:rsidRPr="005552A8" w:rsidRDefault="00EE5878" w:rsidP="00EE5878">
      <w:pPr>
        <w:jc w:val="both"/>
        <w:rPr>
          <w:rFonts w:ascii="Palatino Linotype" w:hAnsi="Palatino Linotype"/>
          <w:i/>
          <w:sz w:val="16"/>
          <w:szCs w:val="16"/>
        </w:rPr>
      </w:pPr>
      <w:r w:rsidRPr="005552A8">
        <w:rPr>
          <w:rFonts w:ascii="Palatino Linotype" w:hAnsi="Palatino Linotype"/>
          <w:i/>
          <w:sz w:val="16"/>
          <w:szCs w:val="16"/>
        </w:rPr>
        <w:t>Del examen de compatibilidad de los artículos</w:t>
      </w:r>
      <w:r w:rsidRPr="005552A8">
        <w:rPr>
          <w:rStyle w:val="apple-converted-space"/>
          <w:rFonts w:ascii="Palatino Linotype" w:hAnsi="Palatino Linotype"/>
          <w:i/>
          <w:sz w:val="16"/>
          <w:szCs w:val="16"/>
        </w:rPr>
        <w:t> </w:t>
      </w:r>
      <w:hyperlink r:id="rId1" w:history="1">
        <w:r w:rsidRPr="005552A8">
          <w:rPr>
            <w:rStyle w:val="Hipervnculo"/>
            <w:rFonts w:ascii="Palatino Linotype" w:hAnsi="Palatino Linotype"/>
            <w:i/>
            <w:sz w:val="16"/>
            <w:szCs w:val="16"/>
          </w:rPr>
          <w:t>73 y 74 de la Ley de Amparo</w:t>
        </w:r>
      </w:hyperlink>
      <w:r w:rsidRPr="005552A8">
        <w:rPr>
          <w:rStyle w:val="apple-converted-space"/>
          <w:rFonts w:ascii="Palatino Linotype" w:hAnsi="Palatino Linotype"/>
          <w:i/>
          <w:sz w:val="16"/>
          <w:szCs w:val="16"/>
        </w:rPr>
        <w:t> </w:t>
      </w:r>
      <w:r w:rsidRPr="005552A8">
        <w:rPr>
          <w:rFonts w:ascii="Palatino Linotype" w:hAnsi="Palatino Linotype"/>
          <w:i/>
          <w:sz w:val="16"/>
          <w:szCs w:val="16"/>
        </w:rPr>
        <w:t>con el artículo</w:t>
      </w:r>
      <w:r w:rsidRPr="005552A8">
        <w:rPr>
          <w:rStyle w:val="apple-converted-space"/>
          <w:rFonts w:ascii="Palatino Linotype" w:hAnsi="Palatino Linotype"/>
          <w:i/>
          <w:sz w:val="16"/>
          <w:szCs w:val="16"/>
        </w:rPr>
        <w:t> </w:t>
      </w:r>
      <w:hyperlink r:id="rId2" w:history="1">
        <w:r w:rsidRPr="005552A8">
          <w:rPr>
            <w:rStyle w:val="Hipervnculo"/>
            <w:rFonts w:ascii="Palatino Linotype" w:hAnsi="Palatino Linotype"/>
            <w:i/>
            <w:sz w:val="16"/>
            <w:szCs w:val="16"/>
          </w:rPr>
          <w:t>25.1 de la Convención Americana sobre Derechos Humanos</w:t>
        </w:r>
      </w:hyperlink>
      <w:r w:rsidRPr="005552A8">
        <w:rPr>
          <w:rStyle w:val="apple-converted-space"/>
          <w:rFonts w:ascii="Palatino Linotype" w:hAnsi="Palatino Linotype"/>
          <w:i/>
          <w:sz w:val="16"/>
          <w:szCs w:val="16"/>
        </w:rPr>
        <w:t> </w:t>
      </w:r>
      <w:r w:rsidRPr="005552A8">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5552A8">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5552A8">
        <w:rPr>
          <w:rFonts w:ascii="Palatino Linotype" w:hAnsi="Palatino Linotype"/>
          <w:i/>
          <w:sz w:val="16"/>
          <w:szCs w:val="16"/>
        </w:rPr>
        <w:t>concesoria</w:t>
      </w:r>
      <w:proofErr w:type="spellEnd"/>
      <w:r w:rsidRPr="005552A8">
        <w:rPr>
          <w:rFonts w:ascii="Palatino Linotype" w:hAnsi="Palatino Linotype"/>
          <w:i/>
          <w:sz w:val="16"/>
          <w:szCs w:val="16"/>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358C6459" w14:textId="5516E0FB" w:rsidR="00603652" w:rsidRDefault="00603652">
      <w:pPr>
        <w:pStyle w:val="Textonotapie"/>
        <w:rPr>
          <w:rFonts w:ascii="Palatino Linotype" w:hAnsi="Palatino Linotype"/>
          <w:sz w:val="16"/>
          <w:szCs w:val="16"/>
        </w:rPr>
      </w:pPr>
      <w:r>
        <w:rPr>
          <w:rStyle w:val="Refdenotaalpie"/>
        </w:rPr>
        <w:footnoteRef/>
      </w:r>
      <w:r>
        <w:t xml:space="preserve"> </w:t>
      </w:r>
      <w:r w:rsidRPr="00603652">
        <w:rPr>
          <w:rFonts w:ascii="Palatino Linotype" w:hAnsi="Palatino Linotype"/>
          <w:sz w:val="16"/>
          <w:szCs w:val="16"/>
        </w:rPr>
        <w:t>Secretaría de</w:t>
      </w:r>
      <w:r>
        <w:t xml:space="preserve"> </w:t>
      </w:r>
      <w:r w:rsidRPr="00603652">
        <w:rPr>
          <w:rFonts w:ascii="Palatino Linotype" w:hAnsi="Palatino Linotype"/>
          <w:sz w:val="16"/>
          <w:szCs w:val="16"/>
        </w:rPr>
        <w:t>la</w:t>
      </w:r>
      <w:r>
        <w:t xml:space="preserve"> </w:t>
      </w:r>
      <w:r>
        <w:rPr>
          <w:rFonts w:ascii="Palatino Linotype" w:hAnsi="Palatino Linotype"/>
          <w:sz w:val="16"/>
          <w:szCs w:val="16"/>
        </w:rPr>
        <w:t xml:space="preserve">Función Pública. </w:t>
      </w:r>
      <w:r>
        <w:rPr>
          <w:rFonts w:ascii="Palatino Linotype" w:hAnsi="Palatino Linotype"/>
          <w:i/>
          <w:iCs/>
          <w:sz w:val="16"/>
          <w:szCs w:val="16"/>
        </w:rPr>
        <w:t xml:space="preserve">1.3.1 Licitación Pública (LOPSRM y LAASSP). </w:t>
      </w:r>
      <w:r>
        <w:rPr>
          <w:rFonts w:ascii="Palatino Linotype" w:hAnsi="Palatino Linotype"/>
          <w:sz w:val="16"/>
          <w:szCs w:val="16"/>
        </w:rPr>
        <w:t>México, 2017.</w:t>
      </w:r>
    </w:p>
    <w:p w14:paraId="26BB5825" w14:textId="7C50B464" w:rsidR="00603652" w:rsidRPr="00603652" w:rsidRDefault="00603652">
      <w:pPr>
        <w:pStyle w:val="Textonotapie"/>
        <w:rPr>
          <w:rFonts w:ascii="Palatino Linotype" w:hAnsi="Palatino Linotype"/>
          <w:sz w:val="16"/>
          <w:szCs w:val="16"/>
        </w:rPr>
      </w:pPr>
      <w:r>
        <w:rPr>
          <w:rFonts w:ascii="Palatino Linotype" w:hAnsi="Palatino Linotype"/>
          <w:sz w:val="16"/>
          <w:szCs w:val="16"/>
        </w:rPr>
        <w:t xml:space="preserve">Disponible en: </w:t>
      </w:r>
      <w:hyperlink r:id="rId3" w:history="1">
        <w:r w:rsidRPr="007D0948">
          <w:rPr>
            <w:rStyle w:val="Hipervnculo"/>
            <w:rFonts w:ascii="Palatino Linotype" w:hAnsi="Palatino Linotype"/>
            <w:sz w:val="16"/>
            <w:szCs w:val="16"/>
          </w:rPr>
          <w:t>https://www.gob.mx/sfp/acciones-y-programas/1-3-1-licitacion-publica</w:t>
        </w:r>
      </w:hyperlink>
      <w:r>
        <w:rPr>
          <w:rFonts w:ascii="Palatino Linotype" w:hAnsi="Palatino Linotype"/>
          <w:sz w:val="16"/>
          <w:szCs w:val="16"/>
        </w:rPr>
        <w:t xml:space="preserve"> </w:t>
      </w:r>
    </w:p>
    <w:p w14:paraId="3F7B462E" w14:textId="51435AD9" w:rsidR="00603652" w:rsidRPr="00603652" w:rsidRDefault="00603652">
      <w:pPr>
        <w:pStyle w:val="Textonotapie"/>
      </w:pPr>
    </w:p>
  </w:footnote>
  <w:footnote w:id="3">
    <w:p w14:paraId="1FE460EB" w14:textId="371E6EE8" w:rsidR="00603652" w:rsidRDefault="00603652">
      <w:pPr>
        <w:pStyle w:val="Textonotapie"/>
        <w:rPr>
          <w:rFonts w:ascii="Palatino Linotype" w:hAnsi="Palatino Linotype"/>
          <w:sz w:val="16"/>
          <w:szCs w:val="16"/>
        </w:rPr>
      </w:pPr>
      <w:r>
        <w:rPr>
          <w:rStyle w:val="Refdenotaalpie"/>
        </w:rPr>
        <w:footnoteRef/>
      </w:r>
      <w:r>
        <w:t xml:space="preserve"> </w:t>
      </w:r>
      <w:r>
        <w:rPr>
          <w:rFonts w:ascii="Palatino Linotype" w:hAnsi="Palatino Linotype"/>
          <w:sz w:val="16"/>
          <w:szCs w:val="16"/>
        </w:rPr>
        <w:t xml:space="preserve">Secretaría de la Función Pública. </w:t>
      </w:r>
      <w:r>
        <w:rPr>
          <w:rFonts w:ascii="Palatino Linotype" w:hAnsi="Palatino Linotype"/>
          <w:i/>
          <w:iCs/>
          <w:sz w:val="16"/>
          <w:szCs w:val="16"/>
        </w:rPr>
        <w:t xml:space="preserve">1.3.3 Adjudicación directa (LOPSRM y LAASSP), </w:t>
      </w:r>
      <w:r>
        <w:rPr>
          <w:rFonts w:ascii="Palatino Linotype" w:hAnsi="Palatino Linotype"/>
          <w:sz w:val="16"/>
          <w:szCs w:val="16"/>
        </w:rPr>
        <w:t>México, 2017.</w:t>
      </w:r>
    </w:p>
    <w:p w14:paraId="2591848A" w14:textId="603375E3" w:rsidR="00603652" w:rsidRPr="00603652" w:rsidRDefault="00603652">
      <w:pPr>
        <w:pStyle w:val="Textonotapie"/>
        <w:rPr>
          <w:rFonts w:ascii="Palatino Linotype" w:hAnsi="Palatino Linotype"/>
          <w:sz w:val="16"/>
          <w:szCs w:val="16"/>
        </w:rPr>
      </w:pPr>
      <w:r>
        <w:rPr>
          <w:rFonts w:ascii="Palatino Linotype" w:hAnsi="Palatino Linotype"/>
          <w:sz w:val="16"/>
          <w:szCs w:val="16"/>
        </w:rPr>
        <w:t xml:space="preserve">Disponible en: </w:t>
      </w:r>
      <w:hyperlink r:id="rId4" w:history="1">
        <w:r w:rsidRPr="007D0948">
          <w:rPr>
            <w:rStyle w:val="Hipervnculo"/>
            <w:rFonts w:ascii="Palatino Linotype" w:hAnsi="Palatino Linotype"/>
            <w:sz w:val="16"/>
            <w:szCs w:val="16"/>
          </w:rPr>
          <w:t>https://www.gob.mx/sfp/acciones-y-programas/1-3-3-adjudicacion-directa</w:t>
        </w:r>
      </w:hyperlink>
      <w:r>
        <w:rPr>
          <w:rFonts w:ascii="Palatino Linotype" w:hAnsi="Palatino Linotype"/>
          <w:sz w:val="16"/>
          <w:szCs w:val="16"/>
        </w:rPr>
        <w:t xml:space="preserve"> </w:t>
      </w:r>
    </w:p>
  </w:footnote>
  <w:footnote w:id="4">
    <w:p w14:paraId="2C55E5FB" w14:textId="376FF805" w:rsidR="009D1F61" w:rsidRDefault="009D1F61" w:rsidP="009D1F61">
      <w:pPr>
        <w:pStyle w:val="Textonotapie"/>
        <w:jc w:val="both"/>
        <w:rPr>
          <w:sz w:val="18"/>
          <w:szCs w:val="18"/>
          <w:u w:val="single"/>
        </w:rPr>
      </w:pPr>
      <w:r w:rsidRPr="000F0A6E">
        <w:rPr>
          <w:rStyle w:val="Refdenotaalpie"/>
          <w:rFonts w:eastAsia="Calibri"/>
        </w:rPr>
        <w:footnoteRef/>
      </w:r>
      <w:r w:rsidRPr="000F0A6E">
        <w:rPr>
          <w:sz w:val="18"/>
          <w:szCs w:val="18"/>
        </w:rPr>
        <w:t xml:space="preserve"> </w:t>
      </w:r>
      <w:r w:rsidRPr="00E6128E">
        <w:rPr>
          <w:rFonts w:ascii="Palatino Linotype" w:hAnsi="Palatino Linotype"/>
          <w:sz w:val="18"/>
          <w:szCs w:val="18"/>
        </w:rPr>
        <w:t>Jurisprudencia con número de registro 1000830, emitida por la Sala Superior, Apéndice de 2011, localizable en VIII. Electoral Primera Parte – Vigentes, Materia Electoral, tesis 191, página 244</w:t>
      </w:r>
      <w:r>
        <w:rPr>
          <w:rFonts w:ascii="Palatino Linotype" w:hAnsi="Palatino Linotype"/>
          <w:sz w:val="18"/>
          <w:szCs w:val="18"/>
        </w:rPr>
        <w:t xml:space="preserve">, y </w:t>
      </w:r>
      <w:r>
        <w:rPr>
          <w:sz w:val="18"/>
          <w:szCs w:val="18"/>
        </w:rPr>
        <w:t>c</w:t>
      </w:r>
      <w:r w:rsidRPr="000F0A6E">
        <w:rPr>
          <w:sz w:val="18"/>
          <w:szCs w:val="18"/>
        </w:rPr>
        <w:t xml:space="preserve">onsultable en la página electrónica </w:t>
      </w:r>
      <w:hyperlink r:id="rId5" w:history="1">
        <w:r w:rsidR="00D003CF" w:rsidRPr="007D0948">
          <w:rPr>
            <w:rStyle w:val="Hipervnculo"/>
            <w:sz w:val="18"/>
            <w:szCs w:val="18"/>
          </w:rPr>
          <w:t>https://sjf.scjn.gob.mx/sjfsist/Paginas/DetalleGeneralV2.aspx?ID=1000830&amp;Clase=DetalleTesisBL&amp;Semanario=0</w:t>
        </w:r>
      </w:hyperlink>
      <w:r w:rsidR="00D003CF">
        <w:rPr>
          <w:sz w:val="18"/>
          <w:szCs w:val="18"/>
        </w:rPr>
        <w:t xml:space="preserve"> </w:t>
      </w:r>
      <w:r>
        <w:rPr>
          <w:sz w:val="18"/>
          <w:szCs w:val="18"/>
          <w:u w:val="single"/>
        </w:rPr>
        <w:t>.</w:t>
      </w:r>
    </w:p>
    <w:p w14:paraId="76648F25" w14:textId="77777777" w:rsidR="009D1F61" w:rsidRPr="000F0A6E" w:rsidRDefault="009D1F61" w:rsidP="009D1F61">
      <w:pPr>
        <w:pStyle w:val="Textonotapie"/>
        <w:jc w:val="both"/>
        <w:rPr>
          <w:sz w:val="18"/>
          <w:szCs w:val="18"/>
          <w:u w:val="single"/>
        </w:rPr>
      </w:pPr>
    </w:p>
  </w:footnote>
  <w:footnote w:id="5">
    <w:p w14:paraId="100139EC" w14:textId="77777777" w:rsidR="00134D0E" w:rsidRDefault="00134D0E" w:rsidP="00134D0E">
      <w:pPr>
        <w:pStyle w:val="Textonotapie"/>
        <w:jc w:val="both"/>
      </w:pPr>
      <w:r>
        <w:rPr>
          <w:rStyle w:val="Refdenotaalpie"/>
        </w:rPr>
        <w:footnoteRef/>
      </w:r>
      <w:r>
        <w:t xml:space="preserve"> </w:t>
      </w:r>
      <w:r w:rsidRPr="00BE033D">
        <w:rPr>
          <w:rFonts w:ascii="Palatino Linotype" w:hAnsi="Palatino Linotype"/>
          <w:sz w:val="16"/>
          <w:szCs w:val="16"/>
        </w:rPr>
        <w:t>Artículos 129 y 134, último párrafo de la Ley de Transparencia y Acceso a la Información Pública del Estado de México y Municipios, en relación con los diversos 104 y 108, último párrafo, de la Ley General de Transparencia y Acceso a la Información Pública.</w:t>
      </w:r>
    </w:p>
  </w:footnote>
  <w:footnote w:id="6">
    <w:p w14:paraId="1A17BD5F" w14:textId="77777777" w:rsidR="00134D0E" w:rsidRDefault="00134D0E" w:rsidP="00134D0E">
      <w:pPr>
        <w:pStyle w:val="Textonotapie"/>
        <w:jc w:val="both"/>
      </w:pPr>
      <w:r>
        <w:rPr>
          <w:rStyle w:val="Refdenotaalpie"/>
        </w:rPr>
        <w:footnoteRef/>
      </w:r>
      <w:r>
        <w:t xml:space="preserve"> </w:t>
      </w:r>
      <w:r w:rsidRPr="003F34E5">
        <w:rPr>
          <w:sz w:val="16"/>
          <w:szCs w:val="16"/>
        </w:rPr>
        <w:t xml:space="preserve">Sergio López </w:t>
      </w:r>
      <w:proofErr w:type="spellStart"/>
      <w:r w:rsidRPr="003F34E5">
        <w:rPr>
          <w:sz w:val="16"/>
          <w:szCs w:val="16"/>
        </w:rPr>
        <w:t>Ayllón</w:t>
      </w:r>
      <w:proofErr w:type="spellEnd"/>
      <w:r w:rsidRPr="003F34E5">
        <w:rPr>
          <w:sz w:val="16"/>
          <w:szCs w:val="16"/>
        </w:rPr>
        <w:t xml:space="preserve"> y Alejandro Posadas. “Las pruebas de Daño e Interés Público en materia de acceso a la información. Una perspectiva comparada” en Derecho comparada de la Información, enero-junio de 2007.</w:t>
      </w:r>
    </w:p>
  </w:footnote>
  <w:footnote w:id="7">
    <w:p w14:paraId="1BC8A68D" w14:textId="77777777" w:rsidR="00134D0E" w:rsidRPr="00D75A73" w:rsidRDefault="00134D0E" w:rsidP="00134D0E">
      <w:pPr>
        <w:jc w:val="both"/>
        <w:rPr>
          <w:rFonts w:ascii="Palatino Linotype" w:eastAsia="Times New Roman" w:hAnsi="Palatino Linotype" w:cs="Times New Roman"/>
          <w:color w:val="000000" w:themeColor="text1"/>
          <w:sz w:val="16"/>
          <w:szCs w:val="16"/>
          <w:lang w:val="es-ES_tradnl" w:eastAsia="es-ES_tradnl"/>
        </w:rPr>
      </w:pPr>
      <w:r w:rsidRPr="00D75A73">
        <w:rPr>
          <w:rStyle w:val="Refdenotaalpie"/>
          <w:rFonts w:ascii="Palatino Linotype" w:hAnsi="Palatino Linotype"/>
          <w:color w:val="000000" w:themeColor="text1"/>
          <w:sz w:val="16"/>
          <w:szCs w:val="16"/>
        </w:rPr>
        <w:footnoteRef/>
      </w:r>
      <w:r w:rsidRPr="00D75A73">
        <w:rPr>
          <w:rFonts w:ascii="Palatino Linotype" w:hAnsi="Palatino Linotype"/>
          <w:color w:val="000000" w:themeColor="text1"/>
          <w:sz w:val="16"/>
          <w:szCs w:val="16"/>
        </w:rPr>
        <w:t xml:space="preserve"> </w:t>
      </w:r>
      <w:r w:rsidRPr="00D75A73">
        <w:rPr>
          <w:rFonts w:ascii="Palatino Linotype" w:hAnsi="Palatino Linotype"/>
          <w:color w:val="000000" w:themeColor="text1"/>
          <w:sz w:val="16"/>
          <w:szCs w:val="16"/>
          <w:lang w:val="es-ES"/>
        </w:rPr>
        <w:t>“</w:t>
      </w:r>
      <w:r w:rsidRPr="00D75A73">
        <w:rPr>
          <w:rFonts w:ascii="Palatino Linotype" w:eastAsia="Times New Roman" w:hAnsi="Palatino Linotype" w:cs="Arial"/>
          <w:color w:val="000000" w:themeColor="text1"/>
          <w:sz w:val="16"/>
          <w:szCs w:val="16"/>
          <w:lang w:val="es-ES_tradnl" w:eastAsia="es-ES_tradnl"/>
        </w:rPr>
        <w:t xml:space="preserve">En las sentencias C-093 de 2001 y C-671 de 2001, se explicó el alcance de este tipo de escrutinio, denominado test integrado de igualdad: "[a] fin de determinar si el trato discriminatorio vulnera el derecho fundamental a la igualdad, la Corte ha elaborado un modelo de análisis que integra el juicio de proporcionalidad y el test de igualdad. Lo que en este modelo se hace, básicamente, es retomar y armonizar los elementos del test o juicio de proporcionalidad europeo con los aportes de la tendencia estadounidense. Así, se emplean las etapas metodológicas del test europeo, que comprende las siguientes fases de análisis: (i) se examina si la medida es o no adecuada, es decir, si constituye o no un medio idóneo para alcanzar un fin constitucionalmente válido; (ii) se analiza si el trato diferente es o no necesario o indispensable; y (iii) se realiza un análisis de proporcionalidad en estricto sentido, para determinar si el trato desigual no sacrifica valores y principios constitucionales que tengan mayor relevancia que los alcanzados con la medida diferencia. De otra parte, se toman los distintos niveles de intensidad en la aplicación de los escrutinios o </w:t>
      </w:r>
      <w:proofErr w:type="spellStart"/>
      <w:r w:rsidRPr="00D75A73">
        <w:rPr>
          <w:rFonts w:ascii="Palatino Linotype" w:eastAsia="Times New Roman" w:hAnsi="Palatino Linotype" w:cs="Arial"/>
          <w:color w:val="000000" w:themeColor="text1"/>
          <w:sz w:val="16"/>
          <w:szCs w:val="16"/>
          <w:lang w:val="es-ES_tradnl" w:eastAsia="es-ES_tradnl"/>
        </w:rPr>
        <w:t>tests</w:t>
      </w:r>
      <w:proofErr w:type="spellEnd"/>
      <w:r w:rsidRPr="00D75A73">
        <w:rPr>
          <w:rFonts w:ascii="Palatino Linotype" w:eastAsia="Times New Roman" w:hAnsi="Palatino Linotype" w:cs="Arial"/>
          <w:color w:val="000000" w:themeColor="text1"/>
          <w:sz w:val="16"/>
          <w:szCs w:val="16"/>
          <w:lang w:val="es-ES_tradnl" w:eastAsia="es-ES_tradnl"/>
        </w:rPr>
        <w:t xml:space="preserve"> de igualdad. Dichos niveles pueden variar entre (i) estricto, en el cual el trato diferente debe constituir una medida necesaria para alcanzar un objetivo constitucionalmente imperioso; (ii) intermedio, es aquel en el cual el fin debe ser importante constitucionalmente y el medio debe ser altamente conducente para lograr el fin propuesto; y (iii) flexible o de mera razonabilidad, es decir que es suficiente con que la medida sea potencialmente adecuada para alcanzar un propósito que no esté prohibido por el ordenamiento. Lo anterior debe tener aplicación, según el carácter de la disposición legislativa o la medida administrativa atacada". El test integrado fue aplicado en un caso de discriminación por VIH en la sentencia T-376 de 2013.” Citado en Corte Interamericana de Derechos Humanos. Caso Gonzales </w:t>
      </w:r>
      <w:proofErr w:type="spellStart"/>
      <w:r w:rsidRPr="00D75A73">
        <w:rPr>
          <w:rFonts w:ascii="Palatino Linotype" w:eastAsia="Times New Roman" w:hAnsi="Palatino Linotype" w:cs="Arial"/>
          <w:color w:val="000000" w:themeColor="text1"/>
          <w:sz w:val="16"/>
          <w:szCs w:val="16"/>
          <w:lang w:val="es-ES_tradnl" w:eastAsia="es-ES_tradnl"/>
        </w:rPr>
        <w:t>Lluy</w:t>
      </w:r>
      <w:proofErr w:type="spellEnd"/>
      <w:r w:rsidRPr="00D75A73">
        <w:rPr>
          <w:rFonts w:ascii="Palatino Linotype" w:eastAsia="Times New Roman" w:hAnsi="Palatino Linotype" w:cs="Arial"/>
          <w:color w:val="000000" w:themeColor="text1"/>
          <w:sz w:val="16"/>
          <w:szCs w:val="16"/>
          <w:lang w:val="es-ES_tradnl" w:eastAsia="es-ES_tradnl"/>
        </w:rPr>
        <w:t xml:space="preserve"> y otros contra Ecuador. Excepciones preliminares, fondo, reparaciones y costas. Sentencia del 01 de septiembre de 2015. Párr. 256.  </w:t>
      </w:r>
    </w:p>
  </w:footnote>
  <w:footnote w:id="8">
    <w:p w14:paraId="7BAA3C2C" w14:textId="77777777" w:rsidR="00134D0E" w:rsidRPr="00153277" w:rsidRDefault="00134D0E" w:rsidP="00134D0E">
      <w:pPr>
        <w:pStyle w:val="Textonotapie"/>
        <w:jc w:val="both"/>
        <w:rPr>
          <w:rFonts w:ascii="Palatino Linotype" w:hAnsi="Palatino Linotype"/>
          <w:color w:val="000000" w:themeColor="text1"/>
          <w:sz w:val="16"/>
          <w:szCs w:val="16"/>
          <w:lang w:val="en-US"/>
        </w:rPr>
      </w:pPr>
      <w:r w:rsidRPr="00D75A73">
        <w:rPr>
          <w:rStyle w:val="Refdenotaalpie"/>
          <w:rFonts w:ascii="Palatino Linotype" w:hAnsi="Palatino Linotype"/>
          <w:color w:val="000000" w:themeColor="text1"/>
          <w:sz w:val="16"/>
          <w:szCs w:val="16"/>
        </w:rPr>
        <w:footnoteRef/>
      </w:r>
      <w:r w:rsidRPr="00D75A73">
        <w:rPr>
          <w:rFonts w:ascii="Palatino Linotype" w:hAnsi="Palatino Linotype"/>
          <w:color w:val="000000" w:themeColor="text1"/>
          <w:sz w:val="16"/>
          <w:szCs w:val="16"/>
        </w:rPr>
        <w:t xml:space="preserve"> </w:t>
      </w:r>
      <w:r w:rsidRPr="00D75A73">
        <w:rPr>
          <w:rFonts w:ascii="Palatino Linotype" w:hAnsi="Palatino Linotype"/>
          <w:color w:val="000000" w:themeColor="text1"/>
          <w:sz w:val="16"/>
          <w:szCs w:val="16"/>
          <w:lang w:val="es-ES"/>
        </w:rPr>
        <w:t>Tribunal Constitucional Alemán. Resolución sobre los soldados son asesinos, de 10 de octubre de 1995 (</w:t>
      </w:r>
      <w:proofErr w:type="spellStart"/>
      <w:r w:rsidRPr="00D75A73">
        <w:rPr>
          <w:rFonts w:ascii="Palatino Linotype" w:hAnsi="Palatino Linotype"/>
          <w:color w:val="000000" w:themeColor="text1"/>
          <w:sz w:val="16"/>
          <w:szCs w:val="16"/>
          <w:lang w:val="es-ES"/>
        </w:rPr>
        <w:t>BVerfGE</w:t>
      </w:r>
      <w:proofErr w:type="spellEnd"/>
      <w:r w:rsidRPr="00D75A73">
        <w:rPr>
          <w:rFonts w:ascii="Palatino Linotype" w:hAnsi="Palatino Linotype"/>
          <w:color w:val="000000" w:themeColor="text1"/>
          <w:sz w:val="16"/>
          <w:szCs w:val="16"/>
          <w:lang w:val="es-ES"/>
        </w:rPr>
        <w:t xml:space="preserve"> 93, 266). En ALÁEZ CORRAL, Benito y ÁLVAREZ </w:t>
      </w:r>
      <w:proofErr w:type="spellStart"/>
      <w:r w:rsidRPr="00D75A73">
        <w:rPr>
          <w:rFonts w:ascii="Palatino Linotype" w:hAnsi="Palatino Linotype"/>
          <w:color w:val="000000" w:themeColor="text1"/>
          <w:sz w:val="16"/>
          <w:szCs w:val="16"/>
          <w:lang w:val="es-ES"/>
        </w:rPr>
        <w:t>ÁLVAREZ</w:t>
      </w:r>
      <w:proofErr w:type="spellEnd"/>
      <w:r w:rsidRPr="00D75A73">
        <w:rPr>
          <w:rFonts w:ascii="Palatino Linotype" w:hAnsi="Palatino Linotype"/>
          <w:color w:val="000000" w:themeColor="text1"/>
          <w:sz w:val="16"/>
          <w:szCs w:val="16"/>
          <w:lang w:val="es-ES"/>
        </w:rPr>
        <w:t xml:space="preserve">, Leonardo. Las decisiones básicas del Tribunal Constitucional Federal Alemán en las encrucijadas del cambio de milenio. Ed. Centro de Estudios Políticos y Constitucionales y boletín oficial del Estado, Madrid, 2008. </w:t>
      </w:r>
      <w:r w:rsidRPr="00153277">
        <w:rPr>
          <w:rFonts w:ascii="Palatino Linotype" w:hAnsi="Palatino Linotype"/>
          <w:color w:val="000000" w:themeColor="text1"/>
          <w:sz w:val="16"/>
          <w:szCs w:val="16"/>
          <w:lang w:val="en-US"/>
        </w:rPr>
        <w:t>Pp. 1045-1096.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7EBE3" w14:textId="218EB0D7" w:rsidR="00E761C2" w:rsidRDefault="00E761C2">
    <w:pPr>
      <w:pStyle w:val="Encabezado"/>
    </w:pPr>
    <w:r>
      <w:rPr>
        <w:rFonts w:ascii="Palatino Linotype" w:hAnsi="Palatino Linotype" w:cs="Arial"/>
        <w:b/>
        <w:noProof/>
        <w:szCs w:val="20"/>
        <w:lang w:val="es-MX" w:eastAsia="es-MX"/>
      </w:rPr>
      <w:drawing>
        <wp:anchor distT="0" distB="0" distL="114300" distR="114300" simplePos="0" relativeHeight="251661312" behindDoc="1" locked="0" layoutInCell="0" allowOverlap="1" wp14:anchorId="1286E200" wp14:editId="0E8F5985">
          <wp:simplePos x="0" y="0"/>
          <wp:positionH relativeFrom="page">
            <wp:posOffset>38735</wp:posOffset>
          </wp:positionH>
          <wp:positionV relativeFrom="page">
            <wp:posOffset>19685</wp:posOffset>
          </wp:positionV>
          <wp:extent cx="7705725" cy="10048875"/>
          <wp:effectExtent l="0" t="0" r="9525" b="9525"/>
          <wp:wrapNone/>
          <wp:docPr id="7" name="Imagen 7"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p>
  <w:tbl>
    <w:tblPr>
      <w:tblW w:w="10065" w:type="dxa"/>
      <w:tblInd w:w="-851"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CellMar>
        <w:left w:w="70" w:type="dxa"/>
        <w:right w:w="70" w:type="dxa"/>
      </w:tblCellMar>
      <w:tblLook w:val="04A0" w:firstRow="1" w:lastRow="0" w:firstColumn="1" w:lastColumn="0" w:noHBand="0" w:noVBand="1"/>
    </w:tblPr>
    <w:tblGrid>
      <w:gridCol w:w="5529"/>
      <w:gridCol w:w="4536"/>
    </w:tblGrid>
    <w:tr w:rsidR="00E761C2" w14:paraId="17981A04" w14:textId="77777777" w:rsidTr="00073E92">
      <w:trPr>
        <w:trHeight w:val="227"/>
      </w:trPr>
      <w:tc>
        <w:tcPr>
          <w:tcW w:w="5529" w:type="dxa"/>
          <w:hideMark/>
        </w:tcPr>
        <w:p w14:paraId="0E414BC5" w14:textId="19670DF2" w:rsidR="00E761C2" w:rsidRDefault="00E761C2" w:rsidP="009A686F">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7A04720B" w14:textId="46B49814" w:rsidR="00E761C2" w:rsidRPr="00B4142F" w:rsidRDefault="00CF219D" w:rsidP="00C25084">
          <w:pPr>
            <w:spacing w:after="120" w:line="256" w:lineRule="auto"/>
            <w:ind w:left="639" w:right="214"/>
            <w:jc w:val="both"/>
            <w:rPr>
              <w:rFonts w:ascii="Palatino Linotype" w:hAnsi="Palatino Linotype" w:cs="Arial"/>
              <w:szCs w:val="20"/>
            </w:rPr>
          </w:pPr>
          <w:r>
            <w:rPr>
              <w:rFonts w:ascii="Palatino Linotype" w:hAnsi="Palatino Linotype" w:cs="Arial"/>
              <w:bCs/>
              <w:sz w:val="24"/>
              <w:lang w:eastAsia="es-MX"/>
            </w:rPr>
            <w:t>00310</w:t>
          </w:r>
          <w:r w:rsidR="00E761C2">
            <w:rPr>
              <w:rFonts w:ascii="Palatino Linotype" w:hAnsi="Palatino Linotype" w:cs="Arial"/>
              <w:bCs/>
              <w:sz w:val="24"/>
              <w:lang w:eastAsia="es-MX"/>
            </w:rPr>
            <w:t>/INFOEM/IP/RR/202</w:t>
          </w:r>
          <w:r>
            <w:rPr>
              <w:rFonts w:ascii="Palatino Linotype" w:hAnsi="Palatino Linotype" w:cs="Arial"/>
              <w:bCs/>
              <w:sz w:val="24"/>
              <w:lang w:eastAsia="es-MX"/>
            </w:rPr>
            <w:t>3</w:t>
          </w:r>
        </w:p>
      </w:tc>
    </w:tr>
    <w:tr w:rsidR="00E761C2" w14:paraId="637042F0" w14:textId="77777777" w:rsidTr="00073E92">
      <w:trPr>
        <w:trHeight w:val="242"/>
      </w:trPr>
      <w:tc>
        <w:tcPr>
          <w:tcW w:w="5529" w:type="dxa"/>
          <w:hideMark/>
        </w:tcPr>
        <w:p w14:paraId="412AD568" w14:textId="582E7AD7" w:rsidR="00E761C2" w:rsidRDefault="00E761C2" w:rsidP="009A686F">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2349DB56" w14:textId="54374673" w:rsidR="00E761C2" w:rsidRPr="00F06FED" w:rsidRDefault="006A0422" w:rsidP="0034605F">
          <w:pPr>
            <w:spacing w:after="120" w:line="256" w:lineRule="auto"/>
            <w:ind w:left="639" w:right="214"/>
            <w:jc w:val="both"/>
            <w:rPr>
              <w:rFonts w:ascii="Palatino Linotype" w:hAnsi="Palatino Linotype" w:cs="Arial"/>
            </w:rPr>
          </w:pPr>
          <w:r>
            <w:rPr>
              <w:rFonts w:ascii="Palatino Linotype" w:hAnsi="Palatino Linotype" w:cs="Arial"/>
            </w:rPr>
            <w:t xml:space="preserve">Ayuntamiento de </w:t>
          </w:r>
          <w:r w:rsidR="00CF219D">
            <w:rPr>
              <w:rFonts w:ascii="Palatino Linotype" w:hAnsi="Palatino Linotype" w:cs="Arial"/>
            </w:rPr>
            <w:t>Toluca</w:t>
          </w:r>
        </w:p>
      </w:tc>
    </w:tr>
    <w:tr w:rsidR="00E761C2" w14:paraId="21BFE746" w14:textId="77777777" w:rsidTr="00073E92">
      <w:trPr>
        <w:trHeight w:val="342"/>
      </w:trPr>
      <w:tc>
        <w:tcPr>
          <w:tcW w:w="5529" w:type="dxa"/>
          <w:hideMark/>
        </w:tcPr>
        <w:p w14:paraId="64C4E314" w14:textId="2A83840C" w:rsidR="00E761C2" w:rsidRDefault="00E761C2" w:rsidP="009A686F">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536" w:type="dxa"/>
          <w:hideMark/>
        </w:tcPr>
        <w:p w14:paraId="704853B3" w14:textId="1CDF31FD" w:rsidR="00E761C2" w:rsidRDefault="00E761C2" w:rsidP="009A686F">
          <w:pPr>
            <w:spacing w:after="120" w:line="256" w:lineRule="auto"/>
            <w:ind w:left="497" w:right="214" w:firstLine="142"/>
            <w:jc w:val="both"/>
            <w:rPr>
              <w:rFonts w:ascii="Palatino Linotype" w:hAnsi="Palatino Linotype" w:cs="Arial"/>
              <w:szCs w:val="20"/>
            </w:rPr>
          </w:pPr>
          <w:r>
            <w:rPr>
              <w:rFonts w:ascii="Palatino Linotype" w:hAnsi="Palatino Linotype" w:cs="Arial"/>
              <w:szCs w:val="20"/>
            </w:rPr>
            <w:t>José Martínez Vilchis</w:t>
          </w:r>
        </w:p>
      </w:tc>
    </w:tr>
  </w:tbl>
  <w:p w14:paraId="5A183BF9" w14:textId="77777777" w:rsidR="00E761C2" w:rsidRDefault="00E761C2">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ayout w:type="fixed"/>
      <w:tblCellMar>
        <w:left w:w="70" w:type="dxa"/>
        <w:right w:w="70" w:type="dxa"/>
      </w:tblCellMar>
      <w:tblLook w:val="04A0" w:firstRow="1" w:lastRow="0" w:firstColumn="1" w:lastColumn="0" w:noHBand="0" w:noVBand="1"/>
    </w:tblPr>
    <w:tblGrid>
      <w:gridCol w:w="5529"/>
      <w:gridCol w:w="4536"/>
    </w:tblGrid>
    <w:tr w:rsidR="00E761C2" w14:paraId="385FD437" w14:textId="77777777" w:rsidTr="00073E92">
      <w:trPr>
        <w:trHeight w:val="227"/>
      </w:trPr>
      <w:tc>
        <w:tcPr>
          <w:tcW w:w="5529" w:type="dxa"/>
          <w:hideMark/>
        </w:tcPr>
        <w:p w14:paraId="272860E8" w14:textId="6340DBC0" w:rsidR="00E761C2" w:rsidRDefault="00E761C2" w:rsidP="00FB4AAD">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531A70A2" w14:textId="2A5BA180" w:rsidR="00E761C2" w:rsidRPr="00B4142F" w:rsidRDefault="00CF219D" w:rsidP="00C25084">
          <w:pPr>
            <w:spacing w:after="120" w:line="256" w:lineRule="auto"/>
            <w:ind w:left="639" w:right="214"/>
            <w:jc w:val="both"/>
            <w:rPr>
              <w:rFonts w:ascii="Palatino Linotype" w:hAnsi="Palatino Linotype" w:cs="Arial"/>
              <w:szCs w:val="20"/>
            </w:rPr>
          </w:pPr>
          <w:r>
            <w:rPr>
              <w:rFonts w:ascii="Palatino Linotype" w:hAnsi="Palatino Linotype" w:cs="Arial"/>
              <w:bCs/>
              <w:sz w:val="24"/>
              <w:lang w:eastAsia="es-MX"/>
            </w:rPr>
            <w:t>00310</w:t>
          </w:r>
          <w:r w:rsidR="00E761C2">
            <w:rPr>
              <w:rFonts w:ascii="Palatino Linotype" w:hAnsi="Palatino Linotype" w:cs="Arial"/>
              <w:bCs/>
              <w:sz w:val="24"/>
              <w:lang w:eastAsia="es-MX"/>
            </w:rPr>
            <w:t>/INFOEM/IP/RR/202</w:t>
          </w:r>
          <w:r>
            <w:rPr>
              <w:rFonts w:ascii="Palatino Linotype" w:hAnsi="Palatino Linotype" w:cs="Arial"/>
              <w:bCs/>
              <w:sz w:val="24"/>
              <w:lang w:eastAsia="es-MX"/>
            </w:rPr>
            <w:t>3</w:t>
          </w:r>
        </w:p>
      </w:tc>
    </w:tr>
    <w:tr w:rsidR="00E761C2" w14:paraId="33FC5097" w14:textId="77777777" w:rsidTr="00073E92">
      <w:trPr>
        <w:trHeight w:val="196"/>
      </w:trPr>
      <w:tc>
        <w:tcPr>
          <w:tcW w:w="5529" w:type="dxa"/>
          <w:hideMark/>
        </w:tcPr>
        <w:p w14:paraId="4F5D01E5" w14:textId="77777777" w:rsidR="00E761C2" w:rsidRDefault="00E761C2" w:rsidP="00FB4AAD">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3E1E85B5" w14:textId="20ED8B37" w:rsidR="00E761C2" w:rsidRPr="00F06FED" w:rsidRDefault="0052362C" w:rsidP="007A3BB5">
          <w:pPr>
            <w:spacing w:after="120" w:line="256" w:lineRule="auto"/>
            <w:ind w:left="639" w:right="214"/>
            <w:jc w:val="both"/>
            <w:rPr>
              <w:rFonts w:ascii="Palatino Linotype" w:hAnsi="Palatino Linotype" w:cs="Arial"/>
            </w:rPr>
          </w:pPr>
          <w:r>
            <w:rPr>
              <w:rFonts w:ascii="Palatino Linotype" w:hAnsi="Palatino Linotype" w:cs="Arial"/>
            </w:rPr>
            <w:t>XXXXXXXXXXXXXXX</w:t>
          </w:r>
          <w:r w:rsidR="00CF219D">
            <w:rPr>
              <w:rFonts w:ascii="Palatino Linotype" w:hAnsi="Palatino Linotype" w:cs="Arial"/>
            </w:rPr>
            <w:t xml:space="preserve"> </w:t>
          </w:r>
          <w:r w:rsidR="006A0422">
            <w:rPr>
              <w:rFonts w:ascii="Palatino Linotype" w:hAnsi="Palatino Linotype" w:cs="Arial"/>
            </w:rPr>
            <w:t xml:space="preserve"> </w:t>
          </w:r>
        </w:p>
      </w:tc>
    </w:tr>
    <w:tr w:rsidR="00E761C2" w14:paraId="178280DE" w14:textId="77777777" w:rsidTr="00073E92">
      <w:trPr>
        <w:trHeight w:val="242"/>
      </w:trPr>
      <w:tc>
        <w:tcPr>
          <w:tcW w:w="5529" w:type="dxa"/>
          <w:hideMark/>
        </w:tcPr>
        <w:p w14:paraId="71AC708B" w14:textId="77777777" w:rsidR="00E761C2" w:rsidRDefault="00E761C2" w:rsidP="00FB4AAD">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7F666D78" w14:textId="66578AE9" w:rsidR="00E761C2" w:rsidRDefault="006A0422" w:rsidP="0034605F">
          <w:pPr>
            <w:spacing w:after="120" w:line="256" w:lineRule="auto"/>
            <w:ind w:left="639" w:right="214"/>
            <w:jc w:val="both"/>
            <w:rPr>
              <w:rFonts w:ascii="Palatino Linotype" w:hAnsi="Palatino Linotype" w:cs="Arial"/>
              <w:szCs w:val="20"/>
            </w:rPr>
          </w:pPr>
          <w:r>
            <w:rPr>
              <w:rFonts w:ascii="Palatino Linotype" w:hAnsi="Palatino Linotype" w:cs="Arial"/>
              <w:szCs w:val="20"/>
            </w:rPr>
            <w:t xml:space="preserve">Ayuntamiento de </w:t>
          </w:r>
          <w:r w:rsidR="00CF219D">
            <w:rPr>
              <w:rFonts w:ascii="Palatino Linotype" w:hAnsi="Palatino Linotype" w:cs="Arial"/>
              <w:szCs w:val="20"/>
            </w:rPr>
            <w:t>Toluca</w:t>
          </w:r>
        </w:p>
      </w:tc>
    </w:tr>
    <w:tr w:rsidR="00E761C2" w14:paraId="0518978B" w14:textId="77777777" w:rsidTr="00073E92">
      <w:trPr>
        <w:trHeight w:val="342"/>
      </w:trPr>
      <w:tc>
        <w:tcPr>
          <w:tcW w:w="5529" w:type="dxa"/>
          <w:hideMark/>
        </w:tcPr>
        <w:p w14:paraId="04968A43" w14:textId="7BE2A222" w:rsidR="00E761C2" w:rsidRDefault="00E761C2" w:rsidP="00FB4AAD">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536" w:type="dxa"/>
          <w:hideMark/>
        </w:tcPr>
        <w:p w14:paraId="1E42D601" w14:textId="465C7022" w:rsidR="00E761C2" w:rsidRDefault="00E761C2" w:rsidP="007D1F15">
          <w:pPr>
            <w:spacing w:after="120" w:line="256" w:lineRule="auto"/>
            <w:ind w:left="639" w:right="214"/>
            <w:jc w:val="both"/>
            <w:rPr>
              <w:rFonts w:ascii="Palatino Linotype" w:hAnsi="Palatino Linotype" w:cs="Arial"/>
              <w:szCs w:val="20"/>
            </w:rPr>
          </w:pPr>
          <w:r>
            <w:rPr>
              <w:rFonts w:ascii="Palatino Linotype" w:hAnsi="Palatino Linotype" w:cs="Arial"/>
              <w:szCs w:val="20"/>
            </w:rPr>
            <w:t xml:space="preserve">José Martínez Vilchis </w:t>
          </w:r>
        </w:p>
      </w:tc>
    </w:tr>
  </w:tbl>
  <w:p w14:paraId="1B7A654C" w14:textId="4A3B5148" w:rsidR="00E761C2" w:rsidRDefault="00E761C2">
    <w:pPr>
      <w:pStyle w:val="Encabezado"/>
    </w:pPr>
    <w:r>
      <w:rPr>
        <w:rFonts w:ascii="Palatino Linotype" w:hAnsi="Palatino Linotype" w:cs="Arial"/>
        <w:b/>
        <w:noProof/>
        <w:szCs w:val="20"/>
        <w:lang w:val="es-MX" w:eastAsia="es-MX"/>
      </w:rPr>
      <w:drawing>
        <wp:anchor distT="0" distB="0" distL="114300" distR="114300" simplePos="0" relativeHeight="251659264" behindDoc="1" locked="0" layoutInCell="0" allowOverlap="1" wp14:anchorId="2A69DC75" wp14:editId="6A0E6CF1">
          <wp:simplePos x="0" y="0"/>
          <wp:positionH relativeFrom="page">
            <wp:posOffset>29210</wp:posOffset>
          </wp:positionH>
          <wp:positionV relativeFrom="page">
            <wp:posOffset>34925</wp:posOffset>
          </wp:positionV>
          <wp:extent cx="7705725" cy="10048875"/>
          <wp:effectExtent l="19050" t="19050" r="28575" b="28575"/>
          <wp:wrapNone/>
          <wp:docPr id="3" name="Imagen 3"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252EC8"/>
    <w:multiLevelType w:val="hybridMultilevel"/>
    <w:tmpl w:val="E6B40D0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7140AD"/>
    <w:multiLevelType w:val="hybridMultilevel"/>
    <w:tmpl w:val="023ABBBC"/>
    <w:lvl w:ilvl="0" w:tplc="04090013">
      <w:start w:val="1"/>
      <w:numFmt w:val="upperRoman"/>
      <w:lvlText w:val="%1."/>
      <w:lvlJc w:val="righ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 w15:restartNumberingAfterBreak="0">
    <w:nsid w:val="0B2700F0"/>
    <w:multiLevelType w:val="hybridMultilevel"/>
    <w:tmpl w:val="2FD8F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CF5616"/>
    <w:multiLevelType w:val="hybridMultilevel"/>
    <w:tmpl w:val="8C287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520FD6"/>
    <w:multiLevelType w:val="hybridMultilevel"/>
    <w:tmpl w:val="53206A08"/>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 w15:restartNumberingAfterBreak="0">
    <w:nsid w:val="1F023D3A"/>
    <w:multiLevelType w:val="hybridMultilevel"/>
    <w:tmpl w:val="17B84788"/>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 w15:restartNumberingAfterBreak="0">
    <w:nsid w:val="2363516C"/>
    <w:multiLevelType w:val="multilevel"/>
    <w:tmpl w:val="D034F034"/>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7" w15:restartNumberingAfterBreak="0">
    <w:nsid w:val="309454E5"/>
    <w:multiLevelType w:val="hybridMultilevel"/>
    <w:tmpl w:val="106C3F22"/>
    <w:lvl w:ilvl="0" w:tplc="BC2EE104">
      <w:start w:val="1"/>
      <w:numFmt w:val="upperRoman"/>
      <w:lvlText w:val="%1."/>
      <w:lvlJc w:val="left"/>
      <w:pPr>
        <w:ind w:left="765" w:hanging="72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8" w15:restartNumberingAfterBreak="0">
    <w:nsid w:val="4A3105CF"/>
    <w:multiLevelType w:val="hybridMultilevel"/>
    <w:tmpl w:val="9C9ED682"/>
    <w:lvl w:ilvl="0" w:tplc="C3564AEC">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9" w15:restartNumberingAfterBreak="0">
    <w:nsid w:val="5B675924"/>
    <w:multiLevelType w:val="hybridMultilevel"/>
    <w:tmpl w:val="0C5EBD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E745726"/>
    <w:multiLevelType w:val="hybridMultilevel"/>
    <w:tmpl w:val="4E7C5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A410C6F"/>
    <w:multiLevelType w:val="hybridMultilevel"/>
    <w:tmpl w:val="618A403A"/>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2" w15:restartNumberingAfterBreak="0">
    <w:nsid w:val="6DD437A7"/>
    <w:multiLevelType w:val="hybridMultilevel"/>
    <w:tmpl w:val="8696D02E"/>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13" w15:restartNumberingAfterBreak="0">
    <w:nsid w:val="6F6E14D1"/>
    <w:multiLevelType w:val="hybridMultilevel"/>
    <w:tmpl w:val="20FA9F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0A0A9B"/>
    <w:multiLevelType w:val="hybridMultilevel"/>
    <w:tmpl w:val="FCD892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0CF73F2"/>
    <w:multiLevelType w:val="hybridMultilevel"/>
    <w:tmpl w:val="D72A271E"/>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338044B"/>
    <w:multiLevelType w:val="hybridMultilevel"/>
    <w:tmpl w:val="B5AE5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7F663DC"/>
    <w:multiLevelType w:val="hybridMultilevel"/>
    <w:tmpl w:val="53D81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5"/>
  </w:num>
  <w:num w:numId="3">
    <w:abstractNumId w:val="4"/>
  </w:num>
  <w:num w:numId="4">
    <w:abstractNumId w:val="11"/>
  </w:num>
  <w:num w:numId="5">
    <w:abstractNumId w:val="3"/>
  </w:num>
  <w:num w:numId="6">
    <w:abstractNumId w:val="10"/>
  </w:num>
  <w:num w:numId="7">
    <w:abstractNumId w:val="16"/>
  </w:num>
  <w:num w:numId="8">
    <w:abstractNumId w:val="5"/>
  </w:num>
  <w:num w:numId="9">
    <w:abstractNumId w:val="12"/>
  </w:num>
  <w:num w:numId="10">
    <w:abstractNumId w:val="1"/>
  </w:num>
  <w:num w:numId="11">
    <w:abstractNumId w:val="17"/>
  </w:num>
  <w:num w:numId="12">
    <w:abstractNumId w:val="13"/>
  </w:num>
  <w:num w:numId="13">
    <w:abstractNumId w:val="7"/>
  </w:num>
  <w:num w:numId="14">
    <w:abstractNumId w:val="8"/>
  </w:num>
  <w:num w:numId="15">
    <w:abstractNumId w:val="9"/>
  </w:num>
  <w:num w:numId="16">
    <w:abstractNumId w:val="2"/>
  </w:num>
  <w:num w:numId="17">
    <w:abstractNumId w:val="14"/>
  </w:num>
  <w:num w:numId="18">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8E4"/>
    <w:rsid w:val="0000045D"/>
    <w:rsid w:val="000009AE"/>
    <w:rsid w:val="0000227A"/>
    <w:rsid w:val="000026CF"/>
    <w:rsid w:val="00002FA5"/>
    <w:rsid w:val="0000354B"/>
    <w:rsid w:val="00004469"/>
    <w:rsid w:val="000056BB"/>
    <w:rsid w:val="00005B85"/>
    <w:rsid w:val="00007D8F"/>
    <w:rsid w:val="00011980"/>
    <w:rsid w:val="00012E56"/>
    <w:rsid w:val="0001366A"/>
    <w:rsid w:val="00013C75"/>
    <w:rsid w:val="000143E2"/>
    <w:rsid w:val="000143F3"/>
    <w:rsid w:val="00015C81"/>
    <w:rsid w:val="000171B7"/>
    <w:rsid w:val="00020E74"/>
    <w:rsid w:val="00022B41"/>
    <w:rsid w:val="000240C8"/>
    <w:rsid w:val="0002560B"/>
    <w:rsid w:val="0002702E"/>
    <w:rsid w:val="00027921"/>
    <w:rsid w:val="000306A7"/>
    <w:rsid w:val="00030FDA"/>
    <w:rsid w:val="000315CA"/>
    <w:rsid w:val="00031A66"/>
    <w:rsid w:val="00031AB1"/>
    <w:rsid w:val="00031B3B"/>
    <w:rsid w:val="0003281E"/>
    <w:rsid w:val="00032896"/>
    <w:rsid w:val="000329BE"/>
    <w:rsid w:val="00032DE3"/>
    <w:rsid w:val="0003628E"/>
    <w:rsid w:val="00036740"/>
    <w:rsid w:val="0004186E"/>
    <w:rsid w:val="00044C7F"/>
    <w:rsid w:val="000451BE"/>
    <w:rsid w:val="00045379"/>
    <w:rsid w:val="000458B5"/>
    <w:rsid w:val="00045CB8"/>
    <w:rsid w:val="000508FA"/>
    <w:rsid w:val="0005171D"/>
    <w:rsid w:val="00055224"/>
    <w:rsid w:val="000610F9"/>
    <w:rsid w:val="00061821"/>
    <w:rsid w:val="000623F9"/>
    <w:rsid w:val="00063A10"/>
    <w:rsid w:val="00063C69"/>
    <w:rsid w:val="00064EA6"/>
    <w:rsid w:val="000662F8"/>
    <w:rsid w:val="00066CAB"/>
    <w:rsid w:val="00070E99"/>
    <w:rsid w:val="00073E78"/>
    <w:rsid w:val="00073E92"/>
    <w:rsid w:val="00073FC2"/>
    <w:rsid w:val="00074125"/>
    <w:rsid w:val="00074B0E"/>
    <w:rsid w:val="00076AE0"/>
    <w:rsid w:val="0007756F"/>
    <w:rsid w:val="0008033D"/>
    <w:rsid w:val="0008151E"/>
    <w:rsid w:val="000821BF"/>
    <w:rsid w:val="00085007"/>
    <w:rsid w:val="0008548C"/>
    <w:rsid w:val="0008650D"/>
    <w:rsid w:val="00086AF1"/>
    <w:rsid w:val="0008719F"/>
    <w:rsid w:val="00087E9F"/>
    <w:rsid w:val="00090174"/>
    <w:rsid w:val="00091552"/>
    <w:rsid w:val="00091C3A"/>
    <w:rsid w:val="00092235"/>
    <w:rsid w:val="000936B5"/>
    <w:rsid w:val="000944B9"/>
    <w:rsid w:val="000948CA"/>
    <w:rsid w:val="000954A0"/>
    <w:rsid w:val="00095CD4"/>
    <w:rsid w:val="0009704F"/>
    <w:rsid w:val="000A18F1"/>
    <w:rsid w:val="000A2E75"/>
    <w:rsid w:val="000A3486"/>
    <w:rsid w:val="000A46DE"/>
    <w:rsid w:val="000A46EB"/>
    <w:rsid w:val="000A5195"/>
    <w:rsid w:val="000A535D"/>
    <w:rsid w:val="000A5980"/>
    <w:rsid w:val="000A79DA"/>
    <w:rsid w:val="000A7EDC"/>
    <w:rsid w:val="000B03E0"/>
    <w:rsid w:val="000B45EB"/>
    <w:rsid w:val="000B4B51"/>
    <w:rsid w:val="000B4D0F"/>
    <w:rsid w:val="000B53D8"/>
    <w:rsid w:val="000B545B"/>
    <w:rsid w:val="000B5864"/>
    <w:rsid w:val="000B7158"/>
    <w:rsid w:val="000C0AAF"/>
    <w:rsid w:val="000C0B33"/>
    <w:rsid w:val="000C2602"/>
    <w:rsid w:val="000C5B8B"/>
    <w:rsid w:val="000C69A9"/>
    <w:rsid w:val="000D0352"/>
    <w:rsid w:val="000D1A4E"/>
    <w:rsid w:val="000D1B55"/>
    <w:rsid w:val="000D3C75"/>
    <w:rsid w:val="000D4532"/>
    <w:rsid w:val="000D4A3A"/>
    <w:rsid w:val="000D5800"/>
    <w:rsid w:val="000D67B8"/>
    <w:rsid w:val="000D69D7"/>
    <w:rsid w:val="000D7523"/>
    <w:rsid w:val="000E0C4D"/>
    <w:rsid w:val="000E30C2"/>
    <w:rsid w:val="000E3ADA"/>
    <w:rsid w:val="000E3AEA"/>
    <w:rsid w:val="000E6545"/>
    <w:rsid w:val="000E686B"/>
    <w:rsid w:val="000F2A5E"/>
    <w:rsid w:val="000F2E5A"/>
    <w:rsid w:val="000F3EC2"/>
    <w:rsid w:val="000F3F8D"/>
    <w:rsid w:val="00100C19"/>
    <w:rsid w:val="00101FCB"/>
    <w:rsid w:val="00104391"/>
    <w:rsid w:val="00106372"/>
    <w:rsid w:val="00111DCD"/>
    <w:rsid w:val="00112791"/>
    <w:rsid w:val="00112C29"/>
    <w:rsid w:val="00114CF9"/>
    <w:rsid w:val="00114DCB"/>
    <w:rsid w:val="00114FD0"/>
    <w:rsid w:val="00116FA9"/>
    <w:rsid w:val="00117250"/>
    <w:rsid w:val="00121E3A"/>
    <w:rsid w:val="001228AB"/>
    <w:rsid w:val="001229FC"/>
    <w:rsid w:val="00124209"/>
    <w:rsid w:val="00124855"/>
    <w:rsid w:val="001254F5"/>
    <w:rsid w:val="00127033"/>
    <w:rsid w:val="0012724B"/>
    <w:rsid w:val="00134D0E"/>
    <w:rsid w:val="00136C13"/>
    <w:rsid w:val="00136D04"/>
    <w:rsid w:val="00136FAD"/>
    <w:rsid w:val="00140557"/>
    <w:rsid w:val="001408A0"/>
    <w:rsid w:val="00140CED"/>
    <w:rsid w:val="001414E7"/>
    <w:rsid w:val="001439C9"/>
    <w:rsid w:val="00146F0A"/>
    <w:rsid w:val="001507FF"/>
    <w:rsid w:val="0015142D"/>
    <w:rsid w:val="00151D16"/>
    <w:rsid w:val="00152495"/>
    <w:rsid w:val="00152AB2"/>
    <w:rsid w:val="00152C2B"/>
    <w:rsid w:val="00153277"/>
    <w:rsid w:val="00160115"/>
    <w:rsid w:val="00161298"/>
    <w:rsid w:val="00161FBE"/>
    <w:rsid w:val="00163DF4"/>
    <w:rsid w:val="0016613D"/>
    <w:rsid w:val="0016745C"/>
    <w:rsid w:val="001705AC"/>
    <w:rsid w:val="001710C0"/>
    <w:rsid w:val="001712BB"/>
    <w:rsid w:val="001733A0"/>
    <w:rsid w:val="00175897"/>
    <w:rsid w:val="00176D46"/>
    <w:rsid w:val="00177BC8"/>
    <w:rsid w:val="00180B9F"/>
    <w:rsid w:val="00180F0F"/>
    <w:rsid w:val="00181C01"/>
    <w:rsid w:val="00181CC5"/>
    <w:rsid w:val="001829BE"/>
    <w:rsid w:val="00182C4E"/>
    <w:rsid w:val="00184E8E"/>
    <w:rsid w:val="001854E1"/>
    <w:rsid w:val="0018577F"/>
    <w:rsid w:val="00193784"/>
    <w:rsid w:val="00194676"/>
    <w:rsid w:val="00196DCE"/>
    <w:rsid w:val="00196FE9"/>
    <w:rsid w:val="001A02EC"/>
    <w:rsid w:val="001A1756"/>
    <w:rsid w:val="001A30F5"/>
    <w:rsid w:val="001A4643"/>
    <w:rsid w:val="001A4BAD"/>
    <w:rsid w:val="001A5630"/>
    <w:rsid w:val="001A577E"/>
    <w:rsid w:val="001A7406"/>
    <w:rsid w:val="001A7484"/>
    <w:rsid w:val="001A7624"/>
    <w:rsid w:val="001A7959"/>
    <w:rsid w:val="001A7C9B"/>
    <w:rsid w:val="001B05B9"/>
    <w:rsid w:val="001B421D"/>
    <w:rsid w:val="001B6914"/>
    <w:rsid w:val="001B7B88"/>
    <w:rsid w:val="001B7FA2"/>
    <w:rsid w:val="001C1337"/>
    <w:rsid w:val="001C1CAF"/>
    <w:rsid w:val="001C2AC5"/>
    <w:rsid w:val="001C336E"/>
    <w:rsid w:val="001C38B9"/>
    <w:rsid w:val="001C50EE"/>
    <w:rsid w:val="001C7319"/>
    <w:rsid w:val="001C7D87"/>
    <w:rsid w:val="001D23B4"/>
    <w:rsid w:val="001D27C1"/>
    <w:rsid w:val="001D3E87"/>
    <w:rsid w:val="001D49A2"/>
    <w:rsid w:val="001D5BB2"/>
    <w:rsid w:val="001D606E"/>
    <w:rsid w:val="001D627A"/>
    <w:rsid w:val="001D6B60"/>
    <w:rsid w:val="001E0820"/>
    <w:rsid w:val="001E0C3F"/>
    <w:rsid w:val="001E11BF"/>
    <w:rsid w:val="001E2C56"/>
    <w:rsid w:val="001E3960"/>
    <w:rsid w:val="001E4787"/>
    <w:rsid w:val="001E5168"/>
    <w:rsid w:val="001E58D8"/>
    <w:rsid w:val="001E6631"/>
    <w:rsid w:val="001E78AA"/>
    <w:rsid w:val="001F013D"/>
    <w:rsid w:val="001F2101"/>
    <w:rsid w:val="001F2360"/>
    <w:rsid w:val="001F3969"/>
    <w:rsid w:val="001F4AA0"/>
    <w:rsid w:val="001F607C"/>
    <w:rsid w:val="001F61DA"/>
    <w:rsid w:val="00200CE7"/>
    <w:rsid w:val="00202207"/>
    <w:rsid w:val="00204420"/>
    <w:rsid w:val="00205ACD"/>
    <w:rsid w:val="002064B4"/>
    <w:rsid w:val="002075A5"/>
    <w:rsid w:val="00212797"/>
    <w:rsid w:val="00212A9D"/>
    <w:rsid w:val="0021501E"/>
    <w:rsid w:val="00215192"/>
    <w:rsid w:val="0021530C"/>
    <w:rsid w:val="00215A5F"/>
    <w:rsid w:val="002167CF"/>
    <w:rsid w:val="002205C0"/>
    <w:rsid w:val="00221889"/>
    <w:rsid w:val="00221AB3"/>
    <w:rsid w:val="002248AC"/>
    <w:rsid w:val="00226AF5"/>
    <w:rsid w:val="0023220E"/>
    <w:rsid w:val="0023373D"/>
    <w:rsid w:val="0023423C"/>
    <w:rsid w:val="00235909"/>
    <w:rsid w:val="00237402"/>
    <w:rsid w:val="002406B0"/>
    <w:rsid w:val="002420E3"/>
    <w:rsid w:val="002448CB"/>
    <w:rsid w:val="002525C7"/>
    <w:rsid w:val="002526E7"/>
    <w:rsid w:val="002545DA"/>
    <w:rsid w:val="002548EC"/>
    <w:rsid w:val="00254BA9"/>
    <w:rsid w:val="002577FE"/>
    <w:rsid w:val="00261125"/>
    <w:rsid w:val="002659E9"/>
    <w:rsid w:val="00267074"/>
    <w:rsid w:val="00267244"/>
    <w:rsid w:val="002717B7"/>
    <w:rsid w:val="00271BC1"/>
    <w:rsid w:val="0027268C"/>
    <w:rsid w:val="00273D0E"/>
    <w:rsid w:val="00274159"/>
    <w:rsid w:val="00274300"/>
    <w:rsid w:val="00274BE8"/>
    <w:rsid w:val="002765A6"/>
    <w:rsid w:val="0028097F"/>
    <w:rsid w:val="0028588E"/>
    <w:rsid w:val="00286784"/>
    <w:rsid w:val="00287700"/>
    <w:rsid w:val="00287CF0"/>
    <w:rsid w:val="00290D84"/>
    <w:rsid w:val="00292BF6"/>
    <w:rsid w:val="00292EB0"/>
    <w:rsid w:val="0029431D"/>
    <w:rsid w:val="00294823"/>
    <w:rsid w:val="00295749"/>
    <w:rsid w:val="0029598B"/>
    <w:rsid w:val="00296316"/>
    <w:rsid w:val="00297A36"/>
    <w:rsid w:val="002A0229"/>
    <w:rsid w:val="002A0ABA"/>
    <w:rsid w:val="002A2034"/>
    <w:rsid w:val="002A24F4"/>
    <w:rsid w:val="002A38BF"/>
    <w:rsid w:val="002A4319"/>
    <w:rsid w:val="002A5409"/>
    <w:rsid w:val="002A56AE"/>
    <w:rsid w:val="002A5933"/>
    <w:rsid w:val="002A597E"/>
    <w:rsid w:val="002B113A"/>
    <w:rsid w:val="002B18B5"/>
    <w:rsid w:val="002B19E0"/>
    <w:rsid w:val="002B1A1F"/>
    <w:rsid w:val="002B1C3E"/>
    <w:rsid w:val="002B2879"/>
    <w:rsid w:val="002B5A2F"/>
    <w:rsid w:val="002B5DBD"/>
    <w:rsid w:val="002C07C4"/>
    <w:rsid w:val="002C1B76"/>
    <w:rsid w:val="002C3189"/>
    <w:rsid w:val="002C72D2"/>
    <w:rsid w:val="002D08E3"/>
    <w:rsid w:val="002D0C68"/>
    <w:rsid w:val="002D28D0"/>
    <w:rsid w:val="002D30CB"/>
    <w:rsid w:val="002D310D"/>
    <w:rsid w:val="002D59F9"/>
    <w:rsid w:val="002E23FD"/>
    <w:rsid w:val="002E2D7B"/>
    <w:rsid w:val="002E5E6A"/>
    <w:rsid w:val="002F14AA"/>
    <w:rsid w:val="002F2198"/>
    <w:rsid w:val="002F37BE"/>
    <w:rsid w:val="002F3C96"/>
    <w:rsid w:val="002F4577"/>
    <w:rsid w:val="002F6424"/>
    <w:rsid w:val="002F7083"/>
    <w:rsid w:val="002F7704"/>
    <w:rsid w:val="00300AAE"/>
    <w:rsid w:val="00300D0B"/>
    <w:rsid w:val="00303210"/>
    <w:rsid w:val="00304D88"/>
    <w:rsid w:val="003056A2"/>
    <w:rsid w:val="00306096"/>
    <w:rsid w:val="00307369"/>
    <w:rsid w:val="003107AB"/>
    <w:rsid w:val="003111C0"/>
    <w:rsid w:val="0031632F"/>
    <w:rsid w:val="0031645D"/>
    <w:rsid w:val="00317A04"/>
    <w:rsid w:val="00317A10"/>
    <w:rsid w:val="00320A67"/>
    <w:rsid w:val="00321565"/>
    <w:rsid w:val="0032187D"/>
    <w:rsid w:val="003231E2"/>
    <w:rsid w:val="00323CD2"/>
    <w:rsid w:val="00324E31"/>
    <w:rsid w:val="003272FB"/>
    <w:rsid w:val="00327723"/>
    <w:rsid w:val="003317CD"/>
    <w:rsid w:val="00333965"/>
    <w:rsid w:val="00335EE5"/>
    <w:rsid w:val="00337739"/>
    <w:rsid w:val="00337BA5"/>
    <w:rsid w:val="003412D2"/>
    <w:rsid w:val="0034179E"/>
    <w:rsid w:val="00341AC3"/>
    <w:rsid w:val="0034299B"/>
    <w:rsid w:val="003430A8"/>
    <w:rsid w:val="00344276"/>
    <w:rsid w:val="003442C8"/>
    <w:rsid w:val="003443B2"/>
    <w:rsid w:val="00344848"/>
    <w:rsid w:val="00345B43"/>
    <w:rsid w:val="0034605F"/>
    <w:rsid w:val="00346B14"/>
    <w:rsid w:val="00346ECE"/>
    <w:rsid w:val="003549DC"/>
    <w:rsid w:val="00355FED"/>
    <w:rsid w:val="00361B9C"/>
    <w:rsid w:val="00365C45"/>
    <w:rsid w:val="0036654D"/>
    <w:rsid w:val="00371031"/>
    <w:rsid w:val="003736ED"/>
    <w:rsid w:val="00374444"/>
    <w:rsid w:val="00374F7B"/>
    <w:rsid w:val="003755BC"/>
    <w:rsid w:val="003756A4"/>
    <w:rsid w:val="00376114"/>
    <w:rsid w:val="00376CEC"/>
    <w:rsid w:val="00380758"/>
    <w:rsid w:val="003820FC"/>
    <w:rsid w:val="003827B4"/>
    <w:rsid w:val="00383C82"/>
    <w:rsid w:val="00386BBB"/>
    <w:rsid w:val="00386D84"/>
    <w:rsid w:val="0039245A"/>
    <w:rsid w:val="00392C89"/>
    <w:rsid w:val="00393F7A"/>
    <w:rsid w:val="00394A1E"/>
    <w:rsid w:val="003A241D"/>
    <w:rsid w:val="003A4076"/>
    <w:rsid w:val="003A43CE"/>
    <w:rsid w:val="003A60CC"/>
    <w:rsid w:val="003A61F9"/>
    <w:rsid w:val="003A73D3"/>
    <w:rsid w:val="003B1A03"/>
    <w:rsid w:val="003B1C4E"/>
    <w:rsid w:val="003B1E88"/>
    <w:rsid w:val="003B2317"/>
    <w:rsid w:val="003B5455"/>
    <w:rsid w:val="003B5FFE"/>
    <w:rsid w:val="003B60F9"/>
    <w:rsid w:val="003B63C0"/>
    <w:rsid w:val="003B6686"/>
    <w:rsid w:val="003C2632"/>
    <w:rsid w:val="003C2A8E"/>
    <w:rsid w:val="003C480B"/>
    <w:rsid w:val="003C7873"/>
    <w:rsid w:val="003C78F7"/>
    <w:rsid w:val="003C79D5"/>
    <w:rsid w:val="003D0A89"/>
    <w:rsid w:val="003D11E5"/>
    <w:rsid w:val="003D153C"/>
    <w:rsid w:val="003D305F"/>
    <w:rsid w:val="003D4806"/>
    <w:rsid w:val="003E0BC5"/>
    <w:rsid w:val="003E1563"/>
    <w:rsid w:val="003E16E1"/>
    <w:rsid w:val="003E2624"/>
    <w:rsid w:val="003E34C9"/>
    <w:rsid w:val="003E4B54"/>
    <w:rsid w:val="003F0DF5"/>
    <w:rsid w:val="003F332C"/>
    <w:rsid w:val="003F3BA1"/>
    <w:rsid w:val="003F45E8"/>
    <w:rsid w:val="003F659A"/>
    <w:rsid w:val="003F6CB2"/>
    <w:rsid w:val="00400E16"/>
    <w:rsid w:val="004012CF"/>
    <w:rsid w:val="004012E1"/>
    <w:rsid w:val="004020B1"/>
    <w:rsid w:val="004028F5"/>
    <w:rsid w:val="00402FF3"/>
    <w:rsid w:val="00404627"/>
    <w:rsid w:val="00405192"/>
    <w:rsid w:val="00405EAB"/>
    <w:rsid w:val="00406265"/>
    <w:rsid w:val="004069EB"/>
    <w:rsid w:val="004072AA"/>
    <w:rsid w:val="004109EC"/>
    <w:rsid w:val="00410BE9"/>
    <w:rsid w:val="004111DA"/>
    <w:rsid w:val="00413327"/>
    <w:rsid w:val="00413F1C"/>
    <w:rsid w:val="0041440A"/>
    <w:rsid w:val="00423213"/>
    <w:rsid w:val="0042416D"/>
    <w:rsid w:val="00426D1E"/>
    <w:rsid w:val="00431A8E"/>
    <w:rsid w:val="00431DF7"/>
    <w:rsid w:val="00431FD9"/>
    <w:rsid w:val="00433507"/>
    <w:rsid w:val="00433652"/>
    <w:rsid w:val="004336AE"/>
    <w:rsid w:val="00433FA1"/>
    <w:rsid w:val="00437A0E"/>
    <w:rsid w:val="00441566"/>
    <w:rsid w:val="00443B76"/>
    <w:rsid w:val="0044504F"/>
    <w:rsid w:val="004460C0"/>
    <w:rsid w:val="004502F1"/>
    <w:rsid w:val="004516EB"/>
    <w:rsid w:val="00451E82"/>
    <w:rsid w:val="004529B6"/>
    <w:rsid w:val="00453DBD"/>
    <w:rsid w:val="00454CE6"/>
    <w:rsid w:val="00456456"/>
    <w:rsid w:val="00457162"/>
    <w:rsid w:val="00457A9F"/>
    <w:rsid w:val="0046133D"/>
    <w:rsid w:val="00462881"/>
    <w:rsid w:val="00462B0D"/>
    <w:rsid w:val="00464534"/>
    <w:rsid w:val="0046475C"/>
    <w:rsid w:val="00464805"/>
    <w:rsid w:val="00466B1C"/>
    <w:rsid w:val="004702BF"/>
    <w:rsid w:val="00470F88"/>
    <w:rsid w:val="00472649"/>
    <w:rsid w:val="004726B1"/>
    <w:rsid w:val="0047555B"/>
    <w:rsid w:val="00475F48"/>
    <w:rsid w:val="0047718A"/>
    <w:rsid w:val="00477430"/>
    <w:rsid w:val="00477CB9"/>
    <w:rsid w:val="00477CC2"/>
    <w:rsid w:val="00480C13"/>
    <w:rsid w:val="00481325"/>
    <w:rsid w:val="0048180A"/>
    <w:rsid w:val="00481C7A"/>
    <w:rsid w:val="004836B3"/>
    <w:rsid w:val="004853F7"/>
    <w:rsid w:val="00485906"/>
    <w:rsid w:val="00486CC8"/>
    <w:rsid w:val="004906C8"/>
    <w:rsid w:val="00491EEC"/>
    <w:rsid w:val="0049255A"/>
    <w:rsid w:val="0049303D"/>
    <w:rsid w:val="0049459B"/>
    <w:rsid w:val="00494DE3"/>
    <w:rsid w:val="00495252"/>
    <w:rsid w:val="004964B5"/>
    <w:rsid w:val="0049675F"/>
    <w:rsid w:val="004967E2"/>
    <w:rsid w:val="0049785D"/>
    <w:rsid w:val="004A1436"/>
    <w:rsid w:val="004A290F"/>
    <w:rsid w:val="004A5FFD"/>
    <w:rsid w:val="004A6011"/>
    <w:rsid w:val="004A7195"/>
    <w:rsid w:val="004A7CE2"/>
    <w:rsid w:val="004B0DB0"/>
    <w:rsid w:val="004B376D"/>
    <w:rsid w:val="004B5DEC"/>
    <w:rsid w:val="004B7F32"/>
    <w:rsid w:val="004C1DF1"/>
    <w:rsid w:val="004C4E77"/>
    <w:rsid w:val="004C6DAE"/>
    <w:rsid w:val="004C74FD"/>
    <w:rsid w:val="004D08EB"/>
    <w:rsid w:val="004D6029"/>
    <w:rsid w:val="004D6663"/>
    <w:rsid w:val="004D6F54"/>
    <w:rsid w:val="004E004F"/>
    <w:rsid w:val="004E0166"/>
    <w:rsid w:val="004E0679"/>
    <w:rsid w:val="004E0B32"/>
    <w:rsid w:val="004E165C"/>
    <w:rsid w:val="004E1AC5"/>
    <w:rsid w:val="004E1B1C"/>
    <w:rsid w:val="004E2371"/>
    <w:rsid w:val="004E6BE9"/>
    <w:rsid w:val="004E79A4"/>
    <w:rsid w:val="004F12AB"/>
    <w:rsid w:val="004F26CF"/>
    <w:rsid w:val="004F3264"/>
    <w:rsid w:val="004F3E8F"/>
    <w:rsid w:val="004F4792"/>
    <w:rsid w:val="004F4DF1"/>
    <w:rsid w:val="004F5F65"/>
    <w:rsid w:val="004F74F7"/>
    <w:rsid w:val="00502F50"/>
    <w:rsid w:val="00503655"/>
    <w:rsid w:val="00505759"/>
    <w:rsid w:val="00505784"/>
    <w:rsid w:val="0050578D"/>
    <w:rsid w:val="0051107C"/>
    <w:rsid w:val="00513251"/>
    <w:rsid w:val="00513861"/>
    <w:rsid w:val="00514187"/>
    <w:rsid w:val="00515090"/>
    <w:rsid w:val="00515221"/>
    <w:rsid w:val="0051725F"/>
    <w:rsid w:val="00517F23"/>
    <w:rsid w:val="00521A89"/>
    <w:rsid w:val="00521E57"/>
    <w:rsid w:val="0052362C"/>
    <w:rsid w:val="005236A4"/>
    <w:rsid w:val="005245BF"/>
    <w:rsid w:val="00525E83"/>
    <w:rsid w:val="005268A3"/>
    <w:rsid w:val="00527A22"/>
    <w:rsid w:val="00527EBC"/>
    <w:rsid w:val="005305EA"/>
    <w:rsid w:val="00530E3E"/>
    <w:rsid w:val="005311BB"/>
    <w:rsid w:val="00535C9F"/>
    <w:rsid w:val="00536723"/>
    <w:rsid w:val="00536920"/>
    <w:rsid w:val="005371E7"/>
    <w:rsid w:val="00537CCF"/>
    <w:rsid w:val="0054033D"/>
    <w:rsid w:val="00540538"/>
    <w:rsid w:val="00540C92"/>
    <w:rsid w:val="00544016"/>
    <w:rsid w:val="005478DE"/>
    <w:rsid w:val="005520FE"/>
    <w:rsid w:val="0055211D"/>
    <w:rsid w:val="00552FA7"/>
    <w:rsid w:val="00553E92"/>
    <w:rsid w:val="00554927"/>
    <w:rsid w:val="005554CB"/>
    <w:rsid w:val="00555FB7"/>
    <w:rsid w:val="00556513"/>
    <w:rsid w:val="00560D4A"/>
    <w:rsid w:val="00562653"/>
    <w:rsid w:val="0056468F"/>
    <w:rsid w:val="00566E4B"/>
    <w:rsid w:val="00567F9A"/>
    <w:rsid w:val="005705E2"/>
    <w:rsid w:val="005714B9"/>
    <w:rsid w:val="00572266"/>
    <w:rsid w:val="005733EB"/>
    <w:rsid w:val="00573F27"/>
    <w:rsid w:val="00575485"/>
    <w:rsid w:val="0057658F"/>
    <w:rsid w:val="00577500"/>
    <w:rsid w:val="00580802"/>
    <w:rsid w:val="00581A22"/>
    <w:rsid w:val="005833A8"/>
    <w:rsid w:val="00584485"/>
    <w:rsid w:val="0058661B"/>
    <w:rsid w:val="00587E4A"/>
    <w:rsid w:val="00590062"/>
    <w:rsid w:val="00590467"/>
    <w:rsid w:val="00591165"/>
    <w:rsid w:val="005930E6"/>
    <w:rsid w:val="005938A7"/>
    <w:rsid w:val="00593E91"/>
    <w:rsid w:val="00594C99"/>
    <w:rsid w:val="00595600"/>
    <w:rsid w:val="00596DC4"/>
    <w:rsid w:val="00597589"/>
    <w:rsid w:val="005A0B49"/>
    <w:rsid w:val="005A4124"/>
    <w:rsid w:val="005A52D9"/>
    <w:rsid w:val="005A5A6E"/>
    <w:rsid w:val="005A694B"/>
    <w:rsid w:val="005A6D57"/>
    <w:rsid w:val="005A7CA9"/>
    <w:rsid w:val="005B00A4"/>
    <w:rsid w:val="005B0424"/>
    <w:rsid w:val="005B1C46"/>
    <w:rsid w:val="005B2B98"/>
    <w:rsid w:val="005B2E7E"/>
    <w:rsid w:val="005B37EF"/>
    <w:rsid w:val="005B5B70"/>
    <w:rsid w:val="005B5F05"/>
    <w:rsid w:val="005B77A6"/>
    <w:rsid w:val="005B79E7"/>
    <w:rsid w:val="005C36D0"/>
    <w:rsid w:val="005C3CD1"/>
    <w:rsid w:val="005C3E35"/>
    <w:rsid w:val="005C3E9E"/>
    <w:rsid w:val="005C40CB"/>
    <w:rsid w:val="005C687E"/>
    <w:rsid w:val="005C6982"/>
    <w:rsid w:val="005D0901"/>
    <w:rsid w:val="005D147E"/>
    <w:rsid w:val="005D16DD"/>
    <w:rsid w:val="005D2332"/>
    <w:rsid w:val="005D2B59"/>
    <w:rsid w:val="005D362F"/>
    <w:rsid w:val="005D370F"/>
    <w:rsid w:val="005D5217"/>
    <w:rsid w:val="005D5E8C"/>
    <w:rsid w:val="005D7B4D"/>
    <w:rsid w:val="005E0768"/>
    <w:rsid w:val="005E17BC"/>
    <w:rsid w:val="005E4D7C"/>
    <w:rsid w:val="005E4EB4"/>
    <w:rsid w:val="005E54CA"/>
    <w:rsid w:val="005E63EA"/>
    <w:rsid w:val="005E6A46"/>
    <w:rsid w:val="005E7A49"/>
    <w:rsid w:val="005F048E"/>
    <w:rsid w:val="005F1408"/>
    <w:rsid w:val="005F17BC"/>
    <w:rsid w:val="005F1E0B"/>
    <w:rsid w:val="005F4BA7"/>
    <w:rsid w:val="005F57F0"/>
    <w:rsid w:val="005F7424"/>
    <w:rsid w:val="005F7D10"/>
    <w:rsid w:val="00600A14"/>
    <w:rsid w:val="00600FB9"/>
    <w:rsid w:val="006010C7"/>
    <w:rsid w:val="00602223"/>
    <w:rsid w:val="0060225F"/>
    <w:rsid w:val="0060242C"/>
    <w:rsid w:val="00603652"/>
    <w:rsid w:val="00606FDA"/>
    <w:rsid w:val="00607FE5"/>
    <w:rsid w:val="0061042F"/>
    <w:rsid w:val="00612499"/>
    <w:rsid w:val="00612954"/>
    <w:rsid w:val="00615900"/>
    <w:rsid w:val="006168E4"/>
    <w:rsid w:val="00616943"/>
    <w:rsid w:val="00617CA5"/>
    <w:rsid w:val="00620EEE"/>
    <w:rsid w:val="00621171"/>
    <w:rsid w:val="006214B9"/>
    <w:rsid w:val="00621940"/>
    <w:rsid w:val="00621CE1"/>
    <w:rsid w:val="006223C1"/>
    <w:rsid w:val="0062421A"/>
    <w:rsid w:val="00624FE9"/>
    <w:rsid w:val="00625866"/>
    <w:rsid w:val="006300D6"/>
    <w:rsid w:val="00630382"/>
    <w:rsid w:val="00630B77"/>
    <w:rsid w:val="00630E5F"/>
    <w:rsid w:val="006321C8"/>
    <w:rsid w:val="0063265C"/>
    <w:rsid w:val="00633079"/>
    <w:rsid w:val="006332DC"/>
    <w:rsid w:val="00635020"/>
    <w:rsid w:val="00635846"/>
    <w:rsid w:val="00637057"/>
    <w:rsid w:val="006373D0"/>
    <w:rsid w:val="00637512"/>
    <w:rsid w:val="0063765F"/>
    <w:rsid w:val="00640EE4"/>
    <w:rsid w:val="0064168D"/>
    <w:rsid w:val="00643161"/>
    <w:rsid w:val="006466F5"/>
    <w:rsid w:val="006468D6"/>
    <w:rsid w:val="006478C6"/>
    <w:rsid w:val="0065025F"/>
    <w:rsid w:val="006529A5"/>
    <w:rsid w:val="0065450F"/>
    <w:rsid w:val="00655735"/>
    <w:rsid w:val="00656A17"/>
    <w:rsid w:val="00657E1B"/>
    <w:rsid w:val="00660155"/>
    <w:rsid w:val="00661404"/>
    <w:rsid w:val="00661753"/>
    <w:rsid w:val="0066369C"/>
    <w:rsid w:val="006646AC"/>
    <w:rsid w:val="006648F4"/>
    <w:rsid w:val="00664D5B"/>
    <w:rsid w:val="00671D7C"/>
    <w:rsid w:val="00672112"/>
    <w:rsid w:val="00672C35"/>
    <w:rsid w:val="00676A50"/>
    <w:rsid w:val="00676B1E"/>
    <w:rsid w:val="00676C2E"/>
    <w:rsid w:val="006806AC"/>
    <w:rsid w:val="00681802"/>
    <w:rsid w:val="00682225"/>
    <w:rsid w:val="006822F4"/>
    <w:rsid w:val="00682B6F"/>
    <w:rsid w:val="00683417"/>
    <w:rsid w:val="00684893"/>
    <w:rsid w:val="006848B7"/>
    <w:rsid w:val="00684CBE"/>
    <w:rsid w:val="00685F73"/>
    <w:rsid w:val="0068677F"/>
    <w:rsid w:val="00686FC2"/>
    <w:rsid w:val="0068792F"/>
    <w:rsid w:val="00690736"/>
    <w:rsid w:val="00692DEB"/>
    <w:rsid w:val="0069391E"/>
    <w:rsid w:val="00694735"/>
    <w:rsid w:val="00694D2D"/>
    <w:rsid w:val="00697281"/>
    <w:rsid w:val="00697492"/>
    <w:rsid w:val="006A0422"/>
    <w:rsid w:val="006A18A7"/>
    <w:rsid w:val="006A2C7F"/>
    <w:rsid w:val="006B0AA4"/>
    <w:rsid w:val="006B12A6"/>
    <w:rsid w:val="006B1953"/>
    <w:rsid w:val="006B1BF1"/>
    <w:rsid w:val="006B1C95"/>
    <w:rsid w:val="006B26E3"/>
    <w:rsid w:val="006B3302"/>
    <w:rsid w:val="006B37EA"/>
    <w:rsid w:val="006B7444"/>
    <w:rsid w:val="006B7986"/>
    <w:rsid w:val="006C0C3F"/>
    <w:rsid w:val="006C0CF5"/>
    <w:rsid w:val="006C1288"/>
    <w:rsid w:val="006C32EE"/>
    <w:rsid w:val="006C3831"/>
    <w:rsid w:val="006C6A05"/>
    <w:rsid w:val="006D23FC"/>
    <w:rsid w:val="006D3CD7"/>
    <w:rsid w:val="006D5719"/>
    <w:rsid w:val="006D5803"/>
    <w:rsid w:val="006E01D1"/>
    <w:rsid w:val="006E2644"/>
    <w:rsid w:val="006E34E4"/>
    <w:rsid w:val="006E594D"/>
    <w:rsid w:val="006E5C99"/>
    <w:rsid w:val="006E6525"/>
    <w:rsid w:val="006E6F0E"/>
    <w:rsid w:val="006F1B61"/>
    <w:rsid w:val="006F1FC1"/>
    <w:rsid w:val="006F4A27"/>
    <w:rsid w:val="006F53A9"/>
    <w:rsid w:val="006F5A35"/>
    <w:rsid w:val="006F610D"/>
    <w:rsid w:val="006F6E0E"/>
    <w:rsid w:val="00701033"/>
    <w:rsid w:val="007024E8"/>
    <w:rsid w:val="0070371E"/>
    <w:rsid w:val="00705F8F"/>
    <w:rsid w:val="007064F6"/>
    <w:rsid w:val="007078A3"/>
    <w:rsid w:val="007111B4"/>
    <w:rsid w:val="00711536"/>
    <w:rsid w:val="00711CCC"/>
    <w:rsid w:val="007129C0"/>
    <w:rsid w:val="00713390"/>
    <w:rsid w:val="007142B5"/>
    <w:rsid w:val="00715616"/>
    <w:rsid w:val="00716BFE"/>
    <w:rsid w:val="00720774"/>
    <w:rsid w:val="00721D87"/>
    <w:rsid w:val="007234D1"/>
    <w:rsid w:val="0072378A"/>
    <w:rsid w:val="007247F5"/>
    <w:rsid w:val="00731428"/>
    <w:rsid w:val="0073157A"/>
    <w:rsid w:val="00732722"/>
    <w:rsid w:val="00735209"/>
    <w:rsid w:val="0073547B"/>
    <w:rsid w:val="00737D40"/>
    <w:rsid w:val="0074023C"/>
    <w:rsid w:val="00743818"/>
    <w:rsid w:val="00744E29"/>
    <w:rsid w:val="00744EEF"/>
    <w:rsid w:val="0074726D"/>
    <w:rsid w:val="00751095"/>
    <w:rsid w:val="007517D1"/>
    <w:rsid w:val="007524CA"/>
    <w:rsid w:val="00753F8F"/>
    <w:rsid w:val="00754B2D"/>
    <w:rsid w:val="00754CAE"/>
    <w:rsid w:val="00756B37"/>
    <w:rsid w:val="00757559"/>
    <w:rsid w:val="00760057"/>
    <w:rsid w:val="00760CA0"/>
    <w:rsid w:val="00761CB4"/>
    <w:rsid w:val="007658D5"/>
    <w:rsid w:val="00772BA8"/>
    <w:rsid w:val="00774266"/>
    <w:rsid w:val="00776651"/>
    <w:rsid w:val="0078028A"/>
    <w:rsid w:val="007806CB"/>
    <w:rsid w:val="00780A54"/>
    <w:rsid w:val="007818E1"/>
    <w:rsid w:val="00781C64"/>
    <w:rsid w:val="007848FB"/>
    <w:rsid w:val="007851D5"/>
    <w:rsid w:val="00785698"/>
    <w:rsid w:val="0078693A"/>
    <w:rsid w:val="00786FB9"/>
    <w:rsid w:val="007900A4"/>
    <w:rsid w:val="007906E0"/>
    <w:rsid w:val="00794153"/>
    <w:rsid w:val="0079486A"/>
    <w:rsid w:val="00794E74"/>
    <w:rsid w:val="00794F80"/>
    <w:rsid w:val="0079666D"/>
    <w:rsid w:val="00797913"/>
    <w:rsid w:val="00797B4F"/>
    <w:rsid w:val="007A139A"/>
    <w:rsid w:val="007A1C9E"/>
    <w:rsid w:val="007A3BB5"/>
    <w:rsid w:val="007A4532"/>
    <w:rsid w:val="007A5926"/>
    <w:rsid w:val="007A6C53"/>
    <w:rsid w:val="007B2C77"/>
    <w:rsid w:val="007B2F5C"/>
    <w:rsid w:val="007B7A6F"/>
    <w:rsid w:val="007C2C6B"/>
    <w:rsid w:val="007C2FDB"/>
    <w:rsid w:val="007C3CA3"/>
    <w:rsid w:val="007C4C73"/>
    <w:rsid w:val="007C53E1"/>
    <w:rsid w:val="007C7FF1"/>
    <w:rsid w:val="007D03F1"/>
    <w:rsid w:val="007D0D01"/>
    <w:rsid w:val="007D15EF"/>
    <w:rsid w:val="007D1A27"/>
    <w:rsid w:val="007D1B24"/>
    <w:rsid w:val="007D1F15"/>
    <w:rsid w:val="007D25B1"/>
    <w:rsid w:val="007D2878"/>
    <w:rsid w:val="007D300A"/>
    <w:rsid w:val="007D38A4"/>
    <w:rsid w:val="007D4430"/>
    <w:rsid w:val="007D4DD9"/>
    <w:rsid w:val="007D661B"/>
    <w:rsid w:val="007E1016"/>
    <w:rsid w:val="007E24F0"/>
    <w:rsid w:val="007E26F8"/>
    <w:rsid w:val="007E3A35"/>
    <w:rsid w:val="007E5726"/>
    <w:rsid w:val="007E7BAB"/>
    <w:rsid w:val="007E7C17"/>
    <w:rsid w:val="007E7DCE"/>
    <w:rsid w:val="007F0560"/>
    <w:rsid w:val="007F0D4D"/>
    <w:rsid w:val="007F0DF4"/>
    <w:rsid w:val="007F1347"/>
    <w:rsid w:val="007F18CC"/>
    <w:rsid w:val="007F19BF"/>
    <w:rsid w:val="007F19D7"/>
    <w:rsid w:val="007F1C99"/>
    <w:rsid w:val="007F20AC"/>
    <w:rsid w:val="007F3914"/>
    <w:rsid w:val="007F43BD"/>
    <w:rsid w:val="007F53D4"/>
    <w:rsid w:val="007F6466"/>
    <w:rsid w:val="007F6C8E"/>
    <w:rsid w:val="007F76DF"/>
    <w:rsid w:val="00800927"/>
    <w:rsid w:val="008016F1"/>
    <w:rsid w:val="00801EBC"/>
    <w:rsid w:val="00802C56"/>
    <w:rsid w:val="0080421D"/>
    <w:rsid w:val="0080447F"/>
    <w:rsid w:val="00804BD9"/>
    <w:rsid w:val="00805270"/>
    <w:rsid w:val="00806148"/>
    <w:rsid w:val="008070FE"/>
    <w:rsid w:val="008111EB"/>
    <w:rsid w:val="00811205"/>
    <w:rsid w:val="00811B1F"/>
    <w:rsid w:val="00811D16"/>
    <w:rsid w:val="00811DCF"/>
    <w:rsid w:val="00812C48"/>
    <w:rsid w:val="008146F9"/>
    <w:rsid w:val="00814D55"/>
    <w:rsid w:val="00814EDB"/>
    <w:rsid w:val="0081537E"/>
    <w:rsid w:val="00817047"/>
    <w:rsid w:val="00821792"/>
    <w:rsid w:val="008230AE"/>
    <w:rsid w:val="00824DCD"/>
    <w:rsid w:val="00831D3F"/>
    <w:rsid w:val="008327E5"/>
    <w:rsid w:val="00832986"/>
    <w:rsid w:val="00833DB5"/>
    <w:rsid w:val="00835692"/>
    <w:rsid w:val="008419A8"/>
    <w:rsid w:val="00842697"/>
    <w:rsid w:val="008436AD"/>
    <w:rsid w:val="008438CD"/>
    <w:rsid w:val="00844569"/>
    <w:rsid w:val="00846539"/>
    <w:rsid w:val="0084766D"/>
    <w:rsid w:val="008479F1"/>
    <w:rsid w:val="00847D23"/>
    <w:rsid w:val="00853174"/>
    <w:rsid w:val="00853A60"/>
    <w:rsid w:val="0085439C"/>
    <w:rsid w:val="00854887"/>
    <w:rsid w:val="00854BB0"/>
    <w:rsid w:val="00855544"/>
    <w:rsid w:val="00856D15"/>
    <w:rsid w:val="0086020D"/>
    <w:rsid w:val="00861C26"/>
    <w:rsid w:val="00863327"/>
    <w:rsid w:val="008671BD"/>
    <w:rsid w:val="00867B2F"/>
    <w:rsid w:val="00867FEE"/>
    <w:rsid w:val="00870084"/>
    <w:rsid w:val="00870F44"/>
    <w:rsid w:val="00871F78"/>
    <w:rsid w:val="00873AAF"/>
    <w:rsid w:val="00874015"/>
    <w:rsid w:val="00875611"/>
    <w:rsid w:val="00876A75"/>
    <w:rsid w:val="0087786C"/>
    <w:rsid w:val="00877DCA"/>
    <w:rsid w:val="00883587"/>
    <w:rsid w:val="00884054"/>
    <w:rsid w:val="00886712"/>
    <w:rsid w:val="008868B6"/>
    <w:rsid w:val="00890A5B"/>
    <w:rsid w:val="00891715"/>
    <w:rsid w:val="0089249E"/>
    <w:rsid w:val="00893C5F"/>
    <w:rsid w:val="0089422E"/>
    <w:rsid w:val="00895089"/>
    <w:rsid w:val="008951ED"/>
    <w:rsid w:val="008966B3"/>
    <w:rsid w:val="00896BBD"/>
    <w:rsid w:val="008A1129"/>
    <w:rsid w:val="008A322D"/>
    <w:rsid w:val="008A4A78"/>
    <w:rsid w:val="008A75BE"/>
    <w:rsid w:val="008A7808"/>
    <w:rsid w:val="008B00BD"/>
    <w:rsid w:val="008B14D0"/>
    <w:rsid w:val="008B5026"/>
    <w:rsid w:val="008B634F"/>
    <w:rsid w:val="008C2A8B"/>
    <w:rsid w:val="008C2BCF"/>
    <w:rsid w:val="008C32A8"/>
    <w:rsid w:val="008C4909"/>
    <w:rsid w:val="008C55A3"/>
    <w:rsid w:val="008C5EC3"/>
    <w:rsid w:val="008C7D2E"/>
    <w:rsid w:val="008D06E0"/>
    <w:rsid w:val="008D12F8"/>
    <w:rsid w:val="008D1DFF"/>
    <w:rsid w:val="008D29A7"/>
    <w:rsid w:val="008D2F5B"/>
    <w:rsid w:val="008D6397"/>
    <w:rsid w:val="008D7675"/>
    <w:rsid w:val="008E1DF0"/>
    <w:rsid w:val="008E559E"/>
    <w:rsid w:val="008E6375"/>
    <w:rsid w:val="008E7DB4"/>
    <w:rsid w:val="008F0442"/>
    <w:rsid w:val="008F10A6"/>
    <w:rsid w:val="008F16D2"/>
    <w:rsid w:val="008F272A"/>
    <w:rsid w:val="008F3484"/>
    <w:rsid w:val="008F3674"/>
    <w:rsid w:val="008F4944"/>
    <w:rsid w:val="008F4C65"/>
    <w:rsid w:val="008F5030"/>
    <w:rsid w:val="0090155A"/>
    <w:rsid w:val="0090162D"/>
    <w:rsid w:val="009020E0"/>
    <w:rsid w:val="0090233A"/>
    <w:rsid w:val="00903376"/>
    <w:rsid w:val="00903410"/>
    <w:rsid w:val="00905422"/>
    <w:rsid w:val="00910B4E"/>
    <w:rsid w:val="009130C0"/>
    <w:rsid w:val="00913133"/>
    <w:rsid w:val="00913283"/>
    <w:rsid w:val="00915791"/>
    <w:rsid w:val="00916B04"/>
    <w:rsid w:val="00917744"/>
    <w:rsid w:val="00917869"/>
    <w:rsid w:val="0092113F"/>
    <w:rsid w:val="00921DB9"/>
    <w:rsid w:val="00922358"/>
    <w:rsid w:val="00922665"/>
    <w:rsid w:val="0092403D"/>
    <w:rsid w:val="00927C53"/>
    <w:rsid w:val="00930CFD"/>
    <w:rsid w:val="00932888"/>
    <w:rsid w:val="009331C2"/>
    <w:rsid w:val="0093422A"/>
    <w:rsid w:val="00936195"/>
    <w:rsid w:val="009402DB"/>
    <w:rsid w:val="0094160B"/>
    <w:rsid w:val="00943DF1"/>
    <w:rsid w:val="00943F2E"/>
    <w:rsid w:val="00944050"/>
    <w:rsid w:val="00944898"/>
    <w:rsid w:val="009449B8"/>
    <w:rsid w:val="00944DC9"/>
    <w:rsid w:val="00946E7E"/>
    <w:rsid w:val="0094795E"/>
    <w:rsid w:val="00951BA1"/>
    <w:rsid w:val="00951D52"/>
    <w:rsid w:val="00952187"/>
    <w:rsid w:val="00954916"/>
    <w:rsid w:val="009549ED"/>
    <w:rsid w:val="009600E6"/>
    <w:rsid w:val="0096015A"/>
    <w:rsid w:val="00960A6D"/>
    <w:rsid w:val="00960A7F"/>
    <w:rsid w:val="009611E0"/>
    <w:rsid w:val="009634AB"/>
    <w:rsid w:val="00964573"/>
    <w:rsid w:val="00965139"/>
    <w:rsid w:val="00965FEE"/>
    <w:rsid w:val="0096643B"/>
    <w:rsid w:val="00966E69"/>
    <w:rsid w:val="009679C0"/>
    <w:rsid w:val="0097069C"/>
    <w:rsid w:val="009706B5"/>
    <w:rsid w:val="00970CE3"/>
    <w:rsid w:val="009718BF"/>
    <w:rsid w:val="00972BDF"/>
    <w:rsid w:val="0097390F"/>
    <w:rsid w:val="0098057B"/>
    <w:rsid w:val="0098182D"/>
    <w:rsid w:val="009853D5"/>
    <w:rsid w:val="00985AD2"/>
    <w:rsid w:val="00985C4C"/>
    <w:rsid w:val="0098704B"/>
    <w:rsid w:val="0099243D"/>
    <w:rsid w:val="0099281B"/>
    <w:rsid w:val="00993821"/>
    <w:rsid w:val="00993B73"/>
    <w:rsid w:val="009940F6"/>
    <w:rsid w:val="00994280"/>
    <w:rsid w:val="009970B5"/>
    <w:rsid w:val="009A0D0A"/>
    <w:rsid w:val="009A0FAE"/>
    <w:rsid w:val="009A110C"/>
    <w:rsid w:val="009A1915"/>
    <w:rsid w:val="009A2418"/>
    <w:rsid w:val="009A2DB0"/>
    <w:rsid w:val="009A41F6"/>
    <w:rsid w:val="009A517D"/>
    <w:rsid w:val="009A64BD"/>
    <w:rsid w:val="009A686F"/>
    <w:rsid w:val="009A6ACC"/>
    <w:rsid w:val="009B1636"/>
    <w:rsid w:val="009B33A8"/>
    <w:rsid w:val="009B3487"/>
    <w:rsid w:val="009B4510"/>
    <w:rsid w:val="009B4BBA"/>
    <w:rsid w:val="009B4F1E"/>
    <w:rsid w:val="009B5F5A"/>
    <w:rsid w:val="009B7C61"/>
    <w:rsid w:val="009B7D7D"/>
    <w:rsid w:val="009C0DC9"/>
    <w:rsid w:val="009C136F"/>
    <w:rsid w:val="009C2394"/>
    <w:rsid w:val="009C2E17"/>
    <w:rsid w:val="009C3793"/>
    <w:rsid w:val="009C451F"/>
    <w:rsid w:val="009C4535"/>
    <w:rsid w:val="009C5075"/>
    <w:rsid w:val="009C5E96"/>
    <w:rsid w:val="009C726D"/>
    <w:rsid w:val="009D1B1E"/>
    <w:rsid w:val="009D1F61"/>
    <w:rsid w:val="009D2C59"/>
    <w:rsid w:val="009D3697"/>
    <w:rsid w:val="009D3B1F"/>
    <w:rsid w:val="009D4F35"/>
    <w:rsid w:val="009D5F9E"/>
    <w:rsid w:val="009E0DF0"/>
    <w:rsid w:val="009E11C3"/>
    <w:rsid w:val="009E1411"/>
    <w:rsid w:val="009E32B5"/>
    <w:rsid w:val="009E52F2"/>
    <w:rsid w:val="009E5717"/>
    <w:rsid w:val="009F002C"/>
    <w:rsid w:val="009F01C0"/>
    <w:rsid w:val="009F1095"/>
    <w:rsid w:val="009F1278"/>
    <w:rsid w:val="009F151B"/>
    <w:rsid w:val="009F1AC5"/>
    <w:rsid w:val="009F381A"/>
    <w:rsid w:val="009F3C1F"/>
    <w:rsid w:val="009F5DB2"/>
    <w:rsid w:val="009F614E"/>
    <w:rsid w:val="009F762B"/>
    <w:rsid w:val="00A0172D"/>
    <w:rsid w:val="00A02047"/>
    <w:rsid w:val="00A036BE"/>
    <w:rsid w:val="00A03C4B"/>
    <w:rsid w:val="00A04C52"/>
    <w:rsid w:val="00A0717F"/>
    <w:rsid w:val="00A07627"/>
    <w:rsid w:val="00A11AE6"/>
    <w:rsid w:val="00A12205"/>
    <w:rsid w:val="00A1579D"/>
    <w:rsid w:val="00A21876"/>
    <w:rsid w:val="00A2772F"/>
    <w:rsid w:val="00A279CF"/>
    <w:rsid w:val="00A30C44"/>
    <w:rsid w:val="00A328AE"/>
    <w:rsid w:val="00A3394A"/>
    <w:rsid w:val="00A347D8"/>
    <w:rsid w:val="00A34857"/>
    <w:rsid w:val="00A36D20"/>
    <w:rsid w:val="00A4131E"/>
    <w:rsid w:val="00A41694"/>
    <w:rsid w:val="00A42326"/>
    <w:rsid w:val="00A43501"/>
    <w:rsid w:val="00A44FBE"/>
    <w:rsid w:val="00A453DC"/>
    <w:rsid w:val="00A469C4"/>
    <w:rsid w:val="00A46BDA"/>
    <w:rsid w:val="00A475D9"/>
    <w:rsid w:val="00A50617"/>
    <w:rsid w:val="00A535E3"/>
    <w:rsid w:val="00A53BAE"/>
    <w:rsid w:val="00A5450F"/>
    <w:rsid w:val="00A55032"/>
    <w:rsid w:val="00A570A7"/>
    <w:rsid w:val="00A57E92"/>
    <w:rsid w:val="00A60A23"/>
    <w:rsid w:val="00A6115A"/>
    <w:rsid w:val="00A61900"/>
    <w:rsid w:val="00A625E2"/>
    <w:rsid w:val="00A62AA3"/>
    <w:rsid w:val="00A62B55"/>
    <w:rsid w:val="00A63C00"/>
    <w:rsid w:val="00A64C80"/>
    <w:rsid w:val="00A67EF9"/>
    <w:rsid w:val="00A711CC"/>
    <w:rsid w:val="00A72465"/>
    <w:rsid w:val="00A75CA6"/>
    <w:rsid w:val="00A76B72"/>
    <w:rsid w:val="00A80C92"/>
    <w:rsid w:val="00A818AB"/>
    <w:rsid w:val="00A81BCB"/>
    <w:rsid w:val="00A82461"/>
    <w:rsid w:val="00A82EF1"/>
    <w:rsid w:val="00A840FB"/>
    <w:rsid w:val="00A84571"/>
    <w:rsid w:val="00A846B3"/>
    <w:rsid w:val="00A84CDC"/>
    <w:rsid w:val="00A851D8"/>
    <w:rsid w:val="00A8580D"/>
    <w:rsid w:val="00A85E37"/>
    <w:rsid w:val="00A860FD"/>
    <w:rsid w:val="00A86416"/>
    <w:rsid w:val="00A864D9"/>
    <w:rsid w:val="00A90202"/>
    <w:rsid w:val="00A908EE"/>
    <w:rsid w:val="00A9099E"/>
    <w:rsid w:val="00A91347"/>
    <w:rsid w:val="00A9277F"/>
    <w:rsid w:val="00A940B5"/>
    <w:rsid w:val="00A95083"/>
    <w:rsid w:val="00A953BA"/>
    <w:rsid w:val="00A95A9B"/>
    <w:rsid w:val="00A96C9F"/>
    <w:rsid w:val="00A96E60"/>
    <w:rsid w:val="00A97D27"/>
    <w:rsid w:val="00AA00BC"/>
    <w:rsid w:val="00AA12D0"/>
    <w:rsid w:val="00AA1687"/>
    <w:rsid w:val="00AA285C"/>
    <w:rsid w:val="00AA4325"/>
    <w:rsid w:val="00AA50AC"/>
    <w:rsid w:val="00AA5D62"/>
    <w:rsid w:val="00AB14BD"/>
    <w:rsid w:val="00AB1D6A"/>
    <w:rsid w:val="00AB3710"/>
    <w:rsid w:val="00AB4B0F"/>
    <w:rsid w:val="00AB4FA1"/>
    <w:rsid w:val="00AB65D4"/>
    <w:rsid w:val="00AB6C3B"/>
    <w:rsid w:val="00AC0516"/>
    <w:rsid w:val="00AC0D96"/>
    <w:rsid w:val="00AC2A55"/>
    <w:rsid w:val="00AC48E0"/>
    <w:rsid w:val="00AC6189"/>
    <w:rsid w:val="00AC6FE2"/>
    <w:rsid w:val="00AC7A73"/>
    <w:rsid w:val="00AC7C82"/>
    <w:rsid w:val="00AC7D88"/>
    <w:rsid w:val="00AD1553"/>
    <w:rsid w:val="00AD25F0"/>
    <w:rsid w:val="00AD2EBD"/>
    <w:rsid w:val="00AD461A"/>
    <w:rsid w:val="00AD6CC6"/>
    <w:rsid w:val="00AD6EAA"/>
    <w:rsid w:val="00AE008F"/>
    <w:rsid w:val="00AE04E8"/>
    <w:rsid w:val="00AE09FB"/>
    <w:rsid w:val="00AE0D01"/>
    <w:rsid w:val="00AE174C"/>
    <w:rsid w:val="00AE2056"/>
    <w:rsid w:val="00AE2365"/>
    <w:rsid w:val="00AE427F"/>
    <w:rsid w:val="00AE43EE"/>
    <w:rsid w:val="00AE74E9"/>
    <w:rsid w:val="00AF16C8"/>
    <w:rsid w:val="00AF4AAA"/>
    <w:rsid w:val="00AF54EF"/>
    <w:rsid w:val="00AF74DA"/>
    <w:rsid w:val="00B00C72"/>
    <w:rsid w:val="00B01443"/>
    <w:rsid w:val="00B024D6"/>
    <w:rsid w:val="00B03C9B"/>
    <w:rsid w:val="00B04CF0"/>
    <w:rsid w:val="00B070A2"/>
    <w:rsid w:val="00B0761F"/>
    <w:rsid w:val="00B07F0A"/>
    <w:rsid w:val="00B10E49"/>
    <w:rsid w:val="00B11D52"/>
    <w:rsid w:val="00B11E08"/>
    <w:rsid w:val="00B145FA"/>
    <w:rsid w:val="00B2037B"/>
    <w:rsid w:val="00B20C7F"/>
    <w:rsid w:val="00B20D8A"/>
    <w:rsid w:val="00B23274"/>
    <w:rsid w:val="00B24D10"/>
    <w:rsid w:val="00B264D4"/>
    <w:rsid w:val="00B272A6"/>
    <w:rsid w:val="00B30856"/>
    <w:rsid w:val="00B32CD3"/>
    <w:rsid w:val="00B34CA9"/>
    <w:rsid w:val="00B35797"/>
    <w:rsid w:val="00B35A93"/>
    <w:rsid w:val="00B3672D"/>
    <w:rsid w:val="00B40656"/>
    <w:rsid w:val="00B40F8A"/>
    <w:rsid w:val="00B4502E"/>
    <w:rsid w:val="00B4745C"/>
    <w:rsid w:val="00B50AAA"/>
    <w:rsid w:val="00B51FC0"/>
    <w:rsid w:val="00B53B4F"/>
    <w:rsid w:val="00B544D9"/>
    <w:rsid w:val="00B5641B"/>
    <w:rsid w:val="00B564E0"/>
    <w:rsid w:val="00B57F47"/>
    <w:rsid w:val="00B61063"/>
    <w:rsid w:val="00B63AA2"/>
    <w:rsid w:val="00B658D4"/>
    <w:rsid w:val="00B70133"/>
    <w:rsid w:val="00B70B11"/>
    <w:rsid w:val="00B71B05"/>
    <w:rsid w:val="00B730B4"/>
    <w:rsid w:val="00B7481A"/>
    <w:rsid w:val="00B75A2C"/>
    <w:rsid w:val="00B76467"/>
    <w:rsid w:val="00B77A82"/>
    <w:rsid w:val="00B813AC"/>
    <w:rsid w:val="00B8287F"/>
    <w:rsid w:val="00B8376C"/>
    <w:rsid w:val="00B84260"/>
    <w:rsid w:val="00B86811"/>
    <w:rsid w:val="00B86B44"/>
    <w:rsid w:val="00B86CC9"/>
    <w:rsid w:val="00B8738D"/>
    <w:rsid w:val="00B87BB7"/>
    <w:rsid w:val="00B91F0B"/>
    <w:rsid w:val="00B9223B"/>
    <w:rsid w:val="00B92D47"/>
    <w:rsid w:val="00B933B3"/>
    <w:rsid w:val="00B961A5"/>
    <w:rsid w:val="00BA0E4C"/>
    <w:rsid w:val="00BA1426"/>
    <w:rsid w:val="00BA18D5"/>
    <w:rsid w:val="00BA1FC4"/>
    <w:rsid w:val="00BA202D"/>
    <w:rsid w:val="00BA49CC"/>
    <w:rsid w:val="00BA4D1F"/>
    <w:rsid w:val="00BA604C"/>
    <w:rsid w:val="00BA6E95"/>
    <w:rsid w:val="00BA7AD1"/>
    <w:rsid w:val="00BB0B9D"/>
    <w:rsid w:val="00BB1C32"/>
    <w:rsid w:val="00BB1CC2"/>
    <w:rsid w:val="00BB2250"/>
    <w:rsid w:val="00BB2E89"/>
    <w:rsid w:val="00BB4F63"/>
    <w:rsid w:val="00BB63AB"/>
    <w:rsid w:val="00BB744D"/>
    <w:rsid w:val="00BB7708"/>
    <w:rsid w:val="00BB7CA8"/>
    <w:rsid w:val="00BC0FDD"/>
    <w:rsid w:val="00BC22E0"/>
    <w:rsid w:val="00BC4AA7"/>
    <w:rsid w:val="00BC5852"/>
    <w:rsid w:val="00BD293B"/>
    <w:rsid w:val="00BD5425"/>
    <w:rsid w:val="00BD6F2F"/>
    <w:rsid w:val="00BD705F"/>
    <w:rsid w:val="00BE28ED"/>
    <w:rsid w:val="00BE5596"/>
    <w:rsid w:val="00BE55D6"/>
    <w:rsid w:val="00BE61B8"/>
    <w:rsid w:val="00BE6F45"/>
    <w:rsid w:val="00BF030A"/>
    <w:rsid w:val="00BF2DD7"/>
    <w:rsid w:val="00BF2EA1"/>
    <w:rsid w:val="00BF41EE"/>
    <w:rsid w:val="00BF543F"/>
    <w:rsid w:val="00BF6902"/>
    <w:rsid w:val="00BF7421"/>
    <w:rsid w:val="00C00141"/>
    <w:rsid w:val="00C015BE"/>
    <w:rsid w:val="00C01E2A"/>
    <w:rsid w:val="00C06E2B"/>
    <w:rsid w:val="00C07650"/>
    <w:rsid w:val="00C104DD"/>
    <w:rsid w:val="00C1331F"/>
    <w:rsid w:val="00C1348A"/>
    <w:rsid w:val="00C15275"/>
    <w:rsid w:val="00C15E31"/>
    <w:rsid w:val="00C1625D"/>
    <w:rsid w:val="00C16479"/>
    <w:rsid w:val="00C2058D"/>
    <w:rsid w:val="00C24754"/>
    <w:rsid w:val="00C25084"/>
    <w:rsid w:val="00C250CB"/>
    <w:rsid w:val="00C261C7"/>
    <w:rsid w:val="00C2768B"/>
    <w:rsid w:val="00C313A2"/>
    <w:rsid w:val="00C316A8"/>
    <w:rsid w:val="00C31A53"/>
    <w:rsid w:val="00C337F9"/>
    <w:rsid w:val="00C3746F"/>
    <w:rsid w:val="00C3768A"/>
    <w:rsid w:val="00C37D9D"/>
    <w:rsid w:val="00C4139D"/>
    <w:rsid w:val="00C42389"/>
    <w:rsid w:val="00C45DE7"/>
    <w:rsid w:val="00C5122B"/>
    <w:rsid w:val="00C538D4"/>
    <w:rsid w:val="00C562FD"/>
    <w:rsid w:val="00C56C17"/>
    <w:rsid w:val="00C60B8E"/>
    <w:rsid w:val="00C6307A"/>
    <w:rsid w:val="00C65944"/>
    <w:rsid w:val="00C666B4"/>
    <w:rsid w:val="00C66829"/>
    <w:rsid w:val="00C71A4B"/>
    <w:rsid w:val="00C71CD1"/>
    <w:rsid w:val="00C72345"/>
    <w:rsid w:val="00C72E54"/>
    <w:rsid w:val="00C73143"/>
    <w:rsid w:val="00C76C40"/>
    <w:rsid w:val="00C77685"/>
    <w:rsid w:val="00C77815"/>
    <w:rsid w:val="00C80ED6"/>
    <w:rsid w:val="00C82D1D"/>
    <w:rsid w:val="00C85259"/>
    <w:rsid w:val="00C85378"/>
    <w:rsid w:val="00C85B50"/>
    <w:rsid w:val="00C86808"/>
    <w:rsid w:val="00C87238"/>
    <w:rsid w:val="00C90157"/>
    <w:rsid w:val="00C90F97"/>
    <w:rsid w:val="00C9297C"/>
    <w:rsid w:val="00C94CB7"/>
    <w:rsid w:val="00C96057"/>
    <w:rsid w:val="00C961E8"/>
    <w:rsid w:val="00C967A3"/>
    <w:rsid w:val="00CA0309"/>
    <w:rsid w:val="00CA1C79"/>
    <w:rsid w:val="00CA30DB"/>
    <w:rsid w:val="00CA491B"/>
    <w:rsid w:val="00CA6D58"/>
    <w:rsid w:val="00CA6FDA"/>
    <w:rsid w:val="00CA733C"/>
    <w:rsid w:val="00CA7E00"/>
    <w:rsid w:val="00CB3B6F"/>
    <w:rsid w:val="00CB3D57"/>
    <w:rsid w:val="00CB4788"/>
    <w:rsid w:val="00CB6F8B"/>
    <w:rsid w:val="00CC0C5F"/>
    <w:rsid w:val="00CC24B0"/>
    <w:rsid w:val="00CC2788"/>
    <w:rsid w:val="00CC2F3D"/>
    <w:rsid w:val="00CC436A"/>
    <w:rsid w:val="00CC5FF3"/>
    <w:rsid w:val="00CC7387"/>
    <w:rsid w:val="00CD7178"/>
    <w:rsid w:val="00CD791A"/>
    <w:rsid w:val="00CE2ADF"/>
    <w:rsid w:val="00CE33FC"/>
    <w:rsid w:val="00CE3FFC"/>
    <w:rsid w:val="00CE4B84"/>
    <w:rsid w:val="00CE6A56"/>
    <w:rsid w:val="00CE74B0"/>
    <w:rsid w:val="00CE78B8"/>
    <w:rsid w:val="00CF00DE"/>
    <w:rsid w:val="00CF052D"/>
    <w:rsid w:val="00CF1D7D"/>
    <w:rsid w:val="00CF219D"/>
    <w:rsid w:val="00CF2623"/>
    <w:rsid w:val="00CF3998"/>
    <w:rsid w:val="00CF3A15"/>
    <w:rsid w:val="00CF45D3"/>
    <w:rsid w:val="00CF4D04"/>
    <w:rsid w:val="00CF4E1C"/>
    <w:rsid w:val="00CF611C"/>
    <w:rsid w:val="00CF6B6C"/>
    <w:rsid w:val="00CF7B6B"/>
    <w:rsid w:val="00D0001C"/>
    <w:rsid w:val="00D003CF"/>
    <w:rsid w:val="00D00804"/>
    <w:rsid w:val="00D00A04"/>
    <w:rsid w:val="00D01094"/>
    <w:rsid w:val="00D01EA5"/>
    <w:rsid w:val="00D02978"/>
    <w:rsid w:val="00D035AE"/>
    <w:rsid w:val="00D03A57"/>
    <w:rsid w:val="00D042BB"/>
    <w:rsid w:val="00D06321"/>
    <w:rsid w:val="00D0676A"/>
    <w:rsid w:val="00D06CA0"/>
    <w:rsid w:val="00D07106"/>
    <w:rsid w:val="00D07E06"/>
    <w:rsid w:val="00D1014B"/>
    <w:rsid w:val="00D108E6"/>
    <w:rsid w:val="00D12653"/>
    <w:rsid w:val="00D1282D"/>
    <w:rsid w:val="00D1312A"/>
    <w:rsid w:val="00D13159"/>
    <w:rsid w:val="00D13814"/>
    <w:rsid w:val="00D14724"/>
    <w:rsid w:val="00D14BA9"/>
    <w:rsid w:val="00D16498"/>
    <w:rsid w:val="00D171EB"/>
    <w:rsid w:val="00D17789"/>
    <w:rsid w:val="00D21565"/>
    <w:rsid w:val="00D22B01"/>
    <w:rsid w:val="00D25E04"/>
    <w:rsid w:val="00D266BE"/>
    <w:rsid w:val="00D2737E"/>
    <w:rsid w:val="00D274A9"/>
    <w:rsid w:val="00D30750"/>
    <w:rsid w:val="00D32644"/>
    <w:rsid w:val="00D33619"/>
    <w:rsid w:val="00D34C73"/>
    <w:rsid w:val="00D36D0F"/>
    <w:rsid w:val="00D40C02"/>
    <w:rsid w:val="00D4142D"/>
    <w:rsid w:val="00D414E0"/>
    <w:rsid w:val="00D427A6"/>
    <w:rsid w:val="00D42AFE"/>
    <w:rsid w:val="00D44A9E"/>
    <w:rsid w:val="00D45B5D"/>
    <w:rsid w:val="00D46910"/>
    <w:rsid w:val="00D46E7E"/>
    <w:rsid w:val="00D475A2"/>
    <w:rsid w:val="00D5015D"/>
    <w:rsid w:val="00D50D7A"/>
    <w:rsid w:val="00D51541"/>
    <w:rsid w:val="00D52355"/>
    <w:rsid w:val="00D52AC7"/>
    <w:rsid w:val="00D52E7A"/>
    <w:rsid w:val="00D53360"/>
    <w:rsid w:val="00D53A66"/>
    <w:rsid w:val="00D54514"/>
    <w:rsid w:val="00D54935"/>
    <w:rsid w:val="00D54CA9"/>
    <w:rsid w:val="00D562D3"/>
    <w:rsid w:val="00D563D9"/>
    <w:rsid w:val="00D566F2"/>
    <w:rsid w:val="00D6188C"/>
    <w:rsid w:val="00D61959"/>
    <w:rsid w:val="00D62F3F"/>
    <w:rsid w:val="00D6340F"/>
    <w:rsid w:val="00D6781D"/>
    <w:rsid w:val="00D67D98"/>
    <w:rsid w:val="00D72D16"/>
    <w:rsid w:val="00D73893"/>
    <w:rsid w:val="00D7412C"/>
    <w:rsid w:val="00D74843"/>
    <w:rsid w:val="00D75521"/>
    <w:rsid w:val="00D75B88"/>
    <w:rsid w:val="00D8195B"/>
    <w:rsid w:val="00D83503"/>
    <w:rsid w:val="00D84724"/>
    <w:rsid w:val="00D85416"/>
    <w:rsid w:val="00D85527"/>
    <w:rsid w:val="00D8554E"/>
    <w:rsid w:val="00D8619F"/>
    <w:rsid w:val="00D86764"/>
    <w:rsid w:val="00D872D8"/>
    <w:rsid w:val="00D91F4E"/>
    <w:rsid w:val="00D93A67"/>
    <w:rsid w:val="00D93F28"/>
    <w:rsid w:val="00D9557E"/>
    <w:rsid w:val="00D962A7"/>
    <w:rsid w:val="00D96FC1"/>
    <w:rsid w:val="00D97AC9"/>
    <w:rsid w:val="00DA2E2B"/>
    <w:rsid w:val="00DA354D"/>
    <w:rsid w:val="00DA3DE4"/>
    <w:rsid w:val="00DA69DE"/>
    <w:rsid w:val="00DB1698"/>
    <w:rsid w:val="00DB5C0A"/>
    <w:rsid w:val="00DB6DAF"/>
    <w:rsid w:val="00DC0AF1"/>
    <w:rsid w:val="00DC2393"/>
    <w:rsid w:val="00DC588B"/>
    <w:rsid w:val="00DC64BF"/>
    <w:rsid w:val="00DD0123"/>
    <w:rsid w:val="00DD13E2"/>
    <w:rsid w:val="00DD4938"/>
    <w:rsid w:val="00DD5D82"/>
    <w:rsid w:val="00DD7977"/>
    <w:rsid w:val="00DD7E98"/>
    <w:rsid w:val="00DE1FC5"/>
    <w:rsid w:val="00DE34FF"/>
    <w:rsid w:val="00DE35D7"/>
    <w:rsid w:val="00DE4454"/>
    <w:rsid w:val="00DE44AB"/>
    <w:rsid w:val="00DF003C"/>
    <w:rsid w:val="00DF00D4"/>
    <w:rsid w:val="00DF1297"/>
    <w:rsid w:val="00DF4501"/>
    <w:rsid w:val="00DF4928"/>
    <w:rsid w:val="00DF5C01"/>
    <w:rsid w:val="00DF7233"/>
    <w:rsid w:val="00DF73DC"/>
    <w:rsid w:val="00DF75B7"/>
    <w:rsid w:val="00DF78AE"/>
    <w:rsid w:val="00E0171F"/>
    <w:rsid w:val="00E02AC4"/>
    <w:rsid w:val="00E033F2"/>
    <w:rsid w:val="00E0462A"/>
    <w:rsid w:val="00E0669E"/>
    <w:rsid w:val="00E06F00"/>
    <w:rsid w:val="00E07AAA"/>
    <w:rsid w:val="00E07CC2"/>
    <w:rsid w:val="00E1122A"/>
    <w:rsid w:val="00E115FB"/>
    <w:rsid w:val="00E11E2E"/>
    <w:rsid w:val="00E125CA"/>
    <w:rsid w:val="00E138CC"/>
    <w:rsid w:val="00E14B17"/>
    <w:rsid w:val="00E14EAE"/>
    <w:rsid w:val="00E16394"/>
    <w:rsid w:val="00E22571"/>
    <w:rsid w:val="00E22BEA"/>
    <w:rsid w:val="00E25156"/>
    <w:rsid w:val="00E25242"/>
    <w:rsid w:val="00E253F6"/>
    <w:rsid w:val="00E25AAC"/>
    <w:rsid w:val="00E26BEE"/>
    <w:rsid w:val="00E2730D"/>
    <w:rsid w:val="00E279B9"/>
    <w:rsid w:val="00E30CA9"/>
    <w:rsid w:val="00E31807"/>
    <w:rsid w:val="00E33834"/>
    <w:rsid w:val="00E33AAA"/>
    <w:rsid w:val="00E33C53"/>
    <w:rsid w:val="00E33CB8"/>
    <w:rsid w:val="00E33F0E"/>
    <w:rsid w:val="00E34CE0"/>
    <w:rsid w:val="00E365E6"/>
    <w:rsid w:val="00E36B77"/>
    <w:rsid w:val="00E36C8F"/>
    <w:rsid w:val="00E371EC"/>
    <w:rsid w:val="00E37EB7"/>
    <w:rsid w:val="00E404C5"/>
    <w:rsid w:val="00E40A10"/>
    <w:rsid w:val="00E42206"/>
    <w:rsid w:val="00E42923"/>
    <w:rsid w:val="00E42DA5"/>
    <w:rsid w:val="00E44B8D"/>
    <w:rsid w:val="00E46639"/>
    <w:rsid w:val="00E466D7"/>
    <w:rsid w:val="00E51EF9"/>
    <w:rsid w:val="00E523B5"/>
    <w:rsid w:val="00E54816"/>
    <w:rsid w:val="00E5512E"/>
    <w:rsid w:val="00E556B6"/>
    <w:rsid w:val="00E55E60"/>
    <w:rsid w:val="00E56594"/>
    <w:rsid w:val="00E578DF"/>
    <w:rsid w:val="00E57C07"/>
    <w:rsid w:val="00E57D18"/>
    <w:rsid w:val="00E604E5"/>
    <w:rsid w:val="00E605C2"/>
    <w:rsid w:val="00E6129C"/>
    <w:rsid w:val="00E6136F"/>
    <w:rsid w:val="00E61E5F"/>
    <w:rsid w:val="00E63D11"/>
    <w:rsid w:val="00E644A0"/>
    <w:rsid w:val="00E669E6"/>
    <w:rsid w:val="00E67395"/>
    <w:rsid w:val="00E72707"/>
    <w:rsid w:val="00E72AE3"/>
    <w:rsid w:val="00E7349C"/>
    <w:rsid w:val="00E73B51"/>
    <w:rsid w:val="00E75790"/>
    <w:rsid w:val="00E761C2"/>
    <w:rsid w:val="00E77866"/>
    <w:rsid w:val="00E80180"/>
    <w:rsid w:val="00E8129E"/>
    <w:rsid w:val="00E81A2B"/>
    <w:rsid w:val="00E81E42"/>
    <w:rsid w:val="00E82A17"/>
    <w:rsid w:val="00E83A01"/>
    <w:rsid w:val="00E861BA"/>
    <w:rsid w:val="00E9156D"/>
    <w:rsid w:val="00E91EBF"/>
    <w:rsid w:val="00E94D8C"/>
    <w:rsid w:val="00E969C4"/>
    <w:rsid w:val="00E97676"/>
    <w:rsid w:val="00EA1BA1"/>
    <w:rsid w:val="00EA1CE1"/>
    <w:rsid w:val="00EA1F89"/>
    <w:rsid w:val="00EA21CB"/>
    <w:rsid w:val="00EB08A0"/>
    <w:rsid w:val="00EB117B"/>
    <w:rsid w:val="00EB40D6"/>
    <w:rsid w:val="00EB5CDD"/>
    <w:rsid w:val="00EB5F75"/>
    <w:rsid w:val="00EB7852"/>
    <w:rsid w:val="00EB79CD"/>
    <w:rsid w:val="00EC060D"/>
    <w:rsid w:val="00EC1B22"/>
    <w:rsid w:val="00EC2525"/>
    <w:rsid w:val="00EC2E31"/>
    <w:rsid w:val="00EC4F33"/>
    <w:rsid w:val="00EC7410"/>
    <w:rsid w:val="00EC77D8"/>
    <w:rsid w:val="00EC7A70"/>
    <w:rsid w:val="00EC7E6C"/>
    <w:rsid w:val="00ED28B3"/>
    <w:rsid w:val="00ED3C5C"/>
    <w:rsid w:val="00ED3DE9"/>
    <w:rsid w:val="00ED4B06"/>
    <w:rsid w:val="00EE0713"/>
    <w:rsid w:val="00EE07A6"/>
    <w:rsid w:val="00EE0F2E"/>
    <w:rsid w:val="00EE226B"/>
    <w:rsid w:val="00EE2A41"/>
    <w:rsid w:val="00EE4E10"/>
    <w:rsid w:val="00EE525B"/>
    <w:rsid w:val="00EE5878"/>
    <w:rsid w:val="00EE633C"/>
    <w:rsid w:val="00EE770A"/>
    <w:rsid w:val="00EF09FB"/>
    <w:rsid w:val="00EF0CFD"/>
    <w:rsid w:val="00EF0DE2"/>
    <w:rsid w:val="00EF4DFA"/>
    <w:rsid w:val="00EF5F08"/>
    <w:rsid w:val="00EF7736"/>
    <w:rsid w:val="00F0232A"/>
    <w:rsid w:val="00F02923"/>
    <w:rsid w:val="00F0351B"/>
    <w:rsid w:val="00F03ECB"/>
    <w:rsid w:val="00F04089"/>
    <w:rsid w:val="00F05608"/>
    <w:rsid w:val="00F06275"/>
    <w:rsid w:val="00F06472"/>
    <w:rsid w:val="00F123EC"/>
    <w:rsid w:val="00F14E6B"/>
    <w:rsid w:val="00F1508F"/>
    <w:rsid w:val="00F15B72"/>
    <w:rsid w:val="00F16331"/>
    <w:rsid w:val="00F16803"/>
    <w:rsid w:val="00F21AEA"/>
    <w:rsid w:val="00F22566"/>
    <w:rsid w:val="00F22963"/>
    <w:rsid w:val="00F2380A"/>
    <w:rsid w:val="00F23C09"/>
    <w:rsid w:val="00F262C4"/>
    <w:rsid w:val="00F30AEF"/>
    <w:rsid w:val="00F3229A"/>
    <w:rsid w:val="00F32406"/>
    <w:rsid w:val="00F378B2"/>
    <w:rsid w:val="00F403EA"/>
    <w:rsid w:val="00F40B51"/>
    <w:rsid w:val="00F40E4D"/>
    <w:rsid w:val="00F41C66"/>
    <w:rsid w:val="00F41DE4"/>
    <w:rsid w:val="00F41F3D"/>
    <w:rsid w:val="00F42499"/>
    <w:rsid w:val="00F42753"/>
    <w:rsid w:val="00F44DC5"/>
    <w:rsid w:val="00F44ECF"/>
    <w:rsid w:val="00F453CB"/>
    <w:rsid w:val="00F46CE7"/>
    <w:rsid w:val="00F46D41"/>
    <w:rsid w:val="00F471AE"/>
    <w:rsid w:val="00F510DB"/>
    <w:rsid w:val="00F548C1"/>
    <w:rsid w:val="00F551DE"/>
    <w:rsid w:val="00F578E5"/>
    <w:rsid w:val="00F604E0"/>
    <w:rsid w:val="00F6232F"/>
    <w:rsid w:val="00F648E3"/>
    <w:rsid w:val="00F648F7"/>
    <w:rsid w:val="00F6501E"/>
    <w:rsid w:val="00F70615"/>
    <w:rsid w:val="00F72722"/>
    <w:rsid w:val="00F727B0"/>
    <w:rsid w:val="00F73C17"/>
    <w:rsid w:val="00F7598B"/>
    <w:rsid w:val="00F87ADD"/>
    <w:rsid w:val="00F914FD"/>
    <w:rsid w:val="00F9164E"/>
    <w:rsid w:val="00F92D2B"/>
    <w:rsid w:val="00F952BF"/>
    <w:rsid w:val="00F95515"/>
    <w:rsid w:val="00F9574E"/>
    <w:rsid w:val="00F974AA"/>
    <w:rsid w:val="00FA2545"/>
    <w:rsid w:val="00FA3650"/>
    <w:rsid w:val="00FA719D"/>
    <w:rsid w:val="00FA7CFC"/>
    <w:rsid w:val="00FB097C"/>
    <w:rsid w:val="00FB1D16"/>
    <w:rsid w:val="00FB21C2"/>
    <w:rsid w:val="00FB3FBE"/>
    <w:rsid w:val="00FB4AAD"/>
    <w:rsid w:val="00FB4AD8"/>
    <w:rsid w:val="00FB4E3D"/>
    <w:rsid w:val="00FB5A22"/>
    <w:rsid w:val="00FB5B57"/>
    <w:rsid w:val="00FB5F2A"/>
    <w:rsid w:val="00FB5FB6"/>
    <w:rsid w:val="00FC0398"/>
    <w:rsid w:val="00FC1407"/>
    <w:rsid w:val="00FC22E1"/>
    <w:rsid w:val="00FC2C04"/>
    <w:rsid w:val="00FC2C8C"/>
    <w:rsid w:val="00FC3549"/>
    <w:rsid w:val="00FC4F9B"/>
    <w:rsid w:val="00FC59F0"/>
    <w:rsid w:val="00FD302E"/>
    <w:rsid w:val="00FD4599"/>
    <w:rsid w:val="00FD4784"/>
    <w:rsid w:val="00FD51C8"/>
    <w:rsid w:val="00FD5753"/>
    <w:rsid w:val="00FD65FE"/>
    <w:rsid w:val="00FD6B57"/>
    <w:rsid w:val="00FE00DA"/>
    <w:rsid w:val="00FE0FAF"/>
    <w:rsid w:val="00FE35B1"/>
    <w:rsid w:val="00FE3C36"/>
    <w:rsid w:val="00FE427F"/>
    <w:rsid w:val="00FE6669"/>
    <w:rsid w:val="00FE72EA"/>
    <w:rsid w:val="00FF150E"/>
    <w:rsid w:val="00FF2475"/>
    <w:rsid w:val="00FF3477"/>
    <w:rsid w:val="00FF3A25"/>
    <w:rsid w:val="00FF4138"/>
    <w:rsid w:val="00FF48BC"/>
    <w:rsid w:val="00FF6DDE"/>
    <w:rsid w:val="00FF6E24"/>
    <w:rsid w:val="00FF741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65F6C781"/>
  <w15:chartTrackingRefBased/>
  <w15:docId w15:val="{4EEE4235-1ECD-4EDA-A389-22EB94D44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C3B"/>
  </w:style>
  <w:style w:type="paragraph" w:styleId="Ttulo1">
    <w:name w:val="heading 1"/>
    <w:basedOn w:val="Normal"/>
    <w:next w:val="Normal"/>
    <w:link w:val="Ttulo1Car"/>
    <w:uiPriority w:val="9"/>
    <w:qFormat/>
    <w:rsid w:val="00ED3C5C"/>
    <w:pPr>
      <w:keepNext/>
      <w:numPr>
        <w:numId w:val="1"/>
      </w:numPr>
      <w:spacing w:before="240" w:after="60" w:line="240" w:lineRule="auto"/>
      <w:outlineLvl w:val="0"/>
    </w:pPr>
    <w:rPr>
      <w:rFonts w:asciiTheme="majorHAnsi" w:eastAsiaTheme="majorEastAsia" w:hAnsiTheme="majorHAnsi" w:cstheme="majorBidi"/>
      <w:b/>
      <w:bCs/>
      <w:kern w:val="32"/>
      <w:sz w:val="32"/>
      <w:szCs w:val="32"/>
      <w:lang w:val="en-US"/>
    </w:rPr>
  </w:style>
  <w:style w:type="paragraph" w:styleId="Ttulo2">
    <w:name w:val="heading 2"/>
    <w:basedOn w:val="Normal"/>
    <w:next w:val="Normal"/>
    <w:link w:val="Ttulo2Car"/>
    <w:uiPriority w:val="9"/>
    <w:unhideWhenUsed/>
    <w:qFormat/>
    <w:rsid w:val="00ED3C5C"/>
    <w:pPr>
      <w:keepNext/>
      <w:numPr>
        <w:ilvl w:val="1"/>
        <w:numId w:val="1"/>
      </w:numPr>
      <w:spacing w:before="240" w:after="60" w:line="240" w:lineRule="auto"/>
      <w:outlineLvl w:val="1"/>
    </w:pPr>
    <w:rPr>
      <w:rFonts w:asciiTheme="majorHAnsi" w:eastAsiaTheme="majorEastAsia" w:hAnsiTheme="majorHAnsi" w:cstheme="majorBidi"/>
      <w:b/>
      <w:bCs/>
      <w:i/>
      <w:iCs/>
      <w:sz w:val="28"/>
      <w:szCs w:val="28"/>
      <w:lang w:val="en-US"/>
    </w:rPr>
  </w:style>
  <w:style w:type="paragraph" w:styleId="Ttulo3">
    <w:name w:val="heading 3"/>
    <w:basedOn w:val="Normal"/>
    <w:next w:val="Normal"/>
    <w:link w:val="Ttulo3Car"/>
    <w:uiPriority w:val="9"/>
    <w:semiHidden/>
    <w:unhideWhenUsed/>
    <w:qFormat/>
    <w:rsid w:val="00ED3C5C"/>
    <w:pPr>
      <w:keepNext/>
      <w:numPr>
        <w:ilvl w:val="2"/>
        <w:numId w:val="1"/>
      </w:numPr>
      <w:spacing w:before="240" w:after="60" w:line="240" w:lineRule="auto"/>
      <w:outlineLvl w:val="2"/>
    </w:pPr>
    <w:rPr>
      <w:rFonts w:asciiTheme="majorHAnsi" w:eastAsiaTheme="majorEastAsia" w:hAnsiTheme="majorHAnsi" w:cstheme="majorBidi"/>
      <w:b/>
      <w:bCs/>
      <w:sz w:val="26"/>
      <w:szCs w:val="26"/>
      <w:lang w:val="en-US"/>
    </w:rPr>
  </w:style>
  <w:style w:type="paragraph" w:styleId="Ttulo4">
    <w:name w:val="heading 4"/>
    <w:basedOn w:val="Normal"/>
    <w:next w:val="Normal"/>
    <w:link w:val="Ttulo4Car"/>
    <w:uiPriority w:val="9"/>
    <w:semiHidden/>
    <w:unhideWhenUsed/>
    <w:qFormat/>
    <w:rsid w:val="00ED3C5C"/>
    <w:pPr>
      <w:keepNext/>
      <w:numPr>
        <w:ilvl w:val="3"/>
        <w:numId w:val="1"/>
      </w:numPr>
      <w:spacing w:before="240" w:after="60" w:line="240" w:lineRule="auto"/>
      <w:outlineLvl w:val="3"/>
    </w:pPr>
    <w:rPr>
      <w:rFonts w:eastAsiaTheme="minorEastAsia"/>
      <w:b/>
      <w:bCs/>
      <w:sz w:val="28"/>
      <w:szCs w:val="28"/>
      <w:lang w:val="en-US"/>
    </w:rPr>
  </w:style>
  <w:style w:type="paragraph" w:styleId="Ttulo5">
    <w:name w:val="heading 5"/>
    <w:basedOn w:val="Normal"/>
    <w:next w:val="Normal"/>
    <w:link w:val="Ttulo5Car"/>
    <w:uiPriority w:val="9"/>
    <w:semiHidden/>
    <w:unhideWhenUsed/>
    <w:qFormat/>
    <w:rsid w:val="00ED3C5C"/>
    <w:pPr>
      <w:numPr>
        <w:ilvl w:val="4"/>
        <w:numId w:val="1"/>
      </w:numPr>
      <w:spacing w:before="240" w:after="60" w:line="240" w:lineRule="auto"/>
      <w:outlineLvl w:val="4"/>
    </w:pPr>
    <w:rPr>
      <w:rFonts w:eastAsiaTheme="minorEastAsia"/>
      <w:b/>
      <w:bCs/>
      <w:i/>
      <w:iCs/>
      <w:sz w:val="26"/>
      <w:szCs w:val="26"/>
      <w:lang w:val="en-US"/>
    </w:rPr>
  </w:style>
  <w:style w:type="paragraph" w:styleId="Ttulo6">
    <w:name w:val="heading 6"/>
    <w:basedOn w:val="Normal"/>
    <w:next w:val="Normal"/>
    <w:link w:val="Ttulo6Car"/>
    <w:qFormat/>
    <w:rsid w:val="00ED3C5C"/>
    <w:pPr>
      <w:numPr>
        <w:ilvl w:val="5"/>
        <w:numId w:val="1"/>
      </w:numPr>
      <w:spacing w:before="240" w:after="60" w:line="240" w:lineRule="auto"/>
      <w:outlineLvl w:val="5"/>
    </w:pPr>
    <w:rPr>
      <w:rFonts w:ascii="Times New Roman" w:eastAsia="Times New Roman" w:hAnsi="Times New Roman" w:cs="Times New Roman"/>
      <w:b/>
      <w:bCs/>
      <w:lang w:val="en-US"/>
    </w:rPr>
  </w:style>
  <w:style w:type="paragraph" w:styleId="Ttulo7">
    <w:name w:val="heading 7"/>
    <w:basedOn w:val="Normal"/>
    <w:next w:val="Normal"/>
    <w:link w:val="Ttulo7Car"/>
    <w:uiPriority w:val="9"/>
    <w:semiHidden/>
    <w:unhideWhenUsed/>
    <w:qFormat/>
    <w:rsid w:val="00ED3C5C"/>
    <w:pPr>
      <w:numPr>
        <w:ilvl w:val="6"/>
        <w:numId w:val="1"/>
      </w:numPr>
      <w:spacing w:before="240" w:after="60" w:line="240" w:lineRule="auto"/>
      <w:outlineLvl w:val="6"/>
    </w:pPr>
    <w:rPr>
      <w:rFonts w:eastAsiaTheme="minorEastAsia"/>
      <w:sz w:val="24"/>
      <w:szCs w:val="24"/>
      <w:lang w:val="en-US"/>
    </w:rPr>
  </w:style>
  <w:style w:type="paragraph" w:styleId="Ttulo8">
    <w:name w:val="heading 8"/>
    <w:basedOn w:val="Normal"/>
    <w:next w:val="Normal"/>
    <w:link w:val="Ttulo8Car"/>
    <w:uiPriority w:val="9"/>
    <w:semiHidden/>
    <w:unhideWhenUsed/>
    <w:qFormat/>
    <w:rsid w:val="00ED3C5C"/>
    <w:pPr>
      <w:numPr>
        <w:ilvl w:val="7"/>
        <w:numId w:val="1"/>
      </w:numPr>
      <w:spacing w:before="240" w:after="60" w:line="240" w:lineRule="auto"/>
      <w:outlineLvl w:val="7"/>
    </w:pPr>
    <w:rPr>
      <w:rFonts w:eastAsiaTheme="minorEastAsia"/>
      <w:i/>
      <w:iCs/>
      <w:sz w:val="24"/>
      <w:szCs w:val="24"/>
      <w:lang w:val="en-US"/>
    </w:rPr>
  </w:style>
  <w:style w:type="paragraph" w:styleId="Ttulo9">
    <w:name w:val="heading 9"/>
    <w:basedOn w:val="Normal"/>
    <w:next w:val="Normal"/>
    <w:link w:val="Ttulo9Car"/>
    <w:uiPriority w:val="9"/>
    <w:semiHidden/>
    <w:unhideWhenUsed/>
    <w:qFormat/>
    <w:rsid w:val="00ED3C5C"/>
    <w:pPr>
      <w:numPr>
        <w:ilvl w:val="8"/>
        <w:numId w:val="1"/>
      </w:numPr>
      <w:spacing w:before="240" w:after="60" w:line="240" w:lineRule="auto"/>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6168E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6168E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168E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168E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6168E4"/>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6168E4"/>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6168E4"/>
    <w:rPr>
      <w:color w:val="0563C1" w:themeColor="hyperlink"/>
      <w:u w:val="single"/>
    </w:rPr>
  </w:style>
  <w:style w:type="paragraph" w:styleId="Sinespaciado">
    <w:name w:val="No Spacing"/>
    <w:aliases w:val="Francesa,INAI"/>
    <w:link w:val="SinespaciadoCar"/>
    <w:uiPriority w:val="1"/>
    <w:qFormat/>
    <w:rsid w:val="006168E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6168E4"/>
    <w:rPr>
      <w:b/>
      <w:bCs/>
    </w:rPr>
  </w:style>
  <w:style w:type="character" w:customStyle="1" w:styleId="SinespaciadoCar">
    <w:name w:val="Sin espaciado Car"/>
    <w:aliases w:val="Francesa Car,INAI Car"/>
    <w:link w:val="Sinespaciado"/>
    <w:uiPriority w:val="1"/>
    <w:locked/>
    <w:rsid w:val="006168E4"/>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8C55A3"/>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C55A3"/>
    <w:rPr>
      <w:sz w:val="20"/>
      <w:szCs w:val="20"/>
    </w:rPr>
  </w:style>
  <w:style w:type="paragraph" w:customStyle="1" w:styleId="Default">
    <w:name w:val="Default"/>
    <w:rsid w:val="00BA7AD1"/>
    <w:pPr>
      <w:autoSpaceDE w:val="0"/>
      <w:autoSpaceDN w:val="0"/>
      <w:adjustRightInd w:val="0"/>
      <w:spacing w:after="0" w:line="240" w:lineRule="auto"/>
    </w:pPr>
    <w:rPr>
      <w:rFonts w:ascii="Arial" w:hAnsi="Arial" w:cs="Arial"/>
      <w:color w:val="000000"/>
      <w:sz w:val="24"/>
      <w:szCs w:val="24"/>
    </w:rPr>
  </w:style>
  <w:style w:type="table" w:styleId="Tabladecuadrcula1clara">
    <w:name w:val="Grid Table 1 Light"/>
    <w:basedOn w:val="Tablanormal"/>
    <w:uiPriority w:val="46"/>
    <w:rsid w:val="00870F4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0662F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62F8"/>
    <w:rPr>
      <w:rFonts w:ascii="Segoe UI" w:hAnsi="Segoe UI" w:cs="Segoe UI"/>
      <w:sz w:val="18"/>
      <w:szCs w:val="18"/>
    </w:rPr>
  </w:style>
  <w:style w:type="character" w:styleId="Refdecomentario">
    <w:name w:val="annotation reference"/>
    <w:basedOn w:val="Fuentedeprrafopredeter"/>
    <w:uiPriority w:val="99"/>
    <w:semiHidden/>
    <w:unhideWhenUsed/>
    <w:rsid w:val="00C5122B"/>
    <w:rPr>
      <w:sz w:val="16"/>
      <w:szCs w:val="16"/>
    </w:rPr>
  </w:style>
  <w:style w:type="paragraph" w:styleId="Textocomentario">
    <w:name w:val="annotation text"/>
    <w:basedOn w:val="Normal"/>
    <w:link w:val="TextocomentarioCar"/>
    <w:uiPriority w:val="99"/>
    <w:semiHidden/>
    <w:unhideWhenUsed/>
    <w:rsid w:val="00C5122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5122B"/>
    <w:rPr>
      <w:sz w:val="20"/>
      <w:szCs w:val="20"/>
    </w:rPr>
  </w:style>
  <w:style w:type="paragraph" w:styleId="Asuntodelcomentario">
    <w:name w:val="annotation subject"/>
    <w:basedOn w:val="Textocomentario"/>
    <w:next w:val="Textocomentario"/>
    <w:link w:val="AsuntodelcomentarioCar"/>
    <w:uiPriority w:val="99"/>
    <w:semiHidden/>
    <w:unhideWhenUsed/>
    <w:rsid w:val="00C5122B"/>
    <w:rPr>
      <w:b/>
      <w:bCs/>
    </w:rPr>
  </w:style>
  <w:style w:type="character" w:customStyle="1" w:styleId="AsuntodelcomentarioCar">
    <w:name w:val="Asunto del comentario Car"/>
    <w:basedOn w:val="TextocomentarioCar"/>
    <w:link w:val="Asuntodelcomentario"/>
    <w:uiPriority w:val="99"/>
    <w:semiHidden/>
    <w:rsid w:val="00C5122B"/>
    <w:rPr>
      <w:b/>
      <w:bCs/>
      <w:sz w:val="20"/>
      <w:szCs w:val="20"/>
    </w:rPr>
  </w:style>
  <w:style w:type="table" w:styleId="Tablaconcuadrcula">
    <w:name w:val="Table Grid"/>
    <w:basedOn w:val="Tablanormal"/>
    <w:uiPriority w:val="39"/>
    <w:rsid w:val="009B5F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FB5A22"/>
    <w:rPr>
      <w:color w:val="954F72" w:themeColor="followedHyperlink"/>
      <w:u w:val="single"/>
    </w:rPr>
  </w:style>
  <w:style w:type="character" w:customStyle="1" w:styleId="apple-style-span">
    <w:name w:val="apple-style-span"/>
    <w:rsid w:val="00811D16"/>
  </w:style>
  <w:style w:type="character" w:customStyle="1" w:styleId="Mencinsinresolver1">
    <w:name w:val="Mención sin resolver1"/>
    <w:basedOn w:val="Fuentedeprrafopredeter"/>
    <w:uiPriority w:val="99"/>
    <w:semiHidden/>
    <w:unhideWhenUsed/>
    <w:rsid w:val="00F123EC"/>
    <w:rPr>
      <w:color w:val="605E5C"/>
      <w:shd w:val="clear" w:color="auto" w:fill="E1DFDD"/>
    </w:rPr>
  </w:style>
  <w:style w:type="character" w:customStyle="1" w:styleId="highlight">
    <w:name w:val="highlight"/>
    <w:basedOn w:val="Fuentedeprrafopredeter"/>
    <w:rsid w:val="00A4131E"/>
  </w:style>
  <w:style w:type="paragraph" w:customStyle="1" w:styleId="infoemcitas">
    <w:name w:val="infoem citas"/>
    <w:basedOn w:val="Normal"/>
    <w:qFormat/>
    <w:rsid w:val="006D5803"/>
    <w:pPr>
      <w:spacing w:before="240" w:line="360" w:lineRule="auto"/>
      <w:ind w:left="851" w:right="851"/>
      <w:jc w:val="both"/>
    </w:pPr>
    <w:rPr>
      <w:rFonts w:ascii="Palatino Linotype" w:hAnsi="Palatino Linotype"/>
      <w:i/>
    </w:rPr>
  </w:style>
  <w:style w:type="paragraph" w:customStyle="1" w:styleId="INFOEM">
    <w:name w:val="INFOEM"/>
    <w:basedOn w:val="Normal"/>
    <w:qFormat/>
    <w:rsid w:val="00F92D2B"/>
    <w:pPr>
      <w:spacing w:before="240" w:line="360" w:lineRule="auto"/>
      <w:ind w:left="851" w:right="851"/>
      <w:jc w:val="both"/>
    </w:pPr>
    <w:rPr>
      <w:rFonts w:ascii="Palatino Linotype" w:hAnsi="Palatino Linotype"/>
      <w:i/>
      <w:szCs w:val="14"/>
    </w:rPr>
  </w:style>
  <w:style w:type="paragraph" w:customStyle="1" w:styleId="Citas">
    <w:name w:val="Citas"/>
    <w:basedOn w:val="Normal"/>
    <w:qFormat/>
    <w:rsid w:val="00EC4F33"/>
    <w:pPr>
      <w:spacing w:before="240" w:line="360" w:lineRule="auto"/>
      <w:ind w:left="851" w:right="851"/>
      <w:jc w:val="both"/>
    </w:pPr>
    <w:rPr>
      <w:rFonts w:ascii="Palatino Linotype" w:hAnsi="Palatino Linotype" w:cs="Arial"/>
      <w:i/>
    </w:rPr>
  </w:style>
  <w:style w:type="character" w:customStyle="1" w:styleId="UnresolvedMention1">
    <w:name w:val="Unresolved Mention1"/>
    <w:basedOn w:val="Fuentedeprrafopredeter"/>
    <w:uiPriority w:val="99"/>
    <w:semiHidden/>
    <w:unhideWhenUsed/>
    <w:rsid w:val="00F578E5"/>
    <w:rPr>
      <w:color w:val="605E5C"/>
      <w:shd w:val="clear" w:color="auto" w:fill="E1DFDD"/>
    </w:rPr>
  </w:style>
  <w:style w:type="paragraph" w:styleId="Textoindependiente">
    <w:name w:val="Body Text"/>
    <w:basedOn w:val="Normal"/>
    <w:link w:val="TextoindependienteCar"/>
    <w:uiPriority w:val="1"/>
    <w:qFormat/>
    <w:rsid w:val="00073E92"/>
    <w:pPr>
      <w:widowControl w:val="0"/>
      <w:autoSpaceDE w:val="0"/>
      <w:autoSpaceDN w:val="0"/>
      <w:spacing w:after="0" w:line="240" w:lineRule="auto"/>
    </w:pPr>
    <w:rPr>
      <w:rFonts w:ascii="Arial" w:eastAsia="Arial" w:hAnsi="Arial" w:cs="Arial"/>
      <w:sz w:val="24"/>
      <w:szCs w:val="24"/>
      <w:lang w:val="es-ES" w:eastAsia="es-ES" w:bidi="es-ES"/>
    </w:rPr>
  </w:style>
  <w:style w:type="character" w:customStyle="1" w:styleId="TextoindependienteCar">
    <w:name w:val="Texto independiente Car"/>
    <w:basedOn w:val="Fuentedeprrafopredeter"/>
    <w:link w:val="Textoindependiente"/>
    <w:uiPriority w:val="1"/>
    <w:rsid w:val="00073E92"/>
    <w:rPr>
      <w:rFonts w:ascii="Arial" w:eastAsia="Arial" w:hAnsi="Arial" w:cs="Arial"/>
      <w:sz w:val="24"/>
      <w:szCs w:val="24"/>
      <w:lang w:val="es-ES" w:eastAsia="es-ES" w:bidi="es-ES"/>
    </w:rPr>
  </w:style>
  <w:style w:type="character" w:customStyle="1" w:styleId="Ttulo1Car">
    <w:name w:val="Título 1 Car"/>
    <w:basedOn w:val="Fuentedeprrafopredeter"/>
    <w:link w:val="Ttulo1"/>
    <w:uiPriority w:val="9"/>
    <w:rsid w:val="00ED3C5C"/>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ED3C5C"/>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semiHidden/>
    <w:rsid w:val="00ED3C5C"/>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ED3C5C"/>
    <w:rPr>
      <w:rFonts w:eastAsiaTheme="minorEastAsia"/>
      <w:b/>
      <w:bCs/>
      <w:sz w:val="28"/>
      <w:szCs w:val="28"/>
      <w:lang w:val="en-US"/>
    </w:rPr>
  </w:style>
  <w:style w:type="character" w:customStyle="1" w:styleId="Ttulo5Car">
    <w:name w:val="Título 5 Car"/>
    <w:basedOn w:val="Fuentedeprrafopredeter"/>
    <w:link w:val="Ttulo5"/>
    <w:uiPriority w:val="9"/>
    <w:semiHidden/>
    <w:rsid w:val="00ED3C5C"/>
    <w:rPr>
      <w:rFonts w:eastAsiaTheme="minorEastAsia"/>
      <w:b/>
      <w:bCs/>
      <w:i/>
      <w:iCs/>
      <w:sz w:val="26"/>
      <w:szCs w:val="26"/>
      <w:lang w:val="en-US"/>
    </w:rPr>
  </w:style>
  <w:style w:type="character" w:customStyle="1" w:styleId="Ttulo6Car">
    <w:name w:val="Título 6 Car"/>
    <w:basedOn w:val="Fuentedeprrafopredeter"/>
    <w:link w:val="Ttulo6"/>
    <w:rsid w:val="00ED3C5C"/>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ED3C5C"/>
    <w:rPr>
      <w:rFonts w:eastAsiaTheme="minorEastAsia"/>
      <w:sz w:val="24"/>
      <w:szCs w:val="24"/>
      <w:lang w:val="en-US"/>
    </w:rPr>
  </w:style>
  <w:style w:type="character" w:customStyle="1" w:styleId="Ttulo8Car">
    <w:name w:val="Título 8 Car"/>
    <w:basedOn w:val="Fuentedeprrafopredeter"/>
    <w:link w:val="Ttulo8"/>
    <w:uiPriority w:val="9"/>
    <w:semiHidden/>
    <w:rsid w:val="00ED3C5C"/>
    <w:rPr>
      <w:rFonts w:eastAsiaTheme="minorEastAsia"/>
      <w:i/>
      <w:iCs/>
      <w:sz w:val="24"/>
      <w:szCs w:val="24"/>
      <w:lang w:val="en-US"/>
    </w:rPr>
  </w:style>
  <w:style w:type="character" w:customStyle="1" w:styleId="Ttulo9Car">
    <w:name w:val="Título 9 Car"/>
    <w:basedOn w:val="Fuentedeprrafopredeter"/>
    <w:link w:val="Ttulo9"/>
    <w:uiPriority w:val="9"/>
    <w:semiHidden/>
    <w:rsid w:val="00ED3C5C"/>
    <w:rPr>
      <w:rFonts w:asciiTheme="majorHAnsi" w:eastAsiaTheme="majorEastAsia" w:hAnsiTheme="majorHAnsi" w:cstheme="majorBidi"/>
      <w:lang w:val="en-US"/>
    </w:rPr>
  </w:style>
  <w:style w:type="paragraph" w:customStyle="1" w:styleId="CitasINFOEM">
    <w:name w:val="Citas INFOEM"/>
    <w:basedOn w:val="Normal"/>
    <w:qFormat/>
    <w:rsid w:val="00E761C2"/>
    <w:pPr>
      <w:spacing w:before="240" w:line="360" w:lineRule="auto"/>
      <w:ind w:left="851" w:right="851"/>
      <w:jc w:val="both"/>
    </w:pPr>
    <w:rPr>
      <w:rFonts w:ascii="Palatino Linotype" w:eastAsia="Times New Roman" w:hAnsi="Palatino Linotype" w:cs="Times New Roman"/>
      <w:i/>
      <w:szCs w:val="24"/>
    </w:rPr>
  </w:style>
  <w:style w:type="character" w:customStyle="1" w:styleId="UnresolvedMention">
    <w:name w:val="Unresolved Mention"/>
    <w:basedOn w:val="Fuentedeprrafopredeter"/>
    <w:uiPriority w:val="99"/>
    <w:semiHidden/>
    <w:unhideWhenUsed/>
    <w:rsid w:val="00555FB7"/>
    <w:rPr>
      <w:color w:val="605E5C"/>
      <w:shd w:val="clear" w:color="auto" w:fill="E1DFDD"/>
    </w:rPr>
  </w:style>
  <w:style w:type="paragraph" w:customStyle="1" w:styleId="j">
    <w:name w:val="j"/>
    <w:basedOn w:val="Normal"/>
    <w:rsid w:val="00300AAE"/>
    <w:pPr>
      <w:spacing w:before="100" w:beforeAutospacing="1" w:after="100" w:afterAutospacing="1" w:line="240" w:lineRule="auto"/>
    </w:pPr>
    <w:rPr>
      <w:rFonts w:ascii="Times New Roman" w:hAnsi="Times New Roman" w:cs="Times New Roman"/>
      <w:sz w:val="24"/>
      <w:szCs w:val="24"/>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155843">
      <w:bodyDiv w:val="1"/>
      <w:marLeft w:val="0"/>
      <w:marRight w:val="0"/>
      <w:marTop w:val="0"/>
      <w:marBottom w:val="0"/>
      <w:divBdr>
        <w:top w:val="none" w:sz="0" w:space="0" w:color="auto"/>
        <w:left w:val="none" w:sz="0" w:space="0" w:color="auto"/>
        <w:bottom w:val="none" w:sz="0" w:space="0" w:color="auto"/>
        <w:right w:val="none" w:sz="0" w:space="0" w:color="auto"/>
      </w:divBdr>
    </w:div>
    <w:div w:id="141429836">
      <w:bodyDiv w:val="1"/>
      <w:marLeft w:val="0"/>
      <w:marRight w:val="0"/>
      <w:marTop w:val="0"/>
      <w:marBottom w:val="0"/>
      <w:divBdr>
        <w:top w:val="none" w:sz="0" w:space="0" w:color="auto"/>
        <w:left w:val="none" w:sz="0" w:space="0" w:color="auto"/>
        <w:bottom w:val="none" w:sz="0" w:space="0" w:color="auto"/>
        <w:right w:val="none" w:sz="0" w:space="0" w:color="auto"/>
      </w:divBdr>
    </w:div>
    <w:div w:id="159539902">
      <w:bodyDiv w:val="1"/>
      <w:marLeft w:val="0"/>
      <w:marRight w:val="0"/>
      <w:marTop w:val="0"/>
      <w:marBottom w:val="0"/>
      <w:divBdr>
        <w:top w:val="none" w:sz="0" w:space="0" w:color="auto"/>
        <w:left w:val="none" w:sz="0" w:space="0" w:color="auto"/>
        <w:bottom w:val="none" w:sz="0" w:space="0" w:color="auto"/>
        <w:right w:val="none" w:sz="0" w:space="0" w:color="auto"/>
      </w:divBdr>
    </w:div>
    <w:div w:id="179663290">
      <w:bodyDiv w:val="1"/>
      <w:marLeft w:val="0"/>
      <w:marRight w:val="0"/>
      <w:marTop w:val="0"/>
      <w:marBottom w:val="0"/>
      <w:divBdr>
        <w:top w:val="none" w:sz="0" w:space="0" w:color="auto"/>
        <w:left w:val="none" w:sz="0" w:space="0" w:color="auto"/>
        <w:bottom w:val="none" w:sz="0" w:space="0" w:color="auto"/>
        <w:right w:val="none" w:sz="0" w:space="0" w:color="auto"/>
      </w:divBdr>
    </w:div>
    <w:div w:id="209584679">
      <w:bodyDiv w:val="1"/>
      <w:marLeft w:val="0"/>
      <w:marRight w:val="0"/>
      <w:marTop w:val="0"/>
      <w:marBottom w:val="0"/>
      <w:divBdr>
        <w:top w:val="none" w:sz="0" w:space="0" w:color="auto"/>
        <w:left w:val="none" w:sz="0" w:space="0" w:color="auto"/>
        <w:bottom w:val="none" w:sz="0" w:space="0" w:color="auto"/>
        <w:right w:val="none" w:sz="0" w:space="0" w:color="auto"/>
      </w:divBdr>
    </w:div>
    <w:div w:id="374235010">
      <w:bodyDiv w:val="1"/>
      <w:marLeft w:val="0"/>
      <w:marRight w:val="0"/>
      <w:marTop w:val="0"/>
      <w:marBottom w:val="0"/>
      <w:divBdr>
        <w:top w:val="none" w:sz="0" w:space="0" w:color="auto"/>
        <w:left w:val="none" w:sz="0" w:space="0" w:color="auto"/>
        <w:bottom w:val="none" w:sz="0" w:space="0" w:color="auto"/>
        <w:right w:val="none" w:sz="0" w:space="0" w:color="auto"/>
      </w:divBdr>
    </w:div>
    <w:div w:id="375473416">
      <w:bodyDiv w:val="1"/>
      <w:marLeft w:val="0"/>
      <w:marRight w:val="0"/>
      <w:marTop w:val="0"/>
      <w:marBottom w:val="0"/>
      <w:divBdr>
        <w:top w:val="none" w:sz="0" w:space="0" w:color="auto"/>
        <w:left w:val="none" w:sz="0" w:space="0" w:color="auto"/>
        <w:bottom w:val="none" w:sz="0" w:space="0" w:color="auto"/>
        <w:right w:val="none" w:sz="0" w:space="0" w:color="auto"/>
      </w:divBdr>
    </w:div>
    <w:div w:id="434255915">
      <w:bodyDiv w:val="1"/>
      <w:marLeft w:val="0"/>
      <w:marRight w:val="0"/>
      <w:marTop w:val="0"/>
      <w:marBottom w:val="0"/>
      <w:divBdr>
        <w:top w:val="none" w:sz="0" w:space="0" w:color="auto"/>
        <w:left w:val="none" w:sz="0" w:space="0" w:color="auto"/>
        <w:bottom w:val="none" w:sz="0" w:space="0" w:color="auto"/>
        <w:right w:val="none" w:sz="0" w:space="0" w:color="auto"/>
      </w:divBdr>
    </w:div>
    <w:div w:id="449862081">
      <w:bodyDiv w:val="1"/>
      <w:marLeft w:val="0"/>
      <w:marRight w:val="0"/>
      <w:marTop w:val="0"/>
      <w:marBottom w:val="0"/>
      <w:divBdr>
        <w:top w:val="none" w:sz="0" w:space="0" w:color="auto"/>
        <w:left w:val="none" w:sz="0" w:space="0" w:color="auto"/>
        <w:bottom w:val="none" w:sz="0" w:space="0" w:color="auto"/>
        <w:right w:val="none" w:sz="0" w:space="0" w:color="auto"/>
      </w:divBdr>
    </w:div>
    <w:div w:id="484666848">
      <w:bodyDiv w:val="1"/>
      <w:marLeft w:val="0"/>
      <w:marRight w:val="0"/>
      <w:marTop w:val="0"/>
      <w:marBottom w:val="0"/>
      <w:divBdr>
        <w:top w:val="none" w:sz="0" w:space="0" w:color="auto"/>
        <w:left w:val="none" w:sz="0" w:space="0" w:color="auto"/>
        <w:bottom w:val="none" w:sz="0" w:space="0" w:color="auto"/>
        <w:right w:val="none" w:sz="0" w:space="0" w:color="auto"/>
      </w:divBdr>
    </w:div>
    <w:div w:id="490296897">
      <w:bodyDiv w:val="1"/>
      <w:marLeft w:val="0"/>
      <w:marRight w:val="0"/>
      <w:marTop w:val="0"/>
      <w:marBottom w:val="0"/>
      <w:divBdr>
        <w:top w:val="none" w:sz="0" w:space="0" w:color="auto"/>
        <w:left w:val="none" w:sz="0" w:space="0" w:color="auto"/>
        <w:bottom w:val="none" w:sz="0" w:space="0" w:color="auto"/>
        <w:right w:val="none" w:sz="0" w:space="0" w:color="auto"/>
      </w:divBdr>
    </w:div>
    <w:div w:id="593903796">
      <w:bodyDiv w:val="1"/>
      <w:marLeft w:val="0"/>
      <w:marRight w:val="0"/>
      <w:marTop w:val="0"/>
      <w:marBottom w:val="0"/>
      <w:divBdr>
        <w:top w:val="none" w:sz="0" w:space="0" w:color="auto"/>
        <w:left w:val="none" w:sz="0" w:space="0" w:color="auto"/>
        <w:bottom w:val="none" w:sz="0" w:space="0" w:color="auto"/>
        <w:right w:val="none" w:sz="0" w:space="0" w:color="auto"/>
      </w:divBdr>
    </w:div>
    <w:div w:id="670986242">
      <w:bodyDiv w:val="1"/>
      <w:marLeft w:val="0"/>
      <w:marRight w:val="0"/>
      <w:marTop w:val="0"/>
      <w:marBottom w:val="0"/>
      <w:divBdr>
        <w:top w:val="none" w:sz="0" w:space="0" w:color="auto"/>
        <w:left w:val="none" w:sz="0" w:space="0" w:color="auto"/>
        <w:bottom w:val="none" w:sz="0" w:space="0" w:color="auto"/>
        <w:right w:val="none" w:sz="0" w:space="0" w:color="auto"/>
      </w:divBdr>
    </w:div>
    <w:div w:id="728041959">
      <w:bodyDiv w:val="1"/>
      <w:marLeft w:val="0"/>
      <w:marRight w:val="0"/>
      <w:marTop w:val="0"/>
      <w:marBottom w:val="0"/>
      <w:divBdr>
        <w:top w:val="none" w:sz="0" w:space="0" w:color="auto"/>
        <w:left w:val="none" w:sz="0" w:space="0" w:color="auto"/>
        <w:bottom w:val="none" w:sz="0" w:space="0" w:color="auto"/>
        <w:right w:val="none" w:sz="0" w:space="0" w:color="auto"/>
      </w:divBdr>
    </w:div>
    <w:div w:id="730229333">
      <w:bodyDiv w:val="1"/>
      <w:marLeft w:val="0"/>
      <w:marRight w:val="0"/>
      <w:marTop w:val="0"/>
      <w:marBottom w:val="0"/>
      <w:divBdr>
        <w:top w:val="none" w:sz="0" w:space="0" w:color="auto"/>
        <w:left w:val="none" w:sz="0" w:space="0" w:color="auto"/>
        <w:bottom w:val="none" w:sz="0" w:space="0" w:color="auto"/>
        <w:right w:val="none" w:sz="0" w:space="0" w:color="auto"/>
      </w:divBdr>
    </w:div>
    <w:div w:id="775371324">
      <w:bodyDiv w:val="1"/>
      <w:marLeft w:val="0"/>
      <w:marRight w:val="0"/>
      <w:marTop w:val="0"/>
      <w:marBottom w:val="0"/>
      <w:divBdr>
        <w:top w:val="none" w:sz="0" w:space="0" w:color="auto"/>
        <w:left w:val="none" w:sz="0" w:space="0" w:color="auto"/>
        <w:bottom w:val="none" w:sz="0" w:space="0" w:color="auto"/>
        <w:right w:val="none" w:sz="0" w:space="0" w:color="auto"/>
      </w:divBdr>
    </w:div>
    <w:div w:id="783614496">
      <w:bodyDiv w:val="1"/>
      <w:marLeft w:val="0"/>
      <w:marRight w:val="0"/>
      <w:marTop w:val="0"/>
      <w:marBottom w:val="0"/>
      <w:divBdr>
        <w:top w:val="none" w:sz="0" w:space="0" w:color="auto"/>
        <w:left w:val="none" w:sz="0" w:space="0" w:color="auto"/>
        <w:bottom w:val="none" w:sz="0" w:space="0" w:color="auto"/>
        <w:right w:val="none" w:sz="0" w:space="0" w:color="auto"/>
      </w:divBdr>
    </w:div>
    <w:div w:id="804542210">
      <w:bodyDiv w:val="1"/>
      <w:marLeft w:val="0"/>
      <w:marRight w:val="0"/>
      <w:marTop w:val="0"/>
      <w:marBottom w:val="0"/>
      <w:divBdr>
        <w:top w:val="none" w:sz="0" w:space="0" w:color="auto"/>
        <w:left w:val="none" w:sz="0" w:space="0" w:color="auto"/>
        <w:bottom w:val="none" w:sz="0" w:space="0" w:color="auto"/>
        <w:right w:val="none" w:sz="0" w:space="0" w:color="auto"/>
      </w:divBdr>
    </w:div>
    <w:div w:id="807625324">
      <w:bodyDiv w:val="1"/>
      <w:marLeft w:val="0"/>
      <w:marRight w:val="0"/>
      <w:marTop w:val="0"/>
      <w:marBottom w:val="0"/>
      <w:divBdr>
        <w:top w:val="none" w:sz="0" w:space="0" w:color="auto"/>
        <w:left w:val="none" w:sz="0" w:space="0" w:color="auto"/>
        <w:bottom w:val="none" w:sz="0" w:space="0" w:color="auto"/>
        <w:right w:val="none" w:sz="0" w:space="0" w:color="auto"/>
      </w:divBdr>
    </w:div>
    <w:div w:id="809516213">
      <w:bodyDiv w:val="1"/>
      <w:marLeft w:val="0"/>
      <w:marRight w:val="0"/>
      <w:marTop w:val="0"/>
      <w:marBottom w:val="0"/>
      <w:divBdr>
        <w:top w:val="none" w:sz="0" w:space="0" w:color="auto"/>
        <w:left w:val="none" w:sz="0" w:space="0" w:color="auto"/>
        <w:bottom w:val="none" w:sz="0" w:space="0" w:color="auto"/>
        <w:right w:val="none" w:sz="0" w:space="0" w:color="auto"/>
      </w:divBdr>
    </w:div>
    <w:div w:id="857044212">
      <w:bodyDiv w:val="1"/>
      <w:marLeft w:val="0"/>
      <w:marRight w:val="0"/>
      <w:marTop w:val="0"/>
      <w:marBottom w:val="0"/>
      <w:divBdr>
        <w:top w:val="none" w:sz="0" w:space="0" w:color="auto"/>
        <w:left w:val="none" w:sz="0" w:space="0" w:color="auto"/>
        <w:bottom w:val="none" w:sz="0" w:space="0" w:color="auto"/>
        <w:right w:val="none" w:sz="0" w:space="0" w:color="auto"/>
      </w:divBdr>
    </w:div>
    <w:div w:id="892816050">
      <w:bodyDiv w:val="1"/>
      <w:marLeft w:val="0"/>
      <w:marRight w:val="0"/>
      <w:marTop w:val="0"/>
      <w:marBottom w:val="0"/>
      <w:divBdr>
        <w:top w:val="none" w:sz="0" w:space="0" w:color="auto"/>
        <w:left w:val="none" w:sz="0" w:space="0" w:color="auto"/>
        <w:bottom w:val="none" w:sz="0" w:space="0" w:color="auto"/>
        <w:right w:val="none" w:sz="0" w:space="0" w:color="auto"/>
      </w:divBdr>
    </w:div>
    <w:div w:id="905720805">
      <w:bodyDiv w:val="1"/>
      <w:marLeft w:val="0"/>
      <w:marRight w:val="0"/>
      <w:marTop w:val="0"/>
      <w:marBottom w:val="0"/>
      <w:divBdr>
        <w:top w:val="none" w:sz="0" w:space="0" w:color="auto"/>
        <w:left w:val="none" w:sz="0" w:space="0" w:color="auto"/>
        <w:bottom w:val="none" w:sz="0" w:space="0" w:color="auto"/>
        <w:right w:val="none" w:sz="0" w:space="0" w:color="auto"/>
      </w:divBdr>
    </w:div>
    <w:div w:id="932979146">
      <w:bodyDiv w:val="1"/>
      <w:marLeft w:val="0"/>
      <w:marRight w:val="0"/>
      <w:marTop w:val="0"/>
      <w:marBottom w:val="0"/>
      <w:divBdr>
        <w:top w:val="none" w:sz="0" w:space="0" w:color="auto"/>
        <w:left w:val="none" w:sz="0" w:space="0" w:color="auto"/>
        <w:bottom w:val="none" w:sz="0" w:space="0" w:color="auto"/>
        <w:right w:val="none" w:sz="0" w:space="0" w:color="auto"/>
      </w:divBdr>
    </w:div>
    <w:div w:id="966080722">
      <w:bodyDiv w:val="1"/>
      <w:marLeft w:val="0"/>
      <w:marRight w:val="0"/>
      <w:marTop w:val="0"/>
      <w:marBottom w:val="0"/>
      <w:divBdr>
        <w:top w:val="none" w:sz="0" w:space="0" w:color="auto"/>
        <w:left w:val="none" w:sz="0" w:space="0" w:color="auto"/>
        <w:bottom w:val="none" w:sz="0" w:space="0" w:color="auto"/>
        <w:right w:val="none" w:sz="0" w:space="0" w:color="auto"/>
      </w:divBdr>
    </w:div>
    <w:div w:id="1030569572">
      <w:bodyDiv w:val="1"/>
      <w:marLeft w:val="0"/>
      <w:marRight w:val="0"/>
      <w:marTop w:val="0"/>
      <w:marBottom w:val="0"/>
      <w:divBdr>
        <w:top w:val="none" w:sz="0" w:space="0" w:color="auto"/>
        <w:left w:val="none" w:sz="0" w:space="0" w:color="auto"/>
        <w:bottom w:val="none" w:sz="0" w:space="0" w:color="auto"/>
        <w:right w:val="none" w:sz="0" w:space="0" w:color="auto"/>
      </w:divBdr>
    </w:div>
    <w:div w:id="1055665540">
      <w:bodyDiv w:val="1"/>
      <w:marLeft w:val="0"/>
      <w:marRight w:val="0"/>
      <w:marTop w:val="0"/>
      <w:marBottom w:val="0"/>
      <w:divBdr>
        <w:top w:val="none" w:sz="0" w:space="0" w:color="auto"/>
        <w:left w:val="none" w:sz="0" w:space="0" w:color="auto"/>
        <w:bottom w:val="none" w:sz="0" w:space="0" w:color="auto"/>
        <w:right w:val="none" w:sz="0" w:space="0" w:color="auto"/>
      </w:divBdr>
    </w:div>
    <w:div w:id="1112242907">
      <w:bodyDiv w:val="1"/>
      <w:marLeft w:val="0"/>
      <w:marRight w:val="0"/>
      <w:marTop w:val="0"/>
      <w:marBottom w:val="0"/>
      <w:divBdr>
        <w:top w:val="none" w:sz="0" w:space="0" w:color="auto"/>
        <w:left w:val="none" w:sz="0" w:space="0" w:color="auto"/>
        <w:bottom w:val="none" w:sz="0" w:space="0" w:color="auto"/>
        <w:right w:val="none" w:sz="0" w:space="0" w:color="auto"/>
      </w:divBdr>
    </w:div>
    <w:div w:id="1131554451">
      <w:bodyDiv w:val="1"/>
      <w:marLeft w:val="0"/>
      <w:marRight w:val="0"/>
      <w:marTop w:val="0"/>
      <w:marBottom w:val="0"/>
      <w:divBdr>
        <w:top w:val="none" w:sz="0" w:space="0" w:color="auto"/>
        <w:left w:val="none" w:sz="0" w:space="0" w:color="auto"/>
        <w:bottom w:val="none" w:sz="0" w:space="0" w:color="auto"/>
        <w:right w:val="none" w:sz="0" w:space="0" w:color="auto"/>
      </w:divBdr>
    </w:div>
    <w:div w:id="1212809784">
      <w:bodyDiv w:val="1"/>
      <w:marLeft w:val="0"/>
      <w:marRight w:val="0"/>
      <w:marTop w:val="0"/>
      <w:marBottom w:val="0"/>
      <w:divBdr>
        <w:top w:val="none" w:sz="0" w:space="0" w:color="auto"/>
        <w:left w:val="none" w:sz="0" w:space="0" w:color="auto"/>
        <w:bottom w:val="none" w:sz="0" w:space="0" w:color="auto"/>
        <w:right w:val="none" w:sz="0" w:space="0" w:color="auto"/>
      </w:divBdr>
    </w:div>
    <w:div w:id="1213077593">
      <w:bodyDiv w:val="1"/>
      <w:marLeft w:val="0"/>
      <w:marRight w:val="0"/>
      <w:marTop w:val="0"/>
      <w:marBottom w:val="0"/>
      <w:divBdr>
        <w:top w:val="none" w:sz="0" w:space="0" w:color="auto"/>
        <w:left w:val="none" w:sz="0" w:space="0" w:color="auto"/>
        <w:bottom w:val="none" w:sz="0" w:space="0" w:color="auto"/>
        <w:right w:val="none" w:sz="0" w:space="0" w:color="auto"/>
      </w:divBdr>
    </w:div>
    <w:div w:id="1245067843">
      <w:bodyDiv w:val="1"/>
      <w:marLeft w:val="0"/>
      <w:marRight w:val="0"/>
      <w:marTop w:val="0"/>
      <w:marBottom w:val="0"/>
      <w:divBdr>
        <w:top w:val="none" w:sz="0" w:space="0" w:color="auto"/>
        <w:left w:val="none" w:sz="0" w:space="0" w:color="auto"/>
        <w:bottom w:val="none" w:sz="0" w:space="0" w:color="auto"/>
        <w:right w:val="none" w:sz="0" w:space="0" w:color="auto"/>
      </w:divBdr>
    </w:div>
    <w:div w:id="1251347996">
      <w:bodyDiv w:val="1"/>
      <w:marLeft w:val="0"/>
      <w:marRight w:val="0"/>
      <w:marTop w:val="0"/>
      <w:marBottom w:val="0"/>
      <w:divBdr>
        <w:top w:val="none" w:sz="0" w:space="0" w:color="auto"/>
        <w:left w:val="none" w:sz="0" w:space="0" w:color="auto"/>
        <w:bottom w:val="none" w:sz="0" w:space="0" w:color="auto"/>
        <w:right w:val="none" w:sz="0" w:space="0" w:color="auto"/>
      </w:divBdr>
    </w:div>
    <w:div w:id="1333533887">
      <w:bodyDiv w:val="1"/>
      <w:marLeft w:val="0"/>
      <w:marRight w:val="0"/>
      <w:marTop w:val="0"/>
      <w:marBottom w:val="0"/>
      <w:divBdr>
        <w:top w:val="none" w:sz="0" w:space="0" w:color="auto"/>
        <w:left w:val="none" w:sz="0" w:space="0" w:color="auto"/>
        <w:bottom w:val="none" w:sz="0" w:space="0" w:color="auto"/>
        <w:right w:val="none" w:sz="0" w:space="0" w:color="auto"/>
      </w:divBdr>
    </w:div>
    <w:div w:id="1335113774">
      <w:bodyDiv w:val="1"/>
      <w:marLeft w:val="0"/>
      <w:marRight w:val="0"/>
      <w:marTop w:val="0"/>
      <w:marBottom w:val="0"/>
      <w:divBdr>
        <w:top w:val="none" w:sz="0" w:space="0" w:color="auto"/>
        <w:left w:val="none" w:sz="0" w:space="0" w:color="auto"/>
        <w:bottom w:val="none" w:sz="0" w:space="0" w:color="auto"/>
        <w:right w:val="none" w:sz="0" w:space="0" w:color="auto"/>
      </w:divBdr>
    </w:div>
    <w:div w:id="1423839750">
      <w:bodyDiv w:val="1"/>
      <w:marLeft w:val="0"/>
      <w:marRight w:val="0"/>
      <w:marTop w:val="0"/>
      <w:marBottom w:val="0"/>
      <w:divBdr>
        <w:top w:val="none" w:sz="0" w:space="0" w:color="auto"/>
        <w:left w:val="none" w:sz="0" w:space="0" w:color="auto"/>
        <w:bottom w:val="none" w:sz="0" w:space="0" w:color="auto"/>
        <w:right w:val="none" w:sz="0" w:space="0" w:color="auto"/>
      </w:divBdr>
    </w:div>
    <w:div w:id="1461412259">
      <w:bodyDiv w:val="1"/>
      <w:marLeft w:val="0"/>
      <w:marRight w:val="0"/>
      <w:marTop w:val="0"/>
      <w:marBottom w:val="0"/>
      <w:divBdr>
        <w:top w:val="none" w:sz="0" w:space="0" w:color="auto"/>
        <w:left w:val="none" w:sz="0" w:space="0" w:color="auto"/>
        <w:bottom w:val="none" w:sz="0" w:space="0" w:color="auto"/>
        <w:right w:val="none" w:sz="0" w:space="0" w:color="auto"/>
      </w:divBdr>
    </w:div>
    <w:div w:id="1504511205">
      <w:bodyDiv w:val="1"/>
      <w:marLeft w:val="0"/>
      <w:marRight w:val="0"/>
      <w:marTop w:val="0"/>
      <w:marBottom w:val="0"/>
      <w:divBdr>
        <w:top w:val="none" w:sz="0" w:space="0" w:color="auto"/>
        <w:left w:val="none" w:sz="0" w:space="0" w:color="auto"/>
        <w:bottom w:val="none" w:sz="0" w:space="0" w:color="auto"/>
        <w:right w:val="none" w:sz="0" w:space="0" w:color="auto"/>
      </w:divBdr>
    </w:div>
    <w:div w:id="1583561149">
      <w:bodyDiv w:val="1"/>
      <w:marLeft w:val="0"/>
      <w:marRight w:val="0"/>
      <w:marTop w:val="0"/>
      <w:marBottom w:val="0"/>
      <w:divBdr>
        <w:top w:val="none" w:sz="0" w:space="0" w:color="auto"/>
        <w:left w:val="none" w:sz="0" w:space="0" w:color="auto"/>
        <w:bottom w:val="none" w:sz="0" w:space="0" w:color="auto"/>
        <w:right w:val="none" w:sz="0" w:space="0" w:color="auto"/>
      </w:divBdr>
    </w:div>
    <w:div w:id="1599944847">
      <w:bodyDiv w:val="1"/>
      <w:marLeft w:val="0"/>
      <w:marRight w:val="0"/>
      <w:marTop w:val="0"/>
      <w:marBottom w:val="0"/>
      <w:divBdr>
        <w:top w:val="none" w:sz="0" w:space="0" w:color="auto"/>
        <w:left w:val="none" w:sz="0" w:space="0" w:color="auto"/>
        <w:bottom w:val="none" w:sz="0" w:space="0" w:color="auto"/>
        <w:right w:val="none" w:sz="0" w:space="0" w:color="auto"/>
      </w:divBdr>
    </w:div>
    <w:div w:id="1623538317">
      <w:bodyDiv w:val="1"/>
      <w:marLeft w:val="0"/>
      <w:marRight w:val="0"/>
      <w:marTop w:val="0"/>
      <w:marBottom w:val="0"/>
      <w:divBdr>
        <w:top w:val="none" w:sz="0" w:space="0" w:color="auto"/>
        <w:left w:val="none" w:sz="0" w:space="0" w:color="auto"/>
        <w:bottom w:val="none" w:sz="0" w:space="0" w:color="auto"/>
        <w:right w:val="none" w:sz="0" w:space="0" w:color="auto"/>
      </w:divBdr>
    </w:div>
    <w:div w:id="1626812807">
      <w:bodyDiv w:val="1"/>
      <w:marLeft w:val="0"/>
      <w:marRight w:val="0"/>
      <w:marTop w:val="0"/>
      <w:marBottom w:val="0"/>
      <w:divBdr>
        <w:top w:val="none" w:sz="0" w:space="0" w:color="auto"/>
        <w:left w:val="none" w:sz="0" w:space="0" w:color="auto"/>
        <w:bottom w:val="none" w:sz="0" w:space="0" w:color="auto"/>
        <w:right w:val="none" w:sz="0" w:space="0" w:color="auto"/>
      </w:divBdr>
    </w:div>
    <w:div w:id="1627930448">
      <w:bodyDiv w:val="1"/>
      <w:marLeft w:val="0"/>
      <w:marRight w:val="0"/>
      <w:marTop w:val="0"/>
      <w:marBottom w:val="0"/>
      <w:divBdr>
        <w:top w:val="none" w:sz="0" w:space="0" w:color="auto"/>
        <w:left w:val="none" w:sz="0" w:space="0" w:color="auto"/>
        <w:bottom w:val="none" w:sz="0" w:space="0" w:color="auto"/>
        <w:right w:val="none" w:sz="0" w:space="0" w:color="auto"/>
      </w:divBdr>
    </w:div>
    <w:div w:id="1639187770">
      <w:bodyDiv w:val="1"/>
      <w:marLeft w:val="0"/>
      <w:marRight w:val="0"/>
      <w:marTop w:val="0"/>
      <w:marBottom w:val="0"/>
      <w:divBdr>
        <w:top w:val="none" w:sz="0" w:space="0" w:color="auto"/>
        <w:left w:val="none" w:sz="0" w:space="0" w:color="auto"/>
        <w:bottom w:val="none" w:sz="0" w:space="0" w:color="auto"/>
        <w:right w:val="none" w:sz="0" w:space="0" w:color="auto"/>
      </w:divBdr>
    </w:div>
    <w:div w:id="1727609460">
      <w:bodyDiv w:val="1"/>
      <w:marLeft w:val="0"/>
      <w:marRight w:val="0"/>
      <w:marTop w:val="0"/>
      <w:marBottom w:val="0"/>
      <w:divBdr>
        <w:top w:val="none" w:sz="0" w:space="0" w:color="auto"/>
        <w:left w:val="none" w:sz="0" w:space="0" w:color="auto"/>
        <w:bottom w:val="none" w:sz="0" w:space="0" w:color="auto"/>
        <w:right w:val="none" w:sz="0" w:space="0" w:color="auto"/>
      </w:divBdr>
    </w:div>
    <w:div w:id="1769035463">
      <w:bodyDiv w:val="1"/>
      <w:marLeft w:val="0"/>
      <w:marRight w:val="0"/>
      <w:marTop w:val="0"/>
      <w:marBottom w:val="0"/>
      <w:divBdr>
        <w:top w:val="none" w:sz="0" w:space="0" w:color="auto"/>
        <w:left w:val="none" w:sz="0" w:space="0" w:color="auto"/>
        <w:bottom w:val="none" w:sz="0" w:space="0" w:color="auto"/>
        <w:right w:val="none" w:sz="0" w:space="0" w:color="auto"/>
      </w:divBdr>
    </w:div>
    <w:div w:id="1813787293">
      <w:bodyDiv w:val="1"/>
      <w:marLeft w:val="0"/>
      <w:marRight w:val="0"/>
      <w:marTop w:val="0"/>
      <w:marBottom w:val="0"/>
      <w:divBdr>
        <w:top w:val="none" w:sz="0" w:space="0" w:color="auto"/>
        <w:left w:val="none" w:sz="0" w:space="0" w:color="auto"/>
        <w:bottom w:val="none" w:sz="0" w:space="0" w:color="auto"/>
        <w:right w:val="none" w:sz="0" w:space="0" w:color="auto"/>
      </w:divBdr>
    </w:div>
    <w:div w:id="1864250495">
      <w:bodyDiv w:val="1"/>
      <w:marLeft w:val="0"/>
      <w:marRight w:val="0"/>
      <w:marTop w:val="0"/>
      <w:marBottom w:val="0"/>
      <w:divBdr>
        <w:top w:val="none" w:sz="0" w:space="0" w:color="auto"/>
        <w:left w:val="none" w:sz="0" w:space="0" w:color="auto"/>
        <w:bottom w:val="none" w:sz="0" w:space="0" w:color="auto"/>
        <w:right w:val="none" w:sz="0" w:space="0" w:color="auto"/>
      </w:divBdr>
    </w:div>
    <w:div w:id="1882786856">
      <w:bodyDiv w:val="1"/>
      <w:marLeft w:val="0"/>
      <w:marRight w:val="0"/>
      <w:marTop w:val="0"/>
      <w:marBottom w:val="0"/>
      <w:divBdr>
        <w:top w:val="none" w:sz="0" w:space="0" w:color="auto"/>
        <w:left w:val="none" w:sz="0" w:space="0" w:color="auto"/>
        <w:bottom w:val="none" w:sz="0" w:space="0" w:color="auto"/>
        <w:right w:val="none" w:sz="0" w:space="0" w:color="auto"/>
      </w:divBdr>
    </w:div>
    <w:div w:id="1886520376">
      <w:bodyDiv w:val="1"/>
      <w:marLeft w:val="0"/>
      <w:marRight w:val="0"/>
      <w:marTop w:val="0"/>
      <w:marBottom w:val="0"/>
      <w:divBdr>
        <w:top w:val="none" w:sz="0" w:space="0" w:color="auto"/>
        <w:left w:val="none" w:sz="0" w:space="0" w:color="auto"/>
        <w:bottom w:val="none" w:sz="0" w:space="0" w:color="auto"/>
        <w:right w:val="none" w:sz="0" w:space="0" w:color="auto"/>
      </w:divBdr>
    </w:div>
    <w:div w:id="1889997061">
      <w:bodyDiv w:val="1"/>
      <w:marLeft w:val="0"/>
      <w:marRight w:val="0"/>
      <w:marTop w:val="0"/>
      <w:marBottom w:val="0"/>
      <w:divBdr>
        <w:top w:val="none" w:sz="0" w:space="0" w:color="auto"/>
        <w:left w:val="none" w:sz="0" w:space="0" w:color="auto"/>
        <w:bottom w:val="none" w:sz="0" w:space="0" w:color="auto"/>
        <w:right w:val="none" w:sz="0" w:space="0" w:color="auto"/>
      </w:divBdr>
    </w:div>
    <w:div w:id="1906256901">
      <w:bodyDiv w:val="1"/>
      <w:marLeft w:val="0"/>
      <w:marRight w:val="0"/>
      <w:marTop w:val="0"/>
      <w:marBottom w:val="0"/>
      <w:divBdr>
        <w:top w:val="none" w:sz="0" w:space="0" w:color="auto"/>
        <w:left w:val="none" w:sz="0" w:space="0" w:color="auto"/>
        <w:bottom w:val="none" w:sz="0" w:space="0" w:color="auto"/>
        <w:right w:val="none" w:sz="0" w:space="0" w:color="auto"/>
      </w:divBdr>
    </w:div>
    <w:div w:id="1957321820">
      <w:bodyDiv w:val="1"/>
      <w:marLeft w:val="0"/>
      <w:marRight w:val="0"/>
      <w:marTop w:val="0"/>
      <w:marBottom w:val="0"/>
      <w:divBdr>
        <w:top w:val="none" w:sz="0" w:space="0" w:color="auto"/>
        <w:left w:val="none" w:sz="0" w:space="0" w:color="auto"/>
        <w:bottom w:val="none" w:sz="0" w:space="0" w:color="auto"/>
        <w:right w:val="none" w:sz="0" w:space="0" w:color="auto"/>
      </w:divBdr>
    </w:div>
    <w:div w:id="2038970081">
      <w:bodyDiv w:val="1"/>
      <w:marLeft w:val="0"/>
      <w:marRight w:val="0"/>
      <w:marTop w:val="0"/>
      <w:marBottom w:val="0"/>
      <w:divBdr>
        <w:top w:val="none" w:sz="0" w:space="0" w:color="auto"/>
        <w:left w:val="none" w:sz="0" w:space="0" w:color="auto"/>
        <w:bottom w:val="none" w:sz="0" w:space="0" w:color="auto"/>
        <w:right w:val="none" w:sz="0" w:space="0" w:color="auto"/>
      </w:divBdr>
    </w:div>
    <w:div w:id="2041936191">
      <w:bodyDiv w:val="1"/>
      <w:marLeft w:val="0"/>
      <w:marRight w:val="0"/>
      <w:marTop w:val="0"/>
      <w:marBottom w:val="0"/>
      <w:divBdr>
        <w:top w:val="none" w:sz="0" w:space="0" w:color="auto"/>
        <w:left w:val="none" w:sz="0" w:space="0" w:color="auto"/>
        <w:bottom w:val="none" w:sz="0" w:space="0" w:color="auto"/>
        <w:right w:val="none" w:sz="0" w:space="0" w:color="auto"/>
      </w:divBdr>
    </w:div>
    <w:div w:id="2053535162">
      <w:bodyDiv w:val="1"/>
      <w:marLeft w:val="0"/>
      <w:marRight w:val="0"/>
      <w:marTop w:val="0"/>
      <w:marBottom w:val="0"/>
      <w:divBdr>
        <w:top w:val="none" w:sz="0" w:space="0" w:color="auto"/>
        <w:left w:val="none" w:sz="0" w:space="0" w:color="auto"/>
        <w:bottom w:val="none" w:sz="0" w:space="0" w:color="auto"/>
        <w:right w:val="none" w:sz="0" w:space="0" w:color="auto"/>
      </w:divBdr>
    </w:div>
    <w:div w:id="2057851788">
      <w:bodyDiv w:val="1"/>
      <w:marLeft w:val="0"/>
      <w:marRight w:val="0"/>
      <w:marTop w:val="0"/>
      <w:marBottom w:val="0"/>
      <w:divBdr>
        <w:top w:val="none" w:sz="0" w:space="0" w:color="auto"/>
        <w:left w:val="none" w:sz="0" w:space="0" w:color="auto"/>
        <w:bottom w:val="none" w:sz="0" w:space="0" w:color="auto"/>
        <w:right w:val="none" w:sz="0" w:space="0" w:color="auto"/>
      </w:divBdr>
    </w:div>
    <w:div w:id="2066443643">
      <w:bodyDiv w:val="1"/>
      <w:marLeft w:val="0"/>
      <w:marRight w:val="0"/>
      <w:marTop w:val="0"/>
      <w:marBottom w:val="0"/>
      <w:divBdr>
        <w:top w:val="none" w:sz="0" w:space="0" w:color="auto"/>
        <w:left w:val="none" w:sz="0" w:space="0" w:color="auto"/>
        <w:bottom w:val="none" w:sz="0" w:space="0" w:color="auto"/>
        <w:right w:val="none" w:sz="0" w:space="0" w:color="auto"/>
      </w:divBdr>
    </w:div>
    <w:div w:id="2090230483">
      <w:bodyDiv w:val="1"/>
      <w:marLeft w:val="0"/>
      <w:marRight w:val="0"/>
      <w:marTop w:val="0"/>
      <w:marBottom w:val="0"/>
      <w:divBdr>
        <w:top w:val="none" w:sz="0" w:space="0" w:color="auto"/>
        <w:left w:val="none" w:sz="0" w:space="0" w:color="auto"/>
        <w:bottom w:val="none" w:sz="0" w:space="0" w:color="auto"/>
        <w:right w:val="none" w:sz="0" w:space="0" w:color="auto"/>
      </w:divBdr>
    </w:div>
    <w:div w:id="2115595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dnoticias.mx/parquimetros-virtuales-toluca/" TargetMode="External"/><Relationship Id="rId18" Type="http://schemas.openxmlformats.org/officeDocument/2006/relationships/image" Target="media/image8.png"/><Relationship Id="rId26" Type="http://schemas.openxmlformats.org/officeDocument/2006/relationships/oleObject" Target="embeddings/oleObject3.bin"/><Relationship Id="rId39" Type="http://schemas.openxmlformats.org/officeDocument/2006/relationships/header" Target="header1.xml"/><Relationship Id="rId21" Type="http://schemas.openxmlformats.org/officeDocument/2006/relationships/image" Target="media/image11.png"/><Relationship Id="rId34" Type="http://schemas.openxmlformats.org/officeDocument/2006/relationships/image" Target="media/image17.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infoem.org.mx/es/contenido/transparencia/directorio-de-sujetos-obligados" TargetMode="External"/><Relationship Id="rId20" Type="http://schemas.openxmlformats.org/officeDocument/2006/relationships/image" Target="media/image10.png"/><Relationship Id="rId29" Type="http://schemas.openxmlformats.org/officeDocument/2006/relationships/oleObject" Target="embeddings/oleObject5.bin"/><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2.bin"/><Relationship Id="rId32" Type="http://schemas.openxmlformats.org/officeDocument/2006/relationships/image" Target="media/image16.png"/><Relationship Id="rId37" Type="http://schemas.openxmlformats.org/officeDocument/2006/relationships/oleObject" Target="embeddings/oleObject9.bin"/><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oleObject" Target="embeddings/oleObject6.bin"/><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oleObject" Target="embeddings/oleObject1.bin"/><Relationship Id="rId27" Type="http://schemas.openxmlformats.org/officeDocument/2006/relationships/oleObject" Target="embeddings/oleObject4.bin"/><Relationship Id="rId30" Type="http://schemas.openxmlformats.org/officeDocument/2006/relationships/image" Target="media/image15.png"/><Relationship Id="rId35" Type="http://schemas.openxmlformats.org/officeDocument/2006/relationships/oleObject" Target="embeddings/oleObject8.bin"/><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excelsior.com.mx/comunidad/colocan-parquimetros-en-toluca-sin-previo-aviso/1550916"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oleObject" Target="embeddings/oleObject7.bin"/><Relationship Id="rId38" Type="http://schemas.openxmlformats.org/officeDocument/2006/relationships/hyperlink" Target="javascript:void(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gob.mx/sfp/acciones-y-programas/1-3-1-licitacion-publica" TargetMode="External"/><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 Id="rId5" Type="http://schemas.openxmlformats.org/officeDocument/2006/relationships/hyperlink" Target="https://sjf.scjn.gob.mx/sjfsist/Paginas/DetalleGeneralV2.aspx?ID=1000830&amp;Clase=DetalleTesisBL&amp;Semanario=0" TargetMode="External"/><Relationship Id="rId4" Type="http://schemas.openxmlformats.org/officeDocument/2006/relationships/hyperlink" Target="https://www.gob.mx/sfp/acciones-y-programas/1-3-3-adjudicacion-direct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1E9585-8C4B-4C55-B4D4-2E0585A91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4232</TotalTime>
  <Pages>67</Pages>
  <Words>12232</Words>
  <Characters>67279</Characters>
  <Application>Microsoft Office Word</Application>
  <DocSecurity>0</DocSecurity>
  <Lines>560</Lines>
  <Paragraphs>158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79353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73</cp:revision>
  <cp:lastPrinted>2018-12-04T20:35:00Z</cp:lastPrinted>
  <dcterms:created xsi:type="dcterms:W3CDTF">2022-08-23T15:35:00Z</dcterms:created>
  <dcterms:modified xsi:type="dcterms:W3CDTF">2023-03-29T20:35:00Z</dcterms:modified>
</cp:coreProperties>
</file>