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6087F" w14:textId="77777777" w:rsidR="005A38D1" w:rsidRDefault="000C448D">
      <w:pPr>
        <w:spacing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veintitrés de agosto de dos mil veintitrés.</w:t>
      </w:r>
    </w:p>
    <w:p w14:paraId="4910D896" w14:textId="77777777" w:rsidR="005A38D1" w:rsidRDefault="005A38D1">
      <w:pPr>
        <w:spacing w:line="360" w:lineRule="auto"/>
        <w:jc w:val="both"/>
        <w:rPr>
          <w:rFonts w:ascii="Palatino Linotype" w:eastAsia="Palatino Linotype" w:hAnsi="Palatino Linotype" w:cs="Palatino Linotype"/>
        </w:rPr>
      </w:pPr>
    </w:p>
    <w:p w14:paraId="2651D447" w14:textId="22589675"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04244/INFOEM/IP/RR/2023</w:t>
      </w:r>
      <w:r>
        <w:rPr>
          <w:rFonts w:ascii="Palatino Linotype" w:eastAsia="Palatino Linotype" w:hAnsi="Palatino Linotype" w:cs="Palatino Linotype"/>
        </w:rPr>
        <w:t xml:space="preserve">, interpuesto por una persona </w:t>
      </w:r>
      <w:r w:rsidRPr="00E2096C">
        <w:rPr>
          <w:rFonts w:ascii="Palatino Linotype" w:eastAsia="Palatino Linotype" w:hAnsi="Palatino Linotype" w:cs="Palatino Linotype"/>
        </w:rPr>
        <w:t xml:space="preserve">que dijo ser </w:t>
      </w:r>
      <w:r w:rsidR="004F2C06">
        <w:rPr>
          <w:rFonts w:ascii="Palatino Linotype" w:eastAsia="Palatino Linotype" w:hAnsi="Palatino Linotype" w:cs="Palatino Linotype"/>
          <w:b/>
        </w:rPr>
        <w:t>XXXXXX X</w:t>
      </w:r>
      <w:r>
        <w:rPr>
          <w:rFonts w:ascii="Palatino Linotype" w:eastAsia="Palatino Linotype" w:hAnsi="Palatino Linotype" w:cs="Palatino Linotype"/>
          <w:b/>
        </w:rPr>
        <w:t>,</w:t>
      </w:r>
      <w:r>
        <w:rPr>
          <w:rFonts w:ascii="Palatino Linotype" w:eastAsia="Palatino Linotype" w:hAnsi="Palatino Linotype" w:cs="Palatino Linotype"/>
        </w:rPr>
        <w:t xml:space="preserve"> a quien en lo sucesivo se le denominará como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en contra de la falta de respuesta a la solicitud de acceso a la información con número de folio</w:t>
      </w:r>
      <w:r>
        <w:rPr>
          <w:rFonts w:ascii="Verdana" w:eastAsia="Verdana" w:hAnsi="Verdana" w:cs="Verdana"/>
          <w:b/>
          <w:color w:val="FF0000"/>
        </w:rPr>
        <w:t> </w:t>
      </w:r>
      <w:r>
        <w:rPr>
          <w:rFonts w:ascii="Palatino Linotype" w:eastAsia="Palatino Linotype" w:hAnsi="Palatino Linotype" w:cs="Palatino Linotype"/>
          <w:b/>
        </w:rPr>
        <w:t>00028/DIFTECAMAC/IP/2022,</w:t>
      </w:r>
      <w:r>
        <w:rPr>
          <w:rFonts w:ascii="Palatino Linotype" w:eastAsia="Palatino Linotype" w:hAnsi="Palatino Linotype" w:cs="Palatino Linotype"/>
        </w:rPr>
        <w:t xml:space="preserve"> por parte del</w:t>
      </w:r>
      <w:r>
        <w:rPr>
          <w:rFonts w:ascii="Palatino Linotype" w:eastAsia="Palatino Linotype" w:hAnsi="Palatino Linotype" w:cs="Palatino Linotype"/>
          <w:b/>
        </w:rPr>
        <w:t xml:space="preserve"> Sistema Municipal para el Desarrollo Integral de la Familia de Tecámac,</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los siguientes:</w:t>
      </w:r>
    </w:p>
    <w:p w14:paraId="2C495CD8" w14:textId="77777777" w:rsidR="005A38D1" w:rsidRDefault="005A38D1">
      <w:pPr>
        <w:spacing w:line="360" w:lineRule="auto"/>
        <w:jc w:val="both"/>
        <w:rPr>
          <w:rFonts w:ascii="Palatino Linotype" w:eastAsia="Palatino Linotype" w:hAnsi="Palatino Linotype" w:cs="Palatino Linotype"/>
        </w:rPr>
      </w:pPr>
    </w:p>
    <w:p w14:paraId="157B9506" w14:textId="77777777" w:rsidR="005A38D1" w:rsidRDefault="000C448D">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4110D6C1" w14:textId="77777777" w:rsidR="005A38D1" w:rsidRDefault="005A38D1">
      <w:pPr>
        <w:pBdr>
          <w:top w:val="nil"/>
          <w:left w:val="nil"/>
          <w:bottom w:val="nil"/>
          <w:right w:val="nil"/>
          <w:between w:val="nil"/>
        </w:pBdr>
        <w:spacing w:line="360" w:lineRule="auto"/>
        <w:ind w:left="1077"/>
        <w:rPr>
          <w:rFonts w:ascii="Palatino Linotype" w:eastAsia="Palatino Linotype" w:hAnsi="Palatino Linotype" w:cs="Palatino Linotype"/>
          <w:b/>
          <w:color w:val="000000"/>
        </w:rPr>
      </w:pPr>
    </w:p>
    <w:p w14:paraId="3E0B8035"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siete de diciembre de dos mil veintidós, LA PARTE RECURRENTE </w:t>
      </w:r>
      <w:r>
        <w:rPr>
          <w:rFonts w:ascii="Palatino Linotype" w:eastAsia="Palatino Linotype" w:hAnsi="Palatino Linotype" w:cs="Palatino Linotype"/>
        </w:rPr>
        <w:t xml:space="preserve">formuló la solicitud de acceso a información pública </w:t>
      </w:r>
      <w:r>
        <w:rPr>
          <w:rFonts w:ascii="Palatino Linotype" w:eastAsia="Palatino Linotype" w:hAnsi="Palatino Linotype" w:cs="Palatino Linotype"/>
          <w:b/>
        </w:rPr>
        <w:t xml:space="preserve">00028/DIFTECAMAC/2022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requiriéndole lo siguiente:</w:t>
      </w:r>
    </w:p>
    <w:p w14:paraId="5A423FC7"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3A959CEB"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“SOLICITO AL SISTEMA MUNICPAL DIF TECAMAC, EL ESTADO ANALITICO DEL PRESUPUESTO EJERCIDO (EGRESOS) DEL AÑO 2019 QUE TOTAL GASTO EJERCIDO POR CONEPTOS POR </w:t>
      </w:r>
      <w:proofErr w:type="gramStart"/>
      <w:r>
        <w:rPr>
          <w:rFonts w:ascii="Palatino Linotype" w:eastAsia="Palatino Linotype" w:hAnsi="Palatino Linotype" w:cs="Palatino Linotype"/>
          <w:i/>
          <w:color w:val="000000"/>
          <w:sz w:val="22"/>
          <w:szCs w:val="22"/>
        </w:rPr>
        <w:t>PROGRAMAS..</w:t>
      </w:r>
      <w:proofErr w:type="gramEnd"/>
      <w:r>
        <w:rPr>
          <w:rFonts w:ascii="Palatino Linotype" w:eastAsia="Palatino Linotype" w:hAnsi="Palatino Linotype" w:cs="Palatino Linotype"/>
          <w:i/>
          <w:color w:val="000000"/>
          <w:sz w:val="22"/>
          <w:szCs w:val="22"/>
        </w:rPr>
        <w:t xml:space="preserve"> -SOLICITO EL ACTA DE LA JUNTA DE GOBIERNO POR CONCEPTO DE LA MODIFICACION AL PRESUPUESTO. - SOLICITO LAS REGLAS DE OPERACION DE LOS PROGRAMAS QUE IMPLEMENTARON POR LA ENTREGA DE TARJETAS EN EFECTIVO Y LA ENTREGA DE </w:t>
      </w:r>
      <w:r>
        <w:rPr>
          <w:rFonts w:ascii="Palatino Linotype" w:eastAsia="Palatino Linotype" w:hAnsi="Palatino Linotype" w:cs="Palatino Linotype"/>
          <w:i/>
          <w:color w:val="000000"/>
          <w:sz w:val="22"/>
          <w:szCs w:val="22"/>
        </w:rPr>
        <w:lastRenderedPageBreak/>
        <w:t>DESPENSAS Y DEMAS PROGRAMAS, COMO ENTREGA DE MATERIAL DE CONSTRUCCION,- SOLICITO LA SOLICITUD DE MODIFICACION AL PRESUPUESTO SOLICITADO POR LA TESORERIA A LAIIPE Y A LAS DEMAS AREAS RESPONSABLES DE LOS PROGRAMAS. -” (Sic)</w:t>
      </w:r>
    </w:p>
    <w:p w14:paraId="18B1C53B"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76E82473"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42CB3C93" w14:textId="77777777" w:rsidR="005A38D1" w:rsidRDefault="005A38D1">
      <w:pPr>
        <w:spacing w:line="360" w:lineRule="auto"/>
        <w:jc w:val="both"/>
        <w:rPr>
          <w:rFonts w:ascii="Palatino Linotype" w:eastAsia="Palatino Linotype" w:hAnsi="Palatino Linotype" w:cs="Palatino Linotype"/>
        </w:rPr>
      </w:pPr>
    </w:p>
    <w:p w14:paraId="09DFA35B" w14:textId="77777777" w:rsidR="005A38D1" w:rsidRDefault="000C448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w:t>
      </w:r>
      <w:r>
        <w:rPr>
          <w:rFonts w:ascii="Palatino Linotype" w:eastAsia="Palatino Linotype" w:hAnsi="Palatino Linotype" w:cs="Palatino Linotype"/>
          <w:b/>
        </w:rPr>
        <w:t>LA PARTE  RECURRENTE.</w:t>
      </w:r>
    </w:p>
    <w:p w14:paraId="638A8644" w14:textId="77777777" w:rsidR="005A38D1" w:rsidRDefault="005A38D1">
      <w:pPr>
        <w:spacing w:line="360" w:lineRule="auto"/>
        <w:jc w:val="both"/>
        <w:rPr>
          <w:rFonts w:ascii="Palatino Linotype" w:eastAsia="Palatino Linotype" w:hAnsi="Palatino Linotype" w:cs="Palatino Linotype"/>
          <w:b/>
        </w:rPr>
      </w:pPr>
    </w:p>
    <w:p w14:paraId="544DBEFC"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SAIMEX el veinticinco de julio del año dos mil veintitrés, sin embargo, este se tuvo por recibido ante el Infoem el </w:t>
      </w:r>
      <w:r>
        <w:rPr>
          <w:rFonts w:ascii="Palatino Linotype" w:eastAsia="Palatino Linotype" w:hAnsi="Palatino Linotype" w:cs="Palatino Linotype"/>
          <w:b/>
        </w:rPr>
        <w:t>treinta y uno de julio de dos mil veintitrés</w:t>
      </w:r>
      <w:r>
        <w:rPr>
          <w:rFonts w:ascii="Palatino Linotype" w:eastAsia="Palatino Linotype" w:hAnsi="Palatino Linotype" w:cs="Palatino Linotype"/>
        </w:rPr>
        <w:t xml:space="preserve"> en razón del Calendario Oficial en materia de Transparencia, Acceso a la Información y Protección de Datos Personales aprobado por el Pleno del Instituto para el año dos mil veintitrés, expresando lo siguiente:</w:t>
      </w:r>
    </w:p>
    <w:p w14:paraId="45A4B30C" w14:textId="77777777" w:rsidR="005A38D1" w:rsidRDefault="005A38D1">
      <w:pPr>
        <w:spacing w:line="360" w:lineRule="auto"/>
        <w:jc w:val="both"/>
        <w:rPr>
          <w:rFonts w:ascii="Palatino Linotype" w:eastAsia="Palatino Linotype" w:hAnsi="Palatino Linotype" w:cs="Palatino Linotype"/>
        </w:rPr>
      </w:pPr>
    </w:p>
    <w:p w14:paraId="5A75A39B" w14:textId="77777777" w:rsidR="005A38D1" w:rsidRDefault="000C448D">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6E125FC0"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51F03EE9"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“solicite esta información y no contestaron SOLICITO AL SISTEMA MUNICPAL DIF TECAMAC, EL ESTADO ANALITICO DEL PRESUPUESTO EJERCIDO (EGRESOS) DEL AÑO 2019 QUE TOTAL GASTO EJERCIDO POR CONEPTOS POR </w:t>
      </w:r>
      <w:proofErr w:type="gramStart"/>
      <w:r>
        <w:rPr>
          <w:rFonts w:ascii="Palatino Linotype" w:eastAsia="Palatino Linotype" w:hAnsi="Palatino Linotype" w:cs="Palatino Linotype"/>
          <w:i/>
          <w:color w:val="000000"/>
          <w:sz w:val="22"/>
          <w:szCs w:val="22"/>
        </w:rPr>
        <w:t>PROGRAMAS..</w:t>
      </w:r>
      <w:proofErr w:type="gramEnd"/>
      <w:r>
        <w:rPr>
          <w:rFonts w:ascii="Palatino Linotype" w:eastAsia="Palatino Linotype" w:hAnsi="Palatino Linotype" w:cs="Palatino Linotype"/>
          <w:i/>
          <w:color w:val="000000"/>
          <w:sz w:val="22"/>
          <w:szCs w:val="22"/>
        </w:rPr>
        <w:t xml:space="preserve"> -SOLICITO EL ACTA DE LA JUNTA DE GOBIERNO POR CONCEPTO DE LA MODIFICACION AL PRESUPUESTO. - SOLICITO LAS REGLAS DE </w:t>
      </w:r>
      <w:r>
        <w:rPr>
          <w:rFonts w:ascii="Palatino Linotype" w:eastAsia="Palatino Linotype" w:hAnsi="Palatino Linotype" w:cs="Palatino Linotype"/>
          <w:i/>
          <w:color w:val="000000"/>
          <w:sz w:val="22"/>
          <w:szCs w:val="22"/>
        </w:rPr>
        <w:lastRenderedPageBreak/>
        <w:t>OPERACION DE LOS PROGRAMAS QUE IMPLEMENTARON POR LA ENTREGA DE TARJETAS EN EFECTIVO Y LA ENTREGA DE DESPENSAS Y DEMAS PROGRAMAS, COMO ENTREGA DE MATERIAL DE CONSTRUCCION,- SOLICITO LA SOLICITUD DE MODIFICACION AL PRESUPUESTO SOLICITADO POR LA TESORERIA A LA UIIPE Y A LAS DEMAS AREAS RESPONSABLES DE LOS PROGRAMAS.” (Sic)</w:t>
      </w:r>
    </w:p>
    <w:p w14:paraId="08AA5BB9"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0A8D6AFA" w14:textId="77777777" w:rsidR="005A38D1" w:rsidRDefault="000C448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6E4DB715"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36759EA9"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“NO ENTREGARON LA INFORMACION” (Sic)</w:t>
      </w:r>
    </w:p>
    <w:p w14:paraId="595480F3"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19E3D607"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w:t>
      </w:r>
      <w:r>
        <w:rPr>
          <w:rFonts w:ascii="Palatino Linotype" w:eastAsia="Palatino Linotype" w:hAnsi="Palatino Linotype" w:cs="Palatino Linotype"/>
          <w:highlight w:val="white"/>
        </w:rPr>
        <w:t>de la Ley Transparencia y Acceso a la Información Pública</w:t>
      </w:r>
      <w:r>
        <w:rPr>
          <w:rFonts w:ascii="Palatino Linotype" w:eastAsia="Palatino Linotype" w:hAnsi="Palatino Linotype" w:cs="Palatino Linotype"/>
        </w:rPr>
        <w:t xml:space="preserve">, el recurso de revisión fue turnado a la </w:t>
      </w:r>
      <w:r>
        <w:rPr>
          <w:rFonts w:ascii="Palatino Linotype" w:eastAsia="Palatino Linotype" w:hAnsi="Palatino Linotype" w:cs="Palatino Linotype"/>
          <w:b/>
        </w:rPr>
        <w:t>Comisionada Ponente Guadalupe Ramírez Peña,</w:t>
      </w:r>
      <w:r>
        <w:rPr>
          <w:rFonts w:ascii="Palatino Linotype" w:eastAsia="Palatino Linotype" w:hAnsi="Palatino Linotype" w:cs="Palatino Linotype"/>
        </w:rPr>
        <w:t xml:space="preserve"> a efecto de presentar al Pleno el proyecto de resolución correspondiente.</w:t>
      </w:r>
    </w:p>
    <w:p w14:paraId="549685A9" w14:textId="77777777" w:rsidR="005A38D1" w:rsidRDefault="005A38D1">
      <w:pPr>
        <w:spacing w:line="360" w:lineRule="auto"/>
        <w:jc w:val="both"/>
        <w:rPr>
          <w:rFonts w:ascii="Palatino Linotype" w:eastAsia="Palatino Linotype" w:hAnsi="Palatino Linotype" w:cs="Palatino Linotype"/>
        </w:rPr>
      </w:pPr>
    </w:p>
    <w:p w14:paraId="2D928A4C"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El día </w:t>
      </w:r>
      <w:r>
        <w:rPr>
          <w:rFonts w:ascii="Palatino Linotype" w:eastAsia="Palatino Linotype" w:hAnsi="Palatino Linotype" w:cs="Palatino Linotype"/>
          <w:b/>
        </w:rPr>
        <w:t>tres de agosto del año dos mil veintitrés,</w:t>
      </w:r>
      <w:r>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14:paraId="69D060A5" w14:textId="77777777" w:rsidR="005A38D1" w:rsidRDefault="005A38D1">
      <w:pPr>
        <w:spacing w:line="360" w:lineRule="auto"/>
        <w:jc w:val="both"/>
        <w:rPr>
          <w:rFonts w:ascii="Palatino Linotype" w:eastAsia="Palatino Linotype" w:hAnsi="Palatino Linotype" w:cs="Palatino Linotype"/>
        </w:rPr>
      </w:pPr>
    </w:p>
    <w:p w14:paraId="7A188E60"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rindió su Informe Justificado, del mismo modo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omitió realizar manifestaciones, como se observa a continuación:</w:t>
      </w:r>
    </w:p>
    <w:p w14:paraId="1B1B036C" w14:textId="77777777" w:rsidR="005A38D1" w:rsidRDefault="005A38D1">
      <w:pPr>
        <w:spacing w:line="360" w:lineRule="auto"/>
        <w:jc w:val="both"/>
        <w:rPr>
          <w:rFonts w:ascii="Palatino Linotype" w:eastAsia="Palatino Linotype" w:hAnsi="Palatino Linotype" w:cs="Palatino Linotype"/>
        </w:rPr>
      </w:pPr>
    </w:p>
    <w:p w14:paraId="765EF42A" w14:textId="77777777" w:rsidR="005A38D1" w:rsidRDefault="000C448D">
      <w:pPr>
        <w:spacing w:line="360" w:lineRule="auto"/>
        <w:jc w:val="center"/>
        <w:rPr>
          <w:rFonts w:ascii="Palatino Linotype" w:eastAsia="Palatino Linotype" w:hAnsi="Palatino Linotype" w:cs="Palatino Linotype"/>
        </w:rPr>
      </w:pPr>
      <w:r>
        <w:rPr>
          <w:noProof/>
        </w:rPr>
        <w:lastRenderedPageBreak/>
        <w:drawing>
          <wp:inline distT="0" distB="0" distL="0" distR="0" wp14:anchorId="006E7460" wp14:editId="28733F4C">
            <wp:extent cx="3743325" cy="904875"/>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6292" t="39227" r="17006" b="32106"/>
                    <a:stretch>
                      <a:fillRect/>
                    </a:stretch>
                  </pic:blipFill>
                  <pic:spPr>
                    <a:xfrm>
                      <a:off x="0" y="0"/>
                      <a:ext cx="3743325" cy="904875"/>
                    </a:xfrm>
                    <a:prstGeom prst="rect">
                      <a:avLst/>
                    </a:prstGeom>
                    <a:ln/>
                  </pic:spPr>
                </pic:pic>
              </a:graphicData>
            </a:graphic>
          </wp:inline>
        </w:drawing>
      </w:r>
    </w:p>
    <w:p w14:paraId="33C9D65C" w14:textId="77777777" w:rsidR="005A38D1" w:rsidRDefault="005A38D1">
      <w:pPr>
        <w:spacing w:line="360" w:lineRule="auto"/>
        <w:jc w:val="both"/>
        <w:rPr>
          <w:rFonts w:ascii="Palatino Linotype" w:eastAsia="Palatino Linotype" w:hAnsi="Palatino Linotype" w:cs="Palatino Linotype"/>
          <w:color w:val="FF0000"/>
        </w:rPr>
      </w:pPr>
    </w:p>
    <w:p w14:paraId="61315EDD"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diecisiete de agosto del año dos mil veintitrés,</w:t>
      </w:r>
      <w:r>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14:paraId="3E111D27" w14:textId="77777777" w:rsidR="005A38D1" w:rsidRDefault="005A38D1">
      <w:pPr>
        <w:widowControl w:val="0"/>
        <w:spacing w:line="360" w:lineRule="auto"/>
        <w:rPr>
          <w:rFonts w:ascii="Palatino Linotype" w:eastAsia="Palatino Linotype" w:hAnsi="Palatino Linotype" w:cs="Palatino Linotype"/>
          <w:b/>
        </w:rPr>
      </w:pPr>
    </w:p>
    <w:p w14:paraId="319824FB" w14:textId="77777777" w:rsidR="005A38D1" w:rsidRDefault="000C448D">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14:paraId="34CF736C" w14:textId="77777777" w:rsidR="005A38D1" w:rsidRDefault="005A38D1">
      <w:pPr>
        <w:widowControl w:val="0"/>
        <w:spacing w:line="360" w:lineRule="auto"/>
        <w:jc w:val="center"/>
        <w:rPr>
          <w:rFonts w:ascii="Palatino Linotype" w:eastAsia="Palatino Linotype" w:hAnsi="Palatino Linotype" w:cs="Palatino Linotype"/>
          <w:b/>
        </w:rPr>
      </w:pPr>
    </w:p>
    <w:p w14:paraId="158BBF98" w14:textId="77777777" w:rsidR="005A38D1" w:rsidRDefault="000C448D">
      <w:pPr>
        <w:spacing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E2096C">
        <w:rPr>
          <w:rFonts w:ascii="Palatino Linotype" w:eastAsia="Palatino Linotype" w:hAnsi="Palatino Linotype" w:cs="Palatino Linotype"/>
        </w:rPr>
        <w:t>trigésimo</w:t>
      </w:r>
      <w:r w:rsidR="00E2096C" w:rsidRPr="00E2096C">
        <w:rPr>
          <w:rFonts w:ascii="Palatino Linotype" w:eastAsia="Palatino Linotype" w:hAnsi="Palatino Linotype" w:cs="Palatino Linotype"/>
        </w:rPr>
        <w:t xml:space="preserve"> segundo</w:t>
      </w:r>
      <w:r w:rsidRPr="00E2096C">
        <w:rPr>
          <w:rFonts w:ascii="Palatino Linotype" w:eastAsia="Palatino Linotype" w:hAnsi="Palatino Linotype" w:cs="Palatino Linotype"/>
        </w:rPr>
        <w:t>, tr</w:t>
      </w:r>
      <w:r w:rsidR="00E2096C" w:rsidRPr="00E2096C">
        <w:rPr>
          <w:rFonts w:ascii="Palatino Linotype" w:eastAsia="Palatino Linotype" w:hAnsi="Palatino Linotype" w:cs="Palatino Linotype"/>
        </w:rPr>
        <w:t>igésimo tercero y trigésimo cuarto</w:t>
      </w:r>
      <w:r w:rsidRPr="00E2096C">
        <w:rPr>
          <w:rFonts w:ascii="Palatino Linotype" w:eastAsia="Palatino Linotype" w:hAnsi="Palatino Linotype" w:cs="Palatino Linotype"/>
          <w:strike/>
        </w:rPr>
        <w:t xml:space="preserve"> </w:t>
      </w:r>
      <w:r>
        <w:rPr>
          <w:rFonts w:ascii="Palatino Linotype" w:eastAsia="Palatino Linotype" w:hAnsi="Palatino Linotype" w:cs="Palatino Linotype"/>
        </w:rPr>
        <w:t xml:space="preserve">fracciones IV y V de la Constitución Política del Estado Libre y Soberano de México; 2, fracción II; 29, 36 fracciones I y II; 176, 178, 181, 185, fracción I, 186 y 188 de la Ley Transparencia y Acceso a la Información Pública del </w:t>
      </w:r>
      <w:r>
        <w:rPr>
          <w:rFonts w:ascii="Palatino Linotype" w:eastAsia="Palatino Linotype" w:hAnsi="Palatino Linotype" w:cs="Palatino Linotype"/>
        </w:rPr>
        <w:lastRenderedPageBreak/>
        <w:t>Estado de México y Municipios; 9, fracciones I y XXIII y 11 del Reglamento Interior del Instituto de Transparencia, Acceso a la Información Pública y Protección de Datos Personales del Estado de México y Municipios.</w:t>
      </w:r>
    </w:p>
    <w:p w14:paraId="2D41D707" w14:textId="77777777" w:rsidR="005A38D1" w:rsidRDefault="005A38D1">
      <w:pPr>
        <w:spacing w:line="360" w:lineRule="auto"/>
        <w:jc w:val="both"/>
        <w:rPr>
          <w:rFonts w:ascii="Palatino Linotype" w:eastAsia="Palatino Linotype" w:hAnsi="Palatino Linotype" w:cs="Palatino Linotype"/>
        </w:rPr>
      </w:pPr>
    </w:p>
    <w:p w14:paraId="51E2F2D8" w14:textId="77777777" w:rsidR="005A38D1" w:rsidRDefault="000C448D">
      <w:pPr>
        <w:spacing w:line="360" w:lineRule="auto"/>
        <w:ind w:left="-284"/>
        <w:jc w:val="both"/>
        <w:rPr>
          <w:rFonts w:ascii="Palatino Linotype" w:eastAsia="Palatino Linotype" w:hAnsi="Palatino Linotype" w:cs="Palatino Linotype"/>
        </w:rPr>
      </w:pPr>
      <w:bookmarkStart w:id="1" w:name="_heading=h.q9a5pqst6so" w:colFirst="0" w:colLast="0"/>
      <w:bookmarkEnd w:id="1"/>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0A8B375E"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19D7BE08"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163. </w:t>
      </w:r>
      <w:r>
        <w:rPr>
          <w:rFonts w:ascii="Palatino Linotype" w:eastAsia="Palatino Linotype" w:hAnsi="Palatino Linotype" w:cs="Palatino Linotype"/>
          <w:i/>
          <w:color w:val="404040"/>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4A20B2E"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5793A81F"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Artículo 166.</w:t>
      </w:r>
    </w:p>
    <w:p w14:paraId="56A580E1"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14:paraId="264E2CDA"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Cuando el sujeto obligado no entregue la respuesta a la solicitud dentro del plazo previsto en la Ley, la solicitud se entenderá negada y el solicitante podrá interponer el recurso de revisión previsto en este ordenamiento.</w:t>
      </w:r>
    </w:p>
    <w:p w14:paraId="201B7D5D"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14:paraId="59A52E47"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30ED3D4D" w14:textId="77777777" w:rsidR="005A38D1" w:rsidRDefault="000C448D">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18556ED8" w14:textId="77777777" w:rsidR="005A38D1" w:rsidRDefault="005A38D1">
      <w:pPr>
        <w:spacing w:line="360" w:lineRule="auto"/>
        <w:ind w:left="-426"/>
        <w:jc w:val="both"/>
        <w:rPr>
          <w:rFonts w:ascii="Palatino Linotype" w:eastAsia="Palatino Linotype" w:hAnsi="Palatino Linotype" w:cs="Palatino Linotype"/>
        </w:rPr>
      </w:pPr>
    </w:p>
    <w:p w14:paraId="208A0CF8" w14:textId="77777777" w:rsidR="005A38D1" w:rsidRDefault="000C448D">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lastRenderedPageBreak/>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B2037EB" w14:textId="77777777" w:rsidR="005A38D1" w:rsidRDefault="005A38D1">
      <w:pPr>
        <w:spacing w:line="360" w:lineRule="auto"/>
        <w:ind w:left="-426"/>
        <w:jc w:val="both"/>
        <w:rPr>
          <w:rFonts w:ascii="Palatino Linotype" w:eastAsia="Palatino Linotype" w:hAnsi="Palatino Linotype" w:cs="Palatino Linotype"/>
        </w:rPr>
      </w:pPr>
    </w:p>
    <w:p w14:paraId="4E0E2A8E" w14:textId="77777777" w:rsidR="005A38D1" w:rsidRDefault="000C448D">
      <w:pPr>
        <w:spacing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Por su parte, el artículo 178 del citado ordenamiento, establece:</w:t>
      </w:r>
    </w:p>
    <w:p w14:paraId="108370EA"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1D8F86FE"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 xml:space="preserve">Artículo 178. </w:t>
      </w:r>
      <w:r>
        <w:rPr>
          <w:rFonts w:ascii="Palatino Linotype" w:eastAsia="Palatino Linotype" w:hAnsi="Palatino Linotype" w:cs="Palatino Linotype"/>
          <w:i/>
          <w:color w:val="40404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color w:val="404040"/>
          <w:sz w:val="22"/>
          <w:szCs w:val="22"/>
        </w:rPr>
        <w:t>.</w:t>
      </w:r>
    </w:p>
    <w:p w14:paraId="263A8AC7"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i/>
          <w:color w:val="40404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acompañado con el documento que pruebe la fecha en que presentó la solicitud</w:t>
      </w:r>
      <w:r>
        <w:rPr>
          <w:rFonts w:ascii="Palatino Linotype" w:eastAsia="Palatino Linotype" w:hAnsi="Palatino Linotype" w:cs="Palatino Linotype"/>
          <w:b/>
          <w:i/>
          <w:color w:val="404040"/>
          <w:sz w:val="22"/>
          <w:szCs w:val="22"/>
        </w:rPr>
        <w:t>.</w:t>
      </w:r>
    </w:p>
    <w:p w14:paraId="2EEAB93A"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i/>
          <w:color w:val="404040"/>
          <w:sz w:val="22"/>
          <w:szCs w:val="22"/>
        </w:rPr>
        <w:t>(</w:t>
      </w:r>
      <w:r>
        <w:rPr>
          <w:rFonts w:ascii="Palatino Linotype" w:eastAsia="Palatino Linotype" w:hAnsi="Palatino Linotype" w:cs="Palatino Linotype"/>
          <w:b/>
          <w:i/>
          <w:color w:val="404040"/>
          <w:sz w:val="22"/>
          <w:szCs w:val="22"/>
        </w:rPr>
        <w:t>…)</w:t>
      </w:r>
    </w:p>
    <w:p w14:paraId="7DD0C41A"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4D001813"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Pr>
          <w:rFonts w:ascii="Palatino Linotype" w:eastAsia="Palatino Linotype" w:hAnsi="Palatino Linotype" w:cs="Palatino Linotype"/>
          <w:b/>
          <w:u w:val="single"/>
        </w:rPr>
        <w:t>la interposición del recurso de revisión puede ser en cualquier momento.</w:t>
      </w:r>
    </w:p>
    <w:p w14:paraId="17A869D8" w14:textId="77777777" w:rsidR="005A38D1" w:rsidRDefault="005A38D1">
      <w:pPr>
        <w:spacing w:line="360" w:lineRule="auto"/>
        <w:jc w:val="both"/>
        <w:rPr>
          <w:rFonts w:ascii="Palatino Linotype" w:eastAsia="Palatino Linotype" w:hAnsi="Palatino Linotype" w:cs="Palatino Linotype"/>
        </w:rPr>
      </w:pPr>
    </w:p>
    <w:p w14:paraId="32F14E40"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w:t>
      </w:r>
      <w:r>
        <w:rPr>
          <w:rFonts w:ascii="Palatino Linotype" w:eastAsia="Palatino Linotype" w:hAnsi="Palatino Linotype" w:cs="Palatino Linotype"/>
        </w:rPr>
        <w:lastRenderedPageBreak/>
        <w:t>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E53AB5D" w14:textId="77777777" w:rsidR="005A38D1" w:rsidRDefault="005A38D1">
      <w:pPr>
        <w:spacing w:line="360" w:lineRule="auto"/>
        <w:jc w:val="both"/>
        <w:rPr>
          <w:rFonts w:ascii="Palatino Linotype" w:eastAsia="Palatino Linotype" w:hAnsi="Palatino Linotype" w:cs="Palatino Linotype"/>
        </w:rPr>
      </w:pPr>
    </w:p>
    <w:p w14:paraId="1AE1FEE1"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6AFBCD62" w14:textId="77777777" w:rsidR="005A38D1" w:rsidRDefault="005A38D1">
      <w:pPr>
        <w:spacing w:line="360" w:lineRule="auto"/>
        <w:jc w:val="both"/>
        <w:rPr>
          <w:rFonts w:ascii="Palatino Linotype" w:eastAsia="Palatino Linotype" w:hAnsi="Palatino Linotype" w:cs="Palatino Linotype"/>
        </w:rPr>
      </w:pPr>
    </w:p>
    <w:p w14:paraId="59032C06"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w:t>
      </w:r>
      <w:r>
        <w:rPr>
          <w:rFonts w:ascii="Palatino Linotype" w:eastAsia="Palatino Linotype" w:hAnsi="Palatino Linotype" w:cs="Palatino Linotype"/>
        </w:rPr>
        <w:lastRenderedPageBreak/>
        <w:t>publicado en el Periódico Oficial del Estado de México “Gaceta del Gobierno”, el veintitrés de abril de dos mil quince, que establece:</w:t>
      </w:r>
    </w:p>
    <w:p w14:paraId="69BCD318" w14:textId="77777777" w:rsidR="005A38D1" w:rsidRDefault="005A38D1">
      <w:pPr>
        <w:spacing w:line="276" w:lineRule="auto"/>
        <w:jc w:val="both"/>
        <w:rPr>
          <w:rFonts w:ascii="Palatino Linotype" w:eastAsia="Palatino Linotype" w:hAnsi="Palatino Linotype" w:cs="Palatino Linotype"/>
          <w:i/>
        </w:rPr>
      </w:pPr>
    </w:p>
    <w:p w14:paraId="0BFB35A9" w14:textId="77777777" w:rsidR="0001007A" w:rsidRDefault="000C448D" w:rsidP="00E2096C">
      <w:pPr>
        <w:tabs>
          <w:tab w:val="left" w:pos="1276"/>
        </w:tabs>
        <w:spacing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F464420" w14:textId="77777777" w:rsidR="00E2096C" w:rsidRDefault="00E2096C" w:rsidP="00E2096C">
      <w:pPr>
        <w:spacing w:line="276" w:lineRule="auto"/>
        <w:ind w:right="851"/>
        <w:jc w:val="both"/>
        <w:rPr>
          <w:rFonts w:ascii="Palatino Linotype" w:eastAsia="Palatino Linotype" w:hAnsi="Palatino Linotype" w:cs="Palatino Linotype"/>
        </w:rPr>
      </w:pPr>
    </w:p>
    <w:p w14:paraId="05B04E27" w14:textId="77777777" w:rsidR="00E2096C" w:rsidRPr="00E2096C" w:rsidRDefault="00E2096C" w:rsidP="00E2096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2096C">
        <w:rPr>
          <w:rFonts w:ascii="Palatino Linotype" w:eastAsia="Palatino Linotype" w:hAnsi="Palatino Linotype" w:cs="Palatino Linotype"/>
          <w:color w:val="000000"/>
        </w:rPr>
        <w:t>Asimismo, por cuanto hace a la procedibilidad de</w:t>
      </w:r>
      <w:r w:rsidRPr="00E2096C">
        <w:rPr>
          <w:rFonts w:ascii="Palatino Linotype" w:eastAsia="Palatino Linotype" w:hAnsi="Palatino Linotype" w:cs="Palatino Linotype"/>
        </w:rPr>
        <w:t xml:space="preserve">l </w:t>
      </w:r>
      <w:r w:rsidRPr="00E2096C">
        <w:rPr>
          <w:rFonts w:ascii="Palatino Linotype" w:eastAsia="Palatino Linotype" w:hAnsi="Palatino Linotype" w:cs="Palatino Linotype"/>
          <w:color w:val="000000"/>
        </w:rPr>
        <w:t xml:space="preserve"> recurso de </w:t>
      </w:r>
      <w:r w:rsidRPr="00E2096C">
        <w:rPr>
          <w:rFonts w:ascii="Palatino Linotype" w:eastAsia="Palatino Linotype" w:hAnsi="Palatino Linotype" w:cs="Palatino Linotype"/>
        </w:rPr>
        <w:t>revisión</w:t>
      </w:r>
      <w:r w:rsidRPr="00E2096C">
        <w:rPr>
          <w:rFonts w:ascii="Palatino Linotype" w:eastAsia="Palatino Linotype" w:hAnsi="Palatino Linotype" w:cs="Palatino Linotype"/>
          <w:color w:val="000000"/>
        </w:rPr>
        <w:t xml:space="preserve">, es de suma importancia señalar que </w:t>
      </w:r>
      <w:r w:rsidRPr="00E2096C">
        <w:rPr>
          <w:rFonts w:ascii="Palatino Linotype" w:eastAsia="Palatino Linotype" w:hAnsi="Palatino Linotype" w:cs="Palatino Linotype"/>
          <w:b/>
          <w:color w:val="000000"/>
        </w:rPr>
        <w:t>LA PARTE RECURRENTE,</w:t>
      </w:r>
      <w:r w:rsidRPr="00E2096C">
        <w:rPr>
          <w:rFonts w:ascii="Palatino Linotype" w:eastAsia="Palatino Linotype" w:hAnsi="Palatino Linotype" w:cs="Palatino Linotype"/>
          <w:color w:val="000000"/>
        </w:rPr>
        <w:t xml:space="preserve"> </w:t>
      </w:r>
      <w:r w:rsidRPr="00E2096C">
        <w:rPr>
          <w:rFonts w:ascii="Palatino Linotype" w:eastAsia="Palatino Linotype" w:hAnsi="Palatino Linotype" w:cs="Palatino Linotype"/>
          <w:b/>
          <w:color w:val="000000"/>
        </w:rPr>
        <w:t>no señaló nombre o seudónimo para ser identificada,</w:t>
      </w:r>
      <w:r w:rsidRPr="00E2096C">
        <w:rPr>
          <w:rFonts w:ascii="Palatino Linotype" w:eastAsia="Palatino Linotype" w:hAnsi="Palatino Linotype" w:cs="Palatino Linotype"/>
          <w:color w:val="000000"/>
        </w:rPr>
        <w:t xml:space="preserve"> como se advierte en el detalle de seguimiento del SAIMEX, no obstante lo anterior, el no hacerlo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7B2EF6E" w14:textId="77777777" w:rsidR="00E2096C" w:rsidRPr="00E2096C" w:rsidRDefault="00E2096C" w:rsidP="00E2096C">
      <w:pPr>
        <w:pStyle w:val="Cita"/>
        <w:spacing w:before="0" w:after="0"/>
        <w:jc w:val="both"/>
        <w:rPr>
          <w:rFonts w:ascii="Palatino Linotype" w:eastAsia="Palatino Linotype" w:hAnsi="Palatino Linotype"/>
        </w:rPr>
      </w:pPr>
    </w:p>
    <w:p w14:paraId="069830D2" w14:textId="77777777" w:rsidR="00E2096C" w:rsidRPr="00E2096C" w:rsidRDefault="00E2096C" w:rsidP="00E2096C">
      <w:pPr>
        <w:pStyle w:val="Cita"/>
        <w:spacing w:before="0" w:after="0"/>
        <w:jc w:val="both"/>
        <w:rPr>
          <w:rFonts w:ascii="Palatino Linotype" w:eastAsia="Palatino Linotype" w:hAnsi="Palatino Linotype"/>
          <w:sz w:val="22"/>
          <w:szCs w:val="22"/>
        </w:rPr>
      </w:pPr>
      <w:r w:rsidRPr="00E2096C">
        <w:rPr>
          <w:rFonts w:ascii="Palatino Linotype" w:eastAsia="Palatino Linotype" w:hAnsi="Palatino Linotype"/>
          <w:sz w:val="22"/>
          <w:szCs w:val="22"/>
        </w:rPr>
        <w:t>(…)</w:t>
      </w:r>
    </w:p>
    <w:p w14:paraId="1795A44F" w14:textId="77777777" w:rsidR="00E2096C" w:rsidRPr="00E2096C" w:rsidRDefault="00E2096C" w:rsidP="00E2096C">
      <w:pPr>
        <w:pStyle w:val="Cita"/>
        <w:spacing w:before="0" w:after="0"/>
        <w:jc w:val="both"/>
        <w:rPr>
          <w:rFonts w:ascii="Palatino Linotype" w:eastAsia="Palatino Linotype" w:hAnsi="Palatino Linotype"/>
          <w:sz w:val="22"/>
          <w:szCs w:val="22"/>
        </w:rPr>
      </w:pPr>
      <w:r w:rsidRPr="00E2096C">
        <w:rPr>
          <w:rFonts w:ascii="Palatino Linotype" w:eastAsia="Palatino Linotype" w:hAnsi="Palatino Linotype"/>
          <w:b/>
          <w:sz w:val="22"/>
          <w:szCs w:val="22"/>
        </w:rPr>
        <w:lastRenderedPageBreak/>
        <w:t xml:space="preserve">Las solicitudes anónimas, </w:t>
      </w:r>
      <w:r w:rsidRPr="00E2096C">
        <w:rPr>
          <w:rFonts w:ascii="Palatino Linotype" w:eastAsia="Palatino Linotype" w:hAnsi="Palatino Linotype"/>
          <w:sz w:val="22"/>
          <w:szCs w:val="22"/>
        </w:rPr>
        <w:t>con nombre incompleto o seudónimo serán procedentes para su trámite por parte del sujeto obligado ante quien se presente. No podrá requerirse información adicional con motivo del nombre proporcionado por el solicitante.</w:t>
      </w:r>
    </w:p>
    <w:p w14:paraId="62CD3121" w14:textId="77777777" w:rsidR="00E2096C" w:rsidRPr="007A60EC" w:rsidRDefault="00E2096C" w:rsidP="00E2096C">
      <w:pPr>
        <w:pStyle w:val="Cita"/>
        <w:spacing w:before="0" w:after="0"/>
        <w:jc w:val="both"/>
        <w:rPr>
          <w:rFonts w:ascii="Palatino Linotype" w:eastAsia="Palatino Linotype" w:hAnsi="Palatino Linotype"/>
        </w:rPr>
      </w:pPr>
      <w:r w:rsidRPr="00E2096C">
        <w:rPr>
          <w:rFonts w:ascii="Palatino Linotype" w:eastAsia="Palatino Linotype" w:hAnsi="Palatino Linotype"/>
          <w:b/>
          <w:sz w:val="22"/>
          <w:szCs w:val="22"/>
        </w:rPr>
        <w:t>(…)</w:t>
      </w:r>
    </w:p>
    <w:p w14:paraId="74E2B54C" w14:textId="77777777" w:rsidR="00E2096C" w:rsidRPr="00E2096C" w:rsidRDefault="00E2096C" w:rsidP="00E2096C">
      <w:pPr>
        <w:tabs>
          <w:tab w:val="left" w:pos="1276"/>
        </w:tabs>
        <w:spacing w:line="276" w:lineRule="auto"/>
        <w:ind w:right="616"/>
        <w:jc w:val="both"/>
        <w:rPr>
          <w:rFonts w:ascii="Palatino Linotype" w:eastAsia="Palatino Linotype" w:hAnsi="Palatino Linotype" w:cs="Palatino Linotype"/>
          <w:i/>
        </w:rPr>
      </w:pPr>
    </w:p>
    <w:p w14:paraId="38521D8B"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1443DEE" w14:textId="77777777" w:rsidR="005A38D1" w:rsidRDefault="005A38D1">
      <w:pPr>
        <w:spacing w:line="360" w:lineRule="auto"/>
        <w:jc w:val="both"/>
        <w:rPr>
          <w:rFonts w:ascii="Palatino Linotype" w:eastAsia="Palatino Linotype" w:hAnsi="Palatino Linotype" w:cs="Palatino Linotype"/>
          <w:color w:val="000000"/>
        </w:rPr>
      </w:pPr>
    </w:p>
    <w:p w14:paraId="7208A488"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la fracción VII del artículo 179 de la ley de la materia, que a la letra dice:</w:t>
      </w:r>
    </w:p>
    <w:p w14:paraId="509CE3C6"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2DDB1233"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179. </w:t>
      </w:r>
      <w:r>
        <w:rPr>
          <w:rFonts w:ascii="Palatino Linotype" w:eastAsia="Palatino Linotype" w:hAnsi="Palatino Linotype" w:cs="Palatino Linotype"/>
          <w:i/>
          <w:color w:val="404040"/>
          <w:sz w:val="22"/>
          <w:szCs w:val="22"/>
        </w:rPr>
        <w:t>El recurso de revisión es un medio de protección que la Ley otorga a los particulares, para hacer valer su derecho de acceso a la información pública, y procederá en contra de las siguientes causas:</w:t>
      </w:r>
    </w:p>
    <w:p w14:paraId="4855FE40"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14:paraId="2607C148"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VII. </w:t>
      </w:r>
      <w:r>
        <w:rPr>
          <w:rFonts w:ascii="Palatino Linotype" w:eastAsia="Palatino Linotype" w:hAnsi="Palatino Linotype" w:cs="Palatino Linotype"/>
          <w:i/>
          <w:color w:val="404040"/>
          <w:sz w:val="22"/>
          <w:szCs w:val="22"/>
        </w:rPr>
        <w:t>La falta de respuesta a una solicitud de acceso a la información;”</w:t>
      </w:r>
    </w:p>
    <w:p w14:paraId="128EAD71"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w:t>
      </w:r>
    </w:p>
    <w:p w14:paraId="06A08A11"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57DD62A0"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estime negado el acceso a la información por la falta de respuesta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este asunto se actualiza la hipótesis jurídica citada, en atención a que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lastRenderedPageBreak/>
        <w:t>RECURRENTE</w:t>
      </w:r>
      <w:r>
        <w:rPr>
          <w:rFonts w:ascii="Palatino Linotype" w:eastAsia="Palatino Linotype" w:hAnsi="Palatino Linotype" w:cs="Palatino Linotype"/>
        </w:rPr>
        <w:t xml:space="preserve"> combate falta de trámite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y expresa motivos de inconformidad en contra de dicha circunstancia.</w:t>
      </w:r>
    </w:p>
    <w:p w14:paraId="631D73A8" w14:textId="77777777" w:rsidR="005A38D1" w:rsidRDefault="005A38D1">
      <w:pPr>
        <w:spacing w:line="360" w:lineRule="auto"/>
        <w:jc w:val="both"/>
        <w:rPr>
          <w:rFonts w:ascii="Palatino Linotype" w:eastAsia="Palatino Linotype" w:hAnsi="Palatino Linotype" w:cs="Palatino Linotype"/>
        </w:rPr>
      </w:pPr>
    </w:p>
    <w:p w14:paraId="7BEAE492" w14:textId="77777777" w:rsidR="005A38D1" w:rsidRDefault="000C448D">
      <w:pPr>
        <w:tabs>
          <w:tab w:val="left" w:pos="8647"/>
        </w:tabs>
        <w:spacing w:line="360" w:lineRule="auto"/>
        <w:jc w:val="both"/>
        <w:rPr>
          <w:rFonts w:ascii="Palatino Linotype" w:eastAsia="Palatino Linotype" w:hAnsi="Palatino Linotype" w:cs="Palatino Linotype"/>
        </w:rPr>
      </w:pPr>
      <w:bookmarkStart w:id="2" w:name="_heading=h.2et92p0" w:colFirst="0" w:colLast="0"/>
      <w:bookmarkEnd w:id="2"/>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w:t>
      </w:r>
      <w:r w:rsidR="0001007A">
        <w:rPr>
          <w:rFonts w:ascii="Palatino Linotype" w:eastAsia="Palatino Linotype" w:hAnsi="Palatino Linotype" w:cs="Palatino Linotype"/>
        </w:rPr>
        <w:t>Organismo</w:t>
      </w:r>
      <w:r>
        <w:rPr>
          <w:rFonts w:ascii="Palatino Linotype" w:eastAsia="Palatino Linotype" w:hAnsi="Palatino Linotype" w:cs="Palatino Linotype"/>
        </w:rPr>
        <w:t xml:space="preserve"> Garante procede del análisis de los agravios hechos valer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D4FAE7F" w14:textId="77777777" w:rsidR="005A38D1" w:rsidRDefault="005A38D1">
      <w:pPr>
        <w:tabs>
          <w:tab w:val="left" w:pos="8647"/>
        </w:tabs>
        <w:spacing w:line="360" w:lineRule="auto"/>
        <w:jc w:val="both"/>
        <w:rPr>
          <w:rFonts w:ascii="Palatino Linotype" w:eastAsia="Palatino Linotype" w:hAnsi="Palatino Linotype" w:cs="Palatino Linotype"/>
          <w:b/>
        </w:rPr>
      </w:pPr>
    </w:p>
    <w:p w14:paraId="74E628E8"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dio respuesta a la solicitud de información planteada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emitió respuesta a la solicitud de información, dentro del plazo legal previsto para ello.</w:t>
      </w:r>
    </w:p>
    <w:p w14:paraId="3CBC4657" w14:textId="77777777" w:rsidR="005A38D1" w:rsidRDefault="005A38D1">
      <w:pPr>
        <w:spacing w:line="360" w:lineRule="auto"/>
        <w:jc w:val="both"/>
        <w:rPr>
          <w:rFonts w:ascii="Palatino Linotype" w:eastAsia="Palatino Linotype" w:hAnsi="Palatino Linotype" w:cs="Palatino Linotype"/>
        </w:rPr>
      </w:pPr>
    </w:p>
    <w:p w14:paraId="1DE34D67"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información consistente en lo siguiente:</w:t>
      </w:r>
    </w:p>
    <w:p w14:paraId="341D1B12"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5BA45349"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“SOLICITO AL SISTEMA MUNICPAL DIF TECAMAC, EL ESTADO ANALITICO DEL PRESUPUESTO EJERCIDO (EGRESOS) DEL AÑO 2019 QUE TOTAL GASTO EJERCIDO POR CONEPTOS POR </w:t>
      </w:r>
      <w:proofErr w:type="gramStart"/>
      <w:r>
        <w:rPr>
          <w:rFonts w:ascii="Palatino Linotype" w:eastAsia="Palatino Linotype" w:hAnsi="Palatino Linotype" w:cs="Palatino Linotype"/>
          <w:i/>
          <w:color w:val="404040"/>
          <w:sz w:val="22"/>
          <w:szCs w:val="22"/>
        </w:rPr>
        <w:t>PROGRAMAS..</w:t>
      </w:r>
      <w:proofErr w:type="gramEnd"/>
      <w:r>
        <w:rPr>
          <w:rFonts w:ascii="Palatino Linotype" w:eastAsia="Palatino Linotype" w:hAnsi="Palatino Linotype" w:cs="Palatino Linotype"/>
          <w:i/>
          <w:color w:val="404040"/>
          <w:sz w:val="22"/>
          <w:szCs w:val="22"/>
        </w:rPr>
        <w:t xml:space="preserve"> -SOLICITO EL ACTA DE LA JUNTA DE GOBIERNO POR CONCEPTO DE LA MODIFICACION AL PRESUPUESTO. - SOLICITO LAS REGLAS DE OPERACION DE LOS PROGRAMAS QUE IMPLEMENTARON POR LA ENTREGA DE TARJETAS EN EFECTIVO Y LA ENTREGA DE DESPENSAS Y DEMAS PROGRAMAS, COMO ENTREGA DE MATERIAL DE CONSTRUCCION,- SOLICITO LA SOLICITUD DE MODIFICACION AL PRESUPUESTO SOLICITADO POR LA TESORERIA A LAIIPE Y A LAS DEMAS AREAS RESPONSABLES DE LOS PROGRAMAS. </w:t>
      </w:r>
      <w:proofErr w:type="gramStart"/>
      <w:r>
        <w:rPr>
          <w:rFonts w:ascii="Palatino Linotype" w:eastAsia="Palatino Linotype" w:hAnsi="Palatino Linotype" w:cs="Palatino Linotype"/>
          <w:i/>
          <w:color w:val="404040"/>
          <w:sz w:val="22"/>
          <w:szCs w:val="22"/>
        </w:rPr>
        <w:t>–“ (</w:t>
      </w:r>
      <w:proofErr w:type="gramEnd"/>
      <w:r>
        <w:rPr>
          <w:rFonts w:ascii="Palatino Linotype" w:eastAsia="Palatino Linotype" w:hAnsi="Palatino Linotype" w:cs="Palatino Linotype"/>
          <w:i/>
          <w:color w:val="404040"/>
          <w:sz w:val="22"/>
          <w:szCs w:val="22"/>
        </w:rPr>
        <w:t xml:space="preserve">Sic) </w:t>
      </w:r>
    </w:p>
    <w:p w14:paraId="4A1BF7E1"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2E013CD8"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087F69A" w14:textId="77777777" w:rsidR="005A38D1" w:rsidRDefault="005A38D1">
      <w:pPr>
        <w:spacing w:line="360" w:lineRule="auto"/>
        <w:jc w:val="both"/>
        <w:rPr>
          <w:rFonts w:ascii="Palatino Linotype" w:eastAsia="Palatino Linotype" w:hAnsi="Palatino Linotype" w:cs="Palatino Linotype"/>
        </w:rPr>
      </w:pPr>
    </w:p>
    <w:p w14:paraId="7B0C1409" w14:textId="77777777" w:rsidR="005A38D1" w:rsidRDefault="000C448D">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9698FEA" w14:textId="77777777" w:rsidR="005A38D1" w:rsidRDefault="005A38D1">
      <w:pPr>
        <w:tabs>
          <w:tab w:val="left" w:pos="709"/>
        </w:tabs>
        <w:spacing w:line="360" w:lineRule="auto"/>
        <w:jc w:val="both"/>
        <w:rPr>
          <w:rFonts w:ascii="Palatino Linotype" w:eastAsia="Palatino Linotype" w:hAnsi="Palatino Linotype" w:cs="Palatino Linotype"/>
        </w:rPr>
      </w:pPr>
    </w:p>
    <w:p w14:paraId="01C2BF94" w14:textId="77777777" w:rsidR="005A38D1" w:rsidRDefault="000C448D">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73C53C1" w14:textId="77777777" w:rsidR="005A38D1" w:rsidRDefault="005A38D1">
      <w:pPr>
        <w:tabs>
          <w:tab w:val="left" w:pos="709"/>
        </w:tabs>
        <w:spacing w:line="360" w:lineRule="auto"/>
        <w:jc w:val="both"/>
        <w:rPr>
          <w:rFonts w:ascii="Palatino Linotype" w:eastAsia="Palatino Linotype" w:hAnsi="Palatino Linotype" w:cs="Palatino Linotype"/>
        </w:rPr>
      </w:pPr>
    </w:p>
    <w:p w14:paraId="5065D56D"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6DB99DEC" w14:textId="77777777" w:rsidR="005A38D1" w:rsidRDefault="005A38D1">
      <w:pPr>
        <w:rPr>
          <w:color w:val="000000"/>
        </w:rPr>
      </w:pPr>
    </w:p>
    <w:p w14:paraId="04EC5316"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793C1947" w14:textId="77777777" w:rsidR="005A38D1" w:rsidRDefault="005A38D1">
      <w:pPr>
        <w:rPr>
          <w:color w:val="000000"/>
        </w:rPr>
      </w:pPr>
    </w:p>
    <w:p w14:paraId="11A2B208"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29948C7D"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42DE5800" w14:textId="77777777" w:rsidR="005A38D1" w:rsidRDefault="005A38D1">
      <w:pPr>
        <w:rPr>
          <w:color w:val="000000"/>
        </w:rPr>
      </w:pPr>
    </w:p>
    <w:p w14:paraId="66E2C181" w14:textId="77777777" w:rsidR="005A38D1" w:rsidRDefault="005A38D1">
      <w:pPr>
        <w:rPr>
          <w:color w:val="000000"/>
        </w:rPr>
      </w:pPr>
    </w:p>
    <w:p w14:paraId="242652F9"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sz w:val="22"/>
          <w:szCs w:val="22"/>
        </w:rPr>
        <w:t>Artículo 6o.</w:t>
      </w:r>
    </w:p>
    <w:p w14:paraId="6D49DD84"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2"/>
          <w:szCs w:val="22"/>
        </w:rPr>
        <w:t>(...)</w:t>
      </w:r>
    </w:p>
    <w:p w14:paraId="45C40099"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 xml:space="preserve">A. Para el ejercicio del derecho de acceso a la información, la Federación y </w:t>
      </w:r>
      <w:r>
        <w:rPr>
          <w:rFonts w:ascii="Palatino Linotype" w:eastAsia="Palatino Linotype" w:hAnsi="Palatino Linotype" w:cs="Palatino Linotype"/>
          <w:b/>
          <w:i/>
          <w:color w:val="000000"/>
          <w:sz w:val="22"/>
          <w:szCs w:val="22"/>
          <w:u w:val="single"/>
        </w:rPr>
        <w:t>las entidades federativas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0B57B9F0" w14:textId="77777777" w:rsidR="005A38D1" w:rsidRDefault="005A38D1">
      <w:pPr>
        <w:rPr>
          <w:color w:val="000000"/>
        </w:rPr>
      </w:pPr>
    </w:p>
    <w:p w14:paraId="3F84E32F"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 </w:t>
      </w:r>
      <w:r>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Pr>
          <w:rFonts w:ascii="Palatino Linotype" w:eastAsia="Palatino Linotype" w:hAnsi="Palatino Linotype" w:cs="Palatino Linotype"/>
          <w:i/>
          <w:color w:val="000000"/>
          <w:sz w:val="22"/>
          <w:szCs w:val="22"/>
        </w:rPr>
        <w:t xml:space="preserve"> Ejecutivo, Legislativo </w:t>
      </w:r>
      <w:r>
        <w:rPr>
          <w:rFonts w:ascii="Palatino Linotype" w:eastAsia="Palatino Linotype" w:hAnsi="Palatino Linotype" w:cs="Palatino Linotype"/>
          <w:b/>
          <w:i/>
          <w:color w:val="000000"/>
          <w:sz w:val="22"/>
          <w:szCs w:val="22"/>
          <w:u w:val="single"/>
        </w:rPr>
        <w:t>y Judicial</w:t>
      </w:r>
      <w:r>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0C6859" w14:textId="77777777" w:rsidR="005A38D1" w:rsidRDefault="005A38D1">
      <w:pPr>
        <w:rPr>
          <w:color w:val="000000"/>
        </w:rPr>
      </w:pPr>
    </w:p>
    <w:p w14:paraId="3F0C1C36"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14:paraId="4EA32373" w14:textId="77777777" w:rsidR="005A38D1" w:rsidRDefault="005A38D1">
      <w:pPr>
        <w:rPr>
          <w:color w:val="000000"/>
        </w:rPr>
      </w:pPr>
    </w:p>
    <w:p w14:paraId="6393D8D4"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III. </w:t>
      </w:r>
      <w:r>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sz w:val="22"/>
          <w:szCs w:val="22"/>
        </w:rPr>
        <w:t xml:space="preserve"> a sus datos personales o a la rectificación de éstos.</w:t>
      </w:r>
    </w:p>
    <w:p w14:paraId="39F225FE" w14:textId="77777777" w:rsidR="005A38D1" w:rsidRDefault="005A38D1">
      <w:pPr>
        <w:rPr>
          <w:color w:val="000000"/>
        </w:rPr>
      </w:pPr>
    </w:p>
    <w:p w14:paraId="19A8471C"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IV. </w:t>
      </w:r>
      <w:r>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67BCBBBC" w14:textId="77777777" w:rsidR="005A38D1" w:rsidRDefault="005A38D1">
      <w:pPr>
        <w:rPr>
          <w:color w:val="000000"/>
        </w:rPr>
      </w:pPr>
    </w:p>
    <w:p w14:paraId="4E7B0ED6"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V. </w:t>
      </w:r>
      <w:r>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1F50507" w14:textId="77777777" w:rsidR="005A38D1" w:rsidRDefault="005A38D1">
      <w:pPr>
        <w:rPr>
          <w:color w:val="000000"/>
        </w:rPr>
      </w:pPr>
    </w:p>
    <w:p w14:paraId="0FCEBCDB"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 </w:t>
      </w:r>
      <w:r>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092FD2D6" w14:textId="77777777" w:rsidR="005A38D1" w:rsidRDefault="005A38D1">
      <w:pPr>
        <w:rPr>
          <w:color w:val="000000"/>
        </w:rPr>
      </w:pPr>
    </w:p>
    <w:p w14:paraId="0AB814D7"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w:t>
      </w:r>
      <w:r>
        <w:rPr>
          <w:rFonts w:ascii="Palatino Linotype" w:eastAsia="Palatino Linotype" w:hAnsi="Palatino Linotype" w:cs="Palatino Linotype"/>
          <w:b/>
          <w:i/>
          <w:color w:val="000000"/>
          <w:sz w:val="22"/>
          <w:szCs w:val="22"/>
        </w:rPr>
        <w:t xml:space="preserve">VII. </w:t>
      </w:r>
      <w:r>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53043F51"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64FDDDA4" w14:textId="77777777" w:rsidR="005A38D1" w:rsidRDefault="005A38D1">
      <w:pPr>
        <w:tabs>
          <w:tab w:val="left" w:pos="709"/>
        </w:tabs>
        <w:spacing w:line="360" w:lineRule="auto"/>
        <w:jc w:val="both"/>
        <w:rPr>
          <w:rFonts w:ascii="Palatino Linotype" w:eastAsia="Palatino Linotype" w:hAnsi="Palatino Linotype" w:cs="Palatino Linotype"/>
        </w:rPr>
      </w:pPr>
    </w:p>
    <w:p w14:paraId="7A2CC6E6"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22D75C18"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3AF4C5FB"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Artículo</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23.</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Son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sujetos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obligados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transparentar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y</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permitir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el</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acceso</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su</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información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y</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proteger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los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datos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personales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que</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obren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en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su</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poder</w:t>
      </w:r>
      <w:r>
        <w:rPr>
          <w:rFonts w:ascii="Palatino Linotype" w:eastAsia="Palatino Linotype" w:hAnsi="Palatino Linotype" w:cs="Palatino Linotype"/>
          <w:i/>
          <w:color w:val="404040"/>
          <w:sz w:val="22"/>
          <w:szCs w:val="22"/>
        </w:rPr>
        <w:t>:</w:t>
      </w:r>
    </w:p>
    <w:p w14:paraId="5B5C100A"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Poder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Ejecutivo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Estado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México,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dependencias,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organismos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auxiliares,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i/>
          <w:color w:val="404040"/>
          <w:sz w:val="22"/>
          <w:szCs w:val="22"/>
        </w:rPr>
        <w:t>órganos,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fideicomisos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fondos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así</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como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Procuraduría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General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Justicia;</w:t>
      </w:r>
    </w:p>
    <w:p w14:paraId="75E03203"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II.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Poder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Legislativo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Estado,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organismos,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órganos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Legislatura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sus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dependencias;</w:t>
      </w:r>
    </w:p>
    <w:p w14:paraId="34EB89E3"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III.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Poder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Judicial,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sus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organismos,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órganos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así</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como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Consejo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Judicatura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Estado;</w:t>
      </w:r>
    </w:p>
    <w:p w14:paraId="4B15996A"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IV.</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ayuntamientos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dependencias,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organismos,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órganos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administración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municipal;</w:t>
      </w:r>
    </w:p>
    <w:p w14:paraId="16AB4A15"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V.</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órganos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autónomos;</w:t>
      </w:r>
    </w:p>
    <w:p w14:paraId="4445C18C"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VI.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tribunales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administrativos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autoridades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jurisdiccionales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materia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laboral;</w:t>
      </w:r>
    </w:p>
    <w:p w14:paraId="431F015C"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VII.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partidos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políticos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agrupaciones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políticas,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términos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disposiciones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aplicables;</w:t>
      </w:r>
    </w:p>
    <w:p w14:paraId="1783F6AC"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VIII.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fideicomisos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fondos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cuenten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financiamiento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parcial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total,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participación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gobierno;</w:t>
      </w:r>
    </w:p>
    <w:p w14:paraId="3C9AEC91"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IX.</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sindicatos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reciban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ejerzan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recursos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ámbito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estatal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municipal;</w:t>
      </w:r>
    </w:p>
    <w:p w14:paraId="1E72467A"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X.</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Cualquier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persona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física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jurídico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colectiva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reciba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ejerza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recursos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ámbito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estatal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municipal;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p>
    <w:p w14:paraId="21067AF5"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XI.</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Cualquier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otra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autoridad,</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entidad,</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órgano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u</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organismo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poderes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estatal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municipal,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reciba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recursos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p>
    <w:p w14:paraId="10A7CB2B"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sujetos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obligados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deberán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hacer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toda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aquella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información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relativa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montos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personas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quienes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entreguen,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por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cualquier</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motivo,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recursos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públicos,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así</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como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informes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que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dichas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personas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les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entreguen</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sobre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el</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uso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y</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destino</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de</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dichos</w:t>
      </w:r>
      <w:r>
        <w:rPr>
          <w:rFonts w:ascii="Palatino Linotype" w:eastAsia="Palatino Linotype" w:hAnsi="Palatino Linotype" w:cs="Palatino Linotype"/>
          <w:i/>
          <w:color w:val="404040"/>
        </w:rPr>
        <w:t xml:space="preserve"> </w:t>
      </w:r>
      <w:r>
        <w:rPr>
          <w:rFonts w:ascii="Palatino Linotype" w:eastAsia="Palatino Linotype" w:hAnsi="Palatino Linotype" w:cs="Palatino Linotype"/>
          <w:i/>
          <w:color w:val="404040"/>
          <w:sz w:val="22"/>
          <w:szCs w:val="22"/>
        </w:rPr>
        <w:t>recursos.</w:t>
      </w:r>
    </w:p>
    <w:p w14:paraId="1029F303"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lastRenderedPageBreak/>
        <w:t>Los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servidores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públicos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deberán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transparentar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sus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acciones,</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así</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como</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garantizar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y</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respetar</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el</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derecho</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de</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acceso</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a</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la</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información</w:t>
      </w:r>
      <w:r>
        <w:rPr>
          <w:rFonts w:ascii="Palatino Linotype" w:eastAsia="Palatino Linotype" w:hAnsi="Palatino Linotype" w:cs="Palatino Linotype"/>
          <w:b/>
          <w:i/>
          <w:color w:val="404040"/>
        </w:rPr>
        <w:t xml:space="preserve"> </w:t>
      </w:r>
      <w:r>
        <w:rPr>
          <w:rFonts w:ascii="Palatino Linotype" w:eastAsia="Palatino Linotype" w:hAnsi="Palatino Linotype" w:cs="Palatino Linotype"/>
          <w:b/>
          <w:i/>
          <w:color w:val="404040"/>
          <w:sz w:val="22"/>
          <w:szCs w:val="22"/>
        </w:rPr>
        <w:t>pública</w:t>
      </w:r>
      <w:r>
        <w:rPr>
          <w:rFonts w:ascii="Palatino Linotype" w:eastAsia="Palatino Linotype" w:hAnsi="Palatino Linotype" w:cs="Palatino Linotype"/>
          <w:i/>
          <w:color w:val="404040"/>
          <w:sz w:val="22"/>
          <w:szCs w:val="22"/>
        </w:rPr>
        <w:t>.</w:t>
      </w:r>
    </w:p>
    <w:p w14:paraId="345C6B05"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588269BE" w14:textId="77777777" w:rsidR="005A38D1" w:rsidRDefault="000C448D">
      <w:pPr>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E1F9071" w14:textId="77777777" w:rsidR="005A38D1" w:rsidRDefault="005A38D1">
      <w:pPr>
        <w:spacing w:line="360" w:lineRule="auto"/>
        <w:ind w:left="-142"/>
        <w:jc w:val="both"/>
        <w:rPr>
          <w:rFonts w:ascii="Palatino Linotype" w:eastAsia="Palatino Linotype" w:hAnsi="Palatino Linotype" w:cs="Palatino Linotype"/>
        </w:rPr>
      </w:pPr>
    </w:p>
    <w:p w14:paraId="3BF5008A" w14:textId="77777777" w:rsidR="005A38D1" w:rsidRDefault="000C448D">
      <w:pPr>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1227E88" w14:textId="77777777" w:rsidR="005A38D1" w:rsidRDefault="005A38D1">
      <w:pPr>
        <w:spacing w:line="360" w:lineRule="auto"/>
        <w:ind w:left="-142"/>
        <w:jc w:val="both"/>
        <w:rPr>
          <w:rFonts w:ascii="Palatino Linotype" w:eastAsia="Palatino Linotype" w:hAnsi="Palatino Linotype" w:cs="Palatino Linotype"/>
        </w:rPr>
      </w:pPr>
    </w:p>
    <w:p w14:paraId="635CFD6C" w14:textId="77777777" w:rsidR="005A38D1" w:rsidRDefault="000C448D">
      <w:pPr>
        <w:widowControl w:val="0"/>
        <w:tabs>
          <w:tab w:val="left" w:pos="1276"/>
        </w:tabs>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1730629" w14:textId="77777777" w:rsidR="005A38D1" w:rsidRDefault="005A38D1">
      <w:pPr>
        <w:widowControl w:val="0"/>
        <w:tabs>
          <w:tab w:val="left" w:pos="1276"/>
        </w:tabs>
        <w:spacing w:line="360" w:lineRule="auto"/>
        <w:jc w:val="both"/>
        <w:rPr>
          <w:rFonts w:ascii="Palatino Linotype" w:eastAsia="Palatino Linotype" w:hAnsi="Palatino Linotype" w:cs="Palatino Linotype"/>
        </w:rPr>
      </w:pPr>
    </w:p>
    <w:p w14:paraId="34BFF1EA" w14:textId="77777777" w:rsidR="005A38D1" w:rsidRDefault="000C448D">
      <w:pPr>
        <w:widowControl w:val="0"/>
        <w:tabs>
          <w:tab w:val="left" w:pos="1276"/>
        </w:tabs>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Pr>
          <w:rFonts w:ascii="Palatino Linotype" w:eastAsia="Palatino Linotype" w:hAnsi="Palatino Linotype" w:cs="Palatino Linotype"/>
        </w:rPr>
        <w:lastRenderedPageBreak/>
        <w:t>información; así como, entregar, en su caso, a los particulares la información solicitada.</w:t>
      </w:r>
    </w:p>
    <w:p w14:paraId="42B07F7E" w14:textId="77777777" w:rsidR="005A38D1" w:rsidRDefault="005A38D1">
      <w:pPr>
        <w:spacing w:line="360" w:lineRule="auto"/>
        <w:ind w:left="-284"/>
        <w:jc w:val="both"/>
        <w:rPr>
          <w:rFonts w:ascii="Palatino Linotype" w:eastAsia="Palatino Linotype" w:hAnsi="Palatino Linotype" w:cs="Palatino Linotype"/>
        </w:rPr>
      </w:pPr>
    </w:p>
    <w:p w14:paraId="0817CFD1" w14:textId="77777777" w:rsidR="005A38D1" w:rsidRDefault="000C448D">
      <w:pPr>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48C4837" w14:textId="77777777" w:rsidR="005A38D1" w:rsidRDefault="005A38D1">
      <w:pPr>
        <w:spacing w:line="360" w:lineRule="auto"/>
        <w:jc w:val="both"/>
        <w:rPr>
          <w:rFonts w:ascii="Palatino Linotype" w:eastAsia="Palatino Linotype" w:hAnsi="Palatino Linotype" w:cs="Palatino Linotype"/>
        </w:rPr>
      </w:pPr>
    </w:p>
    <w:p w14:paraId="64BB1DCD" w14:textId="77777777" w:rsidR="005A38D1" w:rsidRDefault="000C448D">
      <w:pPr>
        <w:widowControl w:val="0"/>
        <w:tabs>
          <w:tab w:val="left" w:pos="1276"/>
        </w:tabs>
        <w:spacing w:line="360" w:lineRule="auto"/>
        <w:ind w:left="-142" w:right="-93"/>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97327AC" w14:textId="77777777" w:rsidR="005A38D1" w:rsidRDefault="005A38D1">
      <w:pPr>
        <w:widowControl w:val="0"/>
        <w:tabs>
          <w:tab w:val="left" w:pos="1276"/>
        </w:tabs>
        <w:spacing w:line="360" w:lineRule="auto"/>
        <w:ind w:left="-142" w:right="-93"/>
        <w:jc w:val="both"/>
        <w:rPr>
          <w:rFonts w:ascii="Palatino Linotype" w:eastAsia="Palatino Linotype" w:hAnsi="Palatino Linotype" w:cs="Palatino Linotype"/>
        </w:rPr>
      </w:pPr>
    </w:p>
    <w:p w14:paraId="51C5E865" w14:textId="77777777" w:rsidR="005A38D1" w:rsidRDefault="000C448D">
      <w:pPr>
        <w:spacing w:line="360" w:lineRule="auto"/>
        <w:ind w:left="-142" w:right="-93"/>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Pr>
          <w:rFonts w:ascii="Palatino Linotype" w:eastAsia="Palatino Linotype" w:hAnsi="Palatino Linotype" w:cs="Palatino Linotype"/>
          <w:b/>
        </w:rPr>
        <w:t>quince días hábiles,</w:t>
      </w:r>
      <w:r>
        <w:rPr>
          <w:rFonts w:ascii="Palatino Linotype" w:eastAsia="Palatino Linotype" w:hAnsi="Palatino Linotype" w:cs="Palatino Linotype"/>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30714EB9" w14:textId="77777777" w:rsidR="005A38D1" w:rsidRDefault="005A38D1">
      <w:pPr>
        <w:spacing w:line="360" w:lineRule="auto"/>
        <w:jc w:val="both"/>
        <w:rPr>
          <w:rFonts w:ascii="Palatino Linotype" w:eastAsia="Palatino Linotype" w:hAnsi="Palatino Linotype" w:cs="Palatino Linotype"/>
        </w:rPr>
      </w:pPr>
    </w:p>
    <w:p w14:paraId="05E5D57E" w14:textId="77777777" w:rsidR="005A38D1" w:rsidRDefault="000C448D">
      <w:pPr>
        <w:spacing w:line="360" w:lineRule="auto"/>
        <w:ind w:left="-142"/>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el precepto legal en cita:</w:t>
      </w:r>
    </w:p>
    <w:p w14:paraId="5D3C04C9"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62906DD5"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color w:val="404040"/>
          <w:sz w:val="22"/>
          <w:szCs w:val="22"/>
        </w:rPr>
        <w:t xml:space="preserve">, contados a partir del día siguiente a la presentación de aquélla. </w:t>
      </w:r>
    </w:p>
    <w:p w14:paraId="59D263E9"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74FD22F"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4C3F4E88"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33B4A22E" w14:textId="77777777" w:rsidR="005A38D1" w:rsidRDefault="005A38D1">
      <w:pPr>
        <w:spacing w:line="360" w:lineRule="auto"/>
        <w:jc w:val="both"/>
        <w:rPr>
          <w:rFonts w:ascii="Palatino Linotype" w:eastAsia="Palatino Linotype" w:hAnsi="Palatino Linotype" w:cs="Palatino Linotype"/>
        </w:rPr>
      </w:pPr>
    </w:p>
    <w:p w14:paraId="33BE9255"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10095A1" w14:textId="77777777" w:rsidR="005A38D1" w:rsidRDefault="005A38D1">
      <w:pPr>
        <w:spacing w:line="360" w:lineRule="auto"/>
        <w:jc w:val="both"/>
        <w:rPr>
          <w:rFonts w:ascii="Palatino Linotype" w:eastAsia="Palatino Linotype" w:hAnsi="Palatino Linotype" w:cs="Palatino Linotype"/>
        </w:rPr>
      </w:pPr>
    </w:p>
    <w:p w14:paraId="7E7917A7"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068D5D87" w14:textId="77777777" w:rsidR="005A38D1" w:rsidRDefault="005A38D1">
      <w:pPr>
        <w:spacing w:line="360" w:lineRule="auto"/>
        <w:jc w:val="both"/>
        <w:rPr>
          <w:rFonts w:ascii="Palatino Linotype" w:eastAsia="Palatino Linotype" w:hAnsi="Palatino Linotype" w:cs="Palatino Linotype"/>
        </w:rPr>
      </w:pPr>
    </w:p>
    <w:p w14:paraId="7849C142" w14:textId="77777777" w:rsidR="005A38D1" w:rsidRDefault="000C448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 LA CLASIFICACIÓN DE LA INFORMACIÓN.</w:t>
      </w:r>
    </w:p>
    <w:p w14:paraId="4087EA2D" w14:textId="77777777" w:rsidR="005A38D1" w:rsidRDefault="005A38D1">
      <w:pPr>
        <w:spacing w:line="360" w:lineRule="auto"/>
        <w:jc w:val="both"/>
        <w:rPr>
          <w:rFonts w:ascii="Palatino Linotype" w:eastAsia="Palatino Linotype" w:hAnsi="Palatino Linotype" w:cs="Palatino Linotype"/>
          <w:b/>
        </w:rPr>
      </w:pPr>
    </w:p>
    <w:p w14:paraId="392F9B16" w14:textId="77777777" w:rsidR="005A38D1" w:rsidRDefault="000C448D">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25D738E"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06270341"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91. </w:t>
      </w:r>
      <w:r>
        <w:rPr>
          <w:rFonts w:ascii="Palatino Linotype" w:eastAsia="Palatino Linotype" w:hAnsi="Palatino Linotype" w:cs="Palatino Linotype"/>
          <w:i/>
          <w:color w:val="404040"/>
          <w:sz w:val="22"/>
          <w:szCs w:val="22"/>
        </w:rPr>
        <w:t>El acceso a la información pública será restringido excepcionalmente, cuando ésta sea clasificada como reservada o confidencial.</w:t>
      </w:r>
    </w:p>
    <w:p w14:paraId="21B4810C"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24C77830" w14:textId="77777777" w:rsidR="005A38D1" w:rsidRDefault="000C448D">
      <w:pPr>
        <w:spacing w:line="360"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w:t>
      </w:r>
      <w:r>
        <w:rPr>
          <w:rFonts w:ascii="Palatino Linotype" w:eastAsia="Palatino Linotype" w:hAnsi="Palatino Linotype" w:cs="Palatino Linotype"/>
        </w:rPr>
        <w:lastRenderedPageBreak/>
        <w:t>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135A8037" w14:textId="77777777" w:rsidR="005A38D1" w:rsidRDefault="005A38D1">
      <w:pPr>
        <w:spacing w:line="360" w:lineRule="auto"/>
        <w:jc w:val="both"/>
        <w:rPr>
          <w:rFonts w:ascii="Palatino Linotype" w:eastAsia="Palatino Linotype" w:hAnsi="Palatino Linotype" w:cs="Palatino Linotype"/>
        </w:rPr>
      </w:pPr>
    </w:p>
    <w:p w14:paraId="11F568FE"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0EC995CB"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66844517"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140. </w:t>
      </w:r>
      <w:r>
        <w:rPr>
          <w:rFonts w:ascii="Palatino Linotype" w:eastAsia="Palatino Linotype" w:hAnsi="Palatino Linotype" w:cs="Palatino Linotype"/>
          <w:i/>
          <w:color w:val="404040"/>
          <w:sz w:val="22"/>
          <w:szCs w:val="22"/>
        </w:rPr>
        <w:t>El acceso a la información pública será restringido excepcionalmente, cuando por razones de interés público, ésta sea clasificada como reservada, conforme a los criterios siguientes:</w:t>
      </w:r>
    </w:p>
    <w:p w14:paraId="7B5B73F8"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 </w:t>
      </w:r>
      <w:r>
        <w:rPr>
          <w:rFonts w:ascii="Palatino Linotype" w:eastAsia="Palatino Linotype" w:hAnsi="Palatino Linotype" w:cs="Palatino Linotype"/>
          <w:i/>
          <w:color w:val="404040"/>
          <w:sz w:val="22"/>
          <w:szCs w:val="22"/>
        </w:rPr>
        <w:t>Comprometa la seguridad pública y cuente con un propósito genuino y un efecto demostrable;</w:t>
      </w:r>
    </w:p>
    <w:p w14:paraId="7E7CF184"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II. </w:t>
      </w:r>
      <w:r>
        <w:rPr>
          <w:rFonts w:ascii="Palatino Linotype" w:eastAsia="Palatino Linotype" w:hAnsi="Palatino Linotype" w:cs="Palatino Linotype"/>
          <w:i/>
          <w:color w:val="404040"/>
          <w:sz w:val="22"/>
          <w:szCs w:val="22"/>
        </w:rPr>
        <w:t>Pueda menoscabar la conducción de las negociaciones y relaciones internacionales;</w:t>
      </w:r>
    </w:p>
    <w:p w14:paraId="1A4A620C"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III. </w:t>
      </w:r>
      <w:r>
        <w:rPr>
          <w:rFonts w:ascii="Palatino Linotype" w:eastAsia="Palatino Linotype" w:hAnsi="Palatino Linotype" w:cs="Palatino Linotype"/>
          <w:i/>
          <w:color w:val="404040"/>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2A01B09"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IV. </w:t>
      </w:r>
      <w:r>
        <w:rPr>
          <w:rFonts w:ascii="Palatino Linotype" w:eastAsia="Palatino Linotype" w:hAnsi="Palatino Linotype" w:cs="Palatino Linotype"/>
          <w:i/>
          <w:color w:val="404040"/>
          <w:sz w:val="22"/>
          <w:szCs w:val="22"/>
        </w:rPr>
        <w:t>Ponga en riesgo la vida, la seguridad o la salud de una persona física;</w:t>
      </w:r>
    </w:p>
    <w:p w14:paraId="4339F658"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V. </w:t>
      </w:r>
      <w:r>
        <w:rPr>
          <w:rFonts w:ascii="Palatino Linotype" w:eastAsia="Palatino Linotype" w:hAnsi="Palatino Linotype" w:cs="Palatino Linotype"/>
          <w:i/>
          <w:color w:val="404040"/>
          <w:sz w:val="22"/>
          <w:szCs w:val="22"/>
        </w:rPr>
        <w:t>Aquella cuya divulgación obstruya o pueda causar un serio perjuicio a:</w:t>
      </w:r>
    </w:p>
    <w:p w14:paraId="21AC7226"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1. </w:t>
      </w:r>
      <w:r>
        <w:rPr>
          <w:rFonts w:ascii="Palatino Linotype" w:eastAsia="Palatino Linotype" w:hAnsi="Palatino Linotype" w:cs="Palatino Linotype"/>
          <w:i/>
          <w:color w:val="404040"/>
          <w:sz w:val="22"/>
          <w:szCs w:val="22"/>
        </w:rPr>
        <w:t xml:space="preserve">Las actividades de fiscalización, verificación, inspección, comprobación y auditoría sobre el cumplimiento de las Leyes; o </w:t>
      </w:r>
    </w:p>
    <w:p w14:paraId="6FA3F006"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2. </w:t>
      </w:r>
      <w:r>
        <w:rPr>
          <w:rFonts w:ascii="Palatino Linotype" w:eastAsia="Palatino Linotype" w:hAnsi="Palatino Linotype" w:cs="Palatino Linotype"/>
          <w:i/>
          <w:color w:val="404040"/>
          <w:sz w:val="22"/>
          <w:szCs w:val="22"/>
        </w:rPr>
        <w:t>La recaudación de las contribuciones.</w:t>
      </w:r>
    </w:p>
    <w:p w14:paraId="7F3BF64F"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VI. </w:t>
      </w:r>
      <w:r>
        <w:rPr>
          <w:rFonts w:ascii="Palatino Linotype" w:eastAsia="Palatino Linotype" w:hAnsi="Palatino Linotype" w:cs="Palatino Linotype"/>
          <w:i/>
          <w:color w:val="404040"/>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w:t>
      </w:r>
      <w:r>
        <w:rPr>
          <w:rFonts w:ascii="Palatino Linotype" w:eastAsia="Palatino Linotype" w:hAnsi="Palatino Linotype" w:cs="Palatino Linotype"/>
          <w:i/>
          <w:color w:val="404040"/>
          <w:sz w:val="22"/>
          <w:szCs w:val="22"/>
        </w:rPr>
        <w:lastRenderedPageBreak/>
        <w:t>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A6536B3"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VII. </w:t>
      </w:r>
      <w:r>
        <w:rPr>
          <w:rFonts w:ascii="Palatino Linotype" w:eastAsia="Palatino Linotype" w:hAnsi="Palatino Linotype" w:cs="Palatino Linotype"/>
          <w:i/>
          <w:color w:val="404040"/>
          <w:sz w:val="22"/>
          <w:szCs w:val="22"/>
        </w:rPr>
        <w:t>La que contengan las opiniones, recomendaciones o puntos de vista que formen parte del proceso deliberativo de los servidores públicos, hasta en tanto sea adoptada la decisión definitiva, la cual deberá estar documentada;</w:t>
      </w:r>
    </w:p>
    <w:p w14:paraId="57F0508F"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VIII</w:t>
      </w:r>
      <w:r>
        <w:rPr>
          <w:rFonts w:ascii="Palatino Linotype" w:eastAsia="Palatino Linotype" w:hAnsi="Palatino Linotype" w:cs="Palatino Linotype"/>
          <w:i/>
          <w:color w:val="404040"/>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color w:val="404040"/>
          <w:sz w:val="22"/>
          <w:szCs w:val="22"/>
        </w:rPr>
        <w:t>;</w:t>
      </w:r>
    </w:p>
    <w:p w14:paraId="394F6E7E"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IX. </w:t>
      </w:r>
      <w:r>
        <w:rPr>
          <w:rFonts w:ascii="Palatino Linotype" w:eastAsia="Palatino Linotype" w:hAnsi="Palatino Linotype" w:cs="Palatino Linotype"/>
          <w:i/>
          <w:color w:val="404040"/>
          <w:sz w:val="22"/>
          <w:szCs w:val="22"/>
        </w:rPr>
        <w:t>Se encuentre contenida dentro de las investigaciones de hechos que la Ley señale como delitos y se tramiten ante el Ministerio Público;</w:t>
      </w:r>
    </w:p>
    <w:p w14:paraId="374EAADF"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X. </w:t>
      </w:r>
      <w:r>
        <w:rPr>
          <w:rFonts w:ascii="Palatino Linotype" w:eastAsia="Palatino Linotype" w:hAnsi="Palatino Linotype" w:cs="Palatino Linotype"/>
          <w:i/>
          <w:color w:val="404040"/>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FFDF158"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20AFFC"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XI. </w:t>
      </w:r>
      <w:r>
        <w:rPr>
          <w:rFonts w:ascii="Palatino Linotype" w:eastAsia="Palatino Linotype" w:hAnsi="Palatino Linotype" w:cs="Palatino Linotype"/>
          <w:i/>
          <w:color w:val="404040"/>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7D0C296A"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569DC3AA"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Artículo 143. </w:t>
      </w:r>
      <w:r>
        <w:rPr>
          <w:rFonts w:ascii="Palatino Linotype" w:eastAsia="Palatino Linotype" w:hAnsi="Palatino Linotype" w:cs="Palatino Linotype"/>
          <w:i/>
          <w:color w:val="404040"/>
          <w:sz w:val="22"/>
          <w:szCs w:val="22"/>
        </w:rPr>
        <w:t>Para los efectos de esta Ley se considera información confidencial, la clasificada como tal, de manera permanente, por su naturaleza, cuando:</w:t>
      </w:r>
    </w:p>
    <w:p w14:paraId="7D6829D8"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 </w:t>
      </w:r>
      <w:r>
        <w:rPr>
          <w:rFonts w:ascii="Palatino Linotype" w:eastAsia="Palatino Linotype" w:hAnsi="Palatino Linotype" w:cs="Palatino Linotype"/>
          <w:i/>
          <w:color w:val="404040"/>
          <w:sz w:val="22"/>
          <w:szCs w:val="22"/>
        </w:rPr>
        <w:t>Se refiera a la información privada y los datos personales concernientes a una persona física o jurídico colectiva identificada o identificable;</w:t>
      </w:r>
    </w:p>
    <w:p w14:paraId="201A428D"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II. </w:t>
      </w:r>
      <w:r>
        <w:rPr>
          <w:rFonts w:ascii="Palatino Linotype" w:eastAsia="Palatino Linotype" w:hAnsi="Palatino Linotype" w:cs="Palatino Linotype"/>
          <w:i/>
          <w:color w:val="404040"/>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A77D119"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III. </w:t>
      </w:r>
      <w:r>
        <w:rPr>
          <w:rFonts w:ascii="Palatino Linotype" w:eastAsia="Palatino Linotype" w:hAnsi="Palatino Linotype" w:cs="Palatino Linotype"/>
          <w:i/>
          <w:color w:val="404040"/>
          <w:sz w:val="22"/>
          <w:szCs w:val="22"/>
        </w:rPr>
        <w:t>La que presenten los particulares a los sujetos obligados, de conformidad con lo dispuesto por las leyes o los tratados internacionales.</w:t>
      </w:r>
    </w:p>
    <w:p w14:paraId="519D768F"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La información confidencial no estará sujeta a temporalidad alguna y sólo podrán tener acceso a ella los titulares de la misma, sus representantes y los servidores públicos facultados para ello.</w:t>
      </w:r>
    </w:p>
    <w:p w14:paraId="20DA3AEC"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No se considerará confidencial la información que se encuentre en los registros públicos o en fuentes de acceso público, ni tampoco la que sea considerada por la presente ley como información pública.</w:t>
      </w:r>
    </w:p>
    <w:p w14:paraId="6F132395"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4C48FFA4"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78421CD" w14:textId="77777777" w:rsidR="005A38D1" w:rsidRDefault="005A38D1">
      <w:pPr>
        <w:tabs>
          <w:tab w:val="left" w:pos="851"/>
        </w:tabs>
        <w:spacing w:line="360" w:lineRule="auto"/>
        <w:jc w:val="both"/>
        <w:rPr>
          <w:rFonts w:ascii="Palatino Linotype" w:eastAsia="Palatino Linotype" w:hAnsi="Palatino Linotype" w:cs="Palatino Linotype"/>
        </w:rPr>
      </w:pPr>
    </w:p>
    <w:p w14:paraId="13118C8B" w14:textId="77777777" w:rsidR="005A38D1" w:rsidRDefault="000C448D">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Se reciba una solicitud de acceso a la información;</w:t>
      </w:r>
    </w:p>
    <w:p w14:paraId="23496685" w14:textId="77777777" w:rsidR="005A38D1" w:rsidRDefault="000C448D">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Se determine mediante resolución de autoridad competente; y/o</w:t>
      </w:r>
    </w:p>
    <w:p w14:paraId="51EED4BB" w14:textId="77777777" w:rsidR="005A38D1" w:rsidRDefault="000C448D">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Se generen versiones públicas para dar cumplimiento a las obligaciones de transparencia previstas en la Ley.</w:t>
      </w:r>
    </w:p>
    <w:p w14:paraId="5263F0A9" w14:textId="77777777" w:rsidR="005A38D1" w:rsidRDefault="005A38D1">
      <w:pPr>
        <w:tabs>
          <w:tab w:val="left" w:pos="851"/>
        </w:tabs>
        <w:spacing w:line="360" w:lineRule="auto"/>
        <w:ind w:left="567"/>
        <w:jc w:val="both"/>
        <w:rPr>
          <w:rFonts w:ascii="Palatino Linotype" w:eastAsia="Palatino Linotype" w:hAnsi="Palatino Linotype" w:cs="Palatino Linotype"/>
        </w:rPr>
      </w:pPr>
    </w:p>
    <w:p w14:paraId="5F145E5B" w14:textId="77777777" w:rsidR="005A38D1" w:rsidRDefault="000C448D">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w:t>
      </w:r>
      <w:r>
        <w:rPr>
          <w:rFonts w:ascii="Palatino Linotype" w:eastAsia="Palatino Linotype" w:hAnsi="Palatino Linotype" w:cs="Palatino Linotype"/>
        </w:rPr>
        <w:lastRenderedPageBreak/>
        <w:t>y 49 fracciones II y VIII de la Ley de Transparencia y Acceso a la Información Pública del Estado de México y Municipios.</w:t>
      </w:r>
    </w:p>
    <w:p w14:paraId="2B74B688"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378B4158"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59. Los servidores públicos habilitados tendrán las funciones siguientes:</w:t>
      </w:r>
    </w:p>
    <w:p w14:paraId="7456A0D0"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3A642F38"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 Integrar y presentar al responsable de la Unidad de Transparencia la propuesta de clasificación de información, la cual tendrá los fundamentos y argumentos en que se basa dicha propuesta;</w:t>
      </w:r>
    </w:p>
    <w:p w14:paraId="3074414D"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76F9E529"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vertAlign w:val="superscript"/>
        </w:rPr>
      </w:pPr>
    </w:p>
    <w:p w14:paraId="6BD94CF4"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53. Las Unidades de Transparencia tendrán las siguientes funciones:</w:t>
      </w:r>
    </w:p>
    <w:p w14:paraId="0A6A1E9C"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242504CA"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X. Presentar ante el Comité, el proyecto de clasificación de información;</w:t>
      </w:r>
    </w:p>
    <w:p w14:paraId="3B35831D"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p>
    <w:p w14:paraId="0EF3BF30"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vertAlign w:val="superscript"/>
        </w:rPr>
      </w:pPr>
    </w:p>
    <w:p w14:paraId="37FA4B23"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49. Los Comités de Transparencia tendrán las siguientes atribuciones:</w:t>
      </w:r>
    </w:p>
    <w:p w14:paraId="1821481F"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4FD88EE6"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1EEEBE4"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05DC579C"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VIII. Aprobar, modificar o revocar la clasificación de la información;</w:t>
      </w:r>
    </w:p>
    <w:p w14:paraId="71199D9D"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7EC074BC"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384B554C"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w:t>
      </w:r>
      <w:r>
        <w:rPr>
          <w:rFonts w:ascii="Palatino Linotype" w:eastAsia="Palatino Linotype" w:hAnsi="Palatino Linotype" w:cs="Palatino Linotype"/>
        </w:rPr>
        <w:lastRenderedPageBreak/>
        <w:t xml:space="preserve">a través de la versión pública que emita, o bien, la restricción total del derecho de acceso a la información.  </w:t>
      </w:r>
    </w:p>
    <w:p w14:paraId="3D1407F8" w14:textId="77777777" w:rsidR="005A38D1" w:rsidRDefault="005A38D1">
      <w:pPr>
        <w:spacing w:line="360" w:lineRule="auto"/>
        <w:jc w:val="both"/>
        <w:rPr>
          <w:rFonts w:ascii="Palatino Linotype" w:eastAsia="Palatino Linotype" w:hAnsi="Palatino Linotype" w:cs="Palatino Linotype"/>
        </w:rPr>
      </w:pPr>
    </w:p>
    <w:p w14:paraId="44829A3F" w14:textId="77777777" w:rsidR="005A38D1" w:rsidRDefault="000C448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DE LA CLASIFICACIÓN PARCIAL DE LA INFORMACIÓN.</w:t>
      </w:r>
    </w:p>
    <w:p w14:paraId="616444F7" w14:textId="77777777" w:rsidR="005A38D1" w:rsidRDefault="005A38D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EB6AF04"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1650CE3" w14:textId="77777777" w:rsidR="005A38D1" w:rsidRDefault="005A38D1">
      <w:pPr>
        <w:spacing w:line="360" w:lineRule="auto"/>
        <w:jc w:val="both"/>
        <w:rPr>
          <w:rFonts w:ascii="Palatino Linotype" w:eastAsia="Palatino Linotype" w:hAnsi="Palatino Linotype" w:cs="Palatino Linotype"/>
        </w:rPr>
      </w:pPr>
    </w:p>
    <w:p w14:paraId="3CAC318A" w14:textId="77777777" w:rsidR="005A38D1" w:rsidRDefault="000C448D">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 LA CLASIFICACIÓN DE INFORMACIÓN COMO RESERVADA.</w:t>
      </w:r>
    </w:p>
    <w:p w14:paraId="34F54324" w14:textId="77777777" w:rsidR="005A38D1" w:rsidRDefault="005A38D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401D84E9" w14:textId="77777777" w:rsidR="005A38D1" w:rsidRDefault="000C448D">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w:t>
      </w:r>
      <w:r>
        <w:rPr>
          <w:rFonts w:ascii="Palatino Linotype" w:eastAsia="Palatino Linotype" w:hAnsi="Palatino Linotype" w:cs="Palatino Linotype"/>
        </w:rPr>
        <w:lastRenderedPageBreak/>
        <w:t>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780A766" w14:textId="77777777" w:rsidR="005A38D1" w:rsidRDefault="005A38D1">
      <w:pPr>
        <w:spacing w:line="360" w:lineRule="auto"/>
        <w:ind w:right="51"/>
        <w:jc w:val="both"/>
        <w:rPr>
          <w:rFonts w:ascii="Palatino Linotype" w:eastAsia="Palatino Linotype" w:hAnsi="Palatino Linotype" w:cs="Palatino Linotype"/>
        </w:rPr>
      </w:pPr>
    </w:p>
    <w:p w14:paraId="2DA2DC35"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5BE6A329" w14:textId="77777777" w:rsidR="005A38D1" w:rsidRDefault="005A38D1">
      <w:pPr>
        <w:spacing w:line="360" w:lineRule="auto"/>
        <w:jc w:val="both"/>
        <w:rPr>
          <w:rFonts w:ascii="Palatino Linotype" w:eastAsia="Palatino Linotype" w:hAnsi="Palatino Linotype" w:cs="Palatino Linotype"/>
        </w:rPr>
      </w:pPr>
    </w:p>
    <w:p w14:paraId="3A0E47CB" w14:textId="77777777" w:rsidR="005A38D1" w:rsidRDefault="000C448D">
      <w:pPr>
        <w:numPr>
          <w:ilvl w:val="0"/>
          <w:numId w:val="4"/>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50E4FFCD" w14:textId="77777777" w:rsidR="005A38D1" w:rsidRDefault="000C448D">
      <w:pPr>
        <w:numPr>
          <w:ilvl w:val="0"/>
          <w:numId w:val="4"/>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7C363921" w14:textId="77777777" w:rsidR="005A38D1" w:rsidRDefault="000C448D">
      <w:pPr>
        <w:numPr>
          <w:ilvl w:val="0"/>
          <w:numId w:val="4"/>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473AA923" w14:textId="77777777" w:rsidR="005A38D1" w:rsidRDefault="005A38D1">
      <w:pPr>
        <w:tabs>
          <w:tab w:val="left" w:pos="851"/>
        </w:tabs>
        <w:spacing w:line="360" w:lineRule="auto"/>
        <w:ind w:left="568"/>
        <w:jc w:val="both"/>
        <w:rPr>
          <w:rFonts w:ascii="Palatino Linotype" w:eastAsia="Palatino Linotype" w:hAnsi="Palatino Linotype" w:cs="Palatino Linotype"/>
        </w:rPr>
      </w:pPr>
    </w:p>
    <w:p w14:paraId="30779130"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no pierde el carácter de pública, sino que se reserva temporalmente del conocimiento público, es decir, que, por un tiempo determinado, se conservará y </w:t>
      </w:r>
      <w:r>
        <w:rPr>
          <w:rFonts w:ascii="Palatino Linotype" w:eastAsia="Palatino Linotype" w:hAnsi="Palatino Linotype" w:cs="Palatino Linotype"/>
        </w:rPr>
        <w:lastRenderedPageBreak/>
        <w:t>custodiará la información de manera especial, y una vez transcurrido el plazo de reserva, el documento podrá divulgarse.</w:t>
      </w:r>
    </w:p>
    <w:p w14:paraId="7609A05F" w14:textId="77777777" w:rsidR="005A38D1" w:rsidRDefault="005A38D1">
      <w:pPr>
        <w:spacing w:line="360" w:lineRule="auto"/>
        <w:jc w:val="both"/>
        <w:rPr>
          <w:rFonts w:ascii="Palatino Linotype" w:eastAsia="Palatino Linotype" w:hAnsi="Palatino Linotype" w:cs="Palatino Linotype"/>
        </w:rPr>
      </w:pPr>
    </w:p>
    <w:p w14:paraId="6A5A56B8"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6BDB493" w14:textId="77777777" w:rsidR="005A38D1" w:rsidRDefault="005A38D1">
      <w:pPr>
        <w:spacing w:line="360" w:lineRule="auto"/>
        <w:jc w:val="both"/>
        <w:rPr>
          <w:rFonts w:ascii="Palatino Linotype" w:eastAsia="Palatino Linotype" w:hAnsi="Palatino Linotype" w:cs="Palatino Linotype"/>
        </w:rPr>
      </w:pPr>
    </w:p>
    <w:p w14:paraId="56C53C2D" w14:textId="77777777" w:rsidR="005A38D1" w:rsidRDefault="000C448D">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 LA CLASIFICACIÓN DE LA INFORMACIÓN COMO TOTALMENTE CONFIDENCIAL.</w:t>
      </w:r>
    </w:p>
    <w:p w14:paraId="67A25CD7" w14:textId="77777777" w:rsidR="005A38D1" w:rsidRDefault="005A38D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5AD0A3C8" w14:textId="77777777" w:rsidR="005A38D1" w:rsidRDefault="000C448D">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w:t>
      </w:r>
      <w:r>
        <w:rPr>
          <w:rFonts w:ascii="Palatino Linotype" w:eastAsia="Palatino Linotype" w:hAnsi="Palatino Linotype" w:cs="Palatino Linotype"/>
        </w:rPr>
        <w:lastRenderedPageBreak/>
        <w:t>Datos Personales en Posesión de los Sujetos Obligados del Estado de México y Municipios.</w:t>
      </w:r>
    </w:p>
    <w:p w14:paraId="11281D48" w14:textId="77777777" w:rsidR="005A38D1" w:rsidRDefault="005A38D1">
      <w:pPr>
        <w:tabs>
          <w:tab w:val="left" w:pos="709"/>
        </w:tabs>
        <w:spacing w:line="360" w:lineRule="auto"/>
        <w:jc w:val="both"/>
        <w:rPr>
          <w:rFonts w:ascii="Palatino Linotype" w:eastAsia="Palatino Linotype" w:hAnsi="Palatino Linotype" w:cs="Palatino Linotype"/>
        </w:rPr>
      </w:pPr>
    </w:p>
    <w:p w14:paraId="4AF7FCAB" w14:textId="77777777" w:rsidR="005A38D1" w:rsidRDefault="000C448D">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6A4F7BA" w14:textId="77777777" w:rsidR="005A38D1" w:rsidRDefault="005A38D1">
      <w:pPr>
        <w:spacing w:line="360" w:lineRule="auto"/>
        <w:ind w:right="51"/>
        <w:jc w:val="both"/>
        <w:rPr>
          <w:rFonts w:ascii="Palatino Linotype" w:eastAsia="Palatino Linotype" w:hAnsi="Palatino Linotype" w:cs="Palatino Linotype"/>
          <w:b/>
        </w:rPr>
      </w:pPr>
    </w:p>
    <w:p w14:paraId="21C0589D" w14:textId="77777777" w:rsidR="005A38D1" w:rsidRDefault="000C448D">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 LA DECLARATORIA DE INEXISTENCIA DE LA INFORMACIÓN.</w:t>
      </w:r>
    </w:p>
    <w:p w14:paraId="6B1441CB" w14:textId="77777777" w:rsidR="005A38D1" w:rsidRDefault="005A38D1">
      <w:pPr>
        <w:spacing w:line="360" w:lineRule="auto"/>
        <w:ind w:right="51"/>
        <w:jc w:val="both"/>
        <w:rPr>
          <w:rFonts w:ascii="Palatino Linotype" w:eastAsia="Palatino Linotype" w:hAnsi="Palatino Linotype" w:cs="Palatino Linotype"/>
        </w:rPr>
      </w:pPr>
    </w:p>
    <w:p w14:paraId="032D02E2"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0D44E92" w14:textId="77777777" w:rsidR="005A38D1" w:rsidRDefault="005A38D1">
      <w:pPr>
        <w:spacing w:line="360" w:lineRule="auto"/>
        <w:jc w:val="both"/>
        <w:rPr>
          <w:rFonts w:ascii="Palatino Linotype" w:eastAsia="Palatino Linotype" w:hAnsi="Palatino Linotype" w:cs="Palatino Linotype"/>
        </w:rPr>
      </w:pPr>
    </w:p>
    <w:p w14:paraId="1BD73945"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ABCCAC8" w14:textId="77777777" w:rsidR="005A38D1" w:rsidRDefault="005A38D1">
      <w:pPr>
        <w:spacing w:line="360" w:lineRule="auto"/>
        <w:jc w:val="both"/>
        <w:rPr>
          <w:rFonts w:ascii="Palatino Linotype" w:eastAsia="Palatino Linotype" w:hAnsi="Palatino Linotype" w:cs="Palatino Linotype"/>
        </w:rPr>
      </w:pPr>
    </w:p>
    <w:p w14:paraId="27BC35C5"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A679B9B" w14:textId="77777777" w:rsidR="005A38D1" w:rsidRDefault="005A38D1">
      <w:pPr>
        <w:spacing w:line="360" w:lineRule="auto"/>
        <w:jc w:val="both"/>
        <w:rPr>
          <w:rFonts w:ascii="Palatino Linotype" w:eastAsia="Palatino Linotype" w:hAnsi="Palatino Linotype" w:cs="Palatino Linotype"/>
        </w:rPr>
      </w:pPr>
    </w:p>
    <w:p w14:paraId="73C98FBA"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69BCDAE"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rPr>
      </w:pPr>
    </w:p>
    <w:p w14:paraId="722E5078" w14:textId="77777777" w:rsidR="005A38D1" w:rsidRDefault="000C448D">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b/>
          <w:i/>
          <w:color w:val="404040"/>
          <w:sz w:val="22"/>
          <w:szCs w:val="22"/>
        </w:rPr>
        <w:t xml:space="preserve">INEXISTENCIA DE LA INFORMACIÓN. SUPUESTOS PARA EMITIR LA RESOLUCIÓN DE LA. </w:t>
      </w:r>
      <w:r>
        <w:rPr>
          <w:rFonts w:ascii="Palatino Linotype" w:eastAsia="Palatino Linotype" w:hAnsi="Palatino Linotype" w:cs="Palatino Linotype"/>
          <w:i/>
          <w:color w:val="404040"/>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w:t>
      </w:r>
      <w:r>
        <w:rPr>
          <w:rFonts w:ascii="Palatino Linotype" w:eastAsia="Palatino Linotype" w:hAnsi="Palatino Linotype" w:cs="Palatino Linotype"/>
          <w:i/>
          <w:color w:val="404040"/>
          <w:sz w:val="22"/>
          <w:szCs w:val="22"/>
        </w:rPr>
        <w:lastRenderedPageBreak/>
        <w:t>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5D1F7A3" w14:textId="77777777" w:rsidR="005A38D1" w:rsidRDefault="005A38D1">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14:paraId="131625B9"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atienda la solicitud de acceso a la información, atendiendo lo señalado en el presente Considerando.</w:t>
      </w:r>
    </w:p>
    <w:p w14:paraId="53B1E746" w14:textId="77777777" w:rsidR="005A38D1" w:rsidRDefault="005A38D1">
      <w:pPr>
        <w:spacing w:line="360" w:lineRule="auto"/>
        <w:jc w:val="both"/>
        <w:rPr>
          <w:rFonts w:ascii="Palatino Linotype" w:eastAsia="Palatino Linotype" w:hAnsi="Palatino Linotype" w:cs="Palatino Linotype"/>
        </w:rPr>
      </w:pPr>
    </w:p>
    <w:p w14:paraId="6B0243B1" w14:textId="77777777" w:rsidR="005A38D1" w:rsidRDefault="000C448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dar vista a la </w:t>
      </w:r>
      <w:r>
        <w:rPr>
          <w:rFonts w:ascii="Palatino Linotype" w:eastAsia="Palatino Linotype" w:hAnsi="Palatino Linotype" w:cs="Palatino Linotype"/>
          <w:b/>
        </w:rPr>
        <w:t>Secretaría Técnica del Pleno</w:t>
      </w:r>
      <w:r>
        <w:rPr>
          <w:rFonts w:ascii="Palatino Linotype" w:eastAsia="Palatino Linotype" w:hAnsi="Palatino Linotype" w:cs="Palatino Linotype"/>
        </w:rPr>
        <w:t xml:space="preserve"> a efecto de que ejerza las atribuciones previstas en la normatividad aplicable y comunique al Órgano Interno de Control competente para que éste último, en ejercicio de sus atribuciones resuelva lo conducente y determine en su caso el grado de responsabilidad en el incumplimiento de las obligaciones establecidas en la citada ley. </w:t>
      </w:r>
    </w:p>
    <w:p w14:paraId="50EBC048" w14:textId="77777777" w:rsidR="005A38D1" w:rsidRDefault="005A38D1">
      <w:pPr>
        <w:spacing w:line="360" w:lineRule="auto"/>
        <w:ind w:right="49"/>
        <w:jc w:val="both"/>
        <w:rPr>
          <w:rFonts w:ascii="Palatino Linotype" w:eastAsia="Palatino Linotype" w:hAnsi="Palatino Linotype" w:cs="Palatino Linotype"/>
        </w:rPr>
      </w:pPr>
    </w:p>
    <w:p w14:paraId="7F3C620B" w14:textId="77777777" w:rsidR="005A38D1" w:rsidRDefault="000C448D">
      <w:pPr>
        <w:spacing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lastRenderedPageBreak/>
        <w:t>Así, con fundamento en lo prescrito en los</w:t>
      </w:r>
      <w:r>
        <w:t xml:space="preserve"> </w:t>
      </w:r>
      <w:r>
        <w:rPr>
          <w:rFonts w:ascii="Palatino Linotype" w:eastAsia="Palatino Linotype" w:hAnsi="Palatino Linotype" w:cs="Palatino Linotype"/>
        </w:rPr>
        <w:t xml:space="preserve">artículos </w:t>
      </w:r>
      <w:r w:rsidR="00E2096C">
        <w:rPr>
          <w:rFonts w:ascii="Palatino Linotype" w:eastAsia="Palatino Linotype" w:hAnsi="Palatino Linotype" w:cs="Palatino Linotype"/>
        </w:rPr>
        <w:t xml:space="preserve">5 párrafos </w:t>
      </w:r>
      <w:r w:rsidR="00E2096C" w:rsidRPr="00E2096C">
        <w:rPr>
          <w:rFonts w:ascii="Palatino Linotype" w:eastAsia="Palatino Linotype" w:hAnsi="Palatino Linotype" w:cs="Palatino Linotype"/>
        </w:rPr>
        <w:t>trigésimo segundo, trigésimo tercero y trigésimo cuarto</w:t>
      </w:r>
      <w:r w:rsidR="00E2096C" w:rsidRPr="00E2096C">
        <w:rPr>
          <w:rFonts w:ascii="Palatino Linotype" w:eastAsia="Palatino Linotype" w:hAnsi="Palatino Linotype" w:cs="Palatino Linotype"/>
          <w:strike/>
        </w:rPr>
        <w:t xml:space="preserve"> </w:t>
      </w:r>
      <w:r w:rsidR="00E2096C">
        <w:rPr>
          <w:rFonts w:ascii="Palatino Linotype" w:eastAsia="Palatino Linotype" w:hAnsi="Palatino Linotype" w:cs="Palatino Linotype"/>
        </w:rPr>
        <w:t xml:space="preserve">fracciones IV y V </w:t>
      </w:r>
      <w:r>
        <w:rPr>
          <w:rFonts w:ascii="Palatino Linotype" w:eastAsia="Palatino Linotype" w:hAnsi="Palatino Linotype" w:cs="Palatino Linotype"/>
        </w:rPr>
        <w:t>de la Constitución Política del Estado Libre y Soberano de México; 2, fracción II; 29, 36 fracciones I y II; 176, 178, 181, 185, fracción I, 186 y 188 de la Ley de Transparencia y Acceso a la Información Pública del Estado de México y Municipios, este Pleno</w:t>
      </w:r>
    </w:p>
    <w:p w14:paraId="4A8A42AC" w14:textId="77777777" w:rsidR="005A38D1" w:rsidRDefault="005A38D1">
      <w:pPr>
        <w:spacing w:line="360" w:lineRule="auto"/>
        <w:jc w:val="both"/>
        <w:rPr>
          <w:rFonts w:ascii="Palatino Linotype" w:eastAsia="Palatino Linotype" w:hAnsi="Palatino Linotype" w:cs="Palatino Linotype"/>
        </w:rPr>
      </w:pPr>
    </w:p>
    <w:p w14:paraId="352C91EF" w14:textId="77777777" w:rsidR="005A38D1" w:rsidRDefault="000C448D">
      <w:pPr>
        <w:pBdr>
          <w:top w:val="nil"/>
          <w:left w:val="nil"/>
          <w:bottom w:val="nil"/>
          <w:right w:val="nil"/>
          <w:between w:val="nil"/>
        </w:pBd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09E74250" w14:textId="77777777" w:rsidR="005A38D1" w:rsidRDefault="005A38D1">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4" w:name="_heading=h.4d34og8" w:colFirst="0" w:colLast="0"/>
      <w:bookmarkEnd w:id="4"/>
    </w:p>
    <w:p w14:paraId="07E7AB4B" w14:textId="77777777" w:rsidR="005A38D1" w:rsidRDefault="000C448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w:t>
      </w:r>
      <w:r>
        <w:rPr>
          <w:rFonts w:ascii="Palatino Linotype" w:eastAsia="Palatino Linotype" w:hAnsi="Palatino Linotype" w:cs="Palatino Linotype"/>
          <w:b/>
        </w:rPr>
        <w:t>CONSIDERANDO</w:t>
      </w:r>
      <w:r>
        <w:rPr>
          <w:rFonts w:ascii="Palatino Linotype" w:eastAsia="Palatino Linotype" w:hAnsi="Palatino Linotype" w:cs="Palatino Linotype"/>
        </w:rPr>
        <w:t xml:space="preserve">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5DA30083" w14:textId="77777777" w:rsidR="005A38D1" w:rsidRDefault="005A38D1">
      <w:pPr>
        <w:spacing w:line="360" w:lineRule="auto"/>
        <w:ind w:right="49"/>
        <w:jc w:val="both"/>
        <w:rPr>
          <w:rFonts w:ascii="Palatino Linotype" w:eastAsia="Palatino Linotype" w:hAnsi="Palatino Linotype" w:cs="Palatino Linotype"/>
        </w:rPr>
      </w:pPr>
    </w:p>
    <w:p w14:paraId="51577822" w14:textId="77777777" w:rsidR="005A38D1" w:rsidRDefault="000C448D">
      <w:pPr>
        <w:spacing w:line="360" w:lineRule="auto"/>
        <w:jc w:val="both"/>
        <w:rPr>
          <w:rFonts w:ascii="Palatino Linotype" w:eastAsia="Palatino Linotype" w:hAnsi="Palatino Linotype" w:cs="Palatino Linotype"/>
        </w:rPr>
      </w:pPr>
      <w:bookmarkStart w:id="5" w:name="_heading=h.3dy6vkm" w:colFirst="0" w:colLast="0"/>
      <w:bookmarkEnd w:id="5"/>
      <w:r>
        <w:rPr>
          <w:rFonts w:ascii="Palatino Linotype" w:eastAsia="Palatino Linotype" w:hAnsi="Palatino Linotype" w:cs="Palatino Linotype"/>
          <w:b/>
        </w:rPr>
        <w:t>SEGUNDO.</w:t>
      </w:r>
      <w:r>
        <w:rPr>
          <w:rFonts w:ascii="Palatino Linotype" w:eastAsia="Palatino Linotype" w:hAnsi="Palatino Linotype" w:cs="Palatino Linotype"/>
        </w:rPr>
        <w:t xml:space="preserve">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atienda la Solicitud de Acceso a la Información Pública </w:t>
      </w:r>
      <w:r>
        <w:rPr>
          <w:rFonts w:ascii="Palatino Linotype" w:eastAsia="Palatino Linotype" w:hAnsi="Palatino Linotype" w:cs="Palatino Linotype"/>
          <w:b/>
        </w:rPr>
        <w:t xml:space="preserve">00028/DIFTECAMAC/IP/2022, </w:t>
      </w:r>
      <w:r>
        <w:rPr>
          <w:rFonts w:ascii="Palatino Linotype" w:eastAsia="Palatino Linotype" w:hAnsi="Palatino Linotype" w:cs="Palatino Linotype"/>
        </w:rPr>
        <w:t xml:space="preserve">que dio origen al recurso de revisión </w:t>
      </w:r>
      <w:r>
        <w:rPr>
          <w:rFonts w:ascii="Palatino Linotype" w:eastAsia="Palatino Linotype" w:hAnsi="Palatino Linotype" w:cs="Palatino Linotype"/>
          <w:b/>
        </w:rPr>
        <w:t>04244/INFOEM/IP/RR/2023</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23A88253" w14:textId="77777777" w:rsidR="005A38D1" w:rsidRDefault="005A38D1">
      <w:pPr>
        <w:spacing w:line="360" w:lineRule="auto"/>
        <w:jc w:val="both"/>
        <w:rPr>
          <w:rFonts w:ascii="Palatino Linotype" w:eastAsia="Palatino Linotype" w:hAnsi="Palatino Linotype" w:cs="Palatino Linotype"/>
        </w:rPr>
      </w:pPr>
    </w:p>
    <w:p w14:paraId="129C790E" w14:textId="77777777" w:rsidR="005A38D1" w:rsidRDefault="000C448D">
      <w:pPr>
        <w:spacing w:line="360" w:lineRule="auto"/>
        <w:jc w:val="both"/>
        <w:rPr>
          <w:rFonts w:ascii="Palatino Linotype" w:eastAsia="Palatino Linotype" w:hAnsi="Palatino Linotype" w:cs="Palatino Linotype"/>
        </w:rPr>
      </w:pPr>
      <w:bookmarkStart w:id="6" w:name="_heading=h.3znysh7" w:colFirst="0" w:colLast="0"/>
      <w:bookmarkEnd w:id="6"/>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vía SAIMEX,</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w:t>
      </w:r>
      <w:r>
        <w:rPr>
          <w:rFonts w:ascii="Palatino Linotype" w:eastAsia="Palatino Linotype" w:hAnsi="Palatino Linotype" w:cs="Palatino Linotype"/>
        </w:rPr>
        <w:lastRenderedPageBreak/>
        <w:t>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DCCBD4" w14:textId="77777777" w:rsidR="005A38D1" w:rsidRDefault="005A38D1">
      <w:pPr>
        <w:spacing w:line="360" w:lineRule="auto"/>
        <w:jc w:val="both"/>
        <w:rPr>
          <w:rFonts w:ascii="Palatino Linotype" w:eastAsia="Palatino Linotype" w:hAnsi="Palatino Linotype" w:cs="Palatino Linotype"/>
          <w:b/>
        </w:rPr>
      </w:pPr>
    </w:p>
    <w:p w14:paraId="0C845145"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vía SAIMEX,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B2E81F5" w14:textId="77777777" w:rsidR="005A38D1" w:rsidRDefault="005A38D1">
      <w:pPr>
        <w:spacing w:line="360" w:lineRule="auto"/>
        <w:jc w:val="both"/>
        <w:rPr>
          <w:rFonts w:ascii="Palatino Linotype" w:eastAsia="Palatino Linotype" w:hAnsi="Palatino Linotype" w:cs="Palatino Linotype"/>
        </w:rPr>
      </w:pPr>
    </w:p>
    <w:p w14:paraId="523C6F31"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que la respuesta que dé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38286CF" w14:textId="77777777" w:rsidR="005A38D1" w:rsidRDefault="005A38D1">
      <w:pPr>
        <w:spacing w:line="360" w:lineRule="auto"/>
        <w:jc w:val="both"/>
        <w:rPr>
          <w:rFonts w:ascii="Palatino Linotype" w:eastAsia="Palatino Linotype" w:hAnsi="Palatino Linotype" w:cs="Palatino Linotype"/>
          <w:b/>
        </w:rPr>
      </w:pPr>
    </w:p>
    <w:p w14:paraId="717AB57F" w14:textId="77777777" w:rsidR="005A38D1" w:rsidRDefault="000C44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 la</w:t>
      </w:r>
      <w:r>
        <w:rPr>
          <w:rFonts w:ascii="Palatino Linotype" w:eastAsia="Palatino Linotype" w:hAnsi="Palatino Linotype" w:cs="Palatino Linotype"/>
          <w:b/>
        </w:rPr>
        <w:t xml:space="preserve"> Secretaría Técnica del Pleno </w:t>
      </w:r>
      <w:r>
        <w:rPr>
          <w:rFonts w:ascii="Palatino Linotype" w:eastAsia="Palatino Linotype" w:hAnsi="Palatino Linotype" w:cs="Palatino Linotype"/>
        </w:rPr>
        <w:t xml:space="preserve">de este Instituto a fin de que en ejercicio de sus atribuciones haga del conocimiento del Órgano Interno de Control competente la presente resolución, para que de conformidad con el artículo 190, de la Ley de Transparencia y Acceso a la Información Pública del Estado de </w:t>
      </w:r>
      <w:r>
        <w:rPr>
          <w:rFonts w:ascii="Palatino Linotype" w:eastAsia="Palatino Linotype" w:hAnsi="Palatino Linotype" w:cs="Palatino Linotype"/>
        </w:rPr>
        <w:lastRenderedPageBreak/>
        <w:t xml:space="preserve">México y Municipios, determine lo conducente, en términos de lo señalado en 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este fallo.</w:t>
      </w:r>
    </w:p>
    <w:p w14:paraId="0B91C48C" w14:textId="77777777" w:rsidR="005A38D1" w:rsidRDefault="005A38D1">
      <w:pPr>
        <w:spacing w:line="360" w:lineRule="auto"/>
        <w:jc w:val="both"/>
        <w:rPr>
          <w:rFonts w:ascii="Palatino Linotype" w:eastAsia="Palatino Linotype" w:hAnsi="Palatino Linotype" w:cs="Palatino Linotype"/>
        </w:rPr>
      </w:pPr>
    </w:p>
    <w:p w14:paraId="722DE8A0" w14:textId="77777777" w:rsidR="005A38D1" w:rsidRDefault="000C448D">
      <w:pPr>
        <w:spacing w:line="360" w:lineRule="auto"/>
        <w:jc w:val="both"/>
        <w:rPr>
          <w:rFonts w:ascii="Palatino Linotype" w:eastAsia="Palatino Linotype" w:hAnsi="Palatino Linotype" w:cs="Palatino Linotype"/>
        </w:rPr>
      </w:pPr>
      <w:bookmarkStart w:id="7" w:name="_heading=h.1t3h5sf" w:colFirst="0" w:colLast="0"/>
      <w:bookmarkEnd w:id="7"/>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VEINTITRÉS DE AGOSTO DE DOS MIL VEINTITRÉS, ANTE EL SECRETARIO TÉCNICO DEL PLENO ALEXIS TAPIA RAMÍREZ.</w:t>
      </w:r>
    </w:p>
    <w:p w14:paraId="6642440C" w14:textId="77777777" w:rsidR="005A38D1" w:rsidRDefault="005A38D1">
      <w:pPr>
        <w:spacing w:line="360" w:lineRule="auto"/>
        <w:jc w:val="both"/>
        <w:rPr>
          <w:rFonts w:ascii="Palatino Linotype" w:eastAsia="Palatino Linotype" w:hAnsi="Palatino Linotype" w:cs="Palatino Linotype"/>
        </w:rPr>
      </w:pPr>
    </w:p>
    <w:p w14:paraId="17397F5E" w14:textId="77777777" w:rsidR="005A38D1" w:rsidRDefault="005A38D1">
      <w:pPr>
        <w:spacing w:line="360" w:lineRule="auto"/>
        <w:jc w:val="both"/>
        <w:rPr>
          <w:rFonts w:ascii="Palatino Linotype" w:eastAsia="Palatino Linotype" w:hAnsi="Palatino Linotype" w:cs="Palatino Linotype"/>
        </w:rPr>
      </w:pPr>
    </w:p>
    <w:p w14:paraId="13D7E80E" w14:textId="77777777" w:rsidR="005A38D1" w:rsidRDefault="005A38D1">
      <w:pPr>
        <w:spacing w:line="360" w:lineRule="auto"/>
        <w:jc w:val="both"/>
        <w:rPr>
          <w:rFonts w:ascii="Palatino Linotype" w:eastAsia="Palatino Linotype" w:hAnsi="Palatino Linotype" w:cs="Palatino Linotype"/>
        </w:rPr>
      </w:pPr>
    </w:p>
    <w:p w14:paraId="5CEE2FAF" w14:textId="77777777" w:rsidR="005A38D1" w:rsidRDefault="005A38D1">
      <w:pPr>
        <w:spacing w:line="360" w:lineRule="auto"/>
        <w:jc w:val="both"/>
        <w:rPr>
          <w:rFonts w:ascii="Palatino Linotype" w:eastAsia="Palatino Linotype" w:hAnsi="Palatino Linotype" w:cs="Palatino Linotype"/>
        </w:rPr>
      </w:pPr>
    </w:p>
    <w:p w14:paraId="38A83B2B" w14:textId="77777777" w:rsidR="005A38D1" w:rsidRDefault="005A38D1">
      <w:pPr>
        <w:spacing w:line="360" w:lineRule="auto"/>
        <w:jc w:val="both"/>
        <w:rPr>
          <w:rFonts w:ascii="Palatino Linotype" w:eastAsia="Palatino Linotype" w:hAnsi="Palatino Linotype" w:cs="Palatino Linotype"/>
        </w:rPr>
      </w:pPr>
    </w:p>
    <w:p w14:paraId="28F2BE5C" w14:textId="77777777" w:rsidR="005A38D1" w:rsidRDefault="005A38D1">
      <w:pPr>
        <w:spacing w:line="360" w:lineRule="auto"/>
        <w:jc w:val="both"/>
        <w:rPr>
          <w:rFonts w:ascii="Palatino Linotype" w:eastAsia="Palatino Linotype" w:hAnsi="Palatino Linotype" w:cs="Palatino Linotype"/>
        </w:rPr>
      </w:pPr>
    </w:p>
    <w:p w14:paraId="037D8BD1" w14:textId="77777777" w:rsidR="005A38D1" w:rsidRDefault="005A38D1">
      <w:pPr>
        <w:spacing w:line="360" w:lineRule="auto"/>
        <w:jc w:val="both"/>
        <w:rPr>
          <w:rFonts w:ascii="Palatino Linotype" w:eastAsia="Palatino Linotype" w:hAnsi="Palatino Linotype" w:cs="Palatino Linotype"/>
        </w:rPr>
      </w:pPr>
    </w:p>
    <w:p w14:paraId="026993D7" w14:textId="77777777" w:rsidR="005A38D1" w:rsidRDefault="005A38D1">
      <w:pPr>
        <w:spacing w:line="360" w:lineRule="auto"/>
        <w:jc w:val="both"/>
        <w:rPr>
          <w:rFonts w:ascii="Palatino Linotype" w:eastAsia="Palatino Linotype" w:hAnsi="Palatino Linotype" w:cs="Palatino Linotype"/>
        </w:rPr>
      </w:pPr>
    </w:p>
    <w:p w14:paraId="27595A73" w14:textId="77777777" w:rsidR="005A38D1" w:rsidRDefault="005A38D1">
      <w:pPr>
        <w:spacing w:line="360" w:lineRule="auto"/>
        <w:jc w:val="both"/>
        <w:rPr>
          <w:rFonts w:ascii="Palatino Linotype" w:eastAsia="Palatino Linotype" w:hAnsi="Palatino Linotype" w:cs="Palatino Linotype"/>
        </w:rPr>
      </w:pPr>
    </w:p>
    <w:p w14:paraId="29EFC23A" w14:textId="77777777" w:rsidR="005A38D1" w:rsidRDefault="005A38D1">
      <w:pPr>
        <w:spacing w:line="360" w:lineRule="auto"/>
        <w:jc w:val="both"/>
        <w:rPr>
          <w:rFonts w:ascii="Palatino Linotype" w:eastAsia="Palatino Linotype" w:hAnsi="Palatino Linotype" w:cs="Palatino Linotype"/>
        </w:rPr>
      </w:pPr>
    </w:p>
    <w:p w14:paraId="6DFAEA62" w14:textId="77777777" w:rsidR="005A38D1" w:rsidRDefault="005A38D1">
      <w:pPr>
        <w:spacing w:line="360" w:lineRule="auto"/>
        <w:jc w:val="both"/>
        <w:rPr>
          <w:rFonts w:ascii="Palatino Linotype" w:eastAsia="Palatino Linotype" w:hAnsi="Palatino Linotype" w:cs="Palatino Linotype"/>
        </w:rPr>
      </w:pPr>
    </w:p>
    <w:p w14:paraId="4DFE9E19" w14:textId="77777777" w:rsidR="005A38D1" w:rsidRDefault="005A38D1">
      <w:pPr>
        <w:spacing w:line="360" w:lineRule="auto"/>
        <w:jc w:val="both"/>
        <w:rPr>
          <w:rFonts w:ascii="Palatino Linotype" w:eastAsia="Palatino Linotype" w:hAnsi="Palatino Linotype" w:cs="Palatino Linotype"/>
        </w:rPr>
      </w:pPr>
    </w:p>
    <w:p w14:paraId="3C03FF85" w14:textId="77777777" w:rsidR="005A38D1" w:rsidRDefault="005A38D1">
      <w:pPr>
        <w:spacing w:line="360" w:lineRule="auto"/>
        <w:jc w:val="both"/>
        <w:rPr>
          <w:rFonts w:ascii="Palatino Linotype" w:eastAsia="Palatino Linotype" w:hAnsi="Palatino Linotype" w:cs="Palatino Linotype"/>
        </w:rPr>
      </w:pPr>
    </w:p>
    <w:sectPr w:rsidR="005A38D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6FCC9" w14:textId="77777777" w:rsidR="0042677B" w:rsidRDefault="0042677B">
      <w:r>
        <w:separator/>
      </w:r>
    </w:p>
  </w:endnote>
  <w:endnote w:type="continuationSeparator" w:id="0">
    <w:p w14:paraId="2569F7D5" w14:textId="77777777" w:rsidR="0042677B" w:rsidRDefault="0042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0C7C" w14:textId="77777777" w:rsidR="005A38D1" w:rsidRDefault="000C448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2096C">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2096C">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75BABBBF" w14:textId="77777777" w:rsidR="005A38D1" w:rsidRDefault="005A38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F428" w14:textId="77777777" w:rsidR="005A38D1" w:rsidRDefault="000C448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2096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2096C">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51B0A881" w14:textId="77777777" w:rsidR="005A38D1" w:rsidRDefault="005A38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B5196" w14:textId="77777777" w:rsidR="0042677B" w:rsidRDefault="0042677B">
      <w:r>
        <w:separator/>
      </w:r>
    </w:p>
  </w:footnote>
  <w:footnote w:type="continuationSeparator" w:id="0">
    <w:p w14:paraId="44C9872C" w14:textId="77777777" w:rsidR="0042677B" w:rsidRDefault="0042677B">
      <w:r>
        <w:continuationSeparator/>
      </w:r>
    </w:p>
  </w:footnote>
  <w:footnote w:id="1">
    <w:p w14:paraId="207B7017" w14:textId="77777777" w:rsidR="005A38D1" w:rsidRDefault="000C448D">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89C5" w14:textId="77777777" w:rsidR="005A38D1" w:rsidRDefault="000C448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5CAB68E3" wp14:editId="36E3A119">
          <wp:simplePos x="0" y="0"/>
          <wp:positionH relativeFrom="column">
            <wp:posOffset>-1079499</wp:posOffset>
          </wp:positionH>
          <wp:positionV relativeFrom="paragraph">
            <wp:posOffset>-487679</wp:posOffset>
          </wp:positionV>
          <wp:extent cx="7809865" cy="10165715"/>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812" w:type="dxa"/>
      <w:tblInd w:w="2830" w:type="dxa"/>
      <w:tblLayout w:type="fixed"/>
      <w:tblLook w:val="0400" w:firstRow="0" w:lastRow="0" w:firstColumn="0" w:lastColumn="0" w:noHBand="0" w:noVBand="1"/>
    </w:tblPr>
    <w:tblGrid>
      <w:gridCol w:w="2410"/>
      <w:gridCol w:w="3402"/>
    </w:tblGrid>
    <w:tr w:rsidR="005A38D1" w14:paraId="033E417D" w14:textId="77777777">
      <w:tc>
        <w:tcPr>
          <w:tcW w:w="2410" w:type="dxa"/>
          <w:shd w:val="clear" w:color="auto" w:fill="auto"/>
        </w:tcPr>
        <w:p w14:paraId="6C323A95" w14:textId="77777777" w:rsidR="005A38D1" w:rsidRDefault="000C44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5DFE638F" w14:textId="77777777" w:rsidR="005A38D1" w:rsidRDefault="000C448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04244/INFOEM/IP/RR/2023</w:t>
          </w:r>
        </w:p>
      </w:tc>
    </w:tr>
    <w:tr w:rsidR="005A38D1" w14:paraId="6A6E61DC" w14:textId="77777777">
      <w:trPr>
        <w:trHeight w:val="228"/>
      </w:trPr>
      <w:tc>
        <w:tcPr>
          <w:tcW w:w="2410" w:type="dxa"/>
          <w:shd w:val="clear" w:color="auto" w:fill="auto"/>
          <w:vAlign w:val="center"/>
        </w:tcPr>
        <w:p w14:paraId="06631867" w14:textId="77777777" w:rsidR="005A38D1" w:rsidRDefault="000C44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22ABDF8B" w14:textId="77777777" w:rsidR="005A38D1" w:rsidRDefault="000C448D">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w:t>
          </w:r>
        </w:p>
        <w:p w14:paraId="36ABA3D7" w14:textId="77777777" w:rsidR="005A38D1" w:rsidRDefault="000C448D">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Desarrollo Integral de la Familia </w:t>
          </w:r>
        </w:p>
        <w:p w14:paraId="71B93D37" w14:textId="77777777" w:rsidR="005A38D1" w:rsidRDefault="000C448D">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de Tecámac</w:t>
          </w:r>
        </w:p>
      </w:tc>
    </w:tr>
    <w:tr w:rsidR="005A38D1" w14:paraId="0084B920" w14:textId="77777777">
      <w:tc>
        <w:tcPr>
          <w:tcW w:w="2410" w:type="dxa"/>
          <w:shd w:val="clear" w:color="auto" w:fill="auto"/>
          <w:vAlign w:val="center"/>
        </w:tcPr>
        <w:p w14:paraId="27AD30EE" w14:textId="77777777" w:rsidR="005A38D1" w:rsidRDefault="000C448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14:paraId="3A3AE58A" w14:textId="77777777" w:rsidR="005A38D1" w:rsidRDefault="000C448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BEB9DE" w14:textId="77777777" w:rsidR="005A38D1" w:rsidRDefault="000C448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E230" w14:textId="77777777" w:rsidR="005A38D1" w:rsidRDefault="000C448D">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5A808F5" wp14:editId="2A6C86C8">
          <wp:simplePos x="0" y="0"/>
          <wp:positionH relativeFrom="column">
            <wp:posOffset>-1069339</wp:posOffset>
          </wp:positionH>
          <wp:positionV relativeFrom="paragraph">
            <wp:posOffset>-452754</wp:posOffset>
          </wp:positionV>
          <wp:extent cx="7809865" cy="10165715"/>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5A38D1" w14:paraId="70E771CB" w14:textId="77777777">
      <w:tc>
        <w:tcPr>
          <w:tcW w:w="2551" w:type="dxa"/>
          <w:shd w:val="clear" w:color="auto" w:fill="auto"/>
          <w:vAlign w:val="center"/>
        </w:tcPr>
        <w:p w14:paraId="54364113" w14:textId="77777777" w:rsidR="005A38D1" w:rsidRDefault="000C44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06B56A3" w14:textId="77777777" w:rsidR="005A38D1" w:rsidRDefault="000C448D">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04244/INFOEM/IP/RR/2023</w:t>
          </w:r>
        </w:p>
      </w:tc>
    </w:tr>
    <w:tr w:rsidR="005A38D1" w14:paraId="6D9620B5" w14:textId="77777777">
      <w:trPr>
        <w:trHeight w:val="130"/>
      </w:trPr>
      <w:tc>
        <w:tcPr>
          <w:tcW w:w="2551" w:type="dxa"/>
          <w:shd w:val="clear" w:color="auto" w:fill="auto"/>
          <w:vAlign w:val="center"/>
        </w:tcPr>
        <w:p w14:paraId="7A057CFE" w14:textId="77777777" w:rsidR="005A38D1" w:rsidRDefault="000C44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F990D0A" w14:textId="2B7518F3" w:rsidR="005A38D1" w:rsidRDefault="004F2C0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w:t>
          </w:r>
        </w:p>
      </w:tc>
    </w:tr>
    <w:tr w:rsidR="005A38D1" w14:paraId="10E8A67E" w14:textId="77777777">
      <w:trPr>
        <w:trHeight w:val="228"/>
      </w:trPr>
      <w:tc>
        <w:tcPr>
          <w:tcW w:w="2551" w:type="dxa"/>
          <w:shd w:val="clear" w:color="auto" w:fill="auto"/>
          <w:vAlign w:val="center"/>
        </w:tcPr>
        <w:p w14:paraId="3371A50F" w14:textId="77777777" w:rsidR="005A38D1" w:rsidRDefault="000C44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9D5FA1B" w14:textId="77777777" w:rsidR="005A38D1" w:rsidRDefault="000C448D">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Sistema Municipal para el Desarrollo Integral de la Familia de Tecámac </w:t>
          </w:r>
        </w:p>
      </w:tc>
    </w:tr>
    <w:tr w:rsidR="005A38D1" w14:paraId="2CC0C369" w14:textId="77777777">
      <w:tc>
        <w:tcPr>
          <w:tcW w:w="2551" w:type="dxa"/>
          <w:shd w:val="clear" w:color="auto" w:fill="auto"/>
          <w:vAlign w:val="center"/>
        </w:tcPr>
        <w:p w14:paraId="4847EA98" w14:textId="77777777" w:rsidR="005A38D1" w:rsidRDefault="000C44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9FF9340" w14:textId="77777777" w:rsidR="005A38D1" w:rsidRDefault="000C448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155FB8" w14:textId="77777777" w:rsidR="005A38D1" w:rsidRDefault="005A38D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F647C"/>
    <w:multiLevelType w:val="multilevel"/>
    <w:tmpl w:val="732CD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9695C25"/>
    <w:multiLevelType w:val="multilevel"/>
    <w:tmpl w:val="839EDB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7B56660"/>
    <w:multiLevelType w:val="multilevel"/>
    <w:tmpl w:val="61242F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F210CC"/>
    <w:multiLevelType w:val="multilevel"/>
    <w:tmpl w:val="39746A6A"/>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8D1"/>
    <w:rsid w:val="0001007A"/>
    <w:rsid w:val="000C448D"/>
    <w:rsid w:val="001051D6"/>
    <w:rsid w:val="002A37B0"/>
    <w:rsid w:val="0042677B"/>
    <w:rsid w:val="00456606"/>
    <w:rsid w:val="004F2C06"/>
    <w:rsid w:val="005A38D1"/>
    <w:rsid w:val="00700FEF"/>
    <w:rsid w:val="007302B7"/>
    <w:rsid w:val="008300CF"/>
    <w:rsid w:val="00D760AB"/>
    <w:rsid w:val="00E2096C"/>
    <w:rsid w:val="00EA15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59AC"/>
  <w15:docId w15:val="{479F00C1-8A6F-4267-95ED-3F0C46A7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left w:w="115" w:type="dxa"/>
        <w:right w:w="115" w:type="dxa"/>
      </w:tblCellMar>
    </w:tblPr>
  </w:style>
  <w:style w:type="table" w:customStyle="1" w:styleId="a2">
    <w:basedOn w:val="TableNormalb"/>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left w:w="115" w:type="dxa"/>
        <w:right w:w="115" w:type="dxa"/>
      </w:tblCellMar>
    </w:tblPr>
  </w:style>
  <w:style w:type="table" w:customStyle="1" w:styleId="a4">
    <w:basedOn w:val="TableNormalb"/>
    <w:tblPr>
      <w:tblStyleRowBandSize w:val="1"/>
      <w:tblStyleColBandSize w:val="1"/>
      <w:tblCellMar>
        <w:left w:w="115" w:type="dxa"/>
        <w:right w:w="115" w:type="dxa"/>
      </w:tblCellMar>
    </w:tblPr>
  </w:style>
  <w:style w:type="table" w:customStyle="1" w:styleId="a5">
    <w:basedOn w:val="TableNormala"/>
    <w:tblPr>
      <w:tblStyleRowBandSize w:val="1"/>
      <w:tblStyleColBandSize w:val="1"/>
      <w:tblCellMar>
        <w:left w:w="115" w:type="dxa"/>
        <w:right w:w="115" w:type="dxa"/>
      </w:tblCellMar>
    </w:tblPr>
  </w:style>
  <w:style w:type="table" w:customStyle="1" w:styleId="a6">
    <w:basedOn w:val="TableNormala"/>
    <w:tblPr>
      <w:tblStyleRowBandSize w:val="1"/>
      <w:tblStyleColBandSize w:val="1"/>
      <w:tblCellMar>
        <w:left w:w="115" w:type="dxa"/>
        <w:right w:w="115" w:type="dxa"/>
      </w:tblCellMar>
    </w:tblPr>
  </w:style>
  <w:style w:type="table" w:customStyle="1" w:styleId="a7">
    <w:basedOn w:val="TableNormal9"/>
    <w:tblPr>
      <w:tblStyleRowBandSize w:val="1"/>
      <w:tblStyleColBandSize w:val="1"/>
      <w:tblCellMar>
        <w:left w:w="115" w:type="dxa"/>
        <w:right w:w="115" w:type="dxa"/>
      </w:tblCellMar>
    </w:tblPr>
  </w:style>
  <w:style w:type="table" w:customStyle="1" w:styleId="a8">
    <w:basedOn w:val="TableNormal9"/>
    <w:tblPr>
      <w:tblStyleRowBandSize w:val="1"/>
      <w:tblStyleColBandSize w:val="1"/>
      <w:tblCellMar>
        <w:left w:w="115" w:type="dxa"/>
        <w:right w:w="115" w:type="dxa"/>
      </w:tblCellMar>
    </w:tblPr>
  </w:style>
  <w:style w:type="table" w:customStyle="1" w:styleId="a9">
    <w:basedOn w:val="TableNormal8"/>
    <w:tblPr>
      <w:tblStyleRowBandSize w:val="1"/>
      <w:tblStyleColBandSize w:val="1"/>
      <w:tblCellMar>
        <w:left w:w="115" w:type="dxa"/>
        <w:right w:w="115" w:type="dxa"/>
      </w:tblCellMar>
    </w:tblPr>
  </w:style>
  <w:style w:type="table" w:customStyle="1" w:styleId="aa">
    <w:basedOn w:val="TableNormal8"/>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7"/>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9JsspVvhznPnbmiwy05cR7zeCA==">CgMxLjAyCGguZ2pkZ3hzMg1oLnE5YTVwcXN0NnNvMgloLjJldDkycDAyCWguMWZvYjl0ZTIJaC40ZDM0b2c4MgloLjNkeTZ2a20yCWguM3pueXNoNzIJaC4xdDNoNXNmOAByITFOcl93MFAtdVcyVy1qV3J4bGlLYkJKZGszeWZSc29xUw==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7523</Words>
  <Characters>41381</Characters>
  <Application>Microsoft Office Word</Application>
  <DocSecurity>4</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2023-08-25T04:55:00Z</cp:lastPrinted>
  <dcterms:created xsi:type="dcterms:W3CDTF">2023-09-04T21:49:00Z</dcterms:created>
  <dcterms:modified xsi:type="dcterms:W3CDTF">2023-09-04T21:49:00Z</dcterms:modified>
</cp:coreProperties>
</file>