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D3098C" w:rsidRPr="00CA2D32">
        <w:rPr>
          <w:rFonts w:ascii="Palatino Linotype" w:eastAsia="Palatino Linotype" w:hAnsi="Palatino Linotype" w:cs="Palatino Linotype"/>
          <w:b/>
        </w:rPr>
        <w:t>veinticinco</w:t>
      </w:r>
      <w:r w:rsidR="002B7756" w:rsidRPr="00CA2D32">
        <w:rPr>
          <w:rFonts w:ascii="Palatino Linotype" w:eastAsia="Palatino Linotype" w:hAnsi="Palatino Linotype" w:cs="Palatino Linotype"/>
          <w:b/>
        </w:rPr>
        <w:t xml:space="preserve"> de octu</w:t>
      </w:r>
      <w:r w:rsidR="00FD173B" w:rsidRPr="00CA2D32">
        <w:rPr>
          <w:rFonts w:ascii="Palatino Linotype" w:eastAsia="Palatino Linotype" w:hAnsi="Palatino Linotype" w:cs="Palatino Linotype"/>
          <w:b/>
        </w:rPr>
        <w:t>bre</w:t>
      </w:r>
      <w:r w:rsidRPr="00CA2D32">
        <w:rPr>
          <w:rFonts w:ascii="Palatino Linotype" w:eastAsia="Palatino Linotype" w:hAnsi="Palatino Linotype" w:cs="Palatino Linotype"/>
          <w:b/>
        </w:rPr>
        <w:t xml:space="preserve"> de dos mil veintitrés</w:t>
      </w:r>
      <w:r w:rsidRPr="00CA2D32">
        <w:rPr>
          <w:rFonts w:ascii="Palatino Linotype" w:eastAsia="Palatino Linotype" w:hAnsi="Palatino Linotype" w:cs="Palatino Linotype"/>
        </w:rPr>
        <w:t xml:space="preserve">. </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Vistos</w:t>
      </w:r>
      <w:r w:rsidRPr="00CA2D32">
        <w:rPr>
          <w:rFonts w:ascii="Palatino Linotype" w:eastAsia="Palatino Linotype" w:hAnsi="Palatino Linotype" w:cs="Palatino Linotype"/>
        </w:rPr>
        <w:t xml:space="preserve"> los expedientes formados con motivo de los recursos de revisión </w:t>
      </w:r>
      <w:r w:rsidR="00D3098C" w:rsidRPr="00CA2D32">
        <w:rPr>
          <w:rFonts w:ascii="Palatino Linotype" w:eastAsia="Palatino Linotype" w:hAnsi="Palatino Linotype" w:cs="Palatino Linotype"/>
          <w:b/>
        </w:rPr>
        <w:t>03954/INFOEM/IP/RR/2023 y 03955</w:t>
      </w:r>
      <w:r w:rsidR="00FD173B" w:rsidRPr="00CA2D32">
        <w:rPr>
          <w:rFonts w:ascii="Palatino Linotype" w:eastAsia="Palatino Linotype" w:hAnsi="Palatino Linotype" w:cs="Palatino Linotype"/>
          <w:b/>
        </w:rPr>
        <w:t>/INFOEM/IP/RR/2023 acumulados</w:t>
      </w:r>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interpuestos por</w:t>
      </w:r>
      <w:r w:rsidRPr="00CA2D32">
        <w:rPr>
          <w:rFonts w:ascii="Palatino Linotype" w:eastAsia="Palatino Linotype" w:hAnsi="Palatino Linotype" w:cs="Palatino Linotype"/>
          <w:b/>
        </w:rPr>
        <w:t xml:space="preserve"> </w:t>
      </w:r>
      <w:r w:rsidR="00AF2C11">
        <w:rPr>
          <w:rFonts w:ascii="Palatino Linotype" w:eastAsia="Palatino Linotype" w:hAnsi="Palatino Linotype" w:cs="Palatino Linotype"/>
          <w:b/>
        </w:rPr>
        <w:t>XXXX XXXXX</w:t>
      </w:r>
      <w:bookmarkStart w:id="0" w:name="_GoBack"/>
      <w:bookmarkEnd w:id="0"/>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quien en lo sucesivo</w:t>
      </w:r>
      <w:r w:rsidRPr="00CA2D32">
        <w:rPr>
          <w:rFonts w:ascii="Palatino Linotype" w:eastAsia="Palatino Linotype" w:hAnsi="Palatino Linotype" w:cs="Palatino Linotype"/>
          <w:b/>
        </w:rPr>
        <w:t xml:space="preserve"> </w:t>
      </w:r>
      <w:r w:rsidR="00D67995" w:rsidRPr="00CA2D32">
        <w:rPr>
          <w:rFonts w:ascii="Palatino Linotype" w:eastAsia="Palatino Linotype" w:hAnsi="Palatino Linotype" w:cs="Palatino Linotype"/>
        </w:rPr>
        <w:t>será identificada</w:t>
      </w:r>
      <w:r w:rsidRPr="00CA2D32">
        <w:rPr>
          <w:rFonts w:ascii="Palatino Linotype" w:eastAsia="Palatino Linotype" w:hAnsi="Palatino Linotype" w:cs="Palatino Linotype"/>
        </w:rPr>
        <w:t xml:space="preserve"> como </w:t>
      </w:r>
      <w:r w:rsidRPr="00CA2D32">
        <w:rPr>
          <w:rFonts w:ascii="Palatino Linotype" w:eastAsia="Palatino Linotype" w:hAnsi="Palatino Linotype" w:cs="Palatino Linotype"/>
          <w:b/>
        </w:rPr>
        <w:t>la parte Recurrente,</w:t>
      </w:r>
      <w:r w:rsidRPr="00CA2D32">
        <w:rPr>
          <w:rFonts w:ascii="Palatino Linotype" w:eastAsia="Palatino Linotype" w:hAnsi="Palatino Linotype" w:cs="Palatino Linotype"/>
        </w:rPr>
        <w:t xml:space="preserve"> en contra de las respuestas en las solicitudes de información con número de folio </w:t>
      </w:r>
      <w:r w:rsidR="00D3098C" w:rsidRPr="00CA2D32">
        <w:rPr>
          <w:rFonts w:ascii="Palatino Linotype" w:eastAsia="Palatino Linotype" w:hAnsi="Palatino Linotype" w:cs="Palatino Linotype"/>
          <w:b/>
        </w:rPr>
        <w:t xml:space="preserve">00690/IEEM/IP/2023 </w:t>
      </w:r>
      <w:r w:rsidRPr="00CA2D32">
        <w:rPr>
          <w:rFonts w:ascii="Palatino Linotype" w:eastAsia="Palatino Linotype" w:hAnsi="Palatino Linotype" w:cs="Palatino Linotype"/>
          <w:b/>
        </w:rPr>
        <w:t xml:space="preserve">y </w:t>
      </w:r>
      <w:r w:rsidR="00D3098C" w:rsidRPr="00CA2D32">
        <w:rPr>
          <w:rFonts w:ascii="Palatino Linotype" w:eastAsia="Palatino Linotype" w:hAnsi="Palatino Linotype" w:cs="Palatino Linotype"/>
          <w:b/>
        </w:rPr>
        <w:t>00688/IEEM/IP/2023</w:t>
      </w:r>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por parte</w:t>
      </w:r>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de</w:t>
      </w:r>
      <w:r w:rsidR="00FD173B" w:rsidRPr="00CA2D32">
        <w:rPr>
          <w:rFonts w:ascii="Palatino Linotype" w:eastAsia="Palatino Linotype" w:hAnsi="Palatino Linotype" w:cs="Palatino Linotype"/>
        </w:rPr>
        <w:t>l</w:t>
      </w:r>
      <w:r w:rsidRPr="00CA2D32">
        <w:rPr>
          <w:rFonts w:ascii="Palatino Linotype" w:eastAsia="Palatino Linotype" w:hAnsi="Palatino Linotype" w:cs="Palatino Linotype"/>
        </w:rPr>
        <w:t xml:space="preserve"> </w:t>
      </w:r>
      <w:r w:rsidR="00D3098C" w:rsidRPr="00CA2D32">
        <w:rPr>
          <w:rFonts w:ascii="Palatino Linotype" w:eastAsia="Palatino Linotype" w:hAnsi="Palatino Linotype" w:cs="Palatino Linotype"/>
          <w:b/>
        </w:rPr>
        <w:t>Instituto Electoral del Estado de México</w:t>
      </w:r>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 xml:space="preserve">en lo sucesivo el </w:t>
      </w:r>
      <w:r w:rsidRPr="00CA2D32">
        <w:rPr>
          <w:rFonts w:ascii="Palatino Linotype" w:eastAsia="Palatino Linotype" w:hAnsi="Palatino Linotype" w:cs="Palatino Linotype"/>
          <w:b/>
        </w:rPr>
        <w:t xml:space="preserve">Sujeto Obligado, </w:t>
      </w:r>
      <w:r w:rsidRPr="00CA2D32">
        <w:rPr>
          <w:rFonts w:ascii="Palatino Linotype" w:eastAsia="Palatino Linotype" w:hAnsi="Palatino Linotype" w:cs="Palatino Linotype"/>
        </w:rPr>
        <w:t xml:space="preserve">se procede a dictar la presente resolución con base en los siguientes: </w:t>
      </w:r>
    </w:p>
    <w:p w:rsidR="00593063" w:rsidRPr="00CA2D32" w:rsidRDefault="009D4180">
      <w:pPr>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rPr>
        <w:t>I. A N T E C E D E N T E S</w:t>
      </w:r>
    </w:p>
    <w:p w:rsidR="00593063" w:rsidRPr="00CA2D32" w:rsidRDefault="009D4180">
      <w:pPr>
        <w:spacing w:before="240" w:after="240" w:line="360" w:lineRule="auto"/>
        <w:jc w:val="both"/>
        <w:rPr>
          <w:rFonts w:ascii="Palatino Linotype" w:eastAsia="Palatino Linotype" w:hAnsi="Palatino Linotype" w:cs="Palatino Linotype"/>
        </w:rPr>
      </w:pPr>
      <w:bookmarkStart w:id="1" w:name="_heading=h.gjdgxs" w:colFirst="0" w:colLast="0"/>
      <w:bookmarkEnd w:id="1"/>
      <w:r w:rsidRPr="00CA2D32">
        <w:rPr>
          <w:rFonts w:ascii="Palatino Linotype" w:eastAsia="Palatino Linotype" w:hAnsi="Palatino Linotype" w:cs="Palatino Linotype"/>
          <w:b/>
        </w:rPr>
        <w:t>1. Solicitudes de acceso a la información.</w:t>
      </w:r>
      <w:r w:rsidRPr="00CA2D32">
        <w:rPr>
          <w:rFonts w:ascii="Palatino Linotype" w:eastAsia="Palatino Linotype" w:hAnsi="Palatino Linotype" w:cs="Palatino Linotype"/>
        </w:rPr>
        <w:t xml:space="preserve"> El </w:t>
      </w:r>
      <w:r w:rsidR="00D3098C" w:rsidRPr="00CA2D32">
        <w:rPr>
          <w:rFonts w:ascii="Palatino Linotype" w:eastAsia="Palatino Linotype" w:hAnsi="Palatino Linotype" w:cs="Palatino Linotype"/>
          <w:b/>
        </w:rPr>
        <w:t>seis de juni</w:t>
      </w:r>
      <w:r w:rsidR="00FD173B" w:rsidRPr="00CA2D32">
        <w:rPr>
          <w:rFonts w:ascii="Palatino Linotype" w:eastAsia="Palatino Linotype" w:hAnsi="Palatino Linotype" w:cs="Palatino Linotype"/>
          <w:b/>
        </w:rPr>
        <w:t>o de dos mil veintitré</w:t>
      </w:r>
      <w:r w:rsidRPr="00CA2D32">
        <w:rPr>
          <w:rFonts w:ascii="Palatino Linotype" w:eastAsia="Palatino Linotype" w:hAnsi="Palatino Linotype" w:cs="Palatino Linotype"/>
          <w:b/>
        </w:rPr>
        <w:t>s,</w:t>
      </w:r>
      <w:r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b/>
        </w:rPr>
        <w:t xml:space="preserve">la parte Recurrente </w:t>
      </w:r>
      <w:r w:rsidRPr="00CA2D32">
        <w:rPr>
          <w:rFonts w:ascii="Palatino Linotype" w:eastAsia="Palatino Linotype" w:hAnsi="Palatino Linotype" w:cs="Palatino Linotype"/>
        </w:rPr>
        <w:t>formuló solicitudes de acceso a información pública a través del Sistema de Acceso a la Información Mexiquense (</w:t>
      </w:r>
      <w:r w:rsidRPr="00CA2D32">
        <w:rPr>
          <w:rFonts w:ascii="Palatino Linotype" w:eastAsia="Palatino Linotype" w:hAnsi="Palatino Linotype" w:cs="Palatino Linotype"/>
          <w:b/>
        </w:rPr>
        <w:t>SAIMEX),</w:t>
      </w:r>
      <w:r w:rsidRPr="00CA2D32">
        <w:rPr>
          <w:rFonts w:ascii="Palatino Linotype" w:eastAsia="Palatino Linotype" w:hAnsi="Palatino Linotype" w:cs="Palatino Linotype"/>
        </w:rPr>
        <w:t xml:space="preserve"> en las que requirió lo siguiente:</w:t>
      </w: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CA2D32" w:rsidRPr="00CA2D32" w:rsidTr="00FD173B">
        <w:tc>
          <w:tcPr>
            <w:tcW w:w="3823" w:type="dxa"/>
            <w:shd w:val="clear" w:color="auto" w:fill="DDD9C3" w:themeFill="background2" w:themeFillShade="E6"/>
          </w:tcPr>
          <w:p w:rsidR="00593063" w:rsidRPr="00CA2D32" w:rsidRDefault="009D4180">
            <w:pPr>
              <w:spacing w:before="240" w:after="240"/>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t>Número de solicitud y recurso de revisión</w:t>
            </w:r>
          </w:p>
        </w:tc>
        <w:tc>
          <w:tcPr>
            <w:tcW w:w="5098"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t>Información requerida</w:t>
            </w:r>
          </w:p>
        </w:tc>
      </w:tr>
      <w:tr w:rsidR="00CA2D32" w:rsidRPr="00CA2D32">
        <w:tc>
          <w:tcPr>
            <w:tcW w:w="3823" w:type="dxa"/>
          </w:tcPr>
          <w:p w:rsidR="00593063" w:rsidRPr="00CA2D32" w:rsidRDefault="00D3098C">
            <w:pPr>
              <w:spacing w:before="240" w:after="240"/>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00690/IEEM/IP/2023</w:t>
            </w:r>
            <w:r w:rsidR="009D4180" w:rsidRPr="00CA2D32">
              <w:rPr>
                <w:rFonts w:ascii="Palatino Linotype" w:eastAsia="Palatino Linotype" w:hAnsi="Palatino Linotype" w:cs="Palatino Linotype"/>
                <w:b/>
                <w:sz w:val="20"/>
                <w:szCs w:val="20"/>
              </w:rPr>
              <w:t xml:space="preserve">, </w:t>
            </w:r>
            <w:r w:rsidR="009D4180" w:rsidRPr="00CA2D32">
              <w:rPr>
                <w:rFonts w:ascii="Palatino Linotype" w:eastAsia="Palatino Linotype" w:hAnsi="Palatino Linotype" w:cs="Palatino Linotype"/>
                <w:sz w:val="20"/>
                <w:szCs w:val="20"/>
              </w:rPr>
              <w:t>correspondiente al Recurso de Revisión</w:t>
            </w:r>
            <w:r w:rsidR="009D4180" w:rsidRPr="00CA2D32">
              <w:rPr>
                <w:rFonts w:ascii="Palatino Linotype" w:eastAsia="Palatino Linotype" w:hAnsi="Palatino Linotype" w:cs="Palatino Linotype"/>
                <w:b/>
                <w:sz w:val="20"/>
                <w:szCs w:val="20"/>
              </w:rPr>
              <w:t xml:space="preserve"> </w:t>
            </w:r>
            <w:r w:rsidRPr="00CA2D32">
              <w:rPr>
                <w:rFonts w:ascii="Palatino Linotype" w:eastAsia="Palatino Linotype" w:hAnsi="Palatino Linotype" w:cs="Palatino Linotype"/>
                <w:b/>
                <w:sz w:val="20"/>
                <w:szCs w:val="20"/>
              </w:rPr>
              <w:t>03954/INFOEM/IP/RR/2023</w:t>
            </w:r>
          </w:p>
        </w:tc>
        <w:tc>
          <w:tcPr>
            <w:tcW w:w="5098" w:type="dxa"/>
          </w:tcPr>
          <w:p w:rsidR="00593063" w:rsidRPr="00CA2D32" w:rsidRDefault="009D4180">
            <w:pPr>
              <w:spacing w:before="240" w:after="240"/>
              <w:jc w:val="both"/>
              <w:rPr>
                <w:rFonts w:ascii="Palatino Linotype" w:eastAsia="Palatino Linotype" w:hAnsi="Palatino Linotype" w:cs="Palatino Linotype"/>
                <w:i/>
                <w:sz w:val="20"/>
                <w:szCs w:val="20"/>
              </w:rPr>
            </w:pPr>
            <w:r w:rsidRPr="00CA2D32">
              <w:rPr>
                <w:rFonts w:ascii="Palatino Linotype" w:eastAsia="Palatino Linotype" w:hAnsi="Palatino Linotype" w:cs="Palatino Linotype"/>
                <w:i/>
              </w:rPr>
              <w:t>“</w:t>
            </w:r>
            <w:r w:rsidR="00D3098C" w:rsidRPr="00CA2D32">
              <w:rPr>
                <w:rFonts w:ascii="Palatino Linotype" w:eastAsia="Palatino Linotype" w:hAnsi="Palatino Linotype" w:cs="Palatino Linotype"/>
                <w:i/>
              </w:rPr>
              <w:t xml:space="preserve">Buenas noches, sea el conducto para requerir </w:t>
            </w:r>
            <w:r w:rsidR="00D3098C" w:rsidRPr="00CA2D32">
              <w:rPr>
                <w:rFonts w:ascii="Palatino Linotype" w:eastAsia="Palatino Linotype" w:hAnsi="Palatino Linotype" w:cs="Palatino Linotype"/>
                <w:b/>
                <w:i/>
                <w:u w:val="single"/>
              </w:rPr>
              <w:t xml:space="preserve">las invitaciones a las reuniones de las mesas de seguridad </w:t>
            </w:r>
            <w:proofErr w:type="spellStart"/>
            <w:r w:rsidR="00D3098C" w:rsidRPr="00CA2D32">
              <w:rPr>
                <w:rFonts w:ascii="Palatino Linotype" w:eastAsia="Palatino Linotype" w:hAnsi="Palatino Linotype" w:cs="Palatino Linotype"/>
                <w:b/>
                <w:i/>
                <w:u w:val="single"/>
              </w:rPr>
              <w:t>publica</w:t>
            </w:r>
            <w:proofErr w:type="spellEnd"/>
            <w:r w:rsidR="00D3098C" w:rsidRPr="00CA2D32">
              <w:rPr>
                <w:rFonts w:ascii="Palatino Linotype" w:eastAsia="Palatino Linotype" w:hAnsi="Palatino Linotype" w:cs="Palatino Linotype"/>
                <w:b/>
                <w:i/>
                <w:u w:val="single"/>
              </w:rPr>
              <w:t xml:space="preserve"> municipal de los días 05, 12, 19 y 26 de abril. Actividad 73 del informe mensual de </w:t>
            </w:r>
            <w:r w:rsidR="00D3098C" w:rsidRPr="00CA2D32">
              <w:rPr>
                <w:rFonts w:ascii="Palatino Linotype" w:eastAsia="Palatino Linotype" w:hAnsi="Palatino Linotype" w:cs="Palatino Linotype"/>
                <w:b/>
                <w:i/>
                <w:u w:val="single"/>
              </w:rPr>
              <w:lastRenderedPageBreak/>
              <w:t>actividades del mes de abril de la junta distrital de Valle de Chalco del proceso electoral 2023</w:t>
            </w:r>
            <w:r w:rsidR="00D3098C" w:rsidRPr="00CA2D32">
              <w:rPr>
                <w:rFonts w:ascii="Palatino Linotype" w:eastAsia="Palatino Linotype" w:hAnsi="Palatino Linotype" w:cs="Palatino Linotype"/>
                <w:i/>
              </w:rPr>
              <w:t>.</w:t>
            </w:r>
            <w:r w:rsidRPr="00CA2D32">
              <w:rPr>
                <w:rFonts w:ascii="Palatino Linotype" w:eastAsia="Palatino Linotype" w:hAnsi="Palatino Linotype" w:cs="Palatino Linotype"/>
                <w:i/>
              </w:rPr>
              <w:t>” (Sic) (Énfasis añadido)</w:t>
            </w:r>
          </w:p>
        </w:tc>
      </w:tr>
      <w:tr w:rsidR="00CA2D32" w:rsidRPr="00CA2D32">
        <w:tc>
          <w:tcPr>
            <w:tcW w:w="3823" w:type="dxa"/>
          </w:tcPr>
          <w:p w:rsidR="00593063" w:rsidRPr="00CA2D32" w:rsidRDefault="00D3098C">
            <w:pPr>
              <w:spacing w:before="240" w:after="240"/>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lastRenderedPageBreak/>
              <w:t>00688/IEEM/IP/2023</w:t>
            </w:r>
            <w:r w:rsidR="009D4180" w:rsidRPr="00CA2D32">
              <w:rPr>
                <w:rFonts w:ascii="Palatino Linotype" w:eastAsia="Palatino Linotype" w:hAnsi="Palatino Linotype" w:cs="Palatino Linotype"/>
                <w:b/>
                <w:sz w:val="20"/>
                <w:szCs w:val="20"/>
              </w:rPr>
              <w:t xml:space="preserve">, </w:t>
            </w:r>
            <w:r w:rsidR="009D4180" w:rsidRPr="00CA2D32">
              <w:rPr>
                <w:rFonts w:ascii="Palatino Linotype" w:eastAsia="Palatino Linotype" w:hAnsi="Palatino Linotype" w:cs="Palatino Linotype"/>
                <w:sz w:val="20"/>
                <w:szCs w:val="20"/>
              </w:rPr>
              <w:t>correspondiente al Recurso de Revisión</w:t>
            </w:r>
            <w:r w:rsidR="009D4180" w:rsidRPr="00CA2D32">
              <w:rPr>
                <w:rFonts w:ascii="Palatino Linotype" w:eastAsia="Palatino Linotype" w:hAnsi="Palatino Linotype" w:cs="Palatino Linotype"/>
                <w:b/>
                <w:sz w:val="20"/>
                <w:szCs w:val="20"/>
              </w:rPr>
              <w:t xml:space="preserve">  </w:t>
            </w:r>
            <w:r w:rsidRPr="00CA2D32">
              <w:rPr>
                <w:rFonts w:ascii="Palatino Linotype" w:eastAsia="Palatino Linotype" w:hAnsi="Palatino Linotype" w:cs="Palatino Linotype"/>
                <w:b/>
                <w:sz w:val="20"/>
                <w:szCs w:val="20"/>
              </w:rPr>
              <w:t>03955/INFOEM/IP/RR/2023</w:t>
            </w:r>
          </w:p>
        </w:tc>
        <w:tc>
          <w:tcPr>
            <w:tcW w:w="5098" w:type="dxa"/>
          </w:tcPr>
          <w:p w:rsidR="00593063" w:rsidRPr="00CA2D32" w:rsidRDefault="009D4180">
            <w:pPr>
              <w:spacing w:before="240" w:after="240"/>
              <w:jc w:val="both"/>
              <w:rPr>
                <w:rFonts w:ascii="Palatino Linotype" w:eastAsia="Palatino Linotype" w:hAnsi="Palatino Linotype" w:cs="Palatino Linotype"/>
                <w:i/>
                <w:sz w:val="20"/>
                <w:szCs w:val="20"/>
              </w:rPr>
            </w:pPr>
            <w:r w:rsidRPr="00CA2D32">
              <w:rPr>
                <w:rFonts w:ascii="Palatino Linotype" w:eastAsia="Palatino Linotype" w:hAnsi="Palatino Linotype" w:cs="Palatino Linotype"/>
                <w:i/>
              </w:rPr>
              <w:t>“</w:t>
            </w:r>
            <w:r w:rsidR="00D3098C" w:rsidRPr="00CA2D32">
              <w:rPr>
                <w:rFonts w:ascii="Palatino Linotype" w:eastAsia="Palatino Linotype" w:hAnsi="Palatino Linotype" w:cs="Palatino Linotype"/>
                <w:i/>
              </w:rPr>
              <w:t xml:space="preserve">Buenas noches, sea el conducto para requerir muy atentamente </w:t>
            </w:r>
            <w:r w:rsidR="00D3098C" w:rsidRPr="00CA2D32">
              <w:rPr>
                <w:rFonts w:ascii="Palatino Linotype" w:eastAsia="Palatino Linotype" w:hAnsi="Palatino Linotype" w:cs="Palatino Linotype"/>
                <w:b/>
                <w:i/>
                <w:u w:val="single"/>
              </w:rPr>
              <w:t>el seguimiento a las circulares 27 y 28 de la DO. Actividades 63 y 64 referidas en el informe mensual de actividades del mes de abril de la junta distrital de Valle de Chalco del proceso electoral 2023</w:t>
            </w:r>
            <w:r w:rsidR="00D3098C" w:rsidRPr="00CA2D32">
              <w:rPr>
                <w:rFonts w:ascii="Palatino Linotype" w:eastAsia="Palatino Linotype" w:hAnsi="Palatino Linotype" w:cs="Palatino Linotype"/>
                <w:i/>
              </w:rPr>
              <w:t>.</w:t>
            </w:r>
            <w:r w:rsidRPr="00CA2D32">
              <w:rPr>
                <w:rFonts w:ascii="Palatino Linotype" w:eastAsia="Palatino Linotype" w:hAnsi="Palatino Linotype" w:cs="Palatino Linotype"/>
                <w:i/>
              </w:rPr>
              <w:t>” (Sic) (Énfasis añadido)</w:t>
            </w:r>
          </w:p>
        </w:tc>
      </w:tr>
    </w:tbl>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 xml:space="preserve">Modalidad elegida para la entrega de la información: </w:t>
      </w:r>
      <w:r w:rsidRPr="00CA2D32">
        <w:rPr>
          <w:rFonts w:ascii="Palatino Linotype" w:eastAsia="Palatino Linotype" w:hAnsi="Palatino Linotype" w:cs="Palatino Linotype"/>
        </w:rPr>
        <w:t xml:space="preserve">a través del </w:t>
      </w:r>
      <w:r w:rsidRPr="00CA2D32">
        <w:rPr>
          <w:rFonts w:ascii="Palatino Linotype" w:eastAsia="Palatino Linotype" w:hAnsi="Palatino Linotype" w:cs="Palatino Linotype"/>
          <w:b/>
        </w:rPr>
        <w:t>SAIMEX</w:t>
      </w:r>
      <w:r w:rsidRPr="00CA2D32">
        <w:rPr>
          <w:rFonts w:ascii="Palatino Linotype" w:eastAsia="Palatino Linotype" w:hAnsi="Palatino Linotype" w:cs="Palatino Linotype"/>
        </w:rPr>
        <w:t xml:space="preserve"> </w:t>
      </w:r>
    </w:p>
    <w:p w:rsidR="00FD173B" w:rsidRPr="00CA2D32" w:rsidRDefault="00FD173B" w:rsidP="00973634">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2.</w:t>
      </w:r>
      <w:r w:rsidR="00D3098C" w:rsidRPr="00CA2D32">
        <w:rPr>
          <w:rFonts w:ascii="Palatino Linotype" w:eastAsia="Palatino Linotype" w:hAnsi="Palatino Linotype" w:cs="Palatino Linotype"/>
          <w:b/>
        </w:rPr>
        <w:t xml:space="preserve"> Prórrogas</w:t>
      </w:r>
      <w:r w:rsidR="00973634" w:rsidRPr="00CA2D32">
        <w:rPr>
          <w:rFonts w:ascii="Palatino Linotype" w:eastAsia="Palatino Linotype" w:hAnsi="Palatino Linotype" w:cs="Palatino Linotype"/>
          <w:b/>
        </w:rPr>
        <w:t>.</w:t>
      </w:r>
      <w:r w:rsidR="00973634" w:rsidRPr="00CA2D32">
        <w:rPr>
          <w:rFonts w:ascii="Palatino Linotype" w:eastAsia="Palatino Linotype" w:hAnsi="Palatino Linotype" w:cs="Palatino Linotype"/>
        </w:rPr>
        <w:t xml:space="preserve"> </w:t>
      </w:r>
      <w:r w:rsidR="00D3098C" w:rsidRPr="00CA2D32">
        <w:rPr>
          <w:rFonts w:ascii="Palatino Linotype" w:eastAsia="Palatino Linotype" w:hAnsi="Palatino Linotype" w:cs="Palatino Linotype"/>
        </w:rPr>
        <w:t xml:space="preserve"> El</w:t>
      </w:r>
      <w:r w:rsidR="00973634" w:rsidRPr="00CA2D32">
        <w:rPr>
          <w:rFonts w:ascii="Palatino Linotype" w:eastAsia="Palatino Linotype" w:hAnsi="Palatino Linotype" w:cs="Palatino Linotype"/>
        </w:rPr>
        <w:t xml:space="preserve"> </w:t>
      </w:r>
      <w:r w:rsidR="00D3098C" w:rsidRPr="00CA2D32">
        <w:rPr>
          <w:rFonts w:ascii="Palatino Linotype" w:eastAsia="Palatino Linotype" w:hAnsi="Palatino Linotype" w:cs="Palatino Linotype"/>
          <w:b/>
        </w:rPr>
        <w:t>veintiséis</w:t>
      </w:r>
      <w:r w:rsidR="00973634" w:rsidRPr="00CA2D32">
        <w:rPr>
          <w:rFonts w:ascii="Palatino Linotype" w:eastAsia="Palatino Linotype" w:hAnsi="Palatino Linotype" w:cs="Palatino Linotype"/>
          <w:b/>
        </w:rPr>
        <w:t xml:space="preserve"> de junio de dos mil veintitrés</w:t>
      </w:r>
      <w:r w:rsidR="00973634" w:rsidRPr="00CA2D32">
        <w:rPr>
          <w:rFonts w:ascii="Palatino Linotype" w:eastAsia="Palatino Linotype" w:hAnsi="Palatino Linotype" w:cs="Palatino Linotype"/>
        </w:rPr>
        <w:t xml:space="preserve">, </w:t>
      </w:r>
      <w:r w:rsidR="00D3098C" w:rsidRPr="00CA2D32">
        <w:rPr>
          <w:rFonts w:ascii="Palatino Linotype" w:eastAsia="Palatino Linotype" w:hAnsi="Palatino Linotype" w:cs="Palatino Linotype"/>
        </w:rPr>
        <w:t xml:space="preserve">el </w:t>
      </w:r>
      <w:r w:rsidR="00D3098C" w:rsidRPr="00CA2D32">
        <w:rPr>
          <w:rFonts w:ascii="Palatino Linotype" w:eastAsia="Palatino Linotype" w:hAnsi="Palatino Linotype" w:cs="Palatino Linotype"/>
          <w:b/>
        </w:rPr>
        <w:t>Sujeto Obligado</w:t>
      </w:r>
      <w:r w:rsidR="00D3098C" w:rsidRPr="00CA2D32">
        <w:rPr>
          <w:rFonts w:ascii="Palatino Linotype" w:eastAsia="Palatino Linotype" w:hAnsi="Palatino Linotype" w:cs="Palatino Linotype"/>
        </w:rPr>
        <w:t xml:space="preserve"> notificó a la persona solicitante las prórrogas para atender sus solicitudes de información, medularmente </w:t>
      </w:r>
      <w:r w:rsidR="00973634" w:rsidRPr="00CA2D32">
        <w:rPr>
          <w:rFonts w:ascii="Palatino Linotype" w:eastAsia="Palatino Linotype" w:hAnsi="Palatino Linotype" w:cs="Palatino Linotype"/>
        </w:rPr>
        <w:t>en los siguientes términos:</w:t>
      </w:r>
    </w:p>
    <w:p w:rsidR="00D3098C" w:rsidRPr="00CA2D32" w:rsidRDefault="00973634" w:rsidP="00D3098C">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w:t>
      </w:r>
      <w:r w:rsidR="00D3098C" w:rsidRPr="00CA2D32">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3098C" w:rsidRPr="00CA2D32" w:rsidRDefault="00D3098C" w:rsidP="00D3098C">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Con fundamento en lo establecido en el artículo 163, segundo párrafo de la Ley de Transparencia y Acceso a la Información Pública del Estado de México y Municipios, se autoriza la ampliación de plazo para dar respuesta a la solicitud de información, de conformidad con el Acuerdo aprobado por el Comité de Transparencia que se adjunta.</w:t>
      </w:r>
    </w:p>
    <w:p w:rsidR="00D3098C" w:rsidRPr="00CA2D32" w:rsidRDefault="00D3098C" w:rsidP="00D3098C">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MAESTRA LILIBETH ÁLVAREZ RODRÍGUEZ</w:t>
      </w:r>
    </w:p>
    <w:p w:rsidR="00973634" w:rsidRPr="00CA2D32" w:rsidRDefault="00D3098C" w:rsidP="00D3098C">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Responsable de la Unidad de Transparencia</w:t>
      </w:r>
      <w:r w:rsidR="00973634" w:rsidRPr="00CA2D32">
        <w:rPr>
          <w:rFonts w:ascii="Palatino Linotype" w:eastAsia="Palatino Linotype" w:hAnsi="Palatino Linotype" w:cs="Palatino Linotype"/>
          <w:i/>
          <w:sz w:val="22"/>
        </w:rPr>
        <w:t>”</w:t>
      </w:r>
    </w:p>
    <w:p w:rsidR="00D3098C" w:rsidRPr="00CA2D32" w:rsidRDefault="00973634" w:rsidP="00D3098C">
      <w:pPr>
        <w:spacing w:before="240" w:after="240" w:line="360" w:lineRule="auto"/>
        <w:ind w:left="567" w:right="900"/>
        <w:jc w:val="both"/>
        <w:rPr>
          <w:rFonts w:ascii="Palatino Linotype" w:eastAsia="Palatino Linotype" w:hAnsi="Palatino Linotype" w:cs="Palatino Linotype"/>
        </w:rPr>
      </w:pPr>
      <w:r w:rsidRPr="00CA2D32">
        <w:rPr>
          <w:rFonts w:ascii="Palatino Linotype" w:eastAsia="Palatino Linotype" w:hAnsi="Palatino Linotype" w:cs="Palatino Linotype"/>
          <w:b/>
          <w:sz w:val="22"/>
        </w:rPr>
        <w:lastRenderedPageBreak/>
        <w:t>Archivo adjunto:</w:t>
      </w:r>
      <w:r w:rsidR="00D3098C" w:rsidRPr="00CA2D32">
        <w:rPr>
          <w:rFonts w:ascii="Palatino Linotype" w:eastAsia="Palatino Linotype" w:hAnsi="Palatino Linotype" w:cs="Palatino Linotype"/>
          <w:b/>
          <w:sz w:val="22"/>
        </w:rPr>
        <w:t xml:space="preserve"> </w:t>
      </w:r>
      <w:r w:rsidRPr="00CA2D32">
        <w:rPr>
          <w:rFonts w:ascii="Palatino Linotype" w:eastAsia="Palatino Linotype" w:hAnsi="Palatino Linotype" w:cs="Palatino Linotype"/>
          <w:b/>
          <w:i/>
          <w:sz w:val="22"/>
        </w:rPr>
        <w:t>“</w:t>
      </w:r>
      <w:r w:rsidR="00D3098C" w:rsidRPr="00CA2D32">
        <w:rPr>
          <w:rFonts w:ascii="Palatino Linotype" w:eastAsia="Palatino Linotype" w:hAnsi="Palatino Linotype" w:cs="Palatino Linotype"/>
          <w:b/>
          <w:i/>
          <w:sz w:val="22"/>
        </w:rPr>
        <w:t>Acuerdo IEEM-CT-86-2023.pdf</w:t>
      </w:r>
      <w:r w:rsidRPr="00CA2D32">
        <w:rPr>
          <w:rFonts w:ascii="Palatino Linotype" w:eastAsia="Palatino Linotype" w:hAnsi="Palatino Linotype" w:cs="Palatino Linotype"/>
          <w:b/>
          <w:i/>
          <w:sz w:val="22"/>
        </w:rPr>
        <w:t xml:space="preserve">”: </w:t>
      </w:r>
      <w:r w:rsidRPr="00CA2D32">
        <w:rPr>
          <w:rFonts w:ascii="Palatino Linotype" w:eastAsia="Palatino Linotype" w:hAnsi="Palatino Linotype" w:cs="Palatino Linotype"/>
        </w:rPr>
        <w:t>Documento de</w:t>
      </w:r>
      <w:r w:rsidR="00D3098C" w:rsidRPr="00CA2D32">
        <w:rPr>
          <w:rFonts w:ascii="Palatino Linotype" w:eastAsia="Palatino Linotype" w:hAnsi="Palatino Linotype" w:cs="Palatino Linotype"/>
        </w:rPr>
        <w:t xml:space="preserve"> doce fojas en el que se aprecia el acuerdo de ampliación de plazo para atender diversas solicitudes de información.</w:t>
      </w:r>
    </w:p>
    <w:p w:rsidR="00D3098C" w:rsidRPr="00CA2D32" w:rsidRDefault="00D3098C" w:rsidP="00D3098C">
      <w:pPr>
        <w:spacing w:before="240" w:after="240" w:line="276" w:lineRule="auto"/>
        <w:ind w:left="567" w:right="900"/>
        <w:jc w:val="both"/>
        <w:rPr>
          <w:rFonts w:ascii="Palatino Linotype" w:eastAsia="Palatino Linotype" w:hAnsi="Palatino Linotype" w:cs="Palatino Linotype"/>
          <w:b/>
          <w:sz w:val="22"/>
        </w:rPr>
      </w:pPr>
      <w:r w:rsidRPr="00CA2D32">
        <w:rPr>
          <w:rFonts w:ascii="Palatino Linotype" w:eastAsia="Palatino Linotype" w:hAnsi="Palatino Linotype" w:cs="Palatino Linotype"/>
          <w:noProof/>
          <w:lang w:val="es-MX"/>
        </w:rPr>
        <w:drawing>
          <wp:inline distT="0" distB="0" distL="0" distR="0" wp14:anchorId="3D62419A" wp14:editId="7D7B79FF">
            <wp:extent cx="4654214" cy="5676900"/>
            <wp:effectExtent l="19050" t="19050" r="1333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61693" cy="5686023"/>
                    </a:xfrm>
                    <a:prstGeom prst="rect">
                      <a:avLst/>
                    </a:prstGeom>
                    <a:ln>
                      <a:solidFill>
                        <a:schemeClr val="tx1"/>
                      </a:solidFill>
                    </a:ln>
                  </pic:spPr>
                </pic:pic>
              </a:graphicData>
            </a:graphic>
          </wp:inline>
        </w:drawing>
      </w:r>
    </w:p>
    <w:p w:rsidR="00D600F9" w:rsidRPr="00CA2D32" w:rsidRDefault="00FD173B" w:rsidP="00D3098C">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lastRenderedPageBreak/>
        <w:t>3</w:t>
      </w:r>
      <w:r w:rsidR="009D4180" w:rsidRPr="00CA2D32">
        <w:rPr>
          <w:rFonts w:ascii="Palatino Linotype" w:eastAsia="Palatino Linotype" w:hAnsi="Palatino Linotype" w:cs="Palatino Linotype"/>
          <w:b/>
        </w:rPr>
        <w:t>.</w:t>
      </w:r>
      <w:r w:rsidR="009D4180" w:rsidRPr="00CA2D32">
        <w:rPr>
          <w:rFonts w:ascii="Palatino Linotype" w:eastAsia="Palatino Linotype" w:hAnsi="Palatino Linotype" w:cs="Palatino Linotype"/>
        </w:rPr>
        <w:t xml:space="preserve"> </w:t>
      </w:r>
      <w:r w:rsidR="00973634" w:rsidRPr="00CA2D32">
        <w:rPr>
          <w:rFonts w:ascii="Palatino Linotype" w:eastAsia="Palatino Linotype" w:hAnsi="Palatino Linotype" w:cs="Palatino Linotype"/>
          <w:b/>
        </w:rPr>
        <w:t>Respuesta</w:t>
      </w:r>
      <w:r w:rsidR="00D3098C" w:rsidRPr="00CA2D32">
        <w:rPr>
          <w:rFonts w:ascii="Palatino Linotype" w:eastAsia="Palatino Linotype" w:hAnsi="Palatino Linotype" w:cs="Palatino Linotype"/>
          <w:b/>
        </w:rPr>
        <w:t>s</w:t>
      </w:r>
      <w:r w:rsidR="009D4180" w:rsidRPr="00CA2D32">
        <w:rPr>
          <w:rFonts w:ascii="Palatino Linotype" w:eastAsia="Palatino Linotype" w:hAnsi="Palatino Linotype" w:cs="Palatino Linotype"/>
          <w:b/>
        </w:rPr>
        <w:t xml:space="preserve">. </w:t>
      </w:r>
      <w:r w:rsidR="009D4180"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rPr>
        <w:t xml:space="preserve">El </w:t>
      </w:r>
      <w:r w:rsidR="00D3098C" w:rsidRPr="00CA2D32">
        <w:rPr>
          <w:rFonts w:ascii="Palatino Linotype" w:eastAsia="Palatino Linotype" w:hAnsi="Palatino Linotype" w:cs="Palatino Linotype"/>
          <w:b/>
        </w:rPr>
        <w:t>seis</w:t>
      </w:r>
      <w:r w:rsidR="00973634" w:rsidRPr="00CA2D32">
        <w:rPr>
          <w:rFonts w:ascii="Palatino Linotype" w:eastAsia="Palatino Linotype" w:hAnsi="Palatino Linotype" w:cs="Palatino Linotype"/>
          <w:b/>
        </w:rPr>
        <w:t xml:space="preserve"> </w:t>
      </w:r>
      <w:r w:rsidR="009D4180" w:rsidRPr="00CA2D32">
        <w:rPr>
          <w:rFonts w:ascii="Palatino Linotype" w:eastAsia="Palatino Linotype" w:hAnsi="Palatino Linotype" w:cs="Palatino Linotype"/>
          <w:b/>
        </w:rPr>
        <w:t xml:space="preserve">de </w:t>
      </w:r>
      <w:r w:rsidR="00D3098C" w:rsidRPr="00CA2D32">
        <w:rPr>
          <w:rFonts w:ascii="Palatino Linotype" w:eastAsia="Palatino Linotype" w:hAnsi="Palatino Linotype" w:cs="Palatino Linotype"/>
          <w:b/>
        </w:rPr>
        <w:t>jul</w:t>
      </w:r>
      <w:r w:rsidR="00973634" w:rsidRPr="00CA2D32">
        <w:rPr>
          <w:rFonts w:ascii="Palatino Linotype" w:eastAsia="Palatino Linotype" w:hAnsi="Palatino Linotype" w:cs="Palatino Linotype"/>
          <w:b/>
        </w:rPr>
        <w:t>i</w:t>
      </w:r>
      <w:r w:rsidRPr="00CA2D32">
        <w:rPr>
          <w:rFonts w:ascii="Palatino Linotype" w:eastAsia="Palatino Linotype" w:hAnsi="Palatino Linotype" w:cs="Palatino Linotype"/>
          <w:b/>
        </w:rPr>
        <w:t>o de dos mil veintitré</w:t>
      </w:r>
      <w:r w:rsidR="009D4180" w:rsidRPr="00CA2D32">
        <w:rPr>
          <w:rFonts w:ascii="Palatino Linotype" w:eastAsia="Palatino Linotype" w:hAnsi="Palatino Linotype" w:cs="Palatino Linotype"/>
          <w:b/>
        </w:rPr>
        <w:t>s</w:t>
      </w:r>
      <w:r w:rsidR="009D4180" w:rsidRPr="00CA2D32">
        <w:rPr>
          <w:rFonts w:ascii="Palatino Linotype" w:eastAsia="Palatino Linotype" w:hAnsi="Palatino Linotype" w:cs="Palatino Linotype"/>
        </w:rPr>
        <w:t xml:space="preserve">, el </w:t>
      </w:r>
      <w:r w:rsidR="009D4180"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notificó </w:t>
      </w:r>
      <w:r w:rsidR="00D3098C" w:rsidRPr="00CA2D32">
        <w:rPr>
          <w:rFonts w:ascii="Palatino Linotype" w:eastAsia="Palatino Linotype" w:hAnsi="Palatino Linotype" w:cs="Palatino Linotype"/>
        </w:rPr>
        <w:t xml:space="preserve">las respuestas a las solicitudes de información, en los siguientes términos: </w:t>
      </w:r>
    </w:p>
    <w:tbl>
      <w:tblPr>
        <w:tblStyle w:val="Tablaconcuadrcula"/>
        <w:tblW w:w="0" w:type="auto"/>
        <w:tblInd w:w="567" w:type="dxa"/>
        <w:tblLook w:val="04A0" w:firstRow="1" w:lastRow="0" w:firstColumn="1" w:lastColumn="0" w:noHBand="0" w:noVBand="1"/>
      </w:tblPr>
      <w:tblGrid>
        <w:gridCol w:w="4131"/>
        <w:gridCol w:w="4130"/>
      </w:tblGrid>
      <w:tr w:rsidR="00CA2D32" w:rsidRPr="00CA2D32" w:rsidTr="00D3098C">
        <w:tc>
          <w:tcPr>
            <w:tcW w:w="4131" w:type="dxa"/>
            <w:shd w:val="clear" w:color="auto" w:fill="DDD9C3" w:themeFill="background2" w:themeFillShade="E6"/>
          </w:tcPr>
          <w:p w:rsidR="00D3098C" w:rsidRPr="00CA2D32" w:rsidRDefault="00D3098C" w:rsidP="00D3098C">
            <w:pPr>
              <w:spacing w:before="240" w:after="240"/>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t>Número de solicitud y recurso de revisión</w:t>
            </w:r>
          </w:p>
        </w:tc>
        <w:tc>
          <w:tcPr>
            <w:tcW w:w="4130" w:type="dxa"/>
            <w:shd w:val="clear" w:color="auto" w:fill="DDD9C3" w:themeFill="background2" w:themeFillShade="E6"/>
          </w:tcPr>
          <w:p w:rsidR="00D3098C" w:rsidRPr="00CA2D32" w:rsidRDefault="00D3098C" w:rsidP="00D3098C">
            <w:pPr>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t>Descripción de la respuesta</w:t>
            </w:r>
          </w:p>
        </w:tc>
      </w:tr>
      <w:tr w:rsidR="00CA2D32" w:rsidRPr="00CA2D32" w:rsidTr="00D3098C">
        <w:tc>
          <w:tcPr>
            <w:tcW w:w="4131" w:type="dxa"/>
          </w:tcPr>
          <w:p w:rsidR="00D3098C" w:rsidRPr="00CA2D32" w:rsidRDefault="00D3098C" w:rsidP="00D3098C">
            <w:pPr>
              <w:spacing w:before="240" w:after="240"/>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 xml:space="preserve">00690/IEEM/IP/2023, </w:t>
            </w:r>
            <w:r w:rsidRPr="00CA2D32">
              <w:rPr>
                <w:rFonts w:ascii="Palatino Linotype" w:eastAsia="Palatino Linotype" w:hAnsi="Palatino Linotype" w:cs="Palatino Linotype"/>
                <w:sz w:val="20"/>
                <w:szCs w:val="20"/>
              </w:rPr>
              <w:t>correspondiente al Recurso de Revisión</w:t>
            </w:r>
            <w:r w:rsidRPr="00CA2D32">
              <w:rPr>
                <w:rFonts w:ascii="Palatino Linotype" w:eastAsia="Palatino Linotype" w:hAnsi="Palatino Linotype" w:cs="Palatino Linotype"/>
                <w:b/>
                <w:sz w:val="20"/>
                <w:szCs w:val="20"/>
              </w:rPr>
              <w:t xml:space="preserve"> 03954/INFOEM/IP/RR/2023</w:t>
            </w:r>
          </w:p>
        </w:tc>
        <w:tc>
          <w:tcPr>
            <w:tcW w:w="4130" w:type="dxa"/>
          </w:tcPr>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Se adjunta respuesta a su solicitud de información.</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ATENTAMENTE</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MAESTRA LILIBETH ÁLVAREZ RODRÍGUEZ”</w:t>
            </w:r>
          </w:p>
          <w:p w:rsidR="00D3098C" w:rsidRPr="00CA2D32" w:rsidRDefault="00D3098C" w:rsidP="00D3098C">
            <w:pPr>
              <w:spacing w:before="240" w:after="240" w:line="360" w:lineRule="auto"/>
              <w:ind w:right="900"/>
              <w:jc w:val="both"/>
              <w:rPr>
                <w:rFonts w:ascii="Palatino Linotype" w:eastAsia="Palatino Linotype" w:hAnsi="Palatino Linotype" w:cs="Palatino Linotype"/>
                <w:b/>
                <w:sz w:val="18"/>
              </w:rPr>
            </w:pPr>
            <w:r w:rsidRPr="00CA2D32">
              <w:rPr>
                <w:rFonts w:ascii="Palatino Linotype" w:eastAsia="Palatino Linotype" w:hAnsi="Palatino Linotype" w:cs="Palatino Linotype"/>
                <w:b/>
                <w:sz w:val="18"/>
              </w:rPr>
              <w:t>Archivos adjuntos:</w:t>
            </w:r>
          </w:p>
          <w:p w:rsidR="00D3098C" w:rsidRPr="00CA2D32" w:rsidRDefault="00D3098C" w:rsidP="00D3098C">
            <w:pPr>
              <w:spacing w:before="240" w:after="240" w:line="276" w:lineRule="auto"/>
              <w:jc w:val="both"/>
              <w:rPr>
                <w:rFonts w:ascii="Palatino Linotype" w:eastAsia="Palatino Linotype" w:hAnsi="Palatino Linotype" w:cs="Palatino Linotype"/>
                <w:sz w:val="18"/>
              </w:rPr>
            </w:pPr>
            <w:r w:rsidRPr="00CA2D32">
              <w:rPr>
                <w:rFonts w:ascii="Palatino Linotype" w:eastAsia="Palatino Linotype" w:hAnsi="Palatino Linotype" w:cs="Palatino Linotype"/>
                <w:b/>
                <w:i/>
                <w:sz w:val="18"/>
              </w:rPr>
              <w:t xml:space="preserve">IEEM-DO-2285-2023.pdf: </w:t>
            </w:r>
            <w:r w:rsidRPr="00CA2D32">
              <w:rPr>
                <w:rFonts w:ascii="Palatino Linotype" w:eastAsia="Palatino Linotype" w:hAnsi="Palatino Linotype" w:cs="Palatino Linotype"/>
                <w:sz w:val="18"/>
              </w:rPr>
              <w:t>Oficio signado por el Director de Organización, quien señala que la Junta y Consejo Distrital número 27 con cabecera en Valle de Chalco Solidaridad; informó que, derivado de una búsqueda minuciosa,</w:t>
            </w:r>
            <w:r w:rsidRPr="00CA2D32">
              <w:rPr>
                <w:rFonts w:ascii="Palatino Linotype" w:eastAsia="Palatino Linotype" w:hAnsi="Palatino Linotype" w:cs="Palatino Linotype"/>
                <w:b/>
                <w:sz w:val="18"/>
                <w:u w:val="single"/>
              </w:rPr>
              <w:t xml:space="preserve"> no obran archivos respecto a dichas solicitudes.</w:t>
            </w:r>
            <w:r w:rsidRPr="00CA2D32">
              <w:rPr>
                <w:rFonts w:ascii="Palatino Linotype" w:eastAsia="Palatino Linotype" w:hAnsi="Palatino Linotype" w:cs="Palatino Linotype"/>
                <w:sz w:val="18"/>
              </w:rPr>
              <w:t xml:space="preserve"> </w:t>
            </w:r>
          </w:p>
          <w:p w:rsidR="00D3098C" w:rsidRPr="00CA2D32" w:rsidRDefault="00D3098C" w:rsidP="00D3098C">
            <w:pPr>
              <w:spacing w:before="240" w:after="240" w:line="276" w:lineRule="auto"/>
              <w:jc w:val="both"/>
              <w:rPr>
                <w:rFonts w:ascii="Palatino Linotype" w:eastAsia="Palatino Linotype" w:hAnsi="Palatino Linotype" w:cs="Palatino Linotype"/>
                <w:sz w:val="18"/>
              </w:rPr>
            </w:pPr>
            <w:r w:rsidRPr="00CA2D32">
              <w:rPr>
                <w:rFonts w:ascii="Palatino Linotype" w:eastAsia="Palatino Linotype" w:hAnsi="Palatino Linotype" w:cs="Palatino Linotype"/>
                <w:b/>
                <w:i/>
                <w:sz w:val="18"/>
              </w:rPr>
              <w:t xml:space="preserve">IEEM-JDE27-225-2023_.pdf: </w:t>
            </w:r>
            <w:r w:rsidRPr="00CA2D32">
              <w:rPr>
                <w:rFonts w:ascii="Palatino Linotype" w:eastAsia="Palatino Linotype" w:hAnsi="Palatino Linotype" w:cs="Palatino Linotype"/>
                <w:sz w:val="18"/>
              </w:rPr>
              <w:t xml:space="preserve">Oficio signado por la Vocal de Organización de la Junta Distrital No. 27 con sede en Valle de Chalco Solidaridad en el que remite diversa información pero respecto a la solicitud de información que apertura este medio de impugnación, señala que tras una búsqueda minuciosa </w:t>
            </w:r>
            <w:r w:rsidRPr="00CA2D32">
              <w:rPr>
                <w:rFonts w:ascii="Palatino Linotype" w:eastAsia="Palatino Linotype" w:hAnsi="Palatino Linotype" w:cs="Palatino Linotype"/>
                <w:b/>
                <w:sz w:val="18"/>
                <w:u w:val="single"/>
              </w:rPr>
              <w:t>no obran archivos respecto a dicha solicitud.</w:t>
            </w:r>
            <w:r w:rsidRPr="00CA2D32">
              <w:rPr>
                <w:rFonts w:ascii="Palatino Linotype" w:eastAsia="Palatino Linotype" w:hAnsi="Palatino Linotype" w:cs="Palatino Linotype"/>
                <w:sz w:val="18"/>
              </w:rPr>
              <w:t xml:space="preserve">  </w:t>
            </w:r>
          </w:p>
          <w:p w:rsidR="00D3098C" w:rsidRPr="00CA2D32" w:rsidRDefault="00D3098C" w:rsidP="00D3098C">
            <w:pPr>
              <w:spacing w:before="240" w:after="240" w:line="276" w:lineRule="auto"/>
              <w:jc w:val="both"/>
              <w:rPr>
                <w:rFonts w:ascii="Palatino Linotype" w:eastAsia="Palatino Linotype" w:hAnsi="Palatino Linotype" w:cs="Palatino Linotype"/>
                <w:sz w:val="18"/>
              </w:rPr>
            </w:pPr>
            <w:r w:rsidRPr="00CA2D32">
              <w:rPr>
                <w:rFonts w:ascii="Palatino Linotype" w:eastAsia="Palatino Linotype" w:hAnsi="Palatino Linotype" w:cs="Palatino Linotype"/>
                <w:b/>
                <w:i/>
                <w:sz w:val="18"/>
              </w:rPr>
              <w:lastRenderedPageBreak/>
              <w:t>OFICIO RESPUESTA 690-2023 UT.pdf:</w:t>
            </w:r>
            <w:r w:rsidRPr="00CA2D32">
              <w:rPr>
                <w:rFonts w:ascii="Palatino Linotype" w:eastAsia="Palatino Linotype" w:hAnsi="Palatino Linotype" w:cs="Palatino Linotype"/>
                <w:sz w:val="18"/>
              </w:rPr>
              <w:t xml:space="preserve"> Oficio por el que la Titular de la Unidad de Transparencia notifica la respuesta a la persona solicitante.</w:t>
            </w:r>
          </w:p>
        </w:tc>
      </w:tr>
      <w:tr w:rsidR="00CA2D32" w:rsidRPr="00CA2D32" w:rsidTr="00D3098C">
        <w:tc>
          <w:tcPr>
            <w:tcW w:w="4131" w:type="dxa"/>
          </w:tcPr>
          <w:p w:rsidR="00D3098C" w:rsidRPr="00CA2D32" w:rsidRDefault="00D3098C" w:rsidP="00D3098C">
            <w:pPr>
              <w:spacing w:before="240" w:after="240"/>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lastRenderedPageBreak/>
              <w:t xml:space="preserve">00688/IEEM/IP/2023, </w:t>
            </w:r>
            <w:r w:rsidRPr="00CA2D32">
              <w:rPr>
                <w:rFonts w:ascii="Palatino Linotype" w:eastAsia="Palatino Linotype" w:hAnsi="Palatino Linotype" w:cs="Palatino Linotype"/>
                <w:sz w:val="20"/>
                <w:szCs w:val="20"/>
              </w:rPr>
              <w:t>correspondiente al Recurso de Revisión</w:t>
            </w:r>
            <w:r w:rsidRPr="00CA2D32">
              <w:rPr>
                <w:rFonts w:ascii="Palatino Linotype" w:eastAsia="Palatino Linotype" w:hAnsi="Palatino Linotype" w:cs="Palatino Linotype"/>
                <w:b/>
                <w:sz w:val="20"/>
                <w:szCs w:val="20"/>
              </w:rPr>
              <w:t xml:space="preserve">  03955/INFOEM/IP/RR/2023</w:t>
            </w:r>
          </w:p>
        </w:tc>
        <w:tc>
          <w:tcPr>
            <w:tcW w:w="4130" w:type="dxa"/>
          </w:tcPr>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Se adjunta respuesta a su solicitud de información.</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ATENTAMENTE</w:t>
            </w:r>
          </w:p>
          <w:p w:rsidR="00D3098C" w:rsidRPr="00CA2D32" w:rsidRDefault="00D3098C" w:rsidP="00D3098C">
            <w:pPr>
              <w:spacing w:before="240" w:after="240" w:line="276" w:lineRule="auto"/>
              <w:jc w:val="both"/>
              <w:rPr>
                <w:rFonts w:ascii="Palatino Linotype" w:eastAsia="Palatino Linotype" w:hAnsi="Palatino Linotype" w:cs="Palatino Linotype"/>
                <w:i/>
                <w:sz w:val="18"/>
              </w:rPr>
            </w:pPr>
            <w:r w:rsidRPr="00CA2D32">
              <w:rPr>
                <w:rFonts w:ascii="Palatino Linotype" w:eastAsia="Palatino Linotype" w:hAnsi="Palatino Linotype" w:cs="Palatino Linotype"/>
                <w:i/>
                <w:sz w:val="18"/>
              </w:rPr>
              <w:t>MAESTRA LILIBETH ÁLVAREZ RODRÍGUEZ”</w:t>
            </w:r>
          </w:p>
          <w:p w:rsidR="00D3098C" w:rsidRPr="00CA2D32" w:rsidRDefault="00D3098C" w:rsidP="00D3098C">
            <w:pPr>
              <w:spacing w:before="240" w:after="240" w:line="360" w:lineRule="auto"/>
              <w:ind w:right="900"/>
              <w:jc w:val="both"/>
              <w:rPr>
                <w:rFonts w:ascii="Palatino Linotype" w:eastAsia="Palatino Linotype" w:hAnsi="Palatino Linotype" w:cs="Palatino Linotype"/>
                <w:b/>
                <w:sz w:val="18"/>
              </w:rPr>
            </w:pPr>
            <w:r w:rsidRPr="00CA2D32">
              <w:rPr>
                <w:rFonts w:ascii="Palatino Linotype" w:eastAsia="Palatino Linotype" w:hAnsi="Palatino Linotype" w:cs="Palatino Linotype"/>
                <w:b/>
                <w:sz w:val="18"/>
              </w:rPr>
              <w:t>Archivos adjuntos:</w:t>
            </w:r>
          </w:p>
          <w:p w:rsidR="00D3098C" w:rsidRPr="00CA2D32" w:rsidRDefault="00D3098C" w:rsidP="00D3098C">
            <w:pPr>
              <w:spacing w:before="240" w:after="240" w:line="276" w:lineRule="auto"/>
              <w:jc w:val="both"/>
              <w:rPr>
                <w:rFonts w:ascii="Palatino Linotype" w:eastAsia="Palatino Linotype" w:hAnsi="Palatino Linotype" w:cs="Palatino Linotype"/>
                <w:b/>
                <w:sz w:val="18"/>
                <w:u w:val="single"/>
              </w:rPr>
            </w:pPr>
            <w:r w:rsidRPr="00CA2D32">
              <w:rPr>
                <w:rFonts w:ascii="Palatino Linotype" w:eastAsia="Palatino Linotype" w:hAnsi="Palatino Linotype" w:cs="Palatino Linotype"/>
                <w:b/>
                <w:i/>
                <w:sz w:val="18"/>
              </w:rPr>
              <w:t xml:space="preserve">IEEM-JDE27-225-2023_.pdf: </w:t>
            </w:r>
            <w:r w:rsidRPr="00CA2D32">
              <w:rPr>
                <w:rFonts w:ascii="Palatino Linotype" w:eastAsia="Palatino Linotype" w:hAnsi="Palatino Linotype" w:cs="Palatino Linotype"/>
                <w:sz w:val="18"/>
              </w:rPr>
              <w:t xml:space="preserve">Oficio signado por la Vocal de Organización de la Junta Distrital No. 27 con sede en Valle de Chalco Solidaridad en el que remite diversa información pero respecto a la solicitud de información que apertura este medio de impugnación, señala que tras una búsqueda minuciosa </w:t>
            </w:r>
            <w:r w:rsidRPr="00CA2D32">
              <w:rPr>
                <w:rFonts w:ascii="Palatino Linotype" w:eastAsia="Palatino Linotype" w:hAnsi="Palatino Linotype" w:cs="Palatino Linotype"/>
                <w:b/>
                <w:sz w:val="18"/>
                <w:u w:val="single"/>
              </w:rPr>
              <w:t xml:space="preserve">no obran archivos respecto a dicha solicitud.  </w:t>
            </w:r>
          </w:p>
          <w:p w:rsidR="00D3098C" w:rsidRPr="00CA2D32" w:rsidRDefault="00D3098C" w:rsidP="00783ED0">
            <w:pPr>
              <w:spacing w:before="240" w:after="240" w:line="276" w:lineRule="auto"/>
              <w:ind w:right="78"/>
              <w:jc w:val="both"/>
              <w:rPr>
                <w:rFonts w:ascii="Palatino Linotype" w:eastAsia="Palatino Linotype" w:hAnsi="Palatino Linotype" w:cs="Palatino Linotype"/>
                <w:b/>
                <w:i/>
                <w:sz w:val="18"/>
              </w:rPr>
            </w:pPr>
            <w:r w:rsidRPr="00CA2D32">
              <w:rPr>
                <w:rFonts w:ascii="Palatino Linotype" w:eastAsia="Palatino Linotype" w:hAnsi="Palatino Linotype" w:cs="Palatino Linotype"/>
                <w:b/>
                <w:i/>
                <w:sz w:val="18"/>
              </w:rPr>
              <w:t>IEEM-DO-2285-2023.pdf:</w:t>
            </w:r>
            <w:r w:rsidR="00783ED0" w:rsidRPr="00CA2D32">
              <w:rPr>
                <w:rFonts w:ascii="Palatino Linotype" w:eastAsia="Palatino Linotype" w:hAnsi="Palatino Linotype" w:cs="Palatino Linotype"/>
                <w:sz w:val="18"/>
              </w:rPr>
              <w:t xml:space="preserve"> Oficio signado por el Director de Organización, quien señala que la Junta y Consejo Distrital número 27 con cabecera en Valle de Chalco Solidaridad; informó que, derivado de una búsqueda minuciosa</w:t>
            </w:r>
            <w:r w:rsidR="00783ED0" w:rsidRPr="00CA2D32">
              <w:rPr>
                <w:rFonts w:ascii="Palatino Linotype" w:eastAsia="Palatino Linotype" w:hAnsi="Palatino Linotype" w:cs="Palatino Linotype"/>
                <w:b/>
                <w:sz w:val="18"/>
                <w:u w:val="single"/>
              </w:rPr>
              <w:t>, no obran archivos respecto a dichas solicitudes.</w:t>
            </w:r>
          </w:p>
          <w:p w:rsidR="00D3098C" w:rsidRPr="00CA2D32" w:rsidRDefault="00D3098C" w:rsidP="00783ED0">
            <w:pPr>
              <w:spacing w:before="240" w:after="240" w:line="276"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i/>
                <w:sz w:val="18"/>
              </w:rPr>
              <w:t>OFICIO RESPUESTA 688-2023 UT.pdf:</w:t>
            </w:r>
            <w:r w:rsidR="00783ED0" w:rsidRPr="00CA2D32">
              <w:rPr>
                <w:rFonts w:ascii="Palatino Linotype" w:eastAsia="Palatino Linotype" w:hAnsi="Palatino Linotype" w:cs="Palatino Linotype"/>
                <w:sz w:val="18"/>
              </w:rPr>
              <w:t xml:space="preserve"> Oficio por el que la Titular de la Unidad de </w:t>
            </w:r>
            <w:r w:rsidR="00783ED0" w:rsidRPr="00CA2D32">
              <w:rPr>
                <w:rFonts w:ascii="Palatino Linotype" w:eastAsia="Palatino Linotype" w:hAnsi="Palatino Linotype" w:cs="Palatino Linotype"/>
                <w:sz w:val="18"/>
              </w:rPr>
              <w:lastRenderedPageBreak/>
              <w:t>Transparencia notifica la respuesta a la persona solicitante.</w:t>
            </w:r>
          </w:p>
        </w:tc>
      </w:tr>
    </w:tbl>
    <w:p w:rsidR="00D600F9" w:rsidRPr="00CA2D32" w:rsidRDefault="00B7743B">
      <w:pPr>
        <w:spacing w:before="240" w:after="240" w:line="360" w:lineRule="auto"/>
        <w:ind w:right="49"/>
        <w:jc w:val="both"/>
        <w:rPr>
          <w:rFonts w:ascii="Palatino Linotype" w:eastAsia="Palatino Linotype" w:hAnsi="Palatino Linotype" w:cs="Palatino Linotype"/>
        </w:rPr>
      </w:pPr>
      <w:r w:rsidRPr="00CA2D32">
        <w:rPr>
          <w:rFonts w:ascii="Palatino Linotype" w:eastAsia="Palatino Linotype" w:hAnsi="Palatino Linotype" w:cs="Palatino Linotype"/>
          <w:b/>
        </w:rPr>
        <w:lastRenderedPageBreak/>
        <w:t>4</w:t>
      </w:r>
      <w:r w:rsidR="009D4180" w:rsidRPr="00CA2D32">
        <w:rPr>
          <w:rFonts w:ascii="Palatino Linotype" w:eastAsia="Palatino Linotype" w:hAnsi="Palatino Linotype" w:cs="Palatino Linotype"/>
          <w:b/>
        </w:rPr>
        <w:t xml:space="preserve">. Interposición de los recursos de revisión.  </w:t>
      </w:r>
      <w:r w:rsidR="009D4180" w:rsidRPr="00CA2D32">
        <w:rPr>
          <w:rFonts w:ascii="Palatino Linotype" w:eastAsia="Palatino Linotype" w:hAnsi="Palatino Linotype" w:cs="Palatino Linotype"/>
        </w:rPr>
        <w:t xml:space="preserve">El </w:t>
      </w:r>
      <w:r w:rsidR="00783ED0" w:rsidRPr="00CA2D32">
        <w:rPr>
          <w:rFonts w:ascii="Palatino Linotype" w:eastAsia="Palatino Linotype" w:hAnsi="Palatino Linotype" w:cs="Palatino Linotype"/>
          <w:b/>
        </w:rPr>
        <w:t>seis de jul</w:t>
      </w:r>
      <w:r w:rsidR="00D600F9" w:rsidRPr="00CA2D32">
        <w:rPr>
          <w:rFonts w:ascii="Palatino Linotype" w:eastAsia="Palatino Linotype" w:hAnsi="Palatino Linotype" w:cs="Palatino Linotype"/>
          <w:b/>
        </w:rPr>
        <w:t>i</w:t>
      </w:r>
      <w:r w:rsidRPr="00CA2D32">
        <w:rPr>
          <w:rFonts w:ascii="Palatino Linotype" w:eastAsia="Palatino Linotype" w:hAnsi="Palatino Linotype" w:cs="Palatino Linotype"/>
          <w:b/>
        </w:rPr>
        <w:t>o</w:t>
      </w:r>
      <w:r w:rsidR="009D4180"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b/>
        </w:rPr>
        <w:t>de dos mil veintitré</w:t>
      </w:r>
      <w:r w:rsidR="009D4180" w:rsidRPr="00CA2D32">
        <w:rPr>
          <w:rFonts w:ascii="Palatino Linotype" w:eastAsia="Palatino Linotype" w:hAnsi="Palatino Linotype" w:cs="Palatino Linotype"/>
          <w:b/>
        </w:rPr>
        <w:t xml:space="preserve">s, la parte Recurrente, </w:t>
      </w:r>
      <w:r w:rsidR="009D4180" w:rsidRPr="00CA2D32">
        <w:rPr>
          <w:rFonts w:ascii="Palatino Linotype" w:eastAsia="Palatino Linotype" w:hAnsi="Palatino Linotype" w:cs="Palatino Linotype"/>
        </w:rPr>
        <w:t>inconforme con las respuestas, interpuso los recursos de revisión que nos ocupan, expresando lo siguiente:</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A2D32" w:rsidRPr="00CA2D32" w:rsidTr="00B7743B">
        <w:tc>
          <w:tcPr>
            <w:tcW w:w="2942"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sz w:val="20"/>
              </w:rPr>
            </w:pPr>
            <w:r w:rsidRPr="00CA2D32">
              <w:rPr>
                <w:rFonts w:ascii="Palatino Linotype" w:eastAsia="Palatino Linotype" w:hAnsi="Palatino Linotype" w:cs="Palatino Linotype"/>
                <w:b/>
                <w:sz w:val="20"/>
              </w:rPr>
              <w:t>Recurso de Revisión</w:t>
            </w:r>
          </w:p>
        </w:tc>
        <w:tc>
          <w:tcPr>
            <w:tcW w:w="2943"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sz w:val="20"/>
              </w:rPr>
            </w:pPr>
            <w:r w:rsidRPr="00CA2D32">
              <w:rPr>
                <w:rFonts w:ascii="Palatino Linotype" w:eastAsia="Palatino Linotype" w:hAnsi="Palatino Linotype" w:cs="Palatino Linotype"/>
                <w:b/>
                <w:sz w:val="20"/>
              </w:rPr>
              <w:t>Acto impugnado</w:t>
            </w:r>
          </w:p>
        </w:tc>
        <w:tc>
          <w:tcPr>
            <w:tcW w:w="2943"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sz w:val="20"/>
              </w:rPr>
            </w:pPr>
            <w:r w:rsidRPr="00CA2D32">
              <w:rPr>
                <w:rFonts w:ascii="Palatino Linotype" w:eastAsia="Palatino Linotype" w:hAnsi="Palatino Linotype" w:cs="Palatino Linotype"/>
                <w:b/>
                <w:sz w:val="20"/>
              </w:rPr>
              <w:t>Motivos de inconformidad</w:t>
            </w:r>
          </w:p>
        </w:tc>
      </w:tr>
      <w:tr w:rsidR="00CA2D32" w:rsidRPr="00CA2D32">
        <w:tc>
          <w:tcPr>
            <w:tcW w:w="2942" w:type="dxa"/>
          </w:tcPr>
          <w:p w:rsidR="00593063" w:rsidRPr="00CA2D32" w:rsidRDefault="00783ED0">
            <w:pPr>
              <w:spacing w:before="240" w:after="240" w:line="360" w:lineRule="auto"/>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03954/INFOEM/IP/RR/2023</w:t>
            </w:r>
          </w:p>
        </w:tc>
        <w:tc>
          <w:tcPr>
            <w:tcW w:w="2943" w:type="dxa"/>
          </w:tcPr>
          <w:p w:rsidR="00593063" w:rsidRPr="00CA2D32" w:rsidRDefault="00783ED0" w:rsidP="00D600F9">
            <w:pPr>
              <w:spacing w:before="240" w:after="240"/>
              <w:jc w:val="both"/>
              <w:rPr>
                <w:rFonts w:ascii="Palatino Linotype" w:eastAsia="Palatino Linotype" w:hAnsi="Palatino Linotype" w:cs="Palatino Linotype"/>
                <w:i/>
              </w:rPr>
            </w:pPr>
            <w:r w:rsidRPr="00CA2D32">
              <w:rPr>
                <w:rFonts w:ascii="Palatino Linotype" w:eastAsia="Palatino Linotype" w:hAnsi="Palatino Linotype" w:cs="Palatino Linotype"/>
                <w:i/>
                <w:sz w:val="18"/>
              </w:rPr>
              <w:t>Declaración de inexistencia de la información (fracción III del artículo 179 de la Ley de Transparencia y Acceso a la Información Pública del Estado de México y Municipios).</w:t>
            </w:r>
          </w:p>
        </w:tc>
        <w:tc>
          <w:tcPr>
            <w:tcW w:w="2943" w:type="dxa"/>
          </w:tcPr>
          <w:p w:rsidR="00593063" w:rsidRPr="00CA2D32" w:rsidRDefault="00783ED0" w:rsidP="00D600F9">
            <w:pPr>
              <w:spacing w:before="240" w:after="240"/>
              <w:jc w:val="both"/>
              <w:rPr>
                <w:rFonts w:ascii="Palatino Linotype" w:eastAsia="Palatino Linotype" w:hAnsi="Palatino Linotype" w:cs="Palatino Linotype"/>
                <w:i/>
              </w:rPr>
            </w:pPr>
            <w:r w:rsidRPr="00CA2D32">
              <w:rPr>
                <w:rFonts w:ascii="Palatino Linotype" w:eastAsia="Palatino Linotype" w:hAnsi="Palatino Linotype" w:cs="Palatino Linotype"/>
                <w:i/>
                <w:sz w:val="20"/>
              </w:rPr>
              <w:t xml:space="preserve">No se entrega la información. En el oficio IEEM/JDE27/225/2023 signado por la Mtra. María Dolores Fernández Pilar, Vocal de Organización de la Junta 27 con sede en Valle de Chalco Solidaridad informa que, derivado de una búsqueda minuciosa, no obran archivos respecto a dicha solicitud, situación totalmente falsa, porque en la actividad 73 del Informe mensual de actividades correspondientes al mes de abril de 2023 de la junta distrital electoral No. 27 con cabecera en Valle de Chalco Solidaridad, la Vocal Ejecutiva según acudió a Reunión de la mesa de Seguridad Pública Municipal los días 05, 12, 19 y 26 de abril. En esa lógica, debe existir un documento donde se le haya invitado a esas reuniones, precisamente, porque los vocales al atender estas invitaciones erogan recursos públicos en sus traslados. Toda vez que, al no </w:t>
            </w:r>
            <w:r w:rsidRPr="00CA2D32">
              <w:rPr>
                <w:rFonts w:ascii="Palatino Linotype" w:eastAsia="Palatino Linotype" w:hAnsi="Palatino Linotype" w:cs="Palatino Linotype"/>
                <w:i/>
                <w:sz w:val="20"/>
              </w:rPr>
              <w:lastRenderedPageBreak/>
              <w:t>contar con la información requerida, se debió dar aviso al Comité de Transparencia, quien debió emitir un Acuerdo de Inexistencia, debidamente fundado y motivado en términos del artículo 19 de la Ley de Transparencia y Acceso a la Información Pública del Estado de México y Municipios, situación que no ocurrió, por tal motivo,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p>
        </w:tc>
      </w:tr>
      <w:tr w:rsidR="00CA2D32" w:rsidRPr="00CA2D32">
        <w:tc>
          <w:tcPr>
            <w:tcW w:w="2942" w:type="dxa"/>
          </w:tcPr>
          <w:p w:rsidR="00593063" w:rsidRPr="00CA2D32" w:rsidRDefault="00783ED0">
            <w:pPr>
              <w:spacing w:before="240" w:after="240" w:line="360" w:lineRule="auto"/>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lastRenderedPageBreak/>
              <w:t>03955/INFOEM/IP/RR/2023</w:t>
            </w:r>
          </w:p>
        </w:tc>
        <w:tc>
          <w:tcPr>
            <w:tcW w:w="2943" w:type="dxa"/>
          </w:tcPr>
          <w:p w:rsidR="00593063" w:rsidRPr="00CA2D32" w:rsidRDefault="00783ED0" w:rsidP="00783ED0">
            <w:pPr>
              <w:spacing w:before="240" w:after="240" w:line="276" w:lineRule="auto"/>
              <w:jc w:val="both"/>
              <w:rPr>
                <w:rFonts w:ascii="Palatino Linotype" w:eastAsia="Palatino Linotype" w:hAnsi="Palatino Linotype" w:cs="Palatino Linotype"/>
                <w:i/>
              </w:rPr>
            </w:pPr>
            <w:r w:rsidRPr="00CA2D32">
              <w:rPr>
                <w:rFonts w:ascii="Palatino Linotype" w:eastAsia="Palatino Linotype" w:hAnsi="Palatino Linotype" w:cs="Palatino Linotype"/>
                <w:i/>
                <w:sz w:val="18"/>
              </w:rPr>
              <w:t>Declaración de inexistencia de la información (fracción III del artículo 179 de la Ley de Transparencia y Acceso a la Información Pública del Estado de México y Municipios).</w:t>
            </w:r>
          </w:p>
        </w:tc>
        <w:tc>
          <w:tcPr>
            <w:tcW w:w="2943" w:type="dxa"/>
          </w:tcPr>
          <w:p w:rsidR="00593063" w:rsidRPr="00CA2D32" w:rsidRDefault="00783ED0" w:rsidP="008D4D42">
            <w:pPr>
              <w:spacing w:before="240" w:after="240" w:line="276" w:lineRule="auto"/>
              <w:jc w:val="both"/>
              <w:rPr>
                <w:rFonts w:ascii="Palatino Linotype" w:eastAsia="Palatino Linotype" w:hAnsi="Palatino Linotype" w:cs="Palatino Linotype"/>
                <w:i/>
              </w:rPr>
            </w:pPr>
            <w:r w:rsidRPr="00CA2D32">
              <w:rPr>
                <w:rFonts w:ascii="Palatino Linotype" w:eastAsia="Palatino Linotype" w:hAnsi="Palatino Linotype" w:cs="Palatino Linotype"/>
                <w:i/>
                <w:sz w:val="20"/>
              </w:rPr>
              <w:t xml:space="preserve">No se entrega la información. En el oficio IEEM/JDE27/225/2023 signado por la Mtra. María Dolores Fernández Pilar, Vocal de Organización de la Junta 27 con sede en Valle de Chalco Solidaridad informa que, derivado de una búsqueda minuciosa, no obran archivos respecto a dicha solicitud, situación totalmente falsa, porque en las actividades 63 y 64 del Informe mensual de actividades correspondientes al mes de abril de 2023 de la junta </w:t>
            </w:r>
            <w:r w:rsidRPr="00CA2D32">
              <w:rPr>
                <w:rFonts w:ascii="Palatino Linotype" w:eastAsia="Palatino Linotype" w:hAnsi="Palatino Linotype" w:cs="Palatino Linotype"/>
                <w:i/>
                <w:sz w:val="20"/>
              </w:rPr>
              <w:lastRenderedPageBreak/>
              <w:t>distrital electoral No. 27 con cabecera en Valle de Chalco Solidaridad, la Vocal de Organización según dio seguimiento a las circulares 27 y 28 de la Dirección de Organización. En esa lógica, debe existir un documento donde haya quedado plasmado el seguimiento brindado. Toda vez que, al no contar con la información requerida, se debió dar aviso al Comité de Transparencia, quien debió emitir un Acuerdo de Inexistencia, debidamente fundado y motivado en términos del artículo 19 de la Ley de Transparencia y Acceso a la Información Pública del Estado de México y Municipios, situación que no ocurrió, por tal motivo, en el ámbito de competencia del INFOEM 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p>
        </w:tc>
      </w:tr>
    </w:tbl>
    <w:p w:rsidR="00593063" w:rsidRPr="00CA2D32" w:rsidRDefault="00B7743B">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lastRenderedPageBreak/>
        <w:t>5</w:t>
      </w:r>
      <w:r w:rsidR="009D4180" w:rsidRPr="00CA2D32">
        <w:rPr>
          <w:rFonts w:ascii="Palatino Linotype" w:eastAsia="Palatino Linotype" w:hAnsi="Palatino Linotype" w:cs="Palatino Linotype"/>
          <w:b/>
        </w:rPr>
        <w:t xml:space="preserve">. Turno. </w:t>
      </w:r>
      <w:r w:rsidR="009D4180" w:rsidRPr="00CA2D32">
        <w:rPr>
          <w:rFonts w:ascii="Palatino Linotype" w:eastAsia="Palatino Linotype" w:hAnsi="Palatino Linotype" w:cs="Palatino Linotype"/>
        </w:rPr>
        <w:t xml:space="preserve">De conformidad con el artículo 185 </w:t>
      </w:r>
      <w:proofErr w:type="gramStart"/>
      <w:r w:rsidR="009D4180" w:rsidRPr="00CA2D32">
        <w:rPr>
          <w:rFonts w:ascii="Palatino Linotype" w:eastAsia="Palatino Linotype" w:hAnsi="Palatino Linotype" w:cs="Palatino Linotype"/>
        </w:rPr>
        <w:t>fracción</w:t>
      </w:r>
      <w:proofErr w:type="gramEnd"/>
      <w:r w:rsidR="009D4180" w:rsidRPr="00CA2D32">
        <w:rPr>
          <w:rFonts w:ascii="Palatino Linotype" w:eastAsia="Palatino Linotype" w:hAnsi="Palatino Linotype" w:cs="Palatino Linotype"/>
        </w:rPr>
        <w:t xml:space="preserve"> I de la Ley Transparencia y Acceso a la Información Pública, los recursos de revisión fueron</w:t>
      </w:r>
      <w:r w:rsidR="009D4180" w:rsidRPr="00CA2D32">
        <w:rPr>
          <w:rFonts w:ascii="Palatino Linotype" w:eastAsia="Palatino Linotype" w:hAnsi="Palatino Linotype" w:cs="Palatino Linotype"/>
          <w:b/>
        </w:rPr>
        <w:t xml:space="preserve"> </w:t>
      </w:r>
      <w:r w:rsidR="009D4180" w:rsidRPr="00CA2D32">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8"/>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CA2D32" w:rsidRPr="00CA2D32" w:rsidTr="00B7743B">
        <w:tc>
          <w:tcPr>
            <w:tcW w:w="4460"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rPr>
              <w:t>Recurso de Revisión</w:t>
            </w:r>
          </w:p>
        </w:tc>
        <w:tc>
          <w:tcPr>
            <w:tcW w:w="4461" w:type="dxa"/>
            <w:shd w:val="clear" w:color="auto" w:fill="DDD9C3" w:themeFill="background2" w:themeFillShade="E6"/>
          </w:tcPr>
          <w:p w:rsidR="00593063" w:rsidRPr="00CA2D32" w:rsidRDefault="009D4180">
            <w:pPr>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rPr>
              <w:t>Comisionada/o</w:t>
            </w:r>
          </w:p>
        </w:tc>
      </w:tr>
      <w:tr w:rsidR="00CA2D32" w:rsidRPr="00CA2D32">
        <w:tc>
          <w:tcPr>
            <w:tcW w:w="4460" w:type="dxa"/>
          </w:tcPr>
          <w:p w:rsidR="00593063" w:rsidRPr="00CA2D32" w:rsidRDefault="00783ED0">
            <w:pPr>
              <w:spacing w:before="240" w:after="240" w:line="276"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sz w:val="20"/>
                <w:szCs w:val="20"/>
              </w:rPr>
              <w:t>03954/INFOEM/IP/RR/2023</w:t>
            </w:r>
          </w:p>
        </w:tc>
        <w:tc>
          <w:tcPr>
            <w:tcW w:w="4461" w:type="dxa"/>
          </w:tcPr>
          <w:p w:rsidR="00593063" w:rsidRPr="00CA2D32" w:rsidRDefault="009D4180">
            <w:pPr>
              <w:spacing w:before="240" w:after="240"/>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Comisionada Guadalupe Ramírez Peña</w:t>
            </w:r>
          </w:p>
        </w:tc>
      </w:tr>
      <w:tr w:rsidR="00CA2D32" w:rsidRPr="00CA2D32">
        <w:tc>
          <w:tcPr>
            <w:tcW w:w="4460" w:type="dxa"/>
          </w:tcPr>
          <w:p w:rsidR="00593063" w:rsidRPr="00CA2D32" w:rsidRDefault="00783ED0">
            <w:pPr>
              <w:spacing w:before="240" w:after="240" w:line="276" w:lineRule="auto"/>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03955/INFOEM/IP/RR/2023</w:t>
            </w:r>
          </w:p>
        </w:tc>
        <w:tc>
          <w:tcPr>
            <w:tcW w:w="4461" w:type="dxa"/>
          </w:tcPr>
          <w:p w:rsidR="00593063" w:rsidRPr="00CA2D32" w:rsidRDefault="009D4180" w:rsidP="00783ED0">
            <w:pPr>
              <w:spacing w:before="240" w:after="240"/>
              <w:jc w:val="center"/>
              <w:rPr>
                <w:rFonts w:ascii="Palatino Linotype" w:eastAsia="Palatino Linotype" w:hAnsi="Palatino Linotype" w:cs="Palatino Linotype"/>
                <w:b/>
                <w:sz w:val="20"/>
                <w:szCs w:val="20"/>
              </w:rPr>
            </w:pPr>
            <w:r w:rsidRPr="00CA2D32">
              <w:rPr>
                <w:rFonts w:ascii="Palatino Linotype" w:eastAsia="Palatino Linotype" w:hAnsi="Palatino Linotype" w:cs="Palatino Linotype"/>
                <w:b/>
                <w:sz w:val="20"/>
                <w:szCs w:val="20"/>
              </w:rPr>
              <w:t xml:space="preserve">Comisionado </w:t>
            </w:r>
            <w:r w:rsidR="00783ED0" w:rsidRPr="00CA2D32">
              <w:rPr>
                <w:rFonts w:ascii="Palatino Linotype" w:eastAsia="Palatino Linotype" w:hAnsi="Palatino Linotype" w:cs="Palatino Linotype"/>
                <w:b/>
                <w:sz w:val="20"/>
                <w:szCs w:val="20"/>
              </w:rPr>
              <w:t>Presidente José Martínez Vilchis</w:t>
            </w:r>
          </w:p>
        </w:tc>
      </w:tr>
    </w:tbl>
    <w:p w:rsidR="00593063" w:rsidRPr="00CA2D32" w:rsidRDefault="00B7743B">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6</w:t>
      </w:r>
      <w:r w:rsidR="009D4180" w:rsidRPr="00CA2D32">
        <w:rPr>
          <w:rFonts w:ascii="Palatino Linotype" w:eastAsia="Palatino Linotype" w:hAnsi="Palatino Linotype" w:cs="Palatino Linotype"/>
          <w:b/>
        </w:rPr>
        <w:t xml:space="preserve">. Admisiones. </w:t>
      </w:r>
      <w:proofErr w:type="gramStart"/>
      <w:r w:rsidR="00783ED0" w:rsidRPr="00CA2D32">
        <w:rPr>
          <w:rFonts w:ascii="Palatino Linotype" w:eastAsia="Palatino Linotype" w:hAnsi="Palatino Linotype" w:cs="Palatino Linotype"/>
        </w:rPr>
        <w:t>Los</w:t>
      </w:r>
      <w:proofErr w:type="gramEnd"/>
      <w:r w:rsidR="00783ED0" w:rsidRPr="00CA2D32">
        <w:rPr>
          <w:rFonts w:ascii="Palatino Linotype" w:eastAsia="Palatino Linotype" w:hAnsi="Palatino Linotype" w:cs="Palatino Linotype"/>
        </w:rPr>
        <w:t xml:space="preserve"> días </w:t>
      </w:r>
      <w:r w:rsidR="00783ED0" w:rsidRPr="00CA2D32">
        <w:rPr>
          <w:rFonts w:ascii="Palatino Linotype" w:eastAsia="Palatino Linotype" w:hAnsi="Palatino Linotype" w:cs="Palatino Linotype"/>
          <w:b/>
        </w:rPr>
        <w:t>once y doce</w:t>
      </w:r>
      <w:r w:rsidR="009D4180" w:rsidRPr="00CA2D32">
        <w:rPr>
          <w:rFonts w:ascii="Palatino Linotype" w:eastAsia="Palatino Linotype" w:hAnsi="Palatino Linotype" w:cs="Palatino Linotype"/>
        </w:rPr>
        <w:t xml:space="preserve"> </w:t>
      </w:r>
      <w:r w:rsidR="00783ED0" w:rsidRPr="00CA2D32">
        <w:rPr>
          <w:rFonts w:ascii="Palatino Linotype" w:eastAsia="Palatino Linotype" w:hAnsi="Palatino Linotype" w:cs="Palatino Linotype"/>
          <w:b/>
        </w:rPr>
        <w:t>de jul</w:t>
      </w:r>
      <w:r w:rsidR="008D4D42" w:rsidRPr="00CA2D32">
        <w:rPr>
          <w:rFonts w:ascii="Palatino Linotype" w:eastAsia="Palatino Linotype" w:hAnsi="Palatino Linotype" w:cs="Palatino Linotype"/>
          <w:b/>
        </w:rPr>
        <w:t>i</w:t>
      </w:r>
      <w:r w:rsidRPr="00CA2D32">
        <w:rPr>
          <w:rFonts w:ascii="Palatino Linotype" w:eastAsia="Palatino Linotype" w:hAnsi="Palatino Linotype" w:cs="Palatino Linotype"/>
          <w:b/>
        </w:rPr>
        <w:t>o</w:t>
      </w:r>
      <w:r w:rsidR="009D4180" w:rsidRPr="00CA2D32">
        <w:rPr>
          <w:rFonts w:ascii="Palatino Linotype" w:eastAsia="Palatino Linotype" w:hAnsi="Palatino Linotype" w:cs="Palatino Linotype"/>
          <w:b/>
        </w:rPr>
        <w:t xml:space="preserve"> de dos mil </w:t>
      </w:r>
      <w:r w:rsidRPr="00CA2D32">
        <w:rPr>
          <w:rFonts w:ascii="Palatino Linotype" w:eastAsia="Palatino Linotype" w:hAnsi="Palatino Linotype" w:cs="Palatino Linotype"/>
          <w:b/>
        </w:rPr>
        <w:t>veintitré</w:t>
      </w:r>
      <w:r w:rsidR="009D4180" w:rsidRPr="00CA2D32">
        <w:rPr>
          <w:rFonts w:ascii="Palatino Linotype" w:eastAsia="Palatino Linotype" w:hAnsi="Palatino Linotype" w:cs="Palatino Linotype"/>
          <w:b/>
        </w:rPr>
        <w:t>s,</w:t>
      </w:r>
      <w:r w:rsidR="009D4180" w:rsidRPr="00CA2D32">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rsidR="00593063" w:rsidRPr="00CA2D32" w:rsidRDefault="00B7743B">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7</w:t>
      </w:r>
      <w:r w:rsidR="009D4180" w:rsidRPr="00CA2D32">
        <w:rPr>
          <w:rFonts w:ascii="Palatino Linotype" w:eastAsia="Palatino Linotype" w:hAnsi="Palatino Linotype" w:cs="Palatino Linotype"/>
          <w:b/>
        </w:rPr>
        <w:t xml:space="preserve">. Acumulación. </w:t>
      </w:r>
      <w:r w:rsidR="009D4180" w:rsidRPr="00CA2D32">
        <w:rPr>
          <w:rFonts w:ascii="Palatino Linotype" w:eastAsia="Palatino Linotype" w:hAnsi="Palatino Linotype" w:cs="Palatino Linotype"/>
        </w:rPr>
        <w:t xml:space="preserve">En la </w:t>
      </w:r>
      <w:r w:rsidR="00783ED0" w:rsidRPr="00CA2D32">
        <w:rPr>
          <w:rFonts w:ascii="Palatino Linotype" w:eastAsia="Palatino Linotype" w:hAnsi="Palatino Linotype" w:cs="Palatino Linotype"/>
          <w:b/>
        </w:rPr>
        <w:t>Vigésima Séptim</w:t>
      </w:r>
      <w:r w:rsidR="009D4180" w:rsidRPr="00CA2D32">
        <w:rPr>
          <w:rFonts w:ascii="Palatino Linotype" w:eastAsia="Palatino Linotype" w:hAnsi="Palatino Linotype" w:cs="Palatino Linotype"/>
          <w:b/>
        </w:rPr>
        <w:t>a Sesión Ordinaria</w:t>
      </w:r>
      <w:r w:rsidR="009D4180" w:rsidRPr="00CA2D32">
        <w:rPr>
          <w:rFonts w:ascii="Palatino Linotype" w:eastAsia="Palatino Linotype" w:hAnsi="Palatino Linotype" w:cs="Palatino Linotype"/>
        </w:rPr>
        <w:t xml:space="preserve"> celebrada el </w:t>
      </w:r>
      <w:r w:rsidR="00783ED0" w:rsidRPr="00CA2D32">
        <w:rPr>
          <w:rFonts w:ascii="Palatino Linotype" w:eastAsia="Palatino Linotype" w:hAnsi="Palatino Linotype" w:cs="Palatino Linotype"/>
          <w:b/>
        </w:rPr>
        <w:t>dos de agosto</w:t>
      </w:r>
      <w:r w:rsidRPr="00CA2D32">
        <w:rPr>
          <w:rFonts w:ascii="Palatino Linotype" w:eastAsia="Palatino Linotype" w:hAnsi="Palatino Linotype" w:cs="Palatino Linotype"/>
          <w:b/>
        </w:rPr>
        <w:t xml:space="preserve"> de dos mil veintitré</w:t>
      </w:r>
      <w:r w:rsidR="009D4180" w:rsidRPr="00CA2D32">
        <w:rPr>
          <w:rFonts w:ascii="Palatino Linotype" w:eastAsia="Palatino Linotype" w:hAnsi="Palatino Linotype" w:cs="Palatino Linotype"/>
          <w:b/>
        </w:rPr>
        <w:t>s</w:t>
      </w:r>
      <w:r w:rsidR="009D4180" w:rsidRPr="00CA2D32">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w:t>
      </w:r>
      <w:r w:rsidR="009D4180" w:rsidRPr="00CA2D32">
        <w:rPr>
          <w:rFonts w:ascii="Palatino Linotype" w:eastAsia="Palatino Linotype" w:hAnsi="Palatino Linotype" w:cs="Palatino Linotype"/>
        </w:rPr>
        <w:lastRenderedPageBreak/>
        <w:t xml:space="preserve">acordando que fuera Ponente la </w:t>
      </w:r>
      <w:r w:rsidR="009D4180" w:rsidRPr="00CA2D32">
        <w:rPr>
          <w:rFonts w:ascii="Palatino Linotype" w:eastAsia="Palatino Linotype" w:hAnsi="Palatino Linotype" w:cs="Palatino Linotype"/>
          <w:b/>
        </w:rPr>
        <w:t>Comisionada</w:t>
      </w:r>
      <w:r w:rsidR="009D4180" w:rsidRPr="00CA2D32">
        <w:rPr>
          <w:rFonts w:ascii="Palatino Linotype" w:eastAsia="Palatino Linotype" w:hAnsi="Palatino Linotype" w:cs="Palatino Linotype"/>
        </w:rPr>
        <w:t xml:space="preserve"> </w:t>
      </w:r>
      <w:r w:rsidR="009D4180" w:rsidRPr="00CA2D32">
        <w:rPr>
          <w:rFonts w:ascii="Palatino Linotype" w:eastAsia="Palatino Linotype" w:hAnsi="Palatino Linotype" w:cs="Palatino Linotype"/>
          <w:b/>
        </w:rPr>
        <w:t>Guadalupe Ramírez Peña</w:t>
      </w:r>
      <w:r w:rsidR="009D4180" w:rsidRPr="00CA2D32">
        <w:rPr>
          <w:rFonts w:ascii="Palatino Linotype" w:eastAsia="Palatino Linotype" w:hAnsi="Palatino Linotype" w:cs="Palatino Linotype"/>
        </w:rPr>
        <w:t xml:space="preserve">; que mediante acuerdo se notificó a las partes vía SAIMEX. </w:t>
      </w:r>
    </w:p>
    <w:p w:rsidR="00A620F9" w:rsidRPr="00CA2D32" w:rsidRDefault="00B7743B">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8</w:t>
      </w:r>
      <w:r w:rsidR="009D4180" w:rsidRPr="00CA2D32">
        <w:rPr>
          <w:rFonts w:ascii="Palatino Linotype" w:eastAsia="Palatino Linotype" w:hAnsi="Palatino Linotype" w:cs="Palatino Linotype"/>
          <w:b/>
        </w:rPr>
        <w:t xml:space="preserve">. Manifestaciones. </w:t>
      </w:r>
      <w:r w:rsidR="009D4180" w:rsidRPr="00CA2D32">
        <w:rPr>
          <w:rFonts w:ascii="Palatino Linotype" w:eastAsia="Palatino Linotype" w:hAnsi="Palatino Linotype" w:cs="Palatino Linotype"/>
        </w:rPr>
        <w:t xml:space="preserve">De las constancias que obran en los expedientes electrónicos del SAIMEX se desprende que el </w:t>
      </w:r>
      <w:r w:rsidR="009D4180" w:rsidRPr="00CA2D32">
        <w:rPr>
          <w:rFonts w:ascii="Palatino Linotype" w:eastAsia="Palatino Linotype" w:hAnsi="Palatino Linotype" w:cs="Palatino Linotype"/>
          <w:b/>
        </w:rPr>
        <w:t>Sujeto Obligado</w:t>
      </w:r>
      <w:r w:rsidR="009D4180" w:rsidRPr="00CA2D32">
        <w:rPr>
          <w:rFonts w:ascii="Palatino Linotype" w:eastAsia="Palatino Linotype" w:hAnsi="Palatino Linotype" w:cs="Palatino Linotype"/>
        </w:rPr>
        <w:t xml:space="preserve"> rindió sus</w:t>
      </w:r>
      <w:r w:rsidR="00194C20" w:rsidRPr="00CA2D32">
        <w:rPr>
          <w:rFonts w:ascii="Palatino Linotype" w:eastAsia="Palatino Linotype" w:hAnsi="Palatino Linotype" w:cs="Palatino Linotype"/>
        </w:rPr>
        <w:t xml:space="preserve"> informes justificados, </w:t>
      </w:r>
      <w:r w:rsidR="0068026B" w:rsidRPr="00CA2D32">
        <w:rPr>
          <w:rFonts w:ascii="Palatino Linotype" w:eastAsia="Palatino Linotype" w:hAnsi="Palatino Linotype" w:cs="Palatino Linotype"/>
        </w:rPr>
        <w:t xml:space="preserve">los días, </w:t>
      </w:r>
      <w:r w:rsidR="00783ED0" w:rsidRPr="00CA2D32">
        <w:rPr>
          <w:rFonts w:ascii="Palatino Linotype" w:eastAsia="Palatino Linotype" w:hAnsi="Palatino Linotype" w:cs="Palatino Linotype"/>
          <w:b/>
        </w:rPr>
        <w:t xml:space="preserve">veinte </w:t>
      </w:r>
      <w:r w:rsidR="0068026B" w:rsidRPr="00CA2D32">
        <w:rPr>
          <w:rFonts w:ascii="Palatino Linotype" w:eastAsia="Palatino Linotype" w:hAnsi="Palatino Linotype" w:cs="Palatino Linotype"/>
          <w:b/>
        </w:rPr>
        <w:t>de juli</w:t>
      </w:r>
      <w:r w:rsidR="00194C20" w:rsidRPr="00CA2D32">
        <w:rPr>
          <w:rFonts w:ascii="Palatino Linotype" w:eastAsia="Palatino Linotype" w:hAnsi="Palatino Linotype" w:cs="Palatino Linotype"/>
          <w:b/>
        </w:rPr>
        <w:t>o de dos mil veintitré</w:t>
      </w:r>
      <w:r w:rsidR="009D4180" w:rsidRPr="00CA2D32">
        <w:rPr>
          <w:rFonts w:ascii="Palatino Linotype" w:eastAsia="Palatino Linotype" w:hAnsi="Palatino Linotype" w:cs="Palatino Linotype"/>
          <w:b/>
        </w:rPr>
        <w:t>s</w:t>
      </w:r>
      <w:r w:rsidR="009D4180" w:rsidRPr="00CA2D32">
        <w:rPr>
          <w:rFonts w:ascii="Palatino Linotype" w:eastAsia="Palatino Linotype" w:hAnsi="Palatino Linotype" w:cs="Palatino Linotype"/>
        </w:rPr>
        <w:t>, mediante los</w:t>
      </w:r>
      <w:r w:rsidR="00194C20" w:rsidRPr="00CA2D32">
        <w:rPr>
          <w:rFonts w:ascii="Palatino Linotype" w:eastAsia="Palatino Linotype" w:hAnsi="Palatino Linotype" w:cs="Palatino Linotype"/>
        </w:rPr>
        <w:t xml:space="preserve"> archivos electrónicos </w:t>
      </w:r>
      <w:r w:rsidR="00783ED0" w:rsidRPr="00CA2D32">
        <w:rPr>
          <w:rFonts w:ascii="Palatino Linotype" w:eastAsia="Palatino Linotype" w:hAnsi="Palatino Linotype" w:cs="Palatino Linotype"/>
        </w:rPr>
        <w:t>“</w:t>
      </w:r>
      <w:r w:rsidR="00783ED0" w:rsidRPr="00CA2D32">
        <w:rPr>
          <w:rFonts w:ascii="Palatino Linotype" w:eastAsia="Palatino Linotype" w:hAnsi="Palatino Linotype" w:cs="Palatino Linotype"/>
          <w:b/>
          <w:i/>
        </w:rPr>
        <w:t xml:space="preserve">INFORME JUSTIFICADO RR 3953-2023 Y ACUMULADOS UT.pdf”, “IEEM-JDE027-243-2023.pdf”, “IEEM-DO-2349-2023.pdf”, “IEEM-DO-2349-2023.pdf, “INFORME JUSTIFICADO RR 3953-2023 Y ACUMULADOS UT.pdf” e “IEEM-JDE027-243-2023.pdf”, </w:t>
      </w:r>
      <w:r w:rsidR="00D67995" w:rsidRPr="00CA2D32">
        <w:rPr>
          <w:rFonts w:ascii="Palatino Linotype" w:eastAsia="Palatino Linotype" w:hAnsi="Palatino Linotype" w:cs="Palatino Linotype"/>
        </w:rPr>
        <w:t>los cuales se encuentran duplicados, y cuyo contenido es el que se describe a continuación:</w:t>
      </w:r>
    </w:p>
    <w:p w:rsidR="00E17621" w:rsidRPr="00CA2D32" w:rsidRDefault="00783ED0" w:rsidP="00E17621">
      <w:pPr>
        <w:spacing w:before="240" w:after="240" w:line="360" w:lineRule="auto"/>
        <w:ind w:left="567" w:right="900"/>
        <w:jc w:val="both"/>
        <w:rPr>
          <w:rFonts w:ascii="Palatino Linotype" w:eastAsia="Palatino Linotype" w:hAnsi="Palatino Linotype" w:cs="Palatino Linotype"/>
        </w:rPr>
      </w:pPr>
      <w:r w:rsidRPr="00CA2D32">
        <w:rPr>
          <w:rFonts w:ascii="Palatino Linotype" w:eastAsia="Palatino Linotype" w:hAnsi="Palatino Linotype" w:cs="Palatino Linotype"/>
        </w:rPr>
        <w:t>“</w:t>
      </w:r>
      <w:r w:rsidRPr="00CA2D32">
        <w:rPr>
          <w:rFonts w:ascii="Palatino Linotype" w:eastAsia="Palatino Linotype" w:hAnsi="Palatino Linotype" w:cs="Palatino Linotype"/>
          <w:b/>
          <w:i/>
        </w:rPr>
        <w:t>INFORME JUSTIFICADO RR 3953-2023 Y ACUMULADOS UT.pdf”</w:t>
      </w:r>
      <w:r w:rsidR="00E17621" w:rsidRPr="00CA2D32">
        <w:rPr>
          <w:rFonts w:ascii="Palatino Linotype" w:eastAsia="Palatino Linotype" w:hAnsi="Palatino Linotype" w:cs="Palatino Linotype"/>
          <w:b/>
          <w:i/>
        </w:rPr>
        <w:t>:</w:t>
      </w:r>
      <w:r w:rsidR="00E17621" w:rsidRPr="00CA2D32">
        <w:rPr>
          <w:rFonts w:ascii="Palatino Linotype" w:eastAsia="Palatino Linotype" w:hAnsi="Palatino Linotype" w:cs="Palatino Linotype"/>
        </w:rPr>
        <w:t xml:space="preserve"> Documento de dieciocho fojas en el que desestiman los motivos de inconformidad vertidos por </w:t>
      </w:r>
      <w:r w:rsidR="00E17621" w:rsidRPr="00CA2D32">
        <w:rPr>
          <w:rFonts w:ascii="Palatino Linotype" w:eastAsia="Palatino Linotype" w:hAnsi="Palatino Linotype" w:cs="Palatino Linotype"/>
          <w:b/>
        </w:rPr>
        <w:t>la parte Recurrente</w:t>
      </w:r>
      <w:r w:rsidR="00E17621" w:rsidRPr="00CA2D32">
        <w:rPr>
          <w:rFonts w:ascii="Palatino Linotype" w:eastAsia="Palatino Linotype" w:hAnsi="Palatino Linotype" w:cs="Palatino Linotype"/>
        </w:rPr>
        <w:t>.</w:t>
      </w:r>
    </w:p>
    <w:p w:rsidR="00E17621" w:rsidRPr="00CA2D32" w:rsidRDefault="00783ED0" w:rsidP="00E17621">
      <w:pPr>
        <w:spacing w:before="240" w:after="240" w:line="360" w:lineRule="auto"/>
        <w:ind w:left="567" w:right="900"/>
        <w:jc w:val="both"/>
        <w:rPr>
          <w:rFonts w:ascii="Palatino Linotype" w:eastAsia="Palatino Linotype" w:hAnsi="Palatino Linotype" w:cs="Palatino Linotype"/>
        </w:rPr>
      </w:pPr>
      <w:r w:rsidRPr="00CA2D32">
        <w:rPr>
          <w:rFonts w:ascii="Palatino Linotype" w:eastAsia="Palatino Linotype" w:hAnsi="Palatino Linotype" w:cs="Palatino Linotype"/>
          <w:b/>
          <w:i/>
        </w:rPr>
        <w:t xml:space="preserve"> “IEEM-JDE027-243-2023.pdf”</w:t>
      </w:r>
      <w:r w:rsidR="00E17621" w:rsidRPr="00CA2D32">
        <w:rPr>
          <w:rFonts w:ascii="Palatino Linotype" w:eastAsia="Palatino Linotype" w:hAnsi="Palatino Linotype" w:cs="Palatino Linotype"/>
          <w:b/>
          <w:i/>
        </w:rPr>
        <w:t>:</w:t>
      </w:r>
      <w:r w:rsidRPr="00CA2D32">
        <w:rPr>
          <w:rFonts w:ascii="Palatino Linotype" w:eastAsia="Palatino Linotype" w:hAnsi="Palatino Linotype" w:cs="Palatino Linotype"/>
          <w:b/>
          <w:i/>
        </w:rPr>
        <w:t xml:space="preserve"> </w:t>
      </w:r>
      <w:r w:rsidR="00E17621" w:rsidRPr="00CA2D32">
        <w:rPr>
          <w:rFonts w:ascii="Palatino Linotype" w:eastAsia="Palatino Linotype" w:hAnsi="Palatino Linotype" w:cs="Palatino Linotype"/>
        </w:rPr>
        <w:t>Documento electrónico de ocho fojas en el que la Vocal de Organización de la Junta Distrital No. 27 con sede en Valle de Chalco Solidaridad complementa su respuesta inicial.</w:t>
      </w:r>
    </w:p>
    <w:p w:rsidR="00E17621" w:rsidRPr="00CA2D32" w:rsidRDefault="00783ED0" w:rsidP="00E17621">
      <w:pPr>
        <w:spacing w:before="240" w:after="240" w:line="360" w:lineRule="auto"/>
        <w:ind w:left="567" w:right="900"/>
        <w:jc w:val="both"/>
        <w:rPr>
          <w:rFonts w:ascii="Palatino Linotype" w:eastAsia="Palatino Linotype" w:hAnsi="Palatino Linotype" w:cs="Palatino Linotype"/>
        </w:rPr>
      </w:pPr>
      <w:r w:rsidRPr="00CA2D32">
        <w:rPr>
          <w:rFonts w:ascii="Palatino Linotype" w:eastAsia="Palatino Linotype" w:hAnsi="Palatino Linotype" w:cs="Palatino Linotype"/>
          <w:b/>
          <w:i/>
        </w:rPr>
        <w:t>“IEEM-DO-2349-2023.pdf”</w:t>
      </w:r>
      <w:r w:rsidR="00E17621" w:rsidRPr="00CA2D32">
        <w:rPr>
          <w:rFonts w:ascii="Palatino Linotype" w:eastAsia="Palatino Linotype" w:hAnsi="Palatino Linotype" w:cs="Palatino Linotype"/>
          <w:b/>
          <w:i/>
        </w:rPr>
        <w:t xml:space="preserve">: </w:t>
      </w:r>
      <w:r w:rsidR="00E17621" w:rsidRPr="00CA2D32">
        <w:rPr>
          <w:rFonts w:ascii="Palatino Linotype" w:eastAsia="Palatino Linotype" w:hAnsi="Palatino Linotype" w:cs="Palatino Linotype"/>
        </w:rPr>
        <w:t>Archivo electrónico de seis fojas en el que el Director de Organización remite el pronunciamiento de la Vocal de Organización de la Junta Distrital No. 27 con sede en Valle de Chalco Solidaridad complementa su respuesta inicial.</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 xml:space="preserve">Es de precisar que una vez analizada la documentación, se determinó ponerla a la vista de </w:t>
      </w:r>
      <w:r w:rsidRPr="00CA2D32">
        <w:rPr>
          <w:rFonts w:ascii="Palatino Linotype" w:eastAsia="Palatino Linotype" w:hAnsi="Palatino Linotype" w:cs="Palatino Linotype"/>
          <w:b/>
        </w:rPr>
        <w:t xml:space="preserve">la parte Recurrente, </w:t>
      </w:r>
      <w:r w:rsidRPr="00CA2D32">
        <w:rPr>
          <w:rFonts w:ascii="Palatino Linotype" w:eastAsia="Palatino Linotype" w:hAnsi="Palatino Linotype" w:cs="Palatino Linotype"/>
        </w:rPr>
        <w:t>mediante acuerdo signado p</w:t>
      </w:r>
      <w:r w:rsidR="00194C20" w:rsidRPr="00CA2D32">
        <w:rPr>
          <w:rFonts w:ascii="Palatino Linotype" w:eastAsia="Palatino Linotype" w:hAnsi="Palatino Linotype" w:cs="Palatino Linotype"/>
        </w:rPr>
        <w:t>or la Comisionada P</w:t>
      </w:r>
      <w:r w:rsidR="00E17621" w:rsidRPr="00CA2D32">
        <w:rPr>
          <w:rFonts w:ascii="Palatino Linotype" w:eastAsia="Palatino Linotype" w:hAnsi="Palatino Linotype" w:cs="Palatino Linotype"/>
        </w:rPr>
        <w:t xml:space="preserve">onente los días </w:t>
      </w:r>
      <w:r w:rsidR="00E17621" w:rsidRPr="00CA2D32">
        <w:rPr>
          <w:rFonts w:ascii="Palatino Linotype" w:eastAsia="Palatino Linotype" w:hAnsi="Palatino Linotype" w:cs="Palatino Linotype"/>
          <w:b/>
        </w:rPr>
        <w:t>treinta y uno de julio y</w:t>
      </w:r>
      <w:r w:rsidR="00E17621" w:rsidRPr="00CA2D32">
        <w:rPr>
          <w:rFonts w:ascii="Palatino Linotype" w:eastAsia="Palatino Linotype" w:hAnsi="Palatino Linotype" w:cs="Palatino Linotype"/>
        </w:rPr>
        <w:t xml:space="preserve"> </w:t>
      </w:r>
      <w:r w:rsidR="00E17621" w:rsidRPr="00CA2D32">
        <w:rPr>
          <w:rFonts w:ascii="Palatino Linotype" w:eastAsia="Palatino Linotype" w:hAnsi="Palatino Linotype" w:cs="Palatino Linotype"/>
          <w:b/>
        </w:rPr>
        <w:t>dieciocho</w:t>
      </w:r>
      <w:r w:rsidR="0068026B" w:rsidRPr="00CA2D32">
        <w:rPr>
          <w:rFonts w:ascii="Palatino Linotype" w:eastAsia="Palatino Linotype" w:hAnsi="Palatino Linotype" w:cs="Palatino Linotype"/>
          <w:b/>
        </w:rPr>
        <w:t xml:space="preserve"> de octu</w:t>
      </w:r>
      <w:r w:rsidR="00194C20" w:rsidRPr="00CA2D32">
        <w:rPr>
          <w:rFonts w:ascii="Palatino Linotype" w:eastAsia="Palatino Linotype" w:hAnsi="Palatino Linotype" w:cs="Palatino Linotype"/>
          <w:b/>
        </w:rPr>
        <w:t>bre</w:t>
      </w:r>
      <w:r w:rsidRPr="00CA2D32">
        <w:rPr>
          <w:rFonts w:ascii="Palatino Linotype" w:eastAsia="Palatino Linotype" w:hAnsi="Palatino Linotype" w:cs="Palatino Linotype"/>
          <w:b/>
        </w:rPr>
        <w:t xml:space="preserve"> de dos mil veintitrés</w:t>
      </w:r>
      <w:r w:rsidRPr="00CA2D32">
        <w:rPr>
          <w:rFonts w:ascii="Palatino Linotype" w:eastAsia="Palatino Linotype" w:hAnsi="Palatino Linotype" w:cs="Palatino Linotype"/>
        </w:rPr>
        <w:t xml:space="preserve">, quien fue omisa en remitir sus manifestaciones, por lo que se tiene por </w:t>
      </w:r>
      <w:proofErr w:type="spellStart"/>
      <w:r w:rsidRPr="00CA2D32">
        <w:rPr>
          <w:rFonts w:ascii="Palatino Linotype" w:eastAsia="Palatino Linotype" w:hAnsi="Palatino Linotype" w:cs="Palatino Linotype"/>
        </w:rPr>
        <w:t>precluido</w:t>
      </w:r>
      <w:proofErr w:type="spellEnd"/>
      <w:r w:rsidRPr="00CA2D32">
        <w:rPr>
          <w:rFonts w:ascii="Palatino Linotype" w:eastAsia="Palatino Linotype" w:hAnsi="Palatino Linotype" w:cs="Palatino Linotype"/>
        </w:rPr>
        <w:t xml:space="preserve"> su derecho para tal efecto.</w:t>
      </w:r>
    </w:p>
    <w:p w:rsidR="00E17621" w:rsidRPr="00CA2D32" w:rsidRDefault="00E17621" w:rsidP="00E17621">
      <w:pPr>
        <w:spacing w:before="240" w:after="240" w:line="360" w:lineRule="auto"/>
        <w:jc w:val="center"/>
        <w:rPr>
          <w:rFonts w:ascii="Palatino Linotype" w:eastAsia="Palatino Linotype" w:hAnsi="Palatino Linotype" w:cs="Palatino Linotype"/>
        </w:rPr>
      </w:pPr>
      <w:r w:rsidRPr="00CA2D32">
        <w:rPr>
          <w:rFonts w:ascii="Palatino Linotype" w:eastAsia="Palatino Linotype" w:hAnsi="Palatino Linotype" w:cs="Palatino Linotype"/>
          <w:noProof/>
          <w:lang w:val="es-MX"/>
        </w:rPr>
        <w:drawing>
          <wp:inline distT="0" distB="0" distL="0" distR="0" wp14:anchorId="1703B6EF" wp14:editId="46DCF39A">
            <wp:extent cx="5214616" cy="2257425"/>
            <wp:effectExtent l="19050" t="19050" r="247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6658" cy="2262638"/>
                    </a:xfrm>
                    <a:prstGeom prst="rect">
                      <a:avLst/>
                    </a:prstGeom>
                    <a:ln>
                      <a:solidFill>
                        <a:schemeClr val="tx1"/>
                      </a:solidFill>
                    </a:ln>
                  </pic:spPr>
                </pic:pic>
              </a:graphicData>
            </a:graphic>
          </wp:inline>
        </w:drawing>
      </w:r>
    </w:p>
    <w:p w:rsidR="00593063" w:rsidRPr="00CA2D32" w:rsidRDefault="00E17621" w:rsidP="00E17621">
      <w:pPr>
        <w:spacing w:before="240" w:after="240" w:line="360" w:lineRule="auto"/>
        <w:jc w:val="center"/>
        <w:rPr>
          <w:rFonts w:ascii="Palatino Linotype" w:eastAsia="Palatino Linotype" w:hAnsi="Palatino Linotype" w:cs="Palatino Linotype"/>
        </w:rPr>
      </w:pPr>
      <w:r w:rsidRPr="00CA2D32">
        <w:rPr>
          <w:rFonts w:ascii="Palatino Linotype" w:eastAsia="Palatino Linotype" w:hAnsi="Palatino Linotype" w:cs="Palatino Linotype"/>
          <w:noProof/>
          <w:lang w:val="es-MX"/>
        </w:rPr>
        <w:drawing>
          <wp:inline distT="0" distB="0" distL="0" distR="0" wp14:anchorId="3129D6E2" wp14:editId="242E5C97">
            <wp:extent cx="5101327" cy="2409825"/>
            <wp:effectExtent l="19050" t="19050" r="2349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6668" cy="2417072"/>
                    </a:xfrm>
                    <a:prstGeom prst="rect">
                      <a:avLst/>
                    </a:prstGeom>
                    <a:ln>
                      <a:solidFill>
                        <a:schemeClr val="tx1"/>
                      </a:solidFill>
                    </a:ln>
                  </pic:spPr>
                </pic:pic>
              </a:graphicData>
            </a:graphic>
          </wp:inline>
        </w:drawing>
      </w:r>
    </w:p>
    <w:p w:rsidR="00E17621" w:rsidRPr="00CA2D32" w:rsidRDefault="00E17621" w:rsidP="00E17621">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 xml:space="preserve">Posteriormente el </w:t>
      </w:r>
      <w:r w:rsidRPr="00CA2D32">
        <w:rPr>
          <w:rFonts w:ascii="Palatino Linotype" w:eastAsia="Palatino Linotype" w:hAnsi="Palatino Linotype" w:cs="Palatino Linotype"/>
          <w:b/>
        </w:rPr>
        <w:t>tres de agosto de dos mil veintitrés</w:t>
      </w:r>
      <w:r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b/>
        </w:rPr>
        <w:t>la parte Recurrente</w:t>
      </w:r>
      <w:r w:rsidRPr="00CA2D32">
        <w:rPr>
          <w:rFonts w:ascii="Palatino Linotype" w:eastAsia="Palatino Linotype" w:hAnsi="Palatino Linotype" w:cs="Palatino Linotype"/>
        </w:rPr>
        <w:t xml:space="preserve"> adjuntó los archivos </w:t>
      </w:r>
      <w:r w:rsidRPr="00CA2D32">
        <w:rPr>
          <w:rFonts w:ascii="Palatino Linotype" w:eastAsia="Palatino Linotype" w:hAnsi="Palatino Linotype" w:cs="Palatino Linotype"/>
          <w:b/>
          <w:i/>
        </w:rPr>
        <w:t xml:space="preserve">“INFORME ABRIL 2023 JUNTA 27.pdf” y “Manifestaciones Recurso 3955.pdf”, </w:t>
      </w:r>
      <w:r w:rsidRPr="00CA2D32">
        <w:rPr>
          <w:rFonts w:ascii="Palatino Linotype" w:eastAsia="Palatino Linotype" w:hAnsi="Palatino Linotype" w:cs="Palatino Linotype"/>
        </w:rPr>
        <w:t>mismos que se describen a continuación:</w:t>
      </w:r>
    </w:p>
    <w:p w:rsidR="00E17621" w:rsidRPr="00CA2D32" w:rsidRDefault="00E17621" w:rsidP="00BB2821">
      <w:pPr>
        <w:spacing w:before="240" w:after="240" w:line="360" w:lineRule="auto"/>
        <w:ind w:left="567" w:right="900"/>
        <w:jc w:val="both"/>
        <w:rPr>
          <w:rFonts w:ascii="Palatino Linotype" w:eastAsia="Palatino Linotype" w:hAnsi="Palatino Linotype" w:cs="Palatino Linotype"/>
        </w:rPr>
      </w:pPr>
      <w:r w:rsidRPr="00CA2D32">
        <w:rPr>
          <w:rFonts w:ascii="Palatino Linotype" w:eastAsia="Palatino Linotype" w:hAnsi="Palatino Linotype" w:cs="Palatino Linotype"/>
          <w:b/>
          <w:i/>
        </w:rPr>
        <w:t xml:space="preserve">“INFORME ABRIL 2023 JUNTA 27.pdf”: </w:t>
      </w:r>
      <w:r w:rsidR="00BB2821" w:rsidRPr="00CA2D32">
        <w:rPr>
          <w:rFonts w:ascii="Palatino Linotype" w:eastAsia="Palatino Linotype" w:hAnsi="Palatino Linotype" w:cs="Palatino Linotype"/>
        </w:rPr>
        <w:t>Documento de cuatro fojas que consiste en el informe mensual de actividades del mes de abril de la junta distrital electoral No. 27 con cabecera en Valle de Chalco Solidaridad.</w:t>
      </w:r>
    </w:p>
    <w:p w:rsidR="00BB2821" w:rsidRPr="00CA2D32" w:rsidRDefault="00BB2821" w:rsidP="00BB2821">
      <w:pPr>
        <w:spacing w:before="240" w:after="240" w:line="360" w:lineRule="auto"/>
        <w:jc w:val="center"/>
        <w:rPr>
          <w:rFonts w:ascii="Palatino Linotype" w:eastAsia="Palatino Linotype" w:hAnsi="Palatino Linotype" w:cs="Palatino Linotype"/>
        </w:rPr>
      </w:pPr>
      <w:r w:rsidRPr="00CA2D32">
        <w:rPr>
          <w:rFonts w:ascii="Palatino Linotype" w:eastAsia="Palatino Linotype" w:hAnsi="Palatino Linotype" w:cs="Palatino Linotype"/>
          <w:noProof/>
          <w:lang w:val="es-MX"/>
        </w:rPr>
        <w:drawing>
          <wp:inline distT="0" distB="0" distL="0" distR="0" wp14:anchorId="48A5210A" wp14:editId="3AF1F920">
            <wp:extent cx="4643016" cy="3376930"/>
            <wp:effectExtent l="19050" t="19050" r="2476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5251" cy="3378556"/>
                    </a:xfrm>
                    <a:prstGeom prst="rect">
                      <a:avLst/>
                    </a:prstGeom>
                    <a:ln>
                      <a:solidFill>
                        <a:schemeClr val="tx1"/>
                      </a:solidFill>
                    </a:ln>
                  </pic:spPr>
                </pic:pic>
              </a:graphicData>
            </a:graphic>
          </wp:inline>
        </w:drawing>
      </w:r>
    </w:p>
    <w:p w:rsidR="00E17621" w:rsidRPr="00CA2D32" w:rsidRDefault="00E17621" w:rsidP="00BB2821">
      <w:pPr>
        <w:spacing w:before="240" w:after="240" w:line="360" w:lineRule="auto"/>
        <w:ind w:left="567"/>
        <w:jc w:val="both"/>
        <w:rPr>
          <w:rFonts w:ascii="Palatino Linotype" w:eastAsia="Palatino Linotype" w:hAnsi="Palatino Linotype" w:cs="Palatino Linotype"/>
        </w:rPr>
      </w:pPr>
      <w:r w:rsidRPr="00CA2D32">
        <w:rPr>
          <w:rFonts w:ascii="Palatino Linotype" w:eastAsia="Palatino Linotype" w:hAnsi="Palatino Linotype" w:cs="Palatino Linotype"/>
          <w:b/>
          <w:i/>
        </w:rPr>
        <w:t xml:space="preserve">“Manifestaciones Recurso 3955.pdf”: </w:t>
      </w:r>
      <w:r w:rsidR="00BB2821" w:rsidRPr="00CA2D32">
        <w:rPr>
          <w:rFonts w:ascii="Palatino Linotype" w:eastAsia="Palatino Linotype" w:hAnsi="Palatino Linotype" w:cs="Palatino Linotype"/>
        </w:rPr>
        <w:t>Documento electrónico de cuatro fojas en el que la parte Recurrente señala que si existe fuente obligacional para contar con la información solicitada.</w:t>
      </w:r>
    </w:p>
    <w:p w:rsidR="00BB2821" w:rsidRPr="00CA2D32" w:rsidRDefault="00BB2821" w:rsidP="00BB2821">
      <w:pPr>
        <w:spacing w:before="240" w:after="240" w:line="360" w:lineRule="auto"/>
        <w:jc w:val="center"/>
        <w:rPr>
          <w:rFonts w:ascii="Palatino Linotype" w:eastAsia="Palatino Linotype" w:hAnsi="Palatino Linotype" w:cs="Palatino Linotype"/>
        </w:rPr>
      </w:pPr>
      <w:r w:rsidRPr="00CA2D32">
        <w:rPr>
          <w:rFonts w:ascii="Palatino Linotype" w:eastAsia="Palatino Linotype" w:hAnsi="Palatino Linotype" w:cs="Palatino Linotype"/>
          <w:noProof/>
          <w:lang w:val="es-MX"/>
        </w:rPr>
        <w:lastRenderedPageBreak/>
        <w:drawing>
          <wp:inline distT="0" distB="0" distL="0" distR="0" wp14:anchorId="7DDB6DCF" wp14:editId="287C9171">
            <wp:extent cx="4895850" cy="6600331"/>
            <wp:effectExtent l="19050" t="19050" r="19050"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97284" cy="6602264"/>
                    </a:xfrm>
                    <a:prstGeom prst="rect">
                      <a:avLst/>
                    </a:prstGeom>
                    <a:ln>
                      <a:solidFill>
                        <a:schemeClr val="tx1"/>
                      </a:solidFill>
                    </a:ln>
                  </pic:spPr>
                </pic:pic>
              </a:graphicData>
            </a:graphic>
          </wp:inline>
        </w:drawing>
      </w:r>
    </w:p>
    <w:p w:rsidR="00593063" w:rsidRPr="00CA2D32" w:rsidRDefault="00194C20">
      <w:pPr>
        <w:spacing w:before="240" w:after="240" w:line="360" w:lineRule="auto"/>
        <w:jc w:val="both"/>
        <w:rPr>
          <w:rFonts w:ascii="Palatino Linotype" w:eastAsia="Palatino Linotype" w:hAnsi="Palatino Linotype" w:cs="Palatino Linotype"/>
          <w:b/>
        </w:rPr>
      </w:pPr>
      <w:r w:rsidRPr="00CA2D32">
        <w:rPr>
          <w:rFonts w:ascii="Palatino Linotype" w:eastAsia="Palatino Linotype" w:hAnsi="Palatino Linotype" w:cs="Palatino Linotype"/>
          <w:b/>
        </w:rPr>
        <w:lastRenderedPageBreak/>
        <w:t>9</w:t>
      </w:r>
      <w:r w:rsidR="009D4180" w:rsidRPr="00CA2D32">
        <w:rPr>
          <w:rFonts w:ascii="Palatino Linotype" w:eastAsia="Palatino Linotype" w:hAnsi="Palatino Linotype" w:cs="Palatino Linotype"/>
          <w:b/>
        </w:rPr>
        <w:t>.- Ampliaciones del plazo para emitir resolución.</w:t>
      </w:r>
      <w:r w:rsidR="009D4180" w:rsidRPr="00CA2D32">
        <w:rPr>
          <w:rFonts w:ascii="Palatino Linotype" w:eastAsia="Palatino Linotype" w:hAnsi="Palatino Linotype" w:cs="Palatino Linotype"/>
        </w:rPr>
        <w:t xml:space="preserve"> El </w:t>
      </w:r>
      <w:r w:rsidR="00BB2821" w:rsidRPr="00CA2D32">
        <w:rPr>
          <w:rFonts w:ascii="Palatino Linotype" w:eastAsia="Palatino Linotype" w:hAnsi="Palatino Linotype" w:cs="Palatino Linotype"/>
          <w:b/>
        </w:rPr>
        <w:t>diecisiete</w:t>
      </w:r>
      <w:r w:rsidR="0068026B" w:rsidRPr="00CA2D32">
        <w:rPr>
          <w:rFonts w:ascii="Palatino Linotype" w:eastAsia="Palatino Linotype" w:hAnsi="Palatino Linotype" w:cs="Palatino Linotype"/>
          <w:b/>
        </w:rPr>
        <w:t xml:space="preserve"> de octu</w:t>
      </w:r>
      <w:r w:rsidRPr="00CA2D32">
        <w:rPr>
          <w:rFonts w:ascii="Palatino Linotype" w:eastAsia="Palatino Linotype" w:hAnsi="Palatino Linotype" w:cs="Palatino Linotype"/>
          <w:b/>
        </w:rPr>
        <w:t>bre</w:t>
      </w:r>
      <w:r w:rsidR="009D4180" w:rsidRPr="00CA2D32">
        <w:rPr>
          <w:rFonts w:ascii="Palatino Linotype" w:eastAsia="Palatino Linotype" w:hAnsi="Palatino Linotype" w:cs="Palatino Linotype"/>
          <w:b/>
        </w:rPr>
        <w:t xml:space="preserve"> de dos mil veintitrés</w:t>
      </w:r>
      <w:r w:rsidR="009D4180" w:rsidRPr="00CA2D32">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593063" w:rsidRPr="00CA2D32" w:rsidRDefault="009D4180">
      <w:pPr>
        <w:spacing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CA2D32">
        <w:rPr>
          <w:rFonts w:ascii="Palatino Linotype" w:eastAsia="Palatino Linotype" w:hAnsi="Palatino Linotype" w:cs="Palatino Linotype"/>
        </w:rPr>
        <w:lastRenderedPageBreak/>
        <w:t>en el menor tiempo posible, tomando en consideración la dilación total del procedimiento; esto es, en un plazo razonable.</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rsidR="00593063" w:rsidRPr="00CA2D32" w:rsidRDefault="009D4180">
      <w:pPr>
        <w:numPr>
          <w:ilvl w:val="0"/>
          <w:numId w:val="1"/>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rPr>
      </w:pPr>
      <w:r w:rsidRPr="00CA2D32">
        <w:rPr>
          <w:rFonts w:ascii="Palatino Linotype" w:eastAsia="Palatino Linotype" w:hAnsi="Palatino Linotype" w:cs="Palatino Linotype"/>
          <w:b/>
        </w:rPr>
        <w:t>Complejidad del Asunto:</w:t>
      </w:r>
      <w:r w:rsidRPr="00CA2D3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593063" w:rsidRPr="00CA2D32"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A2D32">
        <w:rPr>
          <w:rFonts w:ascii="Palatino Linotype" w:eastAsia="Palatino Linotype" w:hAnsi="Palatino Linotype" w:cs="Palatino Linotype"/>
          <w:b/>
        </w:rPr>
        <w:t>Actividad Procesal del interesado.</w:t>
      </w:r>
      <w:r w:rsidRPr="00CA2D32">
        <w:rPr>
          <w:rFonts w:ascii="Palatino Linotype" w:eastAsia="Palatino Linotype" w:hAnsi="Palatino Linotype" w:cs="Palatino Linotype"/>
        </w:rPr>
        <w:t xml:space="preserve"> Acciones u omisiones del interesado.</w:t>
      </w:r>
    </w:p>
    <w:p w:rsidR="00593063" w:rsidRPr="00CA2D32"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A2D32">
        <w:rPr>
          <w:rFonts w:ascii="Palatino Linotype" w:eastAsia="Palatino Linotype" w:hAnsi="Palatino Linotype" w:cs="Palatino Linotype"/>
          <w:b/>
        </w:rPr>
        <w:t>Conducta de la Autoridad:</w:t>
      </w:r>
      <w:r w:rsidRPr="00CA2D32">
        <w:rPr>
          <w:rFonts w:ascii="Palatino Linotype" w:eastAsia="Palatino Linotype" w:hAnsi="Palatino Linotype" w:cs="Palatino Linotype"/>
        </w:rPr>
        <w:t xml:space="preserve"> Las Acciones u omisiones realizadas en el procedimiento. Así como si la autoridad actuó con la debida diligencia.</w:t>
      </w:r>
    </w:p>
    <w:p w:rsidR="00593063" w:rsidRPr="00CA2D32"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CA2D32">
        <w:rPr>
          <w:rFonts w:ascii="Palatino Linotype" w:eastAsia="Palatino Linotype" w:hAnsi="Palatino Linotype" w:cs="Palatino Linotype"/>
          <w:b/>
        </w:rPr>
        <w:t>La afectación generada en la situación jurídica de la persona involucrada en el proceso:</w:t>
      </w:r>
      <w:r w:rsidRPr="00CA2D32">
        <w:rPr>
          <w:rFonts w:ascii="Palatino Linotype" w:eastAsia="Palatino Linotype" w:hAnsi="Palatino Linotype" w:cs="Palatino Linotype"/>
        </w:rPr>
        <w:t xml:space="preserve"> Violación a sus derechos humanos.</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Argumento que encuentra sustento en la jurisprudencia P</w:t>
      </w:r>
      <w:proofErr w:type="gramStart"/>
      <w:r w:rsidRPr="00CA2D32">
        <w:rPr>
          <w:rFonts w:ascii="Palatino Linotype" w:eastAsia="Palatino Linotype" w:hAnsi="Palatino Linotype" w:cs="Palatino Linotype"/>
        </w:rPr>
        <w:t>./</w:t>
      </w:r>
      <w:proofErr w:type="gramEnd"/>
      <w:r w:rsidRPr="00CA2D32">
        <w:rPr>
          <w:rFonts w:ascii="Palatino Linotype" w:eastAsia="Palatino Linotype" w:hAnsi="Palatino Linotype" w:cs="Palatino Linotype"/>
        </w:rPr>
        <w:t xml:space="preserve">J. 32/92 emitida por el Pleno de la Suprema Corte de Justicia de la Nación de rubro </w:t>
      </w:r>
      <w:r w:rsidRPr="00CA2D3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A2D32">
        <w:rPr>
          <w:rFonts w:ascii="Palatino Linotype" w:eastAsia="Palatino Linotype" w:hAnsi="Palatino Linotype" w:cs="Palatino Linotype"/>
        </w:rPr>
        <w:t>, visible en la Gaceta del Seminario Judicial de la Federación con el registro digital 205635.</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CA2D32">
        <w:rPr>
          <w:rFonts w:ascii="Palatino Linotype" w:eastAsia="Palatino Linotype" w:hAnsi="Palatino Linotype" w:cs="Palatino Linotype"/>
        </w:rPr>
        <w:lastRenderedPageBreak/>
        <w:t>los términos legales previamente establecidos por la Ley, por tratarse de causas de fuerza mayor.</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w:t>
      </w:r>
      <w:r w:rsidRPr="00CA2D32">
        <w:rPr>
          <w:rFonts w:ascii="Palatino Linotype" w:eastAsia="Palatino Linotype" w:hAnsi="Palatino Linotype" w:cs="Palatino Linotype"/>
          <w:i/>
        </w:rPr>
        <w:t>“PLAZO RAZONABLE PARA RESOLVER. DIMENSIÓN Y EFECTOS DE ESTE CONCEPTO CUANDO SE ADUCE EXCESIVA CARGA DE TRABAJO.”</w:t>
      </w:r>
      <w:r w:rsidRPr="00CA2D32">
        <w:rPr>
          <w:rFonts w:ascii="Palatino Linotype" w:eastAsia="Palatino Linotype" w:hAnsi="Palatino Linotype" w:cs="Palatino Linotype"/>
        </w:rPr>
        <w:t xml:space="preserve"> consultable en el Seminario Judicial de la Federación y su gaceta, con el registro digital 2002351.</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i/>
        </w:rPr>
        <w:t>“PLAZO RAZONABLE PARA RESOLVER. CONCEPTO Y ELEMENTOS QUE LO INTEGRAN A LA LUZ DEL DERECHO INTERNACIONAL DE LOS DERECHOS HUMANOS.”</w:t>
      </w:r>
      <w:r w:rsidRPr="00CA2D32">
        <w:rPr>
          <w:rFonts w:ascii="Palatino Linotype" w:eastAsia="Palatino Linotype" w:hAnsi="Palatino Linotype" w:cs="Palatino Linotype"/>
        </w:rPr>
        <w:t>, visible en el Seminario Judicial de la Federación y su gaceta, con el registro digital 2002350.</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93063" w:rsidRPr="00CA2D32" w:rsidRDefault="00194C2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10</w:t>
      </w:r>
      <w:r w:rsidR="009D4180" w:rsidRPr="00CA2D32">
        <w:rPr>
          <w:rFonts w:ascii="Palatino Linotype" w:eastAsia="Palatino Linotype" w:hAnsi="Palatino Linotype" w:cs="Palatino Linotype"/>
          <w:b/>
        </w:rPr>
        <w:t xml:space="preserve">. Cierres de instrucción. </w:t>
      </w:r>
      <w:r w:rsidR="009D4180" w:rsidRPr="00CA2D32">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00BB2821" w:rsidRPr="00CA2D32">
        <w:rPr>
          <w:rFonts w:ascii="Palatino Linotype" w:eastAsia="Palatino Linotype" w:hAnsi="Palatino Linotype" w:cs="Palatino Linotype"/>
          <w:b/>
        </w:rPr>
        <w:t>veinticuatro</w:t>
      </w:r>
      <w:r w:rsidR="0068026B" w:rsidRPr="00CA2D32">
        <w:rPr>
          <w:rFonts w:ascii="Palatino Linotype" w:eastAsia="Palatino Linotype" w:hAnsi="Palatino Linotype" w:cs="Palatino Linotype"/>
          <w:b/>
        </w:rPr>
        <w:t xml:space="preserve"> de octu</w:t>
      </w:r>
      <w:r w:rsidRPr="00CA2D32">
        <w:rPr>
          <w:rFonts w:ascii="Palatino Linotype" w:eastAsia="Palatino Linotype" w:hAnsi="Palatino Linotype" w:cs="Palatino Linotype"/>
          <w:b/>
        </w:rPr>
        <w:t>bre</w:t>
      </w:r>
      <w:r w:rsidR="009D4180" w:rsidRPr="00CA2D32">
        <w:rPr>
          <w:rFonts w:ascii="Palatino Linotype" w:eastAsia="Palatino Linotype" w:hAnsi="Palatino Linotype" w:cs="Palatino Linotype"/>
          <w:b/>
        </w:rPr>
        <w:t xml:space="preserve"> de dos mil veintitrés</w:t>
      </w:r>
      <w:r w:rsidR="009D4180" w:rsidRPr="00CA2D32">
        <w:rPr>
          <w:rFonts w:ascii="Palatino Linotype" w:eastAsia="Palatino Linotype" w:hAnsi="Palatino Linotype" w:cs="Palatino Linotype"/>
        </w:rPr>
        <w:t xml:space="preserve">, la Comisionada Ponente determinó los cierres de instrucción en términos de la fracción VI del </w:t>
      </w:r>
      <w:r w:rsidR="009D4180" w:rsidRPr="00CA2D32">
        <w:rPr>
          <w:rFonts w:ascii="Palatino Linotype" w:eastAsia="Palatino Linotype" w:hAnsi="Palatino Linotype" w:cs="Palatino Linotype"/>
        </w:rPr>
        <w:lastRenderedPageBreak/>
        <w:t>artículo 185 de la Ley de Transparencia y Acceso a la Información Pública del Estado de México y Municipios.</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593063" w:rsidRPr="00CA2D32" w:rsidRDefault="009D4180">
      <w:pPr>
        <w:widowControl w:val="0"/>
        <w:spacing w:before="240" w:after="240" w:line="360" w:lineRule="auto"/>
        <w:jc w:val="center"/>
        <w:rPr>
          <w:rFonts w:ascii="Palatino Linotype" w:eastAsia="Palatino Linotype" w:hAnsi="Palatino Linotype" w:cs="Palatino Linotype"/>
          <w:b/>
        </w:rPr>
      </w:pPr>
      <w:r w:rsidRPr="00CA2D32">
        <w:rPr>
          <w:rFonts w:ascii="Palatino Linotype" w:eastAsia="Palatino Linotype" w:hAnsi="Palatino Linotype" w:cs="Palatino Linotype"/>
          <w:b/>
        </w:rPr>
        <w:t>II. C O N S I D E R A N D O</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b/>
        </w:rPr>
        <w:t>Primero. Competencia.</w:t>
      </w:r>
      <w:r w:rsidRPr="00CA2D3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CA2D32">
        <w:rPr>
          <w:rFonts w:ascii="Palatino Linotype" w:eastAsia="Palatino Linotype" w:hAnsi="Palatino Linotype" w:cs="Palatino Linotype"/>
          <w:b/>
        </w:rPr>
        <w:t>la parte Recurrente</w:t>
      </w:r>
      <w:r w:rsidRPr="00CA2D32">
        <w:rPr>
          <w:rFonts w:ascii="Palatino Linotype" w:eastAsia="Palatino Linotype" w:hAnsi="Palatino Linotype" w:cs="Palatino Linotype"/>
        </w:rPr>
        <w:t>, conforme a lo dispuesto en los artículos 6, apartado A de la Constitución Política de los Estados Unidos Mexicanos; 5 párrafos trigésimo</w:t>
      </w:r>
      <w:r w:rsidR="00194C20" w:rsidRPr="00CA2D32">
        <w:rPr>
          <w:rFonts w:ascii="Palatino Linotype" w:eastAsia="Palatino Linotype" w:hAnsi="Palatino Linotype" w:cs="Palatino Linotype"/>
        </w:rPr>
        <w:t xml:space="preserve"> segundo, trigésimo tercero y trigésimo cuart</w:t>
      </w:r>
      <w:r w:rsidRPr="00CA2D32">
        <w:rPr>
          <w:rFonts w:ascii="Palatino Linotype" w:eastAsia="Palatino Linotype" w:hAnsi="Palatino Linotype" w:cs="Palatino Linotype"/>
        </w:rPr>
        <w:t xml:space="preserve">o fracciones IV y V de la Constitución Política del Estado Libre y Soberano de México; 2, fracción II; 29, 36 fracciones I y II; 176, 178, 181, 185, fracción I, 186 y 188 de la Ley Transparencia y Acceso a la Información Pública del Estado de México y Municipios; 9, </w:t>
      </w:r>
      <w:r w:rsidR="002B7756" w:rsidRPr="00CA2D32">
        <w:rPr>
          <w:rFonts w:ascii="Palatino Linotype" w:eastAsia="Palatino Linotype" w:hAnsi="Palatino Linotype" w:cs="Palatino Linotype"/>
        </w:rPr>
        <w:t xml:space="preserve">fracciones I, </w:t>
      </w:r>
      <w:r w:rsidRPr="00CA2D32">
        <w:rPr>
          <w:rFonts w:ascii="Palatino Linotype" w:eastAsia="Palatino Linotype" w:hAnsi="Palatino Linotype" w:cs="Palatino Linotype"/>
        </w:rPr>
        <w:t xml:space="preserve">XXIII y </w:t>
      </w:r>
      <w:r w:rsidR="0083093E" w:rsidRPr="00CA2D32">
        <w:rPr>
          <w:rFonts w:ascii="Palatino Linotype" w:eastAsia="Palatino Linotype" w:hAnsi="Palatino Linotype" w:cs="Palatino Linotype"/>
        </w:rPr>
        <w:t>XXIII</w:t>
      </w:r>
      <w:r w:rsidR="002B7756" w:rsidRPr="00CA2D32">
        <w:rPr>
          <w:rFonts w:ascii="Palatino Linotype" w:eastAsia="Palatino Linotype" w:hAnsi="Palatino Linotype" w:cs="Palatino Linotype"/>
        </w:rPr>
        <w:t xml:space="preserve">  y </w:t>
      </w:r>
      <w:r w:rsidRPr="00CA2D32">
        <w:rPr>
          <w:rFonts w:ascii="Palatino Linotype" w:eastAsia="Palatino Linotype" w:hAnsi="Palatino Linotype" w:cs="Palatino Linotype"/>
        </w:rPr>
        <w:t>11 del Reglamento Interior del Instituto de Transparencia, Acceso a la Información Pública y Protección de Datos Personales del Estado de México y Municipios.</w:t>
      </w:r>
    </w:p>
    <w:p w:rsidR="00593063" w:rsidRPr="00CA2D32" w:rsidRDefault="009D4180">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CA2D32">
        <w:rPr>
          <w:rFonts w:ascii="Palatino Linotype" w:eastAsia="Palatino Linotype" w:hAnsi="Palatino Linotype" w:cs="Palatino Linotype"/>
          <w:b/>
        </w:rPr>
        <w:t xml:space="preserve">Segundo. Oportunidad y </w:t>
      </w:r>
      <w:proofErr w:type="spellStart"/>
      <w:r w:rsidRPr="00CA2D32">
        <w:rPr>
          <w:rFonts w:ascii="Palatino Linotype" w:eastAsia="Palatino Linotype" w:hAnsi="Palatino Linotype" w:cs="Palatino Linotype"/>
          <w:b/>
        </w:rPr>
        <w:t>Procedibilidad</w:t>
      </w:r>
      <w:proofErr w:type="spellEnd"/>
      <w:r w:rsidRPr="00CA2D32">
        <w:rPr>
          <w:rFonts w:ascii="Palatino Linotype" w:eastAsia="Palatino Linotype" w:hAnsi="Palatino Linotype" w:cs="Palatino Linotype"/>
          <w:b/>
        </w:rPr>
        <w:t xml:space="preserve"> de los Recursos de Revisión</w:t>
      </w:r>
      <w:r w:rsidRPr="00CA2D32">
        <w:rPr>
          <w:rFonts w:ascii="Palatino Linotype" w:eastAsia="Palatino Linotype" w:hAnsi="Palatino Linotype" w:cs="Palatino Linotype"/>
        </w:rPr>
        <w:t xml:space="preserve">. Previo al estudio del fondo del asunto, se procede a analizar los requisitos de oportunidad y </w:t>
      </w:r>
      <w:proofErr w:type="spellStart"/>
      <w:r w:rsidRPr="00CA2D32">
        <w:rPr>
          <w:rFonts w:ascii="Palatino Linotype" w:eastAsia="Palatino Linotype" w:hAnsi="Palatino Linotype" w:cs="Palatino Linotype"/>
        </w:rPr>
        <w:t>procedibilidad</w:t>
      </w:r>
      <w:proofErr w:type="spellEnd"/>
      <w:r w:rsidRPr="00CA2D32">
        <w:rPr>
          <w:rFonts w:ascii="Palatino Linotype" w:eastAsia="Palatino Linotype" w:hAnsi="Palatino Linotype" w:cs="Palatino Linotype"/>
        </w:rPr>
        <w:t xml:space="preserve"> que deben reunir los recursos de revisión interpuestos, previstos en </w:t>
      </w:r>
      <w:r w:rsidRPr="00CA2D32">
        <w:rPr>
          <w:rFonts w:ascii="Palatino Linotype" w:eastAsia="Palatino Linotype" w:hAnsi="Palatino Linotype" w:cs="Palatino Linotype"/>
        </w:rPr>
        <w:lastRenderedPageBreak/>
        <w:t>los artículos 178 y 180 de la Ley de Transparencia y Acceso a la Información Pública del Estado de México y Municipios.</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CA2D32">
        <w:rPr>
          <w:rFonts w:ascii="Palatino Linotype" w:eastAsia="Palatino Linotype" w:hAnsi="Palatino Linotype" w:cs="Palatino Linotype"/>
          <w:b/>
        </w:rPr>
        <w:t>Sujeto Obligado</w:t>
      </w:r>
      <w:r w:rsidR="0068026B" w:rsidRPr="00CA2D32">
        <w:rPr>
          <w:rFonts w:ascii="Palatino Linotype" w:eastAsia="Palatino Linotype" w:hAnsi="Palatino Linotype" w:cs="Palatino Linotype"/>
        </w:rPr>
        <w:t xml:space="preserve"> respondió a la</w:t>
      </w:r>
      <w:r w:rsidR="00BB2821" w:rsidRPr="00CA2D32">
        <w:rPr>
          <w:rFonts w:ascii="Palatino Linotype" w:eastAsia="Palatino Linotype" w:hAnsi="Palatino Linotype" w:cs="Palatino Linotype"/>
        </w:rPr>
        <w:t>s</w:t>
      </w:r>
      <w:r w:rsidRPr="00CA2D32">
        <w:rPr>
          <w:rFonts w:ascii="Palatino Linotype" w:eastAsia="Palatino Linotype" w:hAnsi="Palatino Linotype" w:cs="Palatino Linotype"/>
        </w:rPr>
        <w:t xml:space="preserve"> sol</w:t>
      </w:r>
      <w:r w:rsidR="0068026B" w:rsidRPr="00CA2D32">
        <w:rPr>
          <w:rFonts w:ascii="Palatino Linotype" w:eastAsia="Palatino Linotype" w:hAnsi="Palatino Linotype" w:cs="Palatino Linotype"/>
        </w:rPr>
        <w:t>icitud</w:t>
      </w:r>
      <w:r w:rsidR="00BB2821" w:rsidRPr="00CA2D32">
        <w:rPr>
          <w:rFonts w:ascii="Palatino Linotype" w:eastAsia="Palatino Linotype" w:hAnsi="Palatino Linotype" w:cs="Palatino Linotype"/>
        </w:rPr>
        <w:t>es</w:t>
      </w:r>
      <w:r w:rsidR="00194C20" w:rsidRPr="00CA2D32">
        <w:rPr>
          <w:rFonts w:ascii="Palatino Linotype" w:eastAsia="Palatino Linotype" w:hAnsi="Palatino Linotype" w:cs="Palatino Linotype"/>
        </w:rPr>
        <w:t xml:space="preserve"> de información </w:t>
      </w:r>
      <w:r w:rsidR="00BB2821" w:rsidRPr="00CA2D32">
        <w:rPr>
          <w:rFonts w:ascii="Palatino Linotype" w:eastAsia="Palatino Linotype" w:hAnsi="Palatino Linotype" w:cs="Palatino Linotype"/>
        </w:rPr>
        <w:t xml:space="preserve">que </w:t>
      </w:r>
      <w:proofErr w:type="spellStart"/>
      <w:r w:rsidR="00BB2821" w:rsidRPr="00CA2D32">
        <w:rPr>
          <w:rFonts w:ascii="Palatino Linotype" w:eastAsia="Palatino Linotype" w:hAnsi="Palatino Linotype" w:cs="Palatino Linotype"/>
        </w:rPr>
        <w:t>aperturaron</w:t>
      </w:r>
      <w:proofErr w:type="spellEnd"/>
      <w:r w:rsidR="00BB2821" w:rsidRPr="00CA2D32">
        <w:rPr>
          <w:rFonts w:ascii="Palatino Linotype" w:eastAsia="Palatino Linotype" w:hAnsi="Palatino Linotype" w:cs="Palatino Linotype"/>
        </w:rPr>
        <w:t xml:space="preserve"> los</w:t>
      </w:r>
      <w:r w:rsidR="0068026B" w:rsidRPr="00CA2D32">
        <w:rPr>
          <w:rFonts w:ascii="Palatino Linotype" w:eastAsia="Palatino Linotype" w:hAnsi="Palatino Linotype" w:cs="Palatino Linotype"/>
        </w:rPr>
        <w:t xml:space="preserve"> recurso</w:t>
      </w:r>
      <w:r w:rsidR="00BB2821" w:rsidRPr="00CA2D32">
        <w:rPr>
          <w:rFonts w:ascii="Palatino Linotype" w:eastAsia="Palatino Linotype" w:hAnsi="Palatino Linotype" w:cs="Palatino Linotype"/>
        </w:rPr>
        <w:t>s</w:t>
      </w:r>
      <w:r w:rsidR="0068026B" w:rsidRPr="00CA2D32">
        <w:rPr>
          <w:rFonts w:ascii="Palatino Linotype" w:eastAsia="Palatino Linotype" w:hAnsi="Palatino Linotype" w:cs="Palatino Linotype"/>
        </w:rPr>
        <w:t xml:space="preserve"> de revisión</w:t>
      </w:r>
      <w:r w:rsidR="0068026B" w:rsidRPr="00CA2D32">
        <w:rPr>
          <w:rFonts w:ascii="Palatino Linotype" w:eastAsia="Palatino Linotype" w:hAnsi="Palatino Linotype" w:cs="Palatino Linotype"/>
          <w:sz w:val="22"/>
        </w:rPr>
        <w:t xml:space="preserve">, </w:t>
      </w:r>
      <w:r w:rsidR="0068026B" w:rsidRPr="00CA2D32">
        <w:rPr>
          <w:rFonts w:ascii="Palatino Linotype" w:eastAsia="Palatino Linotype" w:hAnsi="Palatino Linotype" w:cs="Palatino Linotype"/>
        </w:rPr>
        <w:t xml:space="preserve">el </w:t>
      </w:r>
      <w:r w:rsidR="00BB2821" w:rsidRPr="00CA2D32">
        <w:rPr>
          <w:rFonts w:ascii="Palatino Linotype" w:eastAsia="Palatino Linotype" w:hAnsi="Palatino Linotype" w:cs="Palatino Linotype"/>
          <w:b/>
        </w:rPr>
        <w:t>seis de jul</w:t>
      </w:r>
      <w:r w:rsidR="0068026B" w:rsidRPr="00CA2D32">
        <w:rPr>
          <w:rFonts w:ascii="Palatino Linotype" w:eastAsia="Palatino Linotype" w:hAnsi="Palatino Linotype" w:cs="Palatino Linotype"/>
          <w:b/>
        </w:rPr>
        <w:t>io de dos mil veintitrés</w:t>
      </w:r>
      <w:r w:rsidR="0068026B" w:rsidRPr="00CA2D32">
        <w:rPr>
          <w:rFonts w:ascii="Palatino Linotype" w:eastAsia="Palatino Linotype" w:hAnsi="Palatino Linotype" w:cs="Palatino Linotype"/>
        </w:rPr>
        <w:t xml:space="preserve"> y</w:t>
      </w:r>
      <w:r w:rsidR="00BB2821"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rPr>
        <w:t xml:space="preserve">los recursos de revisión se interpusieron el </w:t>
      </w:r>
      <w:r w:rsidR="00BB2821" w:rsidRPr="00CA2D32">
        <w:rPr>
          <w:rFonts w:ascii="Palatino Linotype" w:eastAsia="Palatino Linotype" w:hAnsi="Palatino Linotype" w:cs="Palatino Linotype"/>
          <w:b/>
        </w:rPr>
        <w:t>seis de julio de dos mil veintitrés, es decir, el mismo día hábil en que se conocieron</w:t>
      </w:r>
      <w:r w:rsidR="00BB2821"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b/>
        </w:rPr>
        <w:t>las respuestas</w:t>
      </w:r>
      <w:r w:rsidRPr="00CA2D32">
        <w:rPr>
          <w:rFonts w:ascii="Palatino Linotype" w:eastAsia="Palatino Linotype" w:hAnsi="Palatino Linotype" w:cs="Palatino Linotype"/>
        </w:rPr>
        <w:t>.</w:t>
      </w:r>
    </w:p>
    <w:p w:rsidR="00BB2821" w:rsidRPr="00CA2D32" w:rsidRDefault="00BB2821" w:rsidP="00BB2821">
      <w:pPr>
        <w:pStyle w:val="NormalWeb"/>
        <w:spacing w:before="240" w:beforeAutospacing="0" w:after="240" w:afterAutospacing="0" w:line="360" w:lineRule="auto"/>
        <w:jc w:val="both"/>
      </w:pPr>
      <w:r w:rsidRPr="00CA2D32">
        <w:rPr>
          <w:rFonts w:ascii="Palatino Linotype" w:hAnsi="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BB2821" w:rsidRPr="00CA2D32" w:rsidRDefault="00BB2821" w:rsidP="00BB2821">
      <w:pPr>
        <w:pStyle w:val="NormalWeb"/>
        <w:spacing w:before="120" w:beforeAutospacing="0" w:after="120" w:afterAutospacing="0"/>
        <w:ind w:left="851" w:right="902"/>
        <w:jc w:val="both"/>
      </w:pPr>
      <w:r w:rsidRPr="00CA2D32">
        <w:rPr>
          <w:rFonts w:ascii="Palatino Linotype" w:hAnsi="Palatino Linotype"/>
          <w:b/>
          <w:bCs/>
          <w:i/>
          <w:iCs/>
          <w:sz w:val="22"/>
          <w:szCs w:val="22"/>
        </w:rPr>
        <w:t>“RECURSO DE RECLAMACIÓN. SU INTERPOSICIÓN NO ES EXTEMPORÁNEA SI SE REALIZA ANTES DE QUE INICIE EL PLAZO PARA HACERLO</w:t>
      </w:r>
      <w:r w:rsidRPr="00CA2D32">
        <w:rPr>
          <w:rFonts w:ascii="Palatino Linotype" w:hAnsi="Palatino Linotype"/>
          <w:i/>
          <w:iCs/>
          <w:sz w:val="22"/>
          <w:szCs w:val="22"/>
        </w:rPr>
        <w:t>.</w:t>
      </w:r>
    </w:p>
    <w:p w:rsidR="00BB2821" w:rsidRPr="00CA2D32" w:rsidRDefault="00BB2821" w:rsidP="00BB2821">
      <w:pPr>
        <w:pStyle w:val="NormalWeb"/>
        <w:spacing w:before="120" w:beforeAutospacing="0" w:after="120" w:afterAutospacing="0"/>
        <w:ind w:left="851" w:right="902"/>
        <w:jc w:val="both"/>
      </w:pPr>
      <w:r w:rsidRPr="00CA2D32">
        <w:rPr>
          <w:rFonts w:ascii="Palatino Linotype" w:hAnsi="Palatino Linotype"/>
          <w:i/>
          <w:iCs/>
          <w:sz w:val="22"/>
          <w:szCs w:val="22"/>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Por cuanto hace a la </w:t>
      </w:r>
      <w:proofErr w:type="spellStart"/>
      <w:r w:rsidRPr="00CA2D32">
        <w:rPr>
          <w:rFonts w:ascii="Palatino Linotype" w:eastAsia="Palatino Linotype" w:hAnsi="Palatino Linotype" w:cs="Palatino Linotype"/>
        </w:rPr>
        <w:t>procedibilidad</w:t>
      </w:r>
      <w:proofErr w:type="spellEnd"/>
      <w:r w:rsidRPr="00CA2D32">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593063"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Finalmente, se advierte que resulta procedente la interposición de los recursos, según lo manifestado por el recurrente en sus motivos de inconformidad, de acu</w:t>
      </w:r>
      <w:r w:rsidR="00194C20" w:rsidRPr="00CA2D32">
        <w:rPr>
          <w:rFonts w:ascii="Palatino Linotype" w:eastAsia="Palatino Linotype" w:hAnsi="Palatino Linotype" w:cs="Palatino Linotype"/>
        </w:rPr>
        <w:t xml:space="preserve">erdo al artículo 179, fracción </w:t>
      </w:r>
      <w:r w:rsidRPr="00CA2D32">
        <w:rPr>
          <w:rFonts w:ascii="Palatino Linotype" w:eastAsia="Palatino Linotype" w:hAnsi="Palatino Linotype" w:cs="Palatino Linotype"/>
        </w:rPr>
        <w:t>I del ordenamiento legal citado, que a la letra dice: </w:t>
      </w:r>
    </w:p>
    <w:p w:rsidR="00593063" w:rsidRPr="00CA2D32" w:rsidRDefault="009D4180">
      <w:pPr>
        <w:tabs>
          <w:tab w:val="left" w:pos="7088"/>
        </w:tabs>
        <w:spacing w:before="240" w:after="240"/>
        <w:ind w:left="851" w:right="616"/>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i/>
          <w:sz w:val="22"/>
          <w:szCs w:val="22"/>
        </w:rPr>
        <w:t>“</w:t>
      </w:r>
      <w:r w:rsidRPr="00CA2D32">
        <w:rPr>
          <w:rFonts w:ascii="Palatino Linotype" w:eastAsia="Palatino Linotype" w:hAnsi="Palatino Linotype" w:cs="Palatino Linotype"/>
          <w:b/>
          <w:i/>
          <w:sz w:val="22"/>
          <w:szCs w:val="22"/>
        </w:rPr>
        <w:t>Artículo 179.</w:t>
      </w:r>
      <w:r w:rsidRPr="00CA2D3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93063" w:rsidRPr="00CA2D32" w:rsidRDefault="00BB2821" w:rsidP="00194C20">
      <w:pPr>
        <w:tabs>
          <w:tab w:val="left" w:pos="7088"/>
        </w:tabs>
        <w:spacing w:before="240" w:after="240"/>
        <w:ind w:left="851" w:right="616"/>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b/>
          <w:i/>
          <w:sz w:val="22"/>
          <w:szCs w:val="22"/>
        </w:rPr>
        <w:t>I. La negativa a la información solicitada;</w:t>
      </w:r>
      <w:r w:rsidR="009D4180" w:rsidRPr="00CA2D32">
        <w:rPr>
          <w:rFonts w:ascii="Palatino Linotype" w:eastAsia="Palatino Linotype" w:hAnsi="Palatino Linotype" w:cs="Palatino Linotype"/>
          <w:b/>
          <w:i/>
          <w:sz w:val="22"/>
          <w:szCs w:val="22"/>
        </w:rPr>
        <w:t xml:space="preserve">” </w:t>
      </w:r>
      <w:r w:rsidR="009D4180" w:rsidRPr="00CA2D32">
        <w:rPr>
          <w:rFonts w:ascii="Palatino Linotype" w:eastAsia="Palatino Linotype" w:hAnsi="Palatino Linotype" w:cs="Palatino Linotype"/>
          <w:i/>
          <w:sz w:val="22"/>
          <w:szCs w:val="22"/>
        </w:rPr>
        <w:t>(Énfasis añadido)</w:t>
      </w:r>
    </w:p>
    <w:p w:rsidR="00593063" w:rsidRPr="00CA2D32" w:rsidRDefault="009D4180" w:rsidP="00821619">
      <w:pPr>
        <w:spacing w:before="240" w:after="240" w:line="360" w:lineRule="auto"/>
        <w:jc w:val="both"/>
        <w:rPr>
          <w:rFonts w:ascii="Palatino Linotype" w:hAnsi="Palatino Linotype"/>
          <w:szCs w:val="28"/>
          <w:lang w:eastAsia="es-ES"/>
        </w:rPr>
      </w:pPr>
      <w:r w:rsidRPr="00CA2D32">
        <w:rPr>
          <w:rFonts w:ascii="Palatino Linotype" w:eastAsia="Palatino Linotype" w:hAnsi="Palatino Linotype" w:cs="Palatino Linotype"/>
          <w:b/>
        </w:rPr>
        <w:t xml:space="preserve">Tercero. </w:t>
      </w:r>
      <w:r w:rsidR="00821619" w:rsidRPr="00CA2D32">
        <w:rPr>
          <w:rFonts w:ascii="Palatino Linotype" w:hAnsi="Palatino Linotype"/>
          <w:b/>
          <w:szCs w:val="28"/>
          <w:lang w:eastAsia="es-ES"/>
        </w:rPr>
        <w:t>Análisis de l</w:t>
      </w:r>
      <w:r w:rsidR="0083093E" w:rsidRPr="00CA2D32">
        <w:rPr>
          <w:rFonts w:ascii="Palatino Linotype" w:hAnsi="Palatino Linotype"/>
          <w:b/>
          <w:szCs w:val="28"/>
          <w:lang w:eastAsia="es-ES"/>
        </w:rPr>
        <w:t xml:space="preserve">as causas de sobreseimiento de los </w:t>
      </w:r>
      <w:r w:rsidR="00821619" w:rsidRPr="00CA2D32">
        <w:rPr>
          <w:rFonts w:ascii="Palatino Linotype" w:hAnsi="Palatino Linotype"/>
          <w:b/>
          <w:szCs w:val="28"/>
          <w:lang w:eastAsia="es-ES"/>
        </w:rPr>
        <w:t>recurso</w:t>
      </w:r>
      <w:r w:rsidR="0083093E" w:rsidRPr="00CA2D32">
        <w:rPr>
          <w:rFonts w:ascii="Palatino Linotype" w:hAnsi="Palatino Linotype"/>
          <w:b/>
          <w:szCs w:val="28"/>
          <w:lang w:eastAsia="es-ES"/>
        </w:rPr>
        <w:t>s</w:t>
      </w:r>
      <w:r w:rsidR="00821619" w:rsidRPr="00CA2D32">
        <w:rPr>
          <w:rFonts w:ascii="Palatino Linotype" w:hAnsi="Palatino Linotype"/>
          <w:b/>
          <w:szCs w:val="28"/>
          <w:lang w:eastAsia="es-ES"/>
        </w:rPr>
        <w:t xml:space="preserve"> de revisión. </w:t>
      </w:r>
      <w:r w:rsidR="00821619" w:rsidRPr="00CA2D32">
        <w:rPr>
          <w:rFonts w:ascii="Palatino Linotype" w:hAnsi="Palatino Linotype"/>
          <w:szCs w:val="28"/>
          <w:lang w:eastAsia="es-ES"/>
        </w:rPr>
        <w:t>En primera instancia, deb</w:t>
      </w:r>
      <w:r w:rsidR="0083093E" w:rsidRPr="00CA2D32">
        <w:rPr>
          <w:rFonts w:ascii="Palatino Linotype" w:hAnsi="Palatino Linotype"/>
          <w:szCs w:val="28"/>
          <w:lang w:eastAsia="es-ES"/>
        </w:rPr>
        <w:t xml:space="preserve">e apuntarse que del análisis a los </w:t>
      </w:r>
      <w:r w:rsidR="00821619" w:rsidRPr="00CA2D32">
        <w:rPr>
          <w:rFonts w:ascii="Palatino Linotype" w:hAnsi="Palatino Linotype"/>
          <w:szCs w:val="28"/>
          <w:lang w:eastAsia="es-ES"/>
        </w:rPr>
        <w:t>recurso</w:t>
      </w:r>
      <w:r w:rsidR="0083093E" w:rsidRPr="00CA2D32">
        <w:rPr>
          <w:rFonts w:ascii="Palatino Linotype" w:hAnsi="Palatino Linotype"/>
          <w:szCs w:val="28"/>
          <w:lang w:eastAsia="es-ES"/>
        </w:rPr>
        <w:t>s</w:t>
      </w:r>
      <w:r w:rsidR="00821619" w:rsidRPr="00CA2D32">
        <w:rPr>
          <w:rFonts w:ascii="Palatino Linotype" w:hAnsi="Palatino Linotype"/>
          <w:szCs w:val="28"/>
          <w:lang w:eastAsia="es-ES"/>
        </w:rPr>
        <w:t xml:space="preserve"> de revisión que ahora se resuelve</w:t>
      </w:r>
      <w:r w:rsidR="0083093E" w:rsidRPr="00CA2D32">
        <w:rPr>
          <w:rFonts w:ascii="Palatino Linotype" w:hAnsi="Palatino Linotype"/>
          <w:szCs w:val="28"/>
          <w:lang w:eastAsia="es-ES"/>
        </w:rPr>
        <w:t>n</w:t>
      </w:r>
      <w:r w:rsidR="00821619" w:rsidRPr="00CA2D32">
        <w:rPr>
          <w:rFonts w:ascii="Palatino Linotype" w:hAnsi="Palatino Linotype"/>
          <w:szCs w:val="28"/>
          <w:lang w:eastAsia="es-ES"/>
        </w:rPr>
        <w:t>, se tiene que se actualiza</w:t>
      </w:r>
      <w:r w:rsidR="0083093E" w:rsidRPr="00CA2D32">
        <w:rPr>
          <w:rFonts w:ascii="Palatino Linotype" w:hAnsi="Palatino Linotype"/>
          <w:szCs w:val="28"/>
          <w:lang w:eastAsia="es-ES"/>
        </w:rPr>
        <w:t>n</w:t>
      </w:r>
      <w:r w:rsidR="00821619" w:rsidRPr="00CA2D32">
        <w:rPr>
          <w:rFonts w:ascii="Palatino Linotype" w:hAnsi="Palatino Linotype"/>
          <w:szCs w:val="28"/>
          <w:lang w:eastAsia="es-ES"/>
        </w:rPr>
        <w:t xml:space="preserve"> la causal de sobreseimiento del recurso </w:t>
      </w:r>
      <w:r w:rsidR="00821619" w:rsidRPr="00CA2D32">
        <w:rPr>
          <w:rFonts w:ascii="Palatino Linotype" w:hAnsi="Palatino Linotype"/>
          <w:szCs w:val="28"/>
          <w:lang w:eastAsia="es-ES"/>
        </w:rPr>
        <w:lastRenderedPageBreak/>
        <w:t>de revisión establecido en la fracción III del artículo 192</w:t>
      </w:r>
      <w:r w:rsidR="00821619" w:rsidRPr="00CA2D32">
        <w:rPr>
          <w:rFonts w:ascii="Palatino Linotype" w:hAnsi="Palatino Linotype"/>
          <w:szCs w:val="28"/>
          <w:vertAlign w:val="superscript"/>
          <w:lang w:eastAsia="es-ES"/>
        </w:rPr>
        <w:footnoteReference w:id="1"/>
      </w:r>
      <w:r w:rsidR="00821619" w:rsidRPr="00CA2D32">
        <w:rPr>
          <w:rFonts w:ascii="Palatino Linotype" w:hAnsi="Palatino Linotype"/>
          <w:szCs w:val="28"/>
          <w:lang w:eastAsia="es-ES"/>
        </w:rPr>
        <w:t xml:space="preserve"> en relación con el diverso 186 fracción I</w:t>
      </w:r>
      <w:r w:rsidR="00821619" w:rsidRPr="00CA2D32">
        <w:rPr>
          <w:rFonts w:ascii="Palatino Linotype" w:hAnsi="Palatino Linotype"/>
          <w:szCs w:val="28"/>
          <w:vertAlign w:val="superscript"/>
          <w:lang w:eastAsia="es-ES"/>
        </w:rPr>
        <w:footnoteReference w:id="2"/>
      </w:r>
      <w:r w:rsidR="00821619" w:rsidRPr="00CA2D32">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00821619" w:rsidRPr="00CA2D32">
        <w:rPr>
          <w:rFonts w:ascii="Palatino Linotype" w:hAnsi="Palatino Linotype"/>
          <w:b/>
          <w:szCs w:val="28"/>
          <w:lang w:eastAsia="es-ES"/>
        </w:rPr>
        <w:t>Sujeto Obligado.</w:t>
      </w:r>
      <w:r w:rsidR="00821619" w:rsidRPr="00CA2D32">
        <w:rPr>
          <w:rFonts w:ascii="Palatino Linotype" w:hAnsi="Palatino Linotype"/>
          <w:noProof/>
        </w:rPr>
        <w:t xml:space="preserve"> </w:t>
      </w:r>
    </w:p>
    <w:p w:rsidR="00593063" w:rsidRPr="00CA2D32" w:rsidRDefault="009D4180">
      <w:pPr>
        <w:tabs>
          <w:tab w:val="left" w:pos="709"/>
        </w:tabs>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En este sentido, cabe reiterar que </w:t>
      </w:r>
      <w:r w:rsidR="00393A9E" w:rsidRPr="00CA2D32">
        <w:rPr>
          <w:rFonts w:ascii="Palatino Linotype" w:eastAsia="Palatino Linotype" w:hAnsi="Palatino Linotype" w:cs="Palatino Linotype"/>
        </w:rPr>
        <w:t>la persona solicitante requiri</w:t>
      </w:r>
      <w:r w:rsidRPr="00CA2D32">
        <w:rPr>
          <w:rFonts w:ascii="Palatino Linotype" w:eastAsia="Palatino Linotype" w:hAnsi="Palatino Linotype" w:cs="Palatino Linotype"/>
        </w:rPr>
        <w:t xml:space="preserve">ó al </w:t>
      </w:r>
      <w:r w:rsidRPr="00CA2D32">
        <w:rPr>
          <w:rFonts w:ascii="Palatino Linotype" w:eastAsia="Palatino Linotype" w:hAnsi="Palatino Linotype" w:cs="Palatino Linotype"/>
          <w:b/>
        </w:rPr>
        <w:t xml:space="preserve">Sujeto Obligado, </w:t>
      </w:r>
      <w:r w:rsidRPr="00CA2D32">
        <w:rPr>
          <w:rFonts w:ascii="Palatino Linotype" w:eastAsia="Palatino Linotype" w:hAnsi="Palatino Linotype" w:cs="Palatino Linotype"/>
        </w:rPr>
        <w:t xml:space="preserve">lo siguiente: </w:t>
      </w:r>
    </w:p>
    <w:p w:rsidR="00BB2821" w:rsidRPr="00CA2D32" w:rsidRDefault="00BB2821" w:rsidP="008215C0">
      <w:pPr>
        <w:pStyle w:val="Prrafodelista"/>
        <w:numPr>
          <w:ilvl w:val="0"/>
          <w:numId w:val="19"/>
        </w:numPr>
        <w:tabs>
          <w:tab w:val="left" w:pos="567"/>
        </w:tabs>
        <w:spacing w:before="240" w:after="240" w:line="360" w:lineRule="auto"/>
        <w:ind w:left="567" w:right="900" w:hanging="141"/>
        <w:jc w:val="both"/>
        <w:rPr>
          <w:rFonts w:ascii="Palatino Linotype" w:eastAsia="Palatino Linotype" w:hAnsi="Palatino Linotype" w:cs="Palatino Linotype"/>
          <w:b/>
          <w:sz w:val="22"/>
        </w:rPr>
      </w:pPr>
      <w:r w:rsidRPr="00CA2D32">
        <w:rPr>
          <w:rFonts w:ascii="Palatino Linotype" w:eastAsia="Palatino Linotype" w:hAnsi="Palatino Linotype" w:cs="Palatino Linotype"/>
          <w:b/>
          <w:sz w:val="22"/>
        </w:rPr>
        <w:t xml:space="preserve">Las invitaciones a las reuniones de las mesas de seguridad pública municipal de los días 05, 12, 19 y 26 de abril. </w:t>
      </w:r>
    </w:p>
    <w:p w:rsidR="00CD17ED" w:rsidRPr="00CA2D32" w:rsidRDefault="00BB2821" w:rsidP="008215C0">
      <w:pPr>
        <w:pStyle w:val="Prrafodelista"/>
        <w:numPr>
          <w:ilvl w:val="0"/>
          <w:numId w:val="19"/>
        </w:numPr>
        <w:tabs>
          <w:tab w:val="left" w:pos="567"/>
        </w:tabs>
        <w:spacing w:before="240" w:after="240" w:line="360" w:lineRule="auto"/>
        <w:ind w:left="567" w:right="900" w:hanging="141"/>
        <w:jc w:val="both"/>
        <w:rPr>
          <w:rFonts w:ascii="Palatino Linotype" w:eastAsia="Palatino Linotype" w:hAnsi="Palatino Linotype" w:cs="Palatino Linotype"/>
        </w:rPr>
      </w:pPr>
      <w:r w:rsidRPr="00CA2D32">
        <w:rPr>
          <w:rFonts w:ascii="Palatino Linotype" w:eastAsia="Palatino Linotype" w:hAnsi="Palatino Linotype" w:cs="Palatino Linotype"/>
          <w:b/>
          <w:sz w:val="22"/>
        </w:rPr>
        <w:t xml:space="preserve">El seguimiento a las circulares 27 y 28 de la DO. </w:t>
      </w:r>
    </w:p>
    <w:p w:rsidR="00AF25C6" w:rsidRPr="00CA2D32" w:rsidRDefault="009D4180" w:rsidP="00CD17ED">
      <w:pPr>
        <w:tabs>
          <w:tab w:val="left" w:pos="567"/>
        </w:tabs>
        <w:spacing w:before="240" w:after="240" w:line="360" w:lineRule="auto"/>
        <w:ind w:right="49"/>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En respuesta,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w:t>
      </w:r>
      <w:r w:rsidR="00AF25C6" w:rsidRPr="00CA2D32">
        <w:rPr>
          <w:rFonts w:ascii="Palatino Linotype" w:eastAsia="Palatino Linotype" w:hAnsi="Palatino Linotype" w:cs="Palatino Linotype"/>
        </w:rPr>
        <w:t xml:space="preserve">por conducto de la Vocal de Organización de la Junta 27, informó que derivado de una búsqueda minuciosa, no obran archivos respecto a dichas solicitudes. </w:t>
      </w:r>
    </w:p>
    <w:p w:rsidR="00AF25C6"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Una vez conocid</w:t>
      </w:r>
      <w:r w:rsidR="00393A9E" w:rsidRPr="00CA2D32">
        <w:rPr>
          <w:rFonts w:ascii="Palatino Linotype" w:eastAsia="Palatino Linotype" w:hAnsi="Palatino Linotype" w:cs="Palatino Linotype"/>
        </w:rPr>
        <w:t xml:space="preserve">as las respuestas, </w:t>
      </w:r>
      <w:r w:rsidR="00393A9E" w:rsidRPr="00CA2D32">
        <w:rPr>
          <w:rFonts w:ascii="Palatino Linotype" w:eastAsia="Palatino Linotype" w:hAnsi="Palatino Linotype" w:cs="Palatino Linotype"/>
          <w:b/>
        </w:rPr>
        <w:t>la parte Recurrente</w:t>
      </w:r>
      <w:r w:rsidRPr="00CA2D32">
        <w:rPr>
          <w:rFonts w:ascii="Palatino Linotype" w:eastAsia="Palatino Linotype" w:hAnsi="Palatino Linotype" w:cs="Palatino Linotype"/>
        </w:rPr>
        <w:t xml:space="preserve"> interpuso los recursos de rev</w:t>
      </w:r>
      <w:r w:rsidR="00393A9E" w:rsidRPr="00CA2D32">
        <w:rPr>
          <w:rFonts w:ascii="Palatino Linotype" w:eastAsia="Palatino Linotype" w:hAnsi="Palatino Linotype" w:cs="Palatino Linotype"/>
        </w:rPr>
        <w:t>isión que nos ocupan, inconformándose en ambos expedientes por</w:t>
      </w:r>
      <w:r w:rsidR="00485157" w:rsidRPr="00CA2D32">
        <w:rPr>
          <w:rFonts w:ascii="Palatino Linotype" w:eastAsia="Palatino Linotype" w:hAnsi="Palatino Linotype" w:cs="Palatino Linotype"/>
        </w:rPr>
        <w:t xml:space="preserve"> </w:t>
      </w:r>
      <w:r w:rsidR="00AF25C6" w:rsidRPr="00CA2D32">
        <w:rPr>
          <w:rFonts w:ascii="Palatino Linotype" w:eastAsia="Palatino Linotype" w:hAnsi="Palatino Linotype" w:cs="Palatino Linotype"/>
        </w:rPr>
        <w:t xml:space="preserve">la negativa a entregar la información solicitada. </w:t>
      </w:r>
    </w:p>
    <w:p w:rsidR="00AF25C6" w:rsidRPr="00CA2D32" w:rsidRDefault="009D418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 xml:space="preserve">Tras la admisión de los medios de impugnación que ahora se resuelven, se concedió un plazo de siete días hábiles a las partes para efecto de que remitieran su informe justificado o cualquier manifestación que a su derecho conviniera, es de mencionar que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w:t>
      </w:r>
      <w:r w:rsidR="00485157" w:rsidRPr="00CA2D32">
        <w:rPr>
          <w:rFonts w:ascii="Palatino Linotype" w:eastAsia="Palatino Linotype" w:hAnsi="Palatino Linotype" w:cs="Palatino Linotype"/>
        </w:rPr>
        <w:t xml:space="preserve">remitió diversos soportes documentales que serán analizados de manera posterior, </w:t>
      </w:r>
      <w:r w:rsidRPr="00CA2D32">
        <w:rPr>
          <w:rFonts w:ascii="Palatino Linotype" w:eastAsia="Palatino Linotype" w:hAnsi="Palatino Linotype" w:cs="Palatino Linotype"/>
        </w:rPr>
        <w:t xml:space="preserve">mientras que </w:t>
      </w:r>
      <w:r w:rsidRPr="00CA2D32">
        <w:rPr>
          <w:rFonts w:ascii="Palatino Linotype" w:eastAsia="Palatino Linotype" w:hAnsi="Palatino Linotype" w:cs="Palatino Linotype"/>
          <w:b/>
        </w:rPr>
        <w:t>la parte Recurrente</w:t>
      </w:r>
      <w:r w:rsidRPr="00CA2D32">
        <w:rPr>
          <w:rFonts w:ascii="Palatino Linotype" w:eastAsia="Palatino Linotype" w:hAnsi="Palatino Linotype" w:cs="Palatino Linotype"/>
        </w:rPr>
        <w:t xml:space="preserve"> </w:t>
      </w:r>
      <w:r w:rsidR="00AF25C6" w:rsidRPr="00CA2D32">
        <w:rPr>
          <w:rFonts w:ascii="Palatino Linotype" w:eastAsia="Palatino Linotype" w:hAnsi="Palatino Linotype" w:cs="Palatino Linotype"/>
        </w:rPr>
        <w:t xml:space="preserve">únicamente emitió sus manifestaciones en el recurso de revisión </w:t>
      </w:r>
      <w:r w:rsidR="00AF25C6" w:rsidRPr="00CA2D32">
        <w:rPr>
          <w:rFonts w:ascii="Palatino Linotype" w:eastAsia="Palatino Linotype" w:hAnsi="Palatino Linotype" w:cs="Palatino Linotype"/>
          <w:b/>
          <w:sz w:val="22"/>
        </w:rPr>
        <w:t xml:space="preserve">03955/INFOEM/IP/RR/2023, </w:t>
      </w:r>
      <w:r w:rsidR="00AF25C6" w:rsidRPr="00CA2D32">
        <w:rPr>
          <w:rFonts w:ascii="Palatino Linotype" w:eastAsia="Palatino Linotype" w:hAnsi="Palatino Linotype" w:cs="Palatino Linotype"/>
        </w:rPr>
        <w:t xml:space="preserve">desvirtuando la respuesta del </w:t>
      </w:r>
      <w:r w:rsidR="00AF25C6" w:rsidRPr="00CA2D32">
        <w:rPr>
          <w:rFonts w:ascii="Palatino Linotype" w:eastAsia="Palatino Linotype" w:hAnsi="Palatino Linotype" w:cs="Palatino Linotype"/>
          <w:b/>
        </w:rPr>
        <w:t>Sujeto Obligado</w:t>
      </w:r>
      <w:r w:rsidR="00AF25C6" w:rsidRPr="00CA2D32">
        <w:rPr>
          <w:rFonts w:ascii="Palatino Linotype" w:eastAsia="Palatino Linotype" w:hAnsi="Palatino Linotype" w:cs="Palatino Linotype"/>
        </w:rPr>
        <w:t>.</w:t>
      </w:r>
    </w:p>
    <w:p w:rsidR="00AF25C6" w:rsidRPr="00CA2D32" w:rsidRDefault="009D4180" w:rsidP="00982D99">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Una vez expuestas las posturas de las partes, resulta pertinente </w:t>
      </w:r>
      <w:r w:rsidR="00AF25C6" w:rsidRPr="00CA2D32">
        <w:rPr>
          <w:rFonts w:ascii="Palatino Linotype" w:eastAsia="Palatino Linotype" w:hAnsi="Palatino Linotype" w:cs="Palatino Linotype"/>
        </w:rPr>
        <w:t xml:space="preserve">iniciar señalando que de conformidad con el artículo 205 del Código Electoral del Estado de México, cada uno de los distritos electorales el Instituto contará con junta distrital y consejo distrital, las cuales se integrarán de la siguiente manera: </w:t>
      </w:r>
    </w:p>
    <w:p w:rsidR="00AF25C6" w:rsidRPr="00CA2D32" w:rsidRDefault="00CD17ED" w:rsidP="00CD17ED">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i/>
          <w:sz w:val="22"/>
        </w:rPr>
        <w:t>“</w:t>
      </w:r>
      <w:r w:rsidR="00AF25C6" w:rsidRPr="00CA2D32">
        <w:rPr>
          <w:rFonts w:ascii="Palatino Linotype" w:eastAsia="Palatino Linotype" w:hAnsi="Palatino Linotype" w:cs="Palatino Linotype"/>
          <w:i/>
          <w:sz w:val="22"/>
        </w:rPr>
        <w:t xml:space="preserve">Artículo 206. </w:t>
      </w:r>
      <w:r w:rsidR="00AF25C6" w:rsidRPr="00CA2D32">
        <w:rPr>
          <w:rFonts w:ascii="Palatino Linotype" w:eastAsia="Palatino Linotype" w:hAnsi="Palatino Linotype" w:cs="Palatino Linotype"/>
          <w:b/>
          <w:i/>
          <w:sz w:val="22"/>
          <w:u w:val="single"/>
        </w:rPr>
        <w:t>Las Juntas Distritales son órganos temporales que se integran para cada proceso electoral ordinario</w:t>
      </w:r>
      <w:r w:rsidR="00AF25C6" w:rsidRPr="00CA2D32">
        <w:rPr>
          <w:rFonts w:ascii="Palatino Linotype" w:eastAsia="Palatino Linotype" w:hAnsi="Palatino Linotype" w:cs="Palatino Linotype"/>
          <w:b/>
          <w:i/>
          <w:sz w:val="22"/>
        </w:rPr>
        <w:t>, por un vocal Ejecutivo, un vocal de Organización Electoral y un Vocal de Capacitación.</w:t>
      </w:r>
      <w:r w:rsidRPr="00CA2D32">
        <w:rPr>
          <w:rFonts w:ascii="Palatino Linotype" w:eastAsia="Palatino Linotype" w:hAnsi="Palatino Linotype" w:cs="Palatino Linotype"/>
          <w:b/>
          <w:i/>
          <w:sz w:val="22"/>
        </w:rPr>
        <w:t xml:space="preserve">” </w:t>
      </w:r>
      <w:r w:rsidRPr="00CA2D32">
        <w:rPr>
          <w:rFonts w:ascii="Palatino Linotype" w:eastAsia="Palatino Linotype" w:hAnsi="Palatino Linotype" w:cs="Palatino Linotype"/>
          <w:i/>
          <w:sz w:val="22"/>
        </w:rPr>
        <w:t>(Énfasis añadido)</w:t>
      </w:r>
    </w:p>
    <w:p w:rsidR="00CD17ED" w:rsidRPr="00CA2D32" w:rsidRDefault="00CD17ED" w:rsidP="00CD17ED">
      <w:pPr>
        <w:spacing w:before="240" w:after="240" w:line="360" w:lineRule="auto"/>
        <w:ind w:right="49"/>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En este orden de ideas, el artículo 207 del Código en referencia señala que la junta distrital cuenta con las siguientes atribuciones: </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i/>
          <w:sz w:val="22"/>
        </w:rPr>
        <w:t>“</w:t>
      </w:r>
      <w:r w:rsidRPr="00CA2D32">
        <w:rPr>
          <w:rFonts w:ascii="Palatino Linotype" w:eastAsia="Palatino Linotype" w:hAnsi="Palatino Linotype" w:cs="Palatino Linotype"/>
          <w:b/>
          <w:i/>
          <w:sz w:val="22"/>
        </w:rPr>
        <w:t>Artículo 207. Las Juntas sesionarán por lo menos una vez al mes, durante el proceso electoral y tendrán, en su respectivo ámbito, las siguientes atribuciones: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 Cumplir con los programas que determine la Junta General.</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II. Proponer al Consejo Distrital correspondiente el número de casillas que habrán de instalarse en cada una de las secciones comprendidas en su distrito.</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lastRenderedPageBreak/>
        <w:t>III. Formular al Consejo Distrital Electoral correspondiente, la ubicación de las casillas.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IV. Capacitar a los ciudadanos que habrán de integrar las Mesas Directivas de Casilla.</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V. Informar a la Junta General una vez al mes por lo menos, durante el proceso electoral, por conducto del Secretario Ejecutivo sobre el desarrollo de sus actividades.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VI. Informar mensualmente al Consejo Distrital correspondiente sobre el desarrollo de sus actividades.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VII. Entregar copia de los memorándums, circulares y documentos remitidos por las Comisiones del Consejo General y la Junta General, al secretario del Consejo Distrital para su distribución a los integrantes del mismo.</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VIII. Entregar al Consejo Distrital copia de los informes y reportes que remita a la Junta General.</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IX. Presentar al Consejo Distrital para su aprobación, las solicitudes de observadores electorales.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X. Coadyuvar con el Instituto en la supervisión para garantizar el acceso a radio y televisión de los partidos políticos durante las precampañas y campañas locales.</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XI. Ejecutar los programas de capacitación electoral y educación cívica, paridad de género y el respeto de los derechos humanos de las mujeres en el ámbito político y electoral, y</w:t>
      </w:r>
    </w:p>
    <w:p w:rsidR="00CD17ED" w:rsidRPr="00CA2D32" w:rsidRDefault="00CD17ED" w:rsidP="00CD17ED">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XII. Los demás que les confiera este Código.”</w:t>
      </w:r>
    </w:p>
    <w:p w:rsidR="00AF25C6" w:rsidRPr="00CA2D32" w:rsidRDefault="00CD17ED" w:rsidP="00982D99">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De lo anteriormente citado, se abordan a las siguientes conc</w:t>
      </w:r>
      <w:r w:rsidR="001D6FE3" w:rsidRPr="00CA2D32">
        <w:rPr>
          <w:rFonts w:ascii="Palatino Linotype" w:eastAsia="Palatino Linotype" w:hAnsi="Palatino Linotype" w:cs="Palatino Linotype"/>
        </w:rPr>
        <w:t xml:space="preserve">lusiones: </w:t>
      </w:r>
    </w:p>
    <w:p w:rsidR="00AF25C6" w:rsidRPr="00CA2D32" w:rsidRDefault="001D6FE3" w:rsidP="001D6FE3">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Las Juntas Distritales son órganos temporales que se integran para cada proceso electoral ordinario.</w:t>
      </w:r>
    </w:p>
    <w:p w:rsidR="001D6FE3" w:rsidRPr="00CA2D32" w:rsidRDefault="001D6FE3" w:rsidP="001D6FE3">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CA2D32">
        <w:rPr>
          <w:rFonts w:ascii="Palatino Linotype" w:eastAsia="Palatino Linotype" w:hAnsi="Palatino Linotype" w:cs="Palatino Linotype"/>
        </w:rPr>
        <w:t>Dichas Juntas se integran por un vocal Ejecutivo, un vocal de Organización Electoral y un Vocal de Capacitación.</w:t>
      </w:r>
    </w:p>
    <w:p w:rsidR="001D6FE3" w:rsidRPr="00CA2D32" w:rsidRDefault="001D6FE3" w:rsidP="001D6FE3">
      <w:pPr>
        <w:pStyle w:val="Prrafodelista"/>
        <w:numPr>
          <w:ilvl w:val="0"/>
          <w:numId w:val="20"/>
        </w:numPr>
        <w:spacing w:before="240" w:after="240" w:line="360" w:lineRule="auto"/>
        <w:ind w:left="567" w:right="900" w:hanging="141"/>
        <w:jc w:val="both"/>
        <w:rPr>
          <w:rFonts w:ascii="Palatino Linotype" w:eastAsia="Palatino Linotype" w:hAnsi="Palatino Linotype" w:cs="Palatino Linotype"/>
        </w:rPr>
      </w:pPr>
      <w:r w:rsidRPr="00CA2D32">
        <w:rPr>
          <w:rFonts w:ascii="Palatino Linotype" w:eastAsia="Palatino Linotype" w:hAnsi="Palatino Linotype" w:cs="Palatino Linotype"/>
        </w:rPr>
        <w:t>Dentro de las atribuciones de la Junta Distrital, se encuentran el informar mensualmente al Consejo Distrital correspondiente sobre el desarrollo de sus actividades, proponer al Consejo Distrital correspondiente el número de casillas que habrán de instalarse en cada una de las secciones comprendidas en su distrito, etc.</w:t>
      </w:r>
    </w:p>
    <w:p w:rsidR="001D6FE3" w:rsidRPr="00CA2D32" w:rsidRDefault="001D6FE3" w:rsidP="001D6FE3">
      <w:pPr>
        <w:spacing w:before="240" w:after="240" w:line="360" w:lineRule="auto"/>
        <w:ind w:right="49"/>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Acotado lo anterior, conviene traer a colación lo dispuesto por el Reglamento para Órganos Desconcentrados del Instituto Electoral del Estado de México respecto de las atribuciones de los integrantes de la Junta Distrital: </w:t>
      </w:r>
    </w:p>
    <w:p w:rsidR="001D6FE3"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w:t>
      </w:r>
      <w:r w:rsidR="001D6FE3" w:rsidRPr="00CA2D32">
        <w:rPr>
          <w:rFonts w:ascii="Palatino Linotype" w:eastAsia="Palatino Linotype" w:hAnsi="Palatino Linotype" w:cs="Palatino Linotype"/>
          <w:b/>
          <w:i/>
          <w:sz w:val="22"/>
        </w:rPr>
        <w:t>Artículo 8. Son atribuciones de las personas que ocupan las vocalías de las juntas distritales, las siguientes</w:t>
      </w:r>
      <w:r w:rsidR="001D6FE3" w:rsidRPr="00CA2D32">
        <w:rPr>
          <w:rFonts w:ascii="Palatino Linotype" w:eastAsia="Palatino Linotype" w:hAnsi="Palatino Linotype" w:cs="Palatino Linotype"/>
          <w:i/>
          <w:sz w:val="22"/>
        </w:rPr>
        <w:t>:</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b/>
          <w:i/>
          <w:sz w:val="22"/>
        </w:rPr>
        <w:t>I. Vocalía ejecutiva: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a) Presidir la junta distrital y el consejo distrital durante el proceso electoral;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b) Coordinar las vocalías a su cargo y distribuir entre ellas los asuntos de su competencia;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c) En su calidad de Presidencia del consejo, someter a la aprobación del consejo distrital los asuntos de su competencia;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d) En su calidad de Presidencia del consejo, expedir las certificaciones que le soliciten las representaciones;</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lastRenderedPageBreak/>
        <w:t>e) Acompañar al órgano competente del INE en los recorridos y visitas de examinación para la ubicación de las casillas electorales.</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f) Supervisar la coordinación, en caso de delegación, de la capacitación a quienes habrán de integrar las mesas directivas de casilla, con base en los lineamientos y contenidos que emita el INE.</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g) Informar a la Presidencia del Consejo General y a la Secretaría Ejecutiva de la recepción de las solicitudes para fungir como observadoras u observadores electorales por parte de la ciudadanía en forma individual o a través de organizaciones e impartir los cursos de capacitación, preparación o información, en coordinación con las vocalías de organización electoral y de capacitación, de acuerdo con los lineamientos que emita el INE y, en su caso con el procedimiento que apruebe la Comisión Especial; la Junta General y/o el Consejo General.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h) Informar una vez al mes a la Secretaría Ejecutiva sobre el desarrollo de las actividades de la Junta.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 Entregar copia de los documentos remitidos por el Consejo General, la Junta General, comisiones y las diversas áreas del IEEM a la Secretaría para su distribución a las y los integrantes de la junta y consejo, según corresponda.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j) Proporcionar a las y los integrantes de las juntas y consejos la documentación necesaria para el ejercicio de sus atribuciones, incluyendo aquella remitida por el Consejo General, la Secretaría Ejecutiva, o cualquier dirección o unidad del IEEM.</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k) Atender y cumplir las disposiciones en materia de transparencia y protección de datos personales; oficialía electoral; procedimientos sancionadores, medios de impugnación y del Sistema Institucional de Archivo del IEEM, supervisando la integración, la organización y la remisión del archivo de la junta, que realiza la vocalía de organización  electoral.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l) Tomar las previsiones necesarias para dar cumplimiento a los acuerdos aprobados por el Consejo General, la Junta General y el consejo distrital.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lastRenderedPageBreak/>
        <w:t>m) Dar seguimiento al cumplimiento de los acuerdos del Consejo General, la Junta General y el consejo distrital.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n) Proveer lo necesario para la publicación en los estrados de la junta, de los acuerdos y las resoluciones tomados por ésta.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o) Supervisar como responsable, el acondicionamiento, así como la seguridad del área de resguardo de la documentación y material electoral aprobada por el Consejo.</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p) Capacitar al personal auxiliar de junta para dar cumplimiento al programa de entrega-recepción de documentación y material electoral; conteo, sellado y seccionado de boletas electorales, entrega de documentación y material electoral a los Presidentes de Mesa Directiva de casilla.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q) Aplicar el operativo para la entrega recepción y resguardo de los paquetes electorales y recuperación de material electoral en su Consejo.</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r) Coadyuvar con el vocal de capacitación para asegurar la realización puntual y efectiva de las actividades que se deleguen a la Junta con la  finalidad de promover la participación ciudadana, así como la difusión de valores e iniciativas de integración política y democrática.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s) Coadyuvar en la operación del SNR, así como brindar orientación y asesoría a los sujetos obligados, en términos de las disposiciones aplicables.</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t) Las demás que le confiera el Código, este Reglamento, las disposiciones aplicables o el Consejo General.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b/>
          <w:i/>
          <w:sz w:val="22"/>
        </w:rPr>
        <w:t>II. Vocalía de organización electoral: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 xml:space="preserve">a) Preparar, en su caso, la propuesta para la ubicación de las casillas electorales, en </w:t>
      </w:r>
      <w:proofErr w:type="spellStart"/>
      <w:r w:rsidRPr="00CA2D32">
        <w:rPr>
          <w:rFonts w:ascii="Palatino Linotype" w:eastAsia="Palatino Linotype" w:hAnsi="Palatino Linotype" w:cs="Palatino Linotype"/>
          <w:i/>
          <w:sz w:val="22"/>
        </w:rPr>
        <w:t>coadyuvancia</w:t>
      </w:r>
      <w:proofErr w:type="spellEnd"/>
      <w:r w:rsidRPr="00CA2D32">
        <w:rPr>
          <w:rFonts w:ascii="Palatino Linotype" w:eastAsia="Palatino Linotype" w:hAnsi="Palatino Linotype" w:cs="Palatino Linotype"/>
          <w:i/>
          <w:sz w:val="22"/>
        </w:rPr>
        <w:t xml:space="preserve"> con el INE.</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lastRenderedPageBreak/>
        <w:t>b) Coadyuvar, en caso de delegación, en la capacitación de quienes habrán de integrar las mesas directivas de casilla, con base en los lineamientos y contenidos que emita el INE.</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c) Preparar el informe para el Consejo General y la Secretaría</w:t>
      </w:r>
      <w:r w:rsidR="00B80B61" w:rsidRPr="00CA2D32">
        <w:rPr>
          <w:rFonts w:ascii="Palatino Linotype" w:eastAsia="Palatino Linotype" w:hAnsi="Palatino Linotype" w:cs="Palatino Linotype"/>
          <w:i/>
          <w:sz w:val="22"/>
        </w:rPr>
        <w:t xml:space="preserve"> </w:t>
      </w:r>
      <w:r w:rsidRPr="00CA2D32">
        <w:rPr>
          <w:rFonts w:ascii="Palatino Linotype" w:eastAsia="Palatino Linotype" w:hAnsi="Palatino Linotype" w:cs="Palatino Linotype"/>
          <w:i/>
          <w:sz w:val="22"/>
        </w:rPr>
        <w:t>Ejecutiva, relacionado con la recepción de solicitudes para fungir como observadoras u observadores electorales e impartir los cursos de capacitación, preparación o información, en coordinación con las vocalías ejecutiva y de capacitación de acuerdo con los lineamientos que para tal efecto emita el INE.</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b/>
          <w:i/>
          <w:sz w:val="22"/>
        </w:rPr>
        <w:t>d) Realizar el informe mensual de las actividades de la junta para remitirlo a la Secretaría Ejecutiva a través de la vocalía ejecutiva.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e) Entregar a las y los integrantes de la junta, copia de los documentos remitidos por el Consejo General, la Junta General, comisiones y las diversas áreas del IEEM, remitidos a través de la vocalía ejecutiva.</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f) Fungir como servidor habilitado en materia de transparencia y ejecutar, atender y cumplir las disposiciones en materia de transparencia y protección de datos personales; bajo las directrices, orientación y acompañamiento permanente de la UT.</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g) Ejecutar, atender y cumplir las disposiciones relativas a los procedimientos sancionadores, medios de impugnación, oficialía electoral; y del Sistema Institucional de Archivos del IEEM, integrando y organizando el archivo de la junta para su posterior remisión a oficinas centrales.</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b/>
          <w:i/>
          <w:sz w:val="22"/>
        </w:rPr>
        <w:t>h) Llevar el archivo del órgano desconcentrado y un registro de las actas de conformidad con lo dispuesto en la normatividad aplicable.</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 Integrar los expedientes de los asuntos que deban tratarse por la junta y el consejo distrital.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j) Publicar en los estrados de la junta los acuerdos y resoluciones tomados por ésta y por el consejo distrital.</w:t>
      </w:r>
    </w:p>
    <w:p w:rsidR="001D6FE3"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lastRenderedPageBreak/>
        <w:t>k) Coadyuvar con el vocal de capacitación para asegurar la realización puntual y efectiva de las actividades que se deleguen a la Junta con la finalidad de promover la participación ciudadana, así como la difusión de valores e iniciativas de integración política y democrática.</w:t>
      </w:r>
    </w:p>
    <w:p w:rsidR="00B80B61" w:rsidRPr="00CA2D32" w:rsidRDefault="001D6FE3"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l) Las demás que le confiera el Código, este Reglamento, las disposiciones aplicables, así como el Consejo General</w:t>
      </w:r>
      <w:r w:rsidR="00B80B61" w:rsidRPr="00CA2D32">
        <w:rPr>
          <w:rFonts w:ascii="Palatino Linotype" w:eastAsia="Palatino Linotype" w:hAnsi="Palatino Linotype" w:cs="Palatino Linotype"/>
          <w:i/>
          <w:sz w:val="22"/>
        </w:rPr>
        <w:t xml:space="preserve"> </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b/>
          <w:i/>
          <w:sz w:val="22"/>
        </w:rPr>
      </w:pPr>
      <w:r w:rsidRPr="00CA2D32">
        <w:rPr>
          <w:rFonts w:ascii="Palatino Linotype" w:eastAsia="Palatino Linotype" w:hAnsi="Palatino Linotype" w:cs="Palatino Linotype"/>
          <w:b/>
          <w:i/>
          <w:sz w:val="22"/>
        </w:rPr>
        <w:t>III. Vocalía de capacitación:</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a) Coordinar, en caso de delegación, la capacitación de quienes habrán de integrar las mesas directivas de casilla, con base en los lineamientos y contenidos que emita el INE.</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 xml:space="preserve">b) Apoyar a la vocalía de organización electoral en el acompañamiento a los recorridos y visitas de examinación para la ubicación de las casillas electorales, en </w:t>
      </w:r>
      <w:proofErr w:type="spellStart"/>
      <w:r w:rsidRPr="00CA2D32">
        <w:rPr>
          <w:rFonts w:ascii="Palatino Linotype" w:eastAsia="Palatino Linotype" w:hAnsi="Palatino Linotype" w:cs="Palatino Linotype"/>
          <w:i/>
          <w:sz w:val="22"/>
        </w:rPr>
        <w:t>coadyuvancia</w:t>
      </w:r>
      <w:proofErr w:type="spellEnd"/>
      <w:r w:rsidRPr="00CA2D32">
        <w:rPr>
          <w:rFonts w:ascii="Palatino Linotype" w:eastAsia="Palatino Linotype" w:hAnsi="Palatino Linotype" w:cs="Palatino Linotype"/>
          <w:i/>
          <w:sz w:val="22"/>
        </w:rPr>
        <w:t xml:space="preserve"> con el INE.</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c) Coadyuvar en la preparación de la documentación, los procedimientos y las actividades en auxilio a la vocalía de organización.</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d) Coadyuvar en la preparación del informe a la Secretaría Ejecutiva, relacionado con la recepción de solicitudes para fungir como observadoras u observadores electorales e impartir los cursos de capacitación, preparación o información, en coordinación con las vocalías ejecutiva y de organización electoral de acuerdo con los lineamientos que para tal efecto emita el INE.</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e) Auxiliar a la vocalía de organización electoral en la realización del informe mensual de las actividades de la junta, para remitirlo a la Secretaría Ejecutiva a través de la vocalía ejecutiva.</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 xml:space="preserve">f) Coadyuvar con la vocalía de organización electoral en la ejecución, atención y cumplimiento de las solicitudes en materia de transparencia y protección de datos personales; procedimientos sancionadores; medios de impugnación; y del Sistema </w:t>
      </w:r>
      <w:r w:rsidRPr="00CA2D32">
        <w:rPr>
          <w:rFonts w:ascii="Palatino Linotype" w:eastAsia="Palatino Linotype" w:hAnsi="Palatino Linotype" w:cs="Palatino Linotype"/>
          <w:i/>
          <w:sz w:val="22"/>
        </w:rPr>
        <w:lastRenderedPageBreak/>
        <w:t>Institucional de Archivos del IEEM, apoyando a la vocalía de organización electoral en la integración y organización del archivo de la junta, para su posterior remisión al IEEM.</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g) Publicar en los estrados, los acuerdos y resoluciones aprobados por la junta.</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h) Coordinar las actividades que se deleguen a las juntas con la finalidad de promover la participación ciudadana y el voto libre y razonado, así como la difusión de valores e iniciativas de integración política y democrática, con la finalidad de atender las actividades que organiza la DPC.</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i) Instrumentar, dar seguimiento, registrar e informar sobre la implementación de la promoción de la participación ciudadana y del voto libre y razonado, en el marco del proceso electoral, en sus respectivos ámbitos.</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j) Instrumentar, dar seguimiento, registrar e informar sobre la implementación de los proyectos del Programa de Cultura Cívica en el año de que se trate, en sus respectivos ámbitos.</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k) Preparar y enviar a la vocalía de organización electoral su aportación para el informe mensual de las actividades de la junta, para remitirlo a la Secretaría Ejecutiva a través de la vocalía ejecutiva.</w:t>
      </w:r>
    </w:p>
    <w:p w:rsidR="00B80B61"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l) Fungir como persona servidora pública habilitada, por conducto de la persona servidora pública habilitada de la DO, para lo cual, la UT dará capacitación, orientación y acompañamiento permanente.</w:t>
      </w:r>
    </w:p>
    <w:p w:rsidR="001D6FE3" w:rsidRPr="00CA2D32" w:rsidRDefault="00B80B61" w:rsidP="00B80B61">
      <w:pPr>
        <w:spacing w:before="240" w:after="240" w:line="276" w:lineRule="auto"/>
        <w:ind w:left="567" w:right="900"/>
        <w:jc w:val="both"/>
        <w:rPr>
          <w:rFonts w:ascii="Palatino Linotype" w:eastAsia="Palatino Linotype" w:hAnsi="Palatino Linotype" w:cs="Palatino Linotype"/>
          <w:i/>
          <w:sz w:val="22"/>
        </w:rPr>
      </w:pPr>
      <w:r w:rsidRPr="00CA2D32">
        <w:rPr>
          <w:rFonts w:ascii="Palatino Linotype" w:eastAsia="Palatino Linotype" w:hAnsi="Palatino Linotype" w:cs="Palatino Linotype"/>
          <w:i/>
          <w:sz w:val="22"/>
        </w:rPr>
        <w:t>m) Las demás que le confiera el Código, este Reglamento, las disposiciones aplicables, así como el Consejo General.” (Énfasis añadido)</w:t>
      </w:r>
    </w:p>
    <w:p w:rsidR="008215C0" w:rsidRPr="00CA2D32" w:rsidRDefault="00B80B61" w:rsidP="005F6342">
      <w:pPr>
        <w:spacing w:line="360" w:lineRule="auto"/>
        <w:jc w:val="both"/>
        <w:rPr>
          <w:rFonts w:ascii="Palatino Linotype" w:eastAsia="Calibri" w:hAnsi="Palatino Linotype" w:cs="Tahoma"/>
          <w:iCs/>
          <w:szCs w:val="22"/>
          <w:lang w:val="es-MX" w:eastAsia="es-ES_tradnl"/>
        </w:rPr>
      </w:pPr>
      <w:r w:rsidRPr="00CA2D32">
        <w:rPr>
          <w:rFonts w:ascii="Palatino Linotype" w:eastAsia="Calibri" w:hAnsi="Palatino Linotype" w:cs="Tahoma"/>
          <w:iCs/>
          <w:szCs w:val="22"/>
          <w:lang w:val="es-MX" w:eastAsia="es-ES_tradnl"/>
        </w:rPr>
        <w:t xml:space="preserve">De la cita insertada con antelación, no se aprecia que cuente con la facultad de resguardar las invitaciones a las reuniones de las mesas de seguridad pública municipal de los días 05, 12, 19 y 26 de abril, así como generar documentación para </w:t>
      </w:r>
      <w:r w:rsidRPr="00CA2D32">
        <w:rPr>
          <w:rFonts w:ascii="Palatino Linotype" w:eastAsia="Calibri" w:hAnsi="Palatino Linotype" w:cs="Tahoma"/>
          <w:iCs/>
          <w:szCs w:val="22"/>
          <w:lang w:val="es-MX" w:eastAsia="es-ES_tradnl"/>
        </w:rPr>
        <w:lastRenderedPageBreak/>
        <w:t xml:space="preserve">dar seguimiento a circulares; es por ello que se procede a la esquematización de las constancias del expediente electrónico para efecto de determinar si se colmó a cabalidad el derecho de acceso a la información de </w:t>
      </w:r>
      <w:r w:rsidRPr="00CA2D32">
        <w:rPr>
          <w:rFonts w:ascii="Palatino Linotype" w:eastAsia="Calibri" w:hAnsi="Palatino Linotype" w:cs="Tahoma"/>
          <w:b/>
          <w:iCs/>
          <w:szCs w:val="22"/>
          <w:lang w:val="es-MX" w:eastAsia="es-ES_tradnl"/>
        </w:rPr>
        <w:t>la parte Recurrente</w:t>
      </w:r>
      <w:r w:rsidR="008215C0" w:rsidRPr="00CA2D32">
        <w:rPr>
          <w:rFonts w:ascii="Palatino Linotype" w:eastAsia="Calibri" w:hAnsi="Palatino Linotype" w:cs="Tahoma"/>
          <w:iCs/>
          <w:szCs w:val="22"/>
          <w:lang w:val="es-MX" w:eastAsia="es-ES_tradnl"/>
        </w:rPr>
        <w:t>:</w:t>
      </w:r>
    </w:p>
    <w:tbl>
      <w:tblPr>
        <w:tblStyle w:val="Tablaconcuadrcula"/>
        <w:tblW w:w="0" w:type="auto"/>
        <w:tblLook w:val="04A0" w:firstRow="1" w:lastRow="0" w:firstColumn="1" w:lastColumn="0" w:noHBand="0" w:noVBand="1"/>
      </w:tblPr>
      <w:tblGrid>
        <w:gridCol w:w="2264"/>
        <w:gridCol w:w="2188"/>
        <w:gridCol w:w="2188"/>
        <w:gridCol w:w="2188"/>
      </w:tblGrid>
      <w:tr w:rsidR="00CA2D32" w:rsidRPr="00CA2D32" w:rsidTr="00B80B61">
        <w:tc>
          <w:tcPr>
            <w:tcW w:w="2264" w:type="dxa"/>
            <w:shd w:val="clear" w:color="auto" w:fill="DDD9C3" w:themeFill="background2" w:themeFillShade="E6"/>
          </w:tcPr>
          <w:p w:rsidR="00B80B61" w:rsidRPr="00CA2D32" w:rsidRDefault="00B80B61"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20"/>
                <w:szCs w:val="22"/>
                <w:lang w:val="es-MX" w:eastAsia="es-ES_tradnl"/>
              </w:rPr>
              <w:t>Requerimiento de información</w:t>
            </w:r>
          </w:p>
        </w:tc>
        <w:tc>
          <w:tcPr>
            <w:tcW w:w="2188" w:type="dxa"/>
            <w:shd w:val="clear" w:color="auto" w:fill="DDD9C3" w:themeFill="background2" w:themeFillShade="E6"/>
          </w:tcPr>
          <w:p w:rsidR="00B80B61" w:rsidRPr="00CA2D32" w:rsidRDefault="00B80B61"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20"/>
                <w:szCs w:val="22"/>
                <w:lang w:val="es-MX" w:eastAsia="es-ES_tradnl"/>
              </w:rPr>
              <w:t>Respuesta</w:t>
            </w:r>
          </w:p>
          <w:p w:rsidR="008215C0" w:rsidRPr="00CA2D32" w:rsidRDefault="008215C0"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18"/>
                <w:szCs w:val="22"/>
                <w:lang w:val="es-MX" w:eastAsia="es-ES_tradnl"/>
              </w:rPr>
              <w:t>Vocal de Organización de la Junta 27</w:t>
            </w:r>
          </w:p>
        </w:tc>
        <w:tc>
          <w:tcPr>
            <w:tcW w:w="2188" w:type="dxa"/>
            <w:shd w:val="clear" w:color="auto" w:fill="DDD9C3" w:themeFill="background2" w:themeFillShade="E6"/>
          </w:tcPr>
          <w:p w:rsidR="00B80B61" w:rsidRPr="00CA2D32" w:rsidRDefault="00B80B61"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20"/>
                <w:szCs w:val="22"/>
                <w:lang w:val="es-MX" w:eastAsia="es-ES_tradnl"/>
              </w:rPr>
              <w:t>Informe Justificado</w:t>
            </w:r>
          </w:p>
          <w:p w:rsidR="008215C0" w:rsidRPr="00CA2D32" w:rsidRDefault="008215C0"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18"/>
                <w:szCs w:val="22"/>
                <w:lang w:val="es-MX" w:eastAsia="es-ES_tradnl"/>
              </w:rPr>
              <w:t>Vocal de Organización de la Junta 27</w:t>
            </w:r>
          </w:p>
        </w:tc>
        <w:tc>
          <w:tcPr>
            <w:tcW w:w="2188" w:type="dxa"/>
            <w:shd w:val="clear" w:color="auto" w:fill="DDD9C3" w:themeFill="background2" w:themeFillShade="E6"/>
          </w:tcPr>
          <w:p w:rsidR="00B80B61" w:rsidRPr="00CA2D32" w:rsidRDefault="00B80B61" w:rsidP="00B80B61">
            <w:pPr>
              <w:spacing w:line="276" w:lineRule="auto"/>
              <w:jc w:val="center"/>
              <w:rPr>
                <w:rFonts w:ascii="Palatino Linotype" w:eastAsia="Calibri" w:hAnsi="Palatino Linotype" w:cs="Tahoma"/>
                <w:b/>
                <w:iCs/>
                <w:sz w:val="20"/>
                <w:szCs w:val="22"/>
                <w:lang w:val="es-MX" w:eastAsia="es-ES_tradnl"/>
              </w:rPr>
            </w:pPr>
            <w:r w:rsidRPr="00CA2D32">
              <w:rPr>
                <w:rFonts w:ascii="Palatino Linotype" w:eastAsia="Calibri" w:hAnsi="Palatino Linotype" w:cs="Tahoma"/>
                <w:b/>
                <w:iCs/>
                <w:sz w:val="20"/>
                <w:szCs w:val="22"/>
                <w:lang w:val="es-MX" w:eastAsia="es-ES_tradnl"/>
              </w:rPr>
              <w:t>¿El pronunciamiento satisface el requerimiento de información?</w:t>
            </w:r>
          </w:p>
        </w:tc>
      </w:tr>
      <w:tr w:rsidR="00CA2D32" w:rsidRPr="00CA2D32" w:rsidTr="00B80B61">
        <w:tc>
          <w:tcPr>
            <w:tcW w:w="2264" w:type="dxa"/>
          </w:tcPr>
          <w:p w:rsidR="008215C0" w:rsidRPr="00CA2D32" w:rsidRDefault="008215C0" w:rsidP="008215C0">
            <w:pPr>
              <w:spacing w:line="276" w:lineRule="auto"/>
              <w:jc w:val="both"/>
              <w:rPr>
                <w:rFonts w:ascii="Palatino Linotype" w:eastAsia="Calibri" w:hAnsi="Palatino Linotype" w:cs="Tahoma"/>
                <w:iCs/>
                <w:sz w:val="20"/>
                <w:szCs w:val="22"/>
                <w:lang w:val="es-MX" w:eastAsia="es-ES_tradnl"/>
              </w:rPr>
            </w:pPr>
            <w:r w:rsidRPr="00CA2D32">
              <w:rPr>
                <w:rFonts w:ascii="Palatino Linotype" w:eastAsia="Calibri" w:hAnsi="Palatino Linotype" w:cs="Tahoma"/>
                <w:iCs/>
                <w:sz w:val="20"/>
                <w:szCs w:val="22"/>
                <w:lang w:val="es-MX" w:eastAsia="es-ES_tradnl"/>
              </w:rPr>
              <w:t xml:space="preserve">Las invitaciones a las reuniones de las mesas de seguridad pública municipal de los días 05, 12, 19 y 26 de abril. </w:t>
            </w:r>
          </w:p>
        </w:tc>
        <w:tc>
          <w:tcPr>
            <w:tcW w:w="2188" w:type="dxa"/>
            <w:vMerge w:val="restart"/>
          </w:tcPr>
          <w:p w:rsidR="008215C0" w:rsidRPr="00CA2D32" w:rsidRDefault="008215C0" w:rsidP="008215C0">
            <w:pPr>
              <w:spacing w:line="276" w:lineRule="auto"/>
              <w:jc w:val="both"/>
              <w:rPr>
                <w:rFonts w:ascii="Palatino Linotype" w:eastAsia="Calibri" w:hAnsi="Palatino Linotype" w:cs="Tahoma"/>
                <w:iCs/>
                <w:szCs w:val="22"/>
                <w:lang w:val="es-MX" w:eastAsia="es-ES_tradnl"/>
              </w:rPr>
            </w:pPr>
            <w:r w:rsidRPr="00CA2D32">
              <w:rPr>
                <w:rFonts w:ascii="Palatino Linotype" w:eastAsia="Calibri" w:hAnsi="Palatino Linotype" w:cs="Tahoma"/>
                <w:iCs/>
                <w:sz w:val="18"/>
                <w:szCs w:val="22"/>
                <w:lang w:val="es-MX" w:eastAsia="es-ES_tradnl"/>
              </w:rPr>
              <w:t>El Sujeto Obligado por conducto de la Vocal de Organización de la Junta 27, informó que derivado de una búsqueda minuciosa, no obran archivos respecto a dichas solicitudes.</w:t>
            </w:r>
          </w:p>
        </w:tc>
        <w:tc>
          <w:tcPr>
            <w:tcW w:w="2188" w:type="dxa"/>
          </w:tcPr>
          <w:p w:rsidR="008215C0" w:rsidRPr="00CA2D32" w:rsidRDefault="008215C0" w:rsidP="008215C0">
            <w:pPr>
              <w:spacing w:line="276" w:lineRule="auto"/>
              <w:jc w:val="both"/>
              <w:rPr>
                <w:rFonts w:ascii="Palatino Linotype" w:eastAsia="Calibri" w:hAnsi="Palatino Linotype" w:cs="Tahoma"/>
                <w:iCs/>
                <w:szCs w:val="22"/>
                <w:lang w:val="es-MX" w:eastAsia="es-ES_tradnl"/>
              </w:rPr>
            </w:pPr>
            <w:r w:rsidRPr="00CA2D32">
              <w:rPr>
                <w:rFonts w:ascii="Palatino Linotype" w:eastAsia="Calibri" w:hAnsi="Palatino Linotype" w:cs="Tahoma"/>
                <w:iCs/>
                <w:sz w:val="18"/>
                <w:szCs w:val="22"/>
                <w:lang w:val="es-MX" w:eastAsia="es-ES_tradnl"/>
              </w:rPr>
              <w:t xml:space="preserve">“…No obstante, para atender el principio de máxima publicidad, se vuelve a realizar una búsqueda respecto a los documentos solicitados; advirtiendo que </w:t>
            </w:r>
            <w:r w:rsidRPr="00CA2D32">
              <w:rPr>
                <w:rFonts w:ascii="Palatino Linotype" w:eastAsia="Calibri" w:hAnsi="Palatino Linotype" w:cs="Tahoma"/>
                <w:b/>
                <w:iCs/>
                <w:sz w:val="18"/>
                <w:szCs w:val="22"/>
                <w:u w:val="single"/>
                <w:lang w:val="es-MX" w:eastAsia="es-ES_tradnl"/>
              </w:rPr>
              <w:t>no obra constancia documental de lo solicitado, al referirse a invitaciones realizadas sin oficio (de manera económica, vía telefónica), por la autoridad municipal a cargo.</w:t>
            </w:r>
          </w:p>
        </w:tc>
        <w:tc>
          <w:tcPr>
            <w:tcW w:w="2188" w:type="dxa"/>
          </w:tcPr>
          <w:p w:rsidR="008215C0" w:rsidRPr="00CA2D32" w:rsidRDefault="008215C0" w:rsidP="008215C0">
            <w:pPr>
              <w:spacing w:line="360" w:lineRule="auto"/>
              <w:jc w:val="center"/>
              <w:rPr>
                <w:rFonts w:ascii="Palatino Linotype" w:eastAsia="Calibri" w:hAnsi="Palatino Linotype" w:cs="Tahoma"/>
                <w:b/>
                <w:iCs/>
                <w:szCs w:val="22"/>
                <w:lang w:val="es-MX" w:eastAsia="es-ES_tradnl"/>
              </w:rPr>
            </w:pPr>
            <w:r w:rsidRPr="00CA2D32">
              <w:rPr>
                <w:rFonts w:ascii="Palatino Linotype" w:eastAsia="Calibri" w:hAnsi="Palatino Linotype" w:cs="Tahoma"/>
                <w:b/>
                <w:iCs/>
                <w:szCs w:val="22"/>
                <w:lang w:val="es-MX" w:eastAsia="es-ES_tradnl"/>
              </w:rPr>
              <w:t>Sí</w:t>
            </w:r>
          </w:p>
          <w:p w:rsidR="0083093E" w:rsidRPr="00CA2D32" w:rsidRDefault="0083093E" w:rsidP="008215C0">
            <w:pPr>
              <w:spacing w:line="360" w:lineRule="auto"/>
              <w:jc w:val="center"/>
              <w:rPr>
                <w:rFonts w:ascii="Palatino Linotype" w:eastAsia="Calibri" w:hAnsi="Palatino Linotype" w:cs="Tahoma"/>
                <w:b/>
                <w:iCs/>
                <w:szCs w:val="22"/>
                <w:lang w:val="es-MX" w:eastAsia="es-ES_tradnl"/>
              </w:rPr>
            </w:pPr>
          </w:p>
        </w:tc>
      </w:tr>
      <w:tr w:rsidR="00CA2D32" w:rsidRPr="00CA2D32" w:rsidTr="00B80B61">
        <w:tc>
          <w:tcPr>
            <w:tcW w:w="2264" w:type="dxa"/>
          </w:tcPr>
          <w:p w:rsidR="008215C0" w:rsidRPr="00CA2D32" w:rsidRDefault="008215C0" w:rsidP="008215C0">
            <w:pPr>
              <w:spacing w:line="276" w:lineRule="auto"/>
              <w:jc w:val="both"/>
              <w:rPr>
                <w:rFonts w:ascii="Palatino Linotype" w:eastAsia="Calibri" w:hAnsi="Palatino Linotype" w:cs="Tahoma"/>
                <w:iCs/>
                <w:sz w:val="20"/>
                <w:szCs w:val="22"/>
                <w:lang w:val="es-MX" w:eastAsia="es-ES_tradnl"/>
              </w:rPr>
            </w:pPr>
            <w:r w:rsidRPr="00CA2D32">
              <w:rPr>
                <w:rFonts w:ascii="Palatino Linotype" w:eastAsia="Calibri" w:hAnsi="Palatino Linotype" w:cs="Tahoma"/>
                <w:iCs/>
                <w:sz w:val="20"/>
                <w:szCs w:val="22"/>
                <w:lang w:val="es-MX" w:eastAsia="es-ES_tradnl"/>
              </w:rPr>
              <w:t>El seguimiento a las circulares 27 y 28 de la DO</w:t>
            </w:r>
          </w:p>
        </w:tc>
        <w:tc>
          <w:tcPr>
            <w:tcW w:w="2188" w:type="dxa"/>
            <w:vMerge/>
          </w:tcPr>
          <w:p w:rsidR="008215C0" w:rsidRPr="00CA2D32" w:rsidRDefault="008215C0" w:rsidP="005F6342">
            <w:pPr>
              <w:spacing w:line="360" w:lineRule="auto"/>
              <w:jc w:val="both"/>
              <w:rPr>
                <w:rFonts w:ascii="Palatino Linotype" w:eastAsia="Calibri" w:hAnsi="Palatino Linotype" w:cs="Tahoma"/>
                <w:iCs/>
                <w:szCs w:val="22"/>
                <w:lang w:val="es-MX" w:eastAsia="es-ES_tradnl"/>
              </w:rPr>
            </w:pPr>
          </w:p>
        </w:tc>
        <w:tc>
          <w:tcPr>
            <w:tcW w:w="2188" w:type="dxa"/>
          </w:tcPr>
          <w:p w:rsidR="008215C0" w:rsidRPr="00CA2D32" w:rsidRDefault="008215C0" w:rsidP="008215C0">
            <w:pPr>
              <w:spacing w:line="276" w:lineRule="auto"/>
              <w:jc w:val="both"/>
              <w:rPr>
                <w:rFonts w:ascii="Palatino Linotype" w:eastAsia="Calibri" w:hAnsi="Palatino Linotype" w:cs="Tahoma"/>
                <w:iCs/>
                <w:szCs w:val="22"/>
                <w:lang w:val="es-MX" w:eastAsia="es-ES_tradnl"/>
              </w:rPr>
            </w:pPr>
            <w:r w:rsidRPr="00CA2D32">
              <w:rPr>
                <w:rFonts w:ascii="Palatino Linotype" w:eastAsia="Calibri" w:hAnsi="Palatino Linotype" w:cs="Tahoma"/>
                <w:iCs/>
                <w:sz w:val="18"/>
                <w:szCs w:val="22"/>
                <w:lang w:val="es-MX" w:eastAsia="es-ES_tradnl"/>
              </w:rPr>
              <w:t>“</w:t>
            </w:r>
            <w:r w:rsidR="0083093E" w:rsidRPr="00CA2D32">
              <w:rPr>
                <w:rFonts w:ascii="Palatino Linotype" w:eastAsia="Calibri" w:hAnsi="Palatino Linotype" w:cs="Tahoma"/>
                <w:iCs/>
                <w:sz w:val="18"/>
                <w:szCs w:val="22"/>
                <w:lang w:val="es-MX" w:eastAsia="es-ES_tradnl"/>
              </w:rPr>
              <w:t>…</w:t>
            </w:r>
            <w:r w:rsidRPr="00CA2D32">
              <w:rPr>
                <w:rFonts w:ascii="Palatino Linotype" w:eastAsia="Calibri" w:hAnsi="Palatino Linotype" w:cs="Tahoma"/>
                <w:iCs/>
                <w:sz w:val="18"/>
                <w:szCs w:val="22"/>
                <w:lang w:val="es-MX" w:eastAsia="es-ES_tradnl"/>
              </w:rPr>
              <w:t xml:space="preserve">No obstante, para atender el principio de máxima publicidad, se vuelve a realizar una búsqueda respecto a los documentos solicitados; advirtiendo que no obra constancia documental de lo solicitado; toda vez que </w:t>
            </w:r>
            <w:r w:rsidRPr="00CA2D32">
              <w:rPr>
                <w:rFonts w:ascii="Palatino Linotype" w:eastAsia="Calibri" w:hAnsi="Palatino Linotype" w:cs="Tahoma"/>
                <w:b/>
                <w:iCs/>
                <w:sz w:val="18"/>
                <w:szCs w:val="22"/>
                <w:u w:val="single"/>
                <w:lang w:val="es-MX" w:eastAsia="es-ES_tradnl"/>
              </w:rPr>
              <w:t>no existe una fuente obligacional de generar documentos en el que se consigne el seguimiento a circulares</w:t>
            </w:r>
            <w:r w:rsidRPr="00CA2D32">
              <w:rPr>
                <w:rFonts w:ascii="Palatino Linotype" w:eastAsia="Calibri" w:hAnsi="Palatino Linotype" w:cs="Tahoma"/>
                <w:iCs/>
                <w:sz w:val="18"/>
                <w:szCs w:val="22"/>
                <w:lang w:val="es-MX" w:eastAsia="es-ES_tradnl"/>
              </w:rPr>
              <w:t>.”</w:t>
            </w:r>
          </w:p>
        </w:tc>
        <w:tc>
          <w:tcPr>
            <w:tcW w:w="2188" w:type="dxa"/>
          </w:tcPr>
          <w:p w:rsidR="008215C0" w:rsidRPr="00CA2D32" w:rsidRDefault="008215C0" w:rsidP="008215C0">
            <w:pPr>
              <w:spacing w:line="360" w:lineRule="auto"/>
              <w:jc w:val="center"/>
              <w:rPr>
                <w:rFonts w:ascii="Palatino Linotype" w:eastAsia="Calibri" w:hAnsi="Palatino Linotype" w:cs="Tahoma"/>
                <w:b/>
                <w:iCs/>
                <w:szCs w:val="22"/>
                <w:lang w:val="es-MX" w:eastAsia="es-ES_tradnl"/>
              </w:rPr>
            </w:pPr>
            <w:r w:rsidRPr="00CA2D32">
              <w:rPr>
                <w:rFonts w:ascii="Palatino Linotype" w:eastAsia="Calibri" w:hAnsi="Palatino Linotype" w:cs="Tahoma"/>
                <w:b/>
                <w:iCs/>
                <w:szCs w:val="22"/>
                <w:lang w:val="es-MX" w:eastAsia="es-ES_tradnl"/>
              </w:rPr>
              <w:t>Sí</w:t>
            </w:r>
          </w:p>
        </w:tc>
      </w:tr>
    </w:tbl>
    <w:p w:rsidR="0008296B" w:rsidRPr="00CA2D32" w:rsidRDefault="00F747E0" w:rsidP="00F747E0">
      <w:pPr>
        <w:pStyle w:val="NormalWeb"/>
        <w:spacing w:before="240" w:after="240" w:line="360" w:lineRule="auto"/>
        <w:jc w:val="both"/>
        <w:rPr>
          <w:rFonts w:ascii="Palatino Linotype" w:hAnsi="Palatino Linotype"/>
          <w:szCs w:val="22"/>
        </w:rPr>
      </w:pPr>
      <w:r w:rsidRPr="00CA2D32">
        <w:rPr>
          <w:rFonts w:ascii="Palatino Linotype" w:hAnsi="Palatino Linotype"/>
          <w:szCs w:val="22"/>
        </w:rPr>
        <w:lastRenderedPageBreak/>
        <w:t xml:space="preserve">De la tabla previamente insertada se colige que efectivamente la información solicitada no es susceptible de obrar en los archivos del </w:t>
      </w:r>
      <w:r w:rsidRPr="00CA2D32">
        <w:rPr>
          <w:rFonts w:ascii="Palatino Linotype" w:hAnsi="Palatino Linotype"/>
          <w:b/>
          <w:szCs w:val="22"/>
        </w:rPr>
        <w:t>Sujeto Obligado</w:t>
      </w:r>
      <w:r w:rsidRPr="00CA2D32">
        <w:rPr>
          <w:rFonts w:ascii="Palatino Linotype" w:hAnsi="Palatino Linotype"/>
          <w:szCs w:val="22"/>
        </w:rPr>
        <w:t xml:space="preserve">, toda vez que no se advierte fuente obligacional para tal efecto, </w:t>
      </w:r>
      <w:r w:rsidR="0008296B" w:rsidRPr="00CA2D32">
        <w:rPr>
          <w:rFonts w:ascii="Palatino Linotype" w:hAnsi="Palatino Linotype"/>
          <w:szCs w:val="22"/>
        </w:rPr>
        <w:t xml:space="preserve">aunado al hecho de que la Vocal de Organización de la Junta 27, quien funge como servidora pública habilitada, ya refirió que no obra constancia documental de lo solicitado, al referirse a invitaciones realizadas sin oficio (de manera económica, vía telefónica), por la autoridad municipal a cargo, además de que no existe una fuente obligacional de generar documentos en el que se consigne el seguimiento a circulares. </w:t>
      </w:r>
    </w:p>
    <w:p w:rsidR="0008296B" w:rsidRPr="00CA2D32" w:rsidRDefault="0008296B" w:rsidP="0008296B">
      <w:pPr>
        <w:pStyle w:val="NormalWeb"/>
        <w:spacing w:before="240" w:after="240" w:line="360" w:lineRule="auto"/>
        <w:jc w:val="both"/>
        <w:rPr>
          <w:rFonts w:ascii="Palatino Linotype" w:hAnsi="Palatino Linotype"/>
          <w:szCs w:val="22"/>
        </w:rPr>
      </w:pPr>
      <w:r w:rsidRPr="00CA2D32">
        <w:rPr>
          <w:rFonts w:ascii="Palatino Linotype" w:hAnsi="Palatino Linotype"/>
          <w:szCs w:val="22"/>
        </w:rPr>
        <w:t>A mayor abundamiento de lo anteriormente señalado, por cuanto hace a las circulares, resulta importante señalar que una circular se concibe como un documento oficial, cuyo objeto es la difusión institucional de disposiciones legales o administrativas, tales como: procedimientos, instrucciones, comunicados, criterios de operación, y todo aquel asunto que permita a las Dependencias y Entidades conducir su administración bajo un mismo marco de acción</w:t>
      </w:r>
      <w:r w:rsidR="009B7121" w:rsidRPr="00CA2D32">
        <w:rPr>
          <w:rFonts w:ascii="Palatino Linotype" w:hAnsi="Palatino Linotype"/>
          <w:szCs w:val="22"/>
        </w:rPr>
        <w:t xml:space="preserve">, por lo que si bien es cierto, el </w:t>
      </w:r>
      <w:r w:rsidR="009B7121" w:rsidRPr="00CA2D32">
        <w:rPr>
          <w:rFonts w:ascii="Palatino Linotype" w:hAnsi="Palatino Linotype"/>
          <w:b/>
          <w:szCs w:val="22"/>
        </w:rPr>
        <w:t xml:space="preserve">Sujeto Obligado </w:t>
      </w:r>
      <w:r w:rsidR="009B7121" w:rsidRPr="00CA2D32">
        <w:rPr>
          <w:rFonts w:ascii="Palatino Linotype" w:hAnsi="Palatino Linotype"/>
          <w:szCs w:val="22"/>
        </w:rPr>
        <w:t xml:space="preserve">señaló que le da seguimiento a estas documentales, no menos cierto es que su actuar va encaminado a atender dichas disposiciones, no así a generar documentación para otorgar respuesta, pues se insiste que la finalidad de una circular es difundir al interior de la institución. </w:t>
      </w:r>
    </w:p>
    <w:p w:rsidR="00F747E0" w:rsidRPr="00CA2D32" w:rsidRDefault="009B7121" w:rsidP="00F747E0">
      <w:pPr>
        <w:pStyle w:val="NormalWeb"/>
        <w:spacing w:before="240" w:after="240" w:line="360" w:lineRule="auto"/>
        <w:jc w:val="both"/>
        <w:rPr>
          <w:rFonts w:ascii="Palatino Linotype" w:hAnsi="Palatino Linotype"/>
          <w:szCs w:val="22"/>
        </w:rPr>
      </w:pPr>
      <w:r w:rsidRPr="00CA2D32">
        <w:rPr>
          <w:rFonts w:ascii="Palatino Linotype" w:hAnsi="Palatino Linotype"/>
          <w:szCs w:val="22"/>
        </w:rPr>
        <w:t xml:space="preserve">Bajo otro orden de ideas, </w:t>
      </w:r>
      <w:r w:rsidR="00F747E0" w:rsidRPr="00CA2D32">
        <w:rPr>
          <w:rFonts w:ascii="Palatino Linotype" w:hAnsi="Palatino Linotype"/>
          <w:szCs w:val="22"/>
        </w:rPr>
        <w:t xml:space="preserve">debe destacarse que quien se pronunció en respuestas e informe justificado, es la servidora pública habilitada competente de la Junta Distrital número 27, de conformidad con el artículo 8, fracción II inciso f) del Reglamento para Órganos Desconcentrados del Instituto Electoral del Estado de </w:t>
      </w:r>
      <w:r w:rsidR="00F747E0" w:rsidRPr="00CA2D32">
        <w:rPr>
          <w:rFonts w:ascii="Palatino Linotype" w:hAnsi="Palatino Linotype"/>
          <w:szCs w:val="22"/>
        </w:rPr>
        <w:lastRenderedPageBreak/>
        <w:t xml:space="preserve">México; es de precisar que dicha circunstancia se replica en el artículo 23 del Reglamento de Transparencia, Acceso a la Información Pública y Protección de Datos Personales del Instituto Electoral del Estado de México: </w:t>
      </w:r>
    </w:p>
    <w:p w:rsidR="00F747E0" w:rsidRPr="00CA2D32" w:rsidRDefault="00F747E0" w:rsidP="00F747E0">
      <w:pPr>
        <w:pStyle w:val="NormalWeb"/>
        <w:spacing w:before="240" w:beforeAutospacing="0" w:after="240" w:afterAutospacing="0" w:line="276" w:lineRule="auto"/>
        <w:ind w:left="567" w:right="900"/>
        <w:jc w:val="both"/>
        <w:rPr>
          <w:rFonts w:ascii="Palatino Linotype" w:hAnsi="Palatino Linotype"/>
          <w:i/>
          <w:sz w:val="22"/>
          <w:szCs w:val="22"/>
        </w:rPr>
      </w:pPr>
      <w:r w:rsidRPr="00CA2D32">
        <w:rPr>
          <w:rFonts w:ascii="Palatino Linotype" w:hAnsi="Palatino Linotype"/>
          <w:i/>
          <w:sz w:val="22"/>
          <w:szCs w:val="22"/>
        </w:rPr>
        <w:t xml:space="preserve">“Artículo 23. </w:t>
      </w:r>
      <w:r w:rsidRPr="00CA2D32">
        <w:rPr>
          <w:rFonts w:ascii="Palatino Linotype" w:hAnsi="Palatino Linotype"/>
          <w:b/>
          <w:i/>
          <w:sz w:val="22"/>
          <w:szCs w:val="22"/>
        </w:rPr>
        <w:t>En los órganos desconcentrados durante su funcionamiento temporal fungirá como Servidor Público Habilitado, el(la) Vocal de Organización</w:t>
      </w:r>
      <w:r w:rsidRPr="00CA2D32">
        <w:rPr>
          <w:rFonts w:ascii="Palatino Linotype" w:hAnsi="Palatino Linotype"/>
          <w:i/>
          <w:sz w:val="22"/>
          <w:szCs w:val="22"/>
        </w:rPr>
        <w:t>, por conducto de la o el Servidor Público Habilitado de la Dirección de Organización del Instituto, con la salvedad de aquellas que tengan un carácter especializado, que deberán ser atendidas por las áreas del Instituto de acuerdo al tema solicitado.” (Énfasis añadido)</w:t>
      </w:r>
    </w:p>
    <w:p w:rsidR="008215C0" w:rsidRPr="00CA2D32" w:rsidRDefault="008215C0" w:rsidP="008215C0">
      <w:pPr>
        <w:pStyle w:val="NormalWeb"/>
        <w:spacing w:before="240" w:beforeAutospacing="0" w:after="240" w:afterAutospacing="0" w:line="360" w:lineRule="auto"/>
        <w:jc w:val="both"/>
        <w:rPr>
          <w:sz w:val="28"/>
        </w:rPr>
      </w:pPr>
      <w:r w:rsidRPr="00CA2D32">
        <w:rPr>
          <w:rFonts w:ascii="Palatino Linotype" w:hAnsi="Palatino Linotype"/>
          <w:szCs w:val="22"/>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sidRPr="00CA2D32">
        <w:rPr>
          <w:rFonts w:ascii="Palatino Linotype" w:hAnsi="Palatino Linotype"/>
          <w:b/>
          <w:bCs/>
          <w:szCs w:val="22"/>
        </w:rPr>
        <w:t>Sujeto Obligado</w:t>
      </w:r>
      <w:r w:rsidRPr="00CA2D32">
        <w:rPr>
          <w:rFonts w:ascii="Palatino Linotype" w:hAnsi="Palatino Linotype"/>
          <w:szCs w:val="22"/>
        </w:rPr>
        <w:t>, ya que no puede probarse por ser lógica y materialmente imposible.</w:t>
      </w:r>
    </w:p>
    <w:p w:rsidR="008215C0" w:rsidRPr="00CA2D32" w:rsidRDefault="008215C0" w:rsidP="008215C0">
      <w:pPr>
        <w:pStyle w:val="NormalWeb"/>
        <w:spacing w:before="240" w:beforeAutospacing="0" w:after="240" w:afterAutospacing="0" w:line="360" w:lineRule="auto"/>
        <w:jc w:val="both"/>
        <w:rPr>
          <w:sz w:val="28"/>
        </w:rPr>
      </w:pPr>
      <w:r w:rsidRPr="00CA2D32">
        <w:rPr>
          <w:rFonts w:ascii="Palatino Linotype" w:hAnsi="Palatino Linotype"/>
          <w:szCs w:val="22"/>
        </w:rPr>
        <w:t>Asimismo, no se trata de un caso por el cual la negación del hecho implique la afirmación del mismo, simplemente se está ante una notoria y evidente inexistencia fáctica de la información solicitada.</w:t>
      </w:r>
    </w:p>
    <w:p w:rsidR="008215C0" w:rsidRPr="00CA2D32" w:rsidRDefault="008215C0" w:rsidP="008215C0">
      <w:pPr>
        <w:pStyle w:val="NormalWeb"/>
        <w:spacing w:before="240" w:beforeAutospacing="0" w:after="240" w:afterAutospacing="0" w:line="360" w:lineRule="auto"/>
        <w:jc w:val="both"/>
        <w:rPr>
          <w:sz w:val="28"/>
        </w:rPr>
      </w:pPr>
      <w:r w:rsidRPr="00CA2D32">
        <w:rPr>
          <w:rFonts w:ascii="Palatino Linotype" w:hAnsi="Palatino Linotype"/>
          <w:szCs w:val="22"/>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w:t>
      </w:r>
      <w:r w:rsidRPr="00CA2D32">
        <w:rPr>
          <w:rFonts w:ascii="Palatino Linotype" w:hAnsi="Palatino Linotype"/>
          <w:szCs w:val="22"/>
        </w:rPr>
        <w:lastRenderedPageBreak/>
        <w:t>de México y Municipios, y ante una hecho negativo resulta aplicable la siguiente tesis:</w:t>
      </w:r>
    </w:p>
    <w:p w:rsidR="008215C0" w:rsidRPr="00CA2D32" w:rsidRDefault="008215C0" w:rsidP="008215C0">
      <w:pPr>
        <w:pStyle w:val="NormalWeb"/>
        <w:spacing w:before="0" w:beforeAutospacing="0" w:after="0" w:afterAutospacing="0"/>
        <w:ind w:left="860" w:right="560"/>
        <w:jc w:val="both"/>
      </w:pPr>
      <w:r w:rsidRPr="00CA2D32">
        <w:rPr>
          <w:rFonts w:ascii="Palatino Linotype" w:hAnsi="Palatino Linotype"/>
          <w:b/>
          <w:bCs/>
          <w:i/>
          <w:iCs/>
          <w:sz w:val="22"/>
          <w:szCs w:val="22"/>
        </w:rPr>
        <w:t>HECHOS NEGATIVOS, NO SON SUSCEPTIBLES DE DEMOSTRACIÓN.</w:t>
      </w:r>
    </w:p>
    <w:p w:rsidR="008215C0" w:rsidRPr="00CA2D32" w:rsidRDefault="008215C0" w:rsidP="008215C0">
      <w:pPr>
        <w:pStyle w:val="NormalWeb"/>
        <w:spacing w:before="0" w:beforeAutospacing="0" w:after="0" w:afterAutospacing="0"/>
        <w:ind w:left="860" w:right="560"/>
        <w:jc w:val="both"/>
      </w:pPr>
      <w:r w:rsidRPr="00CA2D32">
        <w:rPr>
          <w:rFonts w:ascii="Palatino Linotype" w:hAnsi="Palatino Linotype"/>
          <w:i/>
          <w:iCs/>
          <w:sz w:val="22"/>
          <w:szCs w:val="22"/>
        </w:rPr>
        <w:t xml:space="preserve">Tratándose de un hecho negativo, el Juez no tiene </w:t>
      </w:r>
      <w:proofErr w:type="spellStart"/>
      <w:r w:rsidRPr="00CA2D32">
        <w:rPr>
          <w:rFonts w:ascii="Palatino Linotype" w:hAnsi="Palatino Linotype"/>
          <w:i/>
          <w:iCs/>
          <w:sz w:val="22"/>
          <w:szCs w:val="22"/>
        </w:rPr>
        <w:t>por que</w:t>
      </w:r>
      <w:proofErr w:type="spellEnd"/>
      <w:r w:rsidRPr="00CA2D32">
        <w:rPr>
          <w:rFonts w:ascii="Palatino Linotype" w:hAnsi="Palatino Linotype"/>
          <w:i/>
          <w:iCs/>
          <w:sz w:val="22"/>
          <w:szCs w:val="22"/>
        </w:rPr>
        <w:t xml:space="preserve"> invocar prueba alguna de la que se desprenda, ya que es bien sabido que esta clase de hechos no son susceptibles de demostración.</w:t>
      </w:r>
    </w:p>
    <w:p w:rsidR="008215C0" w:rsidRPr="00CA2D32" w:rsidRDefault="008215C0" w:rsidP="008215C0">
      <w:pPr>
        <w:pStyle w:val="NormalWeb"/>
        <w:spacing w:before="0" w:beforeAutospacing="0" w:after="0" w:afterAutospacing="0"/>
        <w:ind w:left="860" w:right="560"/>
        <w:jc w:val="both"/>
      </w:pPr>
      <w:r w:rsidRPr="00CA2D32">
        <w:rPr>
          <w:rFonts w:ascii="Palatino Linotype" w:hAnsi="Palatino Linotype"/>
          <w:i/>
          <w:iCs/>
          <w:sz w:val="22"/>
          <w:szCs w:val="22"/>
        </w:rPr>
        <w:t>Amparo en revisión 2022/61. José García Florín (Menor). 9 de octubre de 1961. Cinco votos. Ponente: José Rivera Pérez Campos.”</w:t>
      </w:r>
    </w:p>
    <w:p w:rsidR="00F747E0" w:rsidRPr="00CA2D32" w:rsidRDefault="008215C0" w:rsidP="008215C0">
      <w:pPr>
        <w:pStyle w:val="NormalWeb"/>
        <w:spacing w:before="240" w:beforeAutospacing="0" w:after="240" w:afterAutospacing="0" w:line="360" w:lineRule="auto"/>
        <w:jc w:val="both"/>
        <w:rPr>
          <w:rFonts w:ascii="Palatino Linotype" w:hAnsi="Palatino Linotype"/>
          <w:szCs w:val="22"/>
        </w:rPr>
      </w:pPr>
      <w:r w:rsidRPr="00CA2D32">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Pr="00CA2D32">
        <w:rPr>
          <w:rFonts w:ascii="Palatino Linotype" w:hAnsi="Palatino Linotype"/>
          <w:b/>
          <w:bCs/>
          <w:szCs w:val="22"/>
        </w:rPr>
        <w:t>Sujeto Obligado</w:t>
      </w:r>
      <w:r w:rsidRPr="00CA2D32">
        <w:rPr>
          <w:rFonts w:ascii="Palatino Linotype" w:hAnsi="Palatino Linotype"/>
          <w:szCs w:val="22"/>
        </w:rPr>
        <w:t xml:space="preserve"> sólo proporcionará la información que obra en sus archivos, lo que a</w:t>
      </w:r>
      <w:r w:rsidRPr="00CA2D32">
        <w:rPr>
          <w:rFonts w:ascii="Palatino Linotype" w:hAnsi="Palatino Linotype"/>
          <w:i/>
          <w:iCs/>
          <w:szCs w:val="22"/>
        </w:rPr>
        <w:t xml:space="preserve"> contrario sensu</w:t>
      </w:r>
      <w:r w:rsidRPr="00CA2D32">
        <w:rPr>
          <w:rFonts w:ascii="Palatino Linotype" w:hAnsi="Palatino Linotype"/>
          <w:szCs w:val="22"/>
        </w:rPr>
        <w:t xml:space="preserve"> significa que no se está obligado a proporcionar </w:t>
      </w:r>
      <w:r w:rsidR="00F747E0" w:rsidRPr="00CA2D32">
        <w:rPr>
          <w:rFonts w:ascii="Palatino Linotype" w:hAnsi="Palatino Linotype"/>
          <w:szCs w:val="22"/>
        </w:rPr>
        <w:t>lo que no obre en sus archivos.</w:t>
      </w:r>
    </w:p>
    <w:p w:rsidR="00643A36" w:rsidRPr="00CA2D32" w:rsidRDefault="00643A36" w:rsidP="008215C0">
      <w:pPr>
        <w:pStyle w:val="NormalWeb"/>
        <w:spacing w:before="240" w:beforeAutospacing="0" w:after="240" w:afterAutospacing="0" w:line="360" w:lineRule="auto"/>
        <w:jc w:val="both"/>
        <w:rPr>
          <w:rFonts w:ascii="Palatino Linotype" w:hAnsi="Palatino Linotype"/>
          <w:szCs w:val="22"/>
        </w:rPr>
      </w:pPr>
      <w:r w:rsidRPr="00CA2D32">
        <w:rPr>
          <w:rFonts w:ascii="Palatino Linotype" w:hAnsi="Palatino Linotype"/>
          <w:szCs w:val="22"/>
        </w:rPr>
        <w:t xml:space="preserve">Ahora bien, no escapa de la óptica de este Instituto que </w:t>
      </w:r>
      <w:r w:rsidRPr="00CA2D32">
        <w:rPr>
          <w:rFonts w:ascii="Palatino Linotype" w:hAnsi="Palatino Linotype"/>
          <w:b/>
          <w:szCs w:val="22"/>
        </w:rPr>
        <w:t>la parte Recurrente</w:t>
      </w:r>
      <w:r w:rsidRPr="00CA2D32">
        <w:rPr>
          <w:rFonts w:ascii="Palatino Linotype" w:hAnsi="Palatino Linotype"/>
          <w:szCs w:val="22"/>
        </w:rPr>
        <w:t xml:space="preserve"> en sus escritos </w:t>
      </w:r>
      <w:proofErr w:type="spellStart"/>
      <w:r w:rsidRPr="00CA2D32">
        <w:rPr>
          <w:rFonts w:ascii="Palatino Linotype" w:hAnsi="Palatino Linotype"/>
          <w:szCs w:val="22"/>
        </w:rPr>
        <w:t>recursales</w:t>
      </w:r>
      <w:proofErr w:type="spellEnd"/>
      <w:r w:rsidRPr="00CA2D32">
        <w:rPr>
          <w:rFonts w:ascii="Palatino Linotype" w:hAnsi="Palatino Linotype"/>
          <w:szCs w:val="22"/>
        </w:rPr>
        <w:t xml:space="preserve">, señala que debe declararse la inexistencia, sin embargo, de conformidad con el criterio SO/007/2017, emitido por el Instituto Nacional de Transparencia, Acceso a la Información y Protección de Datos Personales, los supuestos que acontecen en los recursos de revisión que nos ocupan, señalan que cuando no se tengan elementos de convicción para suponer que esta información obra en sus archivos, no es procedente declarar la inexistencia de la información, sirve de mayor referencia la siguiente cita: </w:t>
      </w:r>
    </w:p>
    <w:p w:rsidR="00643A36" w:rsidRPr="00CA2D32" w:rsidRDefault="00643A36" w:rsidP="00643A36">
      <w:pPr>
        <w:pStyle w:val="NormalWeb"/>
        <w:spacing w:before="240" w:beforeAutospacing="0" w:after="240" w:afterAutospacing="0" w:line="276" w:lineRule="auto"/>
        <w:ind w:left="567" w:right="900"/>
        <w:jc w:val="both"/>
        <w:rPr>
          <w:rFonts w:ascii="Palatino Linotype" w:hAnsi="Palatino Linotype"/>
          <w:i/>
          <w:sz w:val="22"/>
          <w:szCs w:val="22"/>
        </w:rPr>
      </w:pPr>
      <w:r w:rsidRPr="00CA2D32">
        <w:rPr>
          <w:rFonts w:ascii="Palatino Linotype" w:hAnsi="Palatino Linotype"/>
          <w:i/>
          <w:sz w:val="22"/>
          <w:szCs w:val="22"/>
        </w:rPr>
        <w:t>“</w:t>
      </w:r>
      <w:r w:rsidRPr="00CA2D32">
        <w:rPr>
          <w:rFonts w:ascii="Palatino Linotype" w:hAnsi="Palatino Linotype"/>
          <w:b/>
          <w:i/>
          <w:sz w:val="22"/>
          <w:szCs w:val="22"/>
        </w:rPr>
        <w:t>Casos en los que no es necesario que el Comité de Transparencia confirme formalmente la inexistencia de la información</w:t>
      </w:r>
      <w:r w:rsidRPr="00CA2D32">
        <w:rPr>
          <w:rFonts w:ascii="Palatino Linotype" w:hAnsi="Palatino Linotype"/>
          <w:i/>
          <w:sz w:val="22"/>
          <w:szCs w:val="22"/>
        </w:rPr>
        <w:t xml:space="preserve">. La Ley General de Transparencia y Acceso a la Información Pública y la Ley Federal de Transparencia </w:t>
      </w:r>
      <w:r w:rsidRPr="00CA2D32">
        <w:rPr>
          <w:rFonts w:ascii="Palatino Linotype" w:hAnsi="Palatino Linotype"/>
          <w:i/>
          <w:sz w:val="22"/>
          <w:szCs w:val="22"/>
        </w:rPr>
        <w:lastRenderedPageBreak/>
        <w:t>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rsidR="008215C0" w:rsidRPr="00CA2D32" w:rsidRDefault="00F747E0" w:rsidP="008215C0">
      <w:pPr>
        <w:pStyle w:val="NormalWeb"/>
        <w:spacing w:before="240" w:beforeAutospacing="0" w:after="240" w:afterAutospacing="0" w:line="360" w:lineRule="auto"/>
        <w:jc w:val="both"/>
        <w:rPr>
          <w:sz w:val="28"/>
        </w:rPr>
      </w:pPr>
      <w:r w:rsidRPr="00CA2D32">
        <w:rPr>
          <w:rFonts w:ascii="Palatino Linotype" w:hAnsi="Palatino Linotype"/>
          <w:szCs w:val="22"/>
        </w:rPr>
        <w:t>Asimismo</w:t>
      </w:r>
      <w:r w:rsidR="008215C0" w:rsidRPr="00CA2D32">
        <w:rPr>
          <w:rFonts w:ascii="Palatino Linotype" w:hAnsi="Palatino Linotype"/>
          <w:szCs w:val="22"/>
        </w:rPr>
        <w:t xml:space="preserve">, al haber existido un pronunciamiento por parte del </w:t>
      </w:r>
      <w:r w:rsidR="008215C0" w:rsidRPr="00CA2D32">
        <w:rPr>
          <w:rFonts w:ascii="Palatino Linotype" w:hAnsi="Palatino Linotype"/>
          <w:b/>
          <w:bCs/>
          <w:szCs w:val="22"/>
        </w:rPr>
        <w:t>Sujeto Obligado</w:t>
      </w:r>
      <w:r w:rsidR="008215C0" w:rsidRPr="00CA2D32">
        <w:rPr>
          <w:rFonts w:ascii="Palatino Linotype" w:hAnsi="Palatino Linotype"/>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rsidR="008215C0" w:rsidRPr="00CA2D32" w:rsidRDefault="008215C0" w:rsidP="008215C0">
      <w:pPr>
        <w:pStyle w:val="NormalWeb"/>
        <w:spacing w:before="0" w:beforeAutospacing="0" w:after="0" w:afterAutospacing="0"/>
        <w:ind w:left="860" w:right="560"/>
        <w:jc w:val="both"/>
      </w:pPr>
      <w:r w:rsidRPr="00CA2D32">
        <w:rPr>
          <w:rFonts w:ascii="Palatino Linotype" w:hAnsi="Palatino Linotype"/>
          <w:i/>
          <w:iCs/>
          <w:sz w:val="22"/>
          <w:szCs w:val="22"/>
        </w:rPr>
        <w:t>“</w:t>
      </w:r>
      <w:r w:rsidRPr="00CA2D32">
        <w:rPr>
          <w:rFonts w:ascii="Palatino Linotype" w:hAnsi="Palatino Linotype"/>
          <w:b/>
          <w:i/>
          <w:iCs/>
          <w:sz w:val="22"/>
          <w:szCs w:val="22"/>
        </w:rPr>
        <w:t>El Instituto Federal de Acceso a la Información y Protección de Datos no cuenta con facultades para pronunciarse respecto de la veracidad de los documentos proporcionados por los sujetos obligados</w:t>
      </w:r>
      <w:r w:rsidRPr="00CA2D32">
        <w:rPr>
          <w:rFonts w:ascii="Palatino Linotype" w:hAnsi="Palatino Linotype"/>
          <w:i/>
          <w:iCs/>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CA2D32">
        <w:rPr>
          <w:rFonts w:ascii="Palatino Linotype" w:hAnsi="Palatino Linotype"/>
          <w:i/>
          <w:iCs/>
          <w:sz w:val="22"/>
          <w:szCs w:val="22"/>
        </w:rPr>
        <w:lastRenderedPageBreak/>
        <w:t>causal que permita al Instituto Federal de Acceso a la Información y Protección de Datos conocer, vía recurso revisión, al respecto.”</w:t>
      </w:r>
    </w:p>
    <w:p w:rsidR="008215C0" w:rsidRPr="00CA2D32" w:rsidRDefault="008215C0" w:rsidP="005F6342">
      <w:pPr>
        <w:spacing w:line="360" w:lineRule="auto"/>
        <w:jc w:val="both"/>
        <w:rPr>
          <w:rFonts w:ascii="Palatino Linotype" w:eastAsia="Calibri" w:hAnsi="Palatino Linotype" w:cs="Tahoma"/>
          <w:iCs/>
          <w:szCs w:val="22"/>
          <w:lang w:val="es-MX" w:eastAsia="es-ES_tradnl"/>
        </w:rPr>
      </w:pPr>
    </w:p>
    <w:p w:rsidR="008215C0" w:rsidRPr="00CA2D32" w:rsidRDefault="008215C0" w:rsidP="008215C0">
      <w:pPr>
        <w:spacing w:line="360" w:lineRule="auto"/>
        <w:jc w:val="both"/>
        <w:rPr>
          <w:rFonts w:ascii="Palatino Linotype" w:eastAsia="Palatino Linotype" w:hAnsi="Palatino Linotype" w:cs="Palatino Linotype"/>
          <w:lang w:eastAsia="es-ES"/>
        </w:rPr>
      </w:pPr>
      <w:r w:rsidRPr="00CA2D32">
        <w:rPr>
          <w:rFonts w:ascii="Palatino Linotype" w:eastAsia="Palatino Linotype" w:hAnsi="Palatino Linotype" w:cs="Palatino Linotype"/>
        </w:rPr>
        <w:t xml:space="preserve">Por lo que en el caso concreto, es evidente que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modificó su respuesta, ya que, mediante el informe justificado </w:t>
      </w:r>
      <w:r w:rsidR="00F747E0" w:rsidRPr="00CA2D32">
        <w:rPr>
          <w:rFonts w:ascii="Palatino Linotype" w:eastAsia="Palatino Linotype" w:hAnsi="Palatino Linotype" w:cs="Palatino Linotype"/>
        </w:rPr>
        <w:t>precisó las razones por las que no cuenta con la información, esto en virtud de que no se cuenta con fuente obligacional para generar la información solicitada.</w:t>
      </w:r>
    </w:p>
    <w:p w:rsidR="008215C0" w:rsidRPr="00CA2D32" w:rsidRDefault="008215C0" w:rsidP="008215C0">
      <w:pPr>
        <w:spacing w:line="360" w:lineRule="auto"/>
        <w:ind w:right="49"/>
        <w:jc w:val="both"/>
        <w:rPr>
          <w:rFonts w:ascii="Palatino Linotype" w:eastAsia="Palatino Linotype" w:hAnsi="Palatino Linotype" w:cs="Palatino Linotype"/>
        </w:rPr>
      </w:pPr>
    </w:p>
    <w:p w:rsidR="008215C0" w:rsidRPr="00CA2D32" w:rsidRDefault="008215C0" w:rsidP="008215C0">
      <w:pPr>
        <w:spacing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8215C0" w:rsidRPr="00CA2D32" w:rsidRDefault="008215C0" w:rsidP="008215C0">
      <w:pPr>
        <w:spacing w:line="360" w:lineRule="auto"/>
        <w:jc w:val="both"/>
        <w:rPr>
          <w:rFonts w:ascii="Palatino Linotype" w:eastAsia="Palatino Linotype" w:hAnsi="Palatino Linotype" w:cs="Palatino Linotype"/>
        </w:rPr>
      </w:pPr>
    </w:p>
    <w:p w:rsidR="008215C0" w:rsidRPr="00CA2D32" w:rsidRDefault="008215C0" w:rsidP="00F747E0">
      <w:pPr>
        <w:ind w:left="567" w:right="900"/>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b/>
          <w:i/>
          <w:sz w:val="22"/>
          <w:szCs w:val="22"/>
        </w:rPr>
        <w:t xml:space="preserve">“Artículo 192. </w:t>
      </w:r>
      <w:r w:rsidRPr="00CA2D32">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8215C0" w:rsidRPr="00CA2D32" w:rsidRDefault="008215C0" w:rsidP="00F747E0">
      <w:pPr>
        <w:ind w:left="567" w:right="900"/>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b/>
          <w:i/>
          <w:sz w:val="22"/>
          <w:szCs w:val="22"/>
        </w:rPr>
        <w:t>…</w:t>
      </w:r>
    </w:p>
    <w:p w:rsidR="008215C0" w:rsidRPr="00CA2D32" w:rsidRDefault="008215C0" w:rsidP="00F747E0">
      <w:pPr>
        <w:ind w:left="567" w:right="900"/>
        <w:jc w:val="both"/>
        <w:rPr>
          <w:rFonts w:ascii="Palatino Linotype" w:eastAsia="Palatino Linotype" w:hAnsi="Palatino Linotype" w:cs="Palatino Linotype"/>
          <w:b/>
          <w:i/>
          <w:sz w:val="22"/>
          <w:szCs w:val="22"/>
        </w:rPr>
      </w:pPr>
      <w:r w:rsidRPr="00CA2D32">
        <w:rPr>
          <w:rFonts w:ascii="Palatino Linotype" w:eastAsia="Palatino Linotype" w:hAnsi="Palatino Linotype" w:cs="Palatino Linotype"/>
          <w:b/>
          <w:i/>
          <w:sz w:val="22"/>
          <w:szCs w:val="22"/>
        </w:rPr>
        <w:t>III. El sujeto obligado responsable del acto lo modifique o revoque de tal manera que el recurso de re</w:t>
      </w:r>
      <w:r w:rsidR="00F747E0" w:rsidRPr="00CA2D32">
        <w:rPr>
          <w:rFonts w:ascii="Palatino Linotype" w:eastAsia="Palatino Linotype" w:hAnsi="Palatino Linotype" w:cs="Palatino Linotype"/>
          <w:b/>
          <w:i/>
          <w:sz w:val="22"/>
          <w:szCs w:val="22"/>
        </w:rPr>
        <w:t>visión quede sin materia…”. (Énfasis añadido</w:t>
      </w:r>
      <w:r w:rsidRPr="00CA2D32">
        <w:rPr>
          <w:rFonts w:ascii="Palatino Linotype" w:eastAsia="Palatino Linotype" w:hAnsi="Palatino Linotype" w:cs="Palatino Linotype"/>
          <w:b/>
          <w:i/>
          <w:sz w:val="22"/>
          <w:szCs w:val="22"/>
        </w:rPr>
        <w:t>)</w:t>
      </w:r>
    </w:p>
    <w:p w:rsidR="008215C0" w:rsidRPr="00CA2D32" w:rsidRDefault="008215C0" w:rsidP="008215C0">
      <w:pPr>
        <w:spacing w:line="360" w:lineRule="auto"/>
        <w:jc w:val="both"/>
        <w:rPr>
          <w:rFonts w:ascii="Palatino Linotype" w:eastAsia="Palatino Linotype" w:hAnsi="Palatino Linotype" w:cs="Palatino Linotype"/>
          <w:b/>
          <w:i/>
        </w:rPr>
      </w:pPr>
    </w:p>
    <w:p w:rsidR="008215C0" w:rsidRPr="00CA2D32" w:rsidRDefault="008215C0" w:rsidP="008215C0">
      <w:pPr>
        <w:spacing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De lo establecido en el precepto legal citado se advierte que el sobreseimiento del recurso de revisión procede en los siguientes casos:</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a) Cuando el sujeto obligado modifique el acto impugnado.</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b) Cuando el sujeto obligado revoque el acto impugnado.</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Quedando en ambos casos el acto combatido sin materia o sin efectos.</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 xml:space="preserve">Como se observa de lo anterior, un acto impugnado es modificado en aquellos casos en los que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CA2D32">
        <w:rPr>
          <w:rFonts w:ascii="Palatino Linotype" w:eastAsia="Palatino Linotype" w:hAnsi="Palatino Linotype" w:cs="Palatino Linotype"/>
          <w:b/>
        </w:rPr>
        <w:t>Recurrente</w:t>
      </w:r>
      <w:r w:rsidRPr="00CA2D32">
        <w:rPr>
          <w:rFonts w:ascii="Palatino Linotype" w:eastAsia="Palatino Linotype" w:hAnsi="Palatino Linotype" w:cs="Palatino Linotype"/>
        </w:rPr>
        <w:t>.</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Por lo que hace a la revocación, esta se actualiza cuando el </w:t>
      </w:r>
      <w:r w:rsidRPr="00CA2D32">
        <w:rPr>
          <w:rFonts w:ascii="Palatino Linotype" w:eastAsia="Palatino Linotype" w:hAnsi="Palatino Linotype" w:cs="Palatino Linotype"/>
          <w:b/>
        </w:rPr>
        <w:t xml:space="preserve">Sujeto Obligado </w:t>
      </w:r>
      <w:r w:rsidRPr="00CA2D32">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3C284D" w:rsidRPr="00CA2D32" w:rsidRDefault="008215C0" w:rsidP="008215C0">
      <w:pPr>
        <w:spacing w:before="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F747E0" w:rsidRPr="00CA2D32" w:rsidRDefault="003C284D" w:rsidP="008215C0">
      <w:pPr>
        <w:spacing w:before="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 </w:t>
      </w:r>
    </w:p>
    <w:p w:rsidR="008215C0" w:rsidRPr="00CA2D32" w:rsidRDefault="008215C0" w:rsidP="008215C0">
      <w:pPr>
        <w:spacing w:line="360" w:lineRule="auto"/>
        <w:jc w:val="both"/>
        <w:rPr>
          <w:rFonts w:ascii="Palatino Linotype" w:eastAsia="Palatino Linotype" w:hAnsi="Palatino Linotype" w:cs="Palatino Linotype"/>
          <w:b/>
          <w:lang w:eastAsia="es-ES"/>
        </w:rPr>
      </w:pPr>
      <w:r w:rsidRPr="00CA2D32">
        <w:rPr>
          <w:rFonts w:ascii="Palatino Linotype" w:eastAsia="Palatino Linotype" w:hAnsi="Palatino Linotype" w:cs="Palatino Linotype"/>
        </w:rPr>
        <w:t xml:space="preserve">En tanto, en el presente caso queda sin materia, toda vez que con el Informe Justificado,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modificó la respuesta </w:t>
      </w:r>
      <w:r w:rsidRPr="00CA2D32">
        <w:rPr>
          <w:rFonts w:ascii="Palatino Linotype" w:eastAsia="Palatino Linotype" w:hAnsi="Palatino Linotype" w:cs="Palatino Linotype"/>
          <w:b/>
        </w:rPr>
        <w:t>al</w:t>
      </w:r>
      <w:r w:rsidR="00821619" w:rsidRPr="00CA2D32">
        <w:rPr>
          <w:rFonts w:ascii="Palatino Linotype" w:eastAsia="Palatino Linotype" w:hAnsi="Palatino Linotype" w:cs="Palatino Linotype"/>
          <w:b/>
        </w:rPr>
        <w:t xml:space="preserve"> modificar la respuesta proporcionada inicialmente</w:t>
      </w:r>
      <w:r w:rsidRPr="00CA2D32">
        <w:rPr>
          <w:rFonts w:ascii="Palatino Linotype" w:eastAsia="Palatino Linotype" w:hAnsi="Palatino Linotype" w:cs="Palatino Linotype"/>
          <w:b/>
        </w:rPr>
        <w:t xml:space="preserve">, </w:t>
      </w:r>
      <w:r w:rsidRPr="00CA2D32">
        <w:rPr>
          <w:rFonts w:ascii="Palatino Linotype" w:eastAsia="Palatino Linotype" w:hAnsi="Palatino Linotype" w:cs="Palatino Linotype"/>
        </w:rPr>
        <w:t xml:space="preserve">por lo que tomando en consideración dicha circunstancia, así como el hecho de que la información proporcionada por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fue puesta a la vista de </w:t>
      </w:r>
      <w:r w:rsidRPr="00CA2D32">
        <w:rPr>
          <w:rFonts w:ascii="Palatino Linotype" w:eastAsia="Palatino Linotype" w:hAnsi="Palatino Linotype" w:cs="Palatino Linotype"/>
          <w:b/>
        </w:rPr>
        <w:t xml:space="preserve">la parte Recurrente </w:t>
      </w:r>
      <w:r w:rsidRPr="00CA2D32">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valer, debe entenderse que ha quedado satisfecha la solicitud planteada, quedando sin materia el presente recurso de </w:t>
      </w:r>
      <w:r w:rsidRPr="00CA2D32">
        <w:rPr>
          <w:rFonts w:ascii="Palatino Linotype" w:eastAsia="Palatino Linotype" w:hAnsi="Palatino Linotype" w:cs="Palatino Linotype"/>
        </w:rPr>
        <w:lastRenderedPageBreak/>
        <w:t>revisión, consecuentemente se actualiza la causal prevista en la fracción III del artículo 192 de la Ley de la Materia vigente en la Entidad, antes transcrita.</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En resumen, 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dio respuesta completa a la solicitud de acceso a la información pública del ahora </w:t>
      </w:r>
      <w:r w:rsidRPr="00CA2D32">
        <w:rPr>
          <w:rFonts w:ascii="Palatino Linotype" w:eastAsia="Palatino Linotype" w:hAnsi="Palatino Linotype" w:cs="Palatino Linotype"/>
          <w:b/>
        </w:rPr>
        <w:t>Recurrente</w:t>
      </w:r>
      <w:r w:rsidRPr="00CA2D32">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8215C0" w:rsidRPr="00CA2D32" w:rsidRDefault="008215C0" w:rsidP="008215C0">
      <w:pPr>
        <w:spacing w:before="240"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t xml:space="preserve">Siendo el </w:t>
      </w:r>
      <w:r w:rsidRPr="00CA2D32">
        <w:rPr>
          <w:rFonts w:ascii="Palatino Linotype" w:eastAsia="Palatino Linotype" w:hAnsi="Palatino Linotype" w:cs="Palatino Linotype"/>
          <w:i/>
        </w:rPr>
        <w:t>sobreseimiento</w:t>
      </w:r>
      <w:r w:rsidRPr="00CA2D3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w:t>
      </w:r>
      <w:r w:rsidRPr="00CA2D32">
        <w:rPr>
          <w:rFonts w:ascii="Palatino Linotype" w:eastAsia="Palatino Linotype" w:hAnsi="Palatino Linotype" w:cs="Palatino Linotype"/>
          <w:b/>
        </w:rPr>
        <w:t>Recurrente</w:t>
      </w:r>
      <w:r w:rsidRPr="00CA2D32">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8215C0" w:rsidRPr="00CA2D32" w:rsidRDefault="008215C0" w:rsidP="008215C0">
      <w:pPr>
        <w:spacing w:before="240"/>
        <w:ind w:left="567" w:right="567"/>
        <w:jc w:val="both"/>
        <w:rPr>
          <w:rFonts w:ascii="Palatino Linotype" w:eastAsia="Palatino Linotype" w:hAnsi="Palatino Linotype" w:cs="Palatino Linotype"/>
          <w:b/>
          <w:i/>
        </w:rPr>
      </w:pPr>
      <w:r w:rsidRPr="00CA2D32">
        <w:rPr>
          <w:rFonts w:ascii="Palatino Linotype" w:eastAsia="Palatino Linotype" w:hAnsi="Palatino Linotype" w:cs="Palatino Linotype"/>
          <w:i/>
          <w:sz w:val="22"/>
          <w:szCs w:val="22"/>
        </w:rPr>
        <w:t>“</w:t>
      </w:r>
      <w:r w:rsidRPr="00CA2D32">
        <w:rPr>
          <w:rFonts w:ascii="Palatino Linotype" w:eastAsia="Palatino Linotype" w:hAnsi="Palatino Linotype" w:cs="Palatino Linotype"/>
          <w:b/>
          <w:i/>
          <w:sz w:val="22"/>
          <w:szCs w:val="22"/>
        </w:rPr>
        <w:t>SOBRESEIMIENTO, NO PERMITE ENTRAR AL ESTUDIO DE LAS CUESTIONES DE FONDO</w:t>
      </w:r>
    </w:p>
    <w:p w:rsidR="008215C0" w:rsidRPr="00CA2D32" w:rsidRDefault="008215C0" w:rsidP="008215C0">
      <w:pPr>
        <w:ind w:left="567" w:right="567"/>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8215C0" w:rsidRPr="00CA2D32" w:rsidRDefault="008215C0" w:rsidP="008215C0">
      <w:pPr>
        <w:ind w:left="567" w:right="567"/>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8215C0" w:rsidRPr="00CA2D32" w:rsidRDefault="008215C0" w:rsidP="008215C0">
      <w:pPr>
        <w:ind w:left="567" w:right="567"/>
        <w:jc w:val="both"/>
        <w:rPr>
          <w:rFonts w:ascii="Palatino Linotype" w:eastAsia="Palatino Linotype" w:hAnsi="Palatino Linotype" w:cs="Palatino Linotype"/>
          <w:i/>
          <w:sz w:val="22"/>
          <w:szCs w:val="22"/>
        </w:rPr>
      </w:pPr>
    </w:p>
    <w:p w:rsidR="008215C0" w:rsidRPr="00CA2D32" w:rsidRDefault="008215C0" w:rsidP="008215C0">
      <w:pPr>
        <w:spacing w:after="240" w:line="360" w:lineRule="auto"/>
        <w:jc w:val="both"/>
        <w:rPr>
          <w:rFonts w:ascii="Palatino Linotype" w:eastAsia="Palatino Linotype" w:hAnsi="Palatino Linotype" w:cs="Palatino Linotype"/>
        </w:rPr>
      </w:pPr>
      <w:r w:rsidRPr="00CA2D32">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rsidR="008215C0" w:rsidRPr="00CA2D32" w:rsidRDefault="008215C0" w:rsidP="008215C0">
      <w:pPr>
        <w:spacing w:before="240"/>
        <w:ind w:left="567" w:right="567"/>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8215C0" w:rsidRPr="00CA2D32" w:rsidRDefault="008215C0" w:rsidP="008215C0">
      <w:pPr>
        <w:ind w:left="567" w:right="567"/>
        <w:jc w:val="both"/>
        <w:rPr>
          <w:rFonts w:ascii="Palatino Linotype" w:eastAsia="Palatino Linotype" w:hAnsi="Palatino Linotype" w:cs="Palatino Linotype"/>
          <w:i/>
          <w:sz w:val="22"/>
          <w:szCs w:val="22"/>
        </w:rPr>
      </w:pPr>
      <w:r w:rsidRPr="00CA2D32">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CA2D32">
        <w:rPr>
          <w:rFonts w:ascii="Palatino Linotype" w:eastAsia="Palatino Linotype" w:hAnsi="Palatino Linotype" w:cs="Palatino Linotype"/>
          <w:i/>
          <w:sz w:val="22"/>
          <w:szCs w:val="22"/>
        </w:rPr>
        <w:t>promovente</w:t>
      </w:r>
      <w:proofErr w:type="spellEnd"/>
      <w:r w:rsidRPr="00CA2D32">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8215C0" w:rsidRPr="00CA2D32" w:rsidRDefault="008215C0" w:rsidP="008215C0">
      <w:pPr>
        <w:spacing w:before="240" w:after="240" w:line="360" w:lineRule="auto"/>
        <w:contextualSpacing/>
        <w:jc w:val="both"/>
        <w:rPr>
          <w:rFonts w:ascii="Palatino Linotype" w:eastAsia="Calibri" w:hAnsi="Palatino Linotype"/>
          <w:lang w:val="es-CO" w:eastAsia="es-ES"/>
        </w:rPr>
      </w:pPr>
    </w:p>
    <w:p w:rsidR="004D3318" w:rsidRPr="00CA2D32" w:rsidRDefault="004D3318" w:rsidP="004D3318">
      <w:pPr>
        <w:pStyle w:val="NormalWeb"/>
        <w:spacing w:before="0" w:beforeAutospacing="0" w:after="0" w:afterAutospacing="0" w:line="360" w:lineRule="auto"/>
        <w:jc w:val="both"/>
        <w:rPr>
          <w:rFonts w:ascii="Palatino Linotype" w:hAnsi="Palatino Linotype"/>
        </w:rPr>
      </w:pPr>
      <w:r w:rsidRPr="00CA2D32">
        <w:rPr>
          <w:rFonts w:ascii="Palatino Linotype" w:eastAsia="Palatino Linotype" w:hAnsi="Palatino Linotype" w:cs="Palatino Linotype"/>
        </w:rPr>
        <w:t xml:space="preserve">Por otra parte, </w:t>
      </w:r>
      <w:r w:rsidRPr="00CA2D32">
        <w:rPr>
          <w:rFonts w:ascii="Palatino Linotype" w:hAnsi="Palatino Linotype"/>
        </w:rPr>
        <w:t xml:space="preserve">respecto de las manifestaciones realizadas por </w:t>
      </w:r>
      <w:r w:rsidRPr="00CA2D32">
        <w:rPr>
          <w:rFonts w:ascii="Palatino Linotype" w:hAnsi="Palatino Linotype"/>
          <w:b/>
        </w:rPr>
        <w:t>la parte Recurrente</w:t>
      </w:r>
      <w:r w:rsidRPr="00CA2D32">
        <w:rPr>
          <w:rFonts w:ascii="Palatino Linotype" w:hAnsi="Palatino Linotype"/>
        </w:rPr>
        <w:t xml:space="preserve"> mediante informe justificado, consistentes en lo siguiente: </w:t>
      </w:r>
      <w:r w:rsidRPr="00CA2D32">
        <w:rPr>
          <w:rFonts w:ascii="Palatino Linotype" w:hAnsi="Palatino Linotype"/>
          <w:i/>
        </w:rPr>
        <w:t>“según el artículo 190 de la Ley de Transparencia y Acceso a la Información Pública del Estado de México y Municipios se pide dar aviso al órgano de control interno del sujeto obligado para que éste inicie, el procedimiento de responsabilidad respectivo contra quienes resulten responsables por la atención deficiente a esta solicitud de información.</w:t>
      </w:r>
      <w:r w:rsidRPr="00CA2D32">
        <w:rPr>
          <w:rFonts w:ascii="Palatino Linotype" w:hAnsi="Palatino Linotype"/>
        </w:rPr>
        <w:t xml:space="preserve"> “</w:t>
      </w:r>
      <w:r w:rsidR="00C56AFD" w:rsidRPr="00CA2D32">
        <w:rPr>
          <w:rFonts w:ascii="Palatino Linotype" w:hAnsi="Palatino Linotype"/>
        </w:rPr>
        <w:t>.</w:t>
      </w:r>
    </w:p>
    <w:p w:rsidR="00C56AFD" w:rsidRPr="00CA2D32" w:rsidRDefault="00C56AFD" w:rsidP="004D3318">
      <w:pPr>
        <w:pStyle w:val="NormalWeb"/>
        <w:spacing w:before="0" w:beforeAutospacing="0" w:after="0" w:afterAutospacing="0" w:line="360" w:lineRule="auto"/>
        <w:jc w:val="both"/>
        <w:rPr>
          <w:rFonts w:ascii="Palatino Linotype" w:hAnsi="Palatino Linotype"/>
        </w:rPr>
      </w:pPr>
    </w:p>
    <w:p w:rsidR="004D3318" w:rsidRPr="00CA2D32" w:rsidRDefault="004D3318" w:rsidP="004D3318">
      <w:pPr>
        <w:pStyle w:val="NormalWeb"/>
        <w:spacing w:before="0" w:beforeAutospacing="0" w:after="0" w:afterAutospacing="0" w:line="360" w:lineRule="auto"/>
        <w:jc w:val="both"/>
        <w:rPr>
          <w:rFonts w:ascii="Palatino Linotype" w:hAnsi="Palatino Linotype"/>
        </w:rPr>
      </w:pPr>
      <w:r w:rsidRPr="00CA2D32">
        <w:rPr>
          <w:rFonts w:ascii="Palatino Linotype" w:hAnsi="Palatino Linotype"/>
        </w:rPr>
        <w:lastRenderedPageBreak/>
        <w:t xml:space="preserve">Al respecto es preciso referir que, el  artículo 36, fracción X, de la Ley de Transparencia y Acceso a la Información Pública del Estado  de México, establece que es atribución de este Instituto hacer del conocimiento del Órgano Interno de Control o equivalente de cada Sujeto Obligado las infracciones a esta Ley. Sobre el  particular, la presente resolución no tiene por objetivo investigar ni determinar  violaciones al derecho de acceso a la información, toda vez que este Organismo Autónomo, </w:t>
      </w:r>
      <w:r w:rsidR="00643A36" w:rsidRPr="00CA2D32">
        <w:rPr>
          <w:rFonts w:ascii="Palatino Linotype" w:hAnsi="Palatino Linotype"/>
        </w:rPr>
        <w:t xml:space="preserve">por lo que se hace del conocimiento a </w:t>
      </w:r>
      <w:r w:rsidR="00643A36" w:rsidRPr="00CA2D32">
        <w:rPr>
          <w:rFonts w:ascii="Palatino Linotype" w:hAnsi="Palatino Linotype"/>
          <w:b/>
        </w:rPr>
        <w:t>la parte Recurrente</w:t>
      </w:r>
      <w:r w:rsidR="00643A36" w:rsidRPr="00CA2D32">
        <w:rPr>
          <w:rFonts w:ascii="Palatino Linotype" w:hAnsi="Palatino Linotype"/>
        </w:rPr>
        <w:t>, que el presente recurso de revisión no es la vía para dar vista al Órgano Interno de Control, de ahí que, se dejan a salvo sus derechos para que así lo desee interponga su queja ante la autoridad competente.</w:t>
      </w:r>
    </w:p>
    <w:p w:rsidR="008215C0" w:rsidRPr="00CA2D32" w:rsidRDefault="008215C0" w:rsidP="008215C0">
      <w:pPr>
        <w:spacing w:before="240" w:after="240" w:line="360" w:lineRule="auto"/>
        <w:jc w:val="both"/>
        <w:rPr>
          <w:rFonts w:ascii="Palatino Linotype" w:hAnsi="Palatino Linotype" w:cs="Arial"/>
          <w:lang w:val="es-MX" w:eastAsia="es-ES"/>
        </w:rPr>
      </w:pPr>
      <w:r w:rsidRPr="00CA2D32">
        <w:rPr>
          <w:rFonts w:ascii="Palatino Linotype" w:hAnsi="Palatino Linotype" w:cs="Arial"/>
          <w:lang w:val="es-MX" w:eastAsia="es-ES"/>
        </w:rPr>
        <w:t xml:space="preserve">Así, con fundamento en lo prescrito en los artículos 5 </w:t>
      </w:r>
      <w:r w:rsidRPr="00CA2D32">
        <w:rPr>
          <w:rFonts w:ascii="Palatino Linotype" w:hAnsi="Palatino Linotype"/>
          <w:shd w:val="clear" w:color="auto" w:fill="FFFFFF"/>
          <w:lang w:val="es-MX" w:eastAsia="es-ES"/>
        </w:rPr>
        <w:t>párrafos</w:t>
      </w:r>
      <w:r w:rsidRPr="00CA2D32">
        <w:rPr>
          <w:rFonts w:ascii="Palatino Linotype" w:hAnsi="Palatino Linotype"/>
          <w:shd w:val="clear" w:color="auto" w:fill="FFFFFF"/>
          <w:lang w:eastAsia="es-ES"/>
        </w:rPr>
        <w:t xml:space="preserve"> trigésimo</w:t>
      </w:r>
      <w:r w:rsidR="00821619" w:rsidRPr="00CA2D32">
        <w:rPr>
          <w:rFonts w:ascii="Palatino Linotype" w:hAnsi="Palatino Linotype"/>
          <w:shd w:val="clear" w:color="auto" w:fill="FFFFFF"/>
          <w:lang w:eastAsia="es-ES"/>
        </w:rPr>
        <w:t xml:space="preserve"> segundo, trigésimo tercero y trigésimo cuart</w:t>
      </w:r>
      <w:r w:rsidRPr="00CA2D32">
        <w:rPr>
          <w:rFonts w:ascii="Palatino Linotype" w:hAnsi="Palatino Linotype"/>
          <w:shd w:val="clear" w:color="auto" w:fill="FFFFFF"/>
          <w:lang w:eastAsia="es-ES"/>
        </w:rPr>
        <w:t xml:space="preserve">o, fracciones IV y V </w:t>
      </w:r>
      <w:r w:rsidRPr="00CA2D32">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rsidR="008215C0" w:rsidRPr="00CA2D32" w:rsidRDefault="008215C0" w:rsidP="008215C0">
      <w:pPr>
        <w:numPr>
          <w:ilvl w:val="0"/>
          <w:numId w:val="21"/>
        </w:numPr>
        <w:spacing w:before="100" w:beforeAutospacing="1" w:after="100" w:afterAutospacing="1" w:line="360" w:lineRule="auto"/>
        <w:ind w:left="284" w:hanging="426"/>
        <w:jc w:val="center"/>
        <w:rPr>
          <w:rFonts w:ascii="Palatino Linotype" w:hAnsi="Palatino Linotype" w:cs="Arial"/>
          <w:b/>
          <w:lang w:val="es-MX"/>
        </w:rPr>
      </w:pPr>
      <w:r w:rsidRPr="00CA2D32">
        <w:rPr>
          <w:rFonts w:ascii="Palatino Linotype" w:hAnsi="Palatino Linotype" w:cs="Arial"/>
          <w:b/>
          <w:lang w:val="es-MX"/>
        </w:rPr>
        <w:t>R E S U E L V E:</w:t>
      </w:r>
    </w:p>
    <w:p w:rsidR="008215C0" w:rsidRPr="00CA2D32" w:rsidRDefault="008215C0" w:rsidP="008215C0">
      <w:pPr>
        <w:spacing w:line="360" w:lineRule="auto"/>
        <w:jc w:val="both"/>
        <w:rPr>
          <w:rFonts w:ascii="Palatino Linotype" w:eastAsia="Palatino Linotype" w:hAnsi="Palatino Linotype" w:cs="Palatino Linotype"/>
        </w:rPr>
      </w:pPr>
      <w:r w:rsidRPr="00CA2D32">
        <w:rPr>
          <w:rFonts w:ascii="Palatino Linotype" w:hAnsi="Palatino Linotype" w:cs="Arial"/>
          <w:b/>
          <w:lang w:eastAsia="es-ES"/>
        </w:rPr>
        <w:t>Primero.</w:t>
      </w:r>
      <w:r w:rsidRPr="00CA2D32">
        <w:rPr>
          <w:rFonts w:ascii="Palatino Linotype" w:eastAsia="Calibri" w:hAnsi="Palatino Linotype"/>
          <w:lang w:eastAsia="es-ES"/>
        </w:rPr>
        <w:t xml:space="preserve"> </w:t>
      </w:r>
      <w:r w:rsidRPr="00CA2D32">
        <w:rPr>
          <w:rFonts w:ascii="Palatino Linotype" w:hAnsi="Palatino Linotype" w:cs="Arial"/>
          <w:lang w:eastAsia="es-ES"/>
        </w:rPr>
        <w:t xml:space="preserve">Se </w:t>
      </w:r>
      <w:r w:rsidRPr="00CA2D32">
        <w:rPr>
          <w:rFonts w:ascii="Palatino Linotype" w:hAnsi="Palatino Linotype" w:cs="Arial"/>
          <w:b/>
          <w:lang w:eastAsia="es-ES"/>
        </w:rPr>
        <w:t>SOBRESEE</w:t>
      </w:r>
      <w:r w:rsidR="00821619" w:rsidRPr="00CA2D32">
        <w:rPr>
          <w:rFonts w:ascii="Palatino Linotype" w:hAnsi="Palatino Linotype" w:cs="Arial"/>
          <w:b/>
          <w:lang w:eastAsia="es-ES"/>
        </w:rPr>
        <w:t>N</w:t>
      </w:r>
      <w:r w:rsidR="00821619" w:rsidRPr="00CA2D32">
        <w:rPr>
          <w:rFonts w:ascii="Palatino Linotype" w:hAnsi="Palatino Linotype" w:cs="Arial"/>
          <w:lang w:eastAsia="es-ES"/>
        </w:rPr>
        <w:t xml:space="preserve"> los</w:t>
      </w:r>
      <w:r w:rsidRPr="00CA2D32">
        <w:rPr>
          <w:rFonts w:ascii="Palatino Linotype" w:hAnsi="Palatino Linotype" w:cs="Arial"/>
          <w:lang w:eastAsia="es-ES"/>
        </w:rPr>
        <w:t xml:space="preserve"> recurso</w:t>
      </w:r>
      <w:r w:rsidR="00821619" w:rsidRPr="00CA2D32">
        <w:rPr>
          <w:rFonts w:ascii="Palatino Linotype" w:hAnsi="Palatino Linotype" w:cs="Arial"/>
          <w:lang w:eastAsia="es-ES"/>
        </w:rPr>
        <w:t>s</w:t>
      </w:r>
      <w:r w:rsidRPr="00CA2D32">
        <w:rPr>
          <w:rFonts w:ascii="Palatino Linotype" w:hAnsi="Palatino Linotype" w:cs="Arial"/>
          <w:lang w:eastAsia="es-ES"/>
        </w:rPr>
        <w:t xml:space="preserve"> de revisión </w:t>
      </w:r>
      <w:r w:rsidR="00821619" w:rsidRPr="00CA2D32">
        <w:rPr>
          <w:rFonts w:ascii="Palatino Linotype" w:hAnsi="Palatino Linotype" w:cs="Arial"/>
          <w:b/>
          <w:lang w:eastAsia="es-ES"/>
        </w:rPr>
        <w:t>03954/INFOEM/IP/RR/2023 y 03955/INFOEM/IP/RR/2023 acumulados</w:t>
      </w:r>
      <w:r w:rsidRPr="00CA2D32">
        <w:rPr>
          <w:rFonts w:ascii="Palatino Linotype" w:hAnsi="Palatino Linotype" w:cs="Arial"/>
          <w:b/>
          <w:lang w:eastAsia="es-ES"/>
        </w:rPr>
        <w:t xml:space="preserve">, </w:t>
      </w:r>
      <w:r w:rsidRPr="00CA2D32">
        <w:rPr>
          <w:rFonts w:ascii="Palatino Linotype" w:eastAsia="Palatino Linotype" w:hAnsi="Palatino Linotype" w:cs="Palatino Linotype"/>
        </w:rPr>
        <w:t xml:space="preserve">porque al </w:t>
      </w:r>
      <w:r w:rsidRPr="00CA2D32">
        <w:rPr>
          <w:rFonts w:ascii="Palatino Linotype" w:eastAsia="Palatino Linotype" w:hAnsi="Palatino Linotype" w:cs="Palatino Linotype"/>
          <w:b/>
        </w:rPr>
        <w:t>modificar la</w:t>
      </w:r>
      <w:r w:rsidR="00821619" w:rsidRPr="00CA2D32">
        <w:rPr>
          <w:rFonts w:ascii="Palatino Linotype" w:eastAsia="Palatino Linotype" w:hAnsi="Palatino Linotype" w:cs="Palatino Linotype"/>
          <w:b/>
        </w:rPr>
        <w:t>s</w:t>
      </w:r>
      <w:r w:rsidRPr="00CA2D32">
        <w:rPr>
          <w:rFonts w:ascii="Palatino Linotype" w:eastAsia="Palatino Linotype" w:hAnsi="Palatino Linotype" w:cs="Palatino Linotype"/>
          <w:b/>
        </w:rPr>
        <w:t xml:space="preserve"> respuesta</w:t>
      </w:r>
      <w:r w:rsidR="00821619" w:rsidRPr="00CA2D32">
        <w:rPr>
          <w:rFonts w:ascii="Palatino Linotype" w:eastAsia="Palatino Linotype" w:hAnsi="Palatino Linotype" w:cs="Palatino Linotype"/>
          <w:b/>
        </w:rPr>
        <w:t>s</w:t>
      </w:r>
      <w:r w:rsidRPr="00CA2D32">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CA2D32">
        <w:rPr>
          <w:rFonts w:ascii="Palatino Linotype" w:eastAsia="Palatino Linotype" w:hAnsi="Palatino Linotype" w:cs="Palatino Linotype"/>
          <w:b/>
        </w:rPr>
        <w:t xml:space="preserve">Tercero </w:t>
      </w:r>
      <w:r w:rsidRPr="00CA2D32">
        <w:rPr>
          <w:rFonts w:ascii="Palatino Linotype" w:eastAsia="Palatino Linotype" w:hAnsi="Palatino Linotype" w:cs="Palatino Linotype"/>
        </w:rPr>
        <w:t>de la presente Resolución.</w:t>
      </w:r>
    </w:p>
    <w:p w:rsidR="008215C0" w:rsidRPr="00CA2D32" w:rsidRDefault="008215C0" w:rsidP="008215C0">
      <w:pPr>
        <w:spacing w:before="240" w:after="240" w:line="360" w:lineRule="auto"/>
        <w:ind w:right="49"/>
        <w:jc w:val="both"/>
        <w:rPr>
          <w:rFonts w:ascii="Palatino Linotype" w:hAnsi="Palatino Linotype" w:cs="Arial"/>
          <w:lang w:val="es-MX" w:eastAsia="es-ES"/>
        </w:rPr>
      </w:pPr>
      <w:r w:rsidRPr="00CA2D32">
        <w:rPr>
          <w:rFonts w:ascii="Palatino Linotype" w:hAnsi="Palatino Linotype" w:cs="Arial"/>
          <w:b/>
          <w:bCs/>
          <w:szCs w:val="28"/>
          <w:shd w:val="clear" w:color="auto" w:fill="FFFFFF"/>
          <w:lang w:eastAsia="es-ES"/>
        </w:rPr>
        <w:lastRenderedPageBreak/>
        <w:t>Segundo</w:t>
      </w:r>
      <w:r w:rsidRPr="00CA2D32">
        <w:rPr>
          <w:rFonts w:ascii="Palatino Linotype" w:hAnsi="Palatino Linotype" w:cs="Arial"/>
          <w:b/>
          <w:bCs/>
          <w:sz w:val="28"/>
          <w:szCs w:val="28"/>
          <w:shd w:val="clear" w:color="auto" w:fill="FFFFFF"/>
          <w:lang w:eastAsia="es-ES"/>
        </w:rPr>
        <w:t>.</w:t>
      </w:r>
      <w:r w:rsidRPr="00CA2D32">
        <w:rPr>
          <w:rFonts w:ascii="Palatino Linotype" w:hAnsi="Palatino Linotype" w:cs="Arial"/>
          <w:b/>
          <w:bCs/>
          <w:sz w:val="19"/>
          <w:szCs w:val="19"/>
          <w:shd w:val="clear" w:color="auto" w:fill="FFFFFF"/>
          <w:lang w:eastAsia="es-ES"/>
        </w:rPr>
        <w:t xml:space="preserve"> </w:t>
      </w:r>
      <w:r w:rsidRPr="00CA2D32">
        <w:rPr>
          <w:rFonts w:ascii="Palatino Linotype" w:eastAsia="Palatino Linotype" w:hAnsi="Palatino Linotype" w:cs="Palatino Linotype"/>
          <w:b/>
        </w:rPr>
        <w:t>Notifíquese vía Sistema de Acceso a la Información Mexiquense</w:t>
      </w:r>
      <w:r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b/>
        </w:rPr>
        <w:t>SAIMEX)</w:t>
      </w:r>
      <w:r w:rsidRPr="00CA2D32">
        <w:rPr>
          <w:rFonts w:ascii="Palatino Linotype" w:eastAsia="Palatino Linotype" w:hAnsi="Palatino Linotype" w:cs="Palatino Linotype"/>
          <w:b/>
          <w:i/>
        </w:rPr>
        <w:t xml:space="preserve">, </w:t>
      </w:r>
      <w:r w:rsidRPr="00CA2D32">
        <w:rPr>
          <w:rFonts w:ascii="Palatino Linotype" w:eastAsia="Palatino Linotype" w:hAnsi="Palatino Linotype" w:cs="Palatino Linotype"/>
        </w:rPr>
        <w:t xml:space="preserve">al Titular de la Unidad de Transparencia del </w:t>
      </w:r>
      <w:r w:rsidRPr="00CA2D32">
        <w:rPr>
          <w:rFonts w:ascii="Palatino Linotype" w:eastAsia="Palatino Linotype" w:hAnsi="Palatino Linotype" w:cs="Palatino Linotype"/>
          <w:b/>
        </w:rPr>
        <w:t>Sujeto Obligado</w:t>
      </w:r>
      <w:r w:rsidRPr="00CA2D32">
        <w:rPr>
          <w:rFonts w:ascii="Palatino Linotype" w:eastAsia="Palatino Linotype" w:hAnsi="Palatino Linotype" w:cs="Palatino Linotype"/>
        </w:rPr>
        <w:t xml:space="preserve"> la presente resolución, para su conocimiento.</w:t>
      </w:r>
    </w:p>
    <w:p w:rsidR="008215C0" w:rsidRPr="00CA2D32" w:rsidRDefault="008215C0" w:rsidP="008215C0">
      <w:pPr>
        <w:spacing w:before="240" w:after="240" w:line="360" w:lineRule="auto"/>
        <w:jc w:val="both"/>
        <w:rPr>
          <w:rFonts w:ascii="Palatino Linotype" w:hAnsi="Palatino Linotype" w:cs="Arial"/>
        </w:rPr>
      </w:pPr>
      <w:r w:rsidRPr="00CA2D32">
        <w:rPr>
          <w:rFonts w:ascii="Palatino Linotype" w:hAnsi="Palatino Linotype" w:cs="Arial"/>
          <w:b/>
          <w:bCs/>
          <w:szCs w:val="28"/>
          <w:shd w:val="clear" w:color="auto" w:fill="FFFFFF"/>
          <w:lang w:eastAsia="es-ES"/>
        </w:rPr>
        <w:t>Tercero.</w:t>
      </w:r>
      <w:r w:rsidRPr="00CA2D32">
        <w:rPr>
          <w:rFonts w:ascii="Palatino Linotype" w:hAnsi="Palatino Linotype" w:cs="Arial"/>
          <w:b/>
          <w:bCs/>
          <w:sz w:val="28"/>
          <w:szCs w:val="28"/>
          <w:shd w:val="clear" w:color="auto" w:fill="FFFFFF"/>
          <w:lang w:eastAsia="es-ES"/>
        </w:rPr>
        <w:t xml:space="preserve"> </w:t>
      </w:r>
      <w:bookmarkStart w:id="3" w:name="_heading=h.3rdcrjn" w:colFirst="0" w:colLast="0"/>
      <w:bookmarkEnd w:id="3"/>
      <w:r w:rsidRPr="00CA2D32">
        <w:rPr>
          <w:rFonts w:ascii="Palatino Linotype" w:hAnsi="Palatino Linotype" w:cs="Arial"/>
          <w:b/>
          <w:lang w:val="es-MX"/>
        </w:rPr>
        <w:t xml:space="preserve">Notifíquese, vía Sistema de Acceso a la Información Mexiquense (SAIMEX), </w:t>
      </w:r>
      <w:r w:rsidRPr="00CA2D32">
        <w:rPr>
          <w:rFonts w:ascii="Palatino Linotype" w:hAnsi="Palatino Linotype" w:cs="Arial"/>
          <w:lang w:val="es-MX"/>
        </w:rPr>
        <w:t xml:space="preserve">la presente resolución a la parte recurrente, así como que podrá impugnarla vía </w:t>
      </w:r>
      <w:r w:rsidRPr="00CA2D32">
        <w:rPr>
          <w:rFonts w:ascii="Palatino Linotype" w:hAnsi="Palatino Linotype" w:cs="Arial"/>
          <w:b/>
          <w:lang w:val="es-MX"/>
        </w:rPr>
        <w:t>Juicio de Amparo</w:t>
      </w:r>
      <w:r w:rsidRPr="00CA2D32">
        <w:rPr>
          <w:rFonts w:ascii="Palatino Linotype" w:hAnsi="Palatino Linotype" w:cs="Arial"/>
          <w:lang w:val="es-MX"/>
        </w:rPr>
        <w:t xml:space="preserve"> en los términos de las leyes aplicables, de conformidad con lo establecido en el artículo 196 de la Ley de Transparencia y Acceso a la Información Pública del Estado de México y Municipios</w:t>
      </w:r>
      <w:r w:rsidRPr="00CA2D32">
        <w:rPr>
          <w:rFonts w:ascii="Palatino Linotype" w:hAnsi="Palatino Linotype" w:cs="Arial"/>
        </w:rPr>
        <w:t>, o bien, vía Juicio de Amparo en los términos de las leyes aplicables.</w:t>
      </w:r>
    </w:p>
    <w:p w:rsidR="00593063" w:rsidRPr="00CA2D32" w:rsidRDefault="009D4180">
      <w:pPr>
        <w:spacing w:before="240" w:after="240" w:line="360" w:lineRule="auto"/>
        <w:jc w:val="both"/>
        <w:rPr>
          <w:rFonts w:ascii="Palatino Linotype" w:eastAsia="Palatino Linotype" w:hAnsi="Palatino Linotype" w:cs="Palatino Linotype"/>
        </w:rPr>
        <w:sectPr w:rsidR="00593063" w:rsidRPr="00CA2D32">
          <w:headerReference w:type="even" r:id="rId13"/>
          <w:headerReference w:type="default" r:id="rId14"/>
          <w:footerReference w:type="even" r:id="rId15"/>
          <w:footerReference w:type="default" r:id="rId16"/>
          <w:headerReference w:type="first" r:id="rId17"/>
          <w:footerReference w:type="first" r:id="rId18"/>
          <w:pgSz w:w="12240" w:h="15840"/>
          <w:pgMar w:top="621" w:right="1701" w:bottom="1701" w:left="1701" w:header="618" w:footer="709" w:gutter="0"/>
          <w:pgNumType w:start="1"/>
          <w:cols w:space="720"/>
          <w:titlePg/>
        </w:sectPr>
      </w:pPr>
      <w:r w:rsidRPr="00CA2D3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21619" w:rsidRPr="00CA2D32">
        <w:rPr>
          <w:rFonts w:ascii="Palatino Linotype" w:eastAsia="Palatino Linotype" w:hAnsi="Palatino Linotype" w:cs="Palatino Linotype"/>
        </w:rPr>
        <w:t>TRIGÉSIMA OCTAVA</w:t>
      </w:r>
      <w:r w:rsidR="00685CEB" w:rsidRPr="00CA2D32">
        <w:rPr>
          <w:rFonts w:ascii="Palatino Linotype" w:eastAsia="Palatino Linotype" w:hAnsi="Palatino Linotype" w:cs="Palatino Linotype"/>
        </w:rPr>
        <w:t xml:space="preserve"> </w:t>
      </w:r>
      <w:r w:rsidRPr="00CA2D32">
        <w:rPr>
          <w:rFonts w:ascii="Palatino Linotype" w:eastAsia="Palatino Linotype" w:hAnsi="Palatino Linotype" w:cs="Palatino Linotype"/>
        </w:rPr>
        <w:t>SE</w:t>
      </w:r>
      <w:r w:rsidR="00685CEB" w:rsidRPr="00CA2D32">
        <w:rPr>
          <w:rFonts w:ascii="Palatino Linotype" w:eastAsia="Palatino Linotype" w:hAnsi="Palatino Linotype" w:cs="Palatino Linotype"/>
        </w:rPr>
        <w:t>S</w:t>
      </w:r>
      <w:r w:rsidR="00302348" w:rsidRPr="00CA2D32">
        <w:rPr>
          <w:rFonts w:ascii="Palatino Linotype" w:eastAsia="Palatino Linotype" w:hAnsi="Palatino Linotype" w:cs="Palatino Linotype"/>
        </w:rPr>
        <w:t xml:space="preserve">IÓN ORDINARIA </w:t>
      </w:r>
      <w:r w:rsidR="00821619" w:rsidRPr="00CA2D32">
        <w:rPr>
          <w:rFonts w:ascii="Palatino Linotype" w:eastAsia="Palatino Linotype" w:hAnsi="Palatino Linotype" w:cs="Palatino Linotype"/>
        </w:rPr>
        <w:t>CELEBRADA EL VEINTICINCO</w:t>
      </w:r>
      <w:r w:rsidR="00364145" w:rsidRPr="00CA2D32">
        <w:rPr>
          <w:rFonts w:ascii="Palatino Linotype" w:eastAsia="Palatino Linotype" w:hAnsi="Palatino Linotype" w:cs="Palatino Linotype"/>
        </w:rPr>
        <w:t xml:space="preserve"> DE OCTU</w:t>
      </w:r>
      <w:r w:rsidR="00685CEB" w:rsidRPr="00CA2D32">
        <w:rPr>
          <w:rFonts w:ascii="Palatino Linotype" w:eastAsia="Palatino Linotype" w:hAnsi="Palatino Linotype" w:cs="Palatino Linotype"/>
        </w:rPr>
        <w:t>BRE</w:t>
      </w:r>
      <w:r w:rsidRPr="00CA2D32">
        <w:rPr>
          <w:rFonts w:ascii="Palatino Linotype" w:eastAsia="Palatino Linotype" w:hAnsi="Palatino Linotype" w:cs="Palatino Linotype"/>
        </w:rPr>
        <w:t xml:space="preserve"> DE DOS MIL VEINTITRÉS, ANTE EL SECRETARIO TÉCNICO DEL PLENO, ALEXIS TAPIA RAMÍREZ.</w:t>
      </w:r>
    </w:p>
    <w:p w:rsidR="00593063" w:rsidRPr="00CA2D32" w:rsidRDefault="00593063">
      <w:pPr>
        <w:spacing w:before="240" w:after="240"/>
        <w:jc w:val="both"/>
        <w:rPr>
          <w:rFonts w:ascii="Palatino Linotype" w:eastAsia="Palatino Linotype" w:hAnsi="Palatino Linotype" w:cs="Palatino Linotype"/>
          <w:sz w:val="20"/>
          <w:szCs w:val="20"/>
        </w:rPr>
      </w:pPr>
    </w:p>
    <w:p w:rsidR="00593063" w:rsidRPr="00CA2D32" w:rsidRDefault="00593063">
      <w:pPr>
        <w:spacing w:before="240" w:after="240"/>
        <w:jc w:val="both"/>
        <w:rPr>
          <w:rFonts w:ascii="Palatino Linotype" w:eastAsia="Palatino Linotype" w:hAnsi="Palatino Linotype" w:cs="Palatino Linotype"/>
          <w:sz w:val="20"/>
          <w:szCs w:val="20"/>
        </w:rPr>
      </w:pPr>
      <w:bookmarkStart w:id="4" w:name="_heading=h.1fob9te" w:colFirst="0" w:colLast="0"/>
      <w:bookmarkEnd w:id="4"/>
    </w:p>
    <w:sectPr w:rsidR="00593063" w:rsidRPr="00CA2D32">
      <w:headerReference w:type="first" r:id="rId19"/>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3A5" w:rsidRDefault="00A643A5">
      <w:r>
        <w:separator/>
      </w:r>
    </w:p>
  </w:endnote>
  <w:endnote w:type="continuationSeparator" w:id="0">
    <w:p w:rsidR="00A643A5" w:rsidRDefault="00A6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F2C11">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F2C11">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8215C0" w:rsidRDefault="008215C0">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8215C0" w:rsidRDefault="008215C0"/>
  <w:p w:rsidR="008215C0" w:rsidRDefault="008215C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F2C1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F2C11">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8215C0" w:rsidRDefault="008215C0">
    <w:pPr>
      <w:pBdr>
        <w:top w:val="nil"/>
        <w:left w:val="nil"/>
        <w:bottom w:val="nil"/>
        <w:right w:val="nil"/>
        <w:between w:val="nil"/>
      </w:pBdr>
      <w:tabs>
        <w:tab w:val="center" w:pos="4252"/>
        <w:tab w:val="right" w:pos="8504"/>
      </w:tabs>
      <w:rPr>
        <w:rFonts w:ascii="Cambria" w:eastAsia="Cambria" w:hAnsi="Cambria" w:cs="Cambria"/>
        <w:color w:val="000000"/>
      </w:rPr>
    </w:pPr>
  </w:p>
  <w:p w:rsidR="008215C0" w:rsidRDefault="008215C0"/>
  <w:p w:rsidR="008215C0" w:rsidRDefault="008215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3A5" w:rsidRDefault="00A643A5">
      <w:r>
        <w:separator/>
      </w:r>
    </w:p>
  </w:footnote>
  <w:footnote w:type="continuationSeparator" w:id="0">
    <w:p w:rsidR="00A643A5" w:rsidRDefault="00A643A5">
      <w:r>
        <w:continuationSeparator/>
      </w:r>
    </w:p>
  </w:footnote>
  <w:footnote w:id="1">
    <w:p w:rsidR="00821619" w:rsidRPr="006E31CF" w:rsidRDefault="00821619" w:rsidP="00821619">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821619" w:rsidRPr="006E31CF" w:rsidRDefault="00821619" w:rsidP="00821619">
      <w:pPr>
        <w:pStyle w:val="Textonotapie"/>
        <w:rPr>
          <w:rFonts w:ascii="Palatino Linotype" w:hAnsi="Palatino Linotype"/>
          <w:sz w:val="18"/>
        </w:rPr>
      </w:pPr>
      <w:r w:rsidRPr="006E31CF">
        <w:rPr>
          <w:rFonts w:ascii="Palatino Linotype" w:hAnsi="Palatino Linotype"/>
          <w:sz w:val="18"/>
        </w:rPr>
        <w:t>…</w:t>
      </w:r>
    </w:p>
    <w:p w:rsidR="00821619" w:rsidRPr="006E31CF" w:rsidRDefault="00821619" w:rsidP="00821619">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821619" w:rsidRPr="006E31CF" w:rsidRDefault="00821619" w:rsidP="00821619">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821619" w:rsidRDefault="00821619" w:rsidP="00821619">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rsidP="0008296B">
    <w:pPr>
      <w:pBdr>
        <w:top w:val="nil"/>
        <w:left w:val="nil"/>
        <w:bottom w:val="nil"/>
        <w:right w:val="nil"/>
        <w:between w:val="nil"/>
      </w:pBdr>
      <w:tabs>
        <w:tab w:val="center" w:pos="4252"/>
        <w:tab w:val="right" w:pos="8504"/>
        <w:tab w:val="left" w:pos="2326"/>
      </w:tabs>
      <w:ind w:right="-801"/>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827" w:type="dxa"/>
      <w:tblInd w:w="3261" w:type="dxa"/>
      <w:tblLayout w:type="fixed"/>
      <w:tblLook w:val="0400" w:firstRow="0" w:lastRow="0" w:firstColumn="0" w:lastColumn="0" w:noHBand="0" w:noVBand="1"/>
    </w:tblPr>
    <w:tblGrid>
      <w:gridCol w:w="2390"/>
      <w:gridCol w:w="3437"/>
    </w:tblGrid>
    <w:tr w:rsidR="008215C0">
      <w:trPr>
        <w:trHeight w:val="502"/>
      </w:trPr>
      <w:tc>
        <w:tcPr>
          <w:tcW w:w="2390" w:type="dxa"/>
          <w:shd w:val="clear" w:color="auto" w:fill="auto"/>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08296B" w:rsidRDefault="008215C0" w:rsidP="002D4F78">
          <w:pPr>
            <w:ind w:right="184"/>
            <w:jc w:val="both"/>
            <w:rPr>
              <w:rFonts w:ascii="Palatino Linotype" w:eastAsia="Palatino Linotype" w:hAnsi="Palatino Linotype" w:cs="Palatino Linotype"/>
              <w:b/>
            </w:rPr>
          </w:pPr>
          <w:r w:rsidRPr="00D3098C">
            <w:rPr>
              <w:rFonts w:ascii="Palatino Linotype" w:eastAsia="Palatino Linotype" w:hAnsi="Palatino Linotype" w:cs="Palatino Linotype"/>
              <w:b/>
            </w:rPr>
            <w:t xml:space="preserve">03954/INFOEM/IP/RR/2023 </w:t>
          </w:r>
          <w:r w:rsidR="0008296B">
            <w:rPr>
              <w:rFonts w:ascii="Palatino Linotype" w:eastAsia="Palatino Linotype" w:hAnsi="Palatino Linotype" w:cs="Palatino Linotype"/>
              <w:b/>
            </w:rPr>
            <w:t xml:space="preserve"> </w:t>
          </w:r>
        </w:p>
        <w:p w:rsidR="008215C0" w:rsidRDefault="008215C0" w:rsidP="002D4F78">
          <w:pPr>
            <w:ind w:right="184"/>
            <w:jc w:val="both"/>
            <w:rPr>
              <w:rFonts w:ascii="Palatino Linotype" w:eastAsia="Palatino Linotype" w:hAnsi="Palatino Linotype" w:cs="Palatino Linotype"/>
              <w:b/>
            </w:rPr>
          </w:pPr>
          <w:r w:rsidRPr="00D3098C">
            <w:rPr>
              <w:rFonts w:ascii="Palatino Linotype" w:eastAsia="Palatino Linotype" w:hAnsi="Palatino Linotype" w:cs="Palatino Linotype"/>
              <w:b/>
            </w:rPr>
            <w:t>y acumulado</w:t>
          </w:r>
        </w:p>
      </w:tc>
    </w:tr>
    <w:tr w:rsidR="008215C0">
      <w:trPr>
        <w:trHeight w:val="190"/>
      </w:trPr>
      <w:tc>
        <w:tcPr>
          <w:tcW w:w="2390" w:type="dxa"/>
          <w:shd w:val="clear" w:color="auto" w:fill="auto"/>
          <w:vAlign w:val="center"/>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8215C0" w:rsidRDefault="008215C0" w:rsidP="00D3098C">
          <w:pPr>
            <w:ind w:left="27" w:right="468"/>
            <w:jc w:val="both"/>
            <w:rPr>
              <w:rFonts w:ascii="Palatino Linotype" w:eastAsia="Palatino Linotype" w:hAnsi="Palatino Linotype" w:cs="Palatino Linotype"/>
              <w:b/>
            </w:rPr>
          </w:pPr>
          <w:r w:rsidRPr="00D3098C">
            <w:rPr>
              <w:rFonts w:ascii="Palatino Linotype" w:eastAsia="Palatino Linotype" w:hAnsi="Palatino Linotype" w:cs="Palatino Linotype"/>
              <w:b/>
            </w:rPr>
            <w:t>Instituto Electoral del Estado de México</w:t>
          </w:r>
        </w:p>
      </w:tc>
    </w:tr>
    <w:tr w:rsidR="008215C0">
      <w:trPr>
        <w:trHeight w:val="251"/>
      </w:trPr>
      <w:tc>
        <w:tcPr>
          <w:tcW w:w="2390" w:type="dxa"/>
          <w:shd w:val="clear" w:color="auto" w:fill="auto"/>
          <w:vAlign w:val="center"/>
        </w:tcPr>
        <w:p w:rsidR="008215C0" w:rsidRDefault="008215C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8215C0" w:rsidRDefault="008215C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215C0" w:rsidRDefault="008215C0">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rsidR="008215C0" w:rsidRDefault="008215C0">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-1112519</wp:posOffset>
          </wp:positionH>
          <wp:positionV relativeFrom="paragraph">
            <wp:posOffset>-361314</wp:posOffset>
          </wp:positionV>
          <wp:extent cx="7809865" cy="10165715"/>
          <wp:effectExtent l="0" t="0" r="0" b="0"/>
          <wp:wrapNone/>
          <wp:docPr id="3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6378" w:type="dxa"/>
      <w:tblInd w:w="3261" w:type="dxa"/>
      <w:tblLayout w:type="fixed"/>
      <w:tblLook w:val="0400" w:firstRow="0" w:lastRow="0" w:firstColumn="0" w:lastColumn="0" w:noHBand="0" w:noVBand="1"/>
    </w:tblPr>
    <w:tblGrid>
      <w:gridCol w:w="2512"/>
      <w:gridCol w:w="3866"/>
    </w:tblGrid>
    <w:tr w:rsidR="008215C0" w:rsidTr="00FD173B">
      <w:trPr>
        <w:trHeight w:val="442"/>
      </w:trPr>
      <w:tc>
        <w:tcPr>
          <w:tcW w:w="2512" w:type="dxa"/>
          <w:shd w:val="clear" w:color="auto" w:fill="auto"/>
          <w:vAlign w:val="center"/>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rsidR="008215C0" w:rsidRDefault="008215C0" w:rsidP="00FD173B">
          <w:pPr>
            <w:tabs>
              <w:tab w:val="left" w:pos="2334"/>
            </w:tabs>
            <w:ind w:left="-45" w:right="735"/>
            <w:jc w:val="both"/>
            <w:rPr>
              <w:rFonts w:ascii="Palatino Linotype" w:eastAsia="Palatino Linotype" w:hAnsi="Palatino Linotype" w:cs="Palatino Linotype"/>
              <w:b/>
            </w:rPr>
          </w:pPr>
          <w:r>
            <w:rPr>
              <w:rFonts w:ascii="Palatino Linotype" w:eastAsia="Palatino Linotype" w:hAnsi="Palatino Linotype" w:cs="Palatino Linotype"/>
              <w:b/>
            </w:rPr>
            <w:t>03954/INFOEM/IP/RR/2023 y acumulado</w:t>
          </w:r>
        </w:p>
      </w:tc>
    </w:tr>
    <w:tr w:rsidR="008215C0" w:rsidTr="00FD173B">
      <w:trPr>
        <w:trHeight w:val="95"/>
      </w:trPr>
      <w:tc>
        <w:tcPr>
          <w:tcW w:w="2512" w:type="dxa"/>
          <w:shd w:val="clear" w:color="auto" w:fill="auto"/>
          <w:vAlign w:val="center"/>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rsidR="008215C0" w:rsidRDefault="00AF2C11" w:rsidP="00AF2C11">
          <w:pPr>
            <w:jc w:val="both"/>
            <w:rPr>
              <w:rFonts w:ascii="Palatino Linotype" w:eastAsia="Palatino Linotype" w:hAnsi="Palatino Linotype" w:cs="Palatino Linotype"/>
              <w:b/>
            </w:rPr>
          </w:pPr>
          <w:r>
            <w:rPr>
              <w:rFonts w:ascii="Palatino Linotype" w:eastAsia="Palatino Linotype" w:hAnsi="Palatino Linotype" w:cs="Palatino Linotype"/>
              <w:b/>
            </w:rPr>
            <w:t>XXXX XXXXX</w:t>
          </w:r>
        </w:p>
      </w:tc>
    </w:tr>
    <w:tr w:rsidR="008215C0" w:rsidTr="00FD173B">
      <w:trPr>
        <w:trHeight w:val="168"/>
      </w:trPr>
      <w:tc>
        <w:tcPr>
          <w:tcW w:w="2512" w:type="dxa"/>
          <w:shd w:val="clear" w:color="auto" w:fill="auto"/>
          <w:vAlign w:val="center"/>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rsidR="008215C0" w:rsidRDefault="008215C0" w:rsidP="00D3098C">
          <w:pPr>
            <w:ind w:left="-45" w:right="877"/>
            <w:jc w:val="both"/>
            <w:rPr>
              <w:rFonts w:ascii="Palatino Linotype" w:eastAsia="Palatino Linotype" w:hAnsi="Palatino Linotype" w:cs="Palatino Linotype"/>
              <w:b/>
            </w:rPr>
          </w:pPr>
          <w:r w:rsidRPr="00D3098C">
            <w:rPr>
              <w:rFonts w:ascii="Palatino Linotype" w:eastAsia="Palatino Linotype" w:hAnsi="Palatino Linotype" w:cs="Palatino Linotype"/>
              <w:b/>
            </w:rPr>
            <w:t>Instituto Electoral del Estado de México</w:t>
          </w:r>
        </w:p>
      </w:tc>
    </w:tr>
    <w:tr w:rsidR="008215C0" w:rsidTr="00FD173B">
      <w:trPr>
        <w:trHeight w:val="221"/>
      </w:trPr>
      <w:tc>
        <w:tcPr>
          <w:tcW w:w="2512" w:type="dxa"/>
          <w:shd w:val="clear" w:color="auto" w:fill="auto"/>
          <w:vAlign w:val="center"/>
        </w:tcPr>
        <w:p w:rsidR="008215C0" w:rsidRDefault="008215C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rsidR="008215C0" w:rsidRDefault="008215C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215C0" w:rsidRDefault="008215C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5C0" w:rsidRDefault="008215C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F465E"/>
    <w:multiLevelType w:val="multilevel"/>
    <w:tmpl w:val="7C3EBB1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4C160DD"/>
    <w:multiLevelType w:val="multilevel"/>
    <w:tmpl w:val="76F4CEC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3595524"/>
    <w:multiLevelType w:val="hybridMultilevel"/>
    <w:tmpl w:val="F8186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5175BC"/>
    <w:multiLevelType w:val="hybridMultilevel"/>
    <w:tmpl w:val="73480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11779F"/>
    <w:multiLevelType w:val="hybridMultilevel"/>
    <w:tmpl w:val="D0A4C3C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2DE73D24"/>
    <w:multiLevelType w:val="hybridMultilevel"/>
    <w:tmpl w:val="AC84E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F919AF"/>
    <w:multiLevelType w:val="hybridMultilevel"/>
    <w:tmpl w:val="E53EF9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A8C159C"/>
    <w:multiLevelType w:val="hybridMultilevel"/>
    <w:tmpl w:val="7ED64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221101D"/>
    <w:multiLevelType w:val="hybridMultilevel"/>
    <w:tmpl w:val="CF349B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ACC0322"/>
    <w:multiLevelType w:val="multilevel"/>
    <w:tmpl w:val="CEB6C4DA"/>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64D74BB"/>
    <w:multiLevelType w:val="hybridMultilevel"/>
    <w:tmpl w:val="A6A0EB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6EB19EB"/>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B7E0CA0"/>
    <w:multiLevelType w:val="hybridMultilevel"/>
    <w:tmpl w:val="1EA87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D314ED0"/>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78D305E4"/>
    <w:multiLevelType w:val="multilevel"/>
    <w:tmpl w:val="74D45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DFA2CA8"/>
    <w:multiLevelType w:val="hybridMultilevel"/>
    <w:tmpl w:val="AAC0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2"/>
  </w:num>
  <w:num w:numId="3">
    <w:abstractNumId w:val="11"/>
  </w:num>
  <w:num w:numId="4">
    <w:abstractNumId w:val="6"/>
  </w:num>
  <w:num w:numId="5">
    <w:abstractNumId w:val="5"/>
  </w:num>
  <w:num w:numId="6">
    <w:abstractNumId w:val="8"/>
  </w:num>
  <w:num w:numId="7">
    <w:abstractNumId w:val="1"/>
  </w:num>
  <w:num w:numId="8">
    <w:abstractNumId w:val="17"/>
  </w:num>
  <w:num w:numId="9">
    <w:abstractNumId w:val="14"/>
  </w:num>
  <w:num w:numId="10">
    <w:abstractNumId w:val="20"/>
  </w:num>
  <w:num w:numId="11">
    <w:abstractNumId w:val="9"/>
  </w:num>
  <w:num w:numId="12">
    <w:abstractNumId w:val="2"/>
  </w:num>
  <w:num w:numId="13">
    <w:abstractNumId w:val="18"/>
  </w:num>
  <w:num w:numId="14">
    <w:abstractNumId w:val="4"/>
  </w:num>
  <w:num w:numId="15">
    <w:abstractNumId w:val="13"/>
  </w:num>
  <w:num w:numId="16">
    <w:abstractNumId w:val="0"/>
  </w:num>
  <w:num w:numId="17">
    <w:abstractNumId w:val="19"/>
  </w:num>
  <w:num w:numId="18">
    <w:abstractNumId w:val="10"/>
  </w:num>
  <w:num w:numId="19">
    <w:abstractNumId w:val="16"/>
  </w:num>
  <w:num w:numId="20">
    <w:abstractNumId w:val="7"/>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063"/>
    <w:rsid w:val="00047936"/>
    <w:rsid w:val="00060DED"/>
    <w:rsid w:val="00067293"/>
    <w:rsid w:val="00080157"/>
    <w:rsid w:val="0008296B"/>
    <w:rsid w:val="000D0EF2"/>
    <w:rsid w:val="000E4FA8"/>
    <w:rsid w:val="000F54F2"/>
    <w:rsid w:val="001024C9"/>
    <w:rsid w:val="00124F41"/>
    <w:rsid w:val="00125C5A"/>
    <w:rsid w:val="00146F3B"/>
    <w:rsid w:val="001736D4"/>
    <w:rsid w:val="00194C20"/>
    <w:rsid w:val="001979D7"/>
    <w:rsid w:val="001B0EE6"/>
    <w:rsid w:val="001D6805"/>
    <w:rsid w:val="001D6FE3"/>
    <w:rsid w:val="001E6BE6"/>
    <w:rsid w:val="0020799C"/>
    <w:rsid w:val="0022540B"/>
    <w:rsid w:val="00281995"/>
    <w:rsid w:val="0029190C"/>
    <w:rsid w:val="002B7756"/>
    <w:rsid w:val="002C17E8"/>
    <w:rsid w:val="002D4366"/>
    <w:rsid w:val="002D4F78"/>
    <w:rsid w:val="00302348"/>
    <w:rsid w:val="0031508D"/>
    <w:rsid w:val="00351E9C"/>
    <w:rsid w:val="003601EA"/>
    <w:rsid w:val="003610F7"/>
    <w:rsid w:val="00364145"/>
    <w:rsid w:val="00393A9E"/>
    <w:rsid w:val="003C0712"/>
    <w:rsid w:val="003C284D"/>
    <w:rsid w:val="003E02DF"/>
    <w:rsid w:val="003E2FDE"/>
    <w:rsid w:val="003F0D9E"/>
    <w:rsid w:val="003F18AE"/>
    <w:rsid w:val="00416557"/>
    <w:rsid w:val="00420817"/>
    <w:rsid w:val="00421FDA"/>
    <w:rsid w:val="00445868"/>
    <w:rsid w:val="004468C2"/>
    <w:rsid w:val="00455610"/>
    <w:rsid w:val="004665B6"/>
    <w:rsid w:val="0047496A"/>
    <w:rsid w:val="0048100D"/>
    <w:rsid w:val="00485157"/>
    <w:rsid w:val="004B290F"/>
    <w:rsid w:val="004D0EDB"/>
    <w:rsid w:val="004D3318"/>
    <w:rsid w:val="004E5B40"/>
    <w:rsid w:val="00500E88"/>
    <w:rsid w:val="005119D2"/>
    <w:rsid w:val="005445A8"/>
    <w:rsid w:val="005446A9"/>
    <w:rsid w:val="00584085"/>
    <w:rsid w:val="00593063"/>
    <w:rsid w:val="00596F61"/>
    <w:rsid w:val="005F6342"/>
    <w:rsid w:val="00640876"/>
    <w:rsid w:val="00643A36"/>
    <w:rsid w:val="006621E6"/>
    <w:rsid w:val="00662394"/>
    <w:rsid w:val="0067518E"/>
    <w:rsid w:val="0068026B"/>
    <w:rsid w:val="00685CEB"/>
    <w:rsid w:val="00690104"/>
    <w:rsid w:val="006B7609"/>
    <w:rsid w:val="006F192B"/>
    <w:rsid w:val="007013C3"/>
    <w:rsid w:val="00731E53"/>
    <w:rsid w:val="00737F2B"/>
    <w:rsid w:val="00744154"/>
    <w:rsid w:val="00764AF7"/>
    <w:rsid w:val="007702E7"/>
    <w:rsid w:val="00777232"/>
    <w:rsid w:val="00783ED0"/>
    <w:rsid w:val="007976EF"/>
    <w:rsid w:val="007A4E19"/>
    <w:rsid w:val="007B674C"/>
    <w:rsid w:val="007D4CE5"/>
    <w:rsid w:val="007F6FCB"/>
    <w:rsid w:val="008215C0"/>
    <w:rsid w:val="00821619"/>
    <w:rsid w:val="0083093E"/>
    <w:rsid w:val="0083362C"/>
    <w:rsid w:val="008A4720"/>
    <w:rsid w:val="008A77BA"/>
    <w:rsid w:val="008D44C0"/>
    <w:rsid w:val="008D4D42"/>
    <w:rsid w:val="008E5C77"/>
    <w:rsid w:val="00930551"/>
    <w:rsid w:val="00934D39"/>
    <w:rsid w:val="00941BCC"/>
    <w:rsid w:val="009432C6"/>
    <w:rsid w:val="00973634"/>
    <w:rsid w:val="00982D99"/>
    <w:rsid w:val="00995CCC"/>
    <w:rsid w:val="009A1D9D"/>
    <w:rsid w:val="009B7121"/>
    <w:rsid w:val="009D04C9"/>
    <w:rsid w:val="009D4180"/>
    <w:rsid w:val="009D46FB"/>
    <w:rsid w:val="009E00D6"/>
    <w:rsid w:val="009E1F7E"/>
    <w:rsid w:val="009E604A"/>
    <w:rsid w:val="009F7345"/>
    <w:rsid w:val="00A1521A"/>
    <w:rsid w:val="00A24B9D"/>
    <w:rsid w:val="00A524FA"/>
    <w:rsid w:val="00A620F9"/>
    <w:rsid w:val="00A643A5"/>
    <w:rsid w:val="00A8375B"/>
    <w:rsid w:val="00AE2668"/>
    <w:rsid w:val="00AF25C6"/>
    <w:rsid w:val="00AF2C11"/>
    <w:rsid w:val="00AF53ED"/>
    <w:rsid w:val="00B04CA6"/>
    <w:rsid w:val="00B057A2"/>
    <w:rsid w:val="00B11E27"/>
    <w:rsid w:val="00B41BF9"/>
    <w:rsid w:val="00B56EA5"/>
    <w:rsid w:val="00B5701D"/>
    <w:rsid w:val="00B7743B"/>
    <w:rsid w:val="00B80B61"/>
    <w:rsid w:val="00BA785B"/>
    <w:rsid w:val="00BB2821"/>
    <w:rsid w:val="00BC2CAA"/>
    <w:rsid w:val="00BC7E91"/>
    <w:rsid w:val="00BD0B59"/>
    <w:rsid w:val="00BD2907"/>
    <w:rsid w:val="00BE2E8B"/>
    <w:rsid w:val="00BE7EB0"/>
    <w:rsid w:val="00BF03EB"/>
    <w:rsid w:val="00C019E6"/>
    <w:rsid w:val="00C0298A"/>
    <w:rsid w:val="00C252C9"/>
    <w:rsid w:val="00C46438"/>
    <w:rsid w:val="00C54265"/>
    <w:rsid w:val="00C56AFD"/>
    <w:rsid w:val="00C57C57"/>
    <w:rsid w:val="00C977E9"/>
    <w:rsid w:val="00CA05E0"/>
    <w:rsid w:val="00CA1397"/>
    <w:rsid w:val="00CA2D32"/>
    <w:rsid w:val="00CD17ED"/>
    <w:rsid w:val="00D10EB9"/>
    <w:rsid w:val="00D13C24"/>
    <w:rsid w:val="00D3098C"/>
    <w:rsid w:val="00D37C51"/>
    <w:rsid w:val="00D600F9"/>
    <w:rsid w:val="00D67995"/>
    <w:rsid w:val="00D84EC3"/>
    <w:rsid w:val="00D87C7F"/>
    <w:rsid w:val="00DC2EEE"/>
    <w:rsid w:val="00DD769E"/>
    <w:rsid w:val="00DF0A34"/>
    <w:rsid w:val="00E17621"/>
    <w:rsid w:val="00E452F9"/>
    <w:rsid w:val="00EA15D4"/>
    <w:rsid w:val="00EC783B"/>
    <w:rsid w:val="00EE50D2"/>
    <w:rsid w:val="00EF6ADD"/>
    <w:rsid w:val="00F03E81"/>
    <w:rsid w:val="00F652AC"/>
    <w:rsid w:val="00F747E0"/>
    <w:rsid w:val="00F94BF3"/>
    <w:rsid w:val="00F94E56"/>
    <w:rsid w:val="00FA5F01"/>
    <w:rsid w:val="00FA629A"/>
    <w:rsid w:val="00FB7C19"/>
    <w:rsid w:val="00FD17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16C8D-0763-4025-B9DF-D34324E0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5"/>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tblPr>
      <w:tblStyleRowBandSize w:val="1"/>
      <w:tblStyleColBandSize w:val="1"/>
      <w:tblCellMar>
        <w:top w:w="0" w:type="dxa"/>
        <w:left w:w="115" w:type="dxa"/>
        <w:bottom w:w="0" w:type="dxa"/>
        <w:right w:w="115" w:type="dxa"/>
      </w:tblCellMar>
    </w:tblPr>
  </w:style>
  <w:style w:type="table" w:customStyle="1" w:styleId="ae">
    <w:basedOn w:val="TableNormal5"/>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817139">
      <w:bodyDiv w:val="1"/>
      <w:marLeft w:val="0"/>
      <w:marRight w:val="0"/>
      <w:marTop w:val="0"/>
      <w:marBottom w:val="0"/>
      <w:divBdr>
        <w:top w:val="none" w:sz="0" w:space="0" w:color="auto"/>
        <w:left w:val="none" w:sz="0" w:space="0" w:color="auto"/>
        <w:bottom w:val="none" w:sz="0" w:space="0" w:color="auto"/>
        <w:right w:val="none" w:sz="0" w:space="0" w:color="auto"/>
      </w:divBdr>
    </w:div>
    <w:div w:id="685402577">
      <w:bodyDiv w:val="1"/>
      <w:marLeft w:val="0"/>
      <w:marRight w:val="0"/>
      <w:marTop w:val="0"/>
      <w:marBottom w:val="0"/>
      <w:divBdr>
        <w:top w:val="none" w:sz="0" w:space="0" w:color="auto"/>
        <w:left w:val="none" w:sz="0" w:space="0" w:color="auto"/>
        <w:bottom w:val="none" w:sz="0" w:space="0" w:color="auto"/>
        <w:right w:val="none" w:sz="0" w:space="0" w:color="auto"/>
      </w:divBdr>
    </w:div>
    <w:div w:id="1934891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vLDJzp8/QnV2TEUY+HHFOjYsqA==">AMUW2mUnXA+hXVm2/o7y2yuM3cVhch/WY6Z4+wfng3CC6+UPHFvGvYwybaHq6pSi0jBE8tuAjMTBAVexADo0GyIrdx9FYZb9RseKhBcbsxbVsmUDcTxCG/2OBIlshrEzxYaqXRxWEodawsU7h59dOI4pvVee/IiscsBMBjxlt+ewHz1eOxbX4ZI=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8383</Words>
  <Characters>46109</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2023-10-27T19:15:00Z</cp:lastPrinted>
  <dcterms:created xsi:type="dcterms:W3CDTF">2023-11-07T23:26:00Z</dcterms:created>
  <dcterms:modified xsi:type="dcterms:W3CDTF">2023-11-07T23:26:00Z</dcterms:modified>
</cp:coreProperties>
</file>