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0C99D" w14:textId="05A09C18" w:rsidR="001C2C89" w:rsidRPr="00322B1B" w:rsidRDefault="001C2C89" w:rsidP="001C2C89">
      <w:pPr>
        <w:tabs>
          <w:tab w:val="left" w:pos="8931"/>
        </w:tabs>
        <w:spacing w:after="0" w:line="360" w:lineRule="auto"/>
        <w:rPr>
          <w:rFonts w:eastAsia="Calibri" w:cs="Tahoma"/>
          <w:lang w:val="es-ES"/>
        </w:rPr>
      </w:pPr>
      <w:r w:rsidRPr="00322B1B">
        <w:rPr>
          <w:rFonts w:cs="Tahoma"/>
          <w:bCs/>
        </w:rPr>
        <w:t xml:space="preserve">Resolución del Pleno del Instituto de Transparencia, Acceso a la Información Pública y Protección de Datos Personales del Estado de México y Municipios, con domicilio en Metepec, </w:t>
      </w:r>
      <w:r w:rsidRPr="00322B1B">
        <w:rPr>
          <w:rFonts w:eastAsia="Calibri" w:cs="Tahoma"/>
          <w:lang w:val="es-ES"/>
        </w:rPr>
        <w:t xml:space="preserve">Estado de México, </w:t>
      </w:r>
      <w:r w:rsidR="00B821B1" w:rsidRPr="00322B1B">
        <w:rPr>
          <w:rFonts w:eastAsia="Calibri" w:cs="Tahoma"/>
          <w:lang w:val="es-ES"/>
        </w:rPr>
        <w:t>treinta y uno</w:t>
      </w:r>
      <w:r w:rsidRPr="00322B1B">
        <w:rPr>
          <w:rFonts w:eastAsia="Calibri" w:cs="Tahoma"/>
          <w:lang w:val="es-ES"/>
        </w:rPr>
        <w:t xml:space="preserve"> de mayo de dos mil veintitrés. </w:t>
      </w:r>
    </w:p>
    <w:p w14:paraId="4A837323" w14:textId="77777777" w:rsidR="001C2C89" w:rsidRPr="00322B1B" w:rsidRDefault="001C2C89" w:rsidP="001C2C89">
      <w:pPr>
        <w:spacing w:after="0" w:line="360" w:lineRule="auto"/>
        <w:rPr>
          <w:rFonts w:eastAsia="Calibri" w:cs="Tahoma"/>
          <w:b/>
          <w:bCs/>
          <w:lang w:val="es-ES"/>
        </w:rPr>
      </w:pPr>
    </w:p>
    <w:p w14:paraId="2FE4DD28" w14:textId="23CCAD8F" w:rsidR="001C2C89" w:rsidRPr="00322B1B" w:rsidRDefault="001C2C89" w:rsidP="001C2C89">
      <w:pPr>
        <w:spacing w:after="0" w:line="360" w:lineRule="auto"/>
        <w:rPr>
          <w:rFonts w:cs="Tahoma"/>
          <w:color w:val="0D0D0D" w:themeColor="text1" w:themeTint="F2"/>
        </w:rPr>
      </w:pPr>
      <w:r w:rsidRPr="00322B1B">
        <w:rPr>
          <w:rFonts w:eastAsia="Calibri" w:cs="Tahoma"/>
          <w:b/>
          <w:bCs/>
          <w:lang w:val="es-ES"/>
        </w:rPr>
        <w:t xml:space="preserve">VISTO </w:t>
      </w:r>
      <w:r w:rsidRPr="00322B1B">
        <w:rPr>
          <w:rFonts w:eastAsia="Calibri" w:cs="Tahoma"/>
          <w:lang w:val="es-ES"/>
        </w:rPr>
        <w:t xml:space="preserve">el expediente conformado con motivo del Recurso de Revisión </w:t>
      </w:r>
      <w:r w:rsidRPr="00322B1B">
        <w:rPr>
          <w:rFonts w:eastAsia="Calibri" w:cs="Tahoma"/>
          <w:bCs/>
        </w:rPr>
        <w:t>0</w:t>
      </w:r>
      <w:r w:rsidR="00B821B1" w:rsidRPr="00322B1B">
        <w:rPr>
          <w:rFonts w:eastAsia="Calibri" w:cs="Tahoma"/>
          <w:bCs/>
        </w:rPr>
        <w:t>2406</w:t>
      </w:r>
      <w:r w:rsidRPr="00322B1B">
        <w:rPr>
          <w:rFonts w:eastAsia="Calibri" w:cs="Tahoma"/>
          <w:bCs/>
        </w:rPr>
        <w:t>/INFOEM/IP/RR/2023,</w:t>
      </w:r>
      <w:r w:rsidRPr="00322B1B">
        <w:rPr>
          <w:rFonts w:eastAsia="Calibri" w:cs="Tahoma"/>
        </w:rPr>
        <w:t xml:space="preserve"> interpuesto por el</w:t>
      </w:r>
      <w:r w:rsidRPr="00322B1B">
        <w:rPr>
          <w:rFonts w:cs="Tahoma"/>
          <w:color w:val="0D0D0D" w:themeColor="text1" w:themeTint="F2"/>
        </w:rPr>
        <w:t xml:space="preserve"> Recurrente o Particular, en contra de la respuesta del Sujeto Obligado, Ayuntamiento de </w:t>
      </w:r>
      <w:r w:rsidR="00B821B1" w:rsidRPr="00322B1B">
        <w:rPr>
          <w:rFonts w:cs="Tahoma"/>
          <w:color w:val="0D0D0D" w:themeColor="text1" w:themeTint="F2"/>
        </w:rPr>
        <w:t>Metepec</w:t>
      </w:r>
      <w:r w:rsidRPr="00322B1B">
        <w:rPr>
          <w:rFonts w:cs="Tahoma"/>
          <w:color w:val="0D0D0D" w:themeColor="text1" w:themeTint="F2"/>
        </w:rPr>
        <w:t>, a la solicitud de acceso a la información pública</w:t>
      </w:r>
      <w:r w:rsidRPr="00322B1B">
        <w:t xml:space="preserve"> 0</w:t>
      </w:r>
      <w:r w:rsidR="00B821B1" w:rsidRPr="00322B1B">
        <w:t>0286</w:t>
      </w:r>
      <w:r w:rsidRPr="00322B1B">
        <w:t>/</w:t>
      </w:r>
      <w:r w:rsidR="00B821B1" w:rsidRPr="00322B1B">
        <w:t>METEPEC</w:t>
      </w:r>
      <w:r w:rsidRPr="00322B1B">
        <w:t xml:space="preserve">/IP/2023, </w:t>
      </w:r>
      <w:r w:rsidRPr="00322B1B">
        <w:rPr>
          <w:rFonts w:cs="Tahoma"/>
          <w:color w:val="0D0D0D" w:themeColor="text1" w:themeTint="F2"/>
        </w:rPr>
        <w:t>se emite</w:t>
      </w:r>
      <w:r w:rsidRPr="00322B1B">
        <w:rPr>
          <w:rFonts w:cs="Tahoma"/>
          <w:bCs/>
          <w:color w:val="0D0D0D" w:themeColor="text1" w:themeTint="F2"/>
        </w:rPr>
        <w:t xml:space="preserve"> la presente Resolución, con base en los Antecedentes y Considerandos que se exponen a continuación:</w:t>
      </w:r>
    </w:p>
    <w:p w14:paraId="7A052065" w14:textId="77777777" w:rsidR="001C2C89" w:rsidRPr="00322B1B" w:rsidRDefault="001C2C89" w:rsidP="001C2C89">
      <w:pPr>
        <w:spacing w:after="0" w:line="360" w:lineRule="auto"/>
        <w:rPr>
          <w:rFonts w:eastAsia="Calibri" w:cs="Tahoma"/>
          <w:b/>
          <w:bCs/>
          <w:lang w:val="es-ES"/>
        </w:rPr>
      </w:pPr>
    </w:p>
    <w:p w14:paraId="31B8ACDE" w14:textId="77777777" w:rsidR="001C2C89" w:rsidRPr="00322B1B" w:rsidRDefault="001C2C89" w:rsidP="001C2C89">
      <w:pPr>
        <w:spacing w:after="0" w:line="360" w:lineRule="auto"/>
        <w:jc w:val="center"/>
        <w:rPr>
          <w:rFonts w:eastAsia="Calibri" w:cs="Tahoma"/>
          <w:b/>
          <w:bCs/>
          <w:lang w:val="es-ES"/>
        </w:rPr>
      </w:pPr>
      <w:r w:rsidRPr="00322B1B">
        <w:rPr>
          <w:rFonts w:eastAsia="Calibri" w:cs="Tahoma"/>
          <w:b/>
          <w:bCs/>
          <w:lang w:val="es-ES"/>
        </w:rPr>
        <w:t>A N T E C E D E N T E S:</w:t>
      </w:r>
    </w:p>
    <w:p w14:paraId="14CC82F7" w14:textId="77777777" w:rsidR="001C2C89" w:rsidRPr="00322B1B" w:rsidRDefault="001C2C89" w:rsidP="001C2C89">
      <w:pPr>
        <w:spacing w:after="0" w:line="360" w:lineRule="auto"/>
        <w:rPr>
          <w:lang w:val="es-ES"/>
        </w:rPr>
      </w:pPr>
    </w:p>
    <w:p w14:paraId="04C8E7B2" w14:textId="77777777" w:rsidR="001C2C89" w:rsidRPr="00322B1B" w:rsidRDefault="001C2C89" w:rsidP="001C2C89">
      <w:pPr>
        <w:spacing w:after="0" w:line="360" w:lineRule="auto"/>
        <w:rPr>
          <w:rFonts w:eastAsia="Calibri" w:cs="Tahoma"/>
          <w:b/>
          <w:bCs/>
          <w:lang w:val="es-ES"/>
        </w:rPr>
      </w:pPr>
      <w:r w:rsidRPr="00322B1B">
        <w:rPr>
          <w:rFonts w:eastAsia="Calibri" w:cs="Tahoma"/>
          <w:b/>
          <w:bCs/>
          <w:lang w:val="es-ES"/>
        </w:rPr>
        <w:t>I. Presentación de la solicitud de información.</w:t>
      </w:r>
    </w:p>
    <w:p w14:paraId="2A6D405A" w14:textId="77777777" w:rsidR="001C2C89" w:rsidRPr="00322B1B" w:rsidRDefault="001C2C89" w:rsidP="001C2C89">
      <w:pPr>
        <w:spacing w:after="0" w:line="360" w:lineRule="auto"/>
        <w:rPr>
          <w:rFonts w:eastAsia="Calibri" w:cs="Tahoma"/>
          <w:b/>
          <w:bCs/>
          <w:lang w:val="es-ES"/>
        </w:rPr>
      </w:pPr>
    </w:p>
    <w:p w14:paraId="3C4A8860" w14:textId="0B911A38" w:rsidR="001C2C89" w:rsidRPr="00322B1B" w:rsidRDefault="001C2C89" w:rsidP="001C2C89">
      <w:pPr>
        <w:spacing w:after="0" w:line="360" w:lineRule="auto"/>
        <w:rPr>
          <w:rFonts w:cs="Tahoma"/>
        </w:rPr>
      </w:pPr>
      <w:r w:rsidRPr="00322B1B">
        <w:rPr>
          <w:rFonts w:eastAsia="Calibri" w:cs="Tahoma"/>
          <w:lang w:val="es-ES"/>
        </w:rPr>
        <w:t xml:space="preserve">Con fecha </w:t>
      </w:r>
      <w:r w:rsidR="00B821B1" w:rsidRPr="00322B1B">
        <w:rPr>
          <w:rFonts w:eastAsia="Calibri" w:cs="Tahoma"/>
          <w:lang w:val="es-ES"/>
        </w:rPr>
        <w:t>catorce</w:t>
      </w:r>
      <w:r w:rsidRPr="00322B1B">
        <w:rPr>
          <w:rFonts w:eastAsia="Calibri" w:cs="Tahoma"/>
          <w:lang w:val="es-ES"/>
        </w:rPr>
        <w:t xml:space="preserve"> de </w:t>
      </w:r>
      <w:r w:rsidR="00B821B1" w:rsidRPr="00322B1B">
        <w:rPr>
          <w:rFonts w:eastAsia="Calibri" w:cs="Tahoma"/>
          <w:lang w:val="es-ES"/>
        </w:rPr>
        <w:t>marzo</w:t>
      </w:r>
      <w:r w:rsidRPr="00322B1B">
        <w:rPr>
          <w:rFonts w:eastAsia="Calibri" w:cs="Tahoma"/>
          <w:lang w:val="es-ES"/>
        </w:rPr>
        <w:t xml:space="preserve"> de dos mil veintitrés, el Particular presentó una solicitud de información, a través del Sistema de Acceso a la Información Mexiquense (SAIMEX), ante el Ayuntamiento de </w:t>
      </w:r>
      <w:r w:rsidR="00B821B1" w:rsidRPr="00322B1B">
        <w:rPr>
          <w:rFonts w:eastAsia="Calibri" w:cs="Tahoma"/>
          <w:lang w:val="es-ES"/>
        </w:rPr>
        <w:t>Metepec</w:t>
      </w:r>
      <w:r w:rsidRPr="00322B1B">
        <w:rPr>
          <w:b/>
          <w:bCs/>
          <w:lang w:val="es-ES"/>
        </w:rPr>
        <w:t>,</w:t>
      </w:r>
      <w:r w:rsidRPr="00322B1B">
        <w:rPr>
          <w:rFonts w:cs="Tahoma"/>
        </w:rPr>
        <w:t xml:space="preserve"> en los siguientes términos:</w:t>
      </w:r>
    </w:p>
    <w:p w14:paraId="125E8FE3" w14:textId="77777777" w:rsidR="001C2C89" w:rsidRPr="00322B1B" w:rsidRDefault="001C2C89" w:rsidP="001C2C89">
      <w:pPr>
        <w:spacing w:after="0" w:line="360" w:lineRule="auto"/>
        <w:rPr>
          <w:rFonts w:cs="Tahoma"/>
        </w:rPr>
      </w:pPr>
    </w:p>
    <w:p w14:paraId="50C2B61B" w14:textId="77777777" w:rsidR="001C2C89" w:rsidRPr="00322B1B" w:rsidRDefault="001C2C89" w:rsidP="001C2C89">
      <w:pPr>
        <w:tabs>
          <w:tab w:val="left" w:pos="4667"/>
        </w:tabs>
        <w:spacing w:after="0" w:line="360" w:lineRule="auto"/>
        <w:ind w:left="567" w:right="567"/>
        <w:rPr>
          <w:rFonts w:cs="Tahoma"/>
          <w:b/>
          <w:bCs/>
          <w:i/>
          <w:sz w:val="20"/>
          <w:szCs w:val="20"/>
        </w:rPr>
      </w:pPr>
      <w:r w:rsidRPr="00322B1B">
        <w:rPr>
          <w:rFonts w:cs="Tahoma"/>
          <w:b/>
          <w:bCs/>
          <w:i/>
          <w:sz w:val="20"/>
          <w:szCs w:val="20"/>
        </w:rPr>
        <w:t>“DESCRIPCIÓN CLARA Y PRECISA DE LA INFORMACIÓN SOLICITADA</w:t>
      </w:r>
    </w:p>
    <w:p w14:paraId="58D0FDF4" w14:textId="5CDDBE17" w:rsidR="001C2C89" w:rsidRPr="00322B1B" w:rsidRDefault="00B821B1" w:rsidP="00B821B1">
      <w:pPr>
        <w:tabs>
          <w:tab w:val="left" w:pos="4667"/>
        </w:tabs>
        <w:spacing w:after="0" w:line="360" w:lineRule="auto"/>
        <w:ind w:left="567" w:right="567"/>
        <w:rPr>
          <w:i/>
          <w:iCs/>
          <w:color w:val="000000"/>
          <w:sz w:val="20"/>
          <w:szCs w:val="20"/>
        </w:rPr>
      </w:pPr>
      <w:r w:rsidRPr="00322B1B">
        <w:rPr>
          <w:i/>
          <w:iCs/>
          <w:color w:val="000000"/>
          <w:sz w:val="20"/>
          <w:szCs w:val="20"/>
        </w:rPr>
        <w:t>cómo se conforma el comité interno de obra pública del Ayuntamiento de Metepec, quienes son sus integrantes y cuáles son sus funciones”</w:t>
      </w:r>
      <w:r w:rsidR="001C2C89" w:rsidRPr="00322B1B">
        <w:rPr>
          <w:i/>
          <w:iCs/>
          <w:color w:val="000000"/>
          <w:sz w:val="20"/>
          <w:szCs w:val="20"/>
        </w:rPr>
        <w:t xml:space="preserve"> (Sic)</w:t>
      </w:r>
    </w:p>
    <w:p w14:paraId="64AB52CE" w14:textId="77777777" w:rsidR="001C2C89" w:rsidRPr="00322B1B" w:rsidRDefault="001C2C89" w:rsidP="001C2C89">
      <w:pPr>
        <w:spacing w:after="0" w:line="360" w:lineRule="auto"/>
        <w:ind w:left="567" w:right="567"/>
        <w:rPr>
          <w:rFonts w:eastAsia="Times New Roman" w:cs="Arial"/>
          <w:bCs/>
          <w:i/>
          <w:color w:val="auto"/>
          <w:sz w:val="20"/>
          <w:szCs w:val="20"/>
          <w:lang w:eastAsia="es-ES"/>
        </w:rPr>
      </w:pPr>
    </w:p>
    <w:p w14:paraId="1B948886" w14:textId="77777777" w:rsidR="001C2C89" w:rsidRPr="00322B1B" w:rsidRDefault="001C2C89" w:rsidP="001C2C89">
      <w:pPr>
        <w:tabs>
          <w:tab w:val="left" w:pos="4667"/>
        </w:tabs>
        <w:spacing w:after="0" w:line="360" w:lineRule="auto"/>
        <w:ind w:left="567" w:right="567"/>
        <w:rPr>
          <w:rFonts w:eastAsia="Times New Roman" w:cs="Tahoma"/>
          <w:b/>
          <w:bCs/>
          <w:i/>
          <w:iCs/>
          <w:color w:val="auto"/>
          <w:sz w:val="20"/>
          <w:szCs w:val="20"/>
          <w:lang w:eastAsia="es-ES"/>
        </w:rPr>
      </w:pPr>
      <w:r w:rsidRPr="00322B1B">
        <w:rPr>
          <w:rFonts w:eastAsia="Times New Roman" w:cs="Tahoma"/>
          <w:b/>
          <w:bCs/>
          <w:i/>
          <w:iCs/>
          <w:color w:val="auto"/>
          <w:sz w:val="20"/>
          <w:szCs w:val="20"/>
          <w:lang w:eastAsia="es-ES"/>
        </w:rPr>
        <w:t>“MODALIDAD DE ENTREGA</w:t>
      </w:r>
    </w:p>
    <w:p w14:paraId="2C462E6F" w14:textId="77777777" w:rsidR="001C2C89" w:rsidRPr="00322B1B" w:rsidRDefault="001C2C89" w:rsidP="001C2C89">
      <w:pPr>
        <w:spacing w:after="0" w:line="360" w:lineRule="auto"/>
        <w:ind w:left="567" w:right="567"/>
        <w:rPr>
          <w:rFonts w:eastAsia="Times New Roman" w:cs="Arial"/>
          <w:bCs/>
          <w:i/>
          <w:iCs/>
          <w:color w:val="auto"/>
          <w:sz w:val="20"/>
          <w:szCs w:val="20"/>
          <w:lang w:eastAsia="es-ES"/>
        </w:rPr>
      </w:pPr>
      <w:r w:rsidRPr="00322B1B">
        <w:rPr>
          <w:rFonts w:eastAsia="Times New Roman" w:cs="Arial"/>
          <w:bCs/>
          <w:i/>
          <w:iCs/>
          <w:color w:val="auto"/>
          <w:sz w:val="20"/>
          <w:szCs w:val="20"/>
          <w:lang w:eastAsia="es-ES"/>
        </w:rPr>
        <w:t>A través del SAIMEX” (Sic)</w:t>
      </w:r>
    </w:p>
    <w:p w14:paraId="1B70232E" w14:textId="77777777" w:rsidR="001C2C89" w:rsidRPr="00322B1B" w:rsidRDefault="001C2C89" w:rsidP="001C2C89">
      <w:pPr>
        <w:spacing w:after="0" w:line="360" w:lineRule="auto"/>
        <w:ind w:left="567" w:right="567"/>
        <w:rPr>
          <w:rFonts w:eastAsia="Times New Roman" w:cs="Arial"/>
          <w:bCs/>
          <w:i/>
          <w:iCs/>
          <w:color w:val="auto"/>
          <w:sz w:val="20"/>
          <w:lang w:eastAsia="es-ES"/>
        </w:rPr>
      </w:pPr>
    </w:p>
    <w:p w14:paraId="26C9AA91" w14:textId="77777777" w:rsidR="00AB2BDE" w:rsidRPr="00322B1B" w:rsidRDefault="00AB2BDE" w:rsidP="007D0581">
      <w:pPr>
        <w:pStyle w:val="NormalWeb"/>
        <w:spacing w:before="0" w:beforeAutospacing="0" w:after="0" w:afterAutospacing="0" w:line="360" w:lineRule="auto"/>
        <w:jc w:val="both"/>
        <w:rPr>
          <w:rFonts w:ascii="Palatino Linotype" w:hAnsi="Palatino Linotype"/>
          <w:b/>
          <w:bCs/>
          <w:color w:val="000000"/>
          <w:sz w:val="22"/>
          <w:szCs w:val="22"/>
          <w:lang w:val="es-MX"/>
        </w:rPr>
      </w:pPr>
      <w:r w:rsidRPr="00322B1B">
        <w:rPr>
          <w:rFonts w:ascii="Palatino Linotype" w:hAnsi="Palatino Linotype"/>
          <w:b/>
          <w:bCs/>
          <w:color w:val="000000"/>
          <w:sz w:val="22"/>
          <w:szCs w:val="22"/>
          <w:lang w:val="es-MX"/>
        </w:rPr>
        <w:t>II. Prórroga para atender su solicitud de información.</w:t>
      </w:r>
    </w:p>
    <w:p w14:paraId="594A3CE1" w14:textId="77777777" w:rsidR="007D0581" w:rsidRPr="00322B1B" w:rsidRDefault="007D0581" w:rsidP="007D0581">
      <w:pPr>
        <w:pStyle w:val="NormalWeb"/>
        <w:spacing w:before="0" w:beforeAutospacing="0" w:after="0" w:afterAutospacing="0" w:line="360" w:lineRule="auto"/>
        <w:jc w:val="both"/>
        <w:rPr>
          <w:rFonts w:ascii="Palatino Linotype" w:hAnsi="Palatino Linotype"/>
          <w:b/>
          <w:bCs/>
          <w:color w:val="000000"/>
          <w:sz w:val="22"/>
          <w:szCs w:val="22"/>
          <w:lang w:val="es-MX"/>
        </w:rPr>
      </w:pPr>
    </w:p>
    <w:p w14:paraId="4B9915A9" w14:textId="4AE0C9D0" w:rsidR="007D0581" w:rsidRPr="00322B1B" w:rsidRDefault="00AB2BDE" w:rsidP="007D0581">
      <w:pPr>
        <w:pStyle w:val="NormalWeb"/>
        <w:spacing w:before="0" w:beforeAutospacing="0" w:after="0" w:afterAutospacing="0" w:line="360" w:lineRule="auto"/>
        <w:jc w:val="both"/>
        <w:rPr>
          <w:rFonts w:ascii="Palatino Linotype" w:hAnsi="Palatino Linotype"/>
          <w:color w:val="000000"/>
          <w:sz w:val="22"/>
          <w:szCs w:val="22"/>
          <w:lang w:val="es-MX"/>
        </w:rPr>
      </w:pPr>
      <w:r w:rsidRPr="00322B1B">
        <w:rPr>
          <w:rFonts w:ascii="Palatino Linotype" w:hAnsi="Palatino Linotype"/>
          <w:color w:val="000000"/>
          <w:sz w:val="22"/>
          <w:szCs w:val="22"/>
          <w:lang w:val="es-MX"/>
        </w:rPr>
        <w:lastRenderedPageBreak/>
        <w:t xml:space="preserve">Con fecha </w:t>
      </w:r>
      <w:r w:rsidR="007D0581" w:rsidRPr="00322B1B">
        <w:rPr>
          <w:rFonts w:ascii="Palatino Linotype" w:hAnsi="Palatino Linotype"/>
          <w:color w:val="000000"/>
          <w:sz w:val="22"/>
          <w:szCs w:val="22"/>
          <w:lang w:val="es-MX"/>
        </w:rPr>
        <w:t>doce</w:t>
      </w:r>
      <w:r w:rsidRPr="00322B1B">
        <w:rPr>
          <w:rFonts w:ascii="Palatino Linotype" w:hAnsi="Palatino Linotype"/>
          <w:color w:val="000000"/>
          <w:sz w:val="22"/>
          <w:szCs w:val="22"/>
          <w:lang w:val="es-MX"/>
        </w:rPr>
        <w:t xml:space="preserve"> de abril de dos mil veintitrés, el Sujeto Obligado, a través del Sistema de Acceso a la Información Mexiquense (SAIMEX) notificó al Particular una prórroga para atender su solicitud de información, mediante la Septuagésima Novena Sesión Extraordinaria del Comité de Transparencia.</w:t>
      </w:r>
    </w:p>
    <w:p w14:paraId="2D7B491D" w14:textId="77777777" w:rsidR="00AB2BDE" w:rsidRPr="00322B1B" w:rsidRDefault="00AB2BDE" w:rsidP="007D0581">
      <w:pPr>
        <w:tabs>
          <w:tab w:val="left" w:pos="4667"/>
        </w:tabs>
        <w:spacing w:after="0" w:line="360" w:lineRule="auto"/>
        <w:ind w:right="567"/>
        <w:rPr>
          <w:rFonts w:cs="Tahoma"/>
          <w:b/>
          <w:bCs/>
          <w:szCs w:val="24"/>
        </w:rPr>
      </w:pPr>
    </w:p>
    <w:p w14:paraId="380260CC" w14:textId="4E9C358B" w:rsidR="001C2C89" w:rsidRPr="00322B1B" w:rsidRDefault="001C2C89" w:rsidP="001C2C89">
      <w:pPr>
        <w:tabs>
          <w:tab w:val="left" w:pos="4667"/>
        </w:tabs>
        <w:spacing w:after="0" w:line="360" w:lineRule="auto"/>
        <w:ind w:right="567"/>
        <w:rPr>
          <w:rFonts w:cs="Tahoma"/>
          <w:b/>
          <w:bCs/>
          <w:color w:val="auto"/>
          <w:szCs w:val="24"/>
        </w:rPr>
      </w:pPr>
      <w:r w:rsidRPr="00322B1B">
        <w:rPr>
          <w:rFonts w:cs="Tahoma"/>
          <w:b/>
          <w:bCs/>
          <w:szCs w:val="24"/>
        </w:rPr>
        <w:t>II</w:t>
      </w:r>
      <w:r w:rsidR="00AB2BDE" w:rsidRPr="00322B1B">
        <w:rPr>
          <w:rFonts w:cs="Tahoma"/>
          <w:b/>
          <w:bCs/>
          <w:szCs w:val="24"/>
        </w:rPr>
        <w:t>I</w:t>
      </w:r>
      <w:r w:rsidRPr="00322B1B">
        <w:rPr>
          <w:rFonts w:cs="Tahoma"/>
          <w:b/>
          <w:bCs/>
          <w:szCs w:val="24"/>
        </w:rPr>
        <w:t xml:space="preserve">. </w:t>
      </w:r>
      <w:r w:rsidRPr="00322B1B">
        <w:rPr>
          <w:rFonts w:cs="Tahoma"/>
          <w:b/>
          <w:szCs w:val="24"/>
        </w:rPr>
        <w:t>Respuesta</w:t>
      </w:r>
      <w:r w:rsidRPr="00322B1B">
        <w:rPr>
          <w:rFonts w:cs="Tahoma"/>
          <w:b/>
          <w:bCs/>
          <w:szCs w:val="24"/>
        </w:rPr>
        <w:t xml:space="preserve"> del Sujeto Obligado.</w:t>
      </w:r>
    </w:p>
    <w:p w14:paraId="4E4837B8" w14:textId="77777777" w:rsidR="001C2C89" w:rsidRPr="00322B1B" w:rsidRDefault="001C2C89" w:rsidP="001C2C89">
      <w:pPr>
        <w:pStyle w:val="Prrafodelista"/>
        <w:tabs>
          <w:tab w:val="left" w:pos="567"/>
        </w:tabs>
        <w:spacing w:after="0" w:line="360" w:lineRule="auto"/>
        <w:ind w:left="0"/>
        <w:rPr>
          <w:rFonts w:cs="Tahoma"/>
          <w:bCs/>
        </w:rPr>
      </w:pPr>
    </w:p>
    <w:p w14:paraId="438E5DDE" w14:textId="5F5CB383" w:rsidR="001C2C89" w:rsidRPr="00322B1B" w:rsidRDefault="0068260D" w:rsidP="001C2C89">
      <w:pPr>
        <w:pStyle w:val="Prrafodelista"/>
        <w:tabs>
          <w:tab w:val="left" w:pos="567"/>
        </w:tabs>
        <w:spacing w:after="0" w:line="360" w:lineRule="auto"/>
        <w:ind w:left="0"/>
        <w:rPr>
          <w:rFonts w:cs="Tahoma"/>
        </w:rPr>
      </w:pPr>
      <w:r w:rsidRPr="00322B1B">
        <w:rPr>
          <w:rFonts w:cs="Tahoma"/>
          <w:bCs/>
        </w:rPr>
        <w:t>Con fecha</w:t>
      </w:r>
      <w:r w:rsidR="001C2C89" w:rsidRPr="00322B1B">
        <w:rPr>
          <w:rFonts w:cs="Tahoma"/>
          <w:bCs/>
        </w:rPr>
        <w:t xml:space="preserve"> veinti</w:t>
      </w:r>
      <w:r w:rsidR="00F82413" w:rsidRPr="00322B1B">
        <w:rPr>
          <w:rFonts w:cs="Tahoma"/>
          <w:bCs/>
        </w:rPr>
        <w:t>uno</w:t>
      </w:r>
      <w:r w:rsidR="001C2C89" w:rsidRPr="00322B1B">
        <w:rPr>
          <w:rFonts w:cs="Tahoma"/>
          <w:bCs/>
        </w:rPr>
        <w:t xml:space="preserve"> de </w:t>
      </w:r>
      <w:r w:rsidR="00F82413" w:rsidRPr="00322B1B">
        <w:rPr>
          <w:rFonts w:cs="Tahoma"/>
          <w:bCs/>
        </w:rPr>
        <w:t>abril</w:t>
      </w:r>
      <w:r w:rsidR="001C2C89" w:rsidRPr="00322B1B">
        <w:rPr>
          <w:rFonts w:cs="Tahoma"/>
          <w:bCs/>
        </w:rPr>
        <w:t xml:space="preserve"> de dos mil veintitrés,</w:t>
      </w:r>
      <w:r w:rsidR="001C2C89" w:rsidRPr="00322B1B">
        <w:rPr>
          <w:rFonts w:cs="Tahoma"/>
        </w:rPr>
        <w:t xml:space="preserve"> el Ayuntamiento de </w:t>
      </w:r>
      <w:r w:rsidR="00F82413" w:rsidRPr="00322B1B">
        <w:rPr>
          <w:rFonts w:cs="Tahoma"/>
        </w:rPr>
        <w:t>Metepec</w:t>
      </w:r>
      <w:r w:rsidR="001C2C89" w:rsidRPr="00322B1B">
        <w:rPr>
          <w:rFonts w:cs="Tahoma"/>
        </w:rPr>
        <w:t xml:space="preserve"> notificó al Solicitante, mediante el Sistema de Acceso a la Información Mexiquense (SAIMEX), la respuesta a la solicitud de acceso a la información, por medio del oficio número </w:t>
      </w:r>
      <w:r w:rsidR="00F82413" w:rsidRPr="00322B1B">
        <w:rPr>
          <w:rFonts w:cs="Tahoma"/>
        </w:rPr>
        <w:t>DOP/734/2023</w:t>
      </w:r>
      <w:r w:rsidR="001C2C89" w:rsidRPr="00322B1B">
        <w:rPr>
          <w:rFonts w:cs="Tahoma"/>
        </w:rPr>
        <w:t xml:space="preserve">, de fecha </w:t>
      </w:r>
      <w:r w:rsidR="00F82413" w:rsidRPr="00322B1B">
        <w:rPr>
          <w:rFonts w:cs="Tahoma"/>
        </w:rPr>
        <w:t>treinta y uno</w:t>
      </w:r>
      <w:r w:rsidR="008A205A" w:rsidRPr="00322B1B">
        <w:rPr>
          <w:rFonts w:cs="Tahoma"/>
        </w:rPr>
        <w:t xml:space="preserve"> de </w:t>
      </w:r>
      <w:r w:rsidR="00F82413" w:rsidRPr="00322B1B">
        <w:rPr>
          <w:rFonts w:cs="Tahoma"/>
        </w:rPr>
        <w:t>marzo</w:t>
      </w:r>
      <w:r w:rsidR="008A205A" w:rsidRPr="00322B1B">
        <w:rPr>
          <w:rFonts w:cs="Tahoma"/>
        </w:rPr>
        <w:t xml:space="preserve"> </w:t>
      </w:r>
      <w:r w:rsidR="001C2C89" w:rsidRPr="00322B1B">
        <w:rPr>
          <w:rFonts w:cs="Tahoma"/>
        </w:rPr>
        <w:t>de dos mil veinti</w:t>
      </w:r>
      <w:r w:rsidR="008A205A" w:rsidRPr="00322B1B">
        <w:rPr>
          <w:rFonts w:cs="Tahoma"/>
        </w:rPr>
        <w:t>trés</w:t>
      </w:r>
      <w:r w:rsidR="001C2C89" w:rsidRPr="00322B1B">
        <w:rPr>
          <w:rFonts w:cs="Tahoma"/>
        </w:rPr>
        <w:t xml:space="preserve">, suscrito por el </w:t>
      </w:r>
      <w:r w:rsidR="00F82413" w:rsidRPr="00322B1B">
        <w:rPr>
          <w:rFonts w:cs="Tahoma"/>
        </w:rPr>
        <w:t>Director de Obras Públicas</w:t>
      </w:r>
      <w:r w:rsidR="008A205A" w:rsidRPr="00322B1B">
        <w:rPr>
          <w:rFonts w:cs="Tahoma"/>
        </w:rPr>
        <w:t xml:space="preserve">, dirigido al </w:t>
      </w:r>
      <w:r w:rsidR="00F82413" w:rsidRPr="00322B1B">
        <w:rPr>
          <w:rFonts w:cs="Tahoma"/>
        </w:rPr>
        <w:t>Director</w:t>
      </w:r>
      <w:r w:rsidR="001C2C89" w:rsidRPr="00322B1B">
        <w:rPr>
          <w:rFonts w:cs="Tahoma"/>
        </w:rPr>
        <w:t xml:space="preserve"> de Transparencia</w:t>
      </w:r>
      <w:r w:rsidR="00F82413" w:rsidRPr="00322B1B">
        <w:rPr>
          <w:rFonts w:cs="Tahoma"/>
        </w:rPr>
        <w:t xml:space="preserve"> y Gobierno Abierto</w:t>
      </w:r>
      <w:r w:rsidR="001C2C89" w:rsidRPr="00322B1B">
        <w:rPr>
          <w:rFonts w:cs="Tahoma"/>
        </w:rPr>
        <w:t xml:space="preserve">, por medio del cual manifiesta y expone: </w:t>
      </w:r>
    </w:p>
    <w:p w14:paraId="47B3E730" w14:textId="77777777" w:rsidR="001C2C89" w:rsidRPr="00322B1B" w:rsidRDefault="001C2C89" w:rsidP="001C2C89">
      <w:pPr>
        <w:spacing w:after="0" w:line="360" w:lineRule="auto"/>
        <w:ind w:left="567" w:right="567"/>
        <w:rPr>
          <w:rFonts w:eastAsia="Calibri" w:cs="Tahoma"/>
          <w:b/>
          <w:i/>
          <w:iCs/>
          <w:sz w:val="20"/>
          <w:szCs w:val="20"/>
        </w:rPr>
      </w:pPr>
    </w:p>
    <w:p w14:paraId="5BB8F899" w14:textId="77777777" w:rsidR="001C2C89" w:rsidRPr="00322B1B" w:rsidRDefault="001C2C89" w:rsidP="001C2C89">
      <w:pPr>
        <w:spacing w:after="0" w:line="360" w:lineRule="auto"/>
        <w:ind w:left="567" w:right="567"/>
        <w:rPr>
          <w:rFonts w:eastAsia="Calibri" w:cs="Tahoma"/>
          <w:bCs/>
          <w:i/>
          <w:iCs/>
          <w:sz w:val="20"/>
          <w:szCs w:val="20"/>
        </w:rPr>
      </w:pPr>
      <w:r w:rsidRPr="00322B1B">
        <w:rPr>
          <w:rFonts w:eastAsia="Calibri" w:cs="Tahoma"/>
          <w:bCs/>
          <w:i/>
          <w:iCs/>
          <w:sz w:val="20"/>
          <w:szCs w:val="20"/>
        </w:rPr>
        <w:t>“…</w:t>
      </w:r>
    </w:p>
    <w:p w14:paraId="61E461D0" w14:textId="350598F0" w:rsidR="004676B5" w:rsidRPr="00322B1B" w:rsidRDefault="00F82413" w:rsidP="00256CE1">
      <w:pPr>
        <w:spacing w:after="0" w:line="360" w:lineRule="auto"/>
        <w:ind w:left="567" w:right="567"/>
        <w:rPr>
          <w:rFonts w:eastAsia="Calibri" w:cs="Tahoma"/>
          <w:bCs/>
          <w:i/>
          <w:iCs/>
          <w:sz w:val="20"/>
          <w:szCs w:val="20"/>
        </w:rPr>
      </w:pPr>
      <w:r w:rsidRPr="00322B1B">
        <w:rPr>
          <w:rFonts w:eastAsia="Calibri" w:cs="Tahoma"/>
          <w:bCs/>
          <w:i/>
          <w:iCs/>
          <w:sz w:val="20"/>
          <w:szCs w:val="20"/>
        </w:rPr>
        <w:t xml:space="preserve">En cumplimiento a la solicitud, estando en tiempo y forma, de conformidad con los artículos 12, 20, 58 y 59 de la Ley de Transparencia y Acceso a la Información </w:t>
      </w:r>
      <w:r w:rsidR="004676B5" w:rsidRPr="00322B1B">
        <w:rPr>
          <w:rFonts w:eastAsia="Calibri" w:cs="Tahoma"/>
          <w:bCs/>
          <w:i/>
          <w:iCs/>
          <w:sz w:val="20"/>
          <w:szCs w:val="20"/>
        </w:rPr>
        <w:t>Pública del Estado de México y Municipios, le informo que la estructura del Comité es la siguiente:</w:t>
      </w:r>
    </w:p>
    <w:p w14:paraId="64AE6BC0" w14:textId="77777777" w:rsidR="00256CE1" w:rsidRPr="00322B1B" w:rsidRDefault="00256CE1" w:rsidP="00256CE1">
      <w:pPr>
        <w:spacing w:after="0" w:line="360" w:lineRule="auto"/>
        <w:ind w:left="567" w:right="567"/>
        <w:rPr>
          <w:rFonts w:eastAsia="Calibri" w:cs="Tahoma"/>
          <w:bCs/>
          <w:i/>
          <w:iCs/>
          <w:sz w:val="20"/>
          <w:szCs w:val="20"/>
        </w:rPr>
      </w:pPr>
    </w:p>
    <w:p w14:paraId="770941C8" w14:textId="69BCC150" w:rsidR="004676B5" w:rsidRPr="00322B1B" w:rsidRDefault="004676B5" w:rsidP="00521EC8">
      <w:pPr>
        <w:spacing w:after="0" w:line="360" w:lineRule="auto"/>
        <w:ind w:left="708" w:right="567"/>
        <w:rPr>
          <w:rFonts w:eastAsia="Calibri" w:cs="Tahoma"/>
          <w:bCs/>
          <w:i/>
          <w:iCs/>
          <w:sz w:val="20"/>
          <w:szCs w:val="20"/>
        </w:rPr>
      </w:pPr>
      <w:r w:rsidRPr="00322B1B">
        <w:rPr>
          <w:rFonts w:eastAsia="Calibri" w:cs="Tahoma"/>
          <w:bCs/>
          <w:i/>
          <w:iCs/>
          <w:sz w:val="20"/>
          <w:szCs w:val="20"/>
        </w:rPr>
        <w:t>-Un Presidente.- que estará a cargo del Presidente Municipal Constitucional, el cual tiene derecho a voz y voto</w:t>
      </w:r>
    </w:p>
    <w:p w14:paraId="5F3E12B0" w14:textId="5280BE17" w:rsidR="004676B5" w:rsidRPr="00322B1B" w:rsidRDefault="004676B5" w:rsidP="00521EC8">
      <w:pPr>
        <w:spacing w:after="0" w:line="360" w:lineRule="auto"/>
        <w:ind w:left="708" w:right="567"/>
        <w:rPr>
          <w:rFonts w:eastAsia="Calibri" w:cs="Tahoma"/>
          <w:bCs/>
          <w:i/>
          <w:iCs/>
          <w:sz w:val="20"/>
          <w:szCs w:val="20"/>
        </w:rPr>
      </w:pPr>
      <w:r w:rsidRPr="00322B1B">
        <w:rPr>
          <w:rFonts w:eastAsia="Calibri" w:cs="Tahoma"/>
          <w:bCs/>
          <w:i/>
          <w:iCs/>
          <w:sz w:val="20"/>
          <w:szCs w:val="20"/>
        </w:rPr>
        <w:t xml:space="preserve">-Un Secretario </w:t>
      </w:r>
      <w:proofErr w:type="gramStart"/>
      <w:r w:rsidRPr="00322B1B">
        <w:rPr>
          <w:rFonts w:eastAsia="Calibri" w:cs="Tahoma"/>
          <w:bCs/>
          <w:i/>
          <w:iCs/>
          <w:sz w:val="20"/>
          <w:szCs w:val="20"/>
        </w:rPr>
        <w:t>Técnico .</w:t>
      </w:r>
      <w:proofErr w:type="gramEnd"/>
      <w:r w:rsidRPr="00322B1B">
        <w:rPr>
          <w:rFonts w:eastAsia="Calibri" w:cs="Tahoma"/>
          <w:bCs/>
          <w:i/>
          <w:iCs/>
          <w:sz w:val="20"/>
          <w:szCs w:val="20"/>
        </w:rPr>
        <w:t>- el cual será asignado por el Presidente, el cual tiene derecho a voz.</w:t>
      </w:r>
    </w:p>
    <w:p w14:paraId="71413E2F" w14:textId="37531B3A" w:rsidR="004676B5" w:rsidRPr="00322B1B" w:rsidRDefault="004676B5" w:rsidP="00521EC8">
      <w:pPr>
        <w:spacing w:after="0" w:line="360" w:lineRule="auto"/>
        <w:ind w:left="708" w:right="567"/>
        <w:rPr>
          <w:rFonts w:eastAsia="Calibri" w:cs="Tahoma"/>
          <w:bCs/>
          <w:i/>
          <w:iCs/>
          <w:sz w:val="20"/>
          <w:szCs w:val="20"/>
        </w:rPr>
      </w:pPr>
      <w:r w:rsidRPr="00322B1B">
        <w:rPr>
          <w:rFonts w:eastAsia="Calibri" w:cs="Tahoma"/>
          <w:bCs/>
          <w:i/>
          <w:iCs/>
          <w:sz w:val="20"/>
          <w:szCs w:val="20"/>
        </w:rPr>
        <w:t>-2 vocales.- a cargo del Tesorero Municipal, así como el titular de la Dirección de Desarrollo Urbano, mismos que tienen derecho a voz y voto.</w:t>
      </w:r>
    </w:p>
    <w:p w14:paraId="118EF546" w14:textId="2A9AA6D1" w:rsidR="004676B5" w:rsidRPr="00322B1B" w:rsidRDefault="004676B5" w:rsidP="00521EC8">
      <w:pPr>
        <w:spacing w:after="0" w:line="360" w:lineRule="auto"/>
        <w:ind w:left="708" w:right="567"/>
        <w:rPr>
          <w:rFonts w:eastAsia="Calibri" w:cs="Tahoma"/>
          <w:bCs/>
          <w:i/>
          <w:iCs/>
          <w:sz w:val="20"/>
          <w:szCs w:val="20"/>
        </w:rPr>
      </w:pPr>
      <w:r w:rsidRPr="00322B1B">
        <w:rPr>
          <w:rFonts w:eastAsia="Calibri" w:cs="Tahoma"/>
          <w:bCs/>
          <w:i/>
          <w:iCs/>
          <w:sz w:val="20"/>
          <w:szCs w:val="20"/>
        </w:rPr>
        <w:t xml:space="preserve">-Por un ponente.- el cual estará a cargo del titular del área ejecutora de obra </w:t>
      </w:r>
      <w:proofErr w:type="spellStart"/>
      <w:r w:rsidRPr="00322B1B">
        <w:rPr>
          <w:rFonts w:eastAsia="Calibri" w:cs="Tahoma"/>
          <w:bCs/>
          <w:i/>
          <w:iCs/>
          <w:sz w:val="20"/>
          <w:szCs w:val="20"/>
        </w:rPr>
        <w:t>publica</w:t>
      </w:r>
      <w:proofErr w:type="spellEnd"/>
      <w:r w:rsidRPr="00322B1B">
        <w:rPr>
          <w:rFonts w:eastAsia="Calibri" w:cs="Tahoma"/>
          <w:bCs/>
          <w:i/>
          <w:iCs/>
          <w:sz w:val="20"/>
          <w:szCs w:val="20"/>
        </w:rPr>
        <w:t xml:space="preserve">, que solo tendrá derecho a voz </w:t>
      </w:r>
    </w:p>
    <w:p w14:paraId="0FFEF810" w14:textId="437F34A9" w:rsidR="00256CE1" w:rsidRPr="00322B1B" w:rsidRDefault="004676B5" w:rsidP="00256CE1">
      <w:pPr>
        <w:spacing w:after="0" w:line="360" w:lineRule="auto"/>
        <w:ind w:left="708" w:right="567"/>
        <w:rPr>
          <w:rFonts w:eastAsia="Calibri" w:cs="Tahoma"/>
          <w:bCs/>
          <w:i/>
          <w:iCs/>
          <w:sz w:val="20"/>
          <w:szCs w:val="20"/>
        </w:rPr>
      </w:pPr>
      <w:r w:rsidRPr="00322B1B">
        <w:rPr>
          <w:rFonts w:eastAsia="Calibri" w:cs="Tahoma"/>
          <w:bCs/>
          <w:i/>
          <w:iCs/>
          <w:sz w:val="20"/>
          <w:szCs w:val="20"/>
        </w:rPr>
        <w:t>-2 invitados permanentes.- representados por el Consejo Jurídico Municipal y el Contralor Municipal, quienes tienen derecho a voz</w:t>
      </w:r>
      <w:r w:rsidR="00256CE1" w:rsidRPr="00322B1B">
        <w:rPr>
          <w:rFonts w:eastAsia="Calibri" w:cs="Tahoma"/>
          <w:bCs/>
          <w:i/>
          <w:iCs/>
          <w:sz w:val="20"/>
          <w:szCs w:val="20"/>
        </w:rPr>
        <w:t>.</w:t>
      </w:r>
    </w:p>
    <w:p w14:paraId="5D34D384" w14:textId="29611396" w:rsidR="004676B5" w:rsidRPr="00322B1B" w:rsidRDefault="004676B5" w:rsidP="004676B5">
      <w:pPr>
        <w:spacing w:after="0" w:line="360" w:lineRule="auto"/>
        <w:ind w:left="567" w:right="567"/>
        <w:rPr>
          <w:rFonts w:eastAsia="Calibri" w:cs="Tahoma"/>
          <w:bCs/>
          <w:i/>
          <w:iCs/>
          <w:sz w:val="20"/>
          <w:szCs w:val="20"/>
        </w:rPr>
      </w:pPr>
      <w:r w:rsidRPr="00322B1B">
        <w:rPr>
          <w:rFonts w:eastAsia="Calibri" w:cs="Tahoma"/>
          <w:bCs/>
          <w:i/>
          <w:iCs/>
          <w:sz w:val="20"/>
          <w:szCs w:val="20"/>
        </w:rPr>
        <w:lastRenderedPageBreak/>
        <w:t xml:space="preserve">Y las funciones a desarrollar de acuerdo a la Sección Cuarta, artículos 21, 22 y 23 del Reglamento al Libro Décimo Segundo del Código Administrativo </w:t>
      </w:r>
      <w:r w:rsidR="00521EC8" w:rsidRPr="00322B1B">
        <w:rPr>
          <w:rFonts w:eastAsia="Calibri" w:cs="Tahoma"/>
          <w:bCs/>
          <w:i/>
          <w:iCs/>
          <w:sz w:val="20"/>
          <w:szCs w:val="20"/>
        </w:rPr>
        <w:t xml:space="preserve">del Estado de México son las siguientes: </w:t>
      </w:r>
    </w:p>
    <w:p w14:paraId="56AC7F0E" w14:textId="77777777" w:rsidR="00256CE1" w:rsidRPr="00322B1B" w:rsidRDefault="00256CE1" w:rsidP="004676B5">
      <w:pPr>
        <w:spacing w:after="0" w:line="360" w:lineRule="auto"/>
        <w:ind w:left="567" w:right="567"/>
        <w:rPr>
          <w:rFonts w:eastAsia="Calibri" w:cs="Tahoma"/>
          <w:bCs/>
          <w:i/>
          <w:iCs/>
          <w:sz w:val="20"/>
          <w:szCs w:val="20"/>
        </w:rPr>
      </w:pPr>
    </w:p>
    <w:p w14:paraId="0A1B2026" w14:textId="53AC1995" w:rsidR="00521EC8" w:rsidRPr="00322B1B" w:rsidRDefault="00521EC8" w:rsidP="00521EC8">
      <w:pPr>
        <w:spacing w:after="0" w:line="360" w:lineRule="auto"/>
        <w:ind w:left="708" w:right="567"/>
        <w:rPr>
          <w:rFonts w:eastAsia="Calibri" w:cs="Tahoma"/>
          <w:bCs/>
          <w:i/>
          <w:iCs/>
          <w:sz w:val="20"/>
          <w:szCs w:val="20"/>
        </w:rPr>
      </w:pPr>
      <w:r w:rsidRPr="00322B1B">
        <w:rPr>
          <w:rFonts w:eastAsia="Calibri" w:cs="Tahoma"/>
          <w:bCs/>
          <w:i/>
          <w:iCs/>
          <w:sz w:val="20"/>
          <w:szCs w:val="20"/>
        </w:rPr>
        <w:t>I. Revisar los proyectos de programas y presupuestos de obra pública o servicios, así como formular las observaciones y recomendaciones que correspondan;</w:t>
      </w:r>
    </w:p>
    <w:p w14:paraId="15CC0652" w14:textId="1EBF97CE" w:rsidR="00521EC8" w:rsidRPr="00322B1B" w:rsidRDefault="00521EC8" w:rsidP="00521EC8">
      <w:pPr>
        <w:spacing w:after="0" w:line="360" w:lineRule="auto"/>
        <w:ind w:left="708" w:right="567"/>
        <w:rPr>
          <w:rFonts w:eastAsia="Calibri" w:cs="Tahoma"/>
          <w:bCs/>
          <w:i/>
          <w:iCs/>
          <w:sz w:val="20"/>
          <w:szCs w:val="20"/>
        </w:rPr>
      </w:pPr>
      <w:r w:rsidRPr="00322B1B">
        <w:rPr>
          <w:rFonts w:eastAsia="Calibri" w:cs="Tahoma"/>
          <w:bCs/>
          <w:i/>
          <w:iCs/>
          <w:sz w:val="20"/>
          <w:szCs w:val="20"/>
        </w:rPr>
        <w:t>II. Dictaminar sobre la procedencia de iniciar procedimientos de invitación restringida o de adjudicación directa;</w:t>
      </w:r>
    </w:p>
    <w:p w14:paraId="4C1832D6" w14:textId="5C679D7F" w:rsidR="001C2C89" w:rsidRPr="00322B1B" w:rsidRDefault="00521EC8" w:rsidP="00F04424">
      <w:pPr>
        <w:spacing w:after="0" w:line="360" w:lineRule="auto"/>
        <w:ind w:left="708" w:right="567"/>
        <w:rPr>
          <w:rFonts w:eastAsia="Calibri" w:cs="Tahoma"/>
          <w:bCs/>
          <w:i/>
          <w:iCs/>
          <w:sz w:val="20"/>
          <w:szCs w:val="20"/>
        </w:rPr>
      </w:pPr>
      <w:r w:rsidRPr="00322B1B">
        <w:rPr>
          <w:rFonts w:eastAsia="Calibri" w:cs="Tahoma"/>
          <w:bCs/>
          <w:i/>
          <w:iCs/>
          <w:sz w:val="20"/>
          <w:szCs w:val="20"/>
        </w:rPr>
        <w:t>III. Los Comités Internos de Obra Pública deberán elaborar y aprobar su manual de integración y funcionamiento</w:t>
      </w:r>
      <w:r w:rsidR="008A205A" w:rsidRPr="00322B1B">
        <w:rPr>
          <w:rFonts w:eastAsia="Calibri" w:cs="Tahoma"/>
          <w:bCs/>
          <w:i/>
          <w:iCs/>
          <w:sz w:val="20"/>
          <w:szCs w:val="20"/>
        </w:rPr>
        <w:t>.” (sic)</w:t>
      </w:r>
      <w:r w:rsidR="001C2C89" w:rsidRPr="00322B1B">
        <w:rPr>
          <w:rFonts w:eastAsia="Calibri" w:cs="Tahoma"/>
          <w:bCs/>
          <w:i/>
          <w:iCs/>
          <w:sz w:val="20"/>
          <w:szCs w:val="20"/>
        </w:rPr>
        <w:t xml:space="preserve"> </w:t>
      </w:r>
    </w:p>
    <w:p w14:paraId="576309F7" w14:textId="77777777" w:rsidR="001C2C89" w:rsidRPr="00322B1B" w:rsidRDefault="001C2C89" w:rsidP="001C2C89">
      <w:pPr>
        <w:spacing w:after="0" w:line="360" w:lineRule="auto"/>
        <w:ind w:left="567" w:right="567"/>
        <w:rPr>
          <w:rFonts w:eastAsia="Calibri" w:cs="Tahoma"/>
          <w:bCs/>
          <w:i/>
          <w:iCs/>
          <w:sz w:val="20"/>
          <w:szCs w:val="20"/>
        </w:rPr>
      </w:pPr>
      <w:r w:rsidRPr="00322B1B">
        <w:rPr>
          <w:rFonts w:eastAsia="Calibri" w:cs="Tahoma"/>
          <w:bCs/>
          <w:i/>
          <w:iCs/>
          <w:sz w:val="20"/>
          <w:szCs w:val="20"/>
        </w:rPr>
        <w:t>…”</w:t>
      </w:r>
    </w:p>
    <w:p w14:paraId="0D823ADA" w14:textId="77777777" w:rsidR="001C2C89" w:rsidRPr="00322B1B" w:rsidRDefault="001C2C89" w:rsidP="001C2C89">
      <w:pPr>
        <w:autoSpaceDE w:val="0"/>
        <w:autoSpaceDN w:val="0"/>
        <w:adjustRightInd w:val="0"/>
        <w:spacing w:after="0" w:line="360" w:lineRule="auto"/>
        <w:rPr>
          <w:rFonts w:eastAsia="Calibri" w:cs="Tahoma"/>
          <w:b/>
          <w:color w:val="000000"/>
        </w:rPr>
      </w:pPr>
    </w:p>
    <w:p w14:paraId="581862CF" w14:textId="22213C62" w:rsidR="001C2C89" w:rsidRPr="00322B1B" w:rsidRDefault="001C2C89" w:rsidP="001C2C89">
      <w:pPr>
        <w:autoSpaceDE w:val="0"/>
        <w:autoSpaceDN w:val="0"/>
        <w:adjustRightInd w:val="0"/>
        <w:spacing w:after="0" w:line="360" w:lineRule="auto"/>
        <w:rPr>
          <w:rFonts w:eastAsia="Calibri" w:cs="Tahoma"/>
          <w:b/>
          <w:color w:val="000000"/>
        </w:rPr>
      </w:pPr>
      <w:r w:rsidRPr="00322B1B">
        <w:rPr>
          <w:rFonts w:eastAsia="Calibri" w:cs="Tahoma"/>
          <w:b/>
          <w:color w:val="000000"/>
        </w:rPr>
        <w:t>I</w:t>
      </w:r>
      <w:r w:rsidR="00AB2BDE" w:rsidRPr="00322B1B">
        <w:rPr>
          <w:rFonts w:eastAsia="Calibri" w:cs="Tahoma"/>
          <w:b/>
          <w:color w:val="000000"/>
        </w:rPr>
        <w:t>V</w:t>
      </w:r>
      <w:r w:rsidRPr="00322B1B">
        <w:rPr>
          <w:rFonts w:eastAsia="Calibri" w:cs="Tahoma"/>
          <w:b/>
          <w:color w:val="000000"/>
        </w:rPr>
        <w:t xml:space="preserve">. Interposición del Recurso de Revisión. </w:t>
      </w:r>
    </w:p>
    <w:p w14:paraId="3A938015" w14:textId="77777777" w:rsidR="001C2C89" w:rsidRPr="00322B1B" w:rsidRDefault="001C2C89" w:rsidP="001C2C89">
      <w:pPr>
        <w:spacing w:after="0" w:line="360" w:lineRule="auto"/>
        <w:rPr>
          <w:rFonts w:eastAsia="Times New Roman" w:cs="Tahoma"/>
          <w:bCs/>
          <w:color w:val="auto"/>
          <w:lang w:eastAsia="es-ES"/>
        </w:rPr>
      </w:pPr>
    </w:p>
    <w:p w14:paraId="47A57A26" w14:textId="302393C7" w:rsidR="001C2C89" w:rsidRPr="00322B1B" w:rsidRDefault="001C2C89" w:rsidP="001C2C89">
      <w:pPr>
        <w:spacing w:after="0" w:line="360" w:lineRule="auto"/>
        <w:rPr>
          <w:rFonts w:eastAsia="Times New Roman" w:cs="Tahoma"/>
          <w:bCs/>
          <w:color w:val="auto"/>
          <w:lang w:val="es-ES" w:eastAsia="es-ES"/>
        </w:rPr>
      </w:pPr>
      <w:r w:rsidRPr="00322B1B">
        <w:rPr>
          <w:rFonts w:eastAsia="Times New Roman" w:cs="Tahoma"/>
          <w:bCs/>
          <w:color w:val="auto"/>
          <w:lang w:val="es-ES" w:eastAsia="es-ES"/>
        </w:rPr>
        <w:t xml:space="preserve">Con </w:t>
      </w:r>
      <w:r w:rsidR="008A205A" w:rsidRPr="00322B1B">
        <w:rPr>
          <w:rFonts w:eastAsia="Times New Roman" w:cs="Tahoma"/>
          <w:bCs/>
          <w:color w:val="auto"/>
          <w:lang w:val="es-ES" w:eastAsia="es-ES"/>
        </w:rPr>
        <w:t xml:space="preserve">fecha </w:t>
      </w:r>
      <w:r w:rsidR="00BE7BE2" w:rsidRPr="00322B1B">
        <w:rPr>
          <w:rFonts w:eastAsia="Times New Roman" w:cs="Tahoma"/>
          <w:bCs/>
          <w:color w:val="auto"/>
          <w:lang w:val="es-ES" w:eastAsia="es-ES"/>
        </w:rPr>
        <w:t>tres</w:t>
      </w:r>
      <w:r w:rsidR="008A205A" w:rsidRPr="00322B1B">
        <w:rPr>
          <w:rFonts w:eastAsia="Times New Roman" w:cs="Tahoma"/>
          <w:bCs/>
          <w:color w:val="auto"/>
          <w:lang w:val="es-ES" w:eastAsia="es-ES"/>
        </w:rPr>
        <w:t xml:space="preserve"> de ma</w:t>
      </w:r>
      <w:r w:rsidR="00BE7BE2" w:rsidRPr="00322B1B">
        <w:rPr>
          <w:rFonts w:eastAsia="Times New Roman" w:cs="Tahoma"/>
          <w:bCs/>
          <w:color w:val="auto"/>
          <w:lang w:val="es-ES" w:eastAsia="es-ES"/>
        </w:rPr>
        <w:t>yo</w:t>
      </w:r>
      <w:r w:rsidR="008A205A" w:rsidRPr="00322B1B">
        <w:rPr>
          <w:rFonts w:eastAsia="Times New Roman" w:cs="Tahoma"/>
          <w:bCs/>
          <w:color w:val="auto"/>
          <w:lang w:val="es-ES" w:eastAsia="es-ES"/>
        </w:rPr>
        <w:t xml:space="preserve"> </w:t>
      </w:r>
      <w:r w:rsidRPr="00322B1B">
        <w:rPr>
          <w:rFonts w:eastAsia="Times New Roman" w:cs="Tahoma"/>
          <w:bCs/>
          <w:color w:val="auto"/>
          <w:lang w:val="es-ES" w:eastAsia="es-ES"/>
        </w:rPr>
        <w:t>de dos mil veinti</w:t>
      </w:r>
      <w:r w:rsidR="008A205A" w:rsidRPr="00322B1B">
        <w:rPr>
          <w:rFonts w:eastAsia="Times New Roman" w:cs="Tahoma"/>
          <w:bCs/>
          <w:color w:val="auto"/>
          <w:lang w:val="es-ES" w:eastAsia="es-ES"/>
        </w:rPr>
        <w:t>tré</w:t>
      </w:r>
      <w:r w:rsidRPr="00322B1B">
        <w:rPr>
          <w:rFonts w:eastAsia="Times New Roman" w:cs="Tahoma"/>
          <w:bCs/>
          <w:color w:val="auto"/>
          <w:lang w:val="es-ES" w:eastAsia="es-ES"/>
        </w:rPr>
        <w:t xml:space="preserve">s, </w:t>
      </w:r>
      <w:r w:rsidRPr="00322B1B">
        <w:rPr>
          <w:rFonts w:eastAsia="Times New Roman" w:cs="Tahoma"/>
          <w:bCs/>
          <w:color w:val="auto"/>
          <w:lang w:eastAsia="es-ES"/>
        </w:rPr>
        <w:t xml:space="preserve">se recibió en este Instituto, a través del </w:t>
      </w:r>
      <w:r w:rsidRPr="00322B1B">
        <w:rPr>
          <w:rFonts w:eastAsia="Times New Roman" w:cs="Tahoma"/>
          <w:bCs/>
          <w:color w:val="auto"/>
          <w:lang w:val="es-ES" w:eastAsia="es-ES"/>
        </w:rPr>
        <w:t>Sistema de Acceso a la Información Mexiquense (SAIMEX)</w:t>
      </w:r>
      <w:r w:rsidRPr="00322B1B">
        <w:rPr>
          <w:rFonts w:eastAsia="Times New Roman" w:cs="Tahoma"/>
          <w:bCs/>
          <w:color w:val="auto"/>
          <w:lang w:eastAsia="es-ES"/>
        </w:rPr>
        <w:t>, Recurso de Revisión interpuesto por la parte Recurrente, en contra de la respuesta del Sujeto Obligado,</w:t>
      </w:r>
      <w:r w:rsidR="008A205A" w:rsidRPr="00322B1B">
        <w:rPr>
          <w:rFonts w:eastAsia="Times New Roman" w:cs="Tahoma"/>
          <w:bCs/>
          <w:color w:val="auto"/>
          <w:lang w:eastAsia="es-ES"/>
        </w:rPr>
        <w:t xml:space="preserve"> </w:t>
      </w:r>
      <w:r w:rsidRPr="00322B1B">
        <w:rPr>
          <w:rFonts w:eastAsia="Times New Roman" w:cs="Tahoma"/>
          <w:bCs/>
          <w:color w:val="auto"/>
          <w:lang w:eastAsia="es-ES"/>
        </w:rPr>
        <w:t>en los siguientes términos:</w:t>
      </w:r>
    </w:p>
    <w:p w14:paraId="324BD973" w14:textId="77777777" w:rsidR="001C2C89" w:rsidRPr="00322B1B" w:rsidRDefault="001C2C89" w:rsidP="001C2C89">
      <w:pPr>
        <w:spacing w:after="0" w:line="360" w:lineRule="auto"/>
        <w:rPr>
          <w:rFonts w:eastAsia="Times New Roman" w:cs="Tahoma"/>
          <w:bCs/>
          <w:color w:val="auto"/>
          <w:lang w:eastAsia="es-ES"/>
        </w:rPr>
      </w:pPr>
    </w:p>
    <w:p w14:paraId="22E1DBDC" w14:textId="77777777" w:rsidR="001C2C89" w:rsidRPr="00322B1B" w:rsidRDefault="001C2C89" w:rsidP="00943C09">
      <w:pPr>
        <w:spacing w:after="0" w:line="360" w:lineRule="auto"/>
        <w:ind w:left="567" w:right="567"/>
        <w:rPr>
          <w:rFonts w:eastAsia="Times New Roman" w:cs="Tahoma"/>
          <w:b/>
          <w:bCs/>
          <w:i/>
          <w:color w:val="auto"/>
          <w:sz w:val="20"/>
          <w:szCs w:val="20"/>
          <w:lang w:eastAsia="es-ES"/>
        </w:rPr>
      </w:pPr>
      <w:r w:rsidRPr="00322B1B">
        <w:rPr>
          <w:rFonts w:eastAsia="Times New Roman" w:cs="Tahoma"/>
          <w:b/>
          <w:bCs/>
          <w:i/>
          <w:color w:val="auto"/>
          <w:sz w:val="20"/>
          <w:szCs w:val="20"/>
          <w:lang w:eastAsia="es-ES"/>
        </w:rPr>
        <w:t>“ACTO IMPUGNADO</w:t>
      </w:r>
    </w:p>
    <w:p w14:paraId="491EEC78" w14:textId="2F3A300C" w:rsidR="001C2C89" w:rsidRPr="00322B1B" w:rsidRDefault="00BE7BE2" w:rsidP="00BE7BE2">
      <w:pPr>
        <w:spacing w:after="0" w:line="360" w:lineRule="auto"/>
        <w:ind w:left="567" w:right="567"/>
        <w:rPr>
          <w:i/>
          <w:color w:val="000000"/>
          <w:sz w:val="20"/>
          <w:szCs w:val="20"/>
        </w:rPr>
      </w:pPr>
      <w:r w:rsidRPr="00322B1B">
        <w:rPr>
          <w:i/>
          <w:iCs/>
          <w:color w:val="000000"/>
          <w:sz w:val="20"/>
          <w:szCs w:val="20"/>
        </w:rPr>
        <w:t>Oficio DOP/734/2023, firmada por el Ing. Rogelio Domínguez Echeverría, Director de Obras Públicas del Ayuntamiento de Metepec. en el que se da respuesta incompleta a la solicitud de información</w:t>
      </w:r>
      <w:r w:rsidR="00943C09" w:rsidRPr="00322B1B">
        <w:rPr>
          <w:i/>
          <w:color w:val="000000"/>
          <w:sz w:val="20"/>
          <w:szCs w:val="20"/>
        </w:rPr>
        <w:t>.</w:t>
      </w:r>
      <w:r w:rsidRPr="00322B1B">
        <w:rPr>
          <w:i/>
          <w:color w:val="000000"/>
          <w:sz w:val="20"/>
          <w:szCs w:val="20"/>
        </w:rPr>
        <w:t>”</w:t>
      </w:r>
      <w:r w:rsidR="00943C09" w:rsidRPr="00322B1B">
        <w:rPr>
          <w:i/>
          <w:color w:val="000000"/>
          <w:sz w:val="20"/>
          <w:szCs w:val="20"/>
        </w:rPr>
        <w:t xml:space="preserve"> (Sic)</w:t>
      </w:r>
    </w:p>
    <w:p w14:paraId="3B8AE690" w14:textId="77777777" w:rsidR="00943C09" w:rsidRPr="00322B1B" w:rsidRDefault="00943C09" w:rsidP="00943C09">
      <w:pPr>
        <w:spacing w:after="0" w:line="360" w:lineRule="auto"/>
        <w:ind w:left="567" w:right="567"/>
        <w:rPr>
          <w:rFonts w:eastAsia="Times New Roman" w:cs="Tahoma"/>
          <w:bCs/>
          <w:i/>
          <w:color w:val="auto"/>
          <w:sz w:val="20"/>
          <w:szCs w:val="20"/>
          <w:lang w:eastAsia="es-ES"/>
        </w:rPr>
      </w:pPr>
    </w:p>
    <w:p w14:paraId="5924AFFF" w14:textId="5ABC0165" w:rsidR="001C2C89" w:rsidRPr="00322B1B" w:rsidRDefault="001C2C89" w:rsidP="00943C09">
      <w:pPr>
        <w:spacing w:after="0" w:line="360" w:lineRule="auto"/>
        <w:ind w:left="567" w:right="567"/>
        <w:rPr>
          <w:rFonts w:eastAsia="Times New Roman" w:cs="Tahoma"/>
          <w:b/>
          <w:bCs/>
          <w:i/>
          <w:color w:val="auto"/>
          <w:sz w:val="20"/>
          <w:szCs w:val="20"/>
          <w:lang w:eastAsia="es-ES"/>
        </w:rPr>
      </w:pPr>
      <w:r w:rsidRPr="00322B1B">
        <w:rPr>
          <w:rFonts w:eastAsia="Times New Roman" w:cs="Tahoma"/>
          <w:b/>
          <w:bCs/>
          <w:i/>
          <w:color w:val="auto"/>
          <w:sz w:val="20"/>
          <w:szCs w:val="20"/>
          <w:lang w:eastAsia="es-ES"/>
        </w:rPr>
        <w:t>“RAZONES O MOTIVOS DE LA INCONFORMIDAD</w:t>
      </w:r>
    </w:p>
    <w:p w14:paraId="6F80B4B5" w14:textId="0096B5E6" w:rsidR="001C2C89" w:rsidRPr="00322B1B" w:rsidRDefault="00BE7BE2" w:rsidP="00943C09">
      <w:pPr>
        <w:spacing w:after="0" w:line="360" w:lineRule="auto"/>
        <w:ind w:left="567" w:right="567"/>
        <w:rPr>
          <w:i/>
          <w:color w:val="000000"/>
          <w:sz w:val="20"/>
          <w:szCs w:val="20"/>
        </w:rPr>
      </w:pPr>
      <w:r w:rsidRPr="00322B1B">
        <w:rPr>
          <w:i/>
          <w:iCs/>
          <w:color w:val="000000"/>
          <w:sz w:val="20"/>
          <w:szCs w:val="20"/>
        </w:rPr>
        <w:t>No fue entregada la información respecto a los nombres de quienes integran el Comité Interno de Obra Pública del Ayuntamiento de Metepec</w:t>
      </w:r>
      <w:r w:rsidR="001C2C89" w:rsidRPr="00322B1B">
        <w:rPr>
          <w:i/>
          <w:color w:val="000000"/>
          <w:sz w:val="20"/>
          <w:szCs w:val="20"/>
        </w:rPr>
        <w:t>.”</w:t>
      </w:r>
      <w:r w:rsidR="001C2C89" w:rsidRPr="00322B1B">
        <w:rPr>
          <w:bCs/>
          <w:i/>
          <w:color w:val="000000"/>
          <w:sz w:val="20"/>
          <w:szCs w:val="20"/>
        </w:rPr>
        <w:t xml:space="preserve"> </w:t>
      </w:r>
      <w:r w:rsidR="001C2C89" w:rsidRPr="00322B1B">
        <w:rPr>
          <w:rFonts w:eastAsia="Times New Roman" w:cs="Tahoma"/>
          <w:bCs/>
          <w:i/>
          <w:color w:val="auto"/>
          <w:sz w:val="20"/>
          <w:szCs w:val="20"/>
          <w:lang w:eastAsia="es-ES"/>
        </w:rPr>
        <w:t>(Sic)</w:t>
      </w:r>
    </w:p>
    <w:p w14:paraId="37A1733F" w14:textId="77777777" w:rsidR="001C2C89" w:rsidRPr="00322B1B" w:rsidRDefault="001C2C89" w:rsidP="001C2C89">
      <w:pPr>
        <w:spacing w:after="0" w:line="360" w:lineRule="auto"/>
        <w:rPr>
          <w:rFonts w:eastAsia="Times New Roman" w:cs="Tahoma"/>
          <w:bCs/>
          <w:color w:val="auto"/>
          <w:lang w:eastAsia="es-ES"/>
        </w:rPr>
      </w:pPr>
    </w:p>
    <w:p w14:paraId="47CF1C84" w14:textId="70164674" w:rsidR="001C2C89" w:rsidRPr="00322B1B" w:rsidRDefault="001C2C89" w:rsidP="001C2C89">
      <w:pPr>
        <w:spacing w:after="0" w:line="360" w:lineRule="auto"/>
        <w:rPr>
          <w:rFonts w:eastAsia="Batang" w:cs="Tahoma"/>
          <w:b/>
          <w:bCs/>
          <w:color w:val="000000"/>
        </w:rPr>
      </w:pPr>
      <w:r w:rsidRPr="00322B1B">
        <w:rPr>
          <w:rFonts w:eastAsia="Calibri" w:cs="Tahoma"/>
          <w:b/>
          <w:color w:val="000000"/>
        </w:rPr>
        <w:t xml:space="preserve">V. </w:t>
      </w:r>
      <w:r w:rsidRPr="00322B1B">
        <w:rPr>
          <w:rFonts w:eastAsia="Batang" w:cs="Tahoma"/>
          <w:b/>
          <w:bCs/>
          <w:color w:val="000000"/>
        </w:rPr>
        <w:t>Trámite del Recurso de Revisión</w:t>
      </w:r>
      <w:r w:rsidRPr="00322B1B">
        <w:rPr>
          <w:rFonts w:eastAsia="Calibri" w:cs="Tahoma"/>
          <w:b/>
          <w:color w:val="000000"/>
        </w:rPr>
        <w:t xml:space="preserve"> </w:t>
      </w:r>
      <w:r w:rsidRPr="00322B1B">
        <w:rPr>
          <w:rFonts w:eastAsia="Batang" w:cs="Tahoma"/>
          <w:b/>
          <w:bCs/>
          <w:color w:val="000000"/>
        </w:rPr>
        <w:t>ante este Instituto.</w:t>
      </w:r>
    </w:p>
    <w:p w14:paraId="6F85CB9E" w14:textId="77777777" w:rsidR="001C2C89" w:rsidRPr="00322B1B" w:rsidRDefault="001C2C89" w:rsidP="001C2C89">
      <w:pPr>
        <w:spacing w:after="0" w:line="360" w:lineRule="auto"/>
        <w:rPr>
          <w:rFonts w:eastAsia="Batang" w:cs="Tahoma"/>
          <w:b/>
          <w:bCs/>
          <w:color w:val="000000"/>
        </w:rPr>
      </w:pPr>
    </w:p>
    <w:p w14:paraId="7AE15A2A" w14:textId="5C2923DF" w:rsidR="001C2C89" w:rsidRPr="00322B1B" w:rsidRDefault="001C2C89" w:rsidP="001C2C89">
      <w:pPr>
        <w:spacing w:after="0" w:line="360" w:lineRule="auto"/>
        <w:rPr>
          <w:rFonts w:eastAsia="Batang" w:cs="Tahoma"/>
          <w:b/>
          <w:bCs/>
          <w:color w:val="000000"/>
        </w:rPr>
      </w:pPr>
      <w:r w:rsidRPr="00322B1B">
        <w:rPr>
          <w:rFonts w:eastAsia="Batang" w:cs="Tahoma"/>
          <w:b/>
          <w:bCs/>
          <w:color w:val="000000"/>
        </w:rPr>
        <w:lastRenderedPageBreak/>
        <w:t xml:space="preserve">a) Turno del Medio de Impugnación. </w:t>
      </w:r>
      <w:r w:rsidRPr="00322B1B">
        <w:rPr>
          <w:rFonts w:eastAsia="Batang" w:cs="Tahoma"/>
          <w:bCs/>
          <w:color w:val="000000"/>
        </w:rPr>
        <w:t xml:space="preserve">El </w:t>
      </w:r>
      <w:r w:rsidR="0079444A" w:rsidRPr="00322B1B">
        <w:rPr>
          <w:rFonts w:eastAsia="Batang" w:cs="Tahoma"/>
          <w:bCs/>
          <w:color w:val="000000"/>
        </w:rPr>
        <w:t>tres</w:t>
      </w:r>
      <w:r w:rsidR="00943C09" w:rsidRPr="00322B1B">
        <w:rPr>
          <w:rFonts w:eastAsia="Batang" w:cs="Tahoma"/>
          <w:bCs/>
          <w:color w:val="000000"/>
        </w:rPr>
        <w:t xml:space="preserve"> de ma</w:t>
      </w:r>
      <w:r w:rsidR="0079444A" w:rsidRPr="00322B1B">
        <w:rPr>
          <w:rFonts w:eastAsia="Batang" w:cs="Tahoma"/>
          <w:bCs/>
          <w:color w:val="000000"/>
        </w:rPr>
        <w:t>yo</w:t>
      </w:r>
      <w:r w:rsidRPr="00322B1B">
        <w:rPr>
          <w:rFonts w:eastAsia="Batang" w:cs="Tahoma"/>
          <w:bCs/>
          <w:color w:val="000000"/>
        </w:rPr>
        <w:t xml:space="preserve"> </w:t>
      </w:r>
      <w:r w:rsidRPr="00322B1B">
        <w:rPr>
          <w:rFonts w:eastAsia="Times New Roman" w:cs="Tahoma"/>
          <w:bCs/>
          <w:color w:val="auto"/>
          <w:lang w:eastAsia="es-ES"/>
        </w:rPr>
        <w:t>de dos mil veinti</w:t>
      </w:r>
      <w:r w:rsidR="00943C09" w:rsidRPr="00322B1B">
        <w:rPr>
          <w:rFonts w:eastAsia="Times New Roman" w:cs="Tahoma"/>
          <w:bCs/>
          <w:color w:val="auto"/>
          <w:lang w:eastAsia="es-ES"/>
        </w:rPr>
        <w:t>tré</w:t>
      </w:r>
      <w:r w:rsidRPr="00322B1B">
        <w:rPr>
          <w:rFonts w:eastAsia="Times New Roman" w:cs="Tahoma"/>
          <w:bCs/>
          <w:color w:val="auto"/>
          <w:lang w:eastAsia="es-ES"/>
        </w:rPr>
        <w:t>s</w:t>
      </w:r>
      <w:r w:rsidRPr="00322B1B">
        <w:rPr>
          <w:rFonts w:eastAsia="Batang" w:cs="Tahoma"/>
          <w:bCs/>
          <w:color w:val="000000"/>
        </w:rPr>
        <w:t xml:space="preserve">, el </w:t>
      </w:r>
      <w:r w:rsidRPr="00322B1B">
        <w:rPr>
          <w:rFonts w:eastAsia="Calibri" w:cs="Tahoma"/>
          <w:color w:val="000000"/>
          <w:lang w:val="es-ES"/>
        </w:rPr>
        <w:t>Sistema de Acceso a la Información Mexiquense (SAIMEX),</w:t>
      </w:r>
      <w:r w:rsidRPr="00322B1B">
        <w:rPr>
          <w:rFonts w:eastAsia="Batang" w:cs="Tahoma"/>
          <w:bCs/>
          <w:color w:val="000000"/>
        </w:rPr>
        <w:t xml:space="preserve"> asignó el número de expediente </w:t>
      </w:r>
      <w:r w:rsidR="00943C09" w:rsidRPr="00322B1B">
        <w:rPr>
          <w:rFonts w:eastAsia="Batang" w:cs="Tahoma"/>
          <w:b/>
          <w:bCs/>
          <w:color w:val="000000"/>
        </w:rPr>
        <w:t>0</w:t>
      </w:r>
      <w:r w:rsidR="0079444A" w:rsidRPr="00322B1B">
        <w:rPr>
          <w:rFonts w:eastAsia="Batang" w:cs="Tahoma"/>
          <w:b/>
          <w:bCs/>
          <w:color w:val="000000"/>
        </w:rPr>
        <w:t>2406</w:t>
      </w:r>
      <w:r w:rsidRPr="00322B1B">
        <w:rPr>
          <w:rFonts w:eastAsia="Calibri" w:cs="Tahoma"/>
          <w:b/>
          <w:bCs/>
        </w:rPr>
        <w:t>/INFOEM/IP/RR/202</w:t>
      </w:r>
      <w:r w:rsidR="00943C09" w:rsidRPr="00322B1B">
        <w:rPr>
          <w:rFonts w:eastAsia="Calibri" w:cs="Tahoma"/>
          <w:b/>
          <w:bCs/>
        </w:rPr>
        <w:t>3</w:t>
      </w:r>
      <w:r w:rsidRPr="00322B1B">
        <w:rPr>
          <w:rFonts w:eastAsia="Batang" w:cs="Tahoma"/>
          <w:bCs/>
          <w:color w:val="000000"/>
        </w:rPr>
        <w:t>, al Medio de Impugnación que nos ocupa, con base en el sistema aprobado por el Pleno de este Órgano Garante y lo turnó al Comisionado Luis Gustavo Parra Noriega, para los efectos del artículo 185, fracción I de la Ley de Transparencia y Acceso a la Información Pública del Estado de México y Municipios.</w:t>
      </w:r>
    </w:p>
    <w:p w14:paraId="324D0182" w14:textId="77777777" w:rsidR="001C2C89" w:rsidRPr="00322B1B" w:rsidRDefault="001C2C89" w:rsidP="001C2C89">
      <w:pPr>
        <w:spacing w:after="0" w:line="360" w:lineRule="auto"/>
        <w:rPr>
          <w:rFonts w:eastAsia="Batang" w:cs="Tahoma"/>
          <w:bCs/>
          <w:color w:val="000000"/>
        </w:rPr>
      </w:pPr>
    </w:p>
    <w:p w14:paraId="4F3FA2A1" w14:textId="68A3283B" w:rsidR="001C2C89" w:rsidRPr="00322B1B" w:rsidRDefault="001C2C89" w:rsidP="001C2C89">
      <w:pPr>
        <w:spacing w:after="0" w:line="360" w:lineRule="auto"/>
        <w:rPr>
          <w:rFonts w:eastAsia="Times New Roman" w:cs="Tahoma"/>
          <w:b/>
          <w:bCs/>
          <w:color w:val="auto"/>
          <w:lang w:eastAsia="es-ES"/>
        </w:rPr>
      </w:pPr>
      <w:r w:rsidRPr="00322B1B">
        <w:rPr>
          <w:rFonts w:eastAsia="Times New Roman" w:cs="Tahoma"/>
          <w:b/>
          <w:bCs/>
          <w:color w:val="auto"/>
          <w:lang w:eastAsia="es-ES"/>
        </w:rPr>
        <w:t>b) Admisión del Recurso de Revisión</w:t>
      </w:r>
      <w:r w:rsidRPr="00322B1B">
        <w:rPr>
          <w:rFonts w:eastAsia="Times New Roman" w:cs="Tahoma"/>
          <w:b/>
          <w:bCs/>
          <w:color w:val="auto"/>
          <w:lang w:val="es-ES_tradnl" w:eastAsia="es-ES"/>
        </w:rPr>
        <w:t xml:space="preserve">. </w:t>
      </w:r>
      <w:r w:rsidRPr="00322B1B">
        <w:rPr>
          <w:rFonts w:eastAsia="Batang" w:cs="Tahoma"/>
          <w:bCs/>
          <w:color w:val="000000"/>
        </w:rPr>
        <w:t xml:space="preserve">El </w:t>
      </w:r>
      <w:r w:rsidR="00BF6C8C" w:rsidRPr="00322B1B">
        <w:rPr>
          <w:rFonts w:eastAsia="Batang" w:cs="Tahoma"/>
          <w:bCs/>
          <w:color w:val="000000"/>
        </w:rPr>
        <w:t>nueve</w:t>
      </w:r>
      <w:r w:rsidR="00943C09" w:rsidRPr="00322B1B">
        <w:rPr>
          <w:rFonts w:eastAsia="Batang" w:cs="Tahoma"/>
          <w:bCs/>
          <w:color w:val="000000"/>
        </w:rPr>
        <w:t xml:space="preserve"> de ma</w:t>
      </w:r>
      <w:r w:rsidR="00BF6C8C" w:rsidRPr="00322B1B">
        <w:rPr>
          <w:rFonts w:eastAsia="Batang" w:cs="Tahoma"/>
          <w:bCs/>
          <w:color w:val="000000"/>
        </w:rPr>
        <w:t>yo</w:t>
      </w:r>
      <w:r w:rsidRPr="00322B1B">
        <w:rPr>
          <w:rFonts w:eastAsia="Batang" w:cs="Tahoma"/>
          <w:bCs/>
          <w:color w:val="000000"/>
        </w:rPr>
        <w:t xml:space="preserve"> de dos mil veinti</w:t>
      </w:r>
      <w:r w:rsidR="00943C09" w:rsidRPr="00322B1B">
        <w:rPr>
          <w:rFonts w:eastAsia="Batang" w:cs="Tahoma"/>
          <w:bCs/>
          <w:color w:val="000000"/>
        </w:rPr>
        <w:t>tré</w:t>
      </w:r>
      <w:r w:rsidRPr="00322B1B">
        <w:rPr>
          <w:rFonts w:eastAsia="Batang" w:cs="Tahoma"/>
          <w:bCs/>
          <w:color w:val="000000"/>
        </w:rPr>
        <w:t>s</w:t>
      </w:r>
      <w:r w:rsidRPr="00322B1B">
        <w:rPr>
          <w:rFonts w:eastAsia="Times New Roman" w:cs="Tahoma"/>
          <w:bCs/>
          <w:color w:val="auto"/>
          <w:lang w:val="es-ES_tradnl" w:eastAsia="es-ES"/>
        </w:rPr>
        <w:t>, se acordó la admisión del Recurso de Revisión interpuesto por la Recurrente en contra del Sujeto Obligado, en términos del artículo 185, fracciones I y II de la Ley de Transparencia y Acceso a la Información Pública del Estado de México y Municipios, el cual fu</w:t>
      </w:r>
      <w:r w:rsidR="00BF6C8C" w:rsidRPr="00322B1B">
        <w:rPr>
          <w:rFonts w:eastAsia="Times New Roman" w:cs="Tahoma"/>
          <w:bCs/>
          <w:color w:val="auto"/>
          <w:lang w:val="es-ES_tradnl" w:eastAsia="es-ES"/>
        </w:rPr>
        <w:t xml:space="preserve">e </w:t>
      </w:r>
      <w:r w:rsidRPr="00322B1B">
        <w:rPr>
          <w:rFonts w:eastAsia="Times New Roman" w:cs="Tahoma"/>
          <w:bCs/>
          <w:color w:val="auto"/>
          <w:lang w:val="es-ES_tradnl" w:eastAsia="es-ES"/>
        </w:rPr>
        <w:t xml:space="preserve">notificado a las partes el </w:t>
      </w:r>
      <w:r w:rsidR="00BF6C8C" w:rsidRPr="00322B1B">
        <w:rPr>
          <w:rFonts w:eastAsia="Times New Roman" w:cs="Tahoma"/>
          <w:bCs/>
          <w:color w:val="auto"/>
          <w:lang w:val="es-ES_tradnl" w:eastAsia="es-ES"/>
        </w:rPr>
        <w:t>once</w:t>
      </w:r>
      <w:r w:rsidRPr="00322B1B">
        <w:rPr>
          <w:rFonts w:eastAsia="Times New Roman" w:cs="Tahoma"/>
          <w:bCs/>
          <w:color w:val="auto"/>
          <w:lang w:val="es-ES_tradnl" w:eastAsia="es-ES"/>
        </w:rPr>
        <w:t xml:space="preserve"> de dicho mes y año, a través del Sistema de Acceso a la Información Mexiquense (SAIMEX), en el que se les otorgó un plazo de siete días hábiles posteriores a la misma, para que manifestaran lo que a su derecho conviniera y formularan alegatos. </w:t>
      </w:r>
    </w:p>
    <w:p w14:paraId="574EE27D" w14:textId="77777777" w:rsidR="001C2C89" w:rsidRPr="00322B1B" w:rsidRDefault="001C2C89" w:rsidP="001C2C89">
      <w:pPr>
        <w:spacing w:after="0" w:line="360" w:lineRule="auto"/>
        <w:rPr>
          <w:rFonts w:cs="Tahoma"/>
          <w:b/>
          <w:lang w:val="es-ES_tradnl"/>
        </w:rPr>
      </w:pPr>
    </w:p>
    <w:p w14:paraId="7B582196" w14:textId="61A61757" w:rsidR="007A2FE0" w:rsidRPr="00322B1B" w:rsidRDefault="001C2C89" w:rsidP="007A2FE0">
      <w:pPr>
        <w:spacing w:after="0" w:line="360" w:lineRule="auto"/>
        <w:rPr>
          <w:rFonts w:eastAsia="Times New Roman" w:cs="Tahoma"/>
          <w:bCs/>
          <w:color w:val="auto"/>
          <w:szCs w:val="24"/>
          <w:lang w:eastAsia="es-ES"/>
        </w:rPr>
      </w:pPr>
      <w:r w:rsidRPr="00322B1B">
        <w:rPr>
          <w:rFonts w:cs="Tahoma"/>
          <w:b/>
          <w:lang w:val="es-ES_tradnl"/>
        </w:rPr>
        <w:t xml:space="preserve">c) Informe Justificado.  </w:t>
      </w:r>
      <w:r w:rsidRPr="00322B1B">
        <w:rPr>
          <w:rFonts w:eastAsia="Times New Roman" w:cs="Tahoma"/>
          <w:bCs/>
          <w:color w:val="auto"/>
          <w:szCs w:val="24"/>
          <w:lang w:eastAsia="es-ES"/>
        </w:rPr>
        <w:t xml:space="preserve">El </w:t>
      </w:r>
      <w:r w:rsidR="00943C09" w:rsidRPr="00322B1B">
        <w:rPr>
          <w:rFonts w:eastAsia="Times New Roman" w:cs="Tahoma"/>
          <w:bCs/>
          <w:color w:val="auto"/>
          <w:szCs w:val="24"/>
          <w:lang w:eastAsia="es-ES"/>
        </w:rPr>
        <w:t>veintidós de ma</w:t>
      </w:r>
      <w:r w:rsidR="0004507F" w:rsidRPr="00322B1B">
        <w:rPr>
          <w:rFonts w:eastAsia="Times New Roman" w:cs="Tahoma"/>
          <w:bCs/>
          <w:color w:val="auto"/>
          <w:szCs w:val="24"/>
          <w:lang w:eastAsia="es-ES"/>
        </w:rPr>
        <w:t>yo</w:t>
      </w:r>
      <w:r w:rsidRPr="00322B1B">
        <w:rPr>
          <w:rFonts w:eastAsia="Times New Roman" w:cs="Tahoma"/>
          <w:bCs/>
          <w:color w:val="auto"/>
          <w:szCs w:val="24"/>
          <w:lang w:eastAsia="es-ES"/>
        </w:rPr>
        <w:t xml:space="preserve"> de dos mil veinti</w:t>
      </w:r>
      <w:r w:rsidR="00943C09" w:rsidRPr="00322B1B">
        <w:rPr>
          <w:rFonts w:eastAsia="Times New Roman" w:cs="Tahoma"/>
          <w:bCs/>
          <w:color w:val="auto"/>
          <w:szCs w:val="24"/>
          <w:lang w:eastAsia="es-ES"/>
        </w:rPr>
        <w:t>tré</w:t>
      </w:r>
      <w:r w:rsidRPr="00322B1B">
        <w:rPr>
          <w:rFonts w:eastAsia="Times New Roman" w:cs="Tahoma"/>
          <w:bCs/>
          <w:color w:val="auto"/>
          <w:szCs w:val="24"/>
          <w:lang w:eastAsia="es-ES"/>
        </w:rPr>
        <w:t>s, se recibió en este Instituto, a través del Sistema de Acceso a la Información Mexiquense (SAIMEX), el Informe Justificado, por medio de</w:t>
      </w:r>
      <w:r w:rsidR="0004507F" w:rsidRPr="00322B1B">
        <w:rPr>
          <w:rFonts w:eastAsia="Times New Roman" w:cs="Tahoma"/>
          <w:bCs/>
          <w:color w:val="auto"/>
          <w:szCs w:val="24"/>
          <w:lang w:eastAsia="es-ES"/>
        </w:rPr>
        <w:t>l oficio número DOP/999/2023, de la misma fecha de su recepción, suscrito por el Director de Obras Públicas y dirigido al Director de Transparencia y Gobierno Abierto, por medio del cual manifiesta y expone:</w:t>
      </w:r>
    </w:p>
    <w:p w14:paraId="3F0A880B" w14:textId="77777777" w:rsidR="0004507F" w:rsidRPr="00322B1B" w:rsidRDefault="0004507F" w:rsidP="007A2FE0">
      <w:pPr>
        <w:spacing w:after="0" w:line="360" w:lineRule="auto"/>
        <w:rPr>
          <w:rFonts w:eastAsia="Times New Roman" w:cs="Tahoma"/>
          <w:bCs/>
          <w:color w:val="auto"/>
          <w:szCs w:val="24"/>
          <w:lang w:eastAsia="es-ES"/>
        </w:rPr>
      </w:pPr>
    </w:p>
    <w:p w14:paraId="0661F72A" w14:textId="7B6D28FD" w:rsidR="0004507F" w:rsidRPr="00322B1B" w:rsidRDefault="007A2FE0" w:rsidP="007A2FE0">
      <w:pPr>
        <w:spacing w:after="0" w:line="360" w:lineRule="auto"/>
        <w:ind w:left="567" w:right="567"/>
        <w:rPr>
          <w:rFonts w:eastAsia="Times New Roman" w:cs="Tahoma"/>
          <w:bCs/>
          <w:i/>
          <w:iCs/>
          <w:color w:val="auto"/>
          <w:sz w:val="20"/>
          <w:szCs w:val="20"/>
          <w:lang w:eastAsia="es-ES"/>
        </w:rPr>
      </w:pPr>
      <w:r w:rsidRPr="00322B1B">
        <w:rPr>
          <w:rFonts w:eastAsia="Times New Roman" w:cs="Tahoma"/>
          <w:bCs/>
          <w:i/>
          <w:iCs/>
          <w:color w:val="auto"/>
          <w:sz w:val="20"/>
          <w:szCs w:val="20"/>
          <w:lang w:eastAsia="es-ES"/>
        </w:rPr>
        <w:t>“…</w:t>
      </w:r>
      <w:r w:rsidR="0004507F" w:rsidRPr="00322B1B">
        <w:rPr>
          <w:rFonts w:eastAsia="Times New Roman" w:cs="Tahoma"/>
          <w:bCs/>
          <w:i/>
          <w:iCs/>
          <w:color w:val="auto"/>
          <w:sz w:val="20"/>
          <w:szCs w:val="20"/>
          <w:lang w:eastAsia="es-ES"/>
        </w:rPr>
        <w:t>le informo que la estructura del Comité es la siguiente:</w:t>
      </w:r>
    </w:p>
    <w:p w14:paraId="59B2AEE4" w14:textId="77777777" w:rsidR="0004507F" w:rsidRPr="00322B1B" w:rsidRDefault="0004507F" w:rsidP="007A2FE0">
      <w:pPr>
        <w:spacing w:after="0" w:line="360" w:lineRule="auto"/>
        <w:ind w:left="567" w:right="567"/>
        <w:rPr>
          <w:rFonts w:eastAsia="Times New Roman" w:cs="Tahoma"/>
          <w:bCs/>
          <w:i/>
          <w:iCs/>
          <w:color w:val="auto"/>
          <w:sz w:val="20"/>
          <w:szCs w:val="20"/>
          <w:lang w:eastAsia="es-ES"/>
        </w:rPr>
      </w:pPr>
    </w:p>
    <w:p w14:paraId="6223F8BB" w14:textId="444CE703" w:rsidR="0004507F" w:rsidRPr="00322B1B" w:rsidRDefault="0004507F" w:rsidP="0004507F">
      <w:pPr>
        <w:pStyle w:val="Prrafodelista"/>
        <w:numPr>
          <w:ilvl w:val="0"/>
          <w:numId w:val="14"/>
        </w:numPr>
        <w:spacing w:after="0" w:line="360" w:lineRule="auto"/>
        <w:ind w:right="567"/>
        <w:rPr>
          <w:rFonts w:eastAsia="Times New Roman" w:cs="Tahoma"/>
          <w:bCs/>
          <w:i/>
          <w:iCs/>
          <w:color w:val="auto"/>
          <w:sz w:val="20"/>
          <w:szCs w:val="20"/>
          <w:lang w:eastAsia="es-ES"/>
        </w:rPr>
      </w:pPr>
      <w:r w:rsidRPr="00322B1B">
        <w:rPr>
          <w:rFonts w:eastAsia="Times New Roman" w:cs="Tahoma"/>
          <w:bCs/>
          <w:i/>
          <w:iCs/>
          <w:color w:val="auto"/>
          <w:sz w:val="20"/>
          <w:szCs w:val="20"/>
          <w:lang w:eastAsia="es-ES"/>
        </w:rPr>
        <w:t>Presidente:</w:t>
      </w:r>
      <w:r w:rsidR="00753109" w:rsidRPr="00322B1B">
        <w:rPr>
          <w:rFonts w:eastAsia="Times New Roman" w:cs="Tahoma"/>
          <w:bCs/>
          <w:i/>
          <w:iCs/>
          <w:color w:val="auto"/>
          <w:sz w:val="20"/>
          <w:szCs w:val="20"/>
          <w:lang w:eastAsia="es-ES"/>
        </w:rPr>
        <w:t xml:space="preserve"> Fernando Gustavo Flores Fernández </w:t>
      </w:r>
    </w:p>
    <w:p w14:paraId="29B20631" w14:textId="383D4945" w:rsidR="00753109" w:rsidRPr="00322B1B" w:rsidRDefault="00753109" w:rsidP="0004507F">
      <w:pPr>
        <w:pStyle w:val="Prrafodelista"/>
        <w:numPr>
          <w:ilvl w:val="0"/>
          <w:numId w:val="14"/>
        </w:numPr>
        <w:spacing w:after="0" w:line="360" w:lineRule="auto"/>
        <w:ind w:right="567"/>
        <w:rPr>
          <w:rFonts w:eastAsia="Times New Roman" w:cs="Tahoma"/>
          <w:bCs/>
          <w:i/>
          <w:iCs/>
          <w:color w:val="auto"/>
          <w:sz w:val="20"/>
          <w:szCs w:val="20"/>
          <w:lang w:eastAsia="es-ES"/>
        </w:rPr>
      </w:pPr>
      <w:r w:rsidRPr="00322B1B">
        <w:rPr>
          <w:rFonts w:eastAsia="Times New Roman" w:cs="Tahoma"/>
          <w:bCs/>
          <w:i/>
          <w:iCs/>
          <w:color w:val="auto"/>
          <w:sz w:val="20"/>
          <w:szCs w:val="20"/>
          <w:lang w:eastAsia="es-ES"/>
        </w:rPr>
        <w:t xml:space="preserve">Secretario Técnico: Por el momento no se cuenta con la persona </w:t>
      </w:r>
    </w:p>
    <w:p w14:paraId="40DF210A" w14:textId="0DFDFD3F" w:rsidR="00753109" w:rsidRPr="00322B1B" w:rsidRDefault="00753109" w:rsidP="0004507F">
      <w:pPr>
        <w:pStyle w:val="Prrafodelista"/>
        <w:numPr>
          <w:ilvl w:val="0"/>
          <w:numId w:val="14"/>
        </w:numPr>
        <w:spacing w:after="0" w:line="360" w:lineRule="auto"/>
        <w:ind w:right="567"/>
        <w:rPr>
          <w:rFonts w:eastAsia="Times New Roman" w:cs="Tahoma"/>
          <w:bCs/>
          <w:i/>
          <w:iCs/>
          <w:color w:val="auto"/>
          <w:sz w:val="20"/>
          <w:szCs w:val="20"/>
          <w:lang w:eastAsia="es-ES"/>
        </w:rPr>
      </w:pPr>
      <w:r w:rsidRPr="00322B1B">
        <w:rPr>
          <w:rFonts w:eastAsia="Times New Roman" w:cs="Tahoma"/>
          <w:bCs/>
          <w:i/>
          <w:iCs/>
          <w:color w:val="auto"/>
          <w:sz w:val="20"/>
          <w:szCs w:val="20"/>
          <w:lang w:eastAsia="es-ES"/>
        </w:rPr>
        <w:t>Vocal: Enrique Alonso Pineda</w:t>
      </w:r>
    </w:p>
    <w:p w14:paraId="7EC9796B" w14:textId="1B5AC18B" w:rsidR="00753109" w:rsidRPr="00322B1B" w:rsidRDefault="00753109" w:rsidP="0004507F">
      <w:pPr>
        <w:pStyle w:val="Prrafodelista"/>
        <w:numPr>
          <w:ilvl w:val="0"/>
          <w:numId w:val="14"/>
        </w:numPr>
        <w:spacing w:after="0" w:line="360" w:lineRule="auto"/>
        <w:ind w:right="567"/>
        <w:rPr>
          <w:rFonts w:eastAsia="Times New Roman" w:cs="Tahoma"/>
          <w:bCs/>
          <w:i/>
          <w:iCs/>
          <w:color w:val="auto"/>
          <w:sz w:val="20"/>
          <w:szCs w:val="20"/>
          <w:lang w:eastAsia="es-ES"/>
        </w:rPr>
      </w:pPr>
      <w:r w:rsidRPr="00322B1B">
        <w:rPr>
          <w:rFonts w:eastAsia="Times New Roman" w:cs="Tahoma"/>
          <w:bCs/>
          <w:i/>
          <w:iCs/>
          <w:color w:val="auto"/>
          <w:sz w:val="20"/>
          <w:szCs w:val="20"/>
          <w:lang w:eastAsia="es-ES"/>
        </w:rPr>
        <w:t>Vocal: Everardo Padilla López</w:t>
      </w:r>
    </w:p>
    <w:p w14:paraId="6CE336B3" w14:textId="745B1495" w:rsidR="00753109" w:rsidRPr="00322B1B" w:rsidRDefault="00753109" w:rsidP="0004507F">
      <w:pPr>
        <w:pStyle w:val="Prrafodelista"/>
        <w:numPr>
          <w:ilvl w:val="0"/>
          <w:numId w:val="14"/>
        </w:numPr>
        <w:spacing w:after="0" w:line="360" w:lineRule="auto"/>
        <w:ind w:right="567"/>
        <w:rPr>
          <w:rFonts w:eastAsia="Times New Roman" w:cs="Tahoma"/>
          <w:bCs/>
          <w:i/>
          <w:iCs/>
          <w:color w:val="auto"/>
          <w:sz w:val="20"/>
          <w:szCs w:val="20"/>
          <w:lang w:eastAsia="es-ES"/>
        </w:rPr>
      </w:pPr>
      <w:r w:rsidRPr="00322B1B">
        <w:rPr>
          <w:rFonts w:eastAsia="Times New Roman" w:cs="Tahoma"/>
          <w:bCs/>
          <w:i/>
          <w:iCs/>
          <w:color w:val="auto"/>
          <w:sz w:val="20"/>
          <w:szCs w:val="20"/>
          <w:lang w:eastAsia="es-ES"/>
        </w:rPr>
        <w:lastRenderedPageBreak/>
        <w:t xml:space="preserve">Ponente: Rogelio Domínguez Echeverría </w:t>
      </w:r>
    </w:p>
    <w:p w14:paraId="381B8451" w14:textId="47CA87C4" w:rsidR="00753109" w:rsidRPr="00322B1B" w:rsidRDefault="00753109" w:rsidP="0004507F">
      <w:pPr>
        <w:pStyle w:val="Prrafodelista"/>
        <w:numPr>
          <w:ilvl w:val="0"/>
          <w:numId w:val="14"/>
        </w:numPr>
        <w:spacing w:after="0" w:line="360" w:lineRule="auto"/>
        <w:ind w:right="567"/>
        <w:rPr>
          <w:rFonts w:eastAsia="Times New Roman" w:cs="Tahoma"/>
          <w:bCs/>
          <w:i/>
          <w:iCs/>
          <w:color w:val="auto"/>
          <w:sz w:val="20"/>
          <w:szCs w:val="20"/>
          <w:lang w:eastAsia="es-ES"/>
        </w:rPr>
      </w:pPr>
      <w:r w:rsidRPr="00322B1B">
        <w:rPr>
          <w:rFonts w:eastAsia="Times New Roman" w:cs="Tahoma"/>
          <w:bCs/>
          <w:i/>
          <w:iCs/>
          <w:color w:val="auto"/>
          <w:sz w:val="20"/>
          <w:szCs w:val="20"/>
          <w:lang w:eastAsia="es-ES"/>
        </w:rPr>
        <w:t xml:space="preserve">Invitado permanente: Edgar Enrique </w:t>
      </w:r>
      <w:proofErr w:type="spellStart"/>
      <w:r w:rsidRPr="00322B1B">
        <w:rPr>
          <w:rFonts w:eastAsia="Times New Roman" w:cs="Tahoma"/>
          <w:bCs/>
          <w:i/>
          <w:iCs/>
          <w:color w:val="auto"/>
          <w:sz w:val="20"/>
          <w:szCs w:val="20"/>
          <w:lang w:eastAsia="es-ES"/>
        </w:rPr>
        <w:t>Jaimes</w:t>
      </w:r>
      <w:proofErr w:type="spellEnd"/>
      <w:r w:rsidRPr="00322B1B">
        <w:rPr>
          <w:rFonts w:eastAsia="Times New Roman" w:cs="Tahoma"/>
          <w:bCs/>
          <w:i/>
          <w:iCs/>
          <w:color w:val="auto"/>
          <w:sz w:val="20"/>
          <w:szCs w:val="20"/>
          <w:lang w:eastAsia="es-ES"/>
        </w:rPr>
        <w:t xml:space="preserve"> Heredia </w:t>
      </w:r>
    </w:p>
    <w:p w14:paraId="5AE62787" w14:textId="2A6B50B6" w:rsidR="00753109" w:rsidRPr="00322B1B" w:rsidRDefault="00753109" w:rsidP="0004507F">
      <w:pPr>
        <w:pStyle w:val="Prrafodelista"/>
        <w:numPr>
          <w:ilvl w:val="0"/>
          <w:numId w:val="14"/>
        </w:numPr>
        <w:spacing w:after="0" w:line="360" w:lineRule="auto"/>
        <w:ind w:right="567"/>
        <w:rPr>
          <w:rFonts w:eastAsia="Times New Roman" w:cs="Tahoma"/>
          <w:bCs/>
          <w:i/>
          <w:iCs/>
          <w:color w:val="auto"/>
          <w:sz w:val="20"/>
          <w:szCs w:val="20"/>
          <w:lang w:eastAsia="es-ES"/>
        </w:rPr>
      </w:pPr>
      <w:r w:rsidRPr="00322B1B">
        <w:rPr>
          <w:rFonts w:eastAsia="Times New Roman" w:cs="Tahoma"/>
          <w:bCs/>
          <w:i/>
          <w:iCs/>
          <w:color w:val="auto"/>
          <w:sz w:val="20"/>
          <w:szCs w:val="20"/>
          <w:lang w:eastAsia="es-ES"/>
        </w:rPr>
        <w:t>Invitado permanente: Francisco José Medina Ortega</w:t>
      </w:r>
    </w:p>
    <w:p w14:paraId="35A3CAA0" w14:textId="52CFBBBC" w:rsidR="007A2FE0" w:rsidRPr="00322B1B" w:rsidRDefault="007A2FE0" w:rsidP="007A2FE0">
      <w:pPr>
        <w:spacing w:after="0" w:line="360" w:lineRule="auto"/>
        <w:ind w:left="567" w:right="567"/>
        <w:rPr>
          <w:rFonts w:cs="Tahoma"/>
          <w:b/>
          <w:i/>
          <w:iCs/>
          <w:sz w:val="20"/>
          <w:szCs w:val="20"/>
          <w:lang w:val="es-ES_tradnl"/>
        </w:rPr>
      </w:pPr>
      <w:r w:rsidRPr="00322B1B">
        <w:rPr>
          <w:rFonts w:eastAsia="Times New Roman" w:cs="Tahoma"/>
          <w:bCs/>
          <w:i/>
          <w:iCs/>
          <w:color w:val="auto"/>
          <w:sz w:val="20"/>
          <w:szCs w:val="20"/>
          <w:lang w:eastAsia="es-ES"/>
        </w:rPr>
        <w:t>…”</w:t>
      </w:r>
    </w:p>
    <w:p w14:paraId="60C67665" w14:textId="77777777" w:rsidR="001C2C89" w:rsidRPr="00322B1B" w:rsidRDefault="001C2C89" w:rsidP="00D83576">
      <w:pPr>
        <w:spacing w:after="0" w:line="360" w:lineRule="auto"/>
        <w:ind w:right="567"/>
        <w:rPr>
          <w:rFonts w:cs="Tahoma"/>
          <w:b/>
          <w:i/>
          <w:iCs/>
          <w:sz w:val="20"/>
          <w:szCs w:val="20"/>
          <w:lang w:val="es-ES_tradnl"/>
        </w:rPr>
      </w:pPr>
    </w:p>
    <w:p w14:paraId="38B8D7FC" w14:textId="11C61C29" w:rsidR="001C2C89" w:rsidRPr="00322B1B" w:rsidRDefault="009C2EE4" w:rsidP="001C2C89">
      <w:pPr>
        <w:spacing w:after="0" w:line="360" w:lineRule="auto"/>
        <w:rPr>
          <w:rFonts w:cs="Tahoma"/>
          <w:bCs/>
          <w:lang w:val="es-ES_tradnl"/>
        </w:rPr>
      </w:pPr>
      <w:r w:rsidRPr="00322B1B">
        <w:rPr>
          <w:rFonts w:cs="Tahoma"/>
          <w:b/>
          <w:lang w:val="es-ES_tradnl"/>
        </w:rPr>
        <w:t>d</w:t>
      </w:r>
      <w:r w:rsidR="001C2C89" w:rsidRPr="00322B1B">
        <w:rPr>
          <w:rFonts w:cs="Tahoma"/>
          <w:b/>
          <w:lang w:val="es-ES_tradnl"/>
        </w:rPr>
        <w:t xml:space="preserve">) Vista del informe justificado. </w:t>
      </w:r>
      <w:r w:rsidR="001C2C89" w:rsidRPr="00322B1B">
        <w:rPr>
          <w:rFonts w:cs="Tahoma"/>
          <w:bCs/>
          <w:lang w:val="es-ES_tradnl"/>
        </w:rPr>
        <w:t xml:space="preserve">El </w:t>
      </w:r>
      <w:r w:rsidR="005A09C6" w:rsidRPr="00322B1B">
        <w:rPr>
          <w:rFonts w:cs="Tahoma"/>
          <w:bCs/>
          <w:lang w:val="es-ES_tradnl"/>
        </w:rPr>
        <w:t>veint</w:t>
      </w:r>
      <w:r w:rsidR="006D3054" w:rsidRPr="00322B1B">
        <w:rPr>
          <w:rFonts w:cs="Tahoma"/>
          <w:bCs/>
          <w:lang w:val="es-ES_tradnl"/>
        </w:rPr>
        <w:t>itrés</w:t>
      </w:r>
      <w:r w:rsidR="005A09C6" w:rsidRPr="00322B1B">
        <w:rPr>
          <w:rFonts w:cs="Tahoma"/>
          <w:bCs/>
          <w:lang w:val="es-ES_tradnl"/>
        </w:rPr>
        <w:t xml:space="preserve"> de </w:t>
      </w:r>
      <w:r w:rsidR="006D3054" w:rsidRPr="00322B1B">
        <w:rPr>
          <w:rFonts w:cs="Tahoma"/>
          <w:bCs/>
          <w:lang w:val="es-ES_tradnl"/>
        </w:rPr>
        <w:t>mayo</w:t>
      </w:r>
      <w:r w:rsidR="005A09C6" w:rsidRPr="00322B1B">
        <w:rPr>
          <w:rFonts w:cs="Tahoma"/>
          <w:bCs/>
          <w:lang w:val="es-ES_tradnl"/>
        </w:rPr>
        <w:t xml:space="preserve"> </w:t>
      </w:r>
      <w:r w:rsidR="001C2C89" w:rsidRPr="00322B1B">
        <w:rPr>
          <w:rFonts w:cs="Tahoma"/>
          <w:bCs/>
          <w:lang w:val="es-ES_tradnl"/>
        </w:rPr>
        <w:t>de dos mil vein</w:t>
      </w:r>
      <w:r w:rsidR="005A09C6" w:rsidRPr="00322B1B">
        <w:rPr>
          <w:rFonts w:cs="Tahoma"/>
          <w:bCs/>
          <w:lang w:val="es-ES_tradnl"/>
        </w:rPr>
        <w:t>titré</w:t>
      </w:r>
      <w:r w:rsidR="001C2C89" w:rsidRPr="00322B1B">
        <w:rPr>
          <w:rFonts w:cs="Tahoma"/>
          <w:bCs/>
          <w:lang w:val="es-ES_tradnl"/>
        </w:rPr>
        <w:t xml:space="preserve">s, se dictó acuerdo mediante el cual se pone a disposición del Particular, el Informe Justificado, proporcionado por el Sujeto Obligado a través del </w:t>
      </w:r>
      <w:r w:rsidR="001C2C89" w:rsidRPr="00322B1B">
        <w:rPr>
          <w:rFonts w:eastAsia="Times New Roman" w:cs="Tahoma"/>
          <w:bCs/>
          <w:color w:val="auto"/>
          <w:szCs w:val="24"/>
          <w:lang w:eastAsia="es-ES"/>
        </w:rPr>
        <w:t xml:space="preserve">Sistema de Acceso a la Información Mexiquense (SAIMEX). </w:t>
      </w:r>
    </w:p>
    <w:p w14:paraId="6A79195C" w14:textId="77777777" w:rsidR="001C2C89" w:rsidRPr="00322B1B" w:rsidRDefault="001C2C89" w:rsidP="001C2C89">
      <w:pPr>
        <w:spacing w:after="0" w:line="360" w:lineRule="auto"/>
        <w:rPr>
          <w:rFonts w:eastAsia="Times New Roman" w:cs="Tahoma"/>
          <w:b/>
          <w:color w:val="auto"/>
          <w:szCs w:val="24"/>
          <w:lang w:eastAsia="es-ES"/>
        </w:rPr>
      </w:pPr>
    </w:p>
    <w:p w14:paraId="42CED52F" w14:textId="45911039" w:rsidR="001C2C89" w:rsidRPr="00322B1B" w:rsidRDefault="006D3054" w:rsidP="001C2C89">
      <w:pPr>
        <w:spacing w:after="0" w:line="360" w:lineRule="auto"/>
        <w:rPr>
          <w:rFonts w:eastAsia="Times New Roman" w:cs="Tahoma"/>
          <w:color w:val="auto"/>
          <w:szCs w:val="24"/>
          <w:lang w:eastAsia="es-ES"/>
        </w:rPr>
      </w:pPr>
      <w:r w:rsidRPr="00322B1B">
        <w:rPr>
          <w:rFonts w:eastAsia="Times New Roman" w:cs="Tahoma"/>
          <w:b/>
          <w:color w:val="auto"/>
          <w:szCs w:val="24"/>
          <w:lang w:eastAsia="es-ES"/>
        </w:rPr>
        <w:t>e</w:t>
      </w:r>
      <w:r w:rsidR="001C2C89" w:rsidRPr="00322B1B">
        <w:rPr>
          <w:rFonts w:eastAsia="Times New Roman" w:cs="Tahoma"/>
          <w:b/>
          <w:color w:val="auto"/>
          <w:szCs w:val="24"/>
          <w:lang w:eastAsia="es-ES"/>
        </w:rPr>
        <w:t>) Cierre de instrucción.</w:t>
      </w:r>
      <w:r w:rsidR="001C2C89" w:rsidRPr="00322B1B">
        <w:rPr>
          <w:rFonts w:eastAsia="Times New Roman" w:cs="Tahoma"/>
          <w:color w:val="auto"/>
          <w:szCs w:val="24"/>
          <w:lang w:eastAsia="es-ES"/>
        </w:rPr>
        <w:t xml:space="preserve"> El </w:t>
      </w:r>
      <w:r w:rsidR="00F12934" w:rsidRPr="00322B1B">
        <w:rPr>
          <w:rFonts w:eastAsia="Times New Roman" w:cs="Tahoma"/>
          <w:color w:val="auto"/>
          <w:szCs w:val="24"/>
          <w:lang w:eastAsia="es-ES"/>
        </w:rPr>
        <w:t>veintinueve</w:t>
      </w:r>
      <w:r w:rsidR="00537E22" w:rsidRPr="00322B1B">
        <w:rPr>
          <w:rFonts w:eastAsia="Times New Roman" w:cs="Tahoma"/>
          <w:color w:val="auto"/>
          <w:szCs w:val="24"/>
          <w:lang w:eastAsia="es-ES"/>
        </w:rPr>
        <w:t xml:space="preserve"> de mayo</w:t>
      </w:r>
      <w:r w:rsidR="001C2C89" w:rsidRPr="00322B1B">
        <w:rPr>
          <w:rFonts w:eastAsia="Times New Roman" w:cs="Tahoma"/>
          <w:color w:val="auto"/>
          <w:szCs w:val="24"/>
          <w:lang w:eastAsia="es-ES"/>
        </w:rPr>
        <w:t xml:space="preserve"> de dos mil veinti</w:t>
      </w:r>
      <w:r w:rsidR="00537E22" w:rsidRPr="00322B1B">
        <w:rPr>
          <w:rFonts w:eastAsia="Times New Roman" w:cs="Tahoma"/>
          <w:color w:val="auto"/>
          <w:szCs w:val="24"/>
          <w:lang w:eastAsia="es-ES"/>
        </w:rPr>
        <w:t>trés</w:t>
      </w:r>
      <w:r w:rsidR="001C2C89" w:rsidRPr="00322B1B">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1C2C89" w:rsidRPr="00322B1B">
        <w:rPr>
          <w:rFonts w:eastAsia="Times New Roman" w:cs="Tahoma"/>
          <w:color w:val="auto"/>
          <w:szCs w:val="20"/>
          <w:lang w:val="es-ES" w:eastAsia="es-ES"/>
        </w:rPr>
        <w:t>Sistema de Acceso a la Información Mexiquense (SAIMEX)</w:t>
      </w:r>
      <w:r w:rsidR="001C2C89" w:rsidRPr="00322B1B">
        <w:rPr>
          <w:rFonts w:eastAsia="Times New Roman" w:cs="Tahoma"/>
          <w:color w:val="auto"/>
          <w:szCs w:val="24"/>
          <w:lang w:eastAsia="es-ES"/>
        </w:rPr>
        <w:t xml:space="preserve">. </w:t>
      </w:r>
    </w:p>
    <w:p w14:paraId="13D54218" w14:textId="77777777" w:rsidR="001C2C89" w:rsidRPr="00322B1B" w:rsidRDefault="001C2C89" w:rsidP="001C2C89">
      <w:pPr>
        <w:spacing w:after="0" w:line="360" w:lineRule="auto"/>
        <w:rPr>
          <w:rFonts w:eastAsia="Times New Roman" w:cs="Tahoma"/>
          <w:color w:val="auto"/>
          <w:szCs w:val="24"/>
          <w:lang w:eastAsia="es-ES"/>
        </w:rPr>
      </w:pPr>
    </w:p>
    <w:p w14:paraId="77555A46" w14:textId="77777777" w:rsidR="001C2C89" w:rsidRPr="00322B1B" w:rsidRDefault="001C2C89" w:rsidP="001C2C89">
      <w:pPr>
        <w:spacing w:after="0" w:line="360" w:lineRule="auto"/>
        <w:rPr>
          <w:rFonts w:eastAsia="Times New Roman" w:cs="Tahoma"/>
          <w:color w:val="000000"/>
          <w:szCs w:val="24"/>
          <w:lang w:eastAsia="es-ES"/>
        </w:rPr>
      </w:pPr>
      <w:r w:rsidRPr="00322B1B">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20751B2E" w14:textId="77777777" w:rsidR="001C2C89" w:rsidRPr="00322B1B" w:rsidRDefault="001C2C89" w:rsidP="001C2C89">
      <w:pPr>
        <w:spacing w:after="0" w:line="360" w:lineRule="auto"/>
        <w:rPr>
          <w:rFonts w:eastAsia="Times New Roman" w:cs="Tahoma"/>
          <w:b/>
          <w:color w:val="auto"/>
          <w:lang w:val="es-ES" w:eastAsia="es-ES"/>
        </w:rPr>
      </w:pPr>
    </w:p>
    <w:p w14:paraId="47A06EFB" w14:textId="77777777" w:rsidR="001C2C89" w:rsidRPr="00322B1B" w:rsidRDefault="001C2C89" w:rsidP="001C2C89">
      <w:pPr>
        <w:spacing w:after="0" w:line="360" w:lineRule="auto"/>
        <w:jc w:val="center"/>
        <w:rPr>
          <w:rFonts w:eastAsia="Times New Roman" w:cs="Tahoma"/>
          <w:b/>
          <w:color w:val="auto"/>
          <w:lang w:val="es-ES" w:eastAsia="es-ES"/>
        </w:rPr>
      </w:pPr>
      <w:r w:rsidRPr="00322B1B">
        <w:rPr>
          <w:rFonts w:eastAsia="Times New Roman" w:cs="Tahoma"/>
          <w:b/>
          <w:color w:val="auto"/>
          <w:lang w:val="es-ES" w:eastAsia="es-ES"/>
        </w:rPr>
        <w:t>C O N S I D E R A N D O S:</w:t>
      </w:r>
    </w:p>
    <w:p w14:paraId="70CE60A8" w14:textId="77777777" w:rsidR="001C2C89" w:rsidRPr="00322B1B" w:rsidRDefault="001C2C89" w:rsidP="001C2C89">
      <w:pPr>
        <w:spacing w:after="0" w:line="360" w:lineRule="auto"/>
        <w:jc w:val="center"/>
        <w:rPr>
          <w:rFonts w:eastAsia="Times New Roman" w:cs="Tahoma"/>
          <w:b/>
          <w:color w:val="auto"/>
          <w:lang w:val="es-ES" w:eastAsia="es-ES"/>
        </w:rPr>
      </w:pPr>
    </w:p>
    <w:p w14:paraId="385F0631" w14:textId="77777777" w:rsidR="001C2C89" w:rsidRPr="00322B1B" w:rsidRDefault="001C2C89" w:rsidP="001C2C89">
      <w:pPr>
        <w:autoSpaceDE w:val="0"/>
        <w:autoSpaceDN w:val="0"/>
        <w:adjustRightInd w:val="0"/>
        <w:spacing w:after="0" w:line="360" w:lineRule="auto"/>
        <w:rPr>
          <w:rFonts w:eastAsia="Times New Roman" w:cs="Tahoma"/>
          <w:b/>
          <w:color w:val="auto"/>
          <w:szCs w:val="24"/>
          <w:lang w:val="es-ES" w:eastAsia="es-ES"/>
        </w:rPr>
      </w:pPr>
      <w:r w:rsidRPr="00322B1B">
        <w:rPr>
          <w:rFonts w:eastAsia="Calibri" w:cs="Tahoma"/>
          <w:b/>
          <w:color w:val="000000"/>
          <w:szCs w:val="24"/>
          <w:lang w:val="es-ES" w:eastAsia="es-MX"/>
        </w:rPr>
        <w:t>PRIMERO</w:t>
      </w:r>
      <w:r w:rsidRPr="00322B1B">
        <w:rPr>
          <w:rFonts w:eastAsia="Calibri" w:cs="Tahoma"/>
          <w:color w:val="000000"/>
          <w:szCs w:val="24"/>
          <w:lang w:val="es-ES" w:eastAsia="es-MX"/>
        </w:rPr>
        <w:t xml:space="preserve">. </w:t>
      </w:r>
      <w:r w:rsidRPr="00322B1B">
        <w:rPr>
          <w:rFonts w:eastAsia="Times New Roman" w:cs="Tahoma"/>
          <w:b/>
          <w:color w:val="auto"/>
          <w:szCs w:val="24"/>
          <w:lang w:val="es-ES" w:eastAsia="es-ES"/>
        </w:rPr>
        <w:t>Competencia.</w:t>
      </w:r>
    </w:p>
    <w:p w14:paraId="307D54B4" w14:textId="77777777" w:rsidR="001C2C89" w:rsidRPr="00322B1B" w:rsidRDefault="001C2C89" w:rsidP="001C2C89">
      <w:pPr>
        <w:autoSpaceDE w:val="0"/>
        <w:autoSpaceDN w:val="0"/>
        <w:adjustRightInd w:val="0"/>
        <w:spacing w:after="0" w:line="360" w:lineRule="auto"/>
        <w:rPr>
          <w:rFonts w:eastAsia="Times New Roman" w:cs="Tahoma"/>
          <w:b/>
          <w:color w:val="auto"/>
          <w:szCs w:val="24"/>
          <w:lang w:val="es-ES" w:eastAsia="es-ES"/>
        </w:rPr>
      </w:pPr>
    </w:p>
    <w:p w14:paraId="53273B21" w14:textId="4D7E633C" w:rsidR="001C2C89" w:rsidRPr="00322B1B" w:rsidRDefault="001C2C89" w:rsidP="001C2C89">
      <w:pPr>
        <w:spacing w:after="0" w:line="360" w:lineRule="auto"/>
        <w:rPr>
          <w:rFonts w:eastAsia="Times New Roman" w:cs="Tahoma"/>
          <w:bCs/>
          <w:color w:val="auto"/>
          <w:lang w:eastAsia="es-ES"/>
        </w:rPr>
      </w:pPr>
      <w:bookmarkStart w:id="0" w:name="_Hlk63334754"/>
      <w:r w:rsidRPr="00322B1B">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w:t>
      </w:r>
      <w:r w:rsidRPr="00322B1B">
        <w:rPr>
          <w:rFonts w:eastAsia="Times New Roman" w:cs="Tahoma"/>
          <w:bCs/>
          <w:color w:val="auto"/>
          <w:lang w:eastAsia="es-ES"/>
        </w:rPr>
        <w:lastRenderedPageBreak/>
        <w:t>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22B1B">
        <w:rPr>
          <w:rFonts w:eastAsia="Times New Roman" w:cs="Times New Roman"/>
          <w:bCs/>
          <w:color w:val="auto"/>
          <w:lang w:eastAsia="es-ES"/>
        </w:rPr>
        <w:t xml:space="preserve"> 7°, </w:t>
      </w:r>
      <w:r w:rsidRPr="00322B1B">
        <w:rPr>
          <w:rFonts w:eastAsia="Times New Roman" w:cs="Tahoma"/>
          <w:bCs/>
          <w:color w:val="auto"/>
          <w:lang w:eastAsia="es-ES"/>
        </w:rPr>
        <w:t>9°, fracciones I y XXI</w:t>
      </w:r>
      <w:r w:rsidR="00647C03" w:rsidRPr="00322B1B">
        <w:rPr>
          <w:rFonts w:eastAsia="Times New Roman" w:cs="Tahoma"/>
          <w:bCs/>
          <w:color w:val="auto"/>
          <w:lang w:eastAsia="es-ES"/>
        </w:rPr>
        <w:t>II</w:t>
      </w:r>
      <w:r w:rsidRPr="00322B1B">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0"/>
    </w:p>
    <w:p w14:paraId="2314549B" w14:textId="77777777" w:rsidR="001C2C89" w:rsidRPr="00322B1B" w:rsidRDefault="001C2C89" w:rsidP="001C2C89">
      <w:pPr>
        <w:spacing w:after="0" w:line="360" w:lineRule="auto"/>
      </w:pPr>
    </w:p>
    <w:p w14:paraId="5DFE7C33" w14:textId="77777777" w:rsidR="001C2C89" w:rsidRPr="00322B1B" w:rsidRDefault="001C2C89" w:rsidP="001C2C89">
      <w:pPr>
        <w:autoSpaceDE w:val="0"/>
        <w:autoSpaceDN w:val="0"/>
        <w:adjustRightInd w:val="0"/>
        <w:spacing w:after="0" w:line="360" w:lineRule="auto"/>
        <w:rPr>
          <w:b/>
          <w:lang w:val="es-ES"/>
        </w:rPr>
      </w:pPr>
      <w:r w:rsidRPr="00322B1B">
        <w:rPr>
          <w:rFonts w:eastAsia="Calibri" w:cs="Tahoma"/>
          <w:b/>
          <w:color w:val="000000"/>
          <w:szCs w:val="24"/>
          <w:lang w:val="es-ES" w:eastAsia="es-MX"/>
        </w:rPr>
        <w:t>SEGUNDO</w:t>
      </w:r>
      <w:r w:rsidRPr="00322B1B">
        <w:rPr>
          <w:rFonts w:eastAsia="Calibri" w:cs="Tahoma"/>
          <w:color w:val="000000"/>
          <w:szCs w:val="24"/>
          <w:lang w:val="es-ES" w:eastAsia="es-MX"/>
        </w:rPr>
        <w:t xml:space="preserve">. </w:t>
      </w:r>
      <w:r w:rsidRPr="00322B1B">
        <w:rPr>
          <w:b/>
          <w:lang w:val="es-ES"/>
        </w:rPr>
        <w:t>Causales de improcedencia</w:t>
      </w:r>
    </w:p>
    <w:p w14:paraId="06EF8BB8" w14:textId="77777777" w:rsidR="001C2C89" w:rsidRPr="00322B1B" w:rsidRDefault="001C2C89" w:rsidP="001C2C89">
      <w:pPr>
        <w:spacing w:after="0" w:line="360" w:lineRule="auto"/>
        <w:rPr>
          <w:b/>
          <w:lang w:val="es-ES"/>
        </w:rPr>
      </w:pPr>
    </w:p>
    <w:p w14:paraId="2ECFC77E" w14:textId="77777777" w:rsidR="001C2C89" w:rsidRPr="00322B1B" w:rsidRDefault="001C2C89" w:rsidP="001C2C89">
      <w:pPr>
        <w:spacing w:after="0" w:line="360" w:lineRule="auto"/>
        <w:rPr>
          <w:rFonts w:eastAsia="Times New Roman" w:cs="Tahoma"/>
          <w:color w:val="auto"/>
          <w:lang w:eastAsia="es-ES"/>
        </w:rPr>
      </w:pPr>
      <w:r w:rsidRPr="00322B1B">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42508B5" w14:textId="77777777" w:rsidR="001C2C89" w:rsidRPr="00322B1B" w:rsidRDefault="001C2C89" w:rsidP="001C2C89">
      <w:pPr>
        <w:spacing w:after="0" w:line="360" w:lineRule="auto"/>
        <w:rPr>
          <w:rFonts w:eastAsia="Times New Roman" w:cs="Tahoma"/>
          <w:color w:val="auto"/>
          <w:lang w:eastAsia="es-ES"/>
        </w:rPr>
      </w:pPr>
    </w:p>
    <w:p w14:paraId="4BCC0316" w14:textId="77777777" w:rsidR="001C2C89" w:rsidRPr="00322B1B" w:rsidRDefault="001C2C89" w:rsidP="001C2C89">
      <w:pPr>
        <w:autoSpaceDE w:val="0"/>
        <w:autoSpaceDN w:val="0"/>
        <w:adjustRightInd w:val="0"/>
        <w:spacing w:after="0" w:line="360" w:lineRule="auto"/>
        <w:rPr>
          <w:rFonts w:eastAsia="Calibri" w:cs="Tahoma"/>
          <w:color w:val="000000"/>
          <w:lang w:eastAsia="es-MX"/>
        </w:rPr>
      </w:pPr>
      <w:r w:rsidRPr="00322B1B">
        <w:rPr>
          <w:rFonts w:eastAsia="Calibri" w:cs="Tahoma"/>
          <w:color w:val="000000"/>
          <w:lang w:eastAsia="es-MX"/>
        </w:rPr>
        <w:t xml:space="preserve">En el presente caso, </w:t>
      </w:r>
      <w:r w:rsidRPr="00322B1B">
        <w:rPr>
          <w:rFonts w:eastAsia="Calibri" w:cs="Tahoma"/>
          <w:b/>
          <w:color w:val="000000"/>
          <w:lang w:eastAsia="es-MX"/>
        </w:rPr>
        <w:t>no se actualiza ninguna de las causales de improcedencia</w:t>
      </w:r>
      <w:r w:rsidRPr="00322B1B">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w:t>
      </w:r>
      <w:r w:rsidRPr="00322B1B">
        <w:rPr>
          <w:rFonts w:eastAsia="Calibri" w:cs="Tahoma"/>
          <w:color w:val="000000"/>
          <w:lang w:eastAsia="es-MX"/>
        </w:rPr>
        <w:lastRenderedPageBreak/>
        <w:t>formó parte del agravio; no se realizó una consulta o ampliación a los alcances del requerimiento informativo, aunado a que el medio de impugnación fue presentado en tiempo.</w:t>
      </w:r>
    </w:p>
    <w:p w14:paraId="6C9F3C3B" w14:textId="77777777" w:rsidR="001C2C89" w:rsidRPr="00322B1B" w:rsidRDefault="001C2C89" w:rsidP="001C2C89">
      <w:pPr>
        <w:spacing w:after="0" w:line="360" w:lineRule="auto"/>
        <w:rPr>
          <w:rFonts w:eastAsia="Times New Roman" w:cs="Tahoma"/>
          <w:b/>
          <w:bCs/>
          <w:color w:val="auto"/>
          <w:lang w:eastAsia="es-ES"/>
        </w:rPr>
      </w:pPr>
    </w:p>
    <w:p w14:paraId="487C4223" w14:textId="18600CE9" w:rsidR="001C2C89" w:rsidRPr="00322B1B" w:rsidRDefault="001C2C89" w:rsidP="001C2C89">
      <w:pPr>
        <w:spacing w:after="0" w:line="360" w:lineRule="auto"/>
        <w:rPr>
          <w:rFonts w:eastAsia="Calibri" w:cs="Tahoma"/>
          <w:color w:val="000000"/>
          <w:lang w:eastAsia="es-MX"/>
        </w:rPr>
      </w:pPr>
      <w:r w:rsidRPr="00322B1B">
        <w:rPr>
          <w:rFonts w:eastAsia="Times New Roman" w:cs="Tahoma"/>
          <w:color w:val="auto"/>
          <w:lang w:eastAsia="es-ES"/>
        </w:rPr>
        <w:t>Asimismo, se actualiza la causal de procedencia del Recurso de Revisión señalada en el artículo 179, fracci</w:t>
      </w:r>
      <w:r w:rsidR="008D2046" w:rsidRPr="00322B1B">
        <w:rPr>
          <w:rFonts w:eastAsia="Times New Roman" w:cs="Tahoma"/>
          <w:color w:val="auto"/>
          <w:lang w:eastAsia="es-ES"/>
        </w:rPr>
        <w:t>ón</w:t>
      </w:r>
      <w:r w:rsidRPr="00322B1B">
        <w:rPr>
          <w:rFonts w:eastAsia="Times New Roman" w:cs="Tahoma"/>
          <w:color w:val="auto"/>
          <w:lang w:eastAsia="es-ES"/>
        </w:rPr>
        <w:t xml:space="preserve"> V,</w:t>
      </w:r>
      <w:r w:rsidR="008D2046" w:rsidRPr="00322B1B">
        <w:rPr>
          <w:rFonts w:eastAsia="Times New Roman" w:cs="Tahoma"/>
          <w:color w:val="auto"/>
          <w:lang w:eastAsia="es-ES"/>
        </w:rPr>
        <w:t xml:space="preserve"> de la</w:t>
      </w:r>
      <w:r w:rsidRPr="00322B1B">
        <w:rPr>
          <w:rFonts w:eastAsia="Times New Roman" w:cs="Tahoma"/>
          <w:color w:val="auto"/>
          <w:lang w:eastAsia="es-ES"/>
        </w:rPr>
        <w:t xml:space="preserve"> </w:t>
      </w:r>
      <w:r w:rsidRPr="00322B1B">
        <w:rPr>
          <w:rFonts w:eastAsia="Calibri" w:cs="Tahoma"/>
          <w:color w:val="000000"/>
          <w:lang w:eastAsia="es-MX"/>
        </w:rPr>
        <w:t>Ley de Transparencia y Acceso a la Información Pública del Estado de México y Municipios</w:t>
      </w:r>
      <w:r w:rsidRPr="00322B1B">
        <w:rPr>
          <w:rFonts w:eastAsia="Times New Roman" w:cs="Tahoma"/>
          <w:color w:val="auto"/>
          <w:lang w:eastAsia="es-ES"/>
        </w:rPr>
        <w:t xml:space="preserve">, </w:t>
      </w:r>
      <w:r w:rsidRPr="00322B1B">
        <w:rPr>
          <w:rFonts w:eastAsia="Calibri" w:cs="Tahoma"/>
          <w:color w:val="000000"/>
          <w:lang w:eastAsia="es-MX"/>
        </w:rPr>
        <w:t>pues el Recurrente se inconformó con la</w:t>
      </w:r>
      <w:r w:rsidR="00537E22" w:rsidRPr="00322B1B">
        <w:rPr>
          <w:rFonts w:eastAsia="Calibri" w:cs="Tahoma"/>
          <w:color w:val="000000"/>
          <w:lang w:eastAsia="es-MX"/>
        </w:rPr>
        <w:t xml:space="preserve"> entrega de información </w:t>
      </w:r>
      <w:r w:rsidR="00375AEB" w:rsidRPr="00322B1B">
        <w:rPr>
          <w:rFonts w:eastAsia="Calibri" w:cs="Tahoma"/>
          <w:color w:val="000000"/>
          <w:lang w:eastAsia="es-MX"/>
        </w:rPr>
        <w:t>incompleta</w:t>
      </w:r>
      <w:r w:rsidRPr="00322B1B">
        <w:rPr>
          <w:rFonts w:eastAsia="Calibri" w:cs="Tahoma"/>
          <w:color w:val="000000"/>
          <w:lang w:eastAsia="es-MX"/>
        </w:rPr>
        <w:t>.</w:t>
      </w:r>
    </w:p>
    <w:p w14:paraId="620211E1" w14:textId="77777777" w:rsidR="001C2C89" w:rsidRPr="00322B1B" w:rsidRDefault="001C2C89" w:rsidP="001C2C89">
      <w:pPr>
        <w:spacing w:after="0" w:line="360" w:lineRule="auto"/>
        <w:rPr>
          <w:rFonts w:eastAsia="Times New Roman" w:cs="Tahoma"/>
          <w:b/>
          <w:bCs/>
          <w:color w:val="auto"/>
          <w:szCs w:val="24"/>
          <w:lang w:val="es-ES" w:eastAsia="es-ES"/>
        </w:rPr>
      </w:pPr>
    </w:p>
    <w:p w14:paraId="0474C46D" w14:textId="77777777" w:rsidR="001C2C89" w:rsidRPr="00322B1B" w:rsidRDefault="001C2C89" w:rsidP="001C2C89">
      <w:pPr>
        <w:spacing w:after="0" w:line="360" w:lineRule="auto"/>
        <w:rPr>
          <w:rFonts w:eastAsia="Times New Roman" w:cs="Tahoma"/>
          <w:b/>
          <w:bCs/>
          <w:color w:val="auto"/>
          <w:szCs w:val="24"/>
          <w:lang w:val="es-ES" w:eastAsia="es-ES"/>
        </w:rPr>
      </w:pPr>
      <w:r w:rsidRPr="00322B1B">
        <w:rPr>
          <w:rFonts w:eastAsia="Times New Roman" w:cs="Tahoma"/>
          <w:b/>
          <w:bCs/>
          <w:color w:val="auto"/>
          <w:szCs w:val="24"/>
          <w:lang w:val="es-ES" w:eastAsia="es-ES"/>
        </w:rPr>
        <w:t>TERCERO. Causales de sobreseimiento.</w:t>
      </w:r>
    </w:p>
    <w:p w14:paraId="2EF28E51" w14:textId="77777777" w:rsidR="00537E22" w:rsidRPr="00322B1B" w:rsidRDefault="00537E22" w:rsidP="001C2C89">
      <w:pPr>
        <w:spacing w:after="0" w:line="360" w:lineRule="auto"/>
        <w:rPr>
          <w:rFonts w:eastAsia="Times New Roman" w:cs="Tahoma"/>
          <w:b/>
          <w:bCs/>
          <w:color w:val="auto"/>
          <w:szCs w:val="24"/>
          <w:lang w:val="es-ES" w:eastAsia="es-ES"/>
        </w:rPr>
      </w:pPr>
    </w:p>
    <w:p w14:paraId="5FF96319" w14:textId="77777777" w:rsidR="002726AE" w:rsidRPr="00322B1B" w:rsidRDefault="002726AE" w:rsidP="002726AE">
      <w:pPr>
        <w:spacing w:after="0" w:line="360" w:lineRule="auto"/>
        <w:rPr>
          <w:rFonts w:eastAsia="Times New Roman" w:cs="Tahoma"/>
          <w:b/>
          <w:bCs/>
          <w:color w:val="auto"/>
          <w:szCs w:val="24"/>
          <w:lang w:val="es-ES" w:eastAsia="es-ES"/>
        </w:rPr>
      </w:pPr>
      <w:r w:rsidRPr="00322B1B">
        <w:rPr>
          <w:rFonts w:eastAsia="Times New Roman" w:cs="Tahoma"/>
          <w:color w:val="auto"/>
          <w:szCs w:val="24"/>
          <w:lang w:val="es-ES" w:eastAsia="es-ES"/>
        </w:rPr>
        <w:t>Por ser de previo y especial pronunciamiento, este Instituto analiza si se actualiza alguna causal de sobreseimiento.</w:t>
      </w:r>
    </w:p>
    <w:p w14:paraId="7D5BA98B" w14:textId="77777777" w:rsidR="002726AE" w:rsidRPr="00322B1B" w:rsidRDefault="002726AE" w:rsidP="002726AE">
      <w:pPr>
        <w:spacing w:after="0" w:line="360" w:lineRule="auto"/>
        <w:rPr>
          <w:rFonts w:eastAsia="Times New Roman" w:cs="Tahoma"/>
          <w:color w:val="auto"/>
          <w:szCs w:val="24"/>
          <w:lang w:val="es-ES" w:eastAsia="es-ES"/>
        </w:rPr>
      </w:pPr>
    </w:p>
    <w:p w14:paraId="3FB30DB4" w14:textId="77777777" w:rsidR="00647C03" w:rsidRPr="00322B1B" w:rsidRDefault="00647C03" w:rsidP="00647C03">
      <w:pPr>
        <w:spacing w:after="0" w:line="360" w:lineRule="auto"/>
        <w:rPr>
          <w:rFonts w:eastAsia="Times New Roman" w:cs="Tahoma"/>
          <w:bCs/>
          <w:color w:val="auto"/>
          <w:lang w:eastAsia="es-ES"/>
        </w:rPr>
      </w:pPr>
      <w:r w:rsidRPr="00322B1B">
        <w:rPr>
          <w:rFonts w:eastAsia="Times New Roman" w:cs="Tahoma"/>
          <w:bCs/>
          <w:color w:val="auto"/>
          <w:lang w:eastAsia="es-ES"/>
        </w:rPr>
        <w:t xml:space="preserve">Al respecto, 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322B1B">
        <w:rPr>
          <w:rFonts w:eastAsia="Times New Roman" w:cs="Tahoma"/>
          <w:b/>
          <w:bCs/>
          <w:color w:val="auto"/>
          <w:lang w:eastAsia="es-ES"/>
        </w:rPr>
        <w:t>que no se actualizan los supuestos de sobreseimiento previstos en las fracciones I, II, IV y V</w:t>
      </w:r>
      <w:r w:rsidRPr="00322B1B">
        <w:rPr>
          <w:rFonts w:eastAsia="Times New Roman" w:cs="Tahoma"/>
          <w:bCs/>
          <w:color w:val="auto"/>
          <w:lang w:eastAsia="es-ES"/>
        </w:rPr>
        <w:t xml:space="preserve">, del artículo en comento, lo anterior, en virtud de que no hay constancias en el expediente en que se actúa, de que la Recurrente se haya desistido del recurso, haya fallecido, o bien, se haya actualizado alguna causal de improcedencia. </w:t>
      </w:r>
    </w:p>
    <w:p w14:paraId="53219778" w14:textId="77777777" w:rsidR="00647C03" w:rsidRPr="00322B1B" w:rsidRDefault="00647C03" w:rsidP="00647C03">
      <w:pPr>
        <w:spacing w:after="0" w:line="360" w:lineRule="auto"/>
        <w:rPr>
          <w:rFonts w:eastAsia="Times New Roman" w:cs="Tahoma"/>
          <w:bCs/>
          <w:color w:val="auto"/>
          <w:lang w:eastAsia="es-ES"/>
        </w:rPr>
      </w:pPr>
    </w:p>
    <w:p w14:paraId="4ABCB1B5" w14:textId="4D302E87" w:rsidR="00647C03" w:rsidRPr="00322B1B" w:rsidRDefault="00647C03" w:rsidP="00647C03">
      <w:pPr>
        <w:spacing w:after="0" w:line="360" w:lineRule="auto"/>
        <w:rPr>
          <w:rFonts w:cs="Tahoma"/>
          <w:szCs w:val="24"/>
          <w:lang w:val="es-ES"/>
        </w:rPr>
      </w:pPr>
      <w:r w:rsidRPr="00322B1B">
        <w:rPr>
          <w:rFonts w:cs="Tahoma"/>
          <w:szCs w:val="24"/>
          <w:lang w:val="es-ES"/>
        </w:rPr>
        <w:t xml:space="preserve">No obstante, toda vez que durante la sustanciación del Recurso de Revisión </w:t>
      </w:r>
      <w:r w:rsidR="0062674E" w:rsidRPr="00322B1B">
        <w:rPr>
          <w:rFonts w:cs="Tahoma"/>
          <w:szCs w:val="24"/>
        </w:rPr>
        <w:t>0</w:t>
      </w:r>
      <w:r w:rsidR="00EC3E91" w:rsidRPr="00322B1B">
        <w:rPr>
          <w:rFonts w:cs="Tahoma"/>
          <w:szCs w:val="24"/>
        </w:rPr>
        <w:t>2406</w:t>
      </w:r>
      <w:r w:rsidRPr="00322B1B">
        <w:rPr>
          <w:rFonts w:cs="Tahoma"/>
          <w:szCs w:val="24"/>
        </w:rPr>
        <w:t>/INFOEM/IP/RR/2023</w:t>
      </w:r>
      <w:r w:rsidRPr="00322B1B">
        <w:rPr>
          <w:rFonts w:cs="Tahoma"/>
          <w:szCs w:val="24"/>
          <w:lang w:val="es-ES"/>
        </w:rPr>
        <w:t xml:space="preserve">, el </w:t>
      </w:r>
      <w:r w:rsidR="0062674E" w:rsidRPr="00322B1B">
        <w:rPr>
          <w:rFonts w:cs="Tahoma"/>
          <w:szCs w:val="24"/>
          <w:lang w:val="es-ES"/>
        </w:rPr>
        <w:t>Ayuntamiento de</w:t>
      </w:r>
      <w:r w:rsidR="00EC3E91" w:rsidRPr="00322B1B">
        <w:rPr>
          <w:rFonts w:cs="Tahoma"/>
          <w:szCs w:val="24"/>
          <w:lang w:val="es-ES"/>
        </w:rPr>
        <w:t xml:space="preserve"> Metepec</w:t>
      </w:r>
      <w:r w:rsidRPr="00322B1B">
        <w:rPr>
          <w:rFonts w:eastAsia="Calibri" w:cs="Tahoma"/>
        </w:rPr>
        <w:t xml:space="preserve">, </w:t>
      </w:r>
      <w:r w:rsidRPr="00322B1B">
        <w:rPr>
          <w:rFonts w:cs="Tahoma"/>
          <w:szCs w:val="24"/>
          <w:lang w:val="es-ES"/>
        </w:rPr>
        <w:t>modificó su respuesta, a través de su Informe Justificado, se estima procedente entrar al estudio de la causal de sobreseimiento prevista en la fracción III, del artículo 192 de la Ley de la Materia.</w:t>
      </w:r>
    </w:p>
    <w:p w14:paraId="4155D240" w14:textId="624615CE" w:rsidR="00711722" w:rsidRPr="00322B1B" w:rsidRDefault="00647C03" w:rsidP="00647C03">
      <w:pPr>
        <w:spacing w:after="0" w:line="360" w:lineRule="auto"/>
        <w:rPr>
          <w:rFonts w:eastAsia="Times New Roman" w:cs="Tahoma"/>
          <w:color w:val="auto"/>
          <w:szCs w:val="24"/>
          <w:lang w:val="es-ES" w:eastAsia="es-ES"/>
        </w:rPr>
      </w:pPr>
      <w:r w:rsidRPr="00322B1B">
        <w:rPr>
          <w:rFonts w:eastAsia="Times New Roman" w:cs="Tahoma"/>
          <w:color w:val="auto"/>
          <w:szCs w:val="24"/>
          <w:lang w:val="es-ES" w:eastAsia="es-ES"/>
        </w:rPr>
        <w:lastRenderedPageBreak/>
        <w:t xml:space="preserve">Al respecto, a efecto de verificar si se actualiza la causal de sobreseimiento, en principio resulta necesario precisar </w:t>
      </w:r>
      <w:r w:rsidR="0062674E" w:rsidRPr="00322B1B">
        <w:rPr>
          <w:rFonts w:eastAsia="Times New Roman" w:cs="Tahoma"/>
          <w:color w:val="auto"/>
          <w:szCs w:val="24"/>
          <w:lang w:val="es-ES" w:eastAsia="es-ES"/>
        </w:rPr>
        <w:t>que el ahora Recurrente</w:t>
      </w:r>
      <w:r w:rsidR="008D2046" w:rsidRPr="00322B1B">
        <w:rPr>
          <w:rFonts w:eastAsia="Times New Roman" w:cs="Tahoma"/>
          <w:color w:val="auto"/>
          <w:szCs w:val="24"/>
          <w:lang w:val="es-ES" w:eastAsia="es-ES"/>
        </w:rPr>
        <w:t xml:space="preserve"> </w:t>
      </w:r>
      <w:r w:rsidR="00711722" w:rsidRPr="00322B1B">
        <w:rPr>
          <w:rFonts w:eastAsia="Times New Roman" w:cs="Tahoma"/>
          <w:color w:val="auto"/>
          <w:szCs w:val="24"/>
          <w:lang w:val="es-ES" w:eastAsia="es-ES"/>
        </w:rPr>
        <w:t>solicitó del Comité Interno de Obra Pública</w:t>
      </w:r>
      <w:r w:rsidR="008D2046" w:rsidRPr="00322B1B">
        <w:rPr>
          <w:rFonts w:eastAsia="Times New Roman" w:cs="Tahoma"/>
          <w:color w:val="auto"/>
          <w:szCs w:val="24"/>
          <w:lang w:val="es-ES" w:eastAsia="es-ES"/>
        </w:rPr>
        <w:t>, su conformación</w:t>
      </w:r>
      <w:r w:rsidR="00711722" w:rsidRPr="00322B1B">
        <w:rPr>
          <w:rFonts w:eastAsia="Times New Roman" w:cs="Tahoma"/>
          <w:color w:val="auto"/>
          <w:szCs w:val="24"/>
          <w:lang w:val="es-ES" w:eastAsia="es-ES"/>
        </w:rPr>
        <w:t xml:space="preserve">, </w:t>
      </w:r>
      <w:r w:rsidR="008D2046" w:rsidRPr="00322B1B">
        <w:rPr>
          <w:rFonts w:eastAsia="Times New Roman" w:cs="Tahoma"/>
          <w:color w:val="auto"/>
          <w:szCs w:val="24"/>
          <w:lang w:val="es-ES" w:eastAsia="es-ES"/>
        </w:rPr>
        <w:t xml:space="preserve">nombre de </w:t>
      </w:r>
      <w:r w:rsidR="00711722" w:rsidRPr="00322B1B">
        <w:rPr>
          <w:rFonts w:eastAsia="Times New Roman" w:cs="Tahoma"/>
          <w:color w:val="auto"/>
          <w:szCs w:val="24"/>
          <w:lang w:val="es-ES" w:eastAsia="es-ES"/>
        </w:rPr>
        <w:t xml:space="preserve">sus integrantes y </w:t>
      </w:r>
      <w:r w:rsidR="008D2046" w:rsidRPr="00322B1B">
        <w:rPr>
          <w:rFonts w:eastAsia="Times New Roman" w:cs="Tahoma"/>
          <w:color w:val="auto"/>
          <w:szCs w:val="24"/>
          <w:lang w:val="es-ES" w:eastAsia="es-ES"/>
        </w:rPr>
        <w:t>las funciones que realizaban</w:t>
      </w:r>
      <w:r w:rsidR="00711722" w:rsidRPr="00322B1B">
        <w:rPr>
          <w:rFonts w:eastAsia="Times New Roman" w:cs="Tahoma"/>
          <w:color w:val="auto"/>
          <w:szCs w:val="24"/>
          <w:lang w:val="es-ES" w:eastAsia="es-ES"/>
        </w:rPr>
        <w:t>.</w:t>
      </w:r>
    </w:p>
    <w:p w14:paraId="4F443DAA" w14:textId="77777777" w:rsidR="00373E11" w:rsidRPr="00322B1B" w:rsidRDefault="00373E11" w:rsidP="00711722">
      <w:pPr>
        <w:spacing w:after="0" w:line="360" w:lineRule="auto"/>
        <w:rPr>
          <w:color w:val="000000"/>
        </w:rPr>
      </w:pPr>
    </w:p>
    <w:p w14:paraId="5C08F6C6" w14:textId="7FD682CB" w:rsidR="0032173D" w:rsidRPr="00322B1B" w:rsidRDefault="001C2C89" w:rsidP="0032173D">
      <w:pPr>
        <w:spacing w:after="0" w:line="360" w:lineRule="auto"/>
        <w:rPr>
          <w:rFonts w:eastAsia="Calibri" w:cs="Tahoma"/>
          <w:bCs/>
          <w:iCs/>
          <w:color w:val="000000"/>
          <w:lang w:val="es-ES_tradnl"/>
        </w:rPr>
      </w:pPr>
      <w:r w:rsidRPr="00322B1B">
        <w:rPr>
          <w:rFonts w:eastAsia="Times New Roman" w:cs="Times New Roman"/>
          <w:color w:val="auto"/>
          <w:lang w:eastAsia="es-ES"/>
        </w:rPr>
        <w:t xml:space="preserve">En respuesta, el Sujeto Obligado, </w:t>
      </w:r>
      <w:r w:rsidR="00D41A21" w:rsidRPr="00322B1B">
        <w:rPr>
          <w:rFonts w:eastAsia="Times New Roman" w:cs="Times New Roman"/>
          <w:color w:val="auto"/>
          <w:lang w:eastAsia="es-ES"/>
        </w:rPr>
        <w:t>entregó</w:t>
      </w:r>
      <w:r w:rsidR="009708A9" w:rsidRPr="00322B1B">
        <w:rPr>
          <w:rFonts w:eastAsia="Times New Roman" w:cs="Times New Roman"/>
          <w:color w:val="auto"/>
          <w:lang w:eastAsia="es-ES"/>
        </w:rPr>
        <w:t xml:space="preserve"> la estructura del Comité y </w:t>
      </w:r>
      <w:r w:rsidR="008D2046" w:rsidRPr="00322B1B">
        <w:rPr>
          <w:rFonts w:eastAsia="Times New Roman" w:cs="Times New Roman"/>
          <w:color w:val="auto"/>
          <w:lang w:eastAsia="es-ES"/>
        </w:rPr>
        <w:t>las</w:t>
      </w:r>
      <w:r w:rsidR="009708A9" w:rsidRPr="00322B1B">
        <w:rPr>
          <w:rFonts w:eastAsia="Times New Roman" w:cs="Times New Roman"/>
          <w:color w:val="auto"/>
          <w:lang w:eastAsia="es-ES"/>
        </w:rPr>
        <w:t xml:space="preserve"> funciones</w:t>
      </w:r>
      <w:r w:rsidR="008D2046" w:rsidRPr="00322B1B">
        <w:rPr>
          <w:rFonts w:eastAsia="Times New Roman" w:cs="Times New Roman"/>
          <w:color w:val="auto"/>
          <w:lang w:eastAsia="es-ES"/>
        </w:rPr>
        <w:t xml:space="preserve"> que realizaba</w:t>
      </w:r>
      <w:r w:rsidRPr="00322B1B">
        <w:rPr>
          <w:rFonts w:eastAsia="Times New Roman" w:cs="Times New Roman"/>
          <w:color w:val="auto"/>
          <w:lang w:eastAsia="es-ES"/>
        </w:rPr>
        <w:t xml:space="preserve">; ante dicha circunstancia, la parte Recurrente se inconformó </w:t>
      </w:r>
      <w:r w:rsidR="00373E11" w:rsidRPr="00322B1B">
        <w:rPr>
          <w:rFonts w:eastAsia="Times New Roman" w:cs="Times New Roman"/>
          <w:color w:val="auto"/>
          <w:lang w:eastAsia="es-ES"/>
        </w:rPr>
        <w:t xml:space="preserve">de la respuesta </w:t>
      </w:r>
      <w:r w:rsidR="009708A9" w:rsidRPr="00322B1B">
        <w:rPr>
          <w:rFonts w:eastAsia="Times New Roman" w:cs="Times New Roman"/>
          <w:color w:val="auto"/>
          <w:lang w:eastAsia="es-ES"/>
        </w:rPr>
        <w:t>incompleta</w:t>
      </w:r>
      <w:r w:rsidRPr="00322B1B">
        <w:rPr>
          <w:rFonts w:eastAsia="Times New Roman" w:cs="Times New Roman"/>
          <w:color w:val="auto"/>
          <w:lang w:eastAsia="es-ES"/>
        </w:rPr>
        <w:t>,</w:t>
      </w:r>
      <w:r w:rsidR="00046CC0" w:rsidRPr="00322B1B">
        <w:rPr>
          <w:rFonts w:eastAsia="Times New Roman" w:cs="Times New Roman"/>
          <w:color w:val="auto"/>
          <w:lang w:eastAsia="es-ES"/>
        </w:rPr>
        <w:t xml:space="preserve"> </w:t>
      </w:r>
      <w:r w:rsidR="008D2046" w:rsidRPr="00322B1B">
        <w:rPr>
          <w:rFonts w:eastAsia="Times New Roman" w:cs="Times New Roman"/>
          <w:color w:val="auto"/>
          <w:lang w:eastAsia="es-ES"/>
        </w:rPr>
        <w:t>toda vez que no le habían entregado los</w:t>
      </w:r>
      <w:r w:rsidR="00046CC0" w:rsidRPr="00322B1B">
        <w:rPr>
          <w:rFonts w:eastAsia="Times New Roman" w:cs="Times New Roman"/>
          <w:color w:val="auto"/>
          <w:lang w:eastAsia="es-ES"/>
        </w:rPr>
        <w:t xml:space="preserve"> nombres </w:t>
      </w:r>
      <w:r w:rsidR="008D2046" w:rsidRPr="00322B1B">
        <w:rPr>
          <w:rFonts w:eastAsia="Times New Roman" w:cs="Times New Roman"/>
          <w:color w:val="auto"/>
          <w:lang w:eastAsia="es-ES"/>
        </w:rPr>
        <w:t>de los integrantes de</w:t>
      </w:r>
      <w:r w:rsidR="00046CC0" w:rsidRPr="00322B1B">
        <w:rPr>
          <w:rFonts w:eastAsia="Times New Roman" w:cs="Times New Roman"/>
          <w:color w:val="auto"/>
          <w:lang w:eastAsia="es-ES"/>
        </w:rPr>
        <w:t>l Comité,</w:t>
      </w:r>
      <w:r w:rsidRPr="00322B1B">
        <w:rPr>
          <w:rFonts w:eastAsia="Times New Roman" w:cs="Times New Roman"/>
          <w:color w:val="auto"/>
          <w:lang w:eastAsia="es-ES"/>
        </w:rPr>
        <w:t xml:space="preserve"> </w:t>
      </w:r>
      <w:r w:rsidRPr="00322B1B">
        <w:rPr>
          <w:rFonts w:eastAsia="Calibri" w:cs="Tahoma"/>
          <w:bCs/>
          <w:iCs/>
          <w:lang w:val="es-ES"/>
        </w:rPr>
        <w:t>lo cual actualiza el supuesto previsto en el artículo 179, fracción V, de la Ley de Transparencia y Acceso a la Información Pública del Estado de México y Municipios</w:t>
      </w:r>
      <w:r w:rsidRPr="00322B1B">
        <w:rPr>
          <w:rFonts w:eastAsia="Calibri" w:cs="Tahoma"/>
          <w:bCs/>
          <w:iCs/>
          <w:shd w:val="clear" w:color="auto" w:fill="FFFFFF"/>
        </w:rPr>
        <w:t>.</w:t>
      </w:r>
      <w:r w:rsidRPr="00322B1B">
        <w:rPr>
          <w:rFonts w:eastAsia="Calibri" w:cs="Tahoma"/>
          <w:bCs/>
          <w:iCs/>
          <w:color w:val="000000"/>
          <w:lang w:val="es-ES_tradnl"/>
        </w:rPr>
        <w:t xml:space="preserve"> </w:t>
      </w:r>
    </w:p>
    <w:p w14:paraId="47017B23" w14:textId="77777777" w:rsidR="00D41A21" w:rsidRPr="00322B1B" w:rsidRDefault="00D41A21" w:rsidP="0032173D">
      <w:pPr>
        <w:spacing w:after="0" w:line="360" w:lineRule="auto"/>
        <w:rPr>
          <w:rFonts w:eastAsia="Calibri" w:cs="Tahoma"/>
          <w:bCs/>
          <w:iCs/>
          <w:color w:val="000000"/>
          <w:lang w:val="es-ES_tradnl"/>
        </w:rPr>
      </w:pPr>
    </w:p>
    <w:p w14:paraId="36622469" w14:textId="31551E15" w:rsidR="00D41A21" w:rsidRPr="00322B1B" w:rsidRDefault="00D41A21" w:rsidP="00D41A21">
      <w:pPr>
        <w:spacing w:after="0" w:line="360" w:lineRule="auto"/>
        <w:rPr>
          <w:color w:val="000000"/>
          <w:lang w:eastAsia="es-ES_tradnl"/>
        </w:rPr>
      </w:pPr>
      <w:r w:rsidRPr="00322B1B">
        <w:rPr>
          <w:rFonts w:eastAsia="Calibri" w:cs="Tahoma"/>
          <w:color w:val="000000"/>
          <w:szCs w:val="24"/>
          <w:lang w:val="es-ES" w:eastAsia="es-MX"/>
        </w:rPr>
        <w:t>Conforme a lo anterior, se logra vislumbrar que el Sujeto Obligado no se inconformó de la estructura y funciones del Comité, p</w:t>
      </w:r>
      <w:r w:rsidRPr="00322B1B">
        <w:rPr>
          <w:color w:val="000000"/>
          <w:lang w:val="es-ES" w:eastAsia="es-ES_tradnl"/>
        </w:rPr>
        <w:t>or</w:t>
      </w:r>
      <w:r w:rsidRPr="00322B1B">
        <w:rPr>
          <w:color w:val="000000"/>
          <w:lang w:eastAsia="es-ES_tradnl"/>
        </w:rPr>
        <w:t xml:space="preserve"> lo que no se hará pronunciamiento alguno, respecto a dicha información,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322B1B">
        <w:rPr>
          <w:b/>
          <w:bCs/>
          <w:color w:val="000000"/>
          <w:lang w:eastAsia="es-ES_tradnl"/>
        </w:rPr>
        <w:t>los actos que se hayan consentido tácitamente,</w:t>
      </w:r>
      <w:r w:rsidRPr="00322B1B">
        <w:rPr>
          <w:color w:val="000000"/>
          <w:lang w:eastAsia="es-ES_tradnl"/>
        </w:rPr>
        <w:t> entendiéndose por estos cuando el agravio no se haya promovido en el plazo señalado para el efecto.</w:t>
      </w:r>
    </w:p>
    <w:p w14:paraId="7259194A" w14:textId="77777777" w:rsidR="00D41A21" w:rsidRPr="00322B1B" w:rsidRDefault="00D41A21" w:rsidP="00D41A21">
      <w:pPr>
        <w:spacing w:after="0" w:line="360" w:lineRule="auto"/>
        <w:rPr>
          <w:color w:val="000000"/>
          <w:lang w:eastAsia="es-ES_tradnl"/>
        </w:rPr>
      </w:pPr>
    </w:p>
    <w:p w14:paraId="366F7F08" w14:textId="77777777" w:rsidR="004B5FA9" w:rsidRPr="00322B1B" w:rsidRDefault="004B5FA9" w:rsidP="00D71A8E">
      <w:pPr>
        <w:spacing w:after="0" w:line="360" w:lineRule="auto"/>
        <w:rPr>
          <w:color w:val="000000"/>
          <w:lang w:eastAsia="es-ES_tradnl"/>
        </w:rPr>
      </w:pPr>
      <w:r w:rsidRPr="00322B1B">
        <w:rPr>
          <w:color w:val="000000"/>
          <w:lang w:eastAsia="es-ES_tradnl"/>
        </w:rPr>
        <w:t>De la misma manera resulta aplicable el criterio sostenido por el Poder Judicial de la Federación de rubro </w:t>
      </w:r>
      <w:r w:rsidRPr="00322B1B">
        <w:rPr>
          <w:b/>
          <w:bCs/>
          <w:color w:val="000000"/>
          <w:lang w:eastAsia="es-ES_tradnl"/>
        </w:rPr>
        <w:t>ACTOS CONSENTIDOS TÁCITAMENTE</w:t>
      </w:r>
      <w:r w:rsidRPr="00322B1B">
        <w:rPr>
          <w:color w:val="000000"/>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E691405" w14:textId="77777777" w:rsidR="004B5FA9" w:rsidRPr="00322B1B" w:rsidRDefault="004B5FA9" w:rsidP="00D71A8E">
      <w:pPr>
        <w:spacing w:after="0" w:line="360" w:lineRule="auto"/>
        <w:rPr>
          <w:color w:val="000000"/>
          <w:lang w:eastAsia="es-ES_tradnl"/>
        </w:rPr>
      </w:pPr>
      <w:r w:rsidRPr="00322B1B">
        <w:rPr>
          <w:color w:val="000000"/>
          <w:lang w:eastAsia="es-ES_tradnl"/>
        </w:rPr>
        <w:lastRenderedPageBreak/>
        <w:t> </w:t>
      </w:r>
    </w:p>
    <w:p w14:paraId="5031F3E9" w14:textId="77777777" w:rsidR="004B5FA9" w:rsidRPr="00322B1B" w:rsidRDefault="004B5FA9" w:rsidP="00D71A8E">
      <w:pPr>
        <w:spacing w:after="0" w:line="360" w:lineRule="auto"/>
        <w:rPr>
          <w:color w:val="000000"/>
          <w:lang w:eastAsia="es-ES_tradnl"/>
        </w:rPr>
      </w:pPr>
      <w:r w:rsidRPr="00322B1B">
        <w:rPr>
          <w:color w:val="000000"/>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16E73CA8" w14:textId="77777777" w:rsidR="00831D94" w:rsidRPr="00322B1B" w:rsidRDefault="00831D94" w:rsidP="00D71A8E">
      <w:pPr>
        <w:spacing w:after="0" w:line="360" w:lineRule="auto"/>
        <w:rPr>
          <w:color w:val="000000"/>
          <w:lang w:eastAsia="es-ES_tradnl"/>
        </w:rPr>
      </w:pPr>
    </w:p>
    <w:p w14:paraId="2767014C" w14:textId="77777777" w:rsidR="004B5FA9" w:rsidRPr="00322B1B" w:rsidRDefault="004B5FA9" w:rsidP="00D71A8E">
      <w:pPr>
        <w:spacing w:after="0" w:line="360" w:lineRule="auto"/>
        <w:rPr>
          <w:rFonts w:cs="Tahoma"/>
          <w:bCs/>
        </w:rPr>
      </w:pPr>
      <w:r w:rsidRPr="00322B1B">
        <w:rPr>
          <w:rFonts w:cs="Tahoma"/>
          <w:bCs/>
        </w:rPr>
        <w:t>Asimismo, resulta relevante traer a colación el Criterio de Interpretación: SO/001/2020, emitido por el Instituto Nacional de Transparencia, Acceso a la Información y Protección de Datos Personales, que establece lo siguiente:</w:t>
      </w:r>
    </w:p>
    <w:p w14:paraId="35A9774F" w14:textId="77777777" w:rsidR="004B5FA9" w:rsidRPr="00322B1B" w:rsidRDefault="004B5FA9" w:rsidP="00D71A8E">
      <w:pPr>
        <w:spacing w:after="0" w:line="360" w:lineRule="auto"/>
        <w:rPr>
          <w:color w:val="000000"/>
          <w:lang w:eastAsia="es-ES_tradnl"/>
        </w:rPr>
      </w:pPr>
      <w:r w:rsidRPr="00322B1B">
        <w:rPr>
          <w:color w:val="000000"/>
          <w:lang w:eastAsia="es-ES_tradnl"/>
        </w:rPr>
        <w:t> </w:t>
      </w:r>
    </w:p>
    <w:p w14:paraId="4152DC1A" w14:textId="77777777" w:rsidR="004B5FA9" w:rsidRPr="00322B1B" w:rsidRDefault="004B5FA9" w:rsidP="00D71A8E">
      <w:pPr>
        <w:spacing w:after="0" w:line="360" w:lineRule="auto"/>
        <w:ind w:left="567" w:right="567"/>
        <w:rPr>
          <w:i/>
          <w:iCs/>
          <w:color w:val="000000"/>
          <w:sz w:val="20"/>
          <w:szCs w:val="20"/>
          <w:lang w:eastAsia="es-ES_tradnl"/>
        </w:rPr>
      </w:pPr>
      <w:r w:rsidRPr="00322B1B">
        <w:rPr>
          <w:b/>
          <w:bCs/>
          <w:i/>
          <w:iCs/>
          <w:color w:val="000000"/>
          <w:sz w:val="20"/>
          <w:szCs w:val="20"/>
          <w:lang w:eastAsia="es-ES_tradnl"/>
        </w:rPr>
        <w:t>“Actos consentidos tácitamente. Improcedencia de su análisis. </w:t>
      </w:r>
      <w:r w:rsidRPr="00322B1B">
        <w:rPr>
          <w:i/>
          <w:iCs/>
          <w:color w:val="000000"/>
          <w:sz w:val="20"/>
          <w:szCs w:val="2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2359846" w14:textId="77777777" w:rsidR="00831D94" w:rsidRPr="00322B1B" w:rsidRDefault="00831D94" w:rsidP="00D71A8E">
      <w:pPr>
        <w:spacing w:after="0" w:line="360" w:lineRule="auto"/>
        <w:ind w:left="567" w:right="567"/>
        <w:rPr>
          <w:i/>
          <w:iCs/>
          <w:color w:val="000000"/>
          <w:lang w:eastAsia="es-ES_tradnl"/>
        </w:rPr>
      </w:pPr>
    </w:p>
    <w:p w14:paraId="1D8573B3" w14:textId="582EAFB1" w:rsidR="001C2C89" w:rsidRPr="00322B1B" w:rsidRDefault="004D107F" w:rsidP="001C2C89">
      <w:pPr>
        <w:spacing w:after="0" w:line="360" w:lineRule="auto"/>
        <w:rPr>
          <w:rFonts w:eastAsia="Calibri" w:cs="Tahoma"/>
          <w:lang w:val="es-ES"/>
        </w:rPr>
      </w:pPr>
      <w:r w:rsidRPr="00322B1B">
        <w:rPr>
          <w:color w:val="000000"/>
          <w:lang w:eastAsia="es-ES_tradnl"/>
        </w:rPr>
        <w:t xml:space="preserve">Conforme al Criterio establecido, es improcedente entrar al análisis de las partes de la respuesta del Sujeto Obligado que no fueron impugnadas por </w:t>
      </w:r>
      <w:r w:rsidR="00831D94" w:rsidRPr="00322B1B">
        <w:rPr>
          <w:color w:val="000000"/>
          <w:lang w:eastAsia="es-ES_tradnl"/>
        </w:rPr>
        <w:t>el</w:t>
      </w:r>
      <w:r w:rsidRPr="00322B1B">
        <w:rPr>
          <w:color w:val="000000"/>
          <w:lang w:eastAsia="es-ES_tradnl"/>
        </w:rPr>
        <w:t xml:space="preserve"> Recurrente; por lo que, en el presente caso, se tienen por consentidos </w:t>
      </w:r>
      <w:r w:rsidR="00831D94" w:rsidRPr="00322B1B">
        <w:rPr>
          <w:color w:val="000000"/>
          <w:lang w:eastAsia="es-ES_tradnl"/>
        </w:rPr>
        <w:t>la estructura y funciones del Comité.</w:t>
      </w:r>
      <w:r w:rsidR="008D2046" w:rsidRPr="00322B1B">
        <w:rPr>
          <w:color w:val="000000"/>
          <w:lang w:eastAsia="es-ES_tradnl"/>
        </w:rPr>
        <w:t xml:space="preserve"> </w:t>
      </w:r>
      <w:r w:rsidR="001C2C89" w:rsidRPr="00322B1B">
        <w:rPr>
          <w:rFonts w:eastAsia="Calibri" w:cs="Tahoma"/>
          <w:lang w:val="es-ES"/>
        </w:rPr>
        <w:t>Así las cosas, una vez admitido y notificado el Recurso de Revisión a las partes, el Sujeto Obligado</w:t>
      </w:r>
      <w:r w:rsidR="008D2046" w:rsidRPr="00322B1B">
        <w:rPr>
          <w:rFonts w:eastAsia="Calibri" w:cs="Tahoma"/>
          <w:lang w:val="es-ES"/>
        </w:rPr>
        <w:t xml:space="preserve">, por medio del Director de Obras Públicas, </w:t>
      </w:r>
      <w:r w:rsidR="00800E37" w:rsidRPr="00322B1B">
        <w:rPr>
          <w:rFonts w:eastAsia="Calibri" w:cs="Tahoma"/>
          <w:lang w:val="es-ES"/>
        </w:rPr>
        <w:t>modificó su respuesta</w:t>
      </w:r>
      <w:r w:rsidR="008D2046" w:rsidRPr="00322B1B">
        <w:rPr>
          <w:rFonts w:eastAsia="Calibri" w:cs="Tahoma"/>
          <w:lang w:val="es-ES"/>
        </w:rPr>
        <w:t xml:space="preserve"> y entregó</w:t>
      </w:r>
      <w:r w:rsidR="007C2926" w:rsidRPr="00322B1B">
        <w:rPr>
          <w:rFonts w:eastAsia="Calibri" w:cs="Tahoma"/>
          <w:lang w:val="es-ES"/>
        </w:rPr>
        <w:t xml:space="preserve"> el nombre de los integrantes del Comité Interno de Obra Pública.</w:t>
      </w:r>
    </w:p>
    <w:p w14:paraId="106E1103" w14:textId="77777777" w:rsidR="007C2926" w:rsidRPr="00322B1B" w:rsidRDefault="007C2926" w:rsidP="001C2C89">
      <w:pPr>
        <w:spacing w:after="0" w:line="360" w:lineRule="auto"/>
        <w:rPr>
          <w:rFonts w:eastAsia="Calibri" w:cs="Tahoma"/>
          <w:lang w:val="es-ES"/>
        </w:rPr>
      </w:pPr>
    </w:p>
    <w:p w14:paraId="23B465C8" w14:textId="48C54328" w:rsidR="001C2C89" w:rsidRPr="00322B1B" w:rsidRDefault="001C2C89" w:rsidP="001C2C89">
      <w:pPr>
        <w:spacing w:after="0" w:line="360" w:lineRule="auto"/>
        <w:rPr>
          <w:rFonts w:eastAsia="Times New Roman" w:cs="Times New Roman"/>
          <w:color w:val="auto"/>
          <w:lang w:eastAsia="es-ES"/>
        </w:rPr>
      </w:pPr>
      <w:r w:rsidRPr="00322B1B">
        <w:rPr>
          <w:rFonts w:eastAsia="Times New Roman" w:cs="Times New Roman"/>
          <w:color w:val="auto"/>
          <w:lang w:eastAsia="es-ES"/>
        </w:rPr>
        <w:t xml:space="preserve">Lo anterior, se desprende de las documentales que obran en el expediente de referencia, materia de la presente resolución, consistentes en: la solicitud de acceso a la información; la respuesta proporcionada por el Ayuntamiento de </w:t>
      </w:r>
      <w:r w:rsidR="008B6334" w:rsidRPr="00322B1B">
        <w:rPr>
          <w:rFonts w:eastAsia="Times New Roman" w:cs="Times New Roman"/>
          <w:color w:val="auto"/>
          <w:lang w:eastAsia="es-ES"/>
        </w:rPr>
        <w:t>Metepec</w:t>
      </w:r>
      <w:r w:rsidRPr="00322B1B">
        <w:rPr>
          <w:rFonts w:eastAsia="Times New Roman" w:cs="Times New Roman"/>
          <w:color w:val="auto"/>
          <w:lang w:eastAsia="es-ES"/>
        </w:rPr>
        <w:t xml:space="preserve">, el escrito </w:t>
      </w:r>
      <w:proofErr w:type="spellStart"/>
      <w:r w:rsidRPr="00322B1B">
        <w:rPr>
          <w:rFonts w:eastAsia="Times New Roman" w:cs="Times New Roman"/>
          <w:color w:val="auto"/>
          <w:lang w:eastAsia="es-ES"/>
        </w:rPr>
        <w:t>recursal</w:t>
      </w:r>
      <w:proofErr w:type="spellEnd"/>
      <w:r w:rsidRPr="00322B1B">
        <w:rPr>
          <w:rFonts w:eastAsia="Times New Roman" w:cs="Times New Roman"/>
          <w:color w:val="auto"/>
          <w:lang w:eastAsia="es-ES"/>
        </w:rPr>
        <w:t xml:space="preserve">, y el informe justificado; instrumentales que se toman en cuenta a efecto de resolver el presente medio de </w:t>
      </w:r>
      <w:r w:rsidRPr="00322B1B">
        <w:rPr>
          <w:rFonts w:eastAsia="Times New Roman" w:cs="Times New Roman"/>
          <w:color w:val="auto"/>
          <w:lang w:eastAsia="es-ES"/>
        </w:rPr>
        <w:lastRenderedPageBreak/>
        <w:t xml:space="preserve">impugnación, conforme a lo dispuesto por el artículo 185, fracción IV, de la Ley de Transparencia y Acceso a la Información Pública del Estado de México y Municipios. </w:t>
      </w:r>
    </w:p>
    <w:p w14:paraId="64FAA8BB" w14:textId="77777777" w:rsidR="001C2C89" w:rsidRPr="00322B1B" w:rsidRDefault="001C2C89" w:rsidP="001C2C89">
      <w:pPr>
        <w:spacing w:after="0" w:line="360" w:lineRule="auto"/>
        <w:rPr>
          <w:rFonts w:eastAsia="Times New Roman" w:cs="Tahoma"/>
          <w:b/>
          <w:color w:val="auto"/>
          <w:lang w:eastAsia="es-ES"/>
        </w:rPr>
      </w:pPr>
    </w:p>
    <w:p w14:paraId="147EF98B" w14:textId="012AFDB2" w:rsidR="00B60094" w:rsidRPr="00322B1B" w:rsidRDefault="0062674E" w:rsidP="002B1CE8">
      <w:pPr>
        <w:spacing w:after="0" w:line="360" w:lineRule="auto"/>
        <w:rPr>
          <w:rFonts w:eastAsia="Times New Roman" w:cs="Tahoma"/>
          <w:bCs/>
          <w:iCs/>
          <w:color w:val="auto"/>
          <w:lang w:eastAsia="es-ES"/>
        </w:rPr>
      </w:pPr>
      <w:r w:rsidRPr="00322B1B">
        <w:rPr>
          <w:rFonts w:eastAsia="Times New Roman" w:cs="Tahoma"/>
          <w:bCs/>
          <w:iCs/>
          <w:color w:val="auto"/>
          <w:lang w:eastAsia="es-ES"/>
        </w:rPr>
        <w:t>Expuesto lo anterior</w:t>
      </w:r>
      <w:r w:rsidR="00B60094" w:rsidRPr="00322B1B">
        <w:rPr>
          <w:rFonts w:eastAsia="Times New Roman" w:cs="Tahoma"/>
          <w:bCs/>
          <w:iCs/>
          <w:color w:val="auto"/>
          <w:lang w:eastAsia="es-ES"/>
        </w:rPr>
        <w:t xml:space="preserve">, se procede al análisis del agravio hecho valer por el ahora Recurrente, concerniente a la entrega de la información </w:t>
      </w:r>
      <w:r w:rsidR="002B0E45" w:rsidRPr="00322B1B">
        <w:rPr>
          <w:rFonts w:eastAsia="Times New Roman" w:cs="Tahoma"/>
          <w:bCs/>
          <w:iCs/>
          <w:color w:val="auto"/>
          <w:lang w:eastAsia="es-ES"/>
        </w:rPr>
        <w:t>incompleta</w:t>
      </w:r>
      <w:r w:rsidR="00B60094" w:rsidRPr="00322B1B">
        <w:rPr>
          <w:rFonts w:eastAsia="Times New Roman" w:cs="Tahoma"/>
          <w:bCs/>
          <w:iCs/>
          <w:color w:val="auto"/>
          <w:lang w:eastAsia="es-ES"/>
        </w:rPr>
        <w:t>; por lo que, en principio es necesario contextualizar la solicitud de información, refere</w:t>
      </w:r>
      <w:r w:rsidR="00D4321F" w:rsidRPr="00322B1B">
        <w:rPr>
          <w:rFonts w:eastAsia="Times New Roman" w:cs="Tahoma"/>
          <w:bCs/>
          <w:iCs/>
          <w:color w:val="auto"/>
          <w:lang w:eastAsia="es-ES"/>
        </w:rPr>
        <w:t>nte a</w:t>
      </w:r>
      <w:r w:rsidR="00676260" w:rsidRPr="00322B1B">
        <w:rPr>
          <w:rFonts w:eastAsia="Times New Roman" w:cs="Tahoma"/>
          <w:bCs/>
          <w:iCs/>
          <w:color w:val="auto"/>
          <w:lang w:eastAsia="es-ES"/>
        </w:rPr>
        <w:t>l Comité Interno de Obra Pública.</w:t>
      </w:r>
    </w:p>
    <w:p w14:paraId="4B5968ED" w14:textId="77777777" w:rsidR="00676260" w:rsidRPr="00322B1B" w:rsidRDefault="00676260" w:rsidP="002B1CE8">
      <w:pPr>
        <w:spacing w:after="0" w:line="360" w:lineRule="auto"/>
        <w:rPr>
          <w:rFonts w:eastAsia="Times New Roman" w:cs="Tahoma"/>
          <w:bCs/>
          <w:iCs/>
          <w:color w:val="auto"/>
          <w:lang w:eastAsia="es-ES"/>
        </w:rPr>
      </w:pPr>
    </w:p>
    <w:p w14:paraId="076300CB" w14:textId="77777777" w:rsidR="00676260" w:rsidRPr="00322B1B" w:rsidRDefault="00676260" w:rsidP="00676260">
      <w:pPr>
        <w:spacing w:after="0" w:line="360" w:lineRule="auto"/>
        <w:rPr>
          <w:rFonts w:eastAsia="Calibri" w:cs="Times New Roman"/>
          <w:color w:val="auto"/>
          <w:lang w:val="es-ES_tradnl" w:eastAsia="es-ES"/>
        </w:rPr>
      </w:pPr>
      <w:r w:rsidRPr="00322B1B">
        <w:rPr>
          <w:rFonts w:eastAsia="Times New Roman" w:cs="Tahoma"/>
          <w:bCs/>
          <w:iCs/>
          <w:color w:val="auto"/>
          <w:lang w:val="es-ES_tradnl" w:eastAsia="es-ES"/>
        </w:rPr>
        <w:t>Sobre</w:t>
      </w:r>
      <w:r w:rsidRPr="00322B1B">
        <w:rPr>
          <w:rFonts w:eastAsia="Calibri" w:cs="Tahoma"/>
          <w:iCs/>
          <w:color w:val="auto"/>
          <w:lang w:val="es-ES_tradnl" w:eastAsia="es-ES_tradnl"/>
        </w:rPr>
        <w:t xml:space="preserve"> el tema, el</w:t>
      </w:r>
      <w:r w:rsidRPr="00322B1B">
        <w:rPr>
          <w:rFonts w:eastAsia="Calibri" w:cs="Times New Roman"/>
          <w:color w:val="auto"/>
          <w:lang w:val="es-ES_tradnl" w:eastAsia="es-ES"/>
        </w:rPr>
        <w:t xml:space="preserve"> artículo 12.4 del Código Administrativo del Estado de México, establece que las obras públicas son aquellas cuyo objeto principal es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w:t>
      </w:r>
    </w:p>
    <w:p w14:paraId="4E5C6938" w14:textId="77777777" w:rsidR="00676260" w:rsidRPr="00322B1B" w:rsidRDefault="00676260" w:rsidP="00676260">
      <w:pPr>
        <w:spacing w:after="0" w:line="360" w:lineRule="auto"/>
        <w:rPr>
          <w:rFonts w:eastAsia="Calibri" w:cs="Times New Roman"/>
          <w:color w:val="auto"/>
          <w:lang w:val="es-ES_tradnl" w:eastAsia="es-ES"/>
        </w:rPr>
      </w:pPr>
    </w:p>
    <w:p w14:paraId="1902D278" w14:textId="33EEC190" w:rsidR="00676260" w:rsidRPr="00322B1B" w:rsidRDefault="00676260" w:rsidP="00676260">
      <w:pPr>
        <w:spacing w:after="0" w:line="360" w:lineRule="auto"/>
        <w:rPr>
          <w:rFonts w:eastAsia="Calibri" w:cs="Times New Roman"/>
          <w:color w:val="auto"/>
          <w:lang w:val="es-ES_tradnl" w:eastAsia="es-ES"/>
        </w:rPr>
      </w:pPr>
      <w:r w:rsidRPr="00322B1B">
        <w:rPr>
          <w:rFonts w:eastAsia="Calibri" w:cs="Times New Roman"/>
          <w:color w:val="auto"/>
          <w:lang w:val="es-ES_tradnl" w:eastAsia="es-ES"/>
        </w:rPr>
        <w:t xml:space="preserve">Además, conforme al artículo 12.6 de dicho ordenamiento jurídico, uno de los entes </w:t>
      </w:r>
      <w:r w:rsidR="00A65B37" w:rsidRPr="00322B1B">
        <w:rPr>
          <w:rFonts w:eastAsia="Calibri" w:cs="Times New Roman"/>
          <w:color w:val="auto"/>
          <w:lang w:val="es-ES_tradnl" w:eastAsia="es-ES"/>
        </w:rPr>
        <w:t>encargados de</w:t>
      </w:r>
      <w:r w:rsidRPr="00322B1B">
        <w:rPr>
          <w:rFonts w:eastAsia="Calibri" w:cs="Times New Roman"/>
          <w:color w:val="auto"/>
          <w:lang w:val="es-ES_tradnl" w:eastAsia="es-ES"/>
        </w:rPr>
        <w:t xml:space="preserve"> llevar a cabo </w:t>
      </w:r>
      <w:r w:rsidR="00A65B37" w:rsidRPr="00322B1B">
        <w:rPr>
          <w:rFonts w:eastAsia="Calibri" w:cs="Times New Roman"/>
          <w:color w:val="auto"/>
          <w:lang w:val="es-ES_tradnl" w:eastAsia="es-ES"/>
        </w:rPr>
        <w:t xml:space="preserve">la </w:t>
      </w:r>
      <w:r w:rsidRPr="00322B1B">
        <w:rPr>
          <w:rFonts w:eastAsia="Calibri" w:cs="Times New Roman"/>
          <w:color w:val="auto"/>
          <w:lang w:val="es-ES_tradnl" w:eastAsia="es-ES"/>
        </w:rPr>
        <w:t>obra pública o servicios relacionados con la misma, son los Municipios, a través de los Ayuntamientos.</w:t>
      </w:r>
    </w:p>
    <w:p w14:paraId="2E3E48D4" w14:textId="77777777" w:rsidR="00676260" w:rsidRPr="00322B1B" w:rsidRDefault="00676260" w:rsidP="00676260">
      <w:pPr>
        <w:spacing w:after="0" w:line="360" w:lineRule="auto"/>
        <w:rPr>
          <w:rFonts w:eastAsia="Calibri" w:cs="Times New Roman"/>
          <w:color w:val="auto"/>
          <w:lang w:val="es-ES_tradnl" w:eastAsia="es-ES"/>
        </w:rPr>
      </w:pPr>
    </w:p>
    <w:p w14:paraId="493D5D09" w14:textId="121702F4" w:rsidR="00676260" w:rsidRPr="00322B1B" w:rsidRDefault="00676260" w:rsidP="00676260">
      <w:pPr>
        <w:spacing w:after="0" w:line="360" w:lineRule="auto"/>
      </w:pPr>
      <w:r w:rsidRPr="00322B1B">
        <w:rPr>
          <w:rFonts w:eastAsia="Calibri" w:cs="Times New Roman"/>
          <w:color w:val="auto"/>
          <w:lang w:val="es-ES_tradnl" w:eastAsia="es-ES"/>
        </w:rPr>
        <w:t>En ese contexto, el artículo 12.19 del Código Administrativo del Estado de México</w:t>
      </w:r>
      <w:r w:rsidR="004D758F" w:rsidRPr="00322B1B">
        <w:rPr>
          <w:rFonts w:eastAsia="Calibri" w:cs="Times New Roman"/>
          <w:color w:val="auto"/>
          <w:lang w:val="es-ES_tradnl" w:eastAsia="es-ES"/>
        </w:rPr>
        <w:t xml:space="preserve"> en relación con los artículos 21 y 22 del </w:t>
      </w:r>
      <w:r w:rsidR="00EA3626" w:rsidRPr="00322B1B">
        <w:rPr>
          <w:rFonts w:eastAsia="Calibri" w:cs="Times New Roman"/>
          <w:color w:val="auto"/>
          <w:lang w:val="es-ES_tradnl" w:eastAsia="es-ES"/>
        </w:rPr>
        <w:t>Reglamento del Libro Décimo Segundo del Código Administrativo del Estado de México</w:t>
      </w:r>
      <w:r w:rsidRPr="00322B1B">
        <w:rPr>
          <w:rFonts w:eastAsia="Calibri" w:cs="Times New Roman"/>
          <w:color w:val="auto"/>
          <w:lang w:val="es-ES_tradnl" w:eastAsia="es-ES"/>
        </w:rPr>
        <w:t xml:space="preserve">, establece que los Ayuntamientos </w:t>
      </w:r>
      <w:r w:rsidRPr="00322B1B">
        <w:t xml:space="preserve">podrán auxiliarse de </w:t>
      </w:r>
      <w:r w:rsidR="004D758F" w:rsidRPr="00322B1B">
        <w:t>C</w:t>
      </w:r>
      <w:r w:rsidRPr="00322B1B">
        <w:t xml:space="preserve">omités </w:t>
      </w:r>
      <w:r w:rsidR="004D758F" w:rsidRPr="00322B1B">
        <w:t>I</w:t>
      </w:r>
      <w:r w:rsidRPr="00322B1B">
        <w:t xml:space="preserve">nternos de </w:t>
      </w:r>
      <w:r w:rsidR="004D758F" w:rsidRPr="00322B1B">
        <w:t>O</w:t>
      </w:r>
      <w:r w:rsidRPr="00322B1B">
        <w:t xml:space="preserve">bra </w:t>
      </w:r>
      <w:r w:rsidR="004D758F" w:rsidRPr="00322B1B">
        <w:t>P</w:t>
      </w:r>
      <w:r w:rsidRPr="00322B1B">
        <w:t>ública</w:t>
      </w:r>
      <w:r w:rsidR="008D2046" w:rsidRPr="00322B1B">
        <w:t>,</w:t>
      </w:r>
      <w:r w:rsidR="004D758F" w:rsidRPr="00322B1B">
        <w:t xml:space="preserve"> que</w:t>
      </w:r>
      <w:r w:rsidR="00EA3626" w:rsidRPr="00322B1B">
        <w:t xml:space="preserve"> son una instancia interna auxiliar en los procesos de contratación de obra pública y servicios y que</w:t>
      </w:r>
      <w:r w:rsidR="004D758F" w:rsidRPr="00322B1B">
        <w:t xml:space="preserve"> se establecerán por indicación expresa de los titulares de las dependencias, cuando se requieran por las situaciones siguientes:</w:t>
      </w:r>
    </w:p>
    <w:p w14:paraId="259BE5B9" w14:textId="77777777" w:rsidR="00EA3626" w:rsidRPr="00322B1B" w:rsidRDefault="00EA3626" w:rsidP="00676260">
      <w:pPr>
        <w:spacing w:after="0" w:line="360" w:lineRule="auto"/>
      </w:pPr>
    </w:p>
    <w:p w14:paraId="4788B561" w14:textId="77777777" w:rsidR="004D758F" w:rsidRPr="00322B1B" w:rsidRDefault="004D758F" w:rsidP="004D758F">
      <w:pPr>
        <w:pStyle w:val="Prrafodelista"/>
        <w:numPr>
          <w:ilvl w:val="0"/>
          <w:numId w:val="15"/>
        </w:numPr>
        <w:spacing w:after="0" w:line="360" w:lineRule="auto"/>
        <w:rPr>
          <w:rFonts w:eastAsia="Calibri" w:cs="Times New Roman"/>
          <w:color w:val="auto"/>
          <w:lang w:val="es-ES_tradnl" w:eastAsia="es-ES"/>
        </w:rPr>
      </w:pPr>
      <w:r w:rsidRPr="00322B1B">
        <w:t xml:space="preserve">El volumen programado de obra pública o servicios; </w:t>
      </w:r>
    </w:p>
    <w:p w14:paraId="18A59DCD" w14:textId="77777777" w:rsidR="004D758F" w:rsidRPr="00322B1B" w:rsidRDefault="004D758F" w:rsidP="004D758F">
      <w:pPr>
        <w:pStyle w:val="Prrafodelista"/>
        <w:numPr>
          <w:ilvl w:val="0"/>
          <w:numId w:val="15"/>
        </w:numPr>
        <w:spacing w:after="0" w:line="360" w:lineRule="auto"/>
        <w:rPr>
          <w:rFonts w:eastAsia="Calibri" w:cs="Times New Roman"/>
          <w:color w:val="auto"/>
          <w:lang w:val="es-ES_tradnl" w:eastAsia="es-ES"/>
        </w:rPr>
      </w:pPr>
      <w:r w:rsidRPr="00322B1B">
        <w:lastRenderedPageBreak/>
        <w:t xml:space="preserve">La naturaleza especializada de las obras; </w:t>
      </w:r>
    </w:p>
    <w:p w14:paraId="5D54A8FB" w14:textId="0E18113A" w:rsidR="004D758F" w:rsidRPr="00322B1B" w:rsidRDefault="004D758F" w:rsidP="004D758F">
      <w:pPr>
        <w:pStyle w:val="Prrafodelista"/>
        <w:numPr>
          <w:ilvl w:val="0"/>
          <w:numId w:val="15"/>
        </w:numPr>
        <w:spacing w:after="0" w:line="360" w:lineRule="auto"/>
        <w:rPr>
          <w:rFonts w:eastAsia="Calibri" w:cs="Times New Roman"/>
          <w:color w:val="auto"/>
          <w:lang w:val="es-ES_tradnl" w:eastAsia="es-ES"/>
        </w:rPr>
      </w:pPr>
      <w:r w:rsidRPr="00322B1B">
        <w:t>Los requerimientos de revisión, análisis y evaluación de los procedimientos de adjudicación, y</w:t>
      </w:r>
    </w:p>
    <w:p w14:paraId="3BFE722E" w14:textId="4ACCAE73" w:rsidR="00676260" w:rsidRPr="00322B1B" w:rsidRDefault="004D758F" w:rsidP="002B1CE8">
      <w:pPr>
        <w:pStyle w:val="Prrafodelista"/>
        <w:numPr>
          <w:ilvl w:val="0"/>
          <w:numId w:val="15"/>
        </w:numPr>
        <w:spacing w:after="0" w:line="360" w:lineRule="auto"/>
        <w:rPr>
          <w:rFonts w:eastAsia="Calibri" w:cs="Times New Roman"/>
          <w:color w:val="auto"/>
          <w:lang w:val="es-ES_tradnl" w:eastAsia="es-ES"/>
        </w:rPr>
      </w:pPr>
      <w:r w:rsidRPr="00322B1B">
        <w:t>La necesidad de adjudicar contratos de obra pública o servicios mediante excepciones al procedimiento de licitación.</w:t>
      </w:r>
    </w:p>
    <w:p w14:paraId="6464C485" w14:textId="77777777" w:rsidR="00676260" w:rsidRPr="00322B1B" w:rsidRDefault="00676260" w:rsidP="002B1CE8">
      <w:pPr>
        <w:spacing w:after="0" w:line="360" w:lineRule="auto"/>
        <w:rPr>
          <w:rFonts w:eastAsia="Times New Roman" w:cs="Tahoma"/>
          <w:bCs/>
          <w:iCs/>
          <w:color w:val="auto"/>
          <w:lang w:eastAsia="es-ES"/>
        </w:rPr>
      </w:pPr>
    </w:p>
    <w:p w14:paraId="3FDA4A32" w14:textId="24EC9307" w:rsidR="008C5474" w:rsidRPr="00322B1B" w:rsidRDefault="008C5474" w:rsidP="0096239C">
      <w:pPr>
        <w:spacing w:after="0" w:line="360" w:lineRule="auto"/>
        <w:rPr>
          <w:rFonts w:eastAsia="Times New Roman" w:cs="Tahoma"/>
          <w:color w:val="auto"/>
          <w:lang w:eastAsia="es-ES"/>
        </w:rPr>
      </w:pPr>
      <w:r w:rsidRPr="00322B1B">
        <w:rPr>
          <w:rFonts w:eastAsia="Times New Roman" w:cs="Tahoma"/>
          <w:color w:val="auto"/>
          <w:lang w:eastAsia="es-ES"/>
        </w:rPr>
        <w:t>Además, el artículo 24 del Reglamento antes citado</w:t>
      </w:r>
      <w:r w:rsidR="008D2046" w:rsidRPr="00322B1B">
        <w:rPr>
          <w:rFonts w:eastAsia="Times New Roman" w:cs="Tahoma"/>
          <w:color w:val="auto"/>
          <w:lang w:eastAsia="es-ES"/>
        </w:rPr>
        <w:t>,</w:t>
      </w:r>
      <w:r w:rsidRPr="00322B1B">
        <w:rPr>
          <w:rFonts w:eastAsia="Times New Roman" w:cs="Tahoma"/>
          <w:color w:val="auto"/>
          <w:lang w:eastAsia="es-ES"/>
        </w:rPr>
        <w:t xml:space="preserve"> en relación con </w:t>
      </w:r>
      <w:r w:rsidR="00A27C10" w:rsidRPr="00322B1B">
        <w:rPr>
          <w:rFonts w:eastAsia="Times New Roman" w:cs="Tahoma"/>
          <w:color w:val="auto"/>
          <w:lang w:eastAsia="es-ES"/>
        </w:rPr>
        <w:t xml:space="preserve">los </w:t>
      </w:r>
      <w:r w:rsidR="008D2046" w:rsidRPr="00322B1B">
        <w:rPr>
          <w:rFonts w:eastAsia="Times New Roman" w:cs="Tahoma"/>
          <w:color w:val="auto"/>
          <w:lang w:eastAsia="es-ES"/>
        </w:rPr>
        <w:t>diversos</w:t>
      </w:r>
      <w:r w:rsidR="00A27C10" w:rsidRPr="00322B1B">
        <w:rPr>
          <w:rFonts w:eastAsia="Times New Roman" w:cs="Tahoma"/>
          <w:color w:val="auto"/>
          <w:lang w:eastAsia="es-ES"/>
        </w:rPr>
        <w:t xml:space="preserve"> </w:t>
      </w:r>
      <w:r w:rsidR="00891C52" w:rsidRPr="00322B1B">
        <w:rPr>
          <w:rFonts w:eastAsia="Times New Roman" w:cs="Tahoma"/>
          <w:color w:val="auto"/>
          <w:lang w:eastAsia="es-ES"/>
        </w:rPr>
        <w:t xml:space="preserve">12.3, fracción XXVII y 12.372 </w:t>
      </w:r>
      <w:r w:rsidR="00A27C10" w:rsidRPr="00322B1B">
        <w:rPr>
          <w:rFonts w:eastAsia="Times New Roman" w:cs="Tahoma"/>
          <w:color w:val="auto"/>
          <w:lang w:eastAsia="es-ES"/>
        </w:rPr>
        <w:t xml:space="preserve">del </w:t>
      </w:r>
      <w:r w:rsidR="00A65B37" w:rsidRPr="00322B1B">
        <w:rPr>
          <w:rFonts w:eastAsia="Times New Roman" w:cs="Tahoma"/>
          <w:color w:val="auto"/>
          <w:lang w:eastAsia="es-ES"/>
        </w:rPr>
        <w:t>Código de Reglamentación Municipal de Metepec</w:t>
      </w:r>
      <w:r w:rsidR="00A27C10" w:rsidRPr="00322B1B">
        <w:rPr>
          <w:rFonts w:eastAsia="Times New Roman" w:cs="Tahoma"/>
          <w:color w:val="auto"/>
          <w:lang w:eastAsia="es-ES"/>
        </w:rPr>
        <w:t xml:space="preserve">, establece que </w:t>
      </w:r>
      <w:r w:rsidR="00891C52" w:rsidRPr="00322B1B">
        <w:rPr>
          <w:rFonts w:eastAsia="Times New Roman" w:cs="Tahoma"/>
          <w:color w:val="auto"/>
          <w:lang w:eastAsia="es-ES"/>
        </w:rPr>
        <w:t xml:space="preserve">el Sujeto Obligado contará con un Comité Interno de Obra Pública, integrado por un Presidente, un </w:t>
      </w:r>
      <w:proofErr w:type="spellStart"/>
      <w:r w:rsidR="00891C52" w:rsidRPr="00322B1B">
        <w:rPr>
          <w:rFonts w:eastAsia="Times New Roman" w:cs="Tahoma"/>
          <w:color w:val="auto"/>
          <w:lang w:eastAsia="es-ES"/>
        </w:rPr>
        <w:t>un</w:t>
      </w:r>
      <w:proofErr w:type="spellEnd"/>
      <w:r w:rsidR="00891C52" w:rsidRPr="00322B1B">
        <w:rPr>
          <w:rFonts w:eastAsia="Times New Roman" w:cs="Tahoma"/>
          <w:color w:val="auto"/>
          <w:lang w:eastAsia="es-ES"/>
        </w:rPr>
        <w:t xml:space="preserve"> Secretario Técnico, vocales, un ponente, invitados, asesores y especialistas.</w:t>
      </w:r>
    </w:p>
    <w:p w14:paraId="4D7931EB" w14:textId="77777777" w:rsidR="008C5474" w:rsidRPr="00322B1B" w:rsidRDefault="008C5474" w:rsidP="0096239C">
      <w:pPr>
        <w:spacing w:after="0" w:line="360" w:lineRule="auto"/>
        <w:rPr>
          <w:rFonts w:eastAsia="Times New Roman" w:cs="Tahoma"/>
          <w:color w:val="auto"/>
          <w:lang w:eastAsia="es-ES"/>
        </w:rPr>
      </w:pPr>
    </w:p>
    <w:p w14:paraId="2BCF3169" w14:textId="0B396C6B" w:rsidR="00956F3C" w:rsidRPr="00322B1B" w:rsidRDefault="00AC3B65" w:rsidP="0096239C">
      <w:pPr>
        <w:spacing w:after="0" w:line="360" w:lineRule="auto"/>
        <w:rPr>
          <w:rFonts w:eastAsia="Times New Roman" w:cs="Tahoma"/>
          <w:color w:val="auto"/>
          <w:lang w:eastAsia="es-ES"/>
        </w:rPr>
      </w:pPr>
      <w:r w:rsidRPr="00322B1B">
        <w:rPr>
          <w:rFonts w:eastAsia="Times New Roman" w:cs="Tahoma"/>
          <w:color w:val="auto"/>
          <w:lang w:eastAsia="es-ES"/>
        </w:rPr>
        <w:t>En ese sentido</w:t>
      </w:r>
      <w:r w:rsidR="002937BC" w:rsidRPr="00322B1B">
        <w:rPr>
          <w:rFonts w:eastAsia="Times New Roman" w:cs="Tahoma"/>
          <w:color w:val="auto"/>
          <w:lang w:eastAsia="es-ES"/>
        </w:rPr>
        <w:t xml:space="preserve">, </w:t>
      </w:r>
      <w:r w:rsidR="00891C52" w:rsidRPr="00322B1B">
        <w:rPr>
          <w:rFonts w:eastAsia="Times New Roman" w:cs="Tahoma"/>
          <w:color w:val="auto"/>
          <w:lang w:eastAsia="es-ES"/>
        </w:rPr>
        <w:t xml:space="preserve">el </w:t>
      </w:r>
      <w:r w:rsidR="002937BC" w:rsidRPr="00322B1B">
        <w:rPr>
          <w:rFonts w:eastAsia="Times New Roman" w:cs="Tahoma"/>
          <w:color w:val="auto"/>
          <w:lang w:eastAsia="es-ES"/>
        </w:rPr>
        <w:t xml:space="preserve">artículo 23 del Reglamento </w:t>
      </w:r>
      <w:r w:rsidR="00A65B37" w:rsidRPr="00322B1B">
        <w:rPr>
          <w:rFonts w:eastAsia="Calibri" w:cs="Times New Roman"/>
          <w:color w:val="auto"/>
          <w:lang w:val="es-ES_tradnl" w:eastAsia="es-ES"/>
        </w:rPr>
        <w:t>del Libro Décimo Segundo del Código Administrativo del Estado de México</w:t>
      </w:r>
      <w:r w:rsidR="002937BC" w:rsidRPr="00322B1B">
        <w:rPr>
          <w:rFonts w:eastAsia="Times New Roman" w:cs="Tahoma"/>
          <w:color w:val="auto"/>
          <w:lang w:eastAsia="es-ES"/>
        </w:rPr>
        <w:t xml:space="preserve">, </w:t>
      </w:r>
      <w:r w:rsidR="00757565" w:rsidRPr="00322B1B">
        <w:rPr>
          <w:rFonts w:eastAsia="Times New Roman" w:cs="Tahoma"/>
          <w:color w:val="auto"/>
          <w:lang w:eastAsia="es-ES"/>
        </w:rPr>
        <w:t>el Comité Interno de Obra Pública tendrá las funciones siguientes:</w:t>
      </w:r>
    </w:p>
    <w:p w14:paraId="5388628F" w14:textId="77777777" w:rsidR="00757565" w:rsidRPr="00322B1B" w:rsidRDefault="00757565" w:rsidP="0096239C">
      <w:pPr>
        <w:spacing w:after="0" w:line="360" w:lineRule="auto"/>
        <w:rPr>
          <w:rFonts w:eastAsia="Times New Roman" w:cs="Tahoma"/>
          <w:color w:val="auto"/>
          <w:lang w:eastAsia="es-ES"/>
        </w:rPr>
      </w:pPr>
    </w:p>
    <w:p w14:paraId="1388B355" w14:textId="77777777" w:rsidR="00757565" w:rsidRPr="00322B1B" w:rsidRDefault="00757565" w:rsidP="00757565">
      <w:pPr>
        <w:pStyle w:val="Prrafodelista"/>
        <w:numPr>
          <w:ilvl w:val="0"/>
          <w:numId w:val="16"/>
        </w:numPr>
        <w:spacing w:after="0" w:line="360" w:lineRule="auto"/>
        <w:rPr>
          <w:rFonts w:eastAsia="Times New Roman" w:cs="Tahoma"/>
          <w:color w:val="auto"/>
          <w:lang w:eastAsia="es-ES"/>
        </w:rPr>
      </w:pPr>
      <w:r w:rsidRPr="00322B1B">
        <w:t xml:space="preserve">Revisar los proyectos de programas y presupuestos de obra pública o servicios, así como formular las observaciones y recomendaciones que correspondan; </w:t>
      </w:r>
    </w:p>
    <w:p w14:paraId="65D92DC5" w14:textId="18BDE6F7" w:rsidR="00757565" w:rsidRPr="00322B1B" w:rsidRDefault="00757565" w:rsidP="00757565">
      <w:pPr>
        <w:pStyle w:val="Prrafodelista"/>
        <w:numPr>
          <w:ilvl w:val="0"/>
          <w:numId w:val="16"/>
        </w:numPr>
        <w:spacing w:after="0" w:line="360" w:lineRule="auto"/>
        <w:rPr>
          <w:rFonts w:eastAsia="Times New Roman" w:cs="Tahoma"/>
          <w:color w:val="auto"/>
          <w:lang w:eastAsia="es-ES"/>
        </w:rPr>
      </w:pPr>
      <w:r w:rsidRPr="00322B1B">
        <w:t>Dictaminar sobre la procedencia de iniciar procedimientos de invitación restringida o de adjudicación directa, y</w:t>
      </w:r>
    </w:p>
    <w:p w14:paraId="60325D25" w14:textId="1433F22B" w:rsidR="00757565" w:rsidRPr="00322B1B" w:rsidRDefault="00757565" w:rsidP="00757565">
      <w:pPr>
        <w:pStyle w:val="Prrafodelista"/>
        <w:numPr>
          <w:ilvl w:val="0"/>
          <w:numId w:val="16"/>
        </w:numPr>
        <w:spacing w:after="0" w:line="360" w:lineRule="auto"/>
        <w:rPr>
          <w:rFonts w:eastAsia="Times New Roman" w:cs="Tahoma"/>
          <w:color w:val="auto"/>
          <w:lang w:eastAsia="es-ES"/>
        </w:rPr>
      </w:pPr>
      <w:r w:rsidRPr="00322B1B">
        <w:t>Elaborar y aprobar su manual de integración y funcionamiento.</w:t>
      </w:r>
    </w:p>
    <w:p w14:paraId="58A6590C" w14:textId="77777777" w:rsidR="00BB2BFC" w:rsidRPr="00322B1B" w:rsidRDefault="00BB2BFC" w:rsidP="00BB2BFC">
      <w:pPr>
        <w:spacing w:after="0" w:line="360" w:lineRule="auto"/>
        <w:rPr>
          <w:rFonts w:eastAsia="Times New Roman" w:cs="Tahoma"/>
          <w:color w:val="auto"/>
          <w:lang w:eastAsia="es-ES"/>
        </w:rPr>
      </w:pPr>
    </w:p>
    <w:p w14:paraId="7904104F" w14:textId="289EF492" w:rsidR="0062674E" w:rsidRPr="00322B1B" w:rsidRDefault="00B60094" w:rsidP="0062674E">
      <w:pPr>
        <w:spacing w:after="0" w:line="360" w:lineRule="auto"/>
        <w:rPr>
          <w:rFonts w:cs="Tahoma"/>
          <w:bCs/>
        </w:rPr>
      </w:pPr>
      <w:r w:rsidRPr="00322B1B">
        <w:rPr>
          <w:rFonts w:eastAsia="Times New Roman" w:cs="Tahoma"/>
          <w:bCs/>
          <w:iCs/>
          <w:color w:val="auto"/>
          <w:lang w:eastAsia="es-MX"/>
        </w:rPr>
        <w:t>Conforme a lo anterior, se logra observar que la pretensión del ahora Recurrente</w:t>
      </w:r>
      <w:r w:rsidR="00286FEF" w:rsidRPr="00322B1B">
        <w:rPr>
          <w:rFonts w:eastAsia="Times New Roman" w:cs="Tahoma"/>
          <w:bCs/>
          <w:iCs/>
          <w:color w:val="auto"/>
          <w:lang w:eastAsia="es-MX"/>
        </w:rPr>
        <w:t>,</w:t>
      </w:r>
      <w:r w:rsidRPr="00322B1B">
        <w:rPr>
          <w:rFonts w:eastAsia="Times New Roman" w:cs="Tahoma"/>
          <w:bCs/>
          <w:iCs/>
          <w:color w:val="auto"/>
          <w:lang w:eastAsia="es-MX"/>
        </w:rPr>
        <w:t xml:space="preserve"> es </w:t>
      </w:r>
      <w:r w:rsidR="0042087C" w:rsidRPr="00322B1B">
        <w:rPr>
          <w:rFonts w:eastAsia="Times New Roman" w:cs="Tahoma"/>
          <w:bCs/>
          <w:iCs/>
          <w:color w:val="auto"/>
          <w:lang w:eastAsia="es-MX"/>
        </w:rPr>
        <w:t xml:space="preserve">obtener </w:t>
      </w:r>
      <w:r w:rsidR="00891C52" w:rsidRPr="00322B1B">
        <w:rPr>
          <w:rFonts w:eastAsia="Times New Roman" w:cs="Tahoma"/>
          <w:bCs/>
          <w:iCs/>
          <w:color w:val="auto"/>
          <w:lang w:eastAsia="es-MX"/>
        </w:rPr>
        <w:t xml:space="preserve">el nombre de los integrantes </w:t>
      </w:r>
      <w:r w:rsidR="0042087C" w:rsidRPr="00322B1B">
        <w:rPr>
          <w:rFonts w:eastAsia="Times New Roman" w:cs="Tahoma"/>
          <w:bCs/>
          <w:iCs/>
          <w:color w:val="auto"/>
          <w:lang w:eastAsia="es-MX"/>
        </w:rPr>
        <w:t>del Comité Interno de Obra Pública</w:t>
      </w:r>
      <w:r w:rsidR="00891C52" w:rsidRPr="00322B1B">
        <w:rPr>
          <w:rFonts w:eastAsia="Times New Roman" w:cs="Tahoma"/>
          <w:bCs/>
          <w:iCs/>
          <w:color w:val="auto"/>
          <w:lang w:eastAsia="es-MX"/>
        </w:rPr>
        <w:t>; e</w:t>
      </w:r>
      <w:r w:rsidR="0062674E" w:rsidRPr="00322B1B">
        <w:rPr>
          <w:rFonts w:cs="Tahoma"/>
          <w:bCs/>
        </w:rPr>
        <w:t>stablecida dicha circunstancia, es necesario precisar que de las constancias que obran en el expediente se logra vislumbrar que el Sujeto Obligado</w:t>
      </w:r>
      <w:r w:rsidR="000E38AA" w:rsidRPr="00322B1B">
        <w:rPr>
          <w:rFonts w:cs="Tahoma"/>
          <w:bCs/>
        </w:rPr>
        <w:t xml:space="preserve"> en respuesta y en informe justificado</w:t>
      </w:r>
      <w:r w:rsidR="00C77B64" w:rsidRPr="00322B1B">
        <w:rPr>
          <w:rFonts w:cs="Tahoma"/>
          <w:bCs/>
        </w:rPr>
        <w:t xml:space="preserve">, </w:t>
      </w:r>
      <w:r w:rsidR="0062674E" w:rsidRPr="00322B1B">
        <w:rPr>
          <w:rFonts w:cs="Tahoma"/>
          <w:bCs/>
        </w:rPr>
        <w:t xml:space="preserve"> turn</w:t>
      </w:r>
      <w:r w:rsidR="00C77B64" w:rsidRPr="00322B1B">
        <w:rPr>
          <w:rFonts w:cs="Tahoma"/>
          <w:bCs/>
        </w:rPr>
        <w:t>ó</w:t>
      </w:r>
      <w:r w:rsidR="0062674E" w:rsidRPr="00322B1B">
        <w:rPr>
          <w:rFonts w:cs="Tahoma"/>
          <w:bCs/>
        </w:rPr>
        <w:t xml:space="preserve"> la solicitud de información a la </w:t>
      </w:r>
      <w:r w:rsidR="00C77B64" w:rsidRPr="00322B1B">
        <w:rPr>
          <w:rFonts w:cs="Tahoma"/>
          <w:bCs/>
        </w:rPr>
        <w:t xml:space="preserve">Dirección de Obras Públicas, </w:t>
      </w:r>
      <w:r w:rsidR="0062674E" w:rsidRPr="00322B1B">
        <w:rPr>
          <w:rFonts w:cs="Tahoma"/>
          <w:bCs/>
        </w:rPr>
        <w:t xml:space="preserve">por lo que, resulta necesario hacer referencia </w:t>
      </w:r>
      <w:r w:rsidR="0062674E" w:rsidRPr="00322B1B">
        <w:rPr>
          <w:rFonts w:cs="Tahoma"/>
          <w:bCs/>
        </w:rPr>
        <w:lastRenderedPageBreak/>
        <w:t>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2BF28CFA" w14:textId="77777777" w:rsidR="0062674E" w:rsidRPr="00322B1B" w:rsidRDefault="0062674E" w:rsidP="0062674E">
      <w:pPr>
        <w:spacing w:after="0" w:line="360" w:lineRule="auto"/>
        <w:contextualSpacing/>
        <w:rPr>
          <w:rFonts w:cs="Tahoma"/>
          <w:bCs/>
        </w:rPr>
      </w:pPr>
    </w:p>
    <w:p w14:paraId="13172A6A" w14:textId="77777777" w:rsidR="0062674E" w:rsidRPr="00322B1B" w:rsidRDefault="0062674E" w:rsidP="0062674E">
      <w:pPr>
        <w:numPr>
          <w:ilvl w:val="0"/>
          <w:numId w:val="12"/>
        </w:numPr>
        <w:spacing w:after="0" w:line="360" w:lineRule="auto"/>
        <w:contextualSpacing/>
        <w:rPr>
          <w:rFonts w:eastAsia="Calibri" w:cs="Tahoma"/>
          <w:bCs/>
          <w:color w:val="000000"/>
          <w:lang w:val="es-ES"/>
        </w:rPr>
      </w:pPr>
      <w:r w:rsidRPr="00322B1B">
        <w:rPr>
          <w:rFonts w:eastAsia="Calibri" w:cs="Tahoma"/>
          <w:bCs/>
          <w:color w:val="000000"/>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AC2E4F1" w14:textId="77777777" w:rsidR="0062674E" w:rsidRPr="00322B1B" w:rsidRDefault="0062674E" w:rsidP="0062674E">
      <w:pPr>
        <w:spacing w:after="0" w:line="360" w:lineRule="auto"/>
        <w:ind w:left="360"/>
        <w:contextualSpacing/>
        <w:rPr>
          <w:rFonts w:eastAsia="Calibri" w:cs="Tahoma"/>
          <w:bCs/>
          <w:color w:val="000000"/>
          <w:lang w:val="es-ES"/>
        </w:rPr>
      </w:pPr>
    </w:p>
    <w:p w14:paraId="21D5F9D9" w14:textId="77777777" w:rsidR="0062674E" w:rsidRPr="00322B1B" w:rsidRDefault="0062674E" w:rsidP="0062674E">
      <w:pPr>
        <w:numPr>
          <w:ilvl w:val="0"/>
          <w:numId w:val="12"/>
        </w:numPr>
        <w:spacing w:after="0" w:line="360" w:lineRule="auto"/>
        <w:contextualSpacing/>
        <w:rPr>
          <w:rFonts w:eastAsia="Calibri" w:cs="Tahoma"/>
          <w:bCs/>
          <w:color w:val="000000"/>
          <w:lang w:val="es-ES"/>
        </w:rPr>
      </w:pPr>
      <w:r w:rsidRPr="00322B1B">
        <w:rPr>
          <w:rFonts w:eastAsia="Calibri" w:cs="Tahoma"/>
          <w:bCs/>
          <w:color w:val="000000"/>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28DEBCE5" w14:textId="77777777" w:rsidR="0062674E" w:rsidRPr="00322B1B" w:rsidRDefault="0062674E" w:rsidP="0062674E">
      <w:pPr>
        <w:spacing w:after="0" w:line="360" w:lineRule="auto"/>
        <w:contextualSpacing/>
        <w:rPr>
          <w:rFonts w:cs="Tahoma"/>
          <w:bCs/>
        </w:rPr>
      </w:pPr>
    </w:p>
    <w:p w14:paraId="05F37F72" w14:textId="5C4CE187" w:rsidR="0062674E" w:rsidRPr="00322B1B" w:rsidRDefault="0062674E" w:rsidP="0062674E">
      <w:pPr>
        <w:spacing w:after="0" w:line="360" w:lineRule="auto"/>
        <w:ind w:right="-28"/>
        <w:contextualSpacing/>
        <w:rPr>
          <w:rFonts w:cs="Tahoma"/>
          <w:bCs/>
        </w:rPr>
      </w:pPr>
      <w:r w:rsidRPr="00322B1B">
        <w:rPr>
          <w:rFonts w:eastAsia="Calibri" w:cs="Tahoma"/>
          <w:bCs/>
          <w:color w:val="000000"/>
        </w:rPr>
        <w:t xml:space="preserve">Así, a efecto de determinar si el Sujeto Obligado cumplió con el procedimiento de </w:t>
      </w:r>
      <w:r w:rsidR="00286FEF" w:rsidRPr="00322B1B">
        <w:rPr>
          <w:rFonts w:eastAsia="Calibri" w:cs="Tahoma"/>
          <w:bCs/>
          <w:color w:val="000000"/>
        </w:rPr>
        <w:t>búsqueda, resulta</w:t>
      </w:r>
      <w:r w:rsidRPr="00322B1B">
        <w:rPr>
          <w:rFonts w:eastAsia="Calibri" w:cs="Tahoma"/>
          <w:bCs/>
          <w:color w:val="000000"/>
        </w:rPr>
        <w:t xml:space="preserve"> necesario traer a colación </w:t>
      </w:r>
      <w:r w:rsidRPr="00322B1B">
        <w:rPr>
          <w:rFonts w:cs="Tahoma"/>
          <w:bCs/>
        </w:rPr>
        <w:t xml:space="preserve">el artículo </w:t>
      </w:r>
      <w:r w:rsidR="00C77B64" w:rsidRPr="00322B1B">
        <w:rPr>
          <w:rFonts w:cs="Tahoma"/>
          <w:bCs/>
        </w:rPr>
        <w:t xml:space="preserve">93 del Bando Municipal de Metepec, dos mil veintitrés, que establece que el Sujeto Obligado cuenta con la Dirección de Obras Públicas, que será la encargada de </w:t>
      </w:r>
      <w:r w:rsidR="00C77B64" w:rsidRPr="00322B1B">
        <w:t>integrar el Comité Interno de Obra Pública y convocar a reuniones periódicamente.</w:t>
      </w:r>
    </w:p>
    <w:p w14:paraId="14238A2C" w14:textId="77777777" w:rsidR="0062674E" w:rsidRPr="00322B1B" w:rsidRDefault="0062674E" w:rsidP="0062674E">
      <w:pPr>
        <w:spacing w:after="0" w:line="360" w:lineRule="auto"/>
        <w:contextualSpacing/>
        <w:rPr>
          <w:rFonts w:cs="Tahoma"/>
          <w:bCs/>
        </w:rPr>
      </w:pPr>
    </w:p>
    <w:p w14:paraId="4172A86D" w14:textId="77777777" w:rsidR="00891C52" w:rsidRPr="00322B1B" w:rsidRDefault="0062674E" w:rsidP="0062674E">
      <w:pPr>
        <w:spacing w:after="0" w:line="360" w:lineRule="auto"/>
        <w:ind w:right="-28"/>
        <w:contextualSpacing/>
        <w:rPr>
          <w:rFonts w:eastAsia="Calibri" w:cs="Tahoma"/>
          <w:bCs/>
          <w:iCs/>
          <w:color w:val="auto"/>
        </w:rPr>
      </w:pPr>
      <w:r w:rsidRPr="00322B1B">
        <w:rPr>
          <w:rFonts w:eastAsia="Calibri" w:cs="Tahoma"/>
          <w:bCs/>
          <w:iCs/>
          <w:color w:val="auto"/>
        </w:rPr>
        <w:t xml:space="preserve">Así se logra vislumbrar que el Sujeto Obligado cumplió con el procedimiento de búsqueda establecido en el artículo 162 de la Ley de Transparencia y Acceso a la Información Pública del Estado de México y Municipios, al gestionar el requerimiento de información al área encargada de </w:t>
      </w:r>
      <w:r w:rsidR="005F0BEA" w:rsidRPr="00322B1B">
        <w:rPr>
          <w:rFonts w:eastAsia="Calibri" w:cs="Tahoma"/>
          <w:bCs/>
          <w:iCs/>
          <w:color w:val="auto"/>
        </w:rPr>
        <w:t>hacer la integración del Comité Interno de Obra Pública</w:t>
      </w:r>
      <w:r w:rsidR="00891C52" w:rsidRPr="00322B1B">
        <w:rPr>
          <w:rFonts w:eastAsia="Calibri" w:cs="Tahoma"/>
          <w:bCs/>
          <w:iCs/>
          <w:color w:val="auto"/>
        </w:rPr>
        <w:t>.</w:t>
      </w:r>
    </w:p>
    <w:p w14:paraId="2CE1BCCA" w14:textId="77777777" w:rsidR="00891C52" w:rsidRPr="00322B1B" w:rsidRDefault="00891C52" w:rsidP="0062674E">
      <w:pPr>
        <w:spacing w:after="0" w:line="360" w:lineRule="auto"/>
        <w:ind w:right="-28"/>
        <w:contextualSpacing/>
        <w:rPr>
          <w:rFonts w:eastAsia="Calibri" w:cs="Tahoma"/>
          <w:bCs/>
          <w:iCs/>
          <w:color w:val="auto"/>
        </w:rPr>
      </w:pPr>
    </w:p>
    <w:p w14:paraId="6E00968E" w14:textId="1BF03705" w:rsidR="000E38AA" w:rsidRPr="00322B1B" w:rsidRDefault="00891C52" w:rsidP="00891C52">
      <w:pPr>
        <w:spacing w:after="0" w:line="360" w:lineRule="auto"/>
        <w:ind w:right="-28"/>
        <w:contextualSpacing/>
        <w:rPr>
          <w:rFonts w:eastAsia="Times New Roman" w:cs="Tahoma"/>
          <w:color w:val="auto"/>
          <w:lang w:eastAsia="es-ES"/>
        </w:rPr>
      </w:pPr>
      <w:r w:rsidRPr="00322B1B">
        <w:rPr>
          <w:rFonts w:eastAsia="Calibri" w:cs="Tahoma"/>
          <w:bCs/>
          <w:iCs/>
          <w:color w:val="auto"/>
        </w:rPr>
        <w:t xml:space="preserve">Ahora bien, dicha área proporcionó </w:t>
      </w:r>
      <w:r w:rsidR="000E38AA" w:rsidRPr="00322B1B">
        <w:rPr>
          <w:rFonts w:eastAsia="Calibri" w:cs="Tahoma"/>
          <w:bCs/>
          <w:iCs/>
          <w:color w:val="auto"/>
        </w:rPr>
        <w:t>la conformación y funciones del Comité</w:t>
      </w:r>
      <w:r w:rsidRPr="00322B1B">
        <w:rPr>
          <w:rFonts w:eastAsia="Calibri" w:cs="Tahoma"/>
          <w:bCs/>
          <w:iCs/>
          <w:color w:val="auto"/>
        </w:rPr>
        <w:t xml:space="preserve"> Interno de Obra Pública; por lo que, omitió realizar un pronunciamiento expreso del nombre de los integrantes. </w:t>
      </w:r>
      <w:r w:rsidR="000E38AA" w:rsidRPr="00322B1B">
        <w:rPr>
          <w:rFonts w:eastAsia="Times New Roman" w:cs="Tahoma"/>
          <w:bCs/>
          <w:iCs/>
          <w:color w:val="auto"/>
          <w:lang w:val="es-ES" w:eastAsia="es-ES"/>
        </w:rPr>
        <w:t>S</w:t>
      </w:r>
      <w:proofErr w:type="spellStart"/>
      <w:r w:rsidR="000E38AA" w:rsidRPr="00322B1B">
        <w:rPr>
          <w:rFonts w:eastAsia="Times New Roman" w:cs="Tahoma"/>
          <w:color w:val="auto"/>
          <w:lang w:eastAsia="es-ES"/>
        </w:rPr>
        <w:t>obre</w:t>
      </w:r>
      <w:proofErr w:type="spellEnd"/>
      <w:r w:rsidR="000E38AA" w:rsidRPr="00322B1B">
        <w:rPr>
          <w:rFonts w:eastAsia="Times New Roman" w:cs="Tahoma"/>
          <w:color w:val="auto"/>
          <w:lang w:eastAsia="es-ES"/>
        </w:rPr>
        <w:t xml:space="preserve"> el tema</w:t>
      </w:r>
      <w:r w:rsidR="000E38AA" w:rsidRPr="00322B1B">
        <w:rPr>
          <w:rFonts w:eastAsia="Calibri" w:cs="Tahoma"/>
          <w:color w:val="auto"/>
        </w:rPr>
        <w:t>, e</w:t>
      </w:r>
      <w:r w:rsidR="000E38AA" w:rsidRPr="00322B1B">
        <w:rPr>
          <w:rFonts w:eastAsia="Times New Roman" w:cs="Tahoma"/>
          <w:color w:val="auto"/>
          <w:lang w:eastAsia="es-ES"/>
        </w:rPr>
        <w:t xml:space="preserve">l artículo 1.8, fracción XIII, del Código Administrativo del Estado de México, establece que para que tenga validez, todo acto administrativo deberá resolver todos los puntos propuestos por los interesados. </w:t>
      </w:r>
    </w:p>
    <w:p w14:paraId="279CB754" w14:textId="77777777" w:rsidR="000E38AA" w:rsidRPr="00322B1B" w:rsidRDefault="000E38AA" w:rsidP="000E38AA">
      <w:pPr>
        <w:spacing w:after="0" w:line="360" w:lineRule="auto"/>
        <w:rPr>
          <w:rFonts w:eastAsia="Times New Roman" w:cs="Tahoma"/>
          <w:color w:val="auto"/>
          <w:lang w:eastAsia="es-ES"/>
        </w:rPr>
      </w:pPr>
    </w:p>
    <w:p w14:paraId="604FCD8E" w14:textId="77777777" w:rsidR="00891C52" w:rsidRPr="00322B1B" w:rsidRDefault="00891C52" w:rsidP="00891C52">
      <w:pPr>
        <w:spacing w:after="0" w:line="360" w:lineRule="auto"/>
        <w:rPr>
          <w:rFonts w:eastAsia="Times New Roman" w:cs="Tahoma"/>
          <w:iCs/>
          <w:color w:val="auto"/>
          <w:lang w:eastAsia="es-ES"/>
        </w:rPr>
      </w:pPr>
      <w:r w:rsidRPr="00322B1B">
        <w:rPr>
          <w:rFonts w:eastAsia="Times New Roman" w:cs="Tahoma"/>
          <w:iCs/>
          <w:color w:val="auto"/>
          <w:lang w:val="es-ES" w:eastAsia="es-ES"/>
        </w:rPr>
        <w:t xml:space="preserve">Lo anterior toma relevancia, con el </w:t>
      </w:r>
      <w:r w:rsidRPr="00322B1B">
        <w:rPr>
          <w:rFonts w:eastAsia="Times New Roman" w:cs="Tahoma"/>
          <w:bCs/>
          <w:iCs/>
          <w:color w:val="auto"/>
          <w:lang w:val="es-ES" w:eastAsia="es-ES"/>
        </w:rPr>
        <w:t xml:space="preserve">Criterio de Interpretación, de la Segunda Época, con clave de control </w:t>
      </w:r>
      <w:r w:rsidRPr="00322B1B">
        <w:rPr>
          <w:rFonts w:eastAsia="Times New Roman" w:cs="Tahoma"/>
          <w:bCs/>
          <w:iCs/>
          <w:color w:val="auto"/>
          <w:lang w:eastAsia="es-ES"/>
        </w:rPr>
        <w:t xml:space="preserve">SO/002/2017, </w:t>
      </w:r>
      <w:r w:rsidRPr="00322B1B">
        <w:rPr>
          <w:rFonts w:eastAsia="Times New Roman" w:cs="Tahoma"/>
          <w:bCs/>
          <w:iCs/>
          <w:color w:val="auto"/>
          <w:lang w:val="es-ES" w:eastAsia="es-ES"/>
        </w:rPr>
        <w:t>emitido por el Instituto Nacional de Transparencia, Acceso a la Información y Protección de Datos Personales, que señala lo siguiente:</w:t>
      </w:r>
    </w:p>
    <w:p w14:paraId="0E97E552" w14:textId="77777777" w:rsidR="000E38AA" w:rsidRPr="00322B1B" w:rsidRDefault="000E38AA" w:rsidP="000E38AA">
      <w:pPr>
        <w:autoSpaceDE w:val="0"/>
        <w:autoSpaceDN w:val="0"/>
        <w:adjustRightInd w:val="0"/>
        <w:spacing w:after="0" w:line="360" w:lineRule="auto"/>
        <w:rPr>
          <w:rFonts w:eastAsia="Calibri" w:cs="Tahoma"/>
          <w:color w:val="000000"/>
          <w:lang w:eastAsia="es-MX"/>
        </w:rPr>
      </w:pPr>
    </w:p>
    <w:p w14:paraId="74454531" w14:textId="77777777" w:rsidR="000E38AA" w:rsidRPr="00322B1B" w:rsidRDefault="000E38AA" w:rsidP="000E38AA">
      <w:pPr>
        <w:spacing w:after="0" w:line="360" w:lineRule="auto"/>
        <w:ind w:left="567" w:right="567"/>
        <w:rPr>
          <w:rFonts w:eastAsia="Calibri" w:cs="Tahoma"/>
          <w:bCs/>
          <w:i/>
          <w:color w:val="auto"/>
          <w:sz w:val="20"/>
          <w:szCs w:val="20"/>
        </w:rPr>
      </w:pPr>
      <w:r w:rsidRPr="00322B1B">
        <w:rPr>
          <w:rFonts w:eastAsia="Calibri" w:cs="Tahoma"/>
          <w:b/>
          <w:bCs/>
          <w:i/>
          <w:color w:val="auto"/>
          <w:sz w:val="20"/>
          <w:szCs w:val="20"/>
        </w:rPr>
        <w:t xml:space="preserve">“Congruencia y exhaustividad. Sus alcances para garantizar el derecho de acceso a la información. </w:t>
      </w:r>
      <w:r w:rsidRPr="00322B1B">
        <w:rPr>
          <w:rFonts w:eastAsia="Calibri" w:cs="Tahoma"/>
          <w:bCs/>
          <w:i/>
          <w:color w:val="auto"/>
          <w:sz w:val="20"/>
          <w:szCs w:val="20"/>
        </w:rPr>
        <w:t xml:space="preserve">De conformidad con el artículo </w:t>
      </w:r>
      <w:r w:rsidRPr="00322B1B">
        <w:rPr>
          <w:rFonts w:eastAsia="Calibri" w:cs="Tahoma"/>
          <w:bCs/>
          <w:i/>
          <w:color w:val="auto"/>
          <w:sz w:val="20"/>
          <w:szCs w:val="20"/>
          <w:lang w:val="es-ES_tradnl"/>
        </w:rPr>
        <w:t>3 de la Ley Federal de Procedimiento Administrativo</w:t>
      </w:r>
      <w:r w:rsidRPr="00322B1B">
        <w:rPr>
          <w:rFonts w:eastAsia="Calibri" w:cs="Tahoma"/>
          <w:bCs/>
          <w:i/>
          <w:color w:val="auto"/>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322B1B">
        <w:rPr>
          <w:rFonts w:eastAsia="Calibri" w:cs="Tahoma"/>
          <w:b/>
          <w:bCs/>
          <w:i/>
          <w:color w:val="auto"/>
          <w:sz w:val="20"/>
          <w:szCs w:val="20"/>
        </w:rPr>
        <w:t>la exhaustividad significa que dicha respuesta se refiera expresamente a cada uno de los puntos solicitados</w:t>
      </w:r>
      <w:r w:rsidRPr="00322B1B">
        <w:rPr>
          <w:rFonts w:eastAsia="Calibri" w:cs="Tahoma"/>
          <w:bCs/>
          <w:i/>
          <w:color w:val="auto"/>
          <w:sz w:val="20"/>
          <w:szCs w:val="20"/>
        </w:rPr>
        <w:t xml:space="preserve">. Por lo anterior, los sujetos obligados cumplirán con los principios de congruencia y exhaustividad, cuando las respuestas que emitan guarden una relación lógica con lo solicitado y </w:t>
      </w:r>
      <w:r w:rsidRPr="00322B1B">
        <w:rPr>
          <w:rFonts w:eastAsia="Calibri" w:cs="Tahoma"/>
          <w:b/>
          <w:bCs/>
          <w:i/>
          <w:color w:val="auto"/>
          <w:sz w:val="20"/>
          <w:szCs w:val="20"/>
        </w:rPr>
        <w:t>atiendan de manera puntual y expresa, cada uno de los contenidos de información.”</w:t>
      </w:r>
    </w:p>
    <w:p w14:paraId="207C50CE" w14:textId="77777777" w:rsidR="000E38AA" w:rsidRPr="00322B1B" w:rsidRDefault="000E38AA" w:rsidP="000E38AA">
      <w:pPr>
        <w:autoSpaceDE w:val="0"/>
        <w:autoSpaceDN w:val="0"/>
        <w:adjustRightInd w:val="0"/>
        <w:spacing w:after="0" w:line="360" w:lineRule="auto"/>
        <w:rPr>
          <w:rFonts w:eastAsia="Calibri" w:cs="Tahoma"/>
          <w:color w:val="000000"/>
          <w:lang w:eastAsia="es-MX"/>
        </w:rPr>
      </w:pPr>
    </w:p>
    <w:p w14:paraId="5C34A6CE" w14:textId="77777777" w:rsidR="000E38AA" w:rsidRPr="00322B1B" w:rsidRDefault="000E38AA" w:rsidP="000E38AA">
      <w:pPr>
        <w:widowControl w:val="0"/>
        <w:autoSpaceDE w:val="0"/>
        <w:autoSpaceDN w:val="0"/>
        <w:adjustRightInd w:val="0"/>
        <w:spacing w:after="0" w:line="360" w:lineRule="auto"/>
        <w:rPr>
          <w:rFonts w:eastAsia="Times New Roman" w:cs="Tahoma"/>
          <w:bCs/>
          <w:color w:val="auto"/>
          <w:szCs w:val="24"/>
          <w:lang w:val="es-ES_tradnl" w:eastAsia="es-MX"/>
        </w:rPr>
      </w:pPr>
      <w:r w:rsidRPr="00322B1B">
        <w:rPr>
          <w:rFonts w:eastAsia="Times New Roman" w:cs="Tahoma"/>
          <w:color w:val="auto"/>
          <w:szCs w:val="24"/>
          <w:lang w:eastAsia="es-MX"/>
        </w:rPr>
        <w:t xml:space="preserve">De lo citado, se desprende que </w:t>
      </w:r>
      <w:r w:rsidRPr="00322B1B">
        <w:rPr>
          <w:rFonts w:eastAsia="Times New Roman" w:cs="Tahoma"/>
          <w:bCs/>
          <w:color w:val="auto"/>
          <w:szCs w:val="24"/>
          <w:lang w:eastAsia="es-MX"/>
        </w:rPr>
        <w:t xml:space="preserve">todo acto administrativo debe apegarse al </w:t>
      </w:r>
      <w:r w:rsidRPr="00322B1B">
        <w:rPr>
          <w:rFonts w:eastAsia="Times New Roman" w:cs="Tahoma"/>
          <w:b/>
          <w:bCs/>
          <w:color w:val="auto"/>
          <w:szCs w:val="24"/>
          <w:lang w:eastAsia="es-MX"/>
        </w:rPr>
        <w:t>principio de exhaustividad</w:t>
      </w:r>
      <w:r w:rsidRPr="00322B1B">
        <w:rPr>
          <w:rFonts w:eastAsia="Times New Roman" w:cs="Tahoma"/>
          <w:bCs/>
          <w:color w:val="auto"/>
          <w:szCs w:val="24"/>
          <w:lang w:eastAsia="es-MX"/>
        </w:rPr>
        <w:t xml:space="preserve">, </w:t>
      </w:r>
      <w:r w:rsidRPr="00322B1B">
        <w:rPr>
          <w:rFonts w:eastAsia="Times New Roman" w:cs="Tahoma"/>
          <w:bCs/>
          <w:color w:val="auto"/>
          <w:szCs w:val="24"/>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deben guardar una relación </w:t>
      </w:r>
      <w:r w:rsidRPr="00322B1B">
        <w:rPr>
          <w:rFonts w:eastAsia="Times New Roman" w:cs="Tahoma"/>
          <w:bCs/>
          <w:color w:val="auto"/>
          <w:szCs w:val="24"/>
          <w:lang w:val="es-ES_tradnl" w:eastAsia="es-MX"/>
        </w:rPr>
        <w:lastRenderedPageBreak/>
        <w:t>lógica con lo solicitado, analizando y decidiendo –de marea íntegra- sobre todos los puntos requeridos, a fin de satisfacer la solicitud correspondiente.</w:t>
      </w:r>
    </w:p>
    <w:p w14:paraId="6AF020F9" w14:textId="77777777" w:rsidR="000E38AA" w:rsidRPr="00322B1B" w:rsidRDefault="000E38AA" w:rsidP="000E38AA">
      <w:pPr>
        <w:autoSpaceDE w:val="0"/>
        <w:autoSpaceDN w:val="0"/>
        <w:adjustRightInd w:val="0"/>
        <w:spacing w:after="0" w:line="360" w:lineRule="auto"/>
        <w:rPr>
          <w:rFonts w:eastAsia="Calibri" w:cs="Tahoma"/>
          <w:color w:val="000000"/>
          <w:lang w:eastAsia="es-MX"/>
        </w:rPr>
      </w:pPr>
    </w:p>
    <w:p w14:paraId="23D2D1A2" w14:textId="77777777" w:rsidR="00292ABF" w:rsidRPr="00322B1B" w:rsidRDefault="000E38AA" w:rsidP="00292ABF">
      <w:pPr>
        <w:spacing w:after="0" w:line="360" w:lineRule="auto"/>
        <w:rPr>
          <w:rFonts w:eastAsia="Calibri" w:cs="Tahoma"/>
          <w:bCs/>
        </w:rPr>
      </w:pPr>
      <w:r w:rsidRPr="00322B1B">
        <w:rPr>
          <w:rFonts w:eastAsia="Times New Roman" w:cs="Tahoma"/>
          <w:color w:val="auto"/>
          <w:szCs w:val="24"/>
          <w:lang w:eastAsia="es-MX"/>
        </w:rPr>
        <w:t xml:space="preserve">En esa tesitura, se concluye que el Sujeto Obligado no satisfizo el derecho de acceso </w:t>
      </w:r>
      <w:r w:rsidRPr="00322B1B">
        <w:rPr>
          <w:rFonts w:eastAsia="Calibri" w:cs="Tahoma"/>
          <w:bCs/>
          <w:color w:val="auto"/>
        </w:rPr>
        <w:t xml:space="preserve">a la información del Recurrente, </w:t>
      </w:r>
      <w:r w:rsidRPr="00322B1B">
        <w:rPr>
          <w:rFonts w:eastAsia="Calibri" w:cs="Tahoma"/>
          <w:b/>
          <w:bCs/>
          <w:color w:val="auto"/>
        </w:rPr>
        <w:t xml:space="preserve">al incumplir </w:t>
      </w:r>
      <w:r w:rsidR="00891C52" w:rsidRPr="00322B1B">
        <w:rPr>
          <w:rFonts w:eastAsia="Calibri" w:cs="Tahoma"/>
          <w:b/>
          <w:bCs/>
          <w:color w:val="auto"/>
        </w:rPr>
        <w:t>el principio mencionado</w:t>
      </w:r>
      <w:r w:rsidR="00292ABF" w:rsidRPr="00322B1B">
        <w:rPr>
          <w:rFonts w:eastAsia="Calibri" w:cs="Tahoma"/>
          <w:b/>
          <w:bCs/>
          <w:color w:val="auto"/>
        </w:rPr>
        <w:t>; n</w:t>
      </w:r>
      <w:r w:rsidR="0018234A" w:rsidRPr="00322B1B">
        <w:t>o obstante</w:t>
      </w:r>
      <w:r w:rsidR="0062674E" w:rsidRPr="00322B1B">
        <w:t>,</w:t>
      </w:r>
      <w:r w:rsidR="00DE7653" w:rsidRPr="00322B1B">
        <w:t xml:space="preserve"> durante la sustanciación del Medio de Impugnación, </w:t>
      </w:r>
      <w:r w:rsidR="00292ABF" w:rsidRPr="00322B1B">
        <w:t>la Dirección de Obras Públicas</w:t>
      </w:r>
      <w:r w:rsidR="00DE7653" w:rsidRPr="00322B1B">
        <w:t xml:space="preserve"> </w:t>
      </w:r>
      <w:r w:rsidR="001A5B7A" w:rsidRPr="00322B1B">
        <w:t>entregó los nombres de los integrantes del Comité Interno de Obra Pública</w:t>
      </w:r>
      <w:r w:rsidR="00292ABF" w:rsidRPr="00322B1B">
        <w:t>, a saber, de su Presidente, Secretario Técnico, Vocales, Ponente e Invitados; a</w:t>
      </w:r>
      <w:r w:rsidR="0062674E" w:rsidRPr="00322B1B">
        <w:t>l</w:t>
      </w:r>
      <w:r w:rsidR="0062674E" w:rsidRPr="00322B1B">
        <w:rPr>
          <w:rFonts w:eastAsia="Calibri" w:cs="Tahoma"/>
          <w:bCs/>
        </w:rPr>
        <w:t xml:space="preserve"> respecto, es </w:t>
      </w:r>
      <w:r w:rsidR="00BA722F" w:rsidRPr="00322B1B">
        <w:rPr>
          <w:rFonts w:eastAsia="Calibri" w:cs="Tahoma"/>
          <w:bCs/>
        </w:rPr>
        <w:t xml:space="preserve">necesario </w:t>
      </w:r>
      <w:r w:rsidR="0062674E" w:rsidRPr="00322B1B">
        <w:rPr>
          <w:rFonts w:eastAsia="Calibri" w:cs="Tahoma"/>
          <w:bCs/>
        </w:rPr>
        <w:t xml:space="preserve">señalar que este Instituto, no tiene atribuciones para pronunciarse sobre la veracidad de la información. </w:t>
      </w:r>
    </w:p>
    <w:p w14:paraId="2ACD384A" w14:textId="77777777" w:rsidR="00292ABF" w:rsidRPr="00322B1B" w:rsidRDefault="00292ABF" w:rsidP="00292ABF">
      <w:pPr>
        <w:spacing w:after="0" w:line="360" w:lineRule="auto"/>
        <w:rPr>
          <w:rFonts w:eastAsia="Calibri" w:cs="Tahoma"/>
          <w:bCs/>
        </w:rPr>
      </w:pPr>
    </w:p>
    <w:p w14:paraId="381AAE84" w14:textId="69C0F6E9" w:rsidR="0062674E" w:rsidRPr="00322B1B" w:rsidRDefault="0062674E" w:rsidP="00292ABF">
      <w:pPr>
        <w:spacing w:after="0" w:line="360" w:lineRule="auto"/>
      </w:pPr>
      <w:r w:rsidRPr="00322B1B">
        <w:rPr>
          <w:rFonts w:eastAsia="Calibri" w:cs="Tahoma"/>
          <w:bCs/>
        </w:rPr>
        <w:t>A</w:t>
      </w:r>
      <w:r w:rsidRPr="00322B1B">
        <w:rPr>
          <w:rFonts w:eastAsia="Calibri" w:cs="Tahoma"/>
          <w:bCs/>
          <w:iCs/>
        </w:rPr>
        <w:t xml:space="preserve">poya lo anterior, el </w:t>
      </w:r>
      <w:r w:rsidRPr="00322B1B">
        <w:rPr>
          <w:rFonts w:eastAsia="Calibri" w:cs="Tahoma"/>
          <w:bCs/>
          <w:lang w:val="es-ES"/>
        </w:rPr>
        <w:t xml:space="preserve">Criterio de Interpretación, de la Primera Época, con número de registro </w:t>
      </w:r>
      <w:r w:rsidRPr="00322B1B">
        <w:rPr>
          <w:rFonts w:eastAsia="Calibri" w:cs="Tahoma"/>
          <w:bCs/>
        </w:rPr>
        <w:t>SO/031/2010,</w:t>
      </w:r>
      <w:r w:rsidRPr="00322B1B">
        <w:rPr>
          <w:rFonts w:eastAsia="Calibri" w:cs="Tahoma"/>
          <w:bCs/>
          <w:iCs/>
        </w:rPr>
        <w:t xml:space="preserve"> emitido por el Pleno del entonces Instituto Federal de Acceso a la Información y Protección de Datos, que a continuación se cita:</w:t>
      </w:r>
    </w:p>
    <w:p w14:paraId="72A5DEC2" w14:textId="77777777" w:rsidR="0062674E" w:rsidRPr="00322B1B" w:rsidRDefault="0062674E" w:rsidP="0062674E">
      <w:pPr>
        <w:spacing w:after="0" w:line="360" w:lineRule="auto"/>
        <w:ind w:left="567" w:right="567"/>
        <w:contextualSpacing/>
        <w:rPr>
          <w:rFonts w:eastAsia="Calibri" w:cs="Tahoma"/>
          <w:b/>
          <w:bCs/>
          <w:i/>
          <w:sz w:val="20"/>
          <w:szCs w:val="20"/>
        </w:rPr>
      </w:pPr>
    </w:p>
    <w:p w14:paraId="605FB7DA" w14:textId="77777777" w:rsidR="0062674E" w:rsidRPr="00322B1B" w:rsidRDefault="0062674E" w:rsidP="0062674E">
      <w:pPr>
        <w:spacing w:after="0" w:line="360" w:lineRule="auto"/>
        <w:ind w:left="567" w:right="567"/>
        <w:contextualSpacing/>
        <w:rPr>
          <w:rFonts w:eastAsia="Calibri" w:cs="Tahoma"/>
          <w:bCs/>
          <w:i/>
          <w:sz w:val="20"/>
          <w:szCs w:val="20"/>
        </w:rPr>
      </w:pPr>
      <w:r w:rsidRPr="00322B1B">
        <w:rPr>
          <w:rFonts w:eastAsia="Calibri" w:cs="Tahoma"/>
          <w:b/>
          <w:bCs/>
          <w:i/>
          <w:sz w:val="20"/>
          <w:szCs w:val="20"/>
        </w:rPr>
        <w:t xml:space="preserve">“El Instituto Federal de Acceso a la Información y Protección de Datos </w:t>
      </w:r>
      <w:r w:rsidRPr="00322B1B">
        <w:rPr>
          <w:rFonts w:eastAsia="Calibri" w:cs="Tahoma"/>
          <w:b/>
          <w:bCs/>
          <w:i/>
          <w:sz w:val="20"/>
          <w:szCs w:val="20"/>
          <w:u w:val="single"/>
        </w:rPr>
        <w:t xml:space="preserve">no cuenta con facultades para pronunciarse respecto de la veracidad de los documentos proporcionados por los sujetos obligados. </w:t>
      </w:r>
      <w:r w:rsidRPr="00322B1B">
        <w:rPr>
          <w:rFonts w:eastAsia="Calibri" w:cs="Tahoma"/>
          <w:bCs/>
          <w:i/>
          <w:sz w:val="20"/>
          <w:szCs w:val="20"/>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ABA4437" w14:textId="39695162" w:rsidR="00292ABF" w:rsidRPr="00322B1B" w:rsidRDefault="00292ABF" w:rsidP="0062674E">
      <w:pPr>
        <w:spacing w:after="0" w:line="360" w:lineRule="auto"/>
        <w:contextualSpacing/>
        <w:rPr>
          <w:rFonts w:eastAsia="Times New Roman" w:cs="Times New Roman"/>
          <w:color w:val="auto"/>
          <w:lang w:val="es-ES" w:eastAsia="es-ES"/>
        </w:rPr>
      </w:pPr>
    </w:p>
    <w:p w14:paraId="26EE478C" w14:textId="22FD4109" w:rsidR="00292ABF" w:rsidRPr="00322B1B" w:rsidRDefault="00292ABF" w:rsidP="00292ABF">
      <w:pPr>
        <w:spacing w:after="0" w:line="360" w:lineRule="auto"/>
        <w:contextualSpacing/>
        <w:rPr>
          <w:rFonts w:eastAsia="Times New Roman" w:cs="Tahoma"/>
          <w:iCs/>
          <w:color w:val="auto"/>
          <w:lang w:eastAsia="es-ES"/>
        </w:rPr>
      </w:pPr>
      <w:r w:rsidRPr="00322B1B">
        <w:rPr>
          <w:rFonts w:eastAsia="Times New Roman" w:cs="Times New Roman"/>
          <w:color w:val="auto"/>
          <w:lang w:val="es-ES" w:eastAsia="es-ES"/>
        </w:rPr>
        <w:lastRenderedPageBreak/>
        <w:t>Conforme a lo anterior, se logra vislumbrar que el Sujeto Obligado proporcionó la información que obraba en sus archivos y que da cuenta de lo peticionado, a saber, el nombre de los integrantes del Comité Interno de Obra Pública; d</w:t>
      </w:r>
      <w:proofErr w:type="spellStart"/>
      <w:r w:rsidRPr="00322B1B">
        <w:rPr>
          <w:rFonts w:eastAsia="Times New Roman" w:cs="Tahoma"/>
          <w:iCs/>
          <w:color w:val="auto"/>
          <w:lang w:eastAsia="es-ES"/>
        </w:rPr>
        <w:t>icha</w:t>
      </w:r>
      <w:proofErr w:type="spellEnd"/>
      <w:r w:rsidRPr="00322B1B">
        <w:rPr>
          <w:rFonts w:eastAsia="Times New Roman" w:cs="Tahoma"/>
          <w:iCs/>
          <w:color w:val="auto"/>
          <w:lang w:eastAsia="es-ES"/>
        </w:rPr>
        <w:t xml:space="preserve"> determinación, </w:t>
      </w:r>
      <w:r w:rsidRPr="00322B1B">
        <w:rPr>
          <w:rFonts w:eastAsia="Times New Roman" w:cs="Tahoma"/>
          <w:iCs/>
          <w:color w:val="auto"/>
          <w:lang w:val="es-ES" w:eastAsia="es-ES"/>
        </w:rPr>
        <w:t>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E3BA03A" w14:textId="77777777" w:rsidR="00292ABF" w:rsidRPr="00322B1B" w:rsidRDefault="00292ABF" w:rsidP="00292ABF">
      <w:pPr>
        <w:spacing w:after="0" w:line="360" w:lineRule="auto"/>
        <w:rPr>
          <w:rFonts w:eastAsia="Times New Roman" w:cs="Tahoma"/>
          <w:iCs/>
          <w:color w:val="auto"/>
          <w:lang w:val="es-ES" w:eastAsia="es-ES"/>
        </w:rPr>
      </w:pPr>
    </w:p>
    <w:p w14:paraId="707E86CB" w14:textId="77777777" w:rsidR="00292ABF" w:rsidRPr="00322B1B" w:rsidRDefault="00292ABF" w:rsidP="00292ABF">
      <w:pPr>
        <w:spacing w:after="0" w:line="360" w:lineRule="auto"/>
      </w:pPr>
      <w:r w:rsidRPr="00322B1B">
        <w:t xml:space="preserve">De esta manera, </w:t>
      </w:r>
      <w:r w:rsidRPr="00322B1B">
        <w:rPr>
          <w:lang w:val="es-ES"/>
        </w:rPr>
        <w:t xml:space="preserve">el derecho de acceso a la información pública se satisface en aquellos casos en que se entregue el soporte documental en el que conste la información solicitada, sin necesidad de elaborar documentos </w:t>
      </w:r>
      <w:r w:rsidRPr="00322B1B">
        <w:rPr>
          <w:i/>
        </w:rPr>
        <w:t>ad hoc</w:t>
      </w:r>
      <w:r w:rsidRPr="00322B1B">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105FCA7" w14:textId="77777777" w:rsidR="00292ABF" w:rsidRPr="00322B1B" w:rsidRDefault="00292ABF" w:rsidP="00292ABF">
      <w:pPr>
        <w:spacing w:after="0" w:line="360" w:lineRule="auto"/>
      </w:pPr>
    </w:p>
    <w:p w14:paraId="23A3F586" w14:textId="2A95D704" w:rsidR="0018234A" w:rsidRPr="00322B1B" w:rsidRDefault="00292ABF" w:rsidP="0018234A">
      <w:pPr>
        <w:spacing w:after="0" w:line="360" w:lineRule="auto"/>
        <w:rPr>
          <w:rFonts w:eastAsia="Times New Roman" w:cs="Tahoma"/>
          <w:b/>
          <w:bCs/>
          <w:color w:val="auto"/>
          <w:lang w:eastAsia="es-ES"/>
        </w:rPr>
      </w:pPr>
      <w:r w:rsidRPr="00322B1B">
        <w:rPr>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entregó el documento que da cuenta de lo peticionado, </w:t>
      </w:r>
      <w:r w:rsidR="0018234A" w:rsidRPr="00322B1B">
        <w:rPr>
          <w:rFonts w:eastAsia="Times New Roman" w:cs="Tahoma"/>
          <w:color w:val="auto"/>
          <w:lang w:eastAsia="es-ES"/>
        </w:rPr>
        <w:t>por lo que,</w:t>
      </w:r>
      <w:r w:rsidR="0018234A" w:rsidRPr="00322B1B">
        <w:rPr>
          <w:rFonts w:eastAsia="Times New Roman" w:cs="Tahoma"/>
          <w:bCs/>
          <w:color w:val="auto"/>
          <w:lang w:eastAsia="es-ES"/>
        </w:rPr>
        <w:t xml:space="preserve"> </w:t>
      </w:r>
      <w:r w:rsidR="0018234A" w:rsidRPr="00322B1B">
        <w:rPr>
          <w:rFonts w:eastAsia="Times New Roman" w:cs="Tahoma"/>
          <w:b/>
          <w:bCs/>
          <w:color w:val="auto"/>
          <w:lang w:eastAsia="es-ES"/>
        </w:rPr>
        <w:t>se considera que la impugnación que se dirime ha quedado sin materia.</w:t>
      </w:r>
    </w:p>
    <w:p w14:paraId="2E02A1E5" w14:textId="77777777" w:rsidR="00B50E48" w:rsidRPr="00322B1B" w:rsidRDefault="00B50E48" w:rsidP="0062674E">
      <w:pPr>
        <w:spacing w:after="0" w:line="360" w:lineRule="auto"/>
        <w:rPr>
          <w:rFonts w:eastAsia="Times New Roman" w:cs="Tahoma"/>
          <w:b/>
          <w:bCs/>
          <w:color w:val="auto"/>
          <w:lang w:eastAsia="es-ES"/>
        </w:rPr>
      </w:pPr>
    </w:p>
    <w:p w14:paraId="75BEFE69" w14:textId="77777777" w:rsidR="00B50E48" w:rsidRPr="00322B1B" w:rsidRDefault="00B50E48" w:rsidP="00B50E48">
      <w:pPr>
        <w:spacing w:after="0" w:line="360" w:lineRule="auto"/>
        <w:rPr>
          <w:rFonts w:eastAsia="Calibri" w:cs="Tahoma"/>
          <w:b/>
          <w:bCs/>
          <w:lang w:val="es-ES"/>
        </w:rPr>
      </w:pPr>
      <w:r w:rsidRPr="00322B1B">
        <w:rPr>
          <w:rFonts w:eastAsia="Calibri" w:cs="Tahoma"/>
          <w:b/>
          <w:bCs/>
          <w:lang w:val="es-ES"/>
        </w:rPr>
        <w:t xml:space="preserve">CUARTO. Decisión. </w:t>
      </w:r>
    </w:p>
    <w:p w14:paraId="3B330592" w14:textId="77777777" w:rsidR="00B50E48" w:rsidRPr="00322B1B" w:rsidRDefault="00B50E48" w:rsidP="00B50E48">
      <w:pPr>
        <w:spacing w:after="0" w:line="360" w:lineRule="auto"/>
        <w:rPr>
          <w:rFonts w:eastAsia="Calibri" w:cs="Tahoma"/>
          <w:b/>
          <w:bCs/>
          <w:lang w:val="es-ES"/>
        </w:rPr>
      </w:pPr>
    </w:p>
    <w:p w14:paraId="2F697C98" w14:textId="77777777" w:rsidR="00B50E48" w:rsidRPr="00322B1B" w:rsidRDefault="00B50E48" w:rsidP="00B50E48">
      <w:pPr>
        <w:spacing w:after="0" w:line="360" w:lineRule="auto"/>
        <w:rPr>
          <w:rFonts w:eastAsia="Calibri" w:cs="Tahoma"/>
          <w:bCs/>
          <w:lang w:val="es-ES"/>
        </w:rPr>
      </w:pPr>
      <w:r w:rsidRPr="00322B1B">
        <w:rPr>
          <w:rFonts w:eastAsia="Calibri" w:cs="Tahoma"/>
          <w:bCs/>
          <w:lang w:val="es-ES"/>
        </w:rPr>
        <w:t xml:space="preserve">Con fundamento en lo dispuesto en el artículo 186, fracción I de la Ley de Transparencia y Acceso a la Información Pública del Estado de México y Municipios, se considera procedente </w:t>
      </w:r>
      <w:r w:rsidRPr="00322B1B">
        <w:rPr>
          <w:rFonts w:eastAsia="Calibri" w:cs="Tahoma"/>
          <w:b/>
          <w:bCs/>
          <w:lang w:val="es-ES"/>
        </w:rPr>
        <w:lastRenderedPageBreak/>
        <w:t xml:space="preserve">SOBRESEER </w:t>
      </w:r>
      <w:r w:rsidRPr="00322B1B">
        <w:rPr>
          <w:rFonts w:eastAsia="Calibri" w:cs="Tahoma"/>
          <w:bCs/>
          <w:lang w:val="es-ES"/>
        </w:rPr>
        <w:t>el Recurso de Revisión, en virtud de que se actualiza la hipótesis normativa prevista en la fracción III, del artículo 192, del citado ordenamiento legal.</w:t>
      </w:r>
    </w:p>
    <w:p w14:paraId="7CDDA2CA" w14:textId="77777777" w:rsidR="00B50E48" w:rsidRPr="00322B1B" w:rsidRDefault="00B50E48" w:rsidP="00B50E48">
      <w:pPr>
        <w:spacing w:after="0" w:line="360" w:lineRule="auto"/>
        <w:rPr>
          <w:rFonts w:eastAsia="Calibri" w:cs="Tahoma"/>
          <w:bCs/>
          <w:lang w:val="es-ES"/>
        </w:rPr>
      </w:pPr>
    </w:p>
    <w:p w14:paraId="5DBB1BD6" w14:textId="77777777" w:rsidR="00B50E48" w:rsidRPr="00322B1B" w:rsidRDefault="00B50E48" w:rsidP="00B50E48">
      <w:pPr>
        <w:spacing w:after="0" w:line="360" w:lineRule="auto"/>
        <w:rPr>
          <w:rFonts w:eastAsia="Calibri" w:cs="Tahoma"/>
          <w:b/>
          <w:bCs/>
          <w:iCs/>
        </w:rPr>
      </w:pPr>
      <w:r w:rsidRPr="00322B1B">
        <w:rPr>
          <w:rFonts w:eastAsia="Calibri" w:cs="Tahoma"/>
          <w:b/>
          <w:bCs/>
          <w:iCs/>
        </w:rPr>
        <w:t>Términos de la Resolución para conocimiento del Particular.</w:t>
      </w:r>
    </w:p>
    <w:p w14:paraId="6E27D5B4" w14:textId="77777777" w:rsidR="00B50E48" w:rsidRPr="00322B1B" w:rsidRDefault="00B50E48" w:rsidP="00B50E48">
      <w:pPr>
        <w:spacing w:after="0" w:line="360" w:lineRule="auto"/>
        <w:rPr>
          <w:rFonts w:eastAsia="Calibri" w:cs="Tahoma"/>
          <w:b/>
          <w:bCs/>
          <w:iCs/>
        </w:rPr>
      </w:pPr>
    </w:p>
    <w:p w14:paraId="372280EA" w14:textId="020F2939" w:rsidR="00B06B2C" w:rsidRPr="00322B1B" w:rsidRDefault="00B50E48" w:rsidP="00B50E48">
      <w:pPr>
        <w:spacing w:after="0" w:line="360" w:lineRule="auto"/>
        <w:rPr>
          <w:rFonts w:eastAsia="Calibri" w:cs="Tahoma"/>
          <w:bCs/>
          <w:iCs/>
          <w:lang w:val="es-ES"/>
        </w:rPr>
      </w:pPr>
      <w:r w:rsidRPr="00322B1B">
        <w:rPr>
          <w:rFonts w:eastAsia="Calibri" w:cs="Tahoma"/>
          <w:bCs/>
          <w:iCs/>
          <w:lang w:val="es-ES"/>
        </w:rPr>
        <w:t xml:space="preserve">Se le hace del conocimiento del Particular, que, si bien en un principio se le daba la razón, pues el Sujeto Obligado no </w:t>
      </w:r>
      <w:r w:rsidR="00B06B2C" w:rsidRPr="00322B1B">
        <w:rPr>
          <w:rFonts w:eastAsia="Calibri" w:cs="Tahoma"/>
          <w:bCs/>
          <w:iCs/>
          <w:lang w:val="es-ES"/>
        </w:rPr>
        <w:t>entregó en su totalidad la información</w:t>
      </w:r>
      <w:r w:rsidRPr="00322B1B">
        <w:rPr>
          <w:rFonts w:eastAsia="Calibri" w:cs="Tahoma"/>
          <w:bCs/>
          <w:iCs/>
          <w:lang w:val="es-ES"/>
        </w:rPr>
        <w:t xml:space="preserve"> con su respuesta, lo cierto es que mediante su Informe Justificado </w:t>
      </w:r>
      <w:r w:rsidR="00B06B2C" w:rsidRPr="00322B1B">
        <w:rPr>
          <w:rFonts w:eastAsia="Calibri" w:cs="Tahoma"/>
          <w:bCs/>
          <w:iCs/>
          <w:lang w:val="es-ES"/>
        </w:rPr>
        <w:t>entregó los nombres de los integrantes del Comité de Obra Pública.</w:t>
      </w:r>
    </w:p>
    <w:p w14:paraId="3582C948" w14:textId="77777777" w:rsidR="00B50E48" w:rsidRPr="00322B1B" w:rsidRDefault="00B50E48" w:rsidP="00B50E48">
      <w:pPr>
        <w:spacing w:after="0" w:line="360" w:lineRule="auto"/>
        <w:rPr>
          <w:rFonts w:eastAsia="Calibri" w:cs="Tahoma"/>
          <w:bCs/>
          <w:iCs/>
          <w:lang w:val="es-ES"/>
        </w:rPr>
      </w:pPr>
    </w:p>
    <w:p w14:paraId="7570B1E9" w14:textId="086C1D66" w:rsidR="00B50E48" w:rsidRPr="00322B1B" w:rsidRDefault="00B50E48" w:rsidP="00B50E48">
      <w:pPr>
        <w:spacing w:after="0" w:line="360" w:lineRule="auto"/>
        <w:rPr>
          <w:rFonts w:eastAsia="Calibri" w:cs="Tahoma"/>
          <w:bCs/>
          <w:iCs/>
          <w:lang w:val="es-ES"/>
        </w:rPr>
      </w:pPr>
      <w:r w:rsidRPr="00322B1B">
        <w:rPr>
          <w:rFonts w:eastAsia="Calibri" w:cs="Tahoma"/>
          <w:bCs/>
          <w:iCs/>
          <w:lang w:val="es-ES"/>
        </w:rPr>
        <w:t xml:space="preserve">Finalmente, se le informa que </w:t>
      </w:r>
      <w:r w:rsidRPr="00322B1B">
        <w:rPr>
          <w:rFonts w:eastAsia="Calibri" w:cs="Tahoma"/>
          <w:bCs/>
          <w:iCs/>
          <w:lang w:val="es-ES_tradnl"/>
        </w:rPr>
        <w:t>la labor del Instituto de Transparencia, Acceso a la Información Pública y Protección de Datos Personales del Estado de México y Municipios, por una parte, es apoyar a la población a acceder a la información pública y, por otra parte, es garantizar la protección de los datos personales.</w:t>
      </w:r>
    </w:p>
    <w:p w14:paraId="7F6620EA" w14:textId="77777777" w:rsidR="00B50E48" w:rsidRPr="00322B1B" w:rsidRDefault="00B50E48" w:rsidP="00B50E48">
      <w:pPr>
        <w:spacing w:after="0" w:line="360" w:lineRule="auto"/>
        <w:rPr>
          <w:rFonts w:eastAsia="Calibri" w:cs="Tahoma"/>
          <w:bCs/>
          <w:lang w:val="es-ES"/>
        </w:rPr>
      </w:pPr>
    </w:p>
    <w:p w14:paraId="0C09B928" w14:textId="77777777" w:rsidR="00B50E48" w:rsidRPr="00322B1B" w:rsidRDefault="00B50E48" w:rsidP="00B50E48">
      <w:pPr>
        <w:spacing w:after="0" w:line="360" w:lineRule="auto"/>
        <w:rPr>
          <w:rFonts w:eastAsia="Calibri" w:cs="Tahoma"/>
          <w:bCs/>
        </w:rPr>
      </w:pPr>
      <w:r w:rsidRPr="00322B1B">
        <w:rPr>
          <w:rFonts w:eastAsia="Calibri" w:cs="Tahoma"/>
          <w:bCs/>
        </w:rPr>
        <w:t>Por lo expuesto y fundado, este Pleno:</w:t>
      </w:r>
    </w:p>
    <w:p w14:paraId="25B9D4B9" w14:textId="77777777" w:rsidR="0062674E" w:rsidRPr="00322B1B" w:rsidRDefault="0062674E" w:rsidP="001C2C89">
      <w:pPr>
        <w:spacing w:after="0" w:line="360" w:lineRule="auto"/>
        <w:ind w:right="-28"/>
        <w:contextualSpacing/>
        <w:rPr>
          <w:rFonts w:eastAsia="Times New Roman" w:cs="Tahoma"/>
          <w:color w:val="auto"/>
          <w:lang w:eastAsia="es-ES"/>
        </w:rPr>
      </w:pPr>
    </w:p>
    <w:p w14:paraId="4356BA1E" w14:textId="77777777" w:rsidR="001C2C89" w:rsidRPr="00322B1B" w:rsidRDefault="001C2C89" w:rsidP="001C2C89">
      <w:pPr>
        <w:spacing w:after="0" w:line="360" w:lineRule="auto"/>
        <w:ind w:right="-91"/>
        <w:jc w:val="center"/>
        <w:rPr>
          <w:rFonts w:eastAsia="Calibri" w:cs="Tahoma"/>
          <w:b/>
          <w:bCs/>
          <w:color w:val="auto"/>
        </w:rPr>
      </w:pPr>
      <w:r w:rsidRPr="00322B1B">
        <w:rPr>
          <w:rFonts w:eastAsia="Calibri" w:cs="Tahoma"/>
          <w:b/>
          <w:bCs/>
          <w:color w:val="auto"/>
        </w:rPr>
        <w:t>R E S U E L V E:</w:t>
      </w:r>
    </w:p>
    <w:p w14:paraId="36B09318" w14:textId="77777777" w:rsidR="00B50E48" w:rsidRPr="00322B1B" w:rsidRDefault="00B50E48" w:rsidP="001C2C89">
      <w:pPr>
        <w:spacing w:after="0" w:line="360" w:lineRule="auto"/>
        <w:ind w:right="-91"/>
        <w:jc w:val="center"/>
        <w:rPr>
          <w:rFonts w:eastAsia="Calibri" w:cs="Tahoma"/>
          <w:b/>
          <w:bCs/>
          <w:color w:val="auto"/>
        </w:rPr>
      </w:pPr>
    </w:p>
    <w:p w14:paraId="7EE3421D" w14:textId="2D3FC222" w:rsidR="00B50E48" w:rsidRPr="00322B1B" w:rsidRDefault="00B50E48" w:rsidP="00B50E48">
      <w:pPr>
        <w:spacing w:after="0" w:line="360" w:lineRule="auto"/>
        <w:rPr>
          <w:rFonts w:eastAsia="Calibri" w:cs="Tahoma"/>
          <w:b/>
          <w:bCs/>
          <w:iCs/>
        </w:rPr>
      </w:pPr>
      <w:r w:rsidRPr="00322B1B">
        <w:rPr>
          <w:rFonts w:eastAsia="Calibri" w:cs="Tahoma"/>
          <w:b/>
          <w:bCs/>
          <w:iCs/>
        </w:rPr>
        <w:t xml:space="preserve">PRIMERO. </w:t>
      </w:r>
      <w:r w:rsidRPr="00322B1B">
        <w:rPr>
          <w:rFonts w:eastAsia="Calibri" w:cs="Tahoma"/>
          <w:bCs/>
          <w:iCs/>
        </w:rPr>
        <w:t xml:space="preserve">Se </w:t>
      </w:r>
      <w:r w:rsidRPr="00322B1B">
        <w:rPr>
          <w:rFonts w:eastAsia="Calibri" w:cs="Tahoma"/>
          <w:b/>
          <w:bCs/>
          <w:iCs/>
        </w:rPr>
        <w:t xml:space="preserve">SOBRESEE </w:t>
      </w:r>
      <w:r w:rsidRPr="00322B1B">
        <w:rPr>
          <w:rFonts w:eastAsia="Calibri" w:cs="Tahoma"/>
          <w:bCs/>
          <w:iCs/>
        </w:rPr>
        <w:t>el Recurso de Revisión con número</w:t>
      </w:r>
      <w:r w:rsidRPr="00322B1B">
        <w:rPr>
          <w:rFonts w:eastAsia="Calibri" w:cs="Tahoma"/>
          <w:b/>
          <w:bCs/>
          <w:iCs/>
        </w:rPr>
        <w:t xml:space="preserve"> </w:t>
      </w:r>
      <w:r w:rsidRPr="00322B1B">
        <w:rPr>
          <w:rFonts w:eastAsia="Calibri" w:cs="Tahoma"/>
          <w:b/>
        </w:rPr>
        <w:t>0</w:t>
      </w:r>
      <w:r w:rsidR="00B06B2C" w:rsidRPr="00322B1B">
        <w:rPr>
          <w:rFonts w:eastAsia="Calibri" w:cs="Tahoma"/>
          <w:b/>
        </w:rPr>
        <w:t>2406</w:t>
      </w:r>
      <w:r w:rsidRPr="00322B1B">
        <w:rPr>
          <w:rFonts w:eastAsia="Calibri" w:cs="Tahoma"/>
          <w:b/>
        </w:rPr>
        <w:t>/INFOEM/IP/RR/2023</w:t>
      </w:r>
      <w:r w:rsidRPr="00322B1B">
        <w:rPr>
          <w:rFonts w:eastAsia="Calibri" w:cs="Tahoma"/>
          <w:bCs/>
          <w:iCs/>
        </w:rPr>
        <w:t>,</w:t>
      </w:r>
      <w:r w:rsidRPr="00322B1B">
        <w:rPr>
          <w:rFonts w:eastAsia="Calibri" w:cs="Tahoma"/>
          <w:bCs/>
          <w:iCs/>
          <w:color w:val="auto"/>
        </w:rPr>
        <w:t xml:space="preserve"> </w:t>
      </w:r>
      <w:r w:rsidRPr="00322B1B">
        <w:rPr>
          <w:rFonts w:eastAsia="Calibri" w:cs="Tahoma"/>
          <w:bCs/>
          <w:iCs/>
          <w:color w:val="auto"/>
          <w:lang w:val="es-ES"/>
        </w:rPr>
        <w:t>en términos del artículo 192, fracción III, de la Ley de Transparencia y Acceso a la Información Pública del Estado de México y Municipios</w:t>
      </w:r>
      <w:r w:rsidRPr="00322B1B">
        <w:rPr>
          <w:rFonts w:cs="Arial"/>
          <w:bCs/>
          <w:color w:val="000000"/>
          <w:lang w:val="es-ES"/>
        </w:rPr>
        <w:t xml:space="preserve">, </w:t>
      </w:r>
      <w:r w:rsidRPr="00322B1B">
        <w:rPr>
          <w:rFonts w:cs="Tahoma"/>
          <w:bCs/>
          <w:iCs/>
          <w:szCs w:val="24"/>
          <w:lang w:val="es-ES_tradnl"/>
        </w:rPr>
        <w:t>porque el Sujeto Obligado al modificar la respuesta de la solicitud de acceso a la información con número de folio</w:t>
      </w:r>
      <w:r w:rsidRPr="00322B1B">
        <w:rPr>
          <w:rFonts w:eastAsia="Calibri" w:cs="Tahoma"/>
          <w:bCs/>
          <w:iCs/>
        </w:rPr>
        <w:t xml:space="preserve"> </w:t>
      </w:r>
      <w:r w:rsidRPr="00322B1B">
        <w:t>00</w:t>
      </w:r>
      <w:r w:rsidR="00B06B2C" w:rsidRPr="00322B1B">
        <w:t>286</w:t>
      </w:r>
      <w:r w:rsidRPr="00322B1B">
        <w:t>/</w:t>
      </w:r>
      <w:r w:rsidR="00B06B2C" w:rsidRPr="00322B1B">
        <w:t>METEPEC</w:t>
      </w:r>
      <w:r w:rsidRPr="00322B1B">
        <w:t>/IP/2023</w:t>
      </w:r>
      <w:r w:rsidRPr="00322B1B">
        <w:rPr>
          <w:rFonts w:eastAsia="Calibri" w:cs="Tahoma"/>
          <w:bCs/>
          <w:iCs/>
        </w:rPr>
        <w:t>, el Medio de Impugnación, quedó sin materia, en términos de los Considerandos</w:t>
      </w:r>
      <w:r w:rsidRPr="00322B1B">
        <w:rPr>
          <w:rFonts w:eastAsia="Calibri" w:cs="Tahoma"/>
          <w:b/>
          <w:bCs/>
          <w:iCs/>
        </w:rPr>
        <w:t xml:space="preserve"> </w:t>
      </w:r>
      <w:r w:rsidRPr="00322B1B">
        <w:rPr>
          <w:rFonts w:eastAsia="Calibri" w:cs="Tahoma"/>
          <w:bCs/>
          <w:iCs/>
        </w:rPr>
        <w:t>TERCERO y CUARTO</w:t>
      </w:r>
      <w:r w:rsidRPr="00322B1B">
        <w:rPr>
          <w:rFonts w:eastAsia="Calibri" w:cs="Tahoma"/>
          <w:b/>
          <w:bCs/>
          <w:iCs/>
        </w:rPr>
        <w:t xml:space="preserve"> </w:t>
      </w:r>
      <w:r w:rsidRPr="00322B1B">
        <w:rPr>
          <w:rFonts w:eastAsia="Calibri" w:cs="Tahoma"/>
          <w:bCs/>
          <w:iCs/>
        </w:rPr>
        <w:t>de la presente Resolución.</w:t>
      </w:r>
    </w:p>
    <w:p w14:paraId="6F6C4FE3" w14:textId="77777777" w:rsidR="00B50E48" w:rsidRPr="00322B1B" w:rsidRDefault="00B50E48" w:rsidP="00B50E48">
      <w:pPr>
        <w:spacing w:after="0" w:line="360" w:lineRule="auto"/>
        <w:rPr>
          <w:rFonts w:eastAsia="Calibri" w:cs="Tahoma"/>
          <w:b/>
          <w:bCs/>
          <w:iCs/>
        </w:rPr>
      </w:pPr>
    </w:p>
    <w:p w14:paraId="2941B353" w14:textId="77777777" w:rsidR="00B50E48" w:rsidRPr="00322B1B" w:rsidRDefault="00B50E48" w:rsidP="00B50E48">
      <w:pPr>
        <w:spacing w:after="0" w:line="360" w:lineRule="auto"/>
        <w:rPr>
          <w:rFonts w:eastAsia="Calibri" w:cs="Tahoma"/>
          <w:b/>
          <w:bCs/>
          <w:iCs/>
        </w:rPr>
      </w:pPr>
      <w:r w:rsidRPr="00322B1B">
        <w:rPr>
          <w:rFonts w:eastAsia="Calibri" w:cs="Tahoma"/>
          <w:b/>
          <w:bCs/>
          <w:iCs/>
        </w:rPr>
        <w:lastRenderedPageBreak/>
        <w:t xml:space="preserve">SEGUNDO. NOTIFÍQUESE </w:t>
      </w:r>
      <w:r w:rsidRPr="00322B1B">
        <w:rPr>
          <w:rFonts w:eastAsia="Calibri" w:cs="Tahoma"/>
          <w:bCs/>
          <w:iCs/>
        </w:rPr>
        <w:t>la presente Resolución al Titular de la Unidad de Transparencia del Sujeto Obligado.</w:t>
      </w:r>
    </w:p>
    <w:p w14:paraId="5889345E" w14:textId="77777777" w:rsidR="00B50E48" w:rsidRPr="00322B1B" w:rsidRDefault="00B50E48" w:rsidP="00B50E48">
      <w:pPr>
        <w:spacing w:after="0" w:line="360" w:lineRule="auto"/>
        <w:rPr>
          <w:rFonts w:eastAsia="Calibri" w:cs="Tahoma"/>
          <w:b/>
          <w:bCs/>
          <w:i/>
          <w:iCs/>
        </w:rPr>
      </w:pPr>
    </w:p>
    <w:p w14:paraId="22AAE35A" w14:textId="77777777" w:rsidR="00B50E48" w:rsidRPr="00322B1B" w:rsidRDefault="00B50E48" w:rsidP="00B50E48">
      <w:pPr>
        <w:spacing w:after="0" w:line="360" w:lineRule="auto"/>
        <w:rPr>
          <w:rFonts w:eastAsia="Calibri" w:cs="Tahoma"/>
          <w:b/>
          <w:bCs/>
          <w:iCs/>
        </w:rPr>
      </w:pPr>
      <w:r w:rsidRPr="00322B1B">
        <w:rPr>
          <w:rFonts w:eastAsia="Calibri" w:cs="Tahoma"/>
          <w:b/>
          <w:bCs/>
          <w:iCs/>
        </w:rPr>
        <w:t xml:space="preserve">TERCERO. NOTIFÍQUESE </w:t>
      </w:r>
      <w:r w:rsidRPr="00322B1B">
        <w:rPr>
          <w:rFonts w:eastAsia="Calibri" w:cs="Tahoma"/>
          <w:bCs/>
          <w:iC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BFF705B" w14:textId="77777777" w:rsidR="00B50E48" w:rsidRPr="00322B1B" w:rsidRDefault="00B50E48" w:rsidP="00296435">
      <w:pPr>
        <w:spacing w:after="0" w:line="360" w:lineRule="auto"/>
        <w:rPr>
          <w:rFonts w:eastAsia="Calibri" w:cs="Tahoma"/>
          <w:bCs/>
        </w:rPr>
      </w:pPr>
    </w:p>
    <w:p w14:paraId="5D95AB28" w14:textId="5C3E3BD2" w:rsidR="00296435" w:rsidRPr="00446963" w:rsidRDefault="00296435" w:rsidP="00296435">
      <w:pPr>
        <w:spacing w:after="0" w:line="360" w:lineRule="auto"/>
        <w:rPr>
          <w:rFonts w:cs="Arial"/>
        </w:rPr>
      </w:pPr>
      <w:r w:rsidRPr="00322B1B">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06B2C" w:rsidRPr="00322B1B">
        <w:t>VIGÉSIMA</w:t>
      </w:r>
      <w:r w:rsidRPr="00322B1B">
        <w:t xml:space="preserve"> SESIÓN ORDINARIA CELEBRADA EL </w:t>
      </w:r>
      <w:r w:rsidR="00B06B2C" w:rsidRPr="00322B1B">
        <w:t>TREINTA Y UNO</w:t>
      </w:r>
      <w:r w:rsidRPr="00322B1B">
        <w:t xml:space="preserve"> DE MAYO DE DOS MIL VEINTITRÉS, ANTE EL SECRETARIO TÉCNICO DEL PLENO, ALEXIS TAPIA RAMÍREZ.</w:t>
      </w:r>
      <w:bookmarkStart w:id="1" w:name="_GoBack"/>
      <w:bookmarkEnd w:id="1"/>
    </w:p>
    <w:p w14:paraId="6CA7A00C" w14:textId="77777777" w:rsidR="001C2C89" w:rsidRDefault="001C2C89" w:rsidP="001C2C89">
      <w:pPr>
        <w:spacing w:after="0" w:line="360" w:lineRule="auto"/>
      </w:pPr>
      <w:r>
        <w:br w:type="page"/>
      </w:r>
    </w:p>
    <w:p w14:paraId="4781B35B" w14:textId="77777777" w:rsidR="00CE7148" w:rsidRDefault="00CE7148"/>
    <w:sectPr w:rsidR="00CE7148" w:rsidSect="00DE7653">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78B6D" w14:textId="77777777" w:rsidR="00B04521" w:rsidRDefault="00B04521" w:rsidP="001C2C89">
      <w:pPr>
        <w:spacing w:after="0" w:line="240" w:lineRule="auto"/>
      </w:pPr>
      <w:r>
        <w:separator/>
      </w:r>
    </w:p>
  </w:endnote>
  <w:endnote w:type="continuationSeparator" w:id="0">
    <w:p w14:paraId="0B0AD8B2" w14:textId="77777777" w:rsidR="00B04521" w:rsidRDefault="00B04521" w:rsidP="001C2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3F40A16A" w14:textId="77777777" w:rsidR="00DE7653" w:rsidRDefault="00DE765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2D7D2352" w14:textId="77777777" w:rsidR="00DE7653" w:rsidRDefault="00DE76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3BE791C" w14:textId="77777777" w:rsidR="00DE7653" w:rsidRDefault="00DE765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2B1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2B1B">
              <w:rPr>
                <w:b/>
                <w:bCs/>
                <w:noProof/>
              </w:rPr>
              <w:t>18</w:t>
            </w:r>
            <w:r>
              <w:rPr>
                <w:b/>
                <w:bCs/>
                <w:sz w:val="24"/>
                <w:szCs w:val="24"/>
              </w:rPr>
              <w:fldChar w:fldCharType="end"/>
            </w:r>
          </w:p>
        </w:sdtContent>
      </w:sdt>
    </w:sdtContent>
  </w:sdt>
  <w:p w14:paraId="1D391000" w14:textId="77777777" w:rsidR="00DE7653" w:rsidRDefault="00DE765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20644BB" w14:textId="77777777" w:rsidR="00DE7653" w:rsidRDefault="00DE765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2B1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2B1B">
              <w:rPr>
                <w:b/>
                <w:bCs/>
                <w:noProof/>
              </w:rPr>
              <w:t>18</w:t>
            </w:r>
            <w:r>
              <w:rPr>
                <w:b/>
                <w:bCs/>
                <w:sz w:val="24"/>
                <w:szCs w:val="24"/>
              </w:rPr>
              <w:fldChar w:fldCharType="end"/>
            </w:r>
          </w:p>
        </w:sdtContent>
      </w:sdt>
    </w:sdtContent>
  </w:sdt>
  <w:p w14:paraId="258791E7" w14:textId="77777777" w:rsidR="00DE7653" w:rsidRDefault="00DE76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DDBF5" w14:textId="77777777" w:rsidR="00B04521" w:rsidRDefault="00B04521" w:rsidP="001C2C89">
      <w:pPr>
        <w:spacing w:after="0" w:line="240" w:lineRule="auto"/>
      </w:pPr>
      <w:r>
        <w:separator/>
      </w:r>
    </w:p>
  </w:footnote>
  <w:footnote w:type="continuationSeparator" w:id="0">
    <w:p w14:paraId="544712C0" w14:textId="77777777" w:rsidR="00B04521" w:rsidRDefault="00B04521" w:rsidP="001C2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DE7653" w:rsidRPr="00E152D8" w14:paraId="31E9DAC9" w14:textId="77777777" w:rsidTr="00DE7653">
      <w:trPr>
        <w:trHeight w:val="132"/>
      </w:trPr>
      <w:tc>
        <w:tcPr>
          <w:tcW w:w="2691" w:type="dxa"/>
        </w:tcPr>
        <w:p w14:paraId="7780F0D4" w14:textId="77777777" w:rsidR="00DE7653" w:rsidRPr="00E152D8" w:rsidRDefault="00DE7653" w:rsidP="00DE76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8A3E08A" w14:textId="77777777" w:rsidR="00DE7653" w:rsidRPr="00EE1572" w:rsidRDefault="00DE7653" w:rsidP="00DE7653">
          <w:pPr>
            <w:tabs>
              <w:tab w:val="right" w:pos="8838"/>
            </w:tabs>
            <w:ind w:left="-28" w:right="-32"/>
            <w:rPr>
              <w:rFonts w:eastAsia="Calibri" w:cs="Tahoma"/>
            </w:rPr>
          </w:pPr>
          <w:r w:rsidRPr="00EE1572">
            <w:rPr>
              <w:rFonts w:eastAsia="Calibri" w:cs="Tahoma"/>
            </w:rPr>
            <w:t>03846/INFOEM/IP/RR/2020</w:t>
          </w:r>
        </w:p>
      </w:tc>
    </w:tr>
    <w:tr w:rsidR="00DE7653" w:rsidRPr="00E152D8" w14:paraId="26BD27DA" w14:textId="77777777" w:rsidTr="00DE7653">
      <w:trPr>
        <w:trHeight w:val="261"/>
      </w:trPr>
      <w:tc>
        <w:tcPr>
          <w:tcW w:w="2691" w:type="dxa"/>
        </w:tcPr>
        <w:p w14:paraId="737B23E3" w14:textId="77777777" w:rsidR="00DE7653" w:rsidRPr="00E152D8" w:rsidRDefault="00DE7653" w:rsidP="00DE76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61CB79F" w14:textId="77777777" w:rsidR="00DE7653" w:rsidRPr="00EE1572" w:rsidRDefault="00DE7653" w:rsidP="00DE7653">
          <w:pPr>
            <w:tabs>
              <w:tab w:val="right" w:pos="8838"/>
            </w:tabs>
            <w:ind w:right="-32"/>
            <w:rPr>
              <w:rFonts w:eastAsia="Calibri" w:cs="Tahoma"/>
              <w:lang w:val="es-MX"/>
            </w:rPr>
          </w:pPr>
          <w:r w:rsidRPr="00EE1572">
            <w:rPr>
              <w:rFonts w:eastAsia="Calibri" w:cs="Tahoma"/>
              <w:lang w:val="es-MX"/>
            </w:rPr>
            <w:t>Ayuntamiento de Temascalcingo</w:t>
          </w:r>
        </w:p>
      </w:tc>
    </w:tr>
    <w:tr w:rsidR="00DE7653" w:rsidRPr="00E152D8" w14:paraId="6D8A3494" w14:textId="77777777" w:rsidTr="00DE7653">
      <w:trPr>
        <w:trHeight w:val="261"/>
      </w:trPr>
      <w:tc>
        <w:tcPr>
          <w:tcW w:w="2691" w:type="dxa"/>
        </w:tcPr>
        <w:p w14:paraId="41AEAEE9" w14:textId="77777777" w:rsidR="00DE7653" w:rsidRPr="00E152D8" w:rsidRDefault="00DE7653" w:rsidP="00DE76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6578FCE1" w14:textId="77777777" w:rsidR="00DE7653" w:rsidRPr="00E152D8" w:rsidRDefault="00DE7653" w:rsidP="00DE7653">
          <w:pPr>
            <w:tabs>
              <w:tab w:val="right" w:pos="8838"/>
            </w:tabs>
            <w:ind w:right="-32"/>
            <w:rPr>
              <w:rFonts w:eastAsia="Calibri" w:cs="Tahoma"/>
              <w:b/>
              <w:lang w:val="es-MX"/>
            </w:rPr>
          </w:pPr>
          <w:r w:rsidRPr="00E152D8">
            <w:rPr>
              <w:rFonts w:eastAsia="Calibri" w:cs="Tahoma"/>
              <w:lang w:val="es-MX"/>
            </w:rPr>
            <w:t>Luis Gustavo Parra Noriega</w:t>
          </w:r>
        </w:p>
      </w:tc>
    </w:tr>
  </w:tbl>
  <w:p w14:paraId="6A1000BB" w14:textId="77777777" w:rsidR="00DE7653" w:rsidRDefault="00B04521">
    <w:pPr>
      <w:pStyle w:val="Encabezado"/>
    </w:pPr>
    <w:r>
      <w:rPr>
        <w:noProof/>
      </w:rPr>
      <w:pict w14:anchorId="3F03F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BBD36" w14:textId="57C21BC4" w:rsidR="00DE7653" w:rsidRDefault="00B04521">
    <w:r>
      <w:rPr>
        <w:noProof/>
      </w:rPr>
      <w:pict w14:anchorId="16839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94.35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5386"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976"/>
    </w:tblGrid>
    <w:tr w:rsidR="00DE7653" w:rsidRPr="00E152D8" w14:paraId="3878AA81" w14:textId="77777777" w:rsidTr="00FA0FCF">
      <w:trPr>
        <w:trHeight w:val="138"/>
      </w:trPr>
      <w:tc>
        <w:tcPr>
          <w:tcW w:w="2410" w:type="dxa"/>
          <w:vAlign w:val="center"/>
        </w:tcPr>
        <w:p w14:paraId="267E7D9D" w14:textId="77777777" w:rsidR="00DE7653" w:rsidRPr="00E152D8" w:rsidRDefault="00DE7653" w:rsidP="00DE7653">
          <w:pPr>
            <w:tabs>
              <w:tab w:val="right" w:pos="8838"/>
            </w:tabs>
            <w:ind w:right="-105"/>
            <w:jc w:val="left"/>
            <w:rPr>
              <w:rFonts w:eastAsia="Calibri" w:cs="Tahoma"/>
              <w:b/>
              <w:lang w:val="es-MX"/>
            </w:rPr>
          </w:pPr>
          <w:r w:rsidRPr="00E152D8">
            <w:rPr>
              <w:rFonts w:eastAsia="Calibri" w:cs="Tahoma"/>
              <w:b/>
              <w:lang w:val="es-MX"/>
            </w:rPr>
            <w:t>Recurso de Revisión:</w:t>
          </w:r>
        </w:p>
      </w:tc>
      <w:tc>
        <w:tcPr>
          <w:tcW w:w="2976" w:type="dxa"/>
        </w:tcPr>
        <w:p w14:paraId="5DA5B0B3" w14:textId="0C9EC206" w:rsidR="00DE7653" w:rsidRPr="00051642" w:rsidRDefault="00DE7653" w:rsidP="00DE7653">
          <w:pPr>
            <w:tabs>
              <w:tab w:val="right" w:pos="8838"/>
            </w:tabs>
            <w:ind w:right="-32"/>
            <w:rPr>
              <w:rFonts w:eastAsia="Calibri" w:cs="Tahoma"/>
            </w:rPr>
          </w:pPr>
          <w:r>
            <w:rPr>
              <w:rFonts w:eastAsia="Calibri" w:cs="Tahoma"/>
              <w:lang w:val="es-MX"/>
            </w:rPr>
            <w:t>0</w:t>
          </w:r>
          <w:r w:rsidR="00B821B1">
            <w:rPr>
              <w:rFonts w:eastAsia="Calibri" w:cs="Tahoma"/>
              <w:lang w:val="es-MX"/>
            </w:rPr>
            <w:t>2406</w:t>
          </w:r>
          <w:r>
            <w:rPr>
              <w:rFonts w:eastAsia="Calibri" w:cs="Tahoma"/>
              <w:lang w:val="es-MX"/>
            </w:rPr>
            <w:t>/INFOEM/IP/RR/2023</w:t>
          </w:r>
        </w:p>
      </w:tc>
    </w:tr>
    <w:tr w:rsidR="00DE7653" w:rsidRPr="00E152D8" w14:paraId="3650C0D7" w14:textId="77777777" w:rsidTr="00FA0FCF">
      <w:trPr>
        <w:trHeight w:val="273"/>
      </w:trPr>
      <w:tc>
        <w:tcPr>
          <w:tcW w:w="2410" w:type="dxa"/>
        </w:tcPr>
        <w:p w14:paraId="0831EAC9" w14:textId="77777777" w:rsidR="00DE7653" w:rsidRPr="00E152D8" w:rsidRDefault="00DE7653" w:rsidP="00DE76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6" w:type="dxa"/>
        </w:tcPr>
        <w:p w14:paraId="7E08E547" w14:textId="4398B91B" w:rsidR="00DE7653" w:rsidRPr="00051642" w:rsidRDefault="00DE7653" w:rsidP="00DE7653">
          <w:pPr>
            <w:tabs>
              <w:tab w:val="right" w:pos="8838"/>
            </w:tabs>
            <w:ind w:left="-28" w:right="-32"/>
            <w:rPr>
              <w:rFonts w:eastAsia="Calibri" w:cs="Tahoma"/>
              <w:lang w:val="es-MX"/>
            </w:rPr>
          </w:pPr>
          <w:r>
            <w:rPr>
              <w:rFonts w:eastAsia="Calibri" w:cs="Tahoma"/>
              <w:lang w:val="es-MX"/>
            </w:rPr>
            <w:t xml:space="preserve">Ayuntamiento de </w:t>
          </w:r>
          <w:r w:rsidR="00B821B1">
            <w:rPr>
              <w:rFonts w:eastAsia="Calibri" w:cs="Tahoma"/>
              <w:lang w:val="es-MX"/>
            </w:rPr>
            <w:t>Metepec</w:t>
          </w:r>
        </w:p>
      </w:tc>
    </w:tr>
    <w:tr w:rsidR="00DE7653" w:rsidRPr="00E152D8" w14:paraId="73B229D1" w14:textId="77777777" w:rsidTr="00FA0FCF">
      <w:trPr>
        <w:trHeight w:val="273"/>
      </w:trPr>
      <w:tc>
        <w:tcPr>
          <w:tcW w:w="2410" w:type="dxa"/>
        </w:tcPr>
        <w:p w14:paraId="5302CF3F" w14:textId="77777777" w:rsidR="00DE7653" w:rsidRPr="00E152D8" w:rsidRDefault="00DE7653" w:rsidP="00DE7653">
          <w:pPr>
            <w:tabs>
              <w:tab w:val="right" w:pos="8838"/>
            </w:tabs>
            <w:ind w:right="-105"/>
            <w:rPr>
              <w:rFonts w:eastAsia="Calibri" w:cs="Tahoma"/>
              <w:b/>
              <w:lang w:val="es-MX"/>
            </w:rPr>
          </w:pPr>
          <w:r w:rsidRPr="00E152D8">
            <w:rPr>
              <w:rFonts w:eastAsia="Calibri" w:cs="Tahoma"/>
              <w:b/>
              <w:lang w:val="es-MX"/>
            </w:rPr>
            <w:t>Comisionado Ponente:</w:t>
          </w:r>
        </w:p>
      </w:tc>
      <w:tc>
        <w:tcPr>
          <w:tcW w:w="2976" w:type="dxa"/>
        </w:tcPr>
        <w:p w14:paraId="2DD5873E" w14:textId="77777777" w:rsidR="00DE7653" w:rsidRPr="00E152D8" w:rsidRDefault="00DE7653" w:rsidP="00DE7653">
          <w:pPr>
            <w:tabs>
              <w:tab w:val="right" w:pos="8838"/>
            </w:tabs>
            <w:ind w:left="-28" w:right="-32"/>
            <w:rPr>
              <w:rFonts w:eastAsia="Calibri" w:cs="Tahoma"/>
              <w:b/>
              <w:lang w:val="es-MX"/>
            </w:rPr>
          </w:pPr>
          <w:r w:rsidRPr="00E152D8">
            <w:rPr>
              <w:rFonts w:eastAsia="Calibri" w:cs="Tahoma"/>
              <w:lang w:val="es-MX"/>
            </w:rPr>
            <w:t>Luis Gustavo Parra Noriega</w:t>
          </w:r>
        </w:p>
      </w:tc>
    </w:tr>
  </w:tbl>
  <w:p w14:paraId="14FB1E08" w14:textId="4EA980E1" w:rsidR="00DE7653" w:rsidRDefault="00DE7653" w:rsidP="00DE765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387"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836"/>
    </w:tblGrid>
    <w:tr w:rsidR="00DE7653" w:rsidRPr="00E152D8" w14:paraId="02CE98F3" w14:textId="77777777" w:rsidTr="001C2C89">
      <w:trPr>
        <w:trHeight w:val="132"/>
      </w:trPr>
      <w:tc>
        <w:tcPr>
          <w:tcW w:w="2551" w:type="dxa"/>
        </w:tcPr>
        <w:p w14:paraId="5495495C" w14:textId="77777777" w:rsidR="00DE7653" w:rsidRPr="00E152D8" w:rsidRDefault="00DE7653" w:rsidP="00DE7653">
          <w:pPr>
            <w:tabs>
              <w:tab w:val="right" w:pos="8838"/>
            </w:tabs>
            <w:ind w:right="-105"/>
            <w:rPr>
              <w:rFonts w:eastAsia="Calibri" w:cs="Tahoma"/>
              <w:b/>
              <w:lang w:val="es-MX"/>
            </w:rPr>
          </w:pPr>
          <w:r w:rsidRPr="00E152D8">
            <w:rPr>
              <w:rFonts w:eastAsia="Calibri" w:cs="Tahoma"/>
              <w:b/>
              <w:lang w:val="es-MX"/>
            </w:rPr>
            <w:t>Recurso de Revisión:</w:t>
          </w:r>
        </w:p>
      </w:tc>
      <w:tc>
        <w:tcPr>
          <w:tcW w:w="2836" w:type="dxa"/>
        </w:tcPr>
        <w:p w14:paraId="7E2C4135" w14:textId="49FF4DFF" w:rsidR="00DE7653" w:rsidRPr="00051642" w:rsidRDefault="00DE7653" w:rsidP="00DE7653">
          <w:pPr>
            <w:tabs>
              <w:tab w:val="right" w:pos="8838"/>
            </w:tabs>
            <w:ind w:left="-111" w:right="-32"/>
            <w:rPr>
              <w:rFonts w:eastAsia="Calibri" w:cs="Tahoma"/>
            </w:rPr>
          </w:pPr>
          <w:r>
            <w:rPr>
              <w:rFonts w:eastAsia="Calibri" w:cs="Tahoma"/>
              <w:lang w:val="es-MX"/>
            </w:rPr>
            <w:t>0</w:t>
          </w:r>
          <w:r w:rsidR="00B821B1">
            <w:rPr>
              <w:rFonts w:eastAsia="Calibri" w:cs="Tahoma"/>
              <w:lang w:val="es-MX"/>
            </w:rPr>
            <w:t>2406</w:t>
          </w:r>
          <w:r>
            <w:rPr>
              <w:rFonts w:eastAsia="Calibri" w:cs="Tahoma"/>
              <w:lang w:val="es-MX"/>
            </w:rPr>
            <w:t>/INFOEM/IP/RR/2023</w:t>
          </w:r>
        </w:p>
      </w:tc>
    </w:tr>
    <w:tr w:rsidR="00DE7653" w:rsidRPr="00E152D8" w14:paraId="65F2C92A" w14:textId="77777777" w:rsidTr="001C2C89">
      <w:trPr>
        <w:trHeight w:val="132"/>
      </w:trPr>
      <w:tc>
        <w:tcPr>
          <w:tcW w:w="2551" w:type="dxa"/>
        </w:tcPr>
        <w:p w14:paraId="4ACE5E25" w14:textId="77777777" w:rsidR="00DE7653" w:rsidRPr="00E152D8" w:rsidRDefault="00DE7653" w:rsidP="00DE7653">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836" w:type="dxa"/>
        </w:tcPr>
        <w:p w14:paraId="69FE904D" w14:textId="12904C5D" w:rsidR="00DE7653" w:rsidRPr="00E152D8" w:rsidRDefault="00DE7653" w:rsidP="00DE7653">
          <w:pPr>
            <w:tabs>
              <w:tab w:val="right" w:pos="8838"/>
            </w:tabs>
            <w:ind w:left="-111" w:right="-109"/>
            <w:rPr>
              <w:rFonts w:eastAsia="Calibri" w:cs="Tahoma"/>
              <w:lang w:val="es-MX"/>
            </w:rPr>
          </w:pPr>
        </w:p>
      </w:tc>
    </w:tr>
    <w:tr w:rsidR="00DE7653" w:rsidRPr="00E152D8" w14:paraId="10CA8874" w14:textId="77777777" w:rsidTr="001C2C89">
      <w:trPr>
        <w:trHeight w:val="261"/>
      </w:trPr>
      <w:tc>
        <w:tcPr>
          <w:tcW w:w="2551" w:type="dxa"/>
        </w:tcPr>
        <w:p w14:paraId="2E1C3F61" w14:textId="77777777" w:rsidR="00DE7653" w:rsidRPr="00E152D8" w:rsidRDefault="00DE7653" w:rsidP="00DE76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836" w:type="dxa"/>
        </w:tcPr>
        <w:p w14:paraId="0CB82E07" w14:textId="3EFD8DC0" w:rsidR="00DE7653" w:rsidRPr="00051642" w:rsidRDefault="00DE7653" w:rsidP="00DE7653">
          <w:pPr>
            <w:tabs>
              <w:tab w:val="right" w:pos="8838"/>
            </w:tabs>
            <w:ind w:left="-111" w:right="-32"/>
            <w:rPr>
              <w:rFonts w:eastAsia="Calibri" w:cs="Tahoma"/>
              <w:lang w:val="es-MX"/>
            </w:rPr>
          </w:pPr>
          <w:r>
            <w:rPr>
              <w:rFonts w:eastAsia="Calibri" w:cs="Tahoma"/>
              <w:lang w:val="es-MX"/>
            </w:rPr>
            <w:t xml:space="preserve">Ayuntamiento de </w:t>
          </w:r>
          <w:r w:rsidR="00B821B1">
            <w:rPr>
              <w:rFonts w:eastAsia="Calibri" w:cs="Tahoma"/>
              <w:lang w:val="es-MX"/>
            </w:rPr>
            <w:t>Metepec</w:t>
          </w:r>
        </w:p>
      </w:tc>
    </w:tr>
    <w:tr w:rsidR="00DE7653" w:rsidRPr="00E152D8" w14:paraId="03C98395" w14:textId="77777777" w:rsidTr="001C2C89">
      <w:trPr>
        <w:trHeight w:val="261"/>
      </w:trPr>
      <w:tc>
        <w:tcPr>
          <w:tcW w:w="2551" w:type="dxa"/>
        </w:tcPr>
        <w:p w14:paraId="44E18FAD" w14:textId="77777777" w:rsidR="00DE7653" w:rsidRPr="00E152D8" w:rsidRDefault="00DE7653" w:rsidP="00DE7653">
          <w:pPr>
            <w:tabs>
              <w:tab w:val="right" w:pos="8838"/>
            </w:tabs>
            <w:ind w:right="-105"/>
            <w:rPr>
              <w:rFonts w:eastAsia="Calibri" w:cs="Tahoma"/>
              <w:b/>
              <w:lang w:val="es-MX"/>
            </w:rPr>
          </w:pPr>
          <w:r w:rsidRPr="00E152D8">
            <w:rPr>
              <w:rFonts w:eastAsia="Calibri" w:cs="Tahoma"/>
              <w:b/>
              <w:lang w:val="es-MX"/>
            </w:rPr>
            <w:t>Comisionado Ponente:</w:t>
          </w:r>
        </w:p>
      </w:tc>
      <w:tc>
        <w:tcPr>
          <w:tcW w:w="2836" w:type="dxa"/>
        </w:tcPr>
        <w:p w14:paraId="1C51A8E8" w14:textId="77777777" w:rsidR="00DE7653" w:rsidRPr="00E152D8" w:rsidRDefault="00DE7653" w:rsidP="00DE7653">
          <w:pPr>
            <w:tabs>
              <w:tab w:val="right" w:pos="8838"/>
            </w:tabs>
            <w:ind w:left="-111" w:right="-32"/>
            <w:rPr>
              <w:rFonts w:eastAsia="Calibri" w:cs="Tahoma"/>
              <w:b/>
              <w:lang w:val="es-MX"/>
            </w:rPr>
          </w:pPr>
          <w:r w:rsidRPr="00E152D8">
            <w:rPr>
              <w:rFonts w:eastAsia="Calibri" w:cs="Tahoma"/>
              <w:lang w:val="es-MX"/>
            </w:rPr>
            <w:t>Luis Gustavo Parra Noriega</w:t>
          </w:r>
        </w:p>
      </w:tc>
    </w:tr>
  </w:tbl>
  <w:p w14:paraId="64C9A08D" w14:textId="77777777" w:rsidR="00DE7653" w:rsidRDefault="00B04521" w:rsidP="00DE7653">
    <w:pPr>
      <w:pStyle w:val="Encabezado"/>
      <w:tabs>
        <w:tab w:val="left" w:pos="5812"/>
      </w:tabs>
    </w:pPr>
    <w:r>
      <w:rPr>
        <w:noProof/>
      </w:rPr>
      <w:pict w14:anchorId="50FCA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89.1pt;margin-top:-12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30385"/>
    <w:multiLevelType w:val="hybridMultilevel"/>
    <w:tmpl w:val="4986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347DB"/>
    <w:multiLevelType w:val="hybridMultilevel"/>
    <w:tmpl w:val="8DEADDAA"/>
    <w:lvl w:ilvl="0" w:tplc="0DEEC8B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7A67EF"/>
    <w:multiLevelType w:val="hybridMultilevel"/>
    <w:tmpl w:val="0418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FF4E7A"/>
    <w:multiLevelType w:val="hybridMultilevel"/>
    <w:tmpl w:val="54B4CD6C"/>
    <w:lvl w:ilvl="0" w:tplc="E600225A">
      <w:start w:val="3"/>
      <w:numFmt w:val="bullet"/>
      <w:lvlText w:val="-"/>
      <w:lvlJc w:val="left"/>
      <w:pPr>
        <w:ind w:left="1068" w:hanging="360"/>
      </w:pPr>
      <w:rPr>
        <w:rFonts w:ascii="Palatino Linotype" w:eastAsia="Times New Roman" w:hAnsi="Palatino Linotype" w:cs="Tahoma"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4B845734"/>
    <w:multiLevelType w:val="hybridMultilevel"/>
    <w:tmpl w:val="417CBCAC"/>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6" w15:restartNumberingAfterBreak="0">
    <w:nsid w:val="4EF60AF5"/>
    <w:multiLevelType w:val="hybridMultilevel"/>
    <w:tmpl w:val="FFF02E5E"/>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1B97590"/>
    <w:multiLevelType w:val="hybridMultilevel"/>
    <w:tmpl w:val="ECA6201C"/>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9" w15:restartNumberingAfterBreak="0">
    <w:nsid w:val="6A4D5918"/>
    <w:multiLevelType w:val="hybridMultilevel"/>
    <w:tmpl w:val="63E4A0FC"/>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DDB43B7"/>
    <w:multiLevelType w:val="hybridMultilevel"/>
    <w:tmpl w:val="30B4E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701231C6"/>
    <w:multiLevelType w:val="hybridMultilevel"/>
    <w:tmpl w:val="483EC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9458BF"/>
    <w:multiLevelType w:val="hybridMultilevel"/>
    <w:tmpl w:val="DCD68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1B223A"/>
    <w:multiLevelType w:val="hybridMultilevel"/>
    <w:tmpl w:val="7BE6A6C0"/>
    <w:lvl w:ilvl="0" w:tplc="6B58AD7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14"/>
  </w:num>
  <w:num w:numId="5">
    <w:abstractNumId w:val="10"/>
  </w:num>
  <w:num w:numId="6">
    <w:abstractNumId w:val="8"/>
  </w:num>
  <w:num w:numId="7">
    <w:abstractNumId w:val="12"/>
  </w:num>
  <w:num w:numId="8">
    <w:abstractNumId w:val="5"/>
  </w:num>
  <w:num w:numId="9">
    <w:abstractNumId w:val="9"/>
  </w:num>
  <w:num w:numId="10">
    <w:abstractNumId w:val="6"/>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89"/>
    <w:rsid w:val="0001284E"/>
    <w:rsid w:val="0004507F"/>
    <w:rsid w:val="00046CC0"/>
    <w:rsid w:val="000E38AA"/>
    <w:rsid w:val="0018234A"/>
    <w:rsid w:val="001A5B7A"/>
    <w:rsid w:val="001C2C89"/>
    <w:rsid w:val="00230D6C"/>
    <w:rsid w:val="00256CE1"/>
    <w:rsid w:val="00264675"/>
    <w:rsid w:val="002726AE"/>
    <w:rsid w:val="00286FEF"/>
    <w:rsid w:val="00292ABF"/>
    <w:rsid w:val="002937BC"/>
    <w:rsid w:val="00296435"/>
    <w:rsid w:val="002B0E45"/>
    <w:rsid w:val="002B1CE8"/>
    <w:rsid w:val="00300191"/>
    <w:rsid w:val="0032173D"/>
    <w:rsid w:val="00322B1B"/>
    <w:rsid w:val="003518D1"/>
    <w:rsid w:val="00353D50"/>
    <w:rsid w:val="00373E11"/>
    <w:rsid w:val="00375AEB"/>
    <w:rsid w:val="003E083F"/>
    <w:rsid w:val="0042087C"/>
    <w:rsid w:val="00451BC5"/>
    <w:rsid w:val="004676B5"/>
    <w:rsid w:val="00476196"/>
    <w:rsid w:val="004B5FA9"/>
    <w:rsid w:val="004C27B9"/>
    <w:rsid w:val="004D107F"/>
    <w:rsid w:val="004D758F"/>
    <w:rsid w:val="004E2119"/>
    <w:rsid w:val="005113E9"/>
    <w:rsid w:val="00521EC8"/>
    <w:rsid w:val="00537E22"/>
    <w:rsid w:val="005A09C6"/>
    <w:rsid w:val="005F0BEA"/>
    <w:rsid w:val="0062674E"/>
    <w:rsid w:val="00647C03"/>
    <w:rsid w:val="00675401"/>
    <w:rsid w:val="00676260"/>
    <w:rsid w:val="0068260D"/>
    <w:rsid w:val="006D3054"/>
    <w:rsid w:val="00704D17"/>
    <w:rsid w:val="00711722"/>
    <w:rsid w:val="00753109"/>
    <w:rsid w:val="00757565"/>
    <w:rsid w:val="00780A2E"/>
    <w:rsid w:val="0079444A"/>
    <w:rsid w:val="007A2FE0"/>
    <w:rsid w:val="007C2926"/>
    <w:rsid w:val="007D0581"/>
    <w:rsid w:val="00800E37"/>
    <w:rsid w:val="00822F6C"/>
    <w:rsid w:val="00831D94"/>
    <w:rsid w:val="00842B82"/>
    <w:rsid w:val="00891C52"/>
    <w:rsid w:val="008A205A"/>
    <w:rsid w:val="008A3C67"/>
    <w:rsid w:val="008B6334"/>
    <w:rsid w:val="008C5474"/>
    <w:rsid w:val="008D2046"/>
    <w:rsid w:val="00943C09"/>
    <w:rsid w:val="00956F3C"/>
    <w:rsid w:val="0096239C"/>
    <w:rsid w:val="009708A9"/>
    <w:rsid w:val="009A2C49"/>
    <w:rsid w:val="009C2EE4"/>
    <w:rsid w:val="00A27C10"/>
    <w:rsid w:val="00A52704"/>
    <w:rsid w:val="00A52E09"/>
    <w:rsid w:val="00A65B37"/>
    <w:rsid w:val="00A957B4"/>
    <w:rsid w:val="00AB2BDE"/>
    <w:rsid w:val="00AC3B65"/>
    <w:rsid w:val="00AD4A9E"/>
    <w:rsid w:val="00B04521"/>
    <w:rsid w:val="00B06B2C"/>
    <w:rsid w:val="00B16677"/>
    <w:rsid w:val="00B50E48"/>
    <w:rsid w:val="00B60094"/>
    <w:rsid w:val="00B821B1"/>
    <w:rsid w:val="00BA722F"/>
    <w:rsid w:val="00BB2BFC"/>
    <w:rsid w:val="00BE7BE2"/>
    <w:rsid w:val="00BF04E7"/>
    <w:rsid w:val="00BF6C8C"/>
    <w:rsid w:val="00C77B64"/>
    <w:rsid w:val="00CE7148"/>
    <w:rsid w:val="00D41A21"/>
    <w:rsid w:val="00D4321F"/>
    <w:rsid w:val="00D71A8E"/>
    <w:rsid w:val="00D83576"/>
    <w:rsid w:val="00DB21C0"/>
    <w:rsid w:val="00DE7653"/>
    <w:rsid w:val="00DF0FC0"/>
    <w:rsid w:val="00E1092D"/>
    <w:rsid w:val="00EA3626"/>
    <w:rsid w:val="00EC3E91"/>
    <w:rsid w:val="00ED115C"/>
    <w:rsid w:val="00F04424"/>
    <w:rsid w:val="00F12934"/>
    <w:rsid w:val="00F273C0"/>
    <w:rsid w:val="00F82413"/>
    <w:rsid w:val="00F94895"/>
    <w:rsid w:val="00F97E56"/>
    <w:rsid w:val="00FA0FCF"/>
    <w:rsid w:val="00FF27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218393"/>
  <w15:chartTrackingRefBased/>
  <w15:docId w15:val="{6CD76D54-D42A-4266-AEC4-4AFAB126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89"/>
    <w:pPr>
      <w:jc w:val="both"/>
    </w:pPr>
    <w:rPr>
      <w:rFonts w:ascii="Palatino Linotype" w:hAnsi="Palatino Linotype"/>
      <w:color w:val="000000" w:themeColor="text1"/>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C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2C89"/>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1C2C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2C89"/>
    <w:rPr>
      <w:rFonts w:ascii="Palatino Linotype" w:hAnsi="Palatino Linotype"/>
      <w:color w:val="000000" w:themeColor="text1"/>
      <w:kern w:val="0"/>
      <w14:ligatures w14:val="none"/>
    </w:rPr>
  </w:style>
  <w:style w:type="table" w:styleId="Tablaconcuadrcula">
    <w:name w:val="Table Grid"/>
    <w:basedOn w:val="Tablanormal"/>
    <w:uiPriority w:val="59"/>
    <w:qFormat/>
    <w:rsid w:val="001C2C89"/>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C2C8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1C2C89"/>
    <w:rPr>
      <w:rFonts w:ascii="Palatino Linotype" w:hAnsi="Palatino Linotype"/>
      <w:color w:val="000000" w:themeColor="text1"/>
      <w:kern w:val="0"/>
      <w14:ligatures w14:val="none"/>
    </w:rPr>
  </w:style>
  <w:style w:type="character" w:styleId="Hipervnculo">
    <w:name w:val="Hyperlink"/>
    <w:basedOn w:val="Fuentedeprrafopredeter"/>
    <w:uiPriority w:val="99"/>
    <w:unhideWhenUsed/>
    <w:rsid w:val="001C2C89"/>
    <w:rPr>
      <w:color w:val="0000FF"/>
      <w:u w:val="single"/>
    </w:rPr>
  </w:style>
  <w:style w:type="character" w:customStyle="1" w:styleId="Mencinsinresolver1">
    <w:name w:val="Mención sin resolver1"/>
    <w:basedOn w:val="Fuentedeprrafopredeter"/>
    <w:uiPriority w:val="99"/>
    <w:semiHidden/>
    <w:unhideWhenUsed/>
    <w:rsid w:val="0032173D"/>
    <w:rPr>
      <w:color w:val="605E5C"/>
      <w:shd w:val="clear" w:color="auto" w:fill="E1DFDD"/>
    </w:rPr>
  </w:style>
  <w:style w:type="paragraph" w:styleId="NormalWeb">
    <w:name w:val="Normal (Web)"/>
    <w:basedOn w:val="Normal"/>
    <w:uiPriority w:val="99"/>
    <w:semiHidden/>
    <w:unhideWhenUsed/>
    <w:rsid w:val="00AB2BDE"/>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46894">
      <w:bodyDiv w:val="1"/>
      <w:marLeft w:val="0"/>
      <w:marRight w:val="0"/>
      <w:marTop w:val="0"/>
      <w:marBottom w:val="0"/>
      <w:divBdr>
        <w:top w:val="none" w:sz="0" w:space="0" w:color="auto"/>
        <w:left w:val="none" w:sz="0" w:space="0" w:color="auto"/>
        <w:bottom w:val="none" w:sz="0" w:space="0" w:color="auto"/>
        <w:right w:val="none" w:sz="0" w:space="0" w:color="auto"/>
      </w:divBdr>
    </w:div>
    <w:div w:id="536312805">
      <w:bodyDiv w:val="1"/>
      <w:marLeft w:val="0"/>
      <w:marRight w:val="0"/>
      <w:marTop w:val="0"/>
      <w:marBottom w:val="0"/>
      <w:divBdr>
        <w:top w:val="none" w:sz="0" w:space="0" w:color="auto"/>
        <w:left w:val="none" w:sz="0" w:space="0" w:color="auto"/>
        <w:bottom w:val="none" w:sz="0" w:space="0" w:color="auto"/>
        <w:right w:val="none" w:sz="0" w:space="0" w:color="auto"/>
      </w:divBdr>
    </w:div>
    <w:div w:id="702093768">
      <w:bodyDiv w:val="1"/>
      <w:marLeft w:val="0"/>
      <w:marRight w:val="0"/>
      <w:marTop w:val="0"/>
      <w:marBottom w:val="0"/>
      <w:divBdr>
        <w:top w:val="none" w:sz="0" w:space="0" w:color="auto"/>
        <w:left w:val="none" w:sz="0" w:space="0" w:color="auto"/>
        <w:bottom w:val="none" w:sz="0" w:space="0" w:color="auto"/>
        <w:right w:val="none" w:sz="0" w:space="0" w:color="auto"/>
      </w:divBdr>
    </w:div>
    <w:div w:id="1103306134">
      <w:bodyDiv w:val="1"/>
      <w:marLeft w:val="0"/>
      <w:marRight w:val="0"/>
      <w:marTop w:val="0"/>
      <w:marBottom w:val="0"/>
      <w:divBdr>
        <w:top w:val="none" w:sz="0" w:space="0" w:color="auto"/>
        <w:left w:val="none" w:sz="0" w:space="0" w:color="auto"/>
        <w:bottom w:val="none" w:sz="0" w:space="0" w:color="auto"/>
        <w:right w:val="none" w:sz="0" w:space="0" w:color="auto"/>
      </w:divBdr>
    </w:div>
    <w:div w:id="1115096288">
      <w:bodyDiv w:val="1"/>
      <w:marLeft w:val="0"/>
      <w:marRight w:val="0"/>
      <w:marTop w:val="0"/>
      <w:marBottom w:val="0"/>
      <w:divBdr>
        <w:top w:val="none" w:sz="0" w:space="0" w:color="auto"/>
        <w:left w:val="none" w:sz="0" w:space="0" w:color="auto"/>
        <w:bottom w:val="none" w:sz="0" w:space="0" w:color="auto"/>
        <w:right w:val="none" w:sz="0" w:space="0" w:color="auto"/>
      </w:divBdr>
    </w:div>
    <w:div w:id="1164055394">
      <w:bodyDiv w:val="1"/>
      <w:marLeft w:val="0"/>
      <w:marRight w:val="0"/>
      <w:marTop w:val="0"/>
      <w:marBottom w:val="0"/>
      <w:divBdr>
        <w:top w:val="none" w:sz="0" w:space="0" w:color="auto"/>
        <w:left w:val="none" w:sz="0" w:space="0" w:color="auto"/>
        <w:bottom w:val="none" w:sz="0" w:space="0" w:color="auto"/>
        <w:right w:val="none" w:sz="0" w:space="0" w:color="auto"/>
      </w:divBdr>
    </w:div>
    <w:div w:id="1324317545">
      <w:bodyDiv w:val="1"/>
      <w:marLeft w:val="0"/>
      <w:marRight w:val="0"/>
      <w:marTop w:val="0"/>
      <w:marBottom w:val="0"/>
      <w:divBdr>
        <w:top w:val="none" w:sz="0" w:space="0" w:color="auto"/>
        <w:left w:val="none" w:sz="0" w:space="0" w:color="auto"/>
        <w:bottom w:val="none" w:sz="0" w:space="0" w:color="auto"/>
        <w:right w:val="none" w:sz="0" w:space="0" w:color="auto"/>
      </w:divBdr>
    </w:div>
    <w:div w:id="1421173661">
      <w:bodyDiv w:val="1"/>
      <w:marLeft w:val="0"/>
      <w:marRight w:val="0"/>
      <w:marTop w:val="0"/>
      <w:marBottom w:val="0"/>
      <w:divBdr>
        <w:top w:val="none" w:sz="0" w:space="0" w:color="auto"/>
        <w:left w:val="none" w:sz="0" w:space="0" w:color="auto"/>
        <w:bottom w:val="none" w:sz="0" w:space="0" w:color="auto"/>
        <w:right w:val="none" w:sz="0" w:space="0" w:color="auto"/>
      </w:divBdr>
    </w:div>
    <w:div w:id="1484784197">
      <w:bodyDiv w:val="1"/>
      <w:marLeft w:val="0"/>
      <w:marRight w:val="0"/>
      <w:marTop w:val="0"/>
      <w:marBottom w:val="0"/>
      <w:divBdr>
        <w:top w:val="none" w:sz="0" w:space="0" w:color="auto"/>
        <w:left w:val="none" w:sz="0" w:space="0" w:color="auto"/>
        <w:bottom w:val="none" w:sz="0" w:space="0" w:color="auto"/>
        <w:right w:val="none" w:sz="0" w:space="0" w:color="auto"/>
      </w:divBdr>
    </w:div>
    <w:div w:id="1679042072">
      <w:bodyDiv w:val="1"/>
      <w:marLeft w:val="0"/>
      <w:marRight w:val="0"/>
      <w:marTop w:val="0"/>
      <w:marBottom w:val="0"/>
      <w:divBdr>
        <w:top w:val="none" w:sz="0" w:space="0" w:color="auto"/>
        <w:left w:val="none" w:sz="0" w:space="0" w:color="auto"/>
        <w:bottom w:val="none" w:sz="0" w:space="0" w:color="auto"/>
        <w:right w:val="none" w:sz="0" w:space="0" w:color="auto"/>
      </w:divBdr>
    </w:div>
    <w:div w:id="1726756934">
      <w:bodyDiv w:val="1"/>
      <w:marLeft w:val="0"/>
      <w:marRight w:val="0"/>
      <w:marTop w:val="0"/>
      <w:marBottom w:val="0"/>
      <w:divBdr>
        <w:top w:val="none" w:sz="0" w:space="0" w:color="auto"/>
        <w:left w:val="none" w:sz="0" w:space="0" w:color="auto"/>
        <w:bottom w:val="none" w:sz="0" w:space="0" w:color="auto"/>
        <w:right w:val="none" w:sz="0" w:space="0" w:color="auto"/>
      </w:divBdr>
    </w:div>
    <w:div w:id="1858614040">
      <w:bodyDiv w:val="1"/>
      <w:marLeft w:val="0"/>
      <w:marRight w:val="0"/>
      <w:marTop w:val="0"/>
      <w:marBottom w:val="0"/>
      <w:divBdr>
        <w:top w:val="none" w:sz="0" w:space="0" w:color="auto"/>
        <w:left w:val="none" w:sz="0" w:space="0" w:color="auto"/>
        <w:bottom w:val="none" w:sz="0" w:space="0" w:color="auto"/>
        <w:right w:val="none" w:sz="0" w:space="0" w:color="auto"/>
      </w:divBdr>
    </w:div>
    <w:div w:id="212187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4D444-3177-47DB-A8CD-3C821EE3B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4272</Words>
  <Characters>23499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4</cp:revision>
  <dcterms:created xsi:type="dcterms:W3CDTF">2023-05-25T03:37:00Z</dcterms:created>
  <dcterms:modified xsi:type="dcterms:W3CDTF">2023-06-01T17:38:00Z</dcterms:modified>
</cp:coreProperties>
</file>