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2B97D" w14:textId="77777777" w:rsidR="00666F20" w:rsidRDefault="00FE651E">
      <w:pPr>
        <w:spacing w:before="240"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veintiocho de junio de dos mil veintitrés.</w:t>
      </w:r>
    </w:p>
    <w:p w14:paraId="3E22C78D" w14:textId="77777777" w:rsidR="00666F20" w:rsidRDefault="00666F20"/>
    <w:p w14:paraId="574E4F94" w14:textId="5AF785D0" w:rsidR="00666F20" w:rsidRDefault="00FE651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el expediente relativo al recurso de revisión </w:t>
      </w:r>
      <w:r>
        <w:rPr>
          <w:rFonts w:ascii="Palatino Linotype" w:eastAsia="Palatino Linotype" w:hAnsi="Palatino Linotype" w:cs="Palatino Linotype"/>
          <w:b/>
          <w:sz w:val="24"/>
          <w:szCs w:val="24"/>
        </w:rPr>
        <w:t>02289/INFOEM/IP/RR/2023</w:t>
      </w:r>
      <w:r>
        <w:rPr>
          <w:rFonts w:ascii="Palatino Linotype" w:eastAsia="Palatino Linotype" w:hAnsi="Palatino Linotype" w:cs="Palatino Linotype"/>
          <w:sz w:val="24"/>
          <w:szCs w:val="24"/>
        </w:rPr>
        <w:t xml:space="preserve">, interpuesto por </w:t>
      </w:r>
      <w:r w:rsidR="00C345A8">
        <w:rPr>
          <w:rFonts w:ascii="Palatino Linotype" w:eastAsia="Palatino Linotype" w:hAnsi="Palatino Linotype" w:cs="Palatino Linotype"/>
          <w:b/>
          <w:sz w:val="24"/>
          <w:szCs w:val="24"/>
        </w:rPr>
        <w:t>XXXXXXXXXXXXXXXXXX XX</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a quien en lo sucesivo se le denominara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en contra de la respuesta a la solicitud de información con número de folio </w:t>
      </w:r>
      <w:r>
        <w:rPr>
          <w:rFonts w:ascii="Palatino Linotype" w:eastAsia="Palatino Linotype" w:hAnsi="Palatino Linotype" w:cs="Palatino Linotype"/>
          <w:b/>
          <w:sz w:val="24"/>
          <w:szCs w:val="24"/>
        </w:rPr>
        <w:t>00120/PLEGISLA/IP/2023</w:t>
      </w:r>
      <w:r>
        <w:rPr>
          <w:rFonts w:ascii="Palatino Linotype" w:eastAsia="Palatino Linotype" w:hAnsi="Palatino Linotype" w:cs="Palatino Linotype"/>
          <w:sz w:val="24"/>
          <w:szCs w:val="24"/>
        </w:rPr>
        <w:t xml:space="preserve">, por parte del </w:t>
      </w:r>
      <w:r>
        <w:rPr>
          <w:rFonts w:ascii="Palatino Linotype" w:eastAsia="Palatino Linotype" w:hAnsi="Palatino Linotype" w:cs="Palatino Linotype"/>
          <w:b/>
          <w:sz w:val="24"/>
          <w:szCs w:val="24"/>
        </w:rPr>
        <w:t>Poder Legislativo</w:t>
      </w:r>
      <w:r>
        <w:rPr>
          <w:rFonts w:ascii="Palatino Linotype" w:eastAsia="Palatino Linotype" w:hAnsi="Palatino Linotype" w:cs="Palatino Linotype"/>
          <w:sz w:val="24"/>
          <w:szCs w:val="24"/>
        </w:rPr>
        <w:t xml:space="preserve">, en lo sucesivo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se procede a dictar la presente resolución, con base en lo siguiente.</w:t>
      </w:r>
    </w:p>
    <w:p w14:paraId="724FB50F" w14:textId="77777777" w:rsidR="00666F20" w:rsidRDefault="00666F20">
      <w:pPr>
        <w:spacing w:after="0" w:line="360" w:lineRule="auto"/>
        <w:jc w:val="both"/>
        <w:rPr>
          <w:rFonts w:ascii="Palatino Linotype" w:eastAsia="Palatino Linotype" w:hAnsi="Palatino Linotype" w:cs="Palatino Linotype"/>
          <w:sz w:val="24"/>
          <w:szCs w:val="24"/>
        </w:rPr>
      </w:pPr>
    </w:p>
    <w:p w14:paraId="76E1E78C" w14:textId="77777777" w:rsidR="00666F20" w:rsidRDefault="00FE651E">
      <w:pPr>
        <w:spacing w:after="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 xml:space="preserve">A N T E C E D E N T E S </w:t>
      </w:r>
    </w:p>
    <w:p w14:paraId="537CE3AA" w14:textId="77777777" w:rsidR="00666F20" w:rsidRDefault="00666F20">
      <w:pPr>
        <w:spacing w:after="0" w:line="360" w:lineRule="auto"/>
        <w:jc w:val="both"/>
        <w:rPr>
          <w:rFonts w:ascii="Palatino Linotype" w:eastAsia="Palatino Linotype" w:hAnsi="Palatino Linotype" w:cs="Palatino Linotype"/>
          <w:sz w:val="24"/>
          <w:szCs w:val="24"/>
        </w:rPr>
      </w:pPr>
    </w:p>
    <w:p w14:paraId="7936C9B2" w14:textId="77777777" w:rsidR="00666F20" w:rsidRDefault="00FE651E">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1.</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SOLICITUD DE INFORMACIÓN. </w:t>
      </w:r>
      <w:r>
        <w:rPr>
          <w:rFonts w:ascii="Palatino Linotype" w:eastAsia="Palatino Linotype" w:hAnsi="Palatino Linotype" w:cs="Palatino Linotype"/>
          <w:sz w:val="24"/>
          <w:szCs w:val="24"/>
        </w:rPr>
        <w:t xml:space="preserve">Con fecha catorce de marzo de dos mil veintitrés,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presentó a través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solicitud de acceso a la información pública, registrada bajo el número de expediente</w:t>
      </w:r>
      <w:r>
        <w:rPr>
          <w:rFonts w:ascii="Verdana" w:eastAsia="Verdana" w:hAnsi="Verdana" w:cs="Verdana"/>
          <w:b/>
          <w:color w:val="FF0000"/>
        </w:rPr>
        <w:t> </w:t>
      </w:r>
      <w:r>
        <w:rPr>
          <w:rFonts w:ascii="Palatino Linotype" w:eastAsia="Palatino Linotype" w:hAnsi="Palatino Linotype" w:cs="Palatino Linotype"/>
          <w:b/>
          <w:sz w:val="24"/>
          <w:szCs w:val="24"/>
        </w:rPr>
        <w:t>00120/PLEGISLA/IP/2023</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mediante la cual solicitó la siguiente información:</w:t>
      </w:r>
    </w:p>
    <w:p w14:paraId="45E4A2CE" w14:textId="77777777" w:rsidR="00666F20" w:rsidRDefault="00666F20">
      <w:pPr>
        <w:spacing w:after="0" w:line="360" w:lineRule="auto"/>
        <w:ind w:right="49"/>
        <w:jc w:val="both"/>
        <w:rPr>
          <w:rFonts w:ascii="Palatino Linotype" w:eastAsia="Palatino Linotype" w:hAnsi="Palatino Linotype" w:cs="Palatino Linotype"/>
          <w:sz w:val="24"/>
          <w:szCs w:val="24"/>
        </w:rPr>
      </w:pPr>
    </w:p>
    <w:p w14:paraId="6F469D76" w14:textId="77777777" w:rsidR="00666F20" w:rsidRDefault="00FE651E">
      <w:pPr>
        <w:spacing w:after="0" w:line="276" w:lineRule="auto"/>
        <w:ind w:left="709" w:right="75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“Se solicita la versión pública de la Nómina Detallada de los servidores públicos del Poder Legislativo del Estado de México, correspondientes al periodo del 01 de septiembre de 2022 al 15 de marzo de 2023. Es importante señalar que la información solicitada es de carácter público, al tratarse de sueldos cubiertos con cargo al erario </w:t>
      </w:r>
      <w:r>
        <w:rPr>
          <w:rFonts w:ascii="Palatino Linotype" w:eastAsia="Palatino Linotype" w:hAnsi="Palatino Linotype" w:cs="Palatino Linotype"/>
          <w:i/>
          <w:color w:val="000000"/>
        </w:rPr>
        <w:lastRenderedPageBreak/>
        <w:t xml:space="preserve">público, en términos de lo dispuesto en el artículo 24 fracción VIII de la Ley de Transparencia y Acceso a la Información Pública del Estado de México y Municipios, por lo que no se actualiza la fracción I del artículo 143 de la citada Ley. Se solicita </w:t>
      </w:r>
      <w:r>
        <w:rPr>
          <w:rFonts w:ascii="Palatino Linotype" w:eastAsia="Palatino Linotype" w:hAnsi="Palatino Linotype" w:cs="Palatino Linotype"/>
          <w:b/>
          <w:i/>
          <w:color w:val="000000"/>
          <w:u w:val="single"/>
        </w:rPr>
        <w:t>indicar el nombre y cargo de los servidores públicos que tienen asignada la función de elaboración, revisión y autorización de la Nómina Detallada de los Servidores Públicos del Poder Legislativo del Estado de México</w:t>
      </w:r>
      <w:r>
        <w:rPr>
          <w:rFonts w:ascii="Palatino Linotype" w:eastAsia="Palatino Linotype" w:hAnsi="Palatino Linotype" w:cs="Palatino Linotype"/>
          <w:i/>
          <w:color w:val="000000"/>
        </w:rPr>
        <w:t>.” (Sic).</w:t>
      </w:r>
    </w:p>
    <w:p w14:paraId="0313B5E7" w14:textId="77777777" w:rsidR="00666F20" w:rsidRDefault="00666F20">
      <w:pPr>
        <w:spacing w:after="0" w:line="276" w:lineRule="auto"/>
        <w:ind w:left="709" w:right="758"/>
        <w:jc w:val="both"/>
        <w:rPr>
          <w:rFonts w:ascii="Palatino Linotype" w:eastAsia="Palatino Linotype" w:hAnsi="Palatino Linotype" w:cs="Palatino Linotype"/>
          <w:i/>
        </w:rPr>
      </w:pPr>
    </w:p>
    <w:p w14:paraId="2636001D" w14:textId="77777777" w:rsidR="00666F20" w:rsidRDefault="00FE651E">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Modalidad de entrega: A través del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w:t>
      </w:r>
    </w:p>
    <w:p w14:paraId="00AF1DED" w14:textId="77777777" w:rsidR="00666F20" w:rsidRDefault="00666F20">
      <w:pPr>
        <w:spacing w:after="0" w:line="360" w:lineRule="auto"/>
        <w:jc w:val="both"/>
        <w:rPr>
          <w:rFonts w:ascii="Palatino Linotype" w:eastAsia="Palatino Linotype" w:hAnsi="Palatino Linotype" w:cs="Palatino Linotype"/>
          <w:b/>
          <w:sz w:val="24"/>
          <w:szCs w:val="24"/>
        </w:rPr>
      </w:pPr>
    </w:p>
    <w:p w14:paraId="591BB8DB" w14:textId="77777777" w:rsidR="00666F20" w:rsidRDefault="00FE651E">
      <w:pPr>
        <w:widowControl w:val="0"/>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2.</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DE LA PRÓRROGA.</w:t>
      </w:r>
      <w:r>
        <w:rPr>
          <w:rFonts w:ascii="Palatino Linotype" w:eastAsia="Palatino Linotype" w:hAnsi="Palatino Linotype" w:cs="Palatino Linotype"/>
          <w:sz w:val="24"/>
          <w:szCs w:val="24"/>
        </w:rPr>
        <w:t xml:space="preserve"> En fecha once de abril o de dos mil veintitrés,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solicitó una prórroga en la entrega de la información en la solicitud de acceso a la información tal como se observa a continuación:</w:t>
      </w:r>
    </w:p>
    <w:p w14:paraId="178F8666" w14:textId="77777777" w:rsidR="00666F20" w:rsidRDefault="00FE651E">
      <w:pPr>
        <w:spacing w:before="120" w:after="12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823B804" w14:textId="77777777" w:rsidR="00666F20" w:rsidRDefault="00FE651E">
      <w:pPr>
        <w:spacing w:before="120" w:after="12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La servidora pública habilitada de la Secretaría de Administración y Finanzas, con fundamento en lo dispuesto por el párrafo segundo del artículo 163 de la Ley de la Materia, ha solicitado la ampliación del plazo de respuesta hasta por siete días, debido a que se sigue realizando la búsqueda necesaria en los archivos correspondientes, para determinar si obra en ellos el documento que permita darle respuesta. En virtud de lo anterior se hace de su conocimiento que el Comité de Transparencia en la 06a. Sesión extraordinaria de fecha 27/03/2023, mediante Acuerdo PLEGISLA/LXI/CT/06ªext/2023/SEXTO, ha tenido a bien aprobar la ampliación del plazo solicitado, en términos del artículo 49 fracción II de la Ley de Transparencia y Acceso a la Información Pública del Estado de México. En ese sentido, una vez que haya concluido la búsqueda de los documentos requeridos, este Sujeto Obligado lo hará de su conocimiento dentro de los plazos establecidos en la Ley.</w:t>
      </w:r>
    </w:p>
    <w:p w14:paraId="0D575DCE" w14:textId="77777777" w:rsidR="00666F20" w:rsidRDefault="00FE651E">
      <w:pPr>
        <w:spacing w:before="120" w:after="12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Jesús Felipe Borja </w:t>
      </w:r>
      <w:proofErr w:type="gramStart"/>
      <w:r>
        <w:rPr>
          <w:rFonts w:ascii="Palatino Linotype" w:eastAsia="Palatino Linotype" w:hAnsi="Palatino Linotype" w:cs="Palatino Linotype"/>
          <w:i/>
        </w:rPr>
        <w:t>Coronel</w:t>
      </w:r>
      <w:proofErr w:type="gramEnd"/>
    </w:p>
    <w:p w14:paraId="6BB64E1F" w14:textId="77777777" w:rsidR="00666F20" w:rsidRDefault="00FE651E">
      <w:pPr>
        <w:spacing w:before="120" w:after="12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Responsable de la Unidad de Transparencia</w:t>
      </w:r>
    </w:p>
    <w:p w14:paraId="4BDFF47F" w14:textId="77777777" w:rsidR="00666F20" w:rsidRDefault="00666F20">
      <w:pPr>
        <w:spacing w:before="120" w:after="120" w:line="276" w:lineRule="auto"/>
        <w:ind w:left="851" w:right="900"/>
        <w:jc w:val="both"/>
        <w:rPr>
          <w:rFonts w:ascii="Palatino Linotype" w:eastAsia="Palatino Linotype" w:hAnsi="Palatino Linotype" w:cs="Palatino Linotype"/>
          <w:i/>
        </w:rPr>
      </w:pPr>
    </w:p>
    <w:p w14:paraId="69B38214" w14:textId="77777777" w:rsidR="00666F20" w:rsidRDefault="00FE651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adjuntó el archivo electrónico:</w:t>
      </w:r>
    </w:p>
    <w:p w14:paraId="26922038" w14:textId="77777777" w:rsidR="00666F20" w:rsidRDefault="00666F20">
      <w:pPr>
        <w:spacing w:after="0" w:line="360" w:lineRule="auto"/>
        <w:jc w:val="both"/>
        <w:rPr>
          <w:rFonts w:ascii="Palatino Linotype" w:eastAsia="Palatino Linotype" w:hAnsi="Palatino Linotype" w:cs="Palatino Linotype"/>
          <w:sz w:val="24"/>
          <w:szCs w:val="24"/>
        </w:rPr>
      </w:pPr>
    </w:p>
    <w:p w14:paraId="4EEACDD9" w14:textId="77777777" w:rsidR="00666F20" w:rsidRDefault="00FE651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Acuerdo PLEGISLA-LXI-CT-06° Ext-2023-SEXTO.pdf</w:t>
      </w:r>
      <w:r>
        <w:rPr>
          <w:rFonts w:ascii="Palatino Linotype" w:eastAsia="Palatino Linotype" w:hAnsi="Palatino Linotype" w:cs="Palatino Linotype"/>
          <w:sz w:val="24"/>
          <w:szCs w:val="24"/>
        </w:rPr>
        <w:t xml:space="preserve">”: Acta de la Sexta Sesión Extraordinaria del Comité de Transparencia del dos mil veintitrés en donde se solicita y se aprueba la prórroga para la entrega de información requerida en la solicitud de información 00120/PLEGISLA/IP/2023. </w:t>
      </w:r>
    </w:p>
    <w:p w14:paraId="20E7DEF1" w14:textId="77777777" w:rsidR="00666F20" w:rsidRDefault="00666F20">
      <w:pPr>
        <w:spacing w:after="0" w:line="360" w:lineRule="auto"/>
        <w:jc w:val="both"/>
        <w:rPr>
          <w:rFonts w:ascii="Palatino Linotype" w:eastAsia="Palatino Linotype" w:hAnsi="Palatino Linotype" w:cs="Palatino Linotype"/>
          <w:sz w:val="24"/>
          <w:szCs w:val="24"/>
        </w:rPr>
      </w:pPr>
    </w:p>
    <w:p w14:paraId="7A60869C" w14:textId="77777777" w:rsidR="00666F20" w:rsidRDefault="00FE651E">
      <w:pPr>
        <w:spacing w:after="0" w:line="360" w:lineRule="auto"/>
        <w:jc w:val="both"/>
      </w:pPr>
      <w:r>
        <w:rPr>
          <w:rFonts w:ascii="Palatino Linotype" w:eastAsia="Palatino Linotype" w:hAnsi="Palatino Linotype" w:cs="Palatino Linotype"/>
          <w:b/>
          <w:sz w:val="24"/>
          <w:szCs w:val="24"/>
        </w:rPr>
        <w:t xml:space="preserve">3. RESPUESTA.  </w:t>
      </w:r>
      <w:r>
        <w:rPr>
          <w:rFonts w:ascii="Palatino Linotype" w:eastAsia="Palatino Linotype" w:hAnsi="Palatino Linotype" w:cs="Palatino Linotype"/>
          <w:sz w:val="24"/>
          <w:szCs w:val="24"/>
        </w:rPr>
        <w:t xml:space="preserve">Con fecha veintiuno de abril del dos mil veintitrés,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otorgó, a través del SAIMEX, respuesta a la solicitud de acceso a la información de la siguiente manera:</w:t>
      </w:r>
      <w:r>
        <w:t xml:space="preserve"> </w:t>
      </w:r>
    </w:p>
    <w:p w14:paraId="6418FE50" w14:textId="77777777" w:rsidR="00666F20" w:rsidRDefault="00666F20">
      <w:pPr>
        <w:spacing w:after="0" w:line="360" w:lineRule="auto"/>
        <w:jc w:val="both"/>
      </w:pPr>
    </w:p>
    <w:p w14:paraId="2DE135C7" w14:textId="77777777" w:rsidR="00666F20" w:rsidRDefault="00FE651E">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3D8F0A8" w14:textId="77777777" w:rsidR="00666F20" w:rsidRDefault="00FE651E">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Derivado de la búsqueda exhaustiva y razonable a la fecha de la recepción de la presente solicitud, se informa lo siguiente: Se remite versión pública de las nóminas de las personas servidoras públicas del Poder Legislativo del Estado de México, correspondientes al período del 1 de septiembre de 2022 al 15 de marzo de 2023, (quincenas de la 17 a la 24 de 2022 y de la quincena 01 a la 05 de 2023). En relación a la elaboración, revisión y autorización de la nómina del Poder Legislativo, el Reglamento del Poder Legislativo del Estado Libre y Soberano de México, establece: Artículo 160.- La Secretaría de Administración y Finanzas, tendrá las siguientes atribuciones: Fracción XI. Integrar la nómina de la </w:t>
      </w:r>
      <w:r>
        <w:rPr>
          <w:rFonts w:ascii="Palatino Linotype" w:eastAsia="Palatino Linotype" w:hAnsi="Palatino Linotype" w:cs="Palatino Linotype"/>
          <w:i/>
        </w:rPr>
        <w:lastRenderedPageBreak/>
        <w:t xml:space="preserve">Legislatura, vigilando que los pagos se efectúen en los términos de ley; Artículo 161.- La Secretaría de Administración y Finanzas, contará con las unidades administrativas que determine la Junta de Coordinación Política y que serán las necesarias para cumplir con sus funciones y se establecerán en el respectivo manual de organización. En el Manual General de Organización de la Secretaría de Administración y Finanzas, se definen, entre otros, los objetivos y funciones relativos al pago de nómina: • Dirección de Administración y Desarrollo de Personal Objetivo: Planear, organizar, integrar, dirigir y controlar los procesos de alta, baja, pago de nómina, inducción, profesionalización, evaluación del desempeño y desarrollo de los servidores públicos. Brindar los servicios de seguridad, médico, educativo, caja de ahorro, servicio social y seguro colectivo de vida, gastos médicos y accidentes personales para los servidores públicos del Poder Legislativo, conforme a la normativa vigente. Funciones: - Supervisar la oportuna y expedita entrega de las remuneraciones y prestaciones a los servidores públicos, así como la aplicación de descuentos económicos que procedan; • Departamento de Nóminas Objetivo: Registrar y controlar las percepciones y deducciones de acuerdo a la programación establecida y normativa aplicable, asegurando el pago de dieta de los diputados y el sueldo de los servidores públicos del Poder Legislativo. Funciones: - Transferir las nóminas a la institución bancaria para el pago electrónico de diputados, así como de servidores públicos; Nombre y cargo de las personas servidoras públicas: Unidad administrativa Nombre Cargo Secretaría de Administración y Finanzas Mtro. Luis David Miranda Gómez Secretario Dirección de Administración y Desarrollo de Personal Mtra. Silvia Concepción Sepúlveda Venegas Directora Departamento de Nóminas Lic. Edgar </w:t>
      </w:r>
      <w:proofErr w:type="spellStart"/>
      <w:r>
        <w:rPr>
          <w:rFonts w:ascii="Palatino Linotype" w:eastAsia="Palatino Linotype" w:hAnsi="Palatino Linotype" w:cs="Palatino Linotype"/>
          <w:i/>
        </w:rPr>
        <w:t>Melquisidec</w:t>
      </w:r>
      <w:proofErr w:type="spellEnd"/>
      <w:r>
        <w:rPr>
          <w:rFonts w:ascii="Palatino Linotype" w:eastAsia="Palatino Linotype" w:hAnsi="Palatino Linotype" w:cs="Palatino Linotype"/>
          <w:i/>
        </w:rPr>
        <w:t xml:space="preserve"> García Valdez Jefe de departamento El Reglamento del Poder Legislativo del Estado Libre y Soberano de México y el Manual General de Organización de la Secretaría de Administración y Finanzas, están disponibles en los enlaces siguientes: https://legislacion.edomex.gob.mx/sites/legislacion.edomex.gob.mx/files/files/pdf/rgl/vig/rglvig111.pdf https://legislacion.edomex.gob.mx/sites/legislacion.edomex.gob.mx/files/files/pdf/gct/2018/ago083.pdf   Esta respuesta se genera en apego a lo establecido en el artículo 12, párrafo segundo, de la Ley de Transparencia y Acceso a la </w:t>
      </w:r>
      <w:r>
        <w:rPr>
          <w:rFonts w:ascii="Palatino Linotype" w:eastAsia="Palatino Linotype" w:hAnsi="Palatino Linotype" w:cs="Palatino Linotype"/>
          <w:i/>
        </w:rPr>
        <w:lastRenderedPageBreak/>
        <w:t>Información Pública del Estado de México y Municipios, que a la letra dice: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4951CF2" w14:textId="77777777" w:rsidR="00666F20" w:rsidRDefault="00FE651E">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14:paraId="0784476F" w14:textId="77777777" w:rsidR="00666F20" w:rsidRDefault="00FE651E">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Jesús Felipe Borja </w:t>
      </w:r>
      <w:proofErr w:type="gramStart"/>
      <w:r>
        <w:rPr>
          <w:rFonts w:ascii="Palatino Linotype" w:eastAsia="Palatino Linotype" w:hAnsi="Palatino Linotype" w:cs="Palatino Linotype"/>
          <w:i/>
        </w:rPr>
        <w:t>Coronel</w:t>
      </w:r>
      <w:proofErr w:type="gramEnd"/>
      <w:r>
        <w:rPr>
          <w:rFonts w:ascii="Palatino Linotype" w:eastAsia="Palatino Linotype" w:hAnsi="Palatino Linotype" w:cs="Palatino Linotype"/>
          <w:i/>
        </w:rPr>
        <w:t>”</w:t>
      </w:r>
    </w:p>
    <w:p w14:paraId="78B526CB" w14:textId="77777777" w:rsidR="00666F20" w:rsidRDefault="00666F20">
      <w:pPr>
        <w:spacing w:after="0" w:line="276" w:lineRule="auto"/>
        <w:ind w:left="851" w:right="900"/>
        <w:jc w:val="both"/>
        <w:rPr>
          <w:rFonts w:ascii="Palatino Linotype" w:eastAsia="Palatino Linotype" w:hAnsi="Palatino Linotype" w:cs="Palatino Linotype"/>
          <w:sz w:val="24"/>
          <w:szCs w:val="24"/>
        </w:rPr>
      </w:pPr>
    </w:p>
    <w:p w14:paraId="589E1FCC" w14:textId="77777777" w:rsidR="00666F20" w:rsidRDefault="00FE651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adjuntó a su respuesta los archivos electrónicos siguientes:</w:t>
      </w:r>
    </w:p>
    <w:p w14:paraId="4536BE3C" w14:textId="77777777" w:rsidR="00666F20" w:rsidRDefault="00666F20">
      <w:pPr>
        <w:spacing w:after="0" w:line="360" w:lineRule="auto"/>
        <w:jc w:val="both"/>
        <w:rPr>
          <w:rFonts w:ascii="Palatino Linotype" w:eastAsia="Palatino Linotype" w:hAnsi="Palatino Linotype" w:cs="Palatino Linotype"/>
          <w:sz w:val="24"/>
          <w:szCs w:val="24"/>
        </w:rPr>
      </w:pPr>
    </w:p>
    <w:p w14:paraId="602CD791" w14:textId="77777777" w:rsidR="00666F20" w:rsidRDefault="00FE651E">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Acta 6ext.pdf</w:t>
      </w:r>
      <w:r>
        <w:rPr>
          <w:rFonts w:ascii="Palatino Linotype" w:eastAsia="Palatino Linotype" w:hAnsi="Palatino Linotype" w:cs="Palatino Linotype"/>
          <w:sz w:val="24"/>
          <w:szCs w:val="24"/>
        </w:rPr>
        <w:t xml:space="preserve">”: Acta de la Sexta Sesión Extraordinaria, mediante el cual aprueba la versión pública de la información enviada en respuesta. </w:t>
      </w:r>
    </w:p>
    <w:p w14:paraId="3356B25D" w14:textId="77777777" w:rsidR="00666F20" w:rsidRDefault="00FE651E">
      <w:pPr>
        <w:spacing w:line="360" w:lineRule="auto"/>
        <w:jc w:val="both"/>
        <w:rPr>
          <w:rFonts w:ascii="Palatino Linotype" w:eastAsia="Palatino Linotype" w:hAnsi="Palatino Linotype" w:cs="Palatino Linotype"/>
          <w:b/>
          <w:i/>
          <w:sz w:val="24"/>
          <w:szCs w:val="24"/>
          <w:u w:val="single"/>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Leyenda Confidencial - 120.pdf</w:t>
      </w:r>
      <w:r>
        <w:rPr>
          <w:rFonts w:ascii="Palatino Linotype" w:eastAsia="Palatino Linotype" w:hAnsi="Palatino Linotype" w:cs="Palatino Linotype"/>
          <w:sz w:val="24"/>
          <w:szCs w:val="24"/>
        </w:rPr>
        <w:t xml:space="preserve">”: Cuadro de clasificación en donde precisa la fecha de clasificación, área, solicitud, las partes o sesiones confidenciales, fundamento legal, periodo de clasificación y la rúbrica del titular del área responsable de la información. </w:t>
      </w:r>
    </w:p>
    <w:p w14:paraId="200567B6" w14:textId="77777777" w:rsidR="00666F20" w:rsidRDefault="00FE651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Oficio 120.pdf</w:t>
      </w:r>
      <w:r>
        <w:rPr>
          <w:rFonts w:ascii="Palatino Linotype" w:eastAsia="Palatino Linotype" w:hAnsi="Palatino Linotype" w:cs="Palatino Linotype"/>
          <w:sz w:val="24"/>
          <w:szCs w:val="24"/>
        </w:rPr>
        <w:t xml:space="preserve">”: Oficio de fecha veintiuno de abril de dos mil veintidós, </w:t>
      </w:r>
      <w:proofErr w:type="gramStart"/>
      <w:r>
        <w:rPr>
          <w:rFonts w:ascii="Palatino Linotype" w:eastAsia="Palatino Linotype" w:hAnsi="Palatino Linotype" w:cs="Palatino Linotype"/>
          <w:sz w:val="24"/>
          <w:szCs w:val="24"/>
        </w:rPr>
        <w:t>signado  por</w:t>
      </w:r>
      <w:proofErr w:type="gramEnd"/>
      <w:r>
        <w:rPr>
          <w:rFonts w:ascii="Palatino Linotype" w:eastAsia="Palatino Linotype" w:hAnsi="Palatino Linotype" w:cs="Palatino Linotype"/>
          <w:sz w:val="24"/>
          <w:szCs w:val="24"/>
        </w:rPr>
        <w:t xml:space="preserve"> la servidor público habilitada de la Secretaría de Administración y Finanzas, mediante el cual refiere que hace entrega en versión pública de los recibos de nómina de los servidores públicos del Poder Legislativo del periodo del primero de septiembre de 2022 al quince de marzo de 2023.</w:t>
      </w:r>
    </w:p>
    <w:p w14:paraId="0A68875D" w14:textId="77777777" w:rsidR="00666F20" w:rsidRDefault="00666F20">
      <w:pPr>
        <w:spacing w:after="0" w:line="360" w:lineRule="auto"/>
        <w:jc w:val="both"/>
        <w:rPr>
          <w:rFonts w:ascii="Palatino Linotype" w:eastAsia="Palatino Linotype" w:hAnsi="Palatino Linotype" w:cs="Palatino Linotype"/>
          <w:sz w:val="24"/>
          <w:szCs w:val="24"/>
        </w:rPr>
      </w:pPr>
    </w:p>
    <w:p w14:paraId="671DB0E2" w14:textId="77777777" w:rsidR="00666F20" w:rsidRDefault="00FE651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En relación al nombre y cargo de los servidores públicos que tienen asignada la función de la elaboración, revisión y autorización de la nómina del Poder Legislativo, asimismo cita el fundamento que establece las atribuciones de los servidores públicos señalados, de igual forma le indica las ligas electrónicas en donde se pueden consultar los referidos ordenamientos legales. </w:t>
      </w:r>
    </w:p>
    <w:p w14:paraId="7917AD7B" w14:textId="77777777" w:rsidR="00666F20" w:rsidRDefault="00FE651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Nomina 17-20.zip</w:t>
      </w:r>
      <w:r>
        <w:rPr>
          <w:rFonts w:ascii="Palatino Linotype" w:eastAsia="Palatino Linotype" w:hAnsi="Palatino Linotype" w:cs="Palatino Linotype"/>
          <w:sz w:val="24"/>
          <w:szCs w:val="24"/>
        </w:rPr>
        <w:t xml:space="preserve">”: Diversos recibos de nómina de los servidores públicos del Poder Legislativo, correspondiente de la quincena diecisiete a la quincena veinte del año dos mil veintidós. </w:t>
      </w:r>
    </w:p>
    <w:p w14:paraId="1C6750A8" w14:textId="77777777" w:rsidR="00666F20" w:rsidRDefault="00666F20">
      <w:pPr>
        <w:spacing w:after="0" w:line="360" w:lineRule="auto"/>
        <w:jc w:val="both"/>
        <w:rPr>
          <w:rFonts w:ascii="Palatino Linotype" w:eastAsia="Palatino Linotype" w:hAnsi="Palatino Linotype" w:cs="Palatino Linotype"/>
          <w:b/>
          <w:i/>
          <w:sz w:val="24"/>
          <w:szCs w:val="24"/>
          <w:u w:val="single"/>
        </w:rPr>
      </w:pPr>
    </w:p>
    <w:p w14:paraId="428DF201" w14:textId="77777777" w:rsidR="00666F20" w:rsidRDefault="00FE651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Nomina 21-24.zip</w:t>
      </w:r>
      <w:r>
        <w:rPr>
          <w:rFonts w:ascii="Palatino Linotype" w:eastAsia="Palatino Linotype" w:hAnsi="Palatino Linotype" w:cs="Palatino Linotype"/>
          <w:sz w:val="24"/>
          <w:szCs w:val="24"/>
        </w:rPr>
        <w:t xml:space="preserve">”: Diversos recibos de nómina de los servidores públicos del Poder Legislativo, correspondiente de la quincena veintiuno a la quincena veinticuatro del año dos mil veintidós. </w:t>
      </w:r>
    </w:p>
    <w:p w14:paraId="5A89FA50" w14:textId="77777777" w:rsidR="00666F20" w:rsidRDefault="00666F20">
      <w:pPr>
        <w:spacing w:after="0" w:line="360" w:lineRule="auto"/>
        <w:jc w:val="both"/>
        <w:rPr>
          <w:rFonts w:ascii="Palatino Linotype" w:eastAsia="Palatino Linotype" w:hAnsi="Palatino Linotype" w:cs="Palatino Linotype"/>
          <w:b/>
          <w:i/>
          <w:sz w:val="24"/>
          <w:szCs w:val="24"/>
          <w:u w:val="single"/>
        </w:rPr>
      </w:pPr>
    </w:p>
    <w:p w14:paraId="7A54A2C1" w14:textId="77777777" w:rsidR="00666F20" w:rsidRDefault="00FE651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Nominas 01-05.zip</w:t>
      </w:r>
      <w:r>
        <w:rPr>
          <w:rFonts w:ascii="Palatino Linotype" w:eastAsia="Palatino Linotype" w:hAnsi="Palatino Linotype" w:cs="Palatino Linotype"/>
          <w:sz w:val="24"/>
          <w:szCs w:val="24"/>
        </w:rPr>
        <w:t>”: Diversos recibos de nómina de los servidores públicos del Poder Legislativo, correspondiente de la primera quincena a la quinta quincena del año dos mil veintitrés.</w:t>
      </w:r>
    </w:p>
    <w:p w14:paraId="1BF4C232" w14:textId="77777777" w:rsidR="00666F20" w:rsidRDefault="00666F20">
      <w:pPr>
        <w:spacing w:after="0" w:line="360" w:lineRule="auto"/>
        <w:jc w:val="both"/>
        <w:rPr>
          <w:rFonts w:ascii="Palatino Linotype" w:eastAsia="Palatino Linotype" w:hAnsi="Palatino Linotype" w:cs="Palatino Linotype"/>
          <w:b/>
          <w:i/>
          <w:sz w:val="24"/>
          <w:szCs w:val="24"/>
          <w:u w:val="single"/>
        </w:rPr>
      </w:pPr>
    </w:p>
    <w:p w14:paraId="17CACA37" w14:textId="77777777" w:rsidR="00666F20" w:rsidRDefault="00FE651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Respuesta Sol. 120- SAF.pdf</w:t>
      </w:r>
      <w:r>
        <w:rPr>
          <w:rFonts w:ascii="Palatino Linotype" w:eastAsia="Palatino Linotype" w:hAnsi="Palatino Linotype" w:cs="Palatino Linotype"/>
          <w:sz w:val="24"/>
          <w:szCs w:val="24"/>
        </w:rPr>
        <w:t xml:space="preserve">”: Oficio de fecha veintiuno de abril de dos mil veintidós, signado por el Titular de la Unidad de Transparencia, mediante el cual refiere que hace entrega de la información solicitada. </w:t>
      </w:r>
    </w:p>
    <w:p w14:paraId="59BC4F7C" w14:textId="77777777" w:rsidR="00666F20" w:rsidRDefault="00666F20">
      <w:pPr>
        <w:spacing w:after="0" w:line="360" w:lineRule="auto"/>
        <w:jc w:val="both"/>
        <w:rPr>
          <w:rFonts w:ascii="Palatino Linotype" w:eastAsia="Palatino Linotype" w:hAnsi="Palatino Linotype" w:cs="Palatino Linotype"/>
          <w:sz w:val="24"/>
          <w:szCs w:val="24"/>
        </w:rPr>
      </w:pPr>
    </w:p>
    <w:p w14:paraId="28422808" w14:textId="77777777" w:rsidR="00666F20" w:rsidRDefault="00FE651E">
      <w:pPr>
        <w:spacing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4. DEL RECURSO DE REVISIÓN. </w:t>
      </w:r>
      <w:r>
        <w:rPr>
          <w:rFonts w:ascii="Palatino Linotype" w:eastAsia="Palatino Linotype" w:hAnsi="Palatino Linotype" w:cs="Palatino Linotype"/>
          <w:sz w:val="24"/>
          <w:szCs w:val="24"/>
        </w:rPr>
        <w:t>Inconforme con la respuesta del</w:t>
      </w:r>
      <w:r>
        <w:rPr>
          <w:rFonts w:ascii="Palatino Linotype" w:eastAsia="Palatino Linotype" w:hAnsi="Palatino Linotype" w:cs="Palatino Linotype"/>
          <w:b/>
          <w:sz w:val="24"/>
          <w:szCs w:val="24"/>
        </w:rPr>
        <w:t xml:space="preserve"> SUJETO OBLIGADO, </w:t>
      </w:r>
      <w:r>
        <w:rPr>
          <w:rFonts w:ascii="Palatino Linotype" w:eastAsia="Palatino Linotype" w:hAnsi="Palatino Linotype" w:cs="Palatino Linotype"/>
          <w:sz w:val="24"/>
          <w:szCs w:val="24"/>
        </w:rPr>
        <w:t>en fecha veintiocho de abril de dos mil veintitrés</w:t>
      </w:r>
      <w:r>
        <w:rPr>
          <w:rFonts w:ascii="Palatino Linotype" w:eastAsia="Palatino Linotype" w:hAnsi="Palatino Linotype" w:cs="Palatino Linotype"/>
          <w:b/>
          <w:sz w:val="24"/>
          <w:szCs w:val="24"/>
        </w:rPr>
        <w:t xml:space="preserve">, LA PARTE </w:t>
      </w:r>
      <w:r>
        <w:rPr>
          <w:rFonts w:ascii="Palatino Linotype" w:eastAsia="Palatino Linotype" w:hAnsi="Palatino Linotype" w:cs="Palatino Linotype"/>
          <w:b/>
          <w:sz w:val="24"/>
          <w:szCs w:val="24"/>
        </w:rPr>
        <w:lastRenderedPageBreak/>
        <w:t xml:space="preserve">RECURRENTE </w:t>
      </w:r>
      <w:r>
        <w:rPr>
          <w:rFonts w:ascii="Palatino Linotype" w:eastAsia="Palatino Linotype" w:hAnsi="Palatino Linotype" w:cs="Palatino Linotype"/>
          <w:sz w:val="24"/>
          <w:szCs w:val="24"/>
        </w:rPr>
        <w:t>interpuso el recurso de revisión, el cuales fue registrado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el sistema electrónico con el expediente número </w:t>
      </w:r>
      <w:r>
        <w:rPr>
          <w:rFonts w:ascii="Palatino Linotype" w:eastAsia="Palatino Linotype" w:hAnsi="Palatino Linotype" w:cs="Palatino Linotype"/>
          <w:b/>
          <w:sz w:val="24"/>
          <w:szCs w:val="24"/>
        </w:rPr>
        <w:t>02289/INFOEM/IP/RR/2023</w:t>
      </w:r>
      <w:r>
        <w:rPr>
          <w:rFonts w:ascii="Palatino Linotype" w:eastAsia="Palatino Linotype" w:hAnsi="Palatino Linotype" w:cs="Palatino Linotype"/>
          <w:sz w:val="24"/>
          <w:szCs w:val="24"/>
        </w:rPr>
        <w:t xml:space="preserve">, en el cual manifiesta, lo siguiente: </w:t>
      </w:r>
    </w:p>
    <w:p w14:paraId="0D068889" w14:textId="77777777" w:rsidR="00666F20" w:rsidRDefault="00FE651E">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t>Acto Impugnado:</w:t>
      </w:r>
    </w:p>
    <w:p w14:paraId="4EB0AA23" w14:textId="77777777" w:rsidR="00666F20" w:rsidRDefault="00FE651E">
      <w:pPr>
        <w:tabs>
          <w:tab w:val="left" w:pos="8222"/>
        </w:tabs>
        <w:spacing w:before="240" w:after="240"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color w:val="000000"/>
        </w:rPr>
        <w:t xml:space="preserve">Respuesta proporcionada por la Unidad de Información del Poder Legislativo del Estado de México, mediante oficio número UIPL/0532/2023 suscrito por el C. Jesús Felipe Borja Coronel, Titular de la citada Unidad de Información, al cual anexó escrito de fecha 21 de abril de 2023, suscrito por la C. Evelin Cuevas Dávila, Servidora Pública Habilitada de la Secretaría de Administración y Finanzas del Poder Legislativo del Estado de México, en atención a mi Solicitud de Información con número de Folio 00120/PLEGISLA/IP/2023; respuesta que me fue notificada en fecha 21 de abril de 2023. Lo anterior, debido a que </w:t>
      </w:r>
      <w:r>
        <w:rPr>
          <w:rFonts w:ascii="Palatino Linotype" w:eastAsia="Palatino Linotype" w:hAnsi="Palatino Linotype" w:cs="Palatino Linotype"/>
          <w:b/>
          <w:i/>
          <w:color w:val="000000"/>
          <w:u w:val="single"/>
        </w:rPr>
        <w:t>no se indica el nombre y cargo de los servidores públicos que tienen asignada la función de elaboración, revisión y autorización de la Nómina Detallada de los Servidores Públicos del Poder Legislativo del Estado de México, conforme a lo solicitado</w:t>
      </w:r>
      <w:r>
        <w:rPr>
          <w:rFonts w:ascii="Palatino Linotype" w:eastAsia="Palatino Linotype" w:hAnsi="Palatino Linotype" w:cs="Palatino Linotype"/>
          <w:i/>
          <w:color w:val="000000"/>
        </w:rPr>
        <w:t>.</w:t>
      </w:r>
      <w:r>
        <w:rPr>
          <w:rFonts w:ascii="Palatino Linotype" w:eastAsia="Palatino Linotype" w:hAnsi="Palatino Linotype" w:cs="Palatino Linotype"/>
          <w:i/>
        </w:rPr>
        <w:t>” [sic]</w:t>
      </w:r>
    </w:p>
    <w:p w14:paraId="6A7BEDA9" w14:textId="77777777" w:rsidR="00666F20" w:rsidRDefault="00FE651E">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Razones o Motivos de Inconformidad</w:t>
      </w:r>
      <w:r>
        <w:rPr>
          <w:rFonts w:ascii="Palatino Linotype" w:eastAsia="Palatino Linotype" w:hAnsi="Palatino Linotype" w:cs="Palatino Linotype"/>
          <w:i/>
          <w:color w:val="000000"/>
          <w:sz w:val="24"/>
          <w:szCs w:val="24"/>
        </w:rPr>
        <w:t>:</w:t>
      </w:r>
    </w:p>
    <w:p w14:paraId="2F594A48" w14:textId="77777777" w:rsidR="00666F20" w:rsidRDefault="00FE651E">
      <w:pPr>
        <w:spacing w:before="240" w:after="0"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i/>
          <w:color w:val="000000"/>
        </w:rPr>
        <w:t xml:space="preserve">La información proporcionada, no satisface el derecho de acceso a la información pública solicitada, debido a lo siguiente: 1. Se proporcionó una relación de atribuciones genéricas de distintas unidades administrativas del Poder Legislativo del Estado de México, contenidas en el Reglamento y Manual General de Organización del citado Ente Público, así como una tabla con tres columnas (Unidad administrativa, Nombre del servidor público y Cargo), </w:t>
      </w:r>
      <w:r>
        <w:rPr>
          <w:rFonts w:ascii="Palatino Linotype" w:eastAsia="Palatino Linotype" w:hAnsi="Palatino Linotype" w:cs="Palatino Linotype"/>
          <w:b/>
          <w:i/>
          <w:color w:val="000000"/>
        </w:rPr>
        <w:t xml:space="preserve">sin señalar el nombre y cargo de los servidores públicos que tienen asignada </w:t>
      </w:r>
      <w:r>
        <w:rPr>
          <w:rFonts w:ascii="Palatino Linotype" w:eastAsia="Palatino Linotype" w:hAnsi="Palatino Linotype" w:cs="Palatino Linotype"/>
          <w:b/>
          <w:i/>
          <w:color w:val="000000"/>
          <w:u w:val="single"/>
        </w:rPr>
        <w:t>la función específica</w:t>
      </w:r>
      <w:r>
        <w:rPr>
          <w:rFonts w:ascii="Palatino Linotype" w:eastAsia="Palatino Linotype" w:hAnsi="Palatino Linotype" w:cs="Palatino Linotype"/>
          <w:b/>
          <w:i/>
          <w:color w:val="000000"/>
        </w:rPr>
        <w:t xml:space="preserve"> de elaboración, revisión y autorización de la Nómina Detallada de los Servidores Públicos del Poder Legislativo del Estado de Méxic</w:t>
      </w:r>
      <w:r>
        <w:rPr>
          <w:rFonts w:ascii="Palatino Linotype" w:eastAsia="Palatino Linotype" w:hAnsi="Palatino Linotype" w:cs="Palatino Linotype"/>
          <w:i/>
          <w:color w:val="000000"/>
        </w:rPr>
        <w:t xml:space="preserve">o. 2. Dado que el procedimiento de cálculo, revisión y autorización del pago de nómina de los servidores públicos, implica un efecto directo sobre el ejercicio de los recursos públicos, así como del cumplimiento de las disposiciones jurídicas aplicables, en </w:t>
      </w:r>
      <w:r>
        <w:rPr>
          <w:rFonts w:ascii="Palatino Linotype" w:eastAsia="Palatino Linotype" w:hAnsi="Palatino Linotype" w:cs="Palatino Linotype"/>
          <w:i/>
          <w:color w:val="000000"/>
        </w:rPr>
        <w:lastRenderedPageBreak/>
        <w:t xml:space="preserve">términos fiscales y administrativos, </w:t>
      </w:r>
      <w:r>
        <w:rPr>
          <w:rFonts w:ascii="Palatino Linotype" w:eastAsia="Palatino Linotype" w:hAnsi="Palatino Linotype" w:cs="Palatino Linotype"/>
          <w:b/>
          <w:i/>
          <w:color w:val="000000"/>
          <w:u w:val="single"/>
        </w:rPr>
        <w:t>se debe contar con la información que permita identificar a los servidores públicos que tienen asignadas las funciones específicas</w:t>
      </w:r>
      <w:r>
        <w:rPr>
          <w:rFonts w:ascii="Palatino Linotype" w:eastAsia="Palatino Linotype" w:hAnsi="Palatino Linotype" w:cs="Palatino Linotype"/>
          <w:i/>
          <w:color w:val="000000"/>
        </w:rPr>
        <w:t xml:space="preserve"> que nos ocupan en el presente recurso; por lo que la información solicitada, en términos de lo dispuesto en el artículo 3 fracción XI de la Ley de Transparencia y Acceso a la Información Pública del Estado de México y Municipios, debería constar en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3. No obstante, la respuesta a la solicitud de información proporcionada por el Sujeto Obligado, se generó en apego a lo establecido en el artículo 12 párrafo segundo de la Ley de Transparencia y Acceso a la Información Pública del Estado de México y Municipios. 4. Visto lo anterior, </w:t>
      </w:r>
      <w:r>
        <w:rPr>
          <w:rFonts w:ascii="Palatino Linotype" w:eastAsia="Palatino Linotype" w:hAnsi="Palatino Linotype" w:cs="Palatino Linotype"/>
          <w:b/>
          <w:i/>
          <w:color w:val="000000"/>
          <w:u w:val="single"/>
        </w:rPr>
        <w:t>en caso de que el Sujeto Obligado no contara con la información suficiente para identificar a los servidores públicos que tienen asignada la responsabilidad y función sustantiva de elaboración, revisión y autorización de la Nómina Detallada de los Servidores Públicos del Poder Legislativo del Estado de México, debió haberse emitido el Acuerdo de Inexistencia correspondiente</w:t>
      </w:r>
      <w:r>
        <w:rPr>
          <w:rFonts w:ascii="Palatino Linotype" w:eastAsia="Palatino Linotype" w:hAnsi="Palatino Linotype" w:cs="Palatino Linotype"/>
          <w:i/>
          <w:color w:val="000000"/>
        </w:rPr>
        <w:t xml:space="preserve">, conforme a lo dispuesto en los artículos 19, 49 fracciones II y XIII, 169 y 170 de la Ley de Transparencia y Acceso a la Información Pública del Estado de México y Municipios.” </w:t>
      </w:r>
      <w:r>
        <w:rPr>
          <w:rFonts w:ascii="Palatino Linotype" w:eastAsia="Palatino Linotype" w:hAnsi="Palatino Linotype" w:cs="Palatino Linotype"/>
          <w:i/>
        </w:rPr>
        <w:t>[sic]</w:t>
      </w:r>
    </w:p>
    <w:p w14:paraId="0F83767D" w14:textId="77777777" w:rsidR="00666F20" w:rsidRDefault="00666F20">
      <w:pPr>
        <w:spacing w:after="0" w:line="360" w:lineRule="auto"/>
        <w:jc w:val="both"/>
      </w:pPr>
    </w:p>
    <w:p w14:paraId="41655414" w14:textId="77777777" w:rsidR="00666F20" w:rsidRDefault="00FE651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el cual se adjuntan los archivos electrónicos:</w:t>
      </w:r>
    </w:p>
    <w:p w14:paraId="675765B8" w14:textId="77777777" w:rsidR="00666F20" w:rsidRDefault="00666F20">
      <w:pPr>
        <w:spacing w:after="0" w:line="360" w:lineRule="auto"/>
        <w:jc w:val="both"/>
        <w:rPr>
          <w:rFonts w:ascii="Palatino Linotype" w:eastAsia="Palatino Linotype" w:hAnsi="Palatino Linotype" w:cs="Palatino Linotype"/>
          <w:sz w:val="24"/>
          <w:szCs w:val="24"/>
        </w:rPr>
      </w:pPr>
    </w:p>
    <w:p w14:paraId="1EE6379C" w14:textId="77777777" w:rsidR="00666F20" w:rsidRDefault="00FE651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SOLICITUD DE INFORMACIÓN.pdf</w:t>
      </w:r>
      <w:r>
        <w:rPr>
          <w:rFonts w:ascii="Palatino Linotype" w:eastAsia="Palatino Linotype" w:hAnsi="Palatino Linotype" w:cs="Palatino Linotype"/>
          <w:sz w:val="24"/>
          <w:szCs w:val="24"/>
        </w:rPr>
        <w:t>”: Acuse de la solicitud de información.</w:t>
      </w:r>
    </w:p>
    <w:p w14:paraId="00F02781" w14:textId="77777777" w:rsidR="00666F20" w:rsidRDefault="00666F20">
      <w:pPr>
        <w:spacing w:after="0" w:line="360" w:lineRule="auto"/>
        <w:jc w:val="both"/>
        <w:rPr>
          <w:rFonts w:ascii="Palatino Linotype" w:eastAsia="Palatino Linotype" w:hAnsi="Palatino Linotype" w:cs="Palatino Linotype"/>
          <w:sz w:val="24"/>
          <w:szCs w:val="24"/>
        </w:rPr>
      </w:pPr>
    </w:p>
    <w:p w14:paraId="18282C73" w14:textId="77777777" w:rsidR="00666F20" w:rsidRDefault="00FE651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RESPUESTA A LA SOLICITUD.pdf</w:t>
      </w:r>
      <w:r>
        <w:rPr>
          <w:rFonts w:ascii="Palatino Linotype" w:eastAsia="Palatino Linotype" w:hAnsi="Palatino Linotype" w:cs="Palatino Linotype"/>
          <w:sz w:val="24"/>
          <w:szCs w:val="24"/>
        </w:rPr>
        <w:t xml:space="preserve">”: Oficios remitidos en respuesta, motivo por el que se declara innecesaria su descripción. </w:t>
      </w:r>
    </w:p>
    <w:p w14:paraId="583DEE2D" w14:textId="77777777" w:rsidR="00666F20" w:rsidRDefault="00666F20">
      <w:pPr>
        <w:spacing w:after="0" w:line="360" w:lineRule="auto"/>
        <w:jc w:val="both"/>
        <w:rPr>
          <w:rFonts w:ascii="Palatino Linotype" w:eastAsia="Palatino Linotype" w:hAnsi="Palatino Linotype" w:cs="Palatino Linotype"/>
          <w:sz w:val="24"/>
          <w:szCs w:val="24"/>
        </w:rPr>
      </w:pPr>
    </w:p>
    <w:p w14:paraId="5AE714BE" w14:textId="77777777" w:rsidR="00666F20" w:rsidRDefault="00FE651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RECURSO DE REVISIÓN.pdf</w:t>
      </w:r>
      <w:r>
        <w:rPr>
          <w:rFonts w:ascii="Palatino Linotype" w:eastAsia="Palatino Linotype" w:hAnsi="Palatino Linotype" w:cs="Palatino Linotype"/>
          <w:sz w:val="24"/>
          <w:szCs w:val="24"/>
        </w:rPr>
        <w:t xml:space="preserve">”: Oficios mediante el cual se describen las constancias que obran en el SAIMEX, además de mencionar que únicamente </w:t>
      </w:r>
      <w:r>
        <w:rPr>
          <w:rFonts w:ascii="Palatino Linotype" w:eastAsia="Palatino Linotype" w:hAnsi="Palatino Linotype" w:cs="Palatino Linotype"/>
          <w:b/>
          <w:sz w:val="24"/>
          <w:szCs w:val="24"/>
          <w:u w:val="single"/>
        </w:rPr>
        <w:t>se entregaron una relación de atribuciones genéricas</w:t>
      </w:r>
      <w:r>
        <w:rPr>
          <w:rFonts w:ascii="Palatino Linotype" w:eastAsia="Palatino Linotype" w:hAnsi="Palatino Linotype" w:cs="Palatino Linotype"/>
          <w:sz w:val="24"/>
          <w:szCs w:val="24"/>
        </w:rPr>
        <w:t xml:space="preserve"> de distintas unidades administrativas del Poder Legislativo, así como una columna con tres columnas (Unidad Administrativa, nombre del servidor público y cargo), </w:t>
      </w:r>
      <w:r>
        <w:rPr>
          <w:rFonts w:ascii="Palatino Linotype" w:eastAsia="Palatino Linotype" w:hAnsi="Palatino Linotype" w:cs="Palatino Linotype"/>
          <w:b/>
          <w:sz w:val="24"/>
          <w:szCs w:val="24"/>
          <w:u w:val="single"/>
        </w:rPr>
        <w:t>sin señalar el nombre y cargo de los servidores públicos que tienen la función específica</w:t>
      </w:r>
      <w:r>
        <w:rPr>
          <w:rFonts w:ascii="Palatino Linotype" w:eastAsia="Palatino Linotype" w:hAnsi="Palatino Linotype" w:cs="Palatino Linotype"/>
          <w:sz w:val="24"/>
          <w:szCs w:val="24"/>
        </w:rPr>
        <w:t xml:space="preserve"> de la elaboración, autorización y revisión de la nómina detallada del Poder Legislativo del Estado de México. </w:t>
      </w:r>
    </w:p>
    <w:p w14:paraId="6E139DD4" w14:textId="77777777" w:rsidR="00666F20" w:rsidRDefault="00FE651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5. TURNO. </w:t>
      </w:r>
      <w:r>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sz w:val="24"/>
          <w:szCs w:val="24"/>
        </w:rPr>
        <w:t xml:space="preserve">Guadalupe Ramírez Peña, </w:t>
      </w:r>
      <w:r>
        <w:rPr>
          <w:rFonts w:ascii="Palatino Linotype" w:eastAsia="Palatino Linotype" w:hAnsi="Palatino Linotype" w:cs="Palatino Linotype"/>
          <w:sz w:val="24"/>
          <w:szCs w:val="24"/>
        </w:rPr>
        <w:t xml:space="preserve">a efecto de que analizara sobre su admisión o su </w:t>
      </w:r>
      <w:proofErr w:type="spellStart"/>
      <w:r>
        <w:rPr>
          <w:rFonts w:ascii="Palatino Linotype" w:eastAsia="Palatino Linotype" w:hAnsi="Palatino Linotype" w:cs="Palatino Linotype"/>
          <w:sz w:val="24"/>
          <w:szCs w:val="24"/>
        </w:rPr>
        <w:t>desechamiento</w:t>
      </w:r>
      <w:proofErr w:type="spellEnd"/>
      <w:r>
        <w:rPr>
          <w:rFonts w:ascii="Palatino Linotype" w:eastAsia="Palatino Linotype" w:hAnsi="Palatino Linotype" w:cs="Palatino Linotype"/>
          <w:sz w:val="24"/>
          <w:szCs w:val="24"/>
        </w:rPr>
        <w:t>.</w:t>
      </w:r>
    </w:p>
    <w:p w14:paraId="019AC1EF" w14:textId="77777777" w:rsidR="00666F20" w:rsidRDefault="00666F20">
      <w:pPr>
        <w:spacing w:after="0" w:line="360" w:lineRule="auto"/>
        <w:jc w:val="both"/>
        <w:rPr>
          <w:rFonts w:ascii="Palatino Linotype" w:eastAsia="Palatino Linotype" w:hAnsi="Palatino Linotype" w:cs="Palatino Linotype"/>
          <w:sz w:val="24"/>
          <w:szCs w:val="24"/>
        </w:rPr>
      </w:pPr>
    </w:p>
    <w:p w14:paraId="290EA14D" w14:textId="77777777" w:rsidR="00666F20" w:rsidRDefault="00FE651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6. ADMISIÓN DEL RECURSO DE REVISIÓN.</w:t>
      </w:r>
      <w:r>
        <w:rPr>
          <w:rFonts w:ascii="Palatino Linotype" w:eastAsia="Palatino Linotype" w:hAnsi="Palatino Linotype" w:cs="Palatino Linotype"/>
          <w:sz w:val="24"/>
          <w:szCs w:val="24"/>
        </w:rPr>
        <w:t xml:space="preserve"> Con fecha</w:t>
      </w:r>
      <w:r>
        <w:rPr>
          <w:rFonts w:ascii="Palatino Linotype" w:eastAsia="Palatino Linotype" w:hAnsi="Palatino Linotype" w:cs="Palatino Linotype"/>
          <w:b/>
          <w:sz w:val="24"/>
          <w:szCs w:val="24"/>
        </w:rPr>
        <w:t xml:space="preserve"> cuatro de abril de dos mil veintitrés, </w:t>
      </w:r>
      <w:r>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presentara su informe justificado.</w:t>
      </w:r>
    </w:p>
    <w:p w14:paraId="314ED8A6" w14:textId="77777777" w:rsidR="00666F20" w:rsidRDefault="00666F20">
      <w:pPr>
        <w:spacing w:after="0" w:line="360" w:lineRule="auto"/>
        <w:jc w:val="both"/>
        <w:rPr>
          <w:rFonts w:ascii="Palatino Linotype" w:eastAsia="Palatino Linotype" w:hAnsi="Palatino Linotype" w:cs="Palatino Linotype"/>
          <w:sz w:val="24"/>
          <w:szCs w:val="24"/>
        </w:rPr>
      </w:pPr>
    </w:p>
    <w:p w14:paraId="38DA16D5" w14:textId="77777777" w:rsidR="00666F20" w:rsidRDefault="00FE651E">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7. MANIFESTACIONES.</w:t>
      </w:r>
      <w:r>
        <w:rPr>
          <w:rFonts w:ascii="Palatino Linotype" w:eastAsia="Palatino Linotype" w:hAnsi="Palatino Linotype" w:cs="Palatino Linotype"/>
          <w:sz w:val="24"/>
          <w:szCs w:val="24"/>
        </w:rPr>
        <w:t xml:space="preserve"> El doce de mayo de dos mil veintitrés se recibió, a través del Sistema de Acceso a la Información Mexiquense (SAIMEX), el Informe Justificado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a través del siguiente archivo electrónico: </w:t>
      </w:r>
    </w:p>
    <w:p w14:paraId="21AAC641" w14:textId="77777777" w:rsidR="00666F20" w:rsidRDefault="00666F20">
      <w:pPr>
        <w:spacing w:after="0" w:line="360" w:lineRule="auto"/>
        <w:jc w:val="both"/>
        <w:rPr>
          <w:rFonts w:ascii="Palatino Linotype" w:eastAsia="Palatino Linotype" w:hAnsi="Palatino Linotype" w:cs="Palatino Linotype"/>
          <w:sz w:val="24"/>
          <w:szCs w:val="24"/>
        </w:rPr>
      </w:pPr>
    </w:p>
    <w:p w14:paraId="2F8477BE" w14:textId="77777777" w:rsidR="00666F20" w:rsidRDefault="00FE651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Consideraciones SAF Informe RR. 2289-2023.pdf</w:t>
      </w:r>
      <w:r>
        <w:rPr>
          <w:rFonts w:ascii="Palatino Linotype" w:eastAsia="Palatino Linotype" w:hAnsi="Palatino Linotype" w:cs="Palatino Linotype"/>
          <w:sz w:val="24"/>
          <w:szCs w:val="24"/>
        </w:rPr>
        <w:t xml:space="preserve">”: Oficio de fecha cuatro de mayo de dos mil veintitrés, signado por la Servidor Pública de la Secretaría de Administración y Finanzas, mediante el cual describe las constancias que obran en el SAIMEX, mediante el cual precisa que proporcionaron los nombres y cargos de los servidores públicos de las unidades administrativas encargados de la elaboración, revisión y autorización de la nómina de los servidores públicos del Poder Legislativo. </w:t>
      </w:r>
    </w:p>
    <w:p w14:paraId="07F27C7C" w14:textId="77777777" w:rsidR="00666F20" w:rsidRDefault="00666F20">
      <w:pPr>
        <w:spacing w:after="0" w:line="360" w:lineRule="auto"/>
        <w:jc w:val="both"/>
        <w:rPr>
          <w:rFonts w:ascii="Palatino Linotype" w:eastAsia="Palatino Linotype" w:hAnsi="Palatino Linotype" w:cs="Palatino Linotype"/>
          <w:sz w:val="24"/>
          <w:szCs w:val="24"/>
        </w:rPr>
      </w:pPr>
    </w:p>
    <w:p w14:paraId="7C9E46F5" w14:textId="77777777" w:rsidR="00666F20" w:rsidRDefault="00FE651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Informe justificado RR. 2289-2023 (sol. 102-2023).</w:t>
      </w:r>
      <w:proofErr w:type="spellStart"/>
      <w:r>
        <w:rPr>
          <w:rFonts w:ascii="Palatino Linotype" w:eastAsia="Palatino Linotype" w:hAnsi="Palatino Linotype" w:cs="Palatino Linotype"/>
          <w:b/>
          <w:i/>
          <w:sz w:val="24"/>
          <w:szCs w:val="24"/>
          <w:u w:val="single"/>
        </w:rPr>
        <w:t>pdf</w:t>
      </w:r>
      <w:proofErr w:type="spellEnd"/>
      <w:r>
        <w:rPr>
          <w:rFonts w:ascii="Palatino Linotype" w:eastAsia="Palatino Linotype" w:hAnsi="Palatino Linotype" w:cs="Palatino Linotype"/>
          <w:sz w:val="24"/>
          <w:szCs w:val="24"/>
        </w:rPr>
        <w:t xml:space="preserve">”: Oficio de fecha doce de mayo de dos mil veintitrés, signado por el Titular de la Unidad de Información, mediante el cual describe </w:t>
      </w:r>
      <w:proofErr w:type="gramStart"/>
      <w:r>
        <w:rPr>
          <w:rFonts w:ascii="Palatino Linotype" w:eastAsia="Palatino Linotype" w:hAnsi="Palatino Linotype" w:cs="Palatino Linotype"/>
          <w:sz w:val="24"/>
          <w:szCs w:val="24"/>
        </w:rPr>
        <w:t>las constancia</w:t>
      </w:r>
      <w:proofErr w:type="gramEnd"/>
      <w:r>
        <w:rPr>
          <w:rFonts w:ascii="Palatino Linotype" w:eastAsia="Palatino Linotype" w:hAnsi="Palatino Linotype" w:cs="Palatino Linotype"/>
          <w:sz w:val="24"/>
          <w:szCs w:val="24"/>
        </w:rPr>
        <w:t xml:space="preserve"> que obran en el SAIMEX, solicitando en términos generales, se confirme su respuesta inicial.</w:t>
      </w:r>
    </w:p>
    <w:p w14:paraId="5F1521C2" w14:textId="77777777" w:rsidR="00666F20" w:rsidRDefault="00666F20">
      <w:pPr>
        <w:spacing w:after="0" w:line="360" w:lineRule="auto"/>
        <w:jc w:val="both"/>
        <w:rPr>
          <w:rFonts w:ascii="Palatino Linotype" w:eastAsia="Palatino Linotype" w:hAnsi="Palatino Linotype" w:cs="Palatino Linotype"/>
          <w:sz w:val="24"/>
          <w:szCs w:val="24"/>
        </w:rPr>
      </w:pPr>
    </w:p>
    <w:p w14:paraId="48BCF9F3" w14:textId="77777777" w:rsidR="00666F20" w:rsidRDefault="00FE651E">
      <w:pPr>
        <w:spacing w:after="0" w:line="360" w:lineRule="auto"/>
        <w:ind w:right="-234"/>
        <w:jc w:val="both"/>
        <w:rPr>
          <w:rFonts w:ascii="Palatino Linotype" w:eastAsia="Palatino Linotype" w:hAnsi="Palatino Linotype" w:cs="Palatino Linotype"/>
          <w:color w:val="202124"/>
        </w:rPr>
      </w:pPr>
      <w:r>
        <w:rPr>
          <w:rFonts w:ascii="Palatino Linotype" w:eastAsia="Palatino Linotype" w:hAnsi="Palatino Linotype" w:cs="Palatino Linotype"/>
          <w:b/>
          <w:sz w:val="24"/>
          <w:szCs w:val="24"/>
        </w:rPr>
        <w:t>8. AMPLIACIÓN DEL TÉRMINO PARA RESOLVER.</w:t>
      </w:r>
      <w:r>
        <w:rPr>
          <w:rFonts w:ascii="Palatino Linotype" w:eastAsia="Palatino Linotype" w:hAnsi="Palatino Linotype" w:cs="Palatino Linotype"/>
          <w:color w:val="202124"/>
          <w:sz w:val="24"/>
          <w:szCs w:val="24"/>
          <w:highlight w:val="white"/>
        </w:rPr>
        <w:t xml:space="preserve"> En fecha diecinueve de junio del dos mil veintitrés, este Instituto con fundamento en el artículo 181, párrafo tercero de la Ley de Transparencia y Acceso a la Información Pública del Estado de México y Municipios, determinó mediante el acuerdo respectivo, ampliar por quince días </w:t>
      </w:r>
      <w:r>
        <w:rPr>
          <w:rFonts w:ascii="Palatino Linotype" w:eastAsia="Palatino Linotype" w:hAnsi="Palatino Linotype" w:cs="Palatino Linotype"/>
          <w:color w:val="202124"/>
          <w:sz w:val="24"/>
          <w:szCs w:val="24"/>
          <w:highlight w:val="white"/>
        </w:rPr>
        <w:lastRenderedPageBreak/>
        <w:t>hábiles adicionales el plazo para emitir la presente resolución a fin de realizar un mejor estudio del asunto.</w:t>
      </w:r>
    </w:p>
    <w:p w14:paraId="14CDBD64" w14:textId="77777777" w:rsidR="00666F20" w:rsidRDefault="00666F20">
      <w:pPr>
        <w:spacing w:after="0" w:line="360" w:lineRule="auto"/>
        <w:ind w:right="-234"/>
        <w:jc w:val="both"/>
        <w:rPr>
          <w:rFonts w:ascii="Palatino Linotype" w:eastAsia="Palatino Linotype" w:hAnsi="Palatino Linotype" w:cs="Palatino Linotype"/>
        </w:rPr>
      </w:pPr>
    </w:p>
    <w:p w14:paraId="33E75E33" w14:textId="77777777" w:rsidR="00666F20" w:rsidRDefault="00FE651E">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t>9. DEL CIERRE DE INSTRUCCIÓN.</w:t>
      </w:r>
      <w:r>
        <w:rPr>
          <w:rFonts w:ascii="Palatino Linotype" w:eastAsia="Palatino Linotype" w:hAnsi="Palatino Linotype" w:cs="Palatino Linotype"/>
          <w:b/>
          <w:sz w:val="24"/>
          <w:szCs w:val="24"/>
        </w:rPr>
        <w:tab/>
      </w:r>
      <w:r>
        <w:rPr>
          <w:rFonts w:ascii="Palatino Linotype" w:eastAsia="Palatino Linotype" w:hAnsi="Palatino Linotype" w:cs="Palatino Linotype"/>
          <w:color w:val="000000"/>
          <w:sz w:val="24"/>
          <w:szCs w:val="24"/>
        </w:rPr>
        <w:t>El veintidós de junio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4E159F32" w14:textId="77777777" w:rsidR="00666F20" w:rsidRDefault="00666F20">
      <w:pPr>
        <w:spacing w:after="0" w:line="360" w:lineRule="auto"/>
        <w:jc w:val="both"/>
        <w:rPr>
          <w:rFonts w:ascii="Palatino Linotype" w:eastAsia="Palatino Linotype" w:hAnsi="Palatino Linotype" w:cs="Palatino Linotype"/>
          <w:sz w:val="24"/>
          <w:szCs w:val="24"/>
        </w:rPr>
      </w:pPr>
    </w:p>
    <w:p w14:paraId="2E8924BF" w14:textId="77777777" w:rsidR="00666F20" w:rsidRDefault="00FE651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5E537639" w14:textId="77777777" w:rsidR="00666F20" w:rsidRDefault="00666F20">
      <w:pPr>
        <w:spacing w:after="0" w:line="360" w:lineRule="auto"/>
        <w:jc w:val="both"/>
      </w:pPr>
    </w:p>
    <w:p w14:paraId="42EB4372" w14:textId="77777777" w:rsidR="00666F20" w:rsidRDefault="00FE651E">
      <w:pPr>
        <w:widowControl w:val="0"/>
        <w:spacing w:after="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 O N S I D E R A N D O S</w:t>
      </w:r>
    </w:p>
    <w:p w14:paraId="568744FA" w14:textId="77777777" w:rsidR="00666F20" w:rsidRDefault="00666F20">
      <w:pPr>
        <w:spacing w:after="0" w:line="360" w:lineRule="auto"/>
        <w:jc w:val="both"/>
        <w:rPr>
          <w:rFonts w:ascii="Palatino Linotype" w:eastAsia="Palatino Linotype" w:hAnsi="Palatino Linotype" w:cs="Palatino Linotype"/>
          <w:b/>
          <w:sz w:val="24"/>
          <w:szCs w:val="24"/>
        </w:rPr>
      </w:pPr>
    </w:p>
    <w:p w14:paraId="1E6E1F7C" w14:textId="77777777" w:rsidR="00666F20" w:rsidRDefault="00FE651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 COMPETENCIA.</w:t>
      </w:r>
      <w:r>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w:t>
      </w:r>
      <w:r>
        <w:rPr>
          <w:rFonts w:ascii="Palatino Linotype" w:eastAsia="Palatino Linotype" w:hAnsi="Palatino Linotype" w:cs="Palatino Linotype"/>
          <w:sz w:val="24"/>
          <w:szCs w:val="24"/>
        </w:rPr>
        <w:lastRenderedPageBreak/>
        <w:t>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1BAAAC6" w14:textId="77777777" w:rsidR="00666F20" w:rsidRDefault="00666F20">
      <w:pPr>
        <w:spacing w:after="0" w:line="360" w:lineRule="auto"/>
        <w:jc w:val="both"/>
        <w:rPr>
          <w:rFonts w:ascii="Palatino Linotype" w:eastAsia="Palatino Linotype" w:hAnsi="Palatino Linotype" w:cs="Palatino Linotype"/>
          <w:sz w:val="24"/>
          <w:szCs w:val="24"/>
        </w:rPr>
      </w:pPr>
    </w:p>
    <w:p w14:paraId="71360F6C" w14:textId="77777777" w:rsidR="00666F20" w:rsidRDefault="00FE651E">
      <w:pPr>
        <w:spacing w:after="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SEGUNDO. OPORTUNIDAD Y PROCEDIBILIDAD DEL RECURSO DE REVISIÓN.  </w:t>
      </w:r>
      <w:r>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1FA837E" w14:textId="77777777" w:rsidR="00666F20" w:rsidRDefault="00666F20">
      <w:pPr>
        <w:spacing w:after="0" w:line="360" w:lineRule="auto"/>
        <w:ind w:right="-234"/>
        <w:jc w:val="both"/>
        <w:rPr>
          <w:rFonts w:ascii="Palatino Linotype" w:eastAsia="Palatino Linotype" w:hAnsi="Palatino Linotype" w:cs="Palatino Linotype"/>
          <w:sz w:val="24"/>
          <w:szCs w:val="24"/>
        </w:rPr>
      </w:pPr>
    </w:p>
    <w:p w14:paraId="429360D9" w14:textId="77777777" w:rsidR="00666F20" w:rsidRDefault="00FE651E">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Pr>
          <w:rFonts w:ascii="Palatino Linotype" w:eastAsia="Palatino Linotype" w:hAnsi="Palatino Linotype" w:cs="Palatino Linotype"/>
          <w:b/>
          <w:sz w:val="24"/>
          <w:szCs w:val="24"/>
        </w:rPr>
        <w:t xml:space="preserve"> EL SUJETO OBLIGADO </w:t>
      </w:r>
      <w:r>
        <w:rPr>
          <w:rFonts w:ascii="Palatino Linotype" w:eastAsia="Palatino Linotype" w:hAnsi="Palatino Linotype" w:cs="Palatino Linotype"/>
          <w:sz w:val="24"/>
          <w:szCs w:val="24"/>
        </w:rPr>
        <w:t xml:space="preserve">emitió la respuesta, toda vez que esta fue pronunciada el día veintiuno de abril del año dos mil veintitrés, mientras que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interpuso el recurso de revisión en fecha veintiocho de abril de dos mil veintitrés, </w:t>
      </w:r>
      <w:r>
        <w:rPr>
          <w:rFonts w:ascii="Palatino Linotype" w:eastAsia="Palatino Linotype" w:hAnsi="Palatino Linotype" w:cs="Palatino Linotype"/>
          <w:color w:val="000000"/>
          <w:sz w:val="24"/>
          <w:szCs w:val="24"/>
        </w:rPr>
        <w:t>esto es al quinto día hábil de haber recibido la respuesta.</w:t>
      </w:r>
    </w:p>
    <w:p w14:paraId="2AF74A23" w14:textId="77777777" w:rsidR="00666F20" w:rsidRDefault="00666F20">
      <w:pPr>
        <w:spacing w:after="0" w:line="360" w:lineRule="auto"/>
        <w:jc w:val="both"/>
        <w:rPr>
          <w:rFonts w:ascii="Palatino Linotype" w:eastAsia="Palatino Linotype" w:hAnsi="Palatino Linotype" w:cs="Palatino Linotype"/>
          <w:color w:val="000000"/>
          <w:sz w:val="24"/>
          <w:szCs w:val="24"/>
        </w:rPr>
      </w:pPr>
    </w:p>
    <w:p w14:paraId="6BE3EA5E" w14:textId="77777777" w:rsidR="00666F20" w:rsidRDefault="00FE651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sentido, al considerar la fecha en que se formuló la solicitud y la fecha en la que respondió a esta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así como, en la que se interpuso el </w:t>
      </w:r>
      <w:r>
        <w:rPr>
          <w:rFonts w:ascii="Palatino Linotype" w:eastAsia="Palatino Linotype" w:hAnsi="Palatino Linotype" w:cs="Palatino Linotype"/>
          <w:sz w:val="24"/>
          <w:szCs w:val="24"/>
        </w:rPr>
        <w:lastRenderedPageBreak/>
        <w:t>recurso de revisión, este se encuentra dentro de los márgenes temporales previstos en el citado precepto legal.</w:t>
      </w:r>
    </w:p>
    <w:p w14:paraId="21A30732" w14:textId="77777777" w:rsidR="00666F20" w:rsidRDefault="00666F20">
      <w:pPr>
        <w:spacing w:after="0" w:line="360" w:lineRule="auto"/>
        <w:jc w:val="both"/>
        <w:rPr>
          <w:rFonts w:ascii="Palatino Linotype" w:eastAsia="Palatino Linotype" w:hAnsi="Palatino Linotype" w:cs="Palatino Linotype"/>
          <w:sz w:val="24"/>
          <w:szCs w:val="24"/>
        </w:rPr>
      </w:pPr>
    </w:p>
    <w:p w14:paraId="0657C423" w14:textId="77777777" w:rsidR="00666F20" w:rsidRDefault="00FE651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Además, por cuanto hace a la procedibilidad del recurso de revisión, es de suma importancia señalar que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señaló un seudónimo con el cual desea ser identificado, como se advierte en el detalle de seguimiento del SAIMEX, no obstante lo anterior, proporcionar un seudónimo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00C2451" w14:textId="77777777" w:rsidR="00666F20" w:rsidRDefault="00FE651E">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Las solicitudes </w:t>
      </w:r>
      <w:r>
        <w:rPr>
          <w:rFonts w:ascii="Palatino Linotype" w:eastAsia="Palatino Linotype" w:hAnsi="Palatino Linotype" w:cs="Palatino Linotype"/>
          <w:i/>
        </w:rPr>
        <w:t xml:space="preserve">anónimas, con nombre incompleto o </w:t>
      </w:r>
      <w:r>
        <w:rPr>
          <w:rFonts w:ascii="Palatino Linotype" w:eastAsia="Palatino Linotype" w:hAnsi="Palatino Linotype" w:cs="Palatino Linotype"/>
          <w:b/>
          <w:i/>
        </w:rPr>
        <w:t>seudónimo</w:t>
      </w:r>
      <w:r>
        <w:rPr>
          <w:rFonts w:ascii="Palatino Linotype" w:eastAsia="Palatino Linotype" w:hAnsi="Palatino Linotype" w:cs="Palatino Linotype"/>
          <w:i/>
        </w:rPr>
        <w:t xml:space="preserve"> serán procedentes para su trámite por parte del sujeto obligado ante quien se presente. No podrá requerirse información adicional con motivo del nombre proporcionado por el solicitante."</w:t>
      </w:r>
    </w:p>
    <w:p w14:paraId="1CDA1AB5" w14:textId="77777777" w:rsidR="00666F20" w:rsidRDefault="00666F20">
      <w:pPr>
        <w:spacing w:after="0" w:line="360" w:lineRule="auto"/>
        <w:ind w:left="851" w:right="902"/>
        <w:jc w:val="both"/>
        <w:rPr>
          <w:rFonts w:ascii="Palatino Linotype" w:eastAsia="Palatino Linotype" w:hAnsi="Palatino Linotype" w:cs="Palatino Linotype"/>
          <w:sz w:val="24"/>
          <w:szCs w:val="24"/>
        </w:rPr>
      </w:pPr>
    </w:p>
    <w:p w14:paraId="763F5F27" w14:textId="77777777" w:rsidR="00666F20" w:rsidRDefault="00FE651E">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Pr>
          <w:rFonts w:ascii="Palatino Linotype" w:eastAsia="Palatino Linotype" w:hAnsi="Palatino Linotype" w:cs="Palatino Linotype"/>
          <w:b/>
          <w:sz w:val="24"/>
          <w:szCs w:val="24"/>
        </w:rPr>
        <w:t>EL SAIMEX.</w:t>
      </w:r>
    </w:p>
    <w:p w14:paraId="78324D5B" w14:textId="77777777" w:rsidR="00666F20" w:rsidRDefault="00666F20">
      <w:pPr>
        <w:spacing w:after="0" w:line="360" w:lineRule="auto"/>
        <w:jc w:val="both"/>
        <w:rPr>
          <w:rFonts w:ascii="Palatino Linotype" w:eastAsia="Palatino Linotype" w:hAnsi="Palatino Linotype" w:cs="Palatino Linotype"/>
          <w:color w:val="000000"/>
          <w:sz w:val="24"/>
          <w:szCs w:val="24"/>
        </w:rPr>
      </w:pPr>
    </w:p>
    <w:p w14:paraId="3CCE955E" w14:textId="77777777" w:rsidR="00666F20" w:rsidRDefault="00FE651E">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Finalmente, resulta procedente la interposición del recurso, según lo aducido por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en sus razones o motivos de inconformidad, de acuerdo al </w:t>
      </w:r>
      <w:r>
        <w:rPr>
          <w:rFonts w:ascii="Palatino Linotype" w:eastAsia="Palatino Linotype" w:hAnsi="Palatino Linotype" w:cs="Palatino Linotype"/>
          <w:sz w:val="24"/>
          <w:szCs w:val="24"/>
        </w:rPr>
        <w:lastRenderedPageBreak/>
        <w:t>artículo 179, fracción VI</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sz w:val="24"/>
          <w:szCs w:val="24"/>
        </w:rPr>
        <w:t>de la Ley de Transparencia y Acceso a la Información Pública del Estado de México y Municipios; que a la letra dice:</w:t>
      </w:r>
    </w:p>
    <w:p w14:paraId="5C4513FC" w14:textId="77777777" w:rsidR="00666F20" w:rsidRDefault="00666F20">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p>
    <w:p w14:paraId="611C8668" w14:textId="77777777" w:rsidR="00666F20" w:rsidRDefault="00FE651E">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“Artículo 179</w:t>
      </w:r>
      <w:r>
        <w:rPr>
          <w:rFonts w:ascii="Palatino Linotype" w:eastAsia="Palatino Linotype" w:hAnsi="Palatino Linotype" w:cs="Palatino Linotype"/>
          <w:i/>
        </w:rPr>
        <w:t xml:space="preserve">. </w:t>
      </w:r>
      <w:r>
        <w:rPr>
          <w:rFonts w:ascii="Palatino Linotype" w:eastAsia="Palatino Linotype" w:hAnsi="Palatino Linotype" w:cs="Palatino Linotype"/>
          <w:b/>
          <w:i/>
        </w:rPr>
        <w:t>El recurso de revisión</w:t>
      </w:r>
      <w:r>
        <w:rPr>
          <w:rFonts w:ascii="Palatino Linotype" w:eastAsia="Palatino Linotype" w:hAnsi="Palatino Linotype" w:cs="Palatino Linotype"/>
          <w:i/>
        </w:rPr>
        <w:t xml:space="preserve"> es un medio de protección que la Ley otorga a los particulares, para hacer valer su derecho de acceso a la información pública</w:t>
      </w:r>
      <w:r>
        <w:rPr>
          <w:rFonts w:ascii="Palatino Linotype" w:eastAsia="Palatino Linotype" w:hAnsi="Palatino Linotype" w:cs="Palatino Linotype"/>
          <w:b/>
          <w:i/>
        </w:rPr>
        <w:t>, y procederá en contra de las siguientes causas</w:t>
      </w:r>
      <w:r>
        <w:rPr>
          <w:rFonts w:ascii="Palatino Linotype" w:eastAsia="Palatino Linotype" w:hAnsi="Palatino Linotype" w:cs="Palatino Linotype"/>
          <w:i/>
        </w:rPr>
        <w:t>:</w:t>
      </w:r>
    </w:p>
    <w:p w14:paraId="1E5D3826" w14:textId="77777777" w:rsidR="00666F20" w:rsidRDefault="00FE651E">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w:t>
      </w:r>
      <w:r>
        <w:rPr>
          <w:rFonts w:ascii="Palatino Linotype" w:eastAsia="Palatino Linotype" w:hAnsi="Palatino Linotype" w:cs="Palatino Linotype"/>
          <w:i/>
        </w:rPr>
        <w:t>…)</w:t>
      </w:r>
    </w:p>
    <w:p w14:paraId="793FC0A6" w14:textId="77777777" w:rsidR="00666F20" w:rsidRDefault="00FE651E">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VI. La entrega de información que no corresponda con lo solicitado;</w:t>
      </w:r>
    </w:p>
    <w:p w14:paraId="1DCE9F03" w14:textId="77777777" w:rsidR="00666F20" w:rsidRDefault="00666F20">
      <w:pPr>
        <w:spacing w:after="0" w:line="360" w:lineRule="auto"/>
        <w:jc w:val="both"/>
        <w:rPr>
          <w:rFonts w:ascii="Palatino Linotype" w:eastAsia="Palatino Linotype" w:hAnsi="Palatino Linotype" w:cs="Palatino Linotype"/>
          <w:sz w:val="24"/>
          <w:szCs w:val="24"/>
        </w:rPr>
      </w:pPr>
    </w:p>
    <w:p w14:paraId="1AB6EF90" w14:textId="77777777" w:rsidR="00666F20" w:rsidRDefault="00FE651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TERCERO. MATERIA DE LA REVISIÓN. </w:t>
      </w:r>
      <w:r>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e informe justificado otorgado por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es adecuada y suficiente para satisfacer el derecho de acceso a la información pública de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o en su defecto, en caso de ser procedente, ordenar la entrega de información oportuna.</w:t>
      </w:r>
    </w:p>
    <w:p w14:paraId="77112700" w14:textId="77777777" w:rsidR="00666F20" w:rsidRDefault="00666F20">
      <w:pPr>
        <w:spacing w:after="0" w:line="360" w:lineRule="auto"/>
        <w:jc w:val="both"/>
        <w:rPr>
          <w:rFonts w:ascii="Palatino Linotype" w:eastAsia="Palatino Linotype" w:hAnsi="Palatino Linotype" w:cs="Palatino Linotype"/>
          <w:sz w:val="24"/>
          <w:szCs w:val="24"/>
        </w:rPr>
      </w:pPr>
    </w:p>
    <w:p w14:paraId="681213F9" w14:textId="77777777" w:rsidR="00666F20" w:rsidRDefault="00FE651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000000"/>
          <w:sz w:val="24"/>
          <w:szCs w:val="24"/>
        </w:rPr>
        <w:t xml:space="preserve">CUARTO. ESTUDIO Y RESOLUCIÓN DEL ASUNTO.  </w:t>
      </w:r>
      <w:r>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89523BB" w14:textId="77777777" w:rsidR="00666F20" w:rsidRDefault="00666F20">
      <w:pPr>
        <w:spacing w:after="0" w:line="360" w:lineRule="auto"/>
        <w:jc w:val="both"/>
        <w:rPr>
          <w:rFonts w:ascii="Palatino Linotype" w:eastAsia="Palatino Linotype" w:hAnsi="Palatino Linotype" w:cs="Palatino Linotype"/>
          <w:sz w:val="24"/>
          <w:szCs w:val="24"/>
        </w:rPr>
      </w:pPr>
    </w:p>
    <w:p w14:paraId="2C888278" w14:textId="77777777" w:rsidR="00666F20" w:rsidRDefault="00FE651E">
      <w:pPr>
        <w:tabs>
          <w:tab w:val="left" w:pos="709"/>
        </w:tabs>
        <w:spacing w:after="0"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b/>
          <w:i/>
          <w:u w:val="single"/>
        </w:rPr>
        <w:lastRenderedPageBreak/>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0C01FEA7" w14:textId="77777777" w:rsidR="00666F20" w:rsidRDefault="00FE651E">
      <w:pPr>
        <w:tabs>
          <w:tab w:val="left" w:pos="709"/>
        </w:tabs>
        <w:spacing w:line="276" w:lineRule="auto"/>
        <w:ind w:left="851" w:right="850"/>
        <w:jc w:val="both"/>
        <w:rPr>
          <w:rFonts w:ascii="Palatino Linotype" w:eastAsia="Palatino Linotype" w:hAnsi="Palatino Linotype" w:cs="Palatino Linotype"/>
          <w:b/>
          <w:i/>
        </w:rPr>
      </w:pPr>
      <w:r>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439303F7" w14:textId="77777777" w:rsidR="00666F20" w:rsidRDefault="00FE651E">
      <w:pPr>
        <w:tabs>
          <w:tab w:val="left" w:pos="709"/>
        </w:tabs>
        <w:spacing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7A0BF684" w14:textId="77777777" w:rsidR="00666F20" w:rsidRDefault="00FE651E">
      <w:pPr>
        <w:tabs>
          <w:tab w:val="left" w:pos="709"/>
        </w:tabs>
        <w:ind w:left="851" w:right="85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37FD1359" w14:textId="77777777" w:rsidR="00666F20" w:rsidRDefault="00FE651E">
      <w:pPr>
        <w:ind w:left="851" w:right="901"/>
        <w:jc w:val="both"/>
        <w:rPr>
          <w:rFonts w:ascii="Palatino Linotype" w:eastAsia="Palatino Linotype" w:hAnsi="Palatino Linotype" w:cs="Palatino Linotype"/>
          <w:i/>
        </w:rPr>
      </w:pPr>
      <w:r>
        <w:rPr>
          <w:rFonts w:ascii="Palatino Linotype" w:eastAsia="Palatino Linotype" w:hAnsi="Palatino Linotype" w:cs="Palatino Linotype"/>
          <w:b/>
          <w:i/>
        </w:rPr>
        <w:t>“Artículo 6o.</w:t>
      </w:r>
    </w:p>
    <w:p w14:paraId="02DC1EAB" w14:textId="77777777" w:rsidR="00666F20" w:rsidRDefault="00FE651E">
      <w:pPr>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519137B9" w14:textId="77777777" w:rsidR="00666F20" w:rsidRDefault="00FE651E">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 Para el ejercicio del derecho de acceso a la información, la Federación y </w:t>
      </w:r>
      <w:r>
        <w:rPr>
          <w:rFonts w:ascii="Palatino Linotype" w:eastAsia="Palatino Linotype" w:hAnsi="Palatino Linotype" w:cs="Palatino Linotype"/>
          <w:b/>
          <w:i/>
          <w:u w:val="single"/>
        </w:rPr>
        <w:t>las entidades federativas</w:t>
      </w:r>
      <w:r>
        <w:rPr>
          <w:rFonts w:ascii="Palatino Linotype" w:eastAsia="Palatino Linotype" w:hAnsi="Palatino Linotype" w:cs="Palatino Linotype"/>
          <w:b/>
          <w:i/>
        </w:rPr>
        <w:t>,</w:t>
      </w:r>
      <w:r>
        <w:rPr>
          <w:rFonts w:ascii="Palatino Linotype" w:eastAsia="Palatino Linotype" w:hAnsi="Palatino Linotype" w:cs="Palatino Linotype"/>
          <w:i/>
        </w:rPr>
        <w:t xml:space="preserve"> en el ámbito de sus respectivas competencias, se regirán por los siguientes principios y bases:</w:t>
      </w:r>
    </w:p>
    <w:p w14:paraId="4B13977D" w14:textId="77777777" w:rsidR="00666F20" w:rsidRDefault="00FE651E">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p>
    <w:p w14:paraId="49A77ABD" w14:textId="77777777" w:rsidR="00666F20" w:rsidRDefault="00FE651E">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I. </w:t>
      </w:r>
      <w:r>
        <w:rPr>
          <w:rFonts w:ascii="Palatino Linotype" w:eastAsia="Palatino Linotype" w:hAnsi="Palatino Linotype" w:cs="Palatino Linotype"/>
          <w:b/>
          <w:i/>
          <w:u w:val="single"/>
        </w:rPr>
        <w:t>Toda la información en posesión de cualquier autoridad, entidad, órgano y organismo de los Poderes</w:t>
      </w:r>
      <w:r>
        <w:rPr>
          <w:rFonts w:ascii="Palatino Linotype" w:eastAsia="Palatino Linotype" w:hAnsi="Palatino Linotype" w:cs="Palatino Linotype"/>
          <w:i/>
        </w:rPr>
        <w:t xml:space="preserve"> Ejecutivo, Legislativo </w:t>
      </w:r>
      <w:r>
        <w:rPr>
          <w:rFonts w:ascii="Palatino Linotype" w:eastAsia="Palatino Linotype" w:hAnsi="Palatino Linotype" w:cs="Palatino Linotype"/>
          <w:b/>
          <w:i/>
          <w:u w:val="single"/>
        </w:rPr>
        <w:t>y Judicial</w:t>
      </w:r>
      <w:r>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rPr>
        <w:t>es pública y sólo podrá ser reservada temporalmente por razones de interés público y seguridad nacional,</w:t>
      </w:r>
      <w:r>
        <w:rPr>
          <w:rFonts w:ascii="Palatino Linotype" w:eastAsia="Palatino Linotype" w:hAnsi="Palatino Linotype" w:cs="Palatino Linotype"/>
          <w:i/>
        </w:rPr>
        <w:t xml:space="preserve"> en los términos que fijen las leyes. En la interpretación de </w:t>
      </w:r>
      <w:r>
        <w:rPr>
          <w:rFonts w:ascii="Palatino Linotype" w:eastAsia="Palatino Linotype" w:hAnsi="Palatino Linotype" w:cs="Palatino Linotype"/>
          <w:i/>
        </w:rPr>
        <w:lastRenderedPageBreak/>
        <w:t>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91C86D1" w14:textId="77777777" w:rsidR="00666F20" w:rsidRDefault="00FE651E">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p>
    <w:p w14:paraId="166CD7D2" w14:textId="77777777" w:rsidR="00666F20" w:rsidRDefault="00FE651E">
      <w:pPr>
        <w:spacing w:line="276" w:lineRule="auto"/>
        <w:ind w:left="851" w:right="851"/>
        <w:jc w:val="both"/>
        <w:rPr>
          <w:rFonts w:ascii="Palatino Linotype" w:eastAsia="Palatino Linotype" w:hAnsi="Palatino Linotype" w:cs="Palatino Linotype"/>
          <w:b/>
          <w:i/>
        </w:rPr>
      </w:pPr>
      <w:r>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68A0493C" w14:textId="77777777" w:rsidR="00666F20" w:rsidRDefault="00FE651E">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III. </w:t>
      </w:r>
      <w:r>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Pr>
          <w:rFonts w:ascii="Palatino Linotype" w:eastAsia="Palatino Linotype" w:hAnsi="Palatino Linotype" w:cs="Palatino Linotype"/>
          <w:i/>
        </w:rPr>
        <w:t xml:space="preserve"> a sus datos personales o a la rectificación de éstos.</w:t>
      </w:r>
    </w:p>
    <w:p w14:paraId="68267A9B" w14:textId="77777777" w:rsidR="00666F20" w:rsidRDefault="00FE651E">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p>
    <w:p w14:paraId="273A7728" w14:textId="77777777" w:rsidR="00666F20" w:rsidRDefault="00FE651E">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IV. </w:t>
      </w:r>
      <w:r>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08FA1420" w14:textId="77777777" w:rsidR="00666F20" w:rsidRDefault="00FE651E">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V. </w:t>
      </w:r>
      <w:r>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CE2B3E3" w14:textId="77777777" w:rsidR="00666F20" w:rsidRDefault="00FE651E">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p>
    <w:p w14:paraId="201C085F" w14:textId="77777777" w:rsidR="00666F20" w:rsidRDefault="00FE651E">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VI. </w:t>
      </w:r>
      <w:r>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 </w:t>
      </w:r>
    </w:p>
    <w:p w14:paraId="6E79F68E" w14:textId="77777777" w:rsidR="00666F20" w:rsidRDefault="00FE651E">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VII. </w:t>
      </w:r>
      <w:r>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57F4A1D1" w14:textId="77777777" w:rsidR="00666F20" w:rsidRDefault="00666F20">
      <w:pPr>
        <w:tabs>
          <w:tab w:val="left" w:pos="709"/>
        </w:tabs>
        <w:spacing w:after="0" w:line="360" w:lineRule="auto"/>
        <w:jc w:val="both"/>
        <w:rPr>
          <w:rFonts w:ascii="Palatino Linotype" w:eastAsia="Palatino Linotype" w:hAnsi="Palatino Linotype" w:cs="Palatino Linotype"/>
          <w:sz w:val="24"/>
          <w:szCs w:val="24"/>
        </w:rPr>
      </w:pPr>
    </w:p>
    <w:p w14:paraId="5EF0AF0F" w14:textId="77777777" w:rsidR="00666F20" w:rsidRDefault="00FE651E">
      <w:pPr>
        <w:tabs>
          <w:tab w:val="left" w:pos="709"/>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de la interpretación sistémica de los numerales inmersos en los instrumentos legales Internacionales y Nacional, el derecho de acceso a la información es un </w:t>
      </w:r>
      <w:r>
        <w:rPr>
          <w:rFonts w:ascii="Palatino Linotype" w:eastAsia="Palatino Linotype" w:hAnsi="Palatino Linotype" w:cs="Palatino Linotype"/>
          <w:sz w:val="24"/>
          <w:szCs w:val="24"/>
        </w:rPr>
        <w:lastRenderedPageBreak/>
        <w:t>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5278AE03" w14:textId="77777777" w:rsidR="00666F20" w:rsidRDefault="00666F20">
      <w:pPr>
        <w:spacing w:after="0" w:line="360" w:lineRule="auto"/>
        <w:jc w:val="both"/>
        <w:rPr>
          <w:rFonts w:ascii="Palatino Linotype" w:eastAsia="Palatino Linotype" w:hAnsi="Palatino Linotype" w:cs="Palatino Linotype"/>
          <w:sz w:val="24"/>
          <w:szCs w:val="24"/>
        </w:rPr>
      </w:pPr>
    </w:p>
    <w:p w14:paraId="7AB88194" w14:textId="77777777" w:rsidR="00666F20" w:rsidRDefault="00FE651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primer lugar, es conveniente analizar si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34FF877" w14:textId="77777777" w:rsidR="00666F20" w:rsidRDefault="00666F20">
      <w:pPr>
        <w:spacing w:after="0" w:line="360" w:lineRule="auto"/>
        <w:jc w:val="both"/>
        <w:rPr>
          <w:rFonts w:ascii="Palatino Linotype" w:eastAsia="Palatino Linotype" w:hAnsi="Palatino Linotype" w:cs="Palatino Linotype"/>
          <w:sz w:val="24"/>
          <w:szCs w:val="24"/>
        </w:rPr>
      </w:pPr>
    </w:p>
    <w:p w14:paraId="7DFB9DB5" w14:textId="77777777" w:rsidR="00666F20" w:rsidRDefault="00FE651E">
      <w:pPr>
        <w:spacing w:after="0" w:line="276" w:lineRule="auto"/>
        <w:ind w:left="709" w:right="76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8DE1699" w14:textId="77777777" w:rsidR="00666F20" w:rsidRDefault="00FE651E">
      <w:pPr>
        <w:spacing w:line="276" w:lineRule="auto"/>
        <w:ind w:left="709" w:right="760"/>
        <w:jc w:val="both"/>
        <w:rPr>
          <w:rFonts w:ascii="Palatino Linotype" w:eastAsia="Palatino Linotype" w:hAnsi="Palatino Linotype" w:cs="Palatino Linotype"/>
          <w:i/>
        </w:rPr>
      </w:pPr>
      <w:r>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w:t>
      </w:r>
      <w:r>
        <w:rPr>
          <w:rFonts w:ascii="Palatino Linotype" w:eastAsia="Palatino Linotype" w:hAnsi="Palatino Linotype" w:cs="Palatino Linotype"/>
          <w:i/>
        </w:rPr>
        <w:lastRenderedPageBreak/>
        <w:t>de México y Municipios 29 como reservada temporalmente por razones de interés público, en los términos de las causas legítimas y estrictamente necesarias previstas por esta Ley.</w:t>
      </w:r>
    </w:p>
    <w:p w14:paraId="3B15D083" w14:textId="77777777" w:rsidR="00666F20" w:rsidRDefault="00FE651E">
      <w:pPr>
        <w:spacing w:after="0" w:line="276" w:lineRule="auto"/>
        <w:ind w:left="709" w:right="760"/>
        <w:jc w:val="both"/>
        <w:rPr>
          <w:rFonts w:ascii="Palatino Linotype" w:eastAsia="Palatino Linotype" w:hAnsi="Palatino Linotype" w:cs="Palatino Linotype"/>
          <w:i/>
        </w:rPr>
      </w:pPr>
      <w:r>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proofErr w:type="gramStart"/>
      <w:r>
        <w:rPr>
          <w:rFonts w:ascii="Palatino Linotype" w:eastAsia="Palatino Linotype" w:hAnsi="Palatino Linotype" w:cs="Palatino Linotype"/>
          <w:i/>
        </w:rPr>
        <w:t>.”(</w:t>
      </w:r>
      <w:proofErr w:type="gramEnd"/>
      <w:r>
        <w:rPr>
          <w:rFonts w:ascii="Palatino Linotype" w:eastAsia="Palatino Linotype" w:hAnsi="Palatino Linotype" w:cs="Palatino Linotype"/>
          <w:i/>
        </w:rPr>
        <w:t>Sic)</w:t>
      </w:r>
    </w:p>
    <w:p w14:paraId="4EECFEC4" w14:textId="77777777" w:rsidR="00666F20" w:rsidRDefault="00666F20">
      <w:pPr>
        <w:spacing w:after="0" w:line="360" w:lineRule="auto"/>
        <w:ind w:left="709" w:right="760"/>
        <w:jc w:val="both"/>
        <w:rPr>
          <w:rFonts w:ascii="Palatino Linotype" w:eastAsia="Palatino Linotype" w:hAnsi="Palatino Linotype" w:cs="Palatino Linotype"/>
        </w:rPr>
      </w:pPr>
    </w:p>
    <w:p w14:paraId="74F6827C" w14:textId="77777777" w:rsidR="00666F20" w:rsidRDefault="00FE651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2FF8D4B8" w14:textId="77777777" w:rsidR="00666F20" w:rsidRDefault="00FE651E">
      <w:pPr>
        <w:spacing w:after="0" w:line="276" w:lineRule="auto"/>
        <w:ind w:left="567" w:right="758"/>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7805727A" w14:textId="77777777" w:rsidR="00666F20" w:rsidRDefault="00666F20">
      <w:pPr>
        <w:spacing w:line="276" w:lineRule="auto"/>
        <w:ind w:left="567" w:right="758"/>
        <w:jc w:val="both"/>
        <w:rPr>
          <w:rFonts w:ascii="Palatino Linotype" w:eastAsia="Palatino Linotype" w:hAnsi="Palatino Linotype" w:cs="Palatino Linotype"/>
          <w:i/>
        </w:rPr>
      </w:pPr>
    </w:p>
    <w:p w14:paraId="0405B825" w14:textId="77777777" w:rsidR="00666F20" w:rsidRDefault="00FE651E">
      <w:pPr>
        <w:spacing w:line="276" w:lineRule="auto"/>
        <w:ind w:left="567" w:right="758"/>
        <w:jc w:val="both"/>
        <w:rPr>
          <w:rFonts w:ascii="Palatino Linotype" w:eastAsia="Palatino Linotype" w:hAnsi="Palatino Linotype" w:cs="Palatino Linotype"/>
          <w:i/>
        </w:rPr>
      </w:pPr>
      <w:r>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rPr>
        <w:t xml:space="preserve">. </w:t>
      </w:r>
      <w:r>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6A7626CD" w14:textId="77777777" w:rsidR="00666F20" w:rsidRDefault="00666F20">
      <w:pPr>
        <w:spacing w:after="0" w:line="360" w:lineRule="auto"/>
        <w:jc w:val="both"/>
        <w:rPr>
          <w:rFonts w:ascii="Palatino Linotype" w:eastAsia="Palatino Linotype" w:hAnsi="Palatino Linotype" w:cs="Palatino Linotype"/>
          <w:sz w:val="24"/>
          <w:szCs w:val="24"/>
        </w:rPr>
      </w:pPr>
    </w:p>
    <w:p w14:paraId="51BB6BA0" w14:textId="77777777" w:rsidR="00666F20" w:rsidRDefault="00FE651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esa tesitura, el artículo 24 en su último párrafo de la Ley de la Materia, dispone que los Sujetos Obligados sólo proporcionarán la información pública que generen, </w:t>
      </w:r>
      <w:r>
        <w:rPr>
          <w:rFonts w:ascii="Palatino Linotype" w:eastAsia="Palatino Linotype" w:hAnsi="Palatino Linotype" w:cs="Palatino Linotype"/>
          <w:sz w:val="24"/>
          <w:szCs w:val="24"/>
        </w:rPr>
        <w:lastRenderedPageBreak/>
        <w:t>administren o posean en el ejercicio de sus atribuciones; por consiguiente, la información pública se encuentra a disposición de cualquier persona, lo que implica que es deber de los Sujetos Obligados, garantizar el Derecho de Acceso a la Información Pública.</w:t>
      </w:r>
      <w:r>
        <w:rPr>
          <w:rFonts w:ascii="Palatino Linotype" w:eastAsia="Palatino Linotype" w:hAnsi="Palatino Linotype" w:cs="Palatino Linotype"/>
          <w:strike/>
          <w:sz w:val="24"/>
          <w:szCs w:val="24"/>
        </w:rPr>
        <w:t xml:space="preserve"> </w:t>
      </w:r>
    </w:p>
    <w:p w14:paraId="1E1CBB35" w14:textId="77777777" w:rsidR="00666F20" w:rsidRDefault="00666F20">
      <w:pPr>
        <w:spacing w:after="0" w:line="360" w:lineRule="auto"/>
        <w:jc w:val="both"/>
        <w:rPr>
          <w:rFonts w:ascii="Palatino Linotype" w:eastAsia="Palatino Linotype" w:hAnsi="Palatino Linotype" w:cs="Palatino Linotype"/>
          <w:sz w:val="24"/>
          <w:szCs w:val="24"/>
        </w:rPr>
      </w:pPr>
    </w:p>
    <w:p w14:paraId="4F46B12D" w14:textId="77777777" w:rsidR="00666F20" w:rsidRDefault="00FE651E">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607EBC7" w14:textId="77777777" w:rsidR="00666F20" w:rsidRDefault="00666F20">
      <w:pPr>
        <w:spacing w:after="0" w:line="360" w:lineRule="auto"/>
        <w:ind w:right="49"/>
        <w:jc w:val="both"/>
        <w:rPr>
          <w:rFonts w:ascii="Palatino Linotype" w:eastAsia="Palatino Linotype" w:hAnsi="Palatino Linotype" w:cs="Palatino Linotype"/>
          <w:sz w:val="24"/>
          <w:szCs w:val="24"/>
        </w:rPr>
      </w:pPr>
    </w:p>
    <w:p w14:paraId="58ED28BA" w14:textId="77777777" w:rsidR="00666F20" w:rsidRDefault="00FE651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1D4055F1" w14:textId="77777777" w:rsidR="00666F20" w:rsidRDefault="00666F20">
      <w:pPr>
        <w:spacing w:after="0" w:line="360" w:lineRule="auto"/>
        <w:jc w:val="both"/>
        <w:rPr>
          <w:rFonts w:ascii="Palatino Linotype" w:eastAsia="Palatino Linotype" w:hAnsi="Palatino Linotype" w:cs="Palatino Linotype"/>
          <w:sz w:val="24"/>
          <w:szCs w:val="24"/>
        </w:rPr>
      </w:pPr>
    </w:p>
    <w:p w14:paraId="482DC762" w14:textId="77777777" w:rsidR="00666F20" w:rsidRDefault="00FE651E">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“Artículo 18.</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Pr>
          <w:rFonts w:ascii="Palatino Linotype" w:eastAsia="Palatino Linotype" w:hAnsi="Palatino Linotype" w:cs="Palatino Linotype"/>
          <w:i/>
        </w:rPr>
        <w:t xml:space="preserve"> y reutilización de la información que generen.</w:t>
      </w:r>
    </w:p>
    <w:p w14:paraId="1F46C35C" w14:textId="77777777" w:rsidR="00666F20" w:rsidRDefault="00666F20">
      <w:pPr>
        <w:spacing w:line="276" w:lineRule="auto"/>
        <w:ind w:left="851" w:right="851"/>
        <w:jc w:val="both"/>
        <w:rPr>
          <w:rFonts w:ascii="Palatino Linotype" w:eastAsia="Palatino Linotype" w:hAnsi="Palatino Linotype" w:cs="Palatino Linotype"/>
          <w:b/>
          <w:i/>
        </w:rPr>
      </w:pPr>
    </w:p>
    <w:p w14:paraId="78C16235" w14:textId="77777777" w:rsidR="00666F20" w:rsidRDefault="00FE651E">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19. </w:t>
      </w:r>
      <w:r>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rPr>
        <w:t>.</w:t>
      </w:r>
    </w:p>
    <w:p w14:paraId="2DE17787" w14:textId="77777777" w:rsidR="00666F20" w:rsidRDefault="00666F20">
      <w:pPr>
        <w:spacing w:line="276" w:lineRule="auto"/>
        <w:ind w:left="851" w:right="851"/>
        <w:jc w:val="both"/>
        <w:rPr>
          <w:rFonts w:ascii="Palatino Linotype" w:eastAsia="Palatino Linotype" w:hAnsi="Palatino Linotype" w:cs="Palatino Linotype"/>
          <w:i/>
        </w:rPr>
      </w:pPr>
    </w:p>
    <w:p w14:paraId="3DB33BA7" w14:textId="77777777" w:rsidR="00666F20" w:rsidRDefault="00FE651E">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En los casos en que ciertas facultades, competencias o funciones no se hayan ejercido, se debe motivar la respuesta en función de las causas que motiven tal circunstancia. </w:t>
      </w:r>
    </w:p>
    <w:p w14:paraId="200445B2" w14:textId="77777777" w:rsidR="00666F20" w:rsidRDefault="00FE651E">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5EF270D7" w14:textId="77777777" w:rsidR="00666F20" w:rsidRDefault="00666F20">
      <w:pPr>
        <w:spacing w:after="0" w:line="276" w:lineRule="auto"/>
        <w:ind w:left="851" w:right="851"/>
        <w:jc w:val="both"/>
        <w:rPr>
          <w:rFonts w:ascii="Palatino Linotype" w:eastAsia="Palatino Linotype" w:hAnsi="Palatino Linotype" w:cs="Palatino Linotype"/>
          <w:i/>
        </w:rPr>
      </w:pPr>
    </w:p>
    <w:p w14:paraId="15DFC445" w14:textId="77777777" w:rsidR="00666F20" w:rsidRDefault="00FE651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44794E94" w14:textId="77777777" w:rsidR="00666F20" w:rsidRDefault="00666F20">
      <w:pPr>
        <w:spacing w:after="0" w:line="360" w:lineRule="auto"/>
        <w:jc w:val="both"/>
        <w:rPr>
          <w:rFonts w:ascii="Palatino Linotype" w:eastAsia="Palatino Linotype" w:hAnsi="Palatino Linotype" w:cs="Palatino Linotype"/>
          <w:sz w:val="24"/>
          <w:szCs w:val="24"/>
        </w:rPr>
      </w:pPr>
    </w:p>
    <w:p w14:paraId="7CC8507D" w14:textId="77777777" w:rsidR="00666F20" w:rsidRDefault="00FE651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Pr>
          <w:rFonts w:ascii="Palatino Linotype" w:eastAsia="Palatino Linotype" w:hAnsi="Palatino Linotype" w:cs="Palatino Linotype"/>
          <w:sz w:val="24"/>
          <w:szCs w:val="24"/>
        </w:rPr>
        <w:lastRenderedPageBreak/>
        <w:t xml:space="preserve">informático u holográfico de conformidad con el artículo 3, fracción XI de la Ley de la materia, el cual señala lo siguiente: </w:t>
      </w:r>
    </w:p>
    <w:p w14:paraId="2BC4CB9D" w14:textId="77777777" w:rsidR="00666F20" w:rsidRDefault="00666F20">
      <w:pPr>
        <w:spacing w:after="0" w:line="360" w:lineRule="auto"/>
        <w:jc w:val="both"/>
        <w:rPr>
          <w:rFonts w:ascii="Palatino Linotype" w:eastAsia="Palatino Linotype" w:hAnsi="Palatino Linotype" w:cs="Palatino Linotype"/>
          <w:sz w:val="24"/>
          <w:szCs w:val="24"/>
        </w:rPr>
      </w:pPr>
    </w:p>
    <w:p w14:paraId="37C417C8" w14:textId="77777777" w:rsidR="00666F20" w:rsidRDefault="00FE651E">
      <w:pPr>
        <w:spacing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14:paraId="78D13403" w14:textId="77777777" w:rsidR="00666F20" w:rsidRDefault="00FE651E">
      <w:pPr>
        <w:spacing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w:t>
      </w:r>
    </w:p>
    <w:p w14:paraId="0CC54790" w14:textId="77777777" w:rsidR="00666F20" w:rsidRDefault="00FE651E">
      <w:pPr>
        <w:spacing w:after="0"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actas</w:t>
      </w:r>
      <w:r>
        <w:rPr>
          <w:rFonts w:ascii="Palatino Linotype" w:eastAsia="Palatino Linotype" w:hAnsi="Palatino Linotype" w:cs="Palatino Linotype"/>
          <w:b/>
          <w:i/>
        </w:rPr>
        <w:t>,</w:t>
      </w:r>
      <w:r>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07570528" w14:textId="77777777" w:rsidR="00666F20" w:rsidRDefault="00666F20">
      <w:pPr>
        <w:spacing w:after="0" w:line="276" w:lineRule="auto"/>
        <w:ind w:left="851" w:right="899"/>
        <w:jc w:val="both"/>
        <w:rPr>
          <w:rFonts w:ascii="Palatino Linotype" w:eastAsia="Palatino Linotype" w:hAnsi="Palatino Linotype" w:cs="Palatino Linotype"/>
          <w:i/>
        </w:rPr>
      </w:pPr>
    </w:p>
    <w:p w14:paraId="306D7898" w14:textId="77777777" w:rsidR="00666F20" w:rsidRDefault="00FE651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2B8275F" w14:textId="77777777" w:rsidR="00666F20" w:rsidRDefault="00666F20">
      <w:pPr>
        <w:spacing w:after="0" w:line="360" w:lineRule="auto"/>
        <w:jc w:val="both"/>
        <w:rPr>
          <w:rFonts w:ascii="Palatino Linotype" w:eastAsia="Palatino Linotype" w:hAnsi="Palatino Linotype" w:cs="Palatino Linotype"/>
          <w:sz w:val="24"/>
          <w:szCs w:val="24"/>
        </w:rPr>
      </w:pPr>
    </w:p>
    <w:p w14:paraId="1DCB64A5" w14:textId="77777777" w:rsidR="00666F20" w:rsidRDefault="00FE651E">
      <w:pPr>
        <w:spacing w:after="0" w:line="276" w:lineRule="auto"/>
        <w:ind w:left="851" w:right="899"/>
        <w:jc w:val="both"/>
        <w:rPr>
          <w:rFonts w:ascii="Palatino Linotype" w:eastAsia="Palatino Linotype" w:hAnsi="Palatino Linotype" w:cs="Palatino Linotype"/>
          <w:b/>
          <w:i/>
        </w:rPr>
      </w:pPr>
      <w:r>
        <w:rPr>
          <w:rFonts w:ascii="Palatino Linotype" w:eastAsia="Palatino Linotype" w:hAnsi="Palatino Linotype" w:cs="Palatino Linotype"/>
          <w:b/>
        </w:rPr>
        <w:t>“</w:t>
      </w:r>
      <w:r>
        <w:rPr>
          <w:rFonts w:ascii="Palatino Linotype" w:eastAsia="Palatino Linotype" w:hAnsi="Palatino Linotype" w:cs="Palatino Linotype"/>
          <w:b/>
          <w:i/>
        </w:rPr>
        <w:t>CRITERIO 0002-11</w:t>
      </w:r>
    </w:p>
    <w:p w14:paraId="1EE0CE9B" w14:textId="77777777" w:rsidR="00666F20" w:rsidRDefault="00FE651E">
      <w:pPr>
        <w:spacing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162E0C8" w14:textId="77777777" w:rsidR="00666F20" w:rsidRDefault="00FE651E">
      <w:pPr>
        <w:spacing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En </w:t>
      </w:r>
      <w:proofErr w:type="gramStart"/>
      <w:r>
        <w:rPr>
          <w:rFonts w:ascii="Palatino Linotype" w:eastAsia="Palatino Linotype" w:hAnsi="Palatino Linotype" w:cs="Palatino Linotype"/>
          <w:i/>
        </w:rPr>
        <w:t>consecuencia</w:t>
      </w:r>
      <w:proofErr w:type="gramEnd"/>
      <w:r>
        <w:rPr>
          <w:rFonts w:ascii="Palatino Linotype" w:eastAsia="Palatino Linotype" w:hAnsi="Palatino Linotype" w:cs="Palatino Linotype"/>
          <w:i/>
        </w:rPr>
        <w:t xml:space="preserve"> el acceso a la información se refiere a que se cumplan cualquiera de los siguientes tres supuestos:</w:t>
      </w:r>
    </w:p>
    <w:p w14:paraId="395635A5" w14:textId="77777777" w:rsidR="00666F20" w:rsidRDefault="00FE651E">
      <w:pPr>
        <w:spacing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 xml:space="preserve">1) 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sea generada por los Sujetos Obligados;</w:t>
      </w:r>
    </w:p>
    <w:p w14:paraId="3B54BE61" w14:textId="77777777" w:rsidR="00666F20" w:rsidRDefault="00FE651E">
      <w:pPr>
        <w:spacing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 xml:space="preserve">2) 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sea administrada por los Sujetos Obligados, y</w:t>
      </w:r>
    </w:p>
    <w:p w14:paraId="3D1854FF" w14:textId="77777777" w:rsidR="00666F20" w:rsidRDefault="00FE651E">
      <w:pPr>
        <w:spacing w:after="0"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 xml:space="preserve">3) 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 encuentre en posesión de los Sujetos Obligados.” </w:t>
      </w:r>
    </w:p>
    <w:p w14:paraId="69819898" w14:textId="77777777" w:rsidR="00666F20" w:rsidRDefault="00666F20">
      <w:pPr>
        <w:spacing w:after="0" w:line="276" w:lineRule="auto"/>
        <w:ind w:left="851" w:right="899"/>
        <w:jc w:val="both"/>
        <w:rPr>
          <w:rFonts w:ascii="Palatino Linotype" w:eastAsia="Palatino Linotype" w:hAnsi="Palatino Linotype" w:cs="Palatino Linotype"/>
          <w:i/>
        </w:rPr>
      </w:pPr>
    </w:p>
    <w:p w14:paraId="2BC7F6E1" w14:textId="77777777" w:rsidR="00666F20" w:rsidRDefault="00FE651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ahí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sz w:val="24"/>
          <w:szCs w:val="24"/>
          <w:vertAlign w:val="superscript"/>
        </w:rPr>
        <w:footnoteReference w:id="1"/>
      </w:r>
      <w:r>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sz w:val="24"/>
          <w:szCs w:val="24"/>
          <w:vertAlign w:val="superscript"/>
        </w:rPr>
        <w:footnoteReference w:id="2"/>
      </w:r>
      <w:r>
        <w:rPr>
          <w:rFonts w:ascii="Palatino Linotype" w:eastAsia="Palatino Linotype" w:hAnsi="Palatino Linotype" w:cs="Palatino Linotype"/>
          <w:sz w:val="24"/>
          <w:szCs w:val="24"/>
        </w:rPr>
        <w:t xml:space="preserve">, como pudiera tratarse de </w:t>
      </w:r>
      <w:r>
        <w:rPr>
          <w:rFonts w:ascii="Palatino Linotype" w:eastAsia="Palatino Linotype" w:hAnsi="Palatino Linotype" w:cs="Palatino Linotype"/>
          <w:sz w:val="24"/>
          <w:szCs w:val="24"/>
        </w:rPr>
        <w:lastRenderedPageBreak/>
        <w:t>aquella relacionada con las obligaciones de transparencia señaladas en los artículos 92 y 100 de la Ley de la Materia.</w:t>
      </w:r>
    </w:p>
    <w:p w14:paraId="3156F2A7" w14:textId="77777777" w:rsidR="00666F20" w:rsidRDefault="00666F20">
      <w:pPr>
        <w:spacing w:after="0" w:line="360" w:lineRule="auto"/>
        <w:jc w:val="both"/>
        <w:rPr>
          <w:rFonts w:ascii="Palatino Linotype" w:eastAsia="Palatino Linotype" w:hAnsi="Palatino Linotype" w:cs="Palatino Linotype"/>
          <w:color w:val="000000"/>
          <w:sz w:val="24"/>
          <w:szCs w:val="24"/>
        </w:rPr>
      </w:pPr>
    </w:p>
    <w:p w14:paraId="6FA7AD22" w14:textId="77777777" w:rsidR="00666F20" w:rsidRDefault="00FE651E">
      <w:pP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color w:val="000000"/>
          <w:sz w:val="24"/>
          <w:szCs w:val="24"/>
        </w:rPr>
        <w:t>En este sentido, cabe reiterar que la</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color w:val="000000"/>
          <w:sz w:val="24"/>
          <w:szCs w:val="24"/>
        </w:rPr>
        <w:t xml:space="preserve">particular solicitó al </w:t>
      </w:r>
      <w:r>
        <w:rPr>
          <w:rFonts w:ascii="Palatino Linotype" w:eastAsia="Palatino Linotype" w:hAnsi="Palatino Linotype" w:cs="Palatino Linotype"/>
          <w:b/>
          <w:color w:val="000000"/>
          <w:sz w:val="24"/>
          <w:szCs w:val="24"/>
        </w:rPr>
        <w:t>SUJETO OBLIGADO:</w:t>
      </w:r>
    </w:p>
    <w:p w14:paraId="0EA9E199" w14:textId="77777777" w:rsidR="00666F20" w:rsidRDefault="00666F20">
      <w:pPr>
        <w:spacing w:after="0" w:line="360" w:lineRule="auto"/>
        <w:jc w:val="both"/>
        <w:rPr>
          <w:rFonts w:ascii="Palatino Linotype" w:eastAsia="Palatino Linotype" w:hAnsi="Palatino Linotype" w:cs="Palatino Linotype"/>
          <w:b/>
          <w:color w:val="000000"/>
          <w:sz w:val="24"/>
          <w:szCs w:val="24"/>
        </w:rPr>
      </w:pPr>
    </w:p>
    <w:p w14:paraId="264061F5" w14:textId="77777777" w:rsidR="00666F20" w:rsidRDefault="00FE651E">
      <w:pP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color w:val="000000"/>
          <w:sz w:val="24"/>
          <w:szCs w:val="24"/>
        </w:rPr>
        <w:t xml:space="preserve">- La nómina detallada de los servidores públicos del Poder Legislativo del Estado de México, correspondiente al periodo del 01 de septiembre de 2022 al 15 de marzo de 2023. </w:t>
      </w:r>
    </w:p>
    <w:p w14:paraId="0EFAB066" w14:textId="77777777" w:rsidR="00666F20" w:rsidRDefault="00666F20">
      <w:pPr>
        <w:spacing w:after="0" w:line="360" w:lineRule="auto"/>
        <w:jc w:val="both"/>
        <w:rPr>
          <w:rFonts w:ascii="Palatino Linotype" w:eastAsia="Palatino Linotype" w:hAnsi="Palatino Linotype" w:cs="Palatino Linotype"/>
          <w:color w:val="000000"/>
          <w:sz w:val="24"/>
          <w:szCs w:val="24"/>
        </w:rPr>
      </w:pPr>
    </w:p>
    <w:p w14:paraId="424DFBF7" w14:textId="77777777" w:rsidR="00666F20" w:rsidRDefault="00FE651E">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El nombre y cargo de los servidores públicos que tienen asignada la función de elaboración, revisión y autorización de la nómina detallada de los servidores públicos del Poder Legislativo del Estado de México.</w:t>
      </w:r>
    </w:p>
    <w:p w14:paraId="44C81470" w14:textId="77777777" w:rsidR="00666F20" w:rsidRDefault="00666F20">
      <w:pPr>
        <w:spacing w:after="0" w:line="360" w:lineRule="auto"/>
        <w:jc w:val="both"/>
        <w:rPr>
          <w:rFonts w:ascii="Palatino Linotype" w:eastAsia="Palatino Linotype" w:hAnsi="Palatino Linotype" w:cs="Palatino Linotype"/>
          <w:color w:val="000000"/>
          <w:sz w:val="24"/>
          <w:szCs w:val="24"/>
        </w:rPr>
      </w:pPr>
    </w:p>
    <w:p w14:paraId="4AC4E122" w14:textId="77777777" w:rsidR="00666F20" w:rsidRDefault="00FE651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En respuesta, </w:t>
      </w:r>
      <w:r>
        <w:rPr>
          <w:rFonts w:ascii="Palatino Linotype" w:eastAsia="Palatino Linotype" w:hAnsi="Palatino Linotype" w:cs="Palatino Linotype"/>
          <w:b/>
          <w:color w:val="000000"/>
          <w:sz w:val="24"/>
          <w:szCs w:val="24"/>
        </w:rPr>
        <w:t xml:space="preserve">EL SUJETO OBLIGADO </w:t>
      </w:r>
      <w:r>
        <w:rPr>
          <w:rFonts w:ascii="Palatino Linotype" w:eastAsia="Palatino Linotype" w:hAnsi="Palatino Linotype" w:cs="Palatino Linotype"/>
          <w:color w:val="000000"/>
          <w:sz w:val="24"/>
          <w:szCs w:val="24"/>
        </w:rPr>
        <w:t xml:space="preserve">remite la </w:t>
      </w:r>
      <w:r>
        <w:rPr>
          <w:rFonts w:ascii="Palatino Linotype" w:eastAsia="Palatino Linotype" w:hAnsi="Palatino Linotype" w:cs="Palatino Linotype"/>
          <w:sz w:val="24"/>
          <w:szCs w:val="24"/>
        </w:rPr>
        <w:t xml:space="preserve">versión pública de los recibos de nómina de los servidores públicos del Poder Legislativo del periodo del primero de septiembre de 2022 al quince de marzo de 2023; el nombre y cargo de los servidores públicos que tienen asignada la función de la elaboración, revisión y autorización de la nómina del Poder Legislativo. </w:t>
      </w:r>
    </w:p>
    <w:p w14:paraId="7DFDA406" w14:textId="77777777" w:rsidR="00666F20" w:rsidRDefault="00666F20">
      <w:pPr>
        <w:spacing w:after="0" w:line="360" w:lineRule="auto"/>
        <w:jc w:val="both"/>
        <w:rPr>
          <w:rFonts w:ascii="Palatino Linotype" w:eastAsia="Palatino Linotype" w:hAnsi="Palatino Linotype" w:cs="Palatino Linotype"/>
          <w:sz w:val="24"/>
          <w:szCs w:val="24"/>
        </w:rPr>
      </w:pPr>
    </w:p>
    <w:p w14:paraId="068A6FBF" w14:textId="77777777" w:rsidR="00666F20" w:rsidRDefault="00FE651E">
      <w:pPr>
        <w:spacing w:after="0" w:line="360" w:lineRule="auto"/>
        <w:jc w:val="both"/>
        <w:rPr>
          <w:rFonts w:ascii="Palatino Linotype" w:eastAsia="Palatino Linotype" w:hAnsi="Palatino Linotype" w:cs="Palatino Linotype"/>
          <w:sz w:val="24"/>
          <w:szCs w:val="24"/>
          <w:u w:val="single"/>
        </w:rPr>
      </w:pPr>
      <w:r>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motivo de inconformidad en lo medular que </w:t>
      </w:r>
      <w:r>
        <w:rPr>
          <w:rFonts w:ascii="Palatino Linotype" w:eastAsia="Palatino Linotype" w:hAnsi="Palatino Linotype" w:cs="Palatino Linotype"/>
          <w:sz w:val="24"/>
          <w:szCs w:val="24"/>
          <w:u w:val="single"/>
        </w:rPr>
        <w:t>se le proporcionó una relación de atribuciones genéricas de distintas unidades administrativas del poder legislativo</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u w:val="single"/>
        </w:rPr>
        <w:lastRenderedPageBreak/>
        <w:t>así como una tabla con tres columnas (unidad administrativa, nombre del servidor público y autorización), sin señalar el nombre y cargo de los servidores públicos que tienen asignada la función específica de elaboración, revisión y autorización de la nómina detallada de los servidores públicos del Poder Legislativo del Estado de México, por lo que</w:t>
      </w:r>
      <w:r>
        <w:rPr>
          <w:rFonts w:ascii="Palatino Linotype" w:eastAsia="Palatino Linotype" w:hAnsi="Palatino Linotype" w:cs="Palatino Linotype"/>
          <w:sz w:val="24"/>
          <w:szCs w:val="24"/>
        </w:rPr>
        <w:t>, en caso de que el Sujeto Obligado no contara con la información suficiente para identificar a los servidores públicos que tienen asignada la responsabilidad y función sustantiva de elaboración, revisión y autorización de la Nómina Detallada de los Servidores Públicos del Poder Legislativo del Estado de México, debió haberse emitido el Acuerdo de Inexistencia.</w:t>
      </w:r>
    </w:p>
    <w:p w14:paraId="07EDA5B7" w14:textId="77777777" w:rsidR="00666F20" w:rsidRDefault="00666F20">
      <w:pPr>
        <w:spacing w:after="0" w:line="360" w:lineRule="auto"/>
        <w:jc w:val="both"/>
        <w:rPr>
          <w:rFonts w:ascii="Palatino Linotype" w:eastAsia="Palatino Linotype" w:hAnsi="Palatino Linotype" w:cs="Palatino Linotype"/>
          <w:sz w:val="24"/>
          <w:szCs w:val="24"/>
          <w:u w:val="single"/>
        </w:rPr>
      </w:pPr>
    </w:p>
    <w:p w14:paraId="42FB2137" w14:textId="77777777" w:rsidR="00666F20" w:rsidRDefault="00FE651E">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Cabe resaltar que durante la etapa de manifestaciones </w:t>
      </w:r>
      <w:r>
        <w:rPr>
          <w:rFonts w:ascii="Palatino Linotype" w:eastAsia="Palatino Linotype" w:hAnsi="Palatino Linotype" w:cs="Palatino Linotype"/>
          <w:b/>
          <w:color w:val="000000"/>
          <w:sz w:val="24"/>
          <w:szCs w:val="24"/>
        </w:rPr>
        <w:t>LA PARTE</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fue omiso de rendir alegatos, por lo que respecta al</w:t>
      </w:r>
      <w:r>
        <w:rPr>
          <w:rFonts w:ascii="Palatino Linotype" w:eastAsia="Palatino Linotype" w:hAnsi="Palatino Linotype" w:cs="Palatino Linotype"/>
          <w:b/>
          <w:color w:val="000000"/>
          <w:sz w:val="24"/>
          <w:szCs w:val="24"/>
        </w:rPr>
        <w:t xml:space="preserve"> SUJETO OBLIGADO </w:t>
      </w:r>
      <w:r>
        <w:rPr>
          <w:rFonts w:ascii="Palatino Linotype" w:eastAsia="Palatino Linotype" w:hAnsi="Palatino Linotype" w:cs="Palatino Linotype"/>
          <w:color w:val="000000"/>
          <w:sz w:val="24"/>
          <w:szCs w:val="24"/>
        </w:rPr>
        <w:t xml:space="preserve">ratificó en términos generales su respuesta inicial. </w:t>
      </w:r>
    </w:p>
    <w:p w14:paraId="37361C9D" w14:textId="77777777" w:rsidR="00666F20" w:rsidRDefault="00666F20">
      <w:pPr>
        <w:spacing w:after="0" w:line="360" w:lineRule="auto"/>
        <w:jc w:val="both"/>
        <w:rPr>
          <w:rFonts w:ascii="Palatino Linotype" w:eastAsia="Palatino Linotype" w:hAnsi="Palatino Linotype" w:cs="Palatino Linotype"/>
          <w:color w:val="000000"/>
          <w:sz w:val="24"/>
          <w:szCs w:val="24"/>
        </w:rPr>
      </w:pPr>
    </w:p>
    <w:p w14:paraId="31F48083" w14:textId="77777777" w:rsidR="00666F20" w:rsidRDefault="00FE651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Por lo que respecta a los motivos de inconformidad, se advierte que, </w:t>
      </w:r>
      <w:r>
        <w:rPr>
          <w:rFonts w:ascii="Palatino Linotype" w:eastAsia="Palatino Linotype" w:hAnsi="Palatino Linotype" w:cs="Palatino Linotype"/>
          <w:b/>
          <w:color w:val="000000"/>
          <w:sz w:val="24"/>
          <w:szCs w:val="24"/>
        </w:rPr>
        <w:t>LA PARTE</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sólo se inconforma, porque no se indica el nombre y cargo de los servidores públicos que tienen asignada la función de elaboración, revisión y autorización de la nómina detallada de los servidores públicos del Poder Legislativo, por consiguiente, la parte de la respuesta que no fue impugnada es decir</w:t>
      </w:r>
      <w:r>
        <w:rPr>
          <w:rFonts w:ascii="Palatino Linotype" w:eastAsia="Palatino Linotype" w:hAnsi="Palatino Linotype" w:cs="Palatino Linotype"/>
          <w:sz w:val="24"/>
          <w:szCs w:val="24"/>
        </w:rPr>
        <w:t>, la versión pública de la nómina detallada de los servidores públicos del Poder Legislativo,</w:t>
      </w:r>
      <w:r>
        <w:rPr>
          <w:rFonts w:ascii="Palatino Linotype" w:eastAsia="Palatino Linotype" w:hAnsi="Palatino Linotype" w:cs="Palatino Linotype"/>
          <w:color w:val="000000"/>
          <w:sz w:val="24"/>
          <w:szCs w:val="24"/>
        </w:rPr>
        <w:t xml:space="preserve"> debe declararse consentida por la hoy </w:t>
      </w:r>
      <w:r>
        <w:rPr>
          <w:rFonts w:ascii="Palatino Linotype" w:eastAsia="Palatino Linotype" w:hAnsi="Palatino Linotype" w:cs="Palatino Linotype"/>
          <w:b/>
          <w:color w:val="000000"/>
          <w:sz w:val="24"/>
          <w:szCs w:val="24"/>
        </w:rPr>
        <w:t>PARTE</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en razón de que no se realizaron manifestaciones de inconformidad en el resto de los puntos de la solicitud de información por lo que no pueden producirse efectos jurídicos tendentes </w:t>
      </w:r>
      <w:r>
        <w:rPr>
          <w:rFonts w:ascii="Palatino Linotype" w:eastAsia="Palatino Linotype" w:hAnsi="Palatino Linotype" w:cs="Palatino Linotype"/>
          <w:color w:val="000000"/>
          <w:sz w:val="24"/>
          <w:szCs w:val="24"/>
        </w:rPr>
        <w:lastRenderedPageBreak/>
        <w:t xml:space="preserve">a revocar, confirmar o modificar el acto reclamado ya que se infiere un consentimiento de </w:t>
      </w:r>
      <w:r>
        <w:rPr>
          <w:rFonts w:ascii="Palatino Linotype" w:eastAsia="Palatino Linotype" w:hAnsi="Palatino Linotype" w:cs="Palatino Linotype"/>
          <w:b/>
          <w:color w:val="000000"/>
          <w:sz w:val="24"/>
          <w:szCs w:val="24"/>
        </w:rPr>
        <w:t>LA PARTE RECURRENTE</w:t>
      </w:r>
      <w:r>
        <w:rPr>
          <w:rFonts w:ascii="Palatino Linotype" w:eastAsia="Palatino Linotype" w:hAnsi="Palatino Linotype" w:cs="Palatino Linotype"/>
          <w:color w:val="000000"/>
          <w:sz w:val="24"/>
          <w:szCs w:val="24"/>
        </w:rPr>
        <w:t xml:space="preserve"> ante la falta de impugnación eficaz. </w:t>
      </w:r>
    </w:p>
    <w:p w14:paraId="0BF2F464" w14:textId="77777777" w:rsidR="00666F20" w:rsidRDefault="00666F20">
      <w:pPr>
        <w:spacing w:after="0" w:line="360" w:lineRule="auto"/>
        <w:jc w:val="both"/>
        <w:rPr>
          <w:rFonts w:ascii="Palatino Linotype" w:eastAsia="Palatino Linotype" w:hAnsi="Palatino Linotype" w:cs="Palatino Linotype"/>
          <w:sz w:val="24"/>
          <w:szCs w:val="24"/>
        </w:rPr>
      </w:pPr>
    </w:p>
    <w:p w14:paraId="029648CB" w14:textId="77777777" w:rsidR="00666F20" w:rsidRDefault="00FE651E">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Sirve de sustento a lo anterior, por analogía, la tesis jurisprudencial número VI.3o.C. J/60, publicada en el Semanario Judicial de la Federación y su Gaceta bajo el número de registro 176,608 que a la letra dice:</w:t>
      </w:r>
    </w:p>
    <w:p w14:paraId="5A734A84" w14:textId="77777777" w:rsidR="00666F20" w:rsidRDefault="00666F20">
      <w:pPr>
        <w:spacing w:after="0" w:line="360" w:lineRule="auto"/>
        <w:jc w:val="both"/>
        <w:rPr>
          <w:rFonts w:ascii="Palatino Linotype" w:eastAsia="Palatino Linotype" w:hAnsi="Palatino Linotype" w:cs="Palatino Linotype"/>
          <w:color w:val="000000"/>
          <w:sz w:val="24"/>
          <w:szCs w:val="24"/>
        </w:rPr>
      </w:pPr>
    </w:p>
    <w:p w14:paraId="13FEA1B2" w14:textId="77777777" w:rsidR="00666F20" w:rsidRDefault="00FE651E">
      <w:pPr>
        <w:shd w:val="clear" w:color="auto" w:fill="FFFFFF"/>
        <w:spacing w:after="120" w:line="276" w:lineRule="auto"/>
        <w:ind w:left="851"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ACTOS CONSENTIDOS. SON LOS QUE NO SE IMPUGNAN MEDIANTE EL RECURSO IDÓNEO</w:t>
      </w:r>
      <w:r>
        <w:rPr>
          <w:rFonts w:ascii="Palatino Linotype" w:eastAsia="Palatino Linotype" w:hAnsi="Palatino Linotype" w:cs="Palatino Linotype"/>
          <w:i/>
          <w:color w:val="000000"/>
        </w:rPr>
        <w:t xml:space="preserve">. Debe reputarse como consentido el acto que no se impugnó por el medio establecido por la ley, </w:t>
      </w:r>
      <w:proofErr w:type="gramStart"/>
      <w:r>
        <w:rPr>
          <w:rFonts w:ascii="Palatino Linotype" w:eastAsia="Palatino Linotype" w:hAnsi="Palatino Linotype" w:cs="Palatino Linotype"/>
          <w:i/>
          <w:color w:val="000000"/>
        </w:rPr>
        <w:t>ya que</w:t>
      </w:r>
      <w:proofErr w:type="gramEnd"/>
      <w:r>
        <w:rPr>
          <w:rFonts w:ascii="Palatino Linotype" w:eastAsia="Palatino Linotype" w:hAnsi="Palatino Linotype" w:cs="Palatino Linotype"/>
          <w:i/>
          <w:color w:val="000000"/>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A8DD7D2" w14:textId="77777777" w:rsidR="00666F20" w:rsidRDefault="00666F20">
      <w:pPr>
        <w:shd w:val="clear" w:color="auto" w:fill="FFFFFF"/>
        <w:spacing w:before="120" w:after="120" w:line="276" w:lineRule="auto"/>
        <w:ind w:left="851" w:right="902"/>
        <w:jc w:val="both"/>
        <w:rPr>
          <w:rFonts w:ascii="Palatino Linotype" w:eastAsia="Palatino Linotype" w:hAnsi="Palatino Linotype" w:cs="Palatino Linotype"/>
          <w:i/>
          <w:color w:val="000000"/>
        </w:rPr>
      </w:pPr>
    </w:p>
    <w:p w14:paraId="1E9D68EF" w14:textId="77777777" w:rsidR="00666F20" w:rsidRDefault="00FE651E">
      <w:pPr>
        <w:spacing w:before="120"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Lo anterior es así, debido a que, cuando </w:t>
      </w:r>
      <w:r>
        <w:rPr>
          <w:rFonts w:ascii="Palatino Linotype" w:eastAsia="Palatino Linotype" w:hAnsi="Palatino Linotype" w:cs="Palatino Linotype"/>
          <w:b/>
          <w:color w:val="000000"/>
          <w:sz w:val="24"/>
          <w:szCs w:val="24"/>
        </w:rPr>
        <w:t>LA PARTE</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 xml:space="preserve">RECURRENTE </w:t>
      </w:r>
      <w:r>
        <w:rPr>
          <w:rFonts w:ascii="Palatino Linotype" w:eastAsia="Palatino Linotype" w:hAnsi="Palatino Linotype" w:cs="Palatino Linotype"/>
          <w:color w:val="000000"/>
          <w:sz w:val="24"/>
          <w:szCs w:val="24"/>
        </w:rPr>
        <w:t xml:space="preserve">impugnó la respuesta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no expresó razón o motivo de inconformidad en contra de todos los rubros solicitados; por lo que, debe declararse atendido pues se entiende que </w:t>
      </w:r>
      <w:r>
        <w:rPr>
          <w:rFonts w:ascii="Palatino Linotype" w:eastAsia="Palatino Linotype" w:hAnsi="Palatino Linotype" w:cs="Palatino Linotype"/>
          <w:b/>
          <w:color w:val="000000"/>
          <w:sz w:val="24"/>
          <w:szCs w:val="24"/>
        </w:rPr>
        <w:t>LA PARTE</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está conforme con la información al no contravenir la misma.</w:t>
      </w:r>
    </w:p>
    <w:p w14:paraId="17CF63E8" w14:textId="77777777" w:rsidR="00666F20" w:rsidRDefault="00666F20">
      <w:pPr>
        <w:spacing w:after="0" w:line="360" w:lineRule="auto"/>
        <w:ind w:right="49"/>
        <w:jc w:val="both"/>
        <w:rPr>
          <w:rFonts w:ascii="Palatino Linotype" w:eastAsia="Palatino Linotype" w:hAnsi="Palatino Linotype" w:cs="Palatino Linotype"/>
          <w:color w:val="000000"/>
          <w:sz w:val="24"/>
          <w:szCs w:val="24"/>
        </w:rPr>
      </w:pPr>
    </w:p>
    <w:p w14:paraId="0A386EE9" w14:textId="77777777" w:rsidR="00666F20" w:rsidRDefault="00FE651E">
      <w:pPr>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Sirve como apoyo a lo anterior, por analogía, la Tesis Jurisprudencial Número 3ª./J.7/91, Publicada en el Semanario Judicial de la Federación y su Gaceta bajo el número de registro 174,177, que establece lo siguiente:</w:t>
      </w:r>
    </w:p>
    <w:p w14:paraId="320399E4" w14:textId="77777777" w:rsidR="00666F20" w:rsidRDefault="00666F20">
      <w:pPr>
        <w:spacing w:after="0" w:line="360" w:lineRule="auto"/>
        <w:ind w:right="49"/>
        <w:jc w:val="both"/>
        <w:rPr>
          <w:rFonts w:ascii="Palatino Linotype" w:eastAsia="Palatino Linotype" w:hAnsi="Palatino Linotype" w:cs="Palatino Linotype"/>
          <w:color w:val="000000"/>
          <w:sz w:val="18"/>
          <w:szCs w:val="18"/>
        </w:rPr>
      </w:pPr>
    </w:p>
    <w:p w14:paraId="4F3390FA" w14:textId="77777777" w:rsidR="00666F20" w:rsidRDefault="00FE651E">
      <w:pPr>
        <w:spacing w:after="0" w:line="240" w:lineRule="auto"/>
        <w:ind w:left="1080" w:right="918"/>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000000"/>
        </w:rPr>
        <w:lastRenderedPageBreak/>
        <w:t xml:space="preserve">“REVISIÓN EN AMPARO. LOS RESOLUTIVOS NO COMBATIDOS DEBEN DECLARARSE FIRMES. </w:t>
      </w:r>
      <w:r>
        <w:rPr>
          <w:rFonts w:ascii="Palatino Linotype" w:eastAsia="Palatino Linotype" w:hAnsi="Palatino Linotype" w:cs="Palatino Linotype"/>
          <w:i/>
          <w:color w:val="000000"/>
        </w:rPr>
        <w:t xml:space="preserve">Cuando algún resolutivo de la sentencia impugnada afecta a la </w:t>
      </w:r>
      <w:r>
        <w:rPr>
          <w:rFonts w:ascii="Palatino Linotype" w:eastAsia="Palatino Linotype" w:hAnsi="Palatino Linotype" w:cs="Palatino Linotype"/>
          <w:b/>
          <w:i/>
          <w:color w:val="000000"/>
        </w:rPr>
        <w:t>RECURRENTE</w:t>
      </w:r>
      <w:r>
        <w:rPr>
          <w:rFonts w:ascii="Palatino Linotype" w:eastAsia="Palatino Linotype" w:hAnsi="Palatino Linotype" w:cs="Palatino Linotype"/>
          <w:i/>
          <w:color w:val="000000"/>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Pr>
          <w:rFonts w:ascii="Palatino Linotype" w:eastAsia="Palatino Linotype" w:hAnsi="Palatino Linotype" w:cs="Palatino Linotype"/>
          <w:b/>
          <w:i/>
          <w:color w:val="000000"/>
        </w:rPr>
        <w:t>RECURRENTE</w:t>
      </w:r>
      <w:r>
        <w:rPr>
          <w:rFonts w:ascii="Palatino Linotype" w:eastAsia="Palatino Linotype" w:hAnsi="Palatino Linotype" w:cs="Palatino Linotype"/>
          <w:i/>
          <w:color w:val="000000"/>
        </w:rPr>
        <w:t>, deben declararse firmes aquéllos en contra de los cuales no se formuló agravio y dicha declaración de firmeza debe reflejarse en la parte considerativa y en los resolutivos debe confirmarse la sentencia recurrida en la parte correspondiente.”</w:t>
      </w:r>
    </w:p>
    <w:p w14:paraId="084D95CC" w14:textId="77777777" w:rsidR="00666F20" w:rsidRDefault="00666F20">
      <w:pPr>
        <w:spacing w:after="0" w:line="360" w:lineRule="auto"/>
        <w:jc w:val="both"/>
        <w:rPr>
          <w:rFonts w:ascii="Palatino Linotype" w:eastAsia="Palatino Linotype" w:hAnsi="Palatino Linotype" w:cs="Palatino Linotype"/>
          <w:sz w:val="24"/>
          <w:szCs w:val="24"/>
        </w:rPr>
      </w:pPr>
    </w:p>
    <w:p w14:paraId="237877D2" w14:textId="77777777" w:rsidR="00666F20" w:rsidRDefault="00FE651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Aclarado lo anterior</w:t>
      </w:r>
      <w:r>
        <w:rPr>
          <w:rFonts w:ascii="Palatino Linotype" w:eastAsia="Palatino Linotype" w:hAnsi="Palatino Linotype" w:cs="Palatino Linotype"/>
          <w:color w:val="000000"/>
          <w:sz w:val="24"/>
          <w:szCs w:val="24"/>
        </w:rPr>
        <w:t xml:space="preserve">, resulta oportuno mencionar que en la solicitud inicial requirió conocer el nombre y cargo de los servidores públicos que tienen asignada la función de elaboración, revisión y autorización de la Nómina Detallada de los Servidores Públicos del Poder Legislativo del Estado de México”. </w:t>
      </w:r>
    </w:p>
    <w:p w14:paraId="5F997C6B" w14:textId="77777777" w:rsidR="00666F20" w:rsidRDefault="00666F20">
      <w:pPr>
        <w:spacing w:after="0" w:line="360" w:lineRule="auto"/>
        <w:jc w:val="both"/>
        <w:rPr>
          <w:rFonts w:ascii="Palatino Linotype" w:eastAsia="Palatino Linotype" w:hAnsi="Palatino Linotype" w:cs="Palatino Linotype"/>
          <w:color w:val="000000"/>
          <w:sz w:val="24"/>
          <w:szCs w:val="24"/>
        </w:rPr>
      </w:pPr>
    </w:p>
    <w:p w14:paraId="1E46F981" w14:textId="77777777" w:rsidR="00666F20" w:rsidRDefault="00FE651E">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Al respecto </w:t>
      </w:r>
      <w:r>
        <w:rPr>
          <w:rFonts w:ascii="Palatino Linotype" w:eastAsia="Palatino Linotype" w:hAnsi="Palatino Linotype" w:cs="Palatino Linotype"/>
          <w:b/>
          <w:color w:val="000000"/>
          <w:sz w:val="24"/>
          <w:szCs w:val="24"/>
        </w:rPr>
        <w:t>EL SUJETO OBLIGADO</w:t>
      </w:r>
      <w:r>
        <w:rPr>
          <w:rFonts w:ascii="Palatino Linotype" w:eastAsia="Palatino Linotype" w:hAnsi="Palatino Linotype" w:cs="Palatino Linotype"/>
          <w:color w:val="000000"/>
          <w:sz w:val="24"/>
          <w:szCs w:val="24"/>
        </w:rPr>
        <w:t xml:space="preserve"> señaló: </w:t>
      </w:r>
    </w:p>
    <w:p w14:paraId="23DE7B2B" w14:textId="77777777" w:rsidR="00666F20" w:rsidRDefault="00666F20">
      <w:pPr>
        <w:spacing w:after="0" w:line="360" w:lineRule="auto"/>
        <w:jc w:val="both"/>
        <w:rPr>
          <w:rFonts w:ascii="Palatino Linotype" w:eastAsia="Palatino Linotype" w:hAnsi="Palatino Linotype" w:cs="Palatino Linotype"/>
          <w:color w:val="000000"/>
          <w:sz w:val="24"/>
          <w:szCs w:val="24"/>
        </w:rPr>
      </w:pPr>
    </w:p>
    <w:p w14:paraId="2927E808" w14:textId="77777777" w:rsidR="00666F20" w:rsidRDefault="00FE651E">
      <w:pPr>
        <w:spacing w:after="0" w:line="360" w:lineRule="auto"/>
        <w:jc w:val="both"/>
        <w:rPr>
          <w:rFonts w:ascii="Palatino Linotype" w:eastAsia="Palatino Linotype" w:hAnsi="Palatino Linotype" w:cs="Palatino Linotype"/>
          <w:color w:val="000000"/>
          <w:sz w:val="24"/>
          <w:szCs w:val="24"/>
        </w:rPr>
      </w:pPr>
      <w:r>
        <w:rPr>
          <w:noProof/>
        </w:rPr>
        <w:drawing>
          <wp:inline distT="0" distB="0" distL="0" distR="0" wp14:anchorId="6D25BCC9" wp14:editId="5BC849F4">
            <wp:extent cx="5276850" cy="1419225"/>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276850" cy="1419225"/>
                    </a:xfrm>
                    <a:prstGeom prst="rect">
                      <a:avLst/>
                    </a:prstGeom>
                    <a:ln/>
                  </pic:spPr>
                </pic:pic>
              </a:graphicData>
            </a:graphic>
          </wp:inline>
        </w:drawing>
      </w:r>
    </w:p>
    <w:p w14:paraId="7AFD325A" w14:textId="77777777" w:rsidR="00666F20" w:rsidRDefault="00FE651E">
      <w:pPr>
        <w:spacing w:after="0" w:line="360" w:lineRule="auto"/>
        <w:jc w:val="both"/>
        <w:rPr>
          <w:rFonts w:ascii="Palatino Linotype" w:eastAsia="Palatino Linotype" w:hAnsi="Palatino Linotype" w:cs="Palatino Linotype"/>
          <w:color w:val="000000"/>
          <w:sz w:val="24"/>
          <w:szCs w:val="24"/>
        </w:rPr>
      </w:pPr>
      <w:r>
        <w:rPr>
          <w:noProof/>
        </w:rPr>
        <w:lastRenderedPageBreak/>
        <w:drawing>
          <wp:inline distT="0" distB="0" distL="0" distR="0" wp14:anchorId="2DC9F4E0" wp14:editId="37C40A0B">
            <wp:extent cx="5153025" cy="5753100"/>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153025" cy="5753100"/>
                    </a:xfrm>
                    <a:prstGeom prst="rect">
                      <a:avLst/>
                    </a:prstGeom>
                    <a:ln/>
                  </pic:spPr>
                </pic:pic>
              </a:graphicData>
            </a:graphic>
          </wp:inline>
        </w:drawing>
      </w:r>
    </w:p>
    <w:p w14:paraId="5E81906B" w14:textId="77777777" w:rsidR="00666F20" w:rsidRDefault="00FE651E">
      <w:pPr>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las ligas electrónicas referidas por el Sujeto Obligado se advierte lo siguiente: </w:t>
      </w:r>
    </w:p>
    <w:p w14:paraId="2B8E3E1A" w14:textId="77777777" w:rsidR="00666F20" w:rsidRDefault="00FE651E">
      <w:pPr>
        <w:spacing w:after="0" w:line="360" w:lineRule="auto"/>
        <w:jc w:val="both"/>
        <w:rPr>
          <w:rFonts w:ascii="Palatino Linotype" w:eastAsia="Palatino Linotype" w:hAnsi="Palatino Linotype" w:cs="Palatino Linotype"/>
          <w:color w:val="000000"/>
          <w:sz w:val="24"/>
          <w:szCs w:val="24"/>
        </w:rPr>
      </w:pPr>
      <w:r>
        <w:rPr>
          <w:noProof/>
        </w:rPr>
        <w:lastRenderedPageBreak/>
        <w:drawing>
          <wp:inline distT="0" distB="0" distL="0" distR="0" wp14:anchorId="76C22B93" wp14:editId="120E8F9B">
            <wp:extent cx="5938572" cy="5937299"/>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35302" t="13579" r="36014" b="12492"/>
                    <a:stretch>
                      <a:fillRect/>
                    </a:stretch>
                  </pic:blipFill>
                  <pic:spPr>
                    <a:xfrm>
                      <a:off x="0" y="0"/>
                      <a:ext cx="5938572" cy="5937299"/>
                    </a:xfrm>
                    <a:prstGeom prst="rect">
                      <a:avLst/>
                    </a:prstGeom>
                    <a:ln/>
                  </pic:spPr>
                </pic:pic>
              </a:graphicData>
            </a:graphic>
          </wp:inline>
        </w:drawing>
      </w:r>
    </w:p>
    <w:p w14:paraId="0AF12E23" w14:textId="77777777" w:rsidR="00666F20" w:rsidRDefault="00C345A8">
      <w:pPr>
        <w:spacing w:after="0" w:line="360" w:lineRule="auto"/>
        <w:jc w:val="both"/>
        <w:rPr>
          <w:rFonts w:ascii="Palatino Linotype" w:eastAsia="Palatino Linotype" w:hAnsi="Palatino Linotype" w:cs="Palatino Linotype"/>
          <w:color w:val="000000"/>
          <w:sz w:val="24"/>
          <w:szCs w:val="24"/>
        </w:rPr>
      </w:pPr>
      <w:hyperlink r:id="rId11">
        <w:r w:rsidR="00FE651E">
          <w:rPr>
            <w:rFonts w:ascii="Palatino Linotype" w:eastAsia="Palatino Linotype" w:hAnsi="Palatino Linotype" w:cs="Palatino Linotype"/>
            <w:color w:val="0563C1"/>
            <w:sz w:val="24"/>
            <w:szCs w:val="24"/>
            <w:u w:val="single"/>
          </w:rPr>
          <w:t>https://legislacion.edomex.gob.mx/sites/legislacion.edomex.gob.mx/files/files/pdf/gct/2018/ago083.pdf</w:t>
        </w:r>
      </w:hyperlink>
      <w:r w:rsidR="00FE651E">
        <w:rPr>
          <w:rFonts w:ascii="Palatino Linotype" w:eastAsia="Palatino Linotype" w:hAnsi="Palatino Linotype" w:cs="Palatino Linotype"/>
          <w:color w:val="000000"/>
          <w:sz w:val="24"/>
          <w:szCs w:val="24"/>
        </w:rPr>
        <w:t xml:space="preserve">  </w:t>
      </w:r>
    </w:p>
    <w:p w14:paraId="61839B27" w14:textId="77777777" w:rsidR="00666F20" w:rsidRDefault="00FE651E">
      <w:pPr>
        <w:spacing w:after="0" w:line="360" w:lineRule="auto"/>
        <w:jc w:val="center"/>
        <w:rPr>
          <w:rFonts w:ascii="Palatino Linotype" w:eastAsia="Palatino Linotype" w:hAnsi="Palatino Linotype" w:cs="Palatino Linotype"/>
          <w:color w:val="000000"/>
          <w:sz w:val="24"/>
          <w:szCs w:val="24"/>
        </w:rPr>
      </w:pPr>
      <w:r>
        <w:rPr>
          <w:noProof/>
        </w:rPr>
        <w:lastRenderedPageBreak/>
        <w:drawing>
          <wp:inline distT="0" distB="0" distL="0" distR="0" wp14:anchorId="53A7E1AF" wp14:editId="6A89CF23">
            <wp:extent cx="4612529" cy="6527672"/>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33774" t="16294" r="37202" b="10681"/>
                    <a:stretch>
                      <a:fillRect/>
                    </a:stretch>
                  </pic:blipFill>
                  <pic:spPr>
                    <a:xfrm>
                      <a:off x="0" y="0"/>
                      <a:ext cx="4612529" cy="6527672"/>
                    </a:xfrm>
                    <a:prstGeom prst="rect">
                      <a:avLst/>
                    </a:prstGeom>
                    <a:ln/>
                  </pic:spPr>
                </pic:pic>
              </a:graphicData>
            </a:graphic>
          </wp:inline>
        </w:drawing>
      </w:r>
    </w:p>
    <w:p w14:paraId="10E407FB" w14:textId="77777777" w:rsidR="00666F20" w:rsidRDefault="00666F20">
      <w:pPr>
        <w:spacing w:after="0" w:line="360" w:lineRule="auto"/>
        <w:ind w:right="49"/>
        <w:jc w:val="both"/>
        <w:rPr>
          <w:rFonts w:ascii="Palatino Linotype" w:eastAsia="Palatino Linotype" w:hAnsi="Palatino Linotype" w:cs="Palatino Linotype"/>
          <w:color w:val="000000"/>
          <w:sz w:val="24"/>
          <w:szCs w:val="24"/>
        </w:rPr>
      </w:pPr>
    </w:p>
    <w:p w14:paraId="1712CF60" w14:textId="77777777" w:rsidR="00666F20" w:rsidRDefault="00FE651E">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En este entendido, de los ordenamientos normativos remitidos por el Sujeto Obligado cuyos artículos fueron transcritos </w:t>
      </w:r>
      <w:proofErr w:type="gramStart"/>
      <w:r>
        <w:rPr>
          <w:rFonts w:ascii="Palatino Linotype" w:eastAsia="Palatino Linotype" w:hAnsi="Palatino Linotype" w:cs="Palatino Linotype"/>
          <w:sz w:val="24"/>
          <w:szCs w:val="24"/>
        </w:rPr>
        <w:t>de  manera</w:t>
      </w:r>
      <w:proofErr w:type="gramEnd"/>
      <w:r>
        <w:rPr>
          <w:rFonts w:ascii="Palatino Linotype" w:eastAsia="Palatino Linotype" w:hAnsi="Palatino Linotype" w:cs="Palatino Linotype"/>
          <w:sz w:val="24"/>
          <w:szCs w:val="24"/>
        </w:rPr>
        <w:t xml:space="preserve"> específica en la respuesta inicial se tiene que se detallan las atribuciones de las áreas encargadas de generar la información solicitada. </w:t>
      </w:r>
    </w:p>
    <w:p w14:paraId="47AA4947" w14:textId="77777777" w:rsidR="00666F20" w:rsidRDefault="00666F20">
      <w:pPr>
        <w:spacing w:after="0" w:line="360" w:lineRule="auto"/>
        <w:ind w:right="49"/>
        <w:jc w:val="both"/>
        <w:rPr>
          <w:rFonts w:ascii="Palatino Linotype" w:eastAsia="Palatino Linotype" w:hAnsi="Palatino Linotype" w:cs="Palatino Linotype"/>
          <w:sz w:val="24"/>
          <w:szCs w:val="24"/>
        </w:rPr>
      </w:pPr>
    </w:p>
    <w:p w14:paraId="6AC9F37F" w14:textId="77777777" w:rsidR="00666F20" w:rsidRDefault="00FE651E">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Ahora bien, del análisis a la respuesta proporcionada por </w:t>
      </w:r>
      <w:r>
        <w:rPr>
          <w:rFonts w:ascii="Palatino Linotype" w:eastAsia="Palatino Linotype" w:hAnsi="Palatino Linotype" w:cs="Palatino Linotype"/>
          <w:b/>
          <w:color w:val="000000"/>
          <w:sz w:val="24"/>
          <w:szCs w:val="24"/>
        </w:rPr>
        <w:t>EL SUJETO OBLIGADO</w:t>
      </w:r>
      <w:r>
        <w:rPr>
          <w:rFonts w:ascii="Palatino Linotype" w:eastAsia="Palatino Linotype" w:hAnsi="Palatino Linotype" w:cs="Palatino Linotype"/>
          <w:color w:val="000000"/>
          <w:sz w:val="24"/>
          <w:szCs w:val="24"/>
        </w:rPr>
        <w:t xml:space="preserve"> se advierte </w:t>
      </w:r>
      <w:r>
        <w:rPr>
          <w:rFonts w:ascii="Palatino Linotype" w:eastAsia="Palatino Linotype" w:hAnsi="Palatino Linotype" w:cs="Palatino Linotype"/>
          <w:sz w:val="24"/>
          <w:szCs w:val="24"/>
        </w:rPr>
        <w:t xml:space="preserve">si bien, </w:t>
      </w:r>
      <w:r>
        <w:rPr>
          <w:rFonts w:ascii="Palatino Linotype" w:eastAsia="Palatino Linotype" w:hAnsi="Palatino Linotype" w:cs="Palatino Linotype"/>
          <w:color w:val="000000"/>
          <w:sz w:val="24"/>
          <w:szCs w:val="24"/>
        </w:rPr>
        <w:t xml:space="preserve">los instrumentos normativos referidos no </w:t>
      </w:r>
      <w:r>
        <w:rPr>
          <w:rFonts w:ascii="Palatino Linotype" w:eastAsia="Palatino Linotype" w:hAnsi="Palatino Linotype" w:cs="Palatino Linotype"/>
          <w:sz w:val="24"/>
          <w:szCs w:val="24"/>
        </w:rPr>
        <w:t xml:space="preserve">establecen </w:t>
      </w:r>
      <w:r>
        <w:rPr>
          <w:rFonts w:ascii="Palatino Linotype" w:eastAsia="Palatino Linotype" w:hAnsi="Palatino Linotype" w:cs="Palatino Linotype"/>
          <w:color w:val="000000"/>
          <w:sz w:val="24"/>
          <w:szCs w:val="24"/>
        </w:rPr>
        <w:t xml:space="preserve">de manera textual las funciones de elaborar, revisar y </w:t>
      </w:r>
      <w:proofErr w:type="gramStart"/>
      <w:r>
        <w:rPr>
          <w:rFonts w:ascii="Palatino Linotype" w:eastAsia="Palatino Linotype" w:hAnsi="Palatino Linotype" w:cs="Palatino Linotype"/>
          <w:color w:val="000000"/>
          <w:sz w:val="24"/>
          <w:szCs w:val="24"/>
        </w:rPr>
        <w:t>autorizar  la</w:t>
      </w:r>
      <w:proofErr w:type="gramEnd"/>
      <w:r>
        <w:rPr>
          <w:rFonts w:ascii="Palatino Linotype" w:eastAsia="Palatino Linotype" w:hAnsi="Palatino Linotype" w:cs="Palatino Linotype"/>
          <w:color w:val="000000"/>
          <w:sz w:val="24"/>
          <w:szCs w:val="24"/>
        </w:rPr>
        <w:t xml:space="preserve"> Nómina Detallada, </w:t>
      </w:r>
      <w:r>
        <w:rPr>
          <w:rFonts w:ascii="Palatino Linotype" w:eastAsia="Palatino Linotype" w:hAnsi="Palatino Linotype" w:cs="Palatino Linotype"/>
          <w:sz w:val="24"/>
          <w:szCs w:val="24"/>
        </w:rPr>
        <w:t xml:space="preserve">también lo es que en el ejercicio del derecho de acceso a la información, la entrega de la información no comprende el procesamiento de la misma, en términos de lo dispuesto por la Ley de Transparencia de la Entidad. </w:t>
      </w:r>
    </w:p>
    <w:p w14:paraId="608F2CA5" w14:textId="77777777" w:rsidR="00666F20" w:rsidRDefault="00FE651E">
      <w:pPr>
        <w:spacing w:before="240" w:after="240" w:line="360" w:lineRule="auto"/>
        <w:ind w:right="-10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síntesis, el derecho de acceso a la información pública se satisface en aquellos casos en que se entregue el soporte documental en que conste la información pública, sin la necesidad de elaborar documentos </w:t>
      </w:r>
      <w:r>
        <w:rPr>
          <w:rFonts w:ascii="Palatino Linotype" w:eastAsia="Palatino Linotype" w:hAnsi="Palatino Linotype" w:cs="Palatino Linotype"/>
          <w:i/>
          <w:sz w:val="24"/>
          <w:szCs w:val="24"/>
        </w:rPr>
        <w:t>ad hoc</w:t>
      </w:r>
      <w:r>
        <w:rPr>
          <w:rFonts w:ascii="Palatino Linotype" w:eastAsia="Palatino Linotype" w:hAnsi="Palatino Linotype" w:cs="Palatino Linotype"/>
          <w:sz w:val="24"/>
          <w:szCs w:val="24"/>
        </w:rPr>
        <w:t>; lo cual, toma sustento en el artículo 160 de la Ley de Transparencia y Acceso a la Información Pública del Estado de México y Municipios, el cual refiere que los Sujetos Obligados deberán entregar la información que obre en sus archivos; tal y como lo señala el Criterio 09-10, emitido por el Pleno del entonces Instituto Federal de Acceso a la Información y Protección de Datos, ahora Instituto Nacional de Transparencia, Acceso a la Información y Protección de Datos Personales, que dice:</w:t>
      </w:r>
    </w:p>
    <w:p w14:paraId="6FB0AA27" w14:textId="77777777" w:rsidR="00666F20" w:rsidRDefault="00FE651E">
      <w:pPr>
        <w:spacing w:before="240" w:after="240" w:line="360" w:lineRule="auto"/>
        <w:ind w:right="-10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p>
    <w:p w14:paraId="677C8FCE" w14:textId="77777777" w:rsidR="00666F20" w:rsidRDefault="00FE651E">
      <w:pPr>
        <w:spacing w:after="0" w:line="276" w:lineRule="auto"/>
        <w:ind w:left="860" w:right="860"/>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lastRenderedPageBreak/>
        <w:t>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30A5B292" w14:textId="77777777" w:rsidR="00666F20" w:rsidRDefault="00FE651E">
      <w:pPr>
        <w:spacing w:after="0" w:line="276" w:lineRule="auto"/>
        <w:ind w:left="860" w:right="860"/>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Expedientes:</w:t>
      </w:r>
    </w:p>
    <w:p w14:paraId="5FC0519F" w14:textId="77777777" w:rsidR="00666F20" w:rsidRDefault="00FE651E">
      <w:pPr>
        <w:spacing w:after="0" w:line="276" w:lineRule="auto"/>
        <w:ind w:left="860" w:right="860"/>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0438/08 Pemex Exploración y Producción – Alonso Lujambio Irazábal</w:t>
      </w:r>
    </w:p>
    <w:p w14:paraId="70081EA5" w14:textId="77777777" w:rsidR="00666F20" w:rsidRDefault="00FE651E">
      <w:pPr>
        <w:spacing w:after="0" w:line="276" w:lineRule="auto"/>
        <w:ind w:left="860" w:right="860"/>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1751/09 Laboratorios de Biológicos y Reactivos de México S.A. de C.V. –</w:t>
      </w:r>
    </w:p>
    <w:p w14:paraId="028C90A3" w14:textId="77777777" w:rsidR="00666F20" w:rsidRDefault="00FE651E">
      <w:pPr>
        <w:spacing w:after="0" w:line="276" w:lineRule="auto"/>
        <w:ind w:left="860" w:right="860"/>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 xml:space="preserve">María </w:t>
      </w:r>
      <w:proofErr w:type="spellStart"/>
      <w:r>
        <w:rPr>
          <w:rFonts w:ascii="Palatino Linotype" w:eastAsia="Palatino Linotype" w:hAnsi="Palatino Linotype" w:cs="Palatino Linotype"/>
          <w:i/>
          <w:sz w:val="24"/>
          <w:szCs w:val="24"/>
        </w:rPr>
        <w:t>Marván</w:t>
      </w:r>
      <w:proofErr w:type="spellEnd"/>
      <w:r>
        <w:rPr>
          <w:rFonts w:ascii="Palatino Linotype" w:eastAsia="Palatino Linotype" w:hAnsi="Palatino Linotype" w:cs="Palatino Linotype"/>
          <w:i/>
          <w:sz w:val="24"/>
          <w:szCs w:val="24"/>
        </w:rPr>
        <w:t xml:space="preserve"> Laborde</w:t>
      </w:r>
    </w:p>
    <w:p w14:paraId="659577E2" w14:textId="77777777" w:rsidR="00666F20" w:rsidRDefault="00FE651E">
      <w:pPr>
        <w:spacing w:after="0" w:line="276" w:lineRule="auto"/>
        <w:ind w:left="860" w:right="860"/>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 xml:space="preserve">2868/09 Consejo Nacional de Ciencia y Tecnología – Jacqueline </w:t>
      </w:r>
      <w:proofErr w:type="spellStart"/>
      <w:r>
        <w:rPr>
          <w:rFonts w:ascii="Palatino Linotype" w:eastAsia="Palatino Linotype" w:hAnsi="Palatino Linotype" w:cs="Palatino Linotype"/>
          <w:i/>
          <w:sz w:val="24"/>
          <w:szCs w:val="24"/>
        </w:rPr>
        <w:t>Peschard</w:t>
      </w:r>
      <w:proofErr w:type="spellEnd"/>
    </w:p>
    <w:p w14:paraId="3224FB90" w14:textId="77777777" w:rsidR="00666F20" w:rsidRDefault="00FE651E">
      <w:pPr>
        <w:spacing w:after="0" w:line="276" w:lineRule="auto"/>
        <w:ind w:left="860" w:right="860"/>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Mariscal</w:t>
      </w:r>
    </w:p>
    <w:p w14:paraId="4FD3815A" w14:textId="77777777" w:rsidR="00666F20" w:rsidRDefault="00FE651E">
      <w:pPr>
        <w:spacing w:after="0" w:line="276" w:lineRule="auto"/>
        <w:ind w:left="860" w:right="860"/>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5160/09 Secretaría de Hacienda y Crédito Público – Ángel Trinidad Zaldívar</w:t>
      </w:r>
    </w:p>
    <w:p w14:paraId="001642D3" w14:textId="77777777" w:rsidR="00666F20" w:rsidRDefault="00FE651E">
      <w:pPr>
        <w:spacing w:after="0" w:line="276" w:lineRule="auto"/>
        <w:ind w:left="860" w:right="860"/>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 xml:space="preserve">0304/10 Instituto Nacional de Cancerología – Jacqueline </w:t>
      </w:r>
      <w:proofErr w:type="spellStart"/>
      <w:r>
        <w:rPr>
          <w:rFonts w:ascii="Palatino Linotype" w:eastAsia="Palatino Linotype" w:hAnsi="Palatino Linotype" w:cs="Palatino Linotype"/>
          <w:i/>
          <w:sz w:val="24"/>
          <w:szCs w:val="24"/>
        </w:rPr>
        <w:t>Peschard</w:t>
      </w:r>
      <w:proofErr w:type="spellEnd"/>
      <w:r>
        <w:rPr>
          <w:rFonts w:ascii="Palatino Linotype" w:eastAsia="Palatino Linotype" w:hAnsi="Palatino Linotype" w:cs="Palatino Linotype"/>
          <w:i/>
          <w:sz w:val="24"/>
          <w:szCs w:val="24"/>
        </w:rPr>
        <w:t xml:space="preserve"> Mariscal</w:t>
      </w:r>
    </w:p>
    <w:p w14:paraId="710E460E" w14:textId="77777777" w:rsidR="00666F20" w:rsidRDefault="00666F20">
      <w:pPr>
        <w:spacing w:after="0" w:line="360" w:lineRule="auto"/>
        <w:ind w:right="49"/>
        <w:jc w:val="both"/>
        <w:rPr>
          <w:rFonts w:ascii="Palatino Linotype" w:eastAsia="Palatino Linotype" w:hAnsi="Palatino Linotype" w:cs="Palatino Linotype"/>
          <w:sz w:val="24"/>
          <w:szCs w:val="24"/>
        </w:rPr>
      </w:pPr>
    </w:p>
    <w:p w14:paraId="4BA28A23" w14:textId="77777777" w:rsidR="00666F20" w:rsidRDefault="00FE651E">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Acotado lo anterior, el Poder Legislativo, no se encuentra obligado a generar un documentos en específico en el que se observen el nombre y cargo de los servidores públicos responsables que de manera específica les corresponde elaborar, revisar y </w:t>
      </w:r>
      <w:proofErr w:type="gramStart"/>
      <w:r>
        <w:rPr>
          <w:rFonts w:ascii="Palatino Linotype" w:eastAsia="Palatino Linotype" w:hAnsi="Palatino Linotype" w:cs="Palatino Linotype"/>
          <w:sz w:val="24"/>
          <w:szCs w:val="24"/>
        </w:rPr>
        <w:t>autorizar  la</w:t>
      </w:r>
      <w:proofErr w:type="gramEnd"/>
      <w:r>
        <w:rPr>
          <w:rFonts w:ascii="Palatino Linotype" w:eastAsia="Palatino Linotype" w:hAnsi="Palatino Linotype" w:cs="Palatino Linotype"/>
          <w:sz w:val="24"/>
          <w:szCs w:val="24"/>
        </w:rPr>
        <w:t xml:space="preserve"> Nómina Detallada, tal y como lo requiere el solicitante. </w:t>
      </w:r>
    </w:p>
    <w:p w14:paraId="359A3C5A" w14:textId="77777777" w:rsidR="00666F20" w:rsidRDefault="00666F20">
      <w:pPr>
        <w:spacing w:after="0" w:line="360" w:lineRule="auto"/>
        <w:ind w:right="142"/>
        <w:jc w:val="both"/>
        <w:rPr>
          <w:rFonts w:ascii="Palatino Linotype" w:eastAsia="Palatino Linotype" w:hAnsi="Palatino Linotype" w:cs="Palatino Linotype"/>
          <w:sz w:val="24"/>
          <w:szCs w:val="24"/>
        </w:rPr>
      </w:pPr>
    </w:p>
    <w:p w14:paraId="790A2827" w14:textId="77777777" w:rsidR="00666F20" w:rsidRDefault="00FE651E">
      <w:pPr>
        <w:spacing w:after="0" w:line="360" w:lineRule="auto"/>
        <w:ind w:right="142"/>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lastRenderedPageBreak/>
        <w:t xml:space="preserve">En ese supuesto, el ordenarle 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proporcione dicha información, es solicitarle que procese información, hecho que no se encuentra constreñido a realizar en concordancia con lo que dispone la Ley en la materia.</w:t>
      </w:r>
    </w:p>
    <w:p w14:paraId="15B349BF" w14:textId="77777777" w:rsidR="00666F20" w:rsidRDefault="00666F20">
      <w:pPr>
        <w:spacing w:after="0" w:line="360" w:lineRule="auto"/>
        <w:ind w:right="49"/>
        <w:jc w:val="both"/>
        <w:rPr>
          <w:rFonts w:ascii="Palatino Linotype" w:eastAsia="Palatino Linotype" w:hAnsi="Palatino Linotype" w:cs="Palatino Linotype"/>
          <w:color w:val="000000"/>
          <w:sz w:val="24"/>
          <w:szCs w:val="24"/>
          <w:highlight w:val="yellow"/>
        </w:rPr>
      </w:pPr>
    </w:p>
    <w:p w14:paraId="1A20D551" w14:textId="77777777" w:rsidR="00666F20" w:rsidRDefault="00FE651E">
      <w:pPr>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No obstante, de la respuesta del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 xml:space="preserve">se advierte que la </w:t>
      </w:r>
      <w:r>
        <w:rPr>
          <w:rFonts w:ascii="Palatino Linotype" w:eastAsia="Palatino Linotype" w:hAnsi="Palatino Linotype" w:cs="Palatino Linotype"/>
          <w:sz w:val="24"/>
          <w:szCs w:val="24"/>
        </w:rPr>
        <w:t>Secretaría</w:t>
      </w:r>
      <w:r>
        <w:rPr>
          <w:rFonts w:ascii="Palatino Linotype" w:eastAsia="Palatino Linotype" w:hAnsi="Palatino Linotype" w:cs="Palatino Linotype"/>
          <w:color w:val="000000"/>
          <w:sz w:val="24"/>
          <w:szCs w:val="24"/>
        </w:rPr>
        <w:t xml:space="preserve"> de Administración y Finanzas </w:t>
      </w:r>
      <w:r>
        <w:rPr>
          <w:rFonts w:ascii="Palatino Linotype" w:eastAsia="Palatino Linotype" w:hAnsi="Palatino Linotype" w:cs="Palatino Linotype"/>
          <w:sz w:val="24"/>
          <w:szCs w:val="24"/>
        </w:rPr>
        <w:t>integrará</w:t>
      </w:r>
      <w:r>
        <w:rPr>
          <w:rFonts w:ascii="Palatino Linotype" w:eastAsia="Palatino Linotype" w:hAnsi="Palatino Linotype" w:cs="Palatino Linotype"/>
          <w:color w:val="000000"/>
          <w:sz w:val="24"/>
          <w:szCs w:val="24"/>
        </w:rPr>
        <w:t xml:space="preserve"> la nómina de la Legislatura; la Dirección de Administración y Desarrollo Personal, tiene como objetivo planear, organizar, integrar y controlar los procesos de pago de nómina y la función de supervisar la oportuna y expedita entrega de remuneraciones; el Departamento de Nóminas tiene como objetivo registrar y controlar las percepciones y deducciones de los servidores públicos del Poder Legislativo y como función la de transferir las nóminas de los servidores públicos. </w:t>
      </w:r>
    </w:p>
    <w:p w14:paraId="78A44F5A" w14:textId="77777777" w:rsidR="00666F20" w:rsidRDefault="00666F20">
      <w:pPr>
        <w:spacing w:after="0" w:line="360" w:lineRule="auto"/>
        <w:ind w:right="49"/>
        <w:jc w:val="both"/>
        <w:rPr>
          <w:rFonts w:ascii="Palatino Linotype" w:eastAsia="Palatino Linotype" w:hAnsi="Palatino Linotype" w:cs="Palatino Linotype"/>
          <w:sz w:val="24"/>
          <w:szCs w:val="24"/>
        </w:rPr>
      </w:pPr>
    </w:p>
    <w:p w14:paraId="5285221C" w14:textId="77777777" w:rsidR="00666F20" w:rsidRDefault="00FE651E">
      <w:pPr>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lo que hace entrega del nombre y cargo de los servidores públicos que tienen asignadas las funciones en relación a la elaboración, revisión y autorización de la nómina detallada de los servidores públicos del Poder Legislativo del Estado de México.</w:t>
      </w:r>
    </w:p>
    <w:p w14:paraId="587A7419" w14:textId="77777777" w:rsidR="00666F20" w:rsidRDefault="00666F20">
      <w:pPr>
        <w:spacing w:after="0" w:line="360" w:lineRule="auto"/>
        <w:ind w:right="49"/>
        <w:jc w:val="both"/>
        <w:rPr>
          <w:rFonts w:ascii="Palatino Linotype" w:eastAsia="Palatino Linotype" w:hAnsi="Palatino Linotype" w:cs="Palatino Linotype"/>
          <w:color w:val="000000"/>
          <w:sz w:val="24"/>
          <w:szCs w:val="24"/>
        </w:rPr>
      </w:pPr>
    </w:p>
    <w:p w14:paraId="6CC4BA72" w14:textId="77777777" w:rsidR="00666F20" w:rsidRDefault="00FE651E">
      <w:pPr>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Ahora bien, en sus motivos de inconformidad, </w:t>
      </w:r>
      <w:r>
        <w:rPr>
          <w:rFonts w:ascii="Palatino Linotype" w:eastAsia="Palatino Linotype" w:hAnsi="Palatino Linotype" w:cs="Palatino Linotype"/>
          <w:b/>
          <w:color w:val="000000"/>
          <w:sz w:val="24"/>
          <w:szCs w:val="24"/>
        </w:rPr>
        <w:t xml:space="preserve">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color w:val="000000"/>
          <w:sz w:val="24"/>
          <w:szCs w:val="24"/>
        </w:rPr>
        <w:t xml:space="preserve">, menciona que en caso de que no contara con la información suficiente para identificar a los servidores públicos que tienen asignada la responsabilidad y función sustantiva de elaboración, revisión y autorización de la Nómina Detallada de los Servidores Públicos del Poder Legislativo, debió emitir un acuerdo de </w:t>
      </w:r>
      <w:r>
        <w:rPr>
          <w:rFonts w:ascii="Palatino Linotype" w:eastAsia="Palatino Linotype" w:hAnsi="Palatino Linotype" w:cs="Palatino Linotype"/>
          <w:color w:val="000000"/>
          <w:sz w:val="24"/>
          <w:szCs w:val="24"/>
        </w:rPr>
        <w:lastRenderedPageBreak/>
        <w:t xml:space="preserve">inexistencia, sin embargo, de acuerdo </w:t>
      </w:r>
      <w:r>
        <w:rPr>
          <w:rFonts w:ascii="Palatino Linotype" w:eastAsia="Palatino Linotype" w:hAnsi="Palatino Linotype" w:cs="Palatino Linotype"/>
          <w:sz w:val="24"/>
          <w:szCs w:val="24"/>
        </w:rPr>
        <w:t xml:space="preserve">al criterio de interpretación emitido por este Instituto número 0003-11, la inexistencia de la información en el derecho de acceso a la información pública conlleva como supuestos: la existencia previa de la documentación y la falta posterior de la misma en los archivos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debió de haber generado, administrado o poseído la información pero en incumplimiento a la norma no lo llevo a cabo. Tal como se lee del criterio que para mayor referencia se transcribe a continuación:</w:t>
      </w:r>
    </w:p>
    <w:p w14:paraId="52319FAC" w14:textId="77777777" w:rsidR="00666F20" w:rsidRDefault="00666F20">
      <w:pPr>
        <w:spacing w:after="0" w:line="360" w:lineRule="auto"/>
        <w:jc w:val="both"/>
        <w:rPr>
          <w:rFonts w:ascii="Palatino Linotype" w:eastAsia="Palatino Linotype" w:hAnsi="Palatino Linotype" w:cs="Palatino Linotype"/>
          <w:sz w:val="24"/>
          <w:szCs w:val="24"/>
        </w:rPr>
      </w:pPr>
    </w:p>
    <w:p w14:paraId="54C777DA" w14:textId="77777777" w:rsidR="00666F20" w:rsidRDefault="00FE651E">
      <w:pPr>
        <w:spacing w:before="80" w:after="24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INEXISTENCIA, CONCEPTO DE, EN MATERIA DE TRANSPARENCIA</w:t>
      </w:r>
      <w:r>
        <w:rPr>
          <w:rFonts w:ascii="Palatino Linotype" w:eastAsia="Palatino Linotype" w:hAnsi="Palatino Linotype" w:cs="Palatino Linotype"/>
          <w:i/>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Pr>
          <w:rFonts w:ascii="Palatino Linotype" w:eastAsia="Palatino Linotype" w:hAnsi="Palatino Linotype" w:cs="Palatino Linotype"/>
          <w:b/>
          <w:i/>
        </w:rPr>
        <w:t>supuestos:</w:t>
      </w:r>
      <w:r>
        <w:rPr>
          <w:rFonts w:ascii="Palatino Linotype" w:eastAsia="Palatino Linotype" w:hAnsi="Palatino Linotype" w:cs="Palatino Linotype"/>
          <w:i/>
        </w:rPr>
        <w:t xml:space="preserve"> </w:t>
      </w:r>
    </w:p>
    <w:p w14:paraId="034DD565" w14:textId="77777777" w:rsidR="00666F20" w:rsidRDefault="00FE651E">
      <w:pPr>
        <w:numPr>
          <w:ilvl w:val="0"/>
          <w:numId w:val="2"/>
        </w:numPr>
        <w:tabs>
          <w:tab w:val="left" w:pos="1276"/>
        </w:tabs>
        <w:spacing w:before="240" w:after="0" w:line="276" w:lineRule="auto"/>
        <w:ind w:left="993" w:right="900" w:firstLine="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14:paraId="5C002615" w14:textId="77777777" w:rsidR="00666F20" w:rsidRDefault="00FE651E">
      <w:pPr>
        <w:numPr>
          <w:ilvl w:val="0"/>
          <w:numId w:val="2"/>
        </w:numPr>
        <w:tabs>
          <w:tab w:val="left" w:pos="1276"/>
        </w:tabs>
        <w:spacing w:after="240" w:line="276" w:lineRule="auto"/>
        <w:ind w:left="993" w:right="900" w:firstLine="0"/>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En los casos en que por las atribuciones conferidas al Sujeto Obligado éste debió generar, administrar o poseer la información, pero en incumplimiento a la normatividad respectiva no llevó a cabo ninguna de esas acciones. </w:t>
      </w:r>
    </w:p>
    <w:p w14:paraId="0CC1DBC9" w14:textId="77777777" w:rsidR="00666F20" w:rsidRDefault="00FE651E">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04196492" w14:textId="77777777" w:rsidR="00666F20" w:rsidRDefault="00666F20">
      <w:pPr>
        <w:spacing w:after="0" w:line="276" w:lineRule="auto"/>
        <w:ind w:left="851" w:right="900"/>
        <w:jc w:val="both"/>
        <w:rPr>
          <w:rFonts w:ascii="Palatino Linotype" w:eastAsia="Palatino Linotype" w:hAnsi="Palatino Linotype" w:cs="Palatino Linotype"/>
          <w:i/>
          <w:sz w:val="24"/>
          <w:szCs w:val="24"/>
        </w:rPr>
      </w:pPr>
    </w:p>
    <w:p w14:paraId="5D33F181" w14:textId="77777777" w:rsidR="00666F20" w:rsidRDefault="00FE651E">
      <w:pPr>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Por tanto, la declaratoria de inexistencia no es un mero trámite por el cual de manera mecánica o simple manifieste que la información no existe en sus archivos, por lo que </w:t>
      </w:r>
      <w:r>
        <w:rPr>
          <w:rFonts w:ascii="Palatino Linotype" w:eastAsia="Palatino Linotype" w:hAnsi="Palatino Linotype" w:cs="Palatino Linotype"/>
          <w:color w:val="000000"/>
          <w:sz w:val="24"/>
          <w:szCs w:val="24"/>
          <w:u w:val="single"/>
        </w:rPr>
        <w:t xml:space="preserve">resultaría innecesaria una declaratoria de inexistencia, ya que hace entrega de la información solicitada, tal y como obra en sus archivos. </w:t>
      </w:r>
    </w:p>
    <w:p w14:paraId="2CC4D21B" w14:textId="77777777" w:rsidR="00666F20" w:rsidRDefault="00666F20">
      <w:pPr>
        <w:spacing w:after="0" w:line="360" w:lineRule="auto"/>
        <w:ind w:right="18"/>
        <w:jc w:val="both"/>
        <w:rPr>
          <w:rFonts w:ascii="Palatino Linotype" w:eastAsia="Palatino Linotype" w:hAnsi="Palatino Linotype" w:cs="Palatino Linotype"/>
          <w:color w:val="000000"/>
          <w:sz w:val="24"/>
          <w:szCs w:val="24"/>
        </w:rPr>
      </w:pPr>
    </w:p>
    <w:p w14:paraId="15BD3366" w14:textId="77777777" w:rsidR="00666F20" w:rsidRDefault="00FE651E">
      <w:pPr>
        <w:spacing w:after="0" w:line="360" w:lineRule="auto"/>
        <w:ind w:right="18"/>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Aunado a lo anterior, se destaca que, al haber existido un pronunciamiento por parte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sz w:val="24"/>
          <w:szCs w:val="24"/>
        </w:rPr>
        <w:t xml:space="preserve">respecto de la materia de solicitud, este Organismo Garante no está facultado para manifestarse sobre la veracidad de lo expresado por parte de éste, pues no existe precepto legal alguno en la Ley de la materia que lo faculte para ello. </w:t>
      </w:r>
    </w:p>
    <w:p w14:paraId="16697E83" w14:textId="77777777" w:rsidR="00666F20" w:rsidRDefault="00666F20">
      <w:pPr>
        <w:spacing w:after="0" w:line="360" w:lineRule="auto"/>
        <w:ind w:right="18"/>
        <w:jc w:val="both"/>
        <w:rPr>
          <w:rFonts w:ascii="Palatino Linotype" w:eastAsia="Palatino Linotype" w:hAnsi="Palatino Linotype" w:cs="Palatino Linotype"/>
          <w:sz w:val="24"/>
          <w:szCs w:val="24"/>
        </w:rPr>
      </w:pPr>
    </w:p>
    <w:p w14:paraId="682732BE" w14:textId="77777777" w:rsidR="00666F20" w:rsidRDefault="00FE651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Lo anterior se sustenta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42D283FB" w14:textId="77777777" w:rsidR="00666F20" w:rsidRDefault="00666F20">
      <w:pPr>
        <w:spacing w:after="0" w:line="360" w:lineRule="auto"/>
        <w:jc w:val="both"/>
        <w:rPr>
          <w:rFonts w:ascii="Palatino Linotype" w:eastAsia="Palatino Linotype" w:hAnsi="Palatino Linotype" w:cs="Palatino Linotype"/>
          <w:sz w:val="24"/>
          <w:szCs w:val="24"/>
        </w:rPr>
      </w:pPr>
    </w:p>
    <w:p w14:paraId="211E0FAC" w14:textId="77777777" w:rsidR="00666F20" w:rsidRDefault="00FE651E">
      <w:pPr>
        <w:spacing w:after="0"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w:t>
      </w:r>
      <w:r>
        <w:rPr>
          <w:rFonts w:ascii="Palatino Linotype" w:eastAsia="Palatino Linotype" w:hAnsi="Palatino Linotype" w:cs="Palatino Linotype"/>
          <w:i/>
        </w:rPr>
        <w:lastRenderedPageBreak/>
        <w:t>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94C0B02" w14:textId="77777777" w:rsidR="00666F20" w:rsidRDefault="00666F20">
      <w:pPr>
        <w:spacing w:after="0" w:line="360" w:lineRule="auto"/>
        <w:jc w:val="both"/>
        <w:rPr>
          <w:rFonts w:ascii="Palatino Linotype" w:eastAsia="Palatino Linotype" w:hAnsi="Palatino Linotype" w:cs="Palatino Linotype"/>
          <w:sz w:val="24"/>
          <w:szCs w:val="24"/>
        </w:rPr>
      </w:pPr>
    </w:p>
    <w:p w14:paraId="154F172F" w14:textId="77777777" w:rsidR="00666F20" w:rsidRDefault="00FE651E">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 hasta aquí expuesto, se concluye que los motivos de inconformidad de </w:t>
      </w:r>
      <w:r>
        <w:rPr>
          <w:rFonts w:ascii="Palatino Linotype" w:eastAsia="Palatino Linotype" w:hAnsi="Palatino Linotype" w:cs="Palatino Linotype"/>
          <w:b/>
          <w:sz w:val="24"/>
          <w:szCs w:val="24"/>
        </w:rPr>
        <w:t xml:space="preserve">LA PARTE RECURRENTE </w:t>
      </w:r>
      <w:r>
        <w:rPr>
          <w:rFonts w:ascii="Palatino Linotype" w:eastAsia="Palatino Linotype" w:hAnsi="Palatino Linotype" w:cs="Palatino Linotype"/>
          <w:sz w:val="24"/>
          <w:szCs w:val="24"/>
        </w:rPr>
        <w:t xml:space="preserve">devienen infundados, siendo procedente </w:t>
      </w:r>
      <w:r>
        <w:rPr>
          <w:rFonts w:ascii="Palatino Linotype" w:eastAsia="Palatino Linotype" w:hAnsi="Palatino Linotype" w:cs="Palatino Linotype"/>
          <w:i/>
          <w:sz w:val="24"/>
          <w:szCs w:val="24"/>
        </w:rPr>
        <w:t xml:space="preserve">Confirmar </w:t>
      </w:r>
      <w:r>
        <w:rPr>
          <w:rFonts w:ascii="Palatino Linotype" w:eastAsia="Palatino Linotype" w:hAnsi="Palatino Linotype" w:cs="Palatino Linotype"/>
          <w:sz w:val="24"/>
          <w:szCs w:val="24"/>
        </w:rPr>
        <w:t xml:space="preserve">la respuesta proporcionada por </w:t>
      </w:r>
      <w:r>
        <w:rPr>
          <w:rFonts w:ascii="Palatino Linotype" w:eastAsia="Palatino Linotype" w:hAnsi="Palatino Linotype" w:cs="Palatino Linotype"/>
          <w:b/>
          <w:sz w:val="24"/>
          <w:szCs w:val="24"/>
        </w:rPr>
        <w:t xml:space="preserve">EL SUJETO OBLIGADO </w:t>
      </w:r>
      <w:r>
        <w:rPr>
          <w:rFonts w:ascii="Palatino Linotype" w:eastAsia="Palatino Linotype" w:hAnsi="Palatino Linotype" w:cs="Palatino Linotype"/>
          <w:sz w:val="24"/>
          <w:szCs w:val="24"/>
        </w:rPr>
        <w:t>en términos del artículo 186 fracción II de la Ley de Transparencia y Acceso a la Información Pública del Estado de México y Municipios.</w:t>
      </w:r>
    </w:p>
    <w:p w14:paraId="1639162E" w14:textId="77777777" w:rsidR="00666F20" w:rsidRDefault="00666F20">
      <w:pPr>
        <w:spacing w:after="0" w:line="360" w:lineRule="auto"/>
        <w:ind w:right="49"/>
        <w:jc w:val="both"/>
        <w:rPr>
          <w:rFonts w:ascii="Palatino Linotype" w:eastAsia="Palatino Linotype" w:hAnsi="Palatino Linotype" w:cs="Palatino Linotype"/>
          <w:color w:val="000000"/>
          <w:sz w:val="24"/>
          <w:szCs w:val="24"/>
        </w:rPr>
      </w:pPr>
    </w:p>
    <w:p w14:paraId="2714ADB7" w14:textId="77777777" w:rsidR="00666F20" w:rsidRDefault="00FE651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con fundamento en lo prescrito en los artículos 5 párrafos trigésimo, trigésimo primero y trigésimo segundo fracciones IV y V de la Constitución Política del Estado Libre y Soberano de México; 2, fracción II; 29, 36 fracciones I y II; 176, 178, 181, 185 de la Ley de Transparencia y Acceso a la Información Pública del Estado de México y Municipios, este Pleno:</w:t>
      </w:r>
    </w:p>
    <w:p w14:paraId="5F591880" w14:textId="77777777" w:rsidR="00666F20" w:rsidRDefault="00666F20">
      <w:pPr>
        <w:spacing w:after="0" w:line="360" w:lineRule="auto"/>
        <w:jc w:val="both"/>
        <w:rPr>
          <w:rFonts w:ascii="Palatino Linotype" w:eastAsia="Palatino Linotype" w:hAnsi="Palatino Linotype" w:cs="Palatino Linotype"/>
          <w:sz w:val="24"/>
          <w:szCs w:val="24"/>
        </w:rPr>
      </w:pPr>
      <w:bookmarkStart w:id="0" w:name="_heading=h.gjdgxs" w:colFirst="0" w:colLast="0"/>
      <w:bookmarkEnd w:id="0"/>
    </w:p>
    <w:p w14:paraId="780DCA3A" w14:textId="77777777" w:rsidR="00666F20" w:rsidRDefault="00FE651E">
      <w:pPr>
        <w:spacing w:after="0" w:line="360" w:lineRule="auto"/>
        <w:ind w:right="-93"/>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 E S U E L V E:</w:t>
      </w:r>
    </w:p>
    <w:p w14:paraId="44140A35" w14:textId="77777777" w:rsidR="00666F20" w:rsidRDefault="00666F20">
      <w:pPr>
        <w:spacing w:after="0" w:line="360" w:lineRule="auto"/>
        <w:ind w:right="-93"/>
        <w:jc w:val="center"/>
        <w:rPr>
          <w:rFonts w:ascii="Palatino Linotype" w:eastAsia="Palatino Linotype" w:hAnsi="Palatino Linotype" w:cs="Palatino Linotype"/>
          <w:b/>
          <w:sz w:val="24"/>
          <w:szCs w:val="24"/>
        </w:rPr>
      </w:pPr>
    </w:p>
    <w:p w14:paraId="4FD865E6" w14:textId="77777777" w:rsidR="00666F20" w:rsidRDefault="00FE651E">
      <w:pPr>
        <w:spacing w:after="0" w:line="360" w:lineRule="auto"/>
        <w:ind w:right="51"/>
        <w:jc w:val="both"/>
        <w:rPr>
          <w:rFonts w:ascii="Palatino Linotype" w:eastAsia="Palatino Linotype" w:hAnsi="Palatino Linotype" w:cs="Palatino Linotype"/>
          <w:b/>
          <w:color w:val="222222"/>
          <w:sz w:val="24"/>
          <w:szCs w:val="24"/>
        </w:rPr>
      </w:pPr>
      <w:r>
        <w:rPr>
          <w:rFonts w:ascii="Palatino Linotype" w:eastAsia="Palatino Linotype" w:hAnsi="Palatino Linotype" w:cs="Palatino Linotype"/>
          <w:b/>
          <w:sz w:val="24"/>
          <w:szCs w:val="24"/>
        </w:rPr>
        <w:t xml:space="preserve">PRIMERO. </w:t>
      </w:r>
      <w:r>
        <w:rPr>
          <w:rFonts w:ascii="Palatino Linotype" w:eastAsia="Palatino Linotype" w:hAnsi="Palatino Linotype" w:cs="Palatino Linotype"/>
          <w:color w:val="222222"/>
          <w:sz w:val="24"/>
          <w:szCs w:val="24"/>
        </w:rPr>
        <w:t xml:space="preserve">Resultan infundados los motivos de inconformidad aducidos por la parte </w:t>
      </w:r>
      <w:r>
        <w:rPr>
          <w:rFonts w:ascii="Palatino Linotype" w:eastAsia="Palatino Linotype" w:hAnsi="Palatino Linotype" w:cs="Palatino Linotype"/>
          <w:b/>
          <w:color w:val="222222"/>
          <w:sz w:val="24"/>
          <w:szCs w:val="24"/>
        </w:rPr>
        <w:t>RECURRENTE</w:t>
      </w:r>
      <w:r>
        <w:rPr>
          <w:rFonts w:ascii="Palatino Linotype" w:eastAsia="Palatino Linotype" w:hAnsi="Palatino Linotype" w:cs="Palatino Linotype"/>
          <w:color w:val="222222"/>
          <w:sz w:val="24"/>
          <w:szCs w:val="24"/>
        </w:rPr>
        <w:t xml:space="preserve"> en el recurso de revisión </w:t>
      </w:r>
      <w:r>
        <w:rPr>
          <w:rFonts w:ascii="Palatino Linotype" w:eastAsia="Palatino Linotype" w:hAnsi="Palatino Linotype" w:cs="Palatino Linotype"/>
          <w:b/>
          <w:color w:val="222222"/>
          <w:sz w:val="24"/>
          <w:szCs w:val="24"/>
        </w:rPr>
        <w:t xml:space="preserve">02289/INFOEM/IP/RR/2023 </w:t>
      </w:r>
      <w:r>
        <w:rPr>
          <w:rFonts w:ascii="Palatino Linotype" w:eastAsia="Palatino Linotype" w:hAnsi="Palatino Linotype" w:cs="Palatino Linotype"/>
          <w:color w:val="222222"/>
          <w:sz w:val="24"/>
          <w:szCs w:val="24"/>
        </w:rPr>
        <w:t xml:space="preserve">por lo </w:t>
      </w:r>
      <w:r>
        <w:rPr>
          <w:rFonts w:ascii="Palatino Linotype" w:eastAsia="Palatino Linotype" w:hAnsi="Palatino Linotype" w:cs="Palatino Linotype"/>
          <w:color w:val="222222"/>
          <w:sz w:val="24"/>
          <w:szCs w:val="24"/>
        </w:rPr>
        <w:lastRenderedPageBreak/>
        <w:t xml:space="preserve">que, en términos del Considerando Cuarto de esta resolución, se </w:t>
      </w:r>
      <w:r>
        <w:rPr>
          <w:rFonts w:ascii="Palatino Linotype" w:eastAsia="Palatino Linotype" w:hAnsi="Palatino Linotype" w:cs="Palatino Linotype"/>
          <w:b/>
          <w:color w:val="222222"/>
          <w:sz w:val="24"/>
          <w:szCs w:val="24"/>
        </w:rPr>
        <w:t>CONFIRMA</w:t>
      </w:r>
      <w:r>
        <w:rPr>
          <w:rFonts w:ascii="Palatino Linotype" w:eastAsia="Palatino Linotype" w:hAnsi="Palatino Linotype" w:cs="Palatino Linotype"/>
          <w:color w:val="222222"/>
          <w:sz w:val="24"/>
          <w:szCs w:val="24"/>
        </w:rPr>
        <w:t xml:space="preserve"> la respuesta del </w:t>
      </w:r>
      <w:r>
        <w:rPr>
          <w:rFonts w:ascii="Palatino Linotype" w:eastAsia="Palatino Linotype" w:hAnsi="Palatino Linotype" w:cs="Palatino Linotype"/>
          <w:b/>
          <w:color w:val="222222"/>
          <w:sz w:val="24"/>
          <w:szCs w:val="24"/>
        </w:rPr>
        <w:t>SUJETO OBLIGADO.</w:t>
      </w:r>
    </w:p>
    <w:p w14:paraId="3BCA0FCE" w14:textId="77777777" w:rsidR="00666F20" w:rsidRDefault="00FE651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p>
    <w:p w14:paraId="51CD3737" w14:textId="77777777" w:rsidR="00666F20" w:rsidRDefault="00FE651E">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SEGUNDO. NOTIFÍQUESE </w:t>
      </w:r>
      <w:r>
        <w:rPr>
          <w:rFonts w:ascii="Palatino Linotype" w:eastAsia="Palatino Linotype" w:hAnsi="Palatino Linotype" w:cs="Palatino Linotype"/>
          <w:sz w:val="24"/>
          <w:szCs w:val="24"/>
        </w:rPr>
        <w:t xml:space="preserve">vía SAIMEX la presente resolución al Titular de la Unidad de Transparencia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para su conocimiento.</w:t>
      </w:r>
    </w:p>
    <w:p w14:paraId="48CC099A" w14:textId="77777777" w:rsidR="00666F20" w:rsidRDefault="00666F20">
      <w:pPr>
        <w:spacing w:after="0" w:line="360" w:lineRule="auto"/>
        <w:ind w:right="51"/>
        <w:jc w:val="both"/>
        <w:rPr>
          <w:rFonts w:ascii="Palatino Linotype" w:eastAsia="Palatino Linotype" w:hAnsi="Palatino Linotype" w:cs="Palatino Linotype"/>
          <w:sz w:val="24"/>
          <w:szCs w:val="24"/>
        </w:rPr>
      </w:pPr>
    </w:p>
    <w:p w14:paraId="569943DE" w14:textId="77777777" w:rsidR="00666F20" w:rsidRDefault="00FE651E">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TERCERO. NOTIFÍQUESE </w:t>
      </w:r>
      <w:r>
        <w:rPr>
          <w:rFonts w:ascii="Palatino Linotype" w:eastAsia="Palatino Linotype" w:hAnsi="Palatino Linotype" w:cs="Palatino Linotype"/>
          <w:sz w:val="24"/>
          <w:szCs w:val="24"/>
        </w:rPr>
        <w:t>vía SAIMEX</w:t>
      </w:r>
      <w:r>
        <w:rPr>
          <w:rFonts w:ascii="Palatino Linotype" w:eastAsia="Palatino Linotype" w:hAnsi="Palatino Linotype" w:cs="Palatino Linotype"/>
          <w:b/>
          <w:sz w:val="24"/>
          <w:szCs w:val="24"/>
        </w:rPr>
        <w:t xml:space="preserve"> a</w:t>
      </w:r>
      <w:r>
        <w:rPr>
          <w:rFonts w:ascii="Palatino Linotype" w:eastAsia="Palatino Linotype" w:hAnsi="Palatino Linotype" w:cs="Palatino Linotype"/>
          <w:b/>
          <w:color w:val="000000"/>
          <w:sz w:val="24"/>
          <w:szCs w:val="24"/>
        </w:rPr>
        <w:t>l</w:t>
      </w:r>
      <w:r>
        <w:rPr>
          <w:rFonts w:ascii="Palatino Linotype" w:eastAsia="Palatino Linotype" w:hAnsi="Palatino Linotype" w:cs="Palatino Linotype"/>
          <w:b/>
          <w:sz w:val="24"/>
          <w:szCs w:val="24"/>
        </w:rPr>
        <w:t xml:space="preserve"> RECURRENTE</w:t>
      </w:r>
      <w:r>
        <w:rPr>
          <w:rFonts w:ascii="Palatino Linotype" w:eastAsia="Palatino Linotype" w:hAnsi="Palatino Linotype" w:cs="Palatino Linotype"/>
          <w:sz w:val="24"/>
          <w:szCs w:val="24"/>
        </w:rPr>
        <w:t>, la presente resolución, además que de conformidad con lo establecido en el artículo 196 de la Ley de Transparencia y Acceso a la Información Pública del Estado de México y Municipios, podrá impugnarla vía Juicio de Amparo en los términos de las leyes aplicables.</w:t>
      </w:r>
    </w:p>
    <w:p w14:paraId="50CD7D34" w14:textId="77777777" w:rsidR="00666F20" w:rsidRDefault="00666F20">
      <w:pPr>
        <w:spacing w:after="0" w:line="360" w:lineRule="auto"/>
        <w:ind w:right="49"/>
        <w:jc w:val="both"/>
        <w:rPr>
          <w:rFonts w:ascii="Palatino Linotype" w:eastAsia="Palatino Linotype" w:hAnsi="Palatino Linotype" w:cs="Palatino Linotype"/>
          <w:color w:val="000000"/>
          <w:sz w:val="24"/>
          <w:szCs w:val="24"/>
        </w:rPr>
      </w:pPr>
    </w:p>
    <w:p w14:paraId="764920C2" w14:textId="77777777" w:rsidR="00666F20" w:rsidRDefault="00FE651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CUARTA SESIÓN ORDINARIA CELEBRADA EL VEINTIOCHO DE JUNIO DE DOS MIL VEINTITRÉS, ANTE EL SECRETARIO TÉCNICO DEL PLENO ALEXIS TAPIA RAMÍREZ.</w:t>
      </w:r>
    </w:p>
    <w:p w14:paraId="6E7AAFC1" w14:textId="77777777" w:rsidR="00FE651E" w:rsidRDefault="00FE651E">
      <w:pPr>
        <w:spacing w:after="0" w:line="360" w:lineRule="auto"/>
        <w:jc w:val="both"/>
        <w:rPr>
          <w:rFonts w:ascii="Palatino Linotype" w:eastAsia="Palatino Linotype" w:hAnsi="Palatino Linotype" w:cs="Palatino Linotype"/>
          <w:sz w:val="24"/>
          <w:szCs w:val="24"/>
        </w:rPr>
      </w:pPr>
    </w:p>
    <w:p w14:paraId="73B573EC" w14:textId="77777777" w:rsidR="00FE651E" w:rsidRDefault="00FE651E">
      <w:pPr>
        <w:spacing w:after="0" w:line="360" w:lineRule="auto"/>
        <w:jc w:val="both"/>
        <w:rPr>
          <w:rFonts w:ascii="Palatino Linotype" w:eastAsia="Palatino Linotype" w:hAnsi="Palatino Linotype" w:cs="Palatino Linotype"/>
          <w:sz w:val="24"/>
          <w:szCs w:val="24"/>
        </w:rPr>
      </w:pPr>
    </w:p>
    <w:p w14:paraId="132D2BD5" w14:textId="77777777" w:rsidR="00FE651E" w:rsidRDefault="00FE651E">
      <w:pPr>
        <w:spacing w:after="0" w:line="360" w:lineRule="auto"/>
        <w:jc w:val="both"/>
        <w:rPr>
          <w:rFonts w:ascii="Palatino Linotype" w:eastAsia="Palatino Linotype" w:hAnsi="Palatino Linotype" w:cs="Palatino Linotype"/>
          <w:sz w:val="24"/>
          <w:szCs w:val="24"/>
        </w:rPr>
      </w:pPr>
    </w:p>
    <w:p w14:paraId="46F75109" w14:textId="77777777" w:rsidR="00FE651E" w:rsidRDefault="00FE651E">
      <w:pPr>
        <w:spacing w:after="0" w:line="360" w:lineRule="auto"/>
        <w:jc w:val="both"/>
        <w:rPr>
          <w:rFonts w:ascii="Palatino Linotype" w:eastAsia="Palatino Linotype" w:hAnsi="Palatino Linotype" w:cs="Palatino Linotype"/>
          <w:sz w:val="24"/>
          <w:szCs w:val="24"/>
        </w:rPr>
      </w:pPr>
    </w:p>
    <w:p w14:paraId="18ECAB20" w14:textId="77777777" w:rsidR="00FE651E" w:rsidRDefault="00FE651E">
      <w:pPr>
        <w:spacing w:after="0" w:line="360" w:lineRule="auto"/>
        <w:jc w:val="both"/>
        <w:rPr>
          <w:rFonts w:ascii="Palatino Linotype" w:eastAsia="Palatino Linotype" w:hAnsi="Palatino Linotype" w:cs="Palatino Linotype"/>
          <w:color w:val="000000"/>
          <w:sz w:val="24"/>
          <w:szCs w:val="24"/>
        </w:rPr>
      </w:pPr>
    </w:p>
    <w:p w14:paraId="4A6DB0D5" w14:textId="77777777" w:rsidR="00666F20" w:rsidRDefault="00666F20">
      <w:pPr>
        <w:spacing w:after="280" w:line="360" w:lineRule="auto"/>
        <w:ind w:right="49"/>
        <w:jc w:val="both"/>
        <w:rPr>
          <w:rFonts w:ascii="Palatino Linotype" w:eastAsia="Palatino Linotype" w:hAnsi="Palatino Linotype" w:cs="Palatino Linotype"/>
          <w:color w:val="000000"/>
          <w:sz w:val="24"/>
          <w:szCs w:val="24"/>
        </w:rPr>
      </w:pPr>
    </w:p>
    <w:sectPr w:rsidR="00666F20">
      <w:headerReference w:type="default" r:id="rId13"/>
      <w:footerReference w:type="default" r:id="rId14"/>
      <w:headerReference w:type="first" r:id="rId15"/>
      <w:footerReference w:type="first" r:id="rId16"/>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42D98" w14:textId="77777777" w:rsidR="001F6FC1" w:rsidRDefault="001F6FC1">
      <w:pPr>
        <w:spacing w:after="0" w:line="240" w:lineRule="auto"/>
      </w:pPr>
      <w:r>
        <w:separator/>
      </w:r>
    </w:p>
  </w:endnote>
  <w:endnote w:type="continuationSeparator" w:id="0">
    <w:p w14:paraId="54D0D0AF" w14:textId="77777777" w:rsidR="001F6FC1" w:rsidRDefault="001F6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41D96" w14:textId="77777777" w:rsidR="00666F20" w:rsidRDefault="00FE651E">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A023C">
      <w:rPr>
        <w:rFonts w:ascii="Arial" w:eastAsia="Arial" w:hAnsi="Arial" w:cs="Arial"/>
        <w:b/>
        <w:noProof/>
        <w:color w:val="000000"/>
        <w:sz w:val="20"/>
        <w:szCs w:val="20"/>
      </w:rPr>
      <w:t>37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A023C">
      <w:rPr>
        <w:rFonts w:ascii="Arial" w:eastAsia="Arial" w:hAnsi="Arial" w:cs="Arial"/>
        <w:b/>
        <w:noProof/>
        <w:color w:val="000000"/>
        <w:sz w:val="20"/>
        <w:szCs w:val="20"/>
      </w:rPr>
      <w:t>37</w:t>
    </w:r>
    <w:r>
      <w:rPr>
        <w:rFonts w:ascii="Arial" w:eastAsia="Arial" w:hAnsi="Arial" w:cs="Arial"/>
        <w:b/>
        <w:color w:val="000000"/>
        <w:sz w:val="20"/>
        <w:szCs w:val="20"/>
      </w:rPr>
      <w:fldChar w:fldCharType="end"/>
    </w:r>
  </w:p>
  <w:p w14:paraId="426FB971" w14:textId="77777777" w:rsidR="00666F20" w:rsidRDefault="00666F2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695C9" w14:textId="77777777" w:rsidR="00666F20" w:rsidRDefault="00FE651E">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A023C">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A023C">
      <w:rPr>
        <w:rFonts w:ascii="Arial" w:eastAsia="Arial" w:hAnsi="Arial" w:cs="Arial"/>
        <w:b/>
        <w:noProof/>
        <w:color w:val="000000"/>
        <w:sz w:val="20"/>
        <w:szCs w:val="20"/>
      </w:rPr>
      <w:t>37</w:t>
    </w:r>
    <w:r>
      <w:rPr>
        <w:rFonts w:ascii="Arial" w:eastAsia="Arial" w:hAnsi="Arial" w:cs="Arial"/>
        <w:b/>
        <w:color w:val="000000"/>
        <w:sz w:val="20"/>
        <w:szCs w:val="20"/>
      </w:rPr>
      <w:fldChar w:fldCharType="end"/>
    </w:r>
  </w:p>
  <w:p w14:paraId="22ACEA95" w14:textId="77777777" w:rsidR="00666F20" w:rsidRDefault="00666F2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C6661" w14:textId="77777777" w:rsidR="001F6FC1" w:rsidRDefault="001F6FC1">
      <w:pPr>
        <w:spacing w:after="0" w:line="240" w:lineRule="auto"/>
      </w:pPr>
      <w:r>
        <w:separator/>
      </w:r>
    </w:p>
  </w:footnote>
  <w:footnote w:type="continuationSeparator" w:id="0">
    <w:p w14:paraId="1CFDCA3A" w14:textId="77777777" w:rsidR="001F6FC1" w:rsidRDefault="001F6FC1">
      <w:pPr>
        <w:spacing w:after="0" w:line="240" w:lineRule="auto"/>
      </w:pPr>
      <w:r>
        <w:continuationSeparator/>
      </w:r>
    </w:p>
  </w:footnote>
  <w:footnote w:id="1">
    <w:p w14:paraId="437AF5FA" w14:textId="77777777" w:rsidR="00666F20" w:rsidRDefault="00FE651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5F3B3D5A" w14:textId="77777777" w:rsidR="00666F20" w:rsidRDefault="00FE651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A2126" w14:textId="77777777" w:rsidR="00666F20" w:rsidRDefault="00666F20">
    <w:pPr>
      <w:widowControl w:val="0"/>
      <w:pBdr>
        <w:top w:val="nil"/>
        <w:left w:val="nil"/>
        <w:bottom w:val="nil"/>
        <w:right w:val="nil"/>
        <w:between w:val="nil"/>
      </w:pBdr>
      <w:spacing w:after="0" w:line="276" w:lineRule="auto"/>
      <w:rPr>
        <w:color w:val="000000"/>
      </w:rPr>
    </w:pPr>
  </w:p>
  <w:tbl>
    <w:tblPr>
      <w:tblStyle w:val="a0"/>
      <w:tblW w:w="10273" w:type="dxa"/>
      <w:tblInd w:w="-1281" w:type="dxa"/>
      <w:tblLayout w:type="fixed"/>
      <w:tblLook w:val="0400" w:firstRow="0" w:lastRow="0" w:firstColumn="0" w:lastColumn="0" w:noHBand="0" w:noVBand="1"/>
    </w:tblPr>
    <w:tblGrid>
      <w:gridCol w:w="5716"/>
      <w:gridCol w:w="4557"/>
    </w:tblGrid>
    <w:tr w:rsidR="00666F20" w14:paraId="3E8CC929" w14:textId="77777777">
      <w:trPr>
        <w:trHeight w:val="246"/>
      </w:trPr>
      <w:tc>
        <w:tcPr>
          <w:tcW w:w="5716" w:type="dxa"/>
        </w:tcPr>
        <w:p w14:paraId="48E68B91" w14:textId="77777777" w:rsidR="00666F20" w:rsidRDefault="00FE651E">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 xml:space="preserve">Recurso de Revisión </w:t>
          </w:r>
          <w:proofErr w:type="spellStart"/>
          <w:r>
            <w:rPr>
              <w:rFonts w:ascii="Palatino Linotype" w:eastAsia="Palatino Linotype" w:hAnsi="Palatino Linotype" w:cs="Palatino Linotype"/>
              <w:b/>
            </w:rPr>
            <w:t>N°</w:t>
          </w:r>
          <w:proofErr w:type="spellEnd"/>
          <w:r>
            <w:rPr>
              <w:rFonts w:ascii="Palatino Linotype" w:eastAsia="Palatino Linotype" w:hAnsi="Palatino Linotype" w:cs="Palatino Linotype"/>
              <w:b/>
            </w:rPr>
            <w:t>:</w:t>
          </w:r>
        </w:p>
      </w:tc>
      <w:tc>
        <w:tcPr>
          <w:tcW w:w="4557" w:type="dxa"/>
        </w:tcPr>
        <w:p w14:paraId="4F850E92" w14:textId="77777777" w:rsidR="00666F20" w:rsidRDefault="00FE651E">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02289/INFOEM/IP/RR/2023.</w:t>
          </w:r>
        </w:p>
      </w:tc>
    </w:tr>
    <w:tr w:rsidR="00666F20" w14:paraId="73DBD31B" w14:textId="77777777">
      <w:trPr>
        <w:trHeight w:val="212"/>
      </w:trPr>
      <w:tc>
        <w:tcPr>
          <w:tcW w:w="5716" w:type="dxa"/>
        </w:tcPr>
        <w:p w14:paraId="3A0E06BB" w14:textId="77777777" w:rsidR="00666F20" w:rsidRDefault="00FE651E">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557" w:type="dxa"/>
        </w:tcPr>
        <w:p w14:paraId="47250FCC" w14:textId="77777777" w:rsidR="00666F20" w:rsidRDefault="00666F20">
          <w:pPr>
            <w:spacing w:after="120"/>
            <w:ind w:left="-252" w:firstLine="567"/>
            <w:jc w:val="right"/>
            <w:rPr>
              <w:rFonts w:ascii="Palatino Linotype" w:eastAsia="Palatino Linotype" w:hAnsi="Palatino Linotype" w:cs="Palatino Linotype"/>
            </w:rPr>
          </w:pPr>
        </w:p>
      </w:tc>
    </w:tr>
    <w:tr w:rsidR="00666F20" w14:paraId="7CD5EE4E" w14:textId="77777777">
      <w:trPr>
        <w:trHeight w:val="264"/>
      </w:trPr>
      <w:tc>
        <w:tcPr>
          <w:tcW w:w="5716" w:type="dxa"/>
        </w:tcPr>
        <w:p w14:paraId="533EB662" w14:textId="77777777" w:rsidR="00666F20" w:rsidRDefault="00FE651E">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557" w:type="dxa"/>
        </w:tcPr>
        <w:p w14:paraId="27E7A5F2" w14:textId="77777777" w:rsidR="00666F20" w:rsidRDefault="00FE651E">
          <w:pPr>
            <w:pBdr>
              <w:top w:val="nil"/>
              <w:left w:val="nil"/>
              <w:bottom w:val="nil"/>
              <w:right w:val="nil"/>
              <w:between w:val="nil"/>
            </w:pBdr>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Poder Legislativo.</w:t>
          </w:r>
        </w:p>
      </w:tc>
    </w:tr>
    <w:tr w:rsidR="00666F20" w14:paraId="22E48572" w14:textId="77777777">
      <w:trPr>
        <w:trHeight w:val="373"/>
      </w:trPr>
      <w:tc>
        <w:tcPr>
          <w:tcW w:w="5716" w:type="dxa"/>
        </w:tcPr>
        <w:p w14:paraId="36242BC9" w14:textId="77777777" w:rsidR="00666F20" w:rsidRDefault="00FE651E">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14:paraId="24B084D4" w14:textId="77777777" w:rsidR="00666F20" w:rsidRDefault="00FE651E">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33E02461" w14:textId="77777777" w:rsidR="00666F20" w:rsidRDefault="00FE651E">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3EFCECF4" wp14:editId="081B157A">
          <wp:simplePos x="0" y="0"/>
          <wp:positionH relativeFrom="column">
            <wp:posOffset>-541019</wp:posOffset>
          </wp:positionH>
          <wp:positionV relativeFrom="paragraph">
            <wp:posOffset>-1348104</wp:posOffset>
          </wp:positionV>
          <wp:extent cx="7353300" cy="8658225"/>
          <wp:effectExtent l="0" t="0" r="0" b="0"/>
          <wp:wrapNone/>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BF3FD" w14:textId="77777777" w:rsidR="00666F20" w:rsidRDefault="00666F20">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
      <w:tblW w:w="10273" w:type="dxa"/>
      <w:tblInd w:w="-1281" w:type="dxa"/>
      <w:tblLayout w:type="fixed"/>
      <w:tblLook w:val="0400" w:firstRow="0" w:lastRow="0" w:firstColumn="0" w:lastColumn="0" w:noHBand="0" w:noVBand="1"/>
    </w:tblPr>
    <w:tblGrid>
      <w:gridCol w:w="5716"/>
      <w:gridCol w:w="4557"/>
    </w:tblGrid>
    <w:tr w:rsidR="00666F20" w14:paraId="12E51884" w14:textId="77777777">
      <w:trPr>
        <w:trHeight w:val="246"/>
      </w:trPr>
      <w:tc>
        <w:tcPr>
          <w:tcW w:w="5716" w:type="dxa"/>
        </w:tcPr>
        <w:p w14:paraId="448BE523" w14:textId="77777777" w:rsidR="00666F20" w:rsidRDefault="00FE651E">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 xml:space="preserve">Recurso de Revisión </w:t>
          </w:r>
          <w:proofErr w:type="spellStart"/>
          <w:r>
            <w:rPr>
              <w:rFonts w:ascii="Palatino Linotype" w:eastAsia="Palatino Linotype" w:hAnsi="Palatino Linotype" w:cs="Palatino Linotype"/>
              <w:b/>
            </w:rPr>
            <w:t>N°</w:t>
          </w:r>
          <w:proofErr w:type="spellEnd"/>
          <w:r>
            <w:rPr>
              <w:rFonts w:ascii="Palatino Linotype" w:eastAsia="Palatino Linotype" w:hAnsi="Palatino Linotype" w:cs="Palatino Linotype"/>
              <w:b/>
            </w:rPr>
            <w:t>:</w:t>
          </w:r>
        </w:p>
      </w:tc>
      <w:tc>
        <w:tcPr>
          <w:tcW w:w="4557" w:type="dxa"/>
        </w:tcPr>
        <w:p w14:paraId="45E23A58" w14:textId="77777777" w:rsidR="00666F20" w:rsidRDefault="00FE651E">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02289/INFOEM/IP/RR/2023.</w:t>
          </w:r>
        </w:p>
      </w:tc>
    </w:tr>
    <w:tr w:rsidR="00666F20" w14:paraId="40DFB5CC" w14:textId="77777777">
      <w:trPr>
        <w:trHeight w:val="212"/>
      </w:trPr>
      <w:tc>
        <w:tcPr>
          <w:tcW w:w="5716" w:type="dxa"/>
        </w:tcPr>
        <w:p w14:paraId="79EA2B8F" w14:textId="77777777" w:rsidR="00666F20" w:rsidRDefault="00FE651E">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557" w:type="dxa"/>
        </w:tcPr>
        <w:p w14:paraId="27960237" w14:textId="2AF38C19" w:rsidR="00666F20" w:rsidRDefault="00C345A8">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XXXXXXXXXXXXXXXXXX XX</w:t>
          </w:r>
          <w:r w:rsidR="00FE651E">
            <w:rPr>
              <w:rFonts w:ascii="Palatino Linotype" w:eastAsia="Palatino Linotype" w:hAnsi="Palatino Linotype" w:cs="Palatino Linotype"/>
            </w:rPr>
            <w:t>.</w:t>
          </w:r>
        </w:p>
      </w:tc>
    </w:tr>
    <w:tr w:rsidR="00666F20" w14:paraId="6D1138DD" w14:textId="77777777">
      <w:trPr>
        <w:trHeight w:val="264"/>
      </w:trPr>
      <w:tc>
        <w:tcPr>
          <w:tcW w:w="5716" w:type="dxa"/>
        </w:tcPr>
        <w:p w14:paraId="614E2754" w14:textId="77777777" w:rsidR="00666F20" w:rsidRDefault="00FE651E">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557" w:type="dxa"/>
        </w:tcPr>
        <w:p w14:paraId="0E47A1A7" w14:textId="77777777" w:rsidR="00666F20" w:rsidRDefault="00FE651E">
          <w:pPr>
            <w:pBdr>
              <w:top w:val="nil"/>
              <w:left w:val="nil"/>
              <w:bottom w:val="nil"/>
              <w:right w:val="nil"/>
              <w:between w:val="nil"/>
            </w:pBdr>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Poder Legislativo.</w:t>
          </w:r>
        </w:p>
      </w:tc>
    </w:tr>
    <w:tr w:rsidR="00666F20" w14:paraId="65F54BDB" w14:textId="77777777">
      <w:trPr>
        <w:trHeight w:val="373"/>
      </w:trPr>
      <w:tc>
        <w:tcPr>
          <w:tcW w:w="5716" w:type="dxa"/>
        </w:tcPr>
        <w:p w14:paraId="48BF7523" w14:textId="77777777" w:rsidR="00666F20" w:rsidRDefault="00FE651E">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14:paraId="73FDAD7B" w14:textId="77777777" w:rsidR="00666F20" w:rsidRDefault="00FE651E">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0E6BFA49" w14:textId="77777777" w:rsidR="00666F20" w:rsidRDefault="00FE651E">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14:anchorId="12138BB7" wp14:editId="12E3AD45">
          <wp:simplePos x="0" y="0"/>
          <wp:positionH relativeFrom="column">
            <wp:posOffset>-1080134</wp:posOffset>
          </wp:positionH>
          <wp:positionV relativeFrom="paragraph">
            <wp:posOffset>-1338579</wp:posOffset>
          </wp:positionV>
          <wp:extent cx="7353300" cy="8658225"/>
          <wp:effectExtent l="0" t="0" r="0" b="0"/>
          <wp:wrapNone/>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02600"/>
    <w:multiLevelType w:val="multilevel"/>
    <w:tmpl w:val="1A26661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B337E3A"/>
    <w:multiLevelType w:val="multilevel"/>
    <w:tmpl w:val="8DB4D9BE"/>
    <w:lvl w:ilvl="0">
      <w:start w:val="1"/>
      <w:numFmt w:val="lowerLetter"/>
      <w:pStyle w:val="Listaconvietas2"/>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F20"/>
    <w:rsid w:val="001F6FC1"/>
    <w:rsid w:val="00210178"/>
    <w:rsid w:val="00655E26"/>
    <w:rsid w:val="00666F20"/>
    <w:rsid w:val="00C345A8"/>
    <w:rsid w:val="00EA023C"/>
    <w:rsid w:val="00FE65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3F51A"/>
  <w15:docId w15:val="{D194A55F-7301-4A49-93DE-087CC1331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CDC"/>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AF1C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1CDC"/>
  </w:style>
  <w:style w:type="paragraph" w:styleId="Piedepgina">
    <w:name w:val="footer"/>
    <w:basedOn w:val="Normal"/>
    <w:link w:val="PiedepginaCar"/>
    <w:uiPriority w:val="99"/>
    <w:unhideWhenUsed/>
    <w:rsid w:val="00AF1C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1CDC"/>
  </w:style>
  <w:style w:type="paragraph" w:styleId="Prrafodelista">
    <w:name w:val="List Paragraph"/>
    <w:basedOn w:val="Normal"/>
    <w:uiPriority w:val="34"/>
    <w:qFormat/>
    <w:rsid w:val="00866DAC"/>
    <w:pPr>
      <w:ind w:left="720"/>
      <w:contextualSpacing/>
    </w:pPr>
  </w:style>
  <w:style w:type="character" w:styleId="Hipervnculo">
    <w:name w:val="Hyperlink"/>
    <w:basedOn w:val="Fuentedeprrafopredeter"/>
    <w:uiPriority w:val="99"/>
    <w:unhideWhenUsed/>
    <w:rsid w:val="00383963"/>
    <w:rPr>
      <w:color w:val="0563C1" w:themeColor="hyperlink"/>
      <w:u w:val="single"/>
    </w:rPr>
  </w:style>
  <w:style w:type="character" w:styleId="Hipervnculovisitado">
    <w:name w:val="FollowedHyperlink"/>
    <w:basedOn w:val="Fuentedeprrafopredeter"/>
    <w:uiPriority w:val="99"/>
    <w:semiHidden/>
    <w:unhideWhenUsed/>
    <w:rsid w:val="00383963"/>
    <w:rPr>
      <w:color w:val="954F72" w:themeColor="followedHyperlink"/>
      <w:u w:val="single"/>
    </w:rPr>
  </w:style>
  <w:style w:type="paragraph" w:styleId="Listaconvietas2">
    <w:name w:val="List Bullet 2"/>
    <w:basedOn w:val="Normal"/>
    <w:uiPriority w:val="99"/>
    <w:semiHidden/>
    <w:unhideWhenUsed/>
    <w:rsid w:val="00990E84"/>
    <w:pPr>
      <w:numPr>
        <w:numId w:val="2"/>
      </w:numPr>
      <w:spacing w:after="0" w:line="240" w:lineRule="auto"/>
      <w:contextualSpacing/>
    </w:pPr>
    <w:rPr>
      <w:rFonts w:ascii="Times New Roman" w:eastAsia="Times New Roman" w:hAnsi="Times New Roman" w:cs="Times New Roman"/>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cion.edomex.gob.mx/sites/legislacion.edomex.gob.mx/files/files/pdf/gct/2018/ago083.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BtH4sUQqIy7pwh4mfi8p9/2PyQ==">CgMxLjAyCGguZ2pkZ3hzOAByITFTU3AtdE1COWVROXBKTWlYeXBhMmxBSXhqbjNrREMtYQ==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37</Pages>
  <Words>7992</Words>
  <Characters>43961</Characters>
  <Application>Microsoft Office Word</Application>
  <DocSecurity>4</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Villagomez</cp:lastModifiedBy>
  <cp:revision>2</cp:revision>
  <cp:lastPrinted>2023-06-30T16:47:00Z</cp:lastPrinted>
  <dcterms:created xsi:type="dcterms:W3CDTF">2023-07-03T19:10:00Z</dcterms:created>
  <dcterms:modified xsi:type="dcterms:W3CDTF">2023-07-03T19:10:00Z</dcterms:modified>
</cp:coreProperties>
</file>