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F370C" w14:textId="77777777" w:rsidR="00230A6E" w:rsidRPr="008157E4" w:rsidRDefault="006E2CFE">
      <w:pPr>
        <w:spacing w:before="240"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veintinueve de marzo de dos mil </w:t>
      </w:r>
      <w:r w:rsidR="00FD2946">
        <w:rPr>
          <w:rFonts w:ascii="Palatino Linotype" w:eastAsia="Palatino Linotype" w:hAnsi="Palatino Linotype" w:cs="Palatino Linotype"/>
          <w:sz w:val="24"/>
          <w:szCs w:val="24"/>
        </w:rPr>
        <w:t>veintitrés</w:t>
      </w:r>
      <w:r w:rsidRPr="008157E4">
        <w:rPr>
          <w:rFonts w:ascii="Palatino Linotype" w:eastAsia="Palatino Linotype" w:hAnsi="Palatino Linotype" w:cs="Palatino Linotype"/>
          <w:sz w:val="24"/>
          <w:szCs w:val="24"/>
        </w:rPr>
        <w:t>.</w:t>
      </w:r>
    </w:p>
    <w:p w14:paraId="3F4FC5B0" w14:textId="77777777" w:rsidR="00230A6E" w:rsidRPr="008157E4" w:rsidRDefault="00230A6E"/>
    <w:p w14:paraId="725FD437"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Visto </w:t>
      </w:r>
      <w:r w:rsidRPr="008157E4">
        <w:rPr>
          <w:rFonts w:ascii="Palatino Linotype" w:eastAsia="Palatino Linotype" w:hAnsi="Palatino Linotype" w:cs="Palatino Linotype"/>
          <w:sz w:val="24"/>
          <w:szCs w:val="24"/>
        </w:rPr>
        <w:t xml:space="preserve">el expediente relativo al recurso de revisión </w:t>
      </w:r>
      <w:r w:rsidRPr="008157E4">
        <w:rPr>
          <w:rFonts w:ascii="Palatino Linotype" w:eastAsia="Palatino Linotype" w:hAnsi="Palatino Linotype" w:cs="Palatino Linotype"/>
          <w:b/>
          <w:sz w:val="24"/>
          <w:szCs w:val="24"/>
        </w:rPr>
        <w:t>14969/INFOEM/IP/RR/2022</w:t>
      </w:r>
      <w:r w:rsidRPr="008157E4">
        <w:rPr>
          <w:rFonts w:ascii="Palatino Linotype" w:eastAsia="Palatino Linotype" w:hAnsi="Palatino Linotype" w:cs="Palatino Linotype"/>
          <w:sz w:val="24"/>
          <w:szCs w:val="24"/>
        </w:rPr>
        <w:t xml:space="preserve">, interpuesto por un particular de manera anónima a la cual en lo sucesivo se le denominara </w:t>
      </w:r>
      <w:r w:rsidRPr="008157E4">
        <w:rPr>
          <w:rFonts w:ascii="Palatino Linotype" w:eastAsia="Palatino Linotype" w:hAnsi="Palatino Linotype" w:cs="Palatino Linotype"/>
          <w:b/>
          <w:sz w:val="24"/>
          <w:szCs w:val="24"/>
        </w:rPr>
        <w:t>EL RECURRENTE</w:t>
      </w:r>
      <w:r w:rsidRPr="008157E4">
        <w:rPr>
          <w:rFonts w:ascii="Palatino Linotype" w:eastAsia="Palatino Linotype" w:hAnsi="Palatino Linotype" w:cs="Palatino Linotype"/>
          <w:sz w:val="24"/>
          <w:szCs w:val="24"/>
        </w:rPr>
        <w:t xml:space="preserve">, en contra de la respuesta a la solicitud de información con número de folio </w:t>
      </w:r>
      <w:r w:rsidRPr="008157E4">
        <w:rPr>
          <w:rFonts w:ascii="Palatino Linotype" w:eastAsia="Palatino Linotype" w:hAnsi="Palatino Linotype" w:cs="Palatino Linotype"/>
          <w:b/>
          <w:sz w:val="24"/>
          <w:szCs w:val="24"/>
        </w:rPr>
        <w:t>01823/TOLUCA/IP/2022,</w:t>
      </w:r>
      <w:r w:rsidRPr="008157E4">
        <w:rPr>
          <w:rFonts w:ascii="Palatino Linotype" w:eastAsia="Palatino Linotype" w:hAnsi="Palatino Linotype" w:cs="Palatino Linotype"/>
          <w:sz w:val="24"/>
          <w:szCs w:val="24"/>
        </w:rPr>
        <w:t xml:space="preserve"> por parte del Ayuntamiento de Toluca, en lo sucesivo </w:t>
      </w:r>
      <w:r w:rsidRPr="008157E4">
        <w:rPr>
          <w:rFonts w:ascii="Palatino Linotype" w:eastAsia="Palatino Linotype" w:hAnsi="Palatino Linotype" w:cs="Palatino Linotype"/>
          <w:b/>
          <w:sz w:val="24"/>
          <w:szCs w:val="24"/>
        </w:rPr>
        <w:t>EL</w:t>
      </w:r>
      <w:r w:rsidRPr="008157E4">
        <w:rPr>
          <w:rFonts w:ascii="Palatino Linotype" w:eastAsia="Palatino Linotype" w:hAnsi="Palatino Linotype" w:cs="Palatino Linotype"/>
          <w:sz w:val="24"/>
          <w:szCs w:val="24"/>
        </w:rPr>
        <w:t xml:space="preserve"> </w:t>
      </w:r>
      <w:r w:rsidRPr="008157E4">
        <w:rPr>
          <w:rFonts w:ascii="Palatino Linotype" w:eastAsia="Palatino Linotype" w:hAnsi="Palatino Linotype" w:cs="Palatino Linotype"/>
          <w:b/>
          <w:sz w:val="24"/>
          <w:szCs w:val="24"/>
        </w:rPr>
        <w:t xml:space="preserve">SUJETO OBLIGADO; </w:t>
      </w:r>
      <w:r w:rsidRPr="008157E4">
        <w:rPr>
          <w:rFonts w:ascii="Palatino Linotype" w:eastAsia="Palatino Linotype" w:hAnsi="Palatino Linotype" w:cs="Palatino Linotype"/>
          <w:sz w:val="24"/>
          <w:szCs w:val="24"/>
        </w:rPr>
        <w:t>se procede a dictar la presente resolución, con base en lo siguiente.</w:t>
      </w:r>
    </w:p>
    <w:p w14:paraId="615D35AB" w14:textId="77777777" w:rsidR="00230A6E" w:rsidRPr="008157E4" w:rsidRDefault="00230A6E"/>
    <w:p w14:paraId="4FE0CC58" w14:textId="77777777" w:rsidR="00230A6E" w:rsidRPr="008157E4" w:rsidRDefault="006E2CFE">
      <w:pPr>
        <w:spacing w:after="0" w:line="360" w:lineRule="auto"/>
        <w:ind w:right="49"/>
        <w:jc w:val="center"/>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A N T E C E D E N T E S</w:t>
      </w:r>
    </w:p>
    <w:p w14:paraId="7E0C230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2A8ECA8"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1.</w:t>
      </w:r>
      <w:r w:rsidRPr="008157E4">
        <w:rPr>
          <w:rFonts w:ascii="Palatino Linotype" w:eastAsia="Palatino Linotype" w:hAnsi="Palatino Linotype" w:cs="Palatino Linotype"/>
          <w:sz w:val="24"/>
          <w:szCs w:val="24"/>
        </w:rPr>
        <w:t xml:space="preserve"> </w:t>
      </w:r>
      <w:r w:rsidRPr="008157E4">
        <w:rPr>
          <w:rFonts w:ascii="Palatino Linotype" w:eastAsia="Palatino Linotype" w:hAnsi="Palatino Linotype" w:cs="Palatino Linotype"/>
          <w:b/>
          <w:sz w:val="24"/>
          <w:szCs w:val="24"/>
        </w:rPr>
        <w:t xml:space="preserve">SOLICITUD DE INFORMACIÓN. </w:t>
      </w:r>
      <w:r w:rsidRPr="008157E4">
        <w:rPr>
          <w:rFonts w:ascii="Palatino Linotype" w:eastAsia="Palatino Linotype" w:hAnsi="Palatino Linotype" w:cs="Palatino Linotype"/>
          <w:sz w:val="24"/>
          <w:szCs w:val="24"/>
        </w:rPr>
        <w:t xml:space="preserve">Con fecha veintiséis de agosto de dos mil veintidós, </w:t>
      </w:r>
      <w:r w:rsidRPr="008157E4">
        <w:rPr>
          <w:rFonts w:ascii="Palatino Linotype" w:eastAsia="Palatino Linotype" w:hAnsi="Palatino Linotype" w:cs="Palatino Linotype"/>
          <w:b/>
          <w:sz w:val="24"/>
          <w:szCs w:val="24"/>
        </w:rPr>
        <w:t>EL RECURRENTE</w:t>
      </w:r>
      <w:r w:rsidRPr="008157E4">
        <w:rPr>
          <w:rFonts w:ascii="Palatino Linotype" w:eastAsia="Palatino Linotype" w:hAnsi="Palatino Linotype" w:cs="Palatino Linotype"/>
          <w:sz w:val="24"/>
          <w:szCs w:val="24"/>
        </w:rPr>
        <w:t>, presentó a través del Sistema de Acceso a la Información Mexiquense (</w:t>
      </w:r>
      <w:r w:rsidRPr="008157E4">
        <w:rPr>
          <w:rFonts w:ascii="Palatino Linotype" w:eastAsia="Palatino Linotype" w:hAnsi="Palatino Linotype" w:cs="Palatino Linotype"/>
          <w:b/>
          <w:sz w:val="24"/>
          <w:szCs w:val="24"/>
        </w:rPr>
        <w:t>SAIMEX)</w:t>
      </w:r>
      <w:r w:rsidRPr="008157E4">
        <w:rPr>
          <w:rFonts w:ascii="Palatino Linotype" w:eastAsia="Palatino Linotype" w:hAnsi="Palatino Linotype" w:cs="Palatino Linotype"/>
          <w:sz w:val="24"/>
          <w:szCs w:val="24"/>
        </w:rPr>
        <w:t xml:space="preserve"> ante </w:t>
      </w:r>
      <w:r w:rsidRPr="008157E4">
        <w:rPr>
          <w:rFonts w:ascii="Palatino Linotype" w:eastAsia="Palatino Linotype" w:hAnsi="Palatino Linotype" w:cs="Palatino Linotype"/>
          <w:b/>
          <w:sz w:val="24"/>
          <w:szCs w:val="24"/>
        </w:rPr>
        <w:t>EL SUJETO OBLIGADO</w:t>
      </w:r>
      <w:r w:rsidRPr="008157E4">
        <w:rPr>
          <w:rFonts w:ascii="Palatino Linotype" w:eastAsia="Palatino Linotype" w:hAnsi="Palatino Linotype" w:cs="Palatino Linotype"/>
          <w:sz w:val="24"/>
          <w:szCs w:val="24"/>
        </w:rPr>
        <w:t>, solicitud de acceso a la información pública, registrada bajo el número de expediente</w:t>
      </w:r>
      <w:r w:rsidRPr="008157E4">
        <w:rPr>
          <w:rFonts w:ascii="Verdana" w:eastAsia="Verdana" w:hAnsi="Verdana" w:cs="Verdana"/>
          <w:b/>
        </w:rPr>
        <w:t> </w:t>
      </w:r>
      <w:r w:rsidRPr="008157E4">
        <w:rPr>
          <w:rFonts w:ascii="Palatino Linotype" w:eastAsia="Palatino Linotype" w:hAnsi="Palatino Linotype" w:cs="Palatino Linotype"/>
          <w:b/>
          <w:sz w:val="24"/>
          <w:szCs w:val="24"/>
        </w:rPr>
        <w:t>01823/TOLUCA/IP/2022</w:t>
      </w:r>
      <w:r w:rsidRPr="008157E4">
        <w:rPr>
          <w:rFonts w:ascii="Palatino Linotype" w:eastAsia="Palatino Linotype" w:hAnsi="Palatino Linotype" w:cs="Palatino Linotype"/>
          <w:sz w:val="24"/>
          <w:szCs w:val="24"/>
        </w:rPr>
        <w:t>,</w:t>
      </w:r>
      <w:r w:rsidRPr="008157E4">
        <w:rPr>
          <w:rFonts w:ascii="Palatino Linotype" w:eastAsia="Palatino Linotype" w:hAnsi="Palatino Linotype" w:cs="Palatino Linotype"/>
          <w:b/>
          <w:sz w:val="24"/>
          <w:szCs w:val="24"/>
        </w:rPr>
        <w:t xml:space="preserve"> </w:t>
      </w:r>
      <w:r w:rsidRPr="008157E4">
        <w:rPr>
          <w:rFonts w:ascii="Palatino Linotype" w:eastAsia="Palatino Linotype" w:hAnsi="Palatino Linotype" w:cs="Palatino Linotype"/>
          <w:sz w:val="24"/>
          <w:szCs w:val="24"/>
        </w:rPr>
        <w:t>mediante la cual solicitó la siguiente información:</w:t>
      </w:r>
    </w:p>
    <w:p w14:paraId="158BC186" w14:textId="77777777" w:rsidR="00230A6E" w:rsidRPr="008157E4" w:rsidRDefault="00230A6E">
      <w:pPr>
        <w:spacing w:after="0" w:line="360" w:lineRule="auto"/>
        <w:ind w:right="49"/>
        <w:jc w:val="both"/>
        <w:rPr>
          <w:rFonts w:ascii="Palatino Linotype" w:eastAsia="Palatino Linotype" w:hAnsi="Palatino Linotype" w:cs="Palatino Linotype"/>
          <w:sz w:val="24"/>
          <w:szCs w:val="24"/>
        </w:rPr>
      </w:pPr>
    </w:p>
    <w:p w14:paraId="2D8BF903" w14:textId="77777777" w:rsidR="00230A6E" w:rsidRPr="008157E4" w:rsidRDefault="006E2CFE">
      <w:pPr>
        <w:spacing w:after="0" w:line="276" w:lineRule="auto"/>
        <w:ind w:left="709" w:right="758"/>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“se proporcione por este medio se </w:t>
      </w:r>
      <w:proofErr w:type="spellStart"/>
      <w:r w:rsidRPr="008157E4">
        <w:rPr>
          <w:rFonts w:ascii="Palatino Linotype" w:eastAsia="Palatino Linotype" w:hAnsi="Palatino Linotype" w:cs="Palatino Linotype"/>
          <w:i/>
        </w:rPr>
        <w:t>entrege</w:t>
      </w:r>
      <w:proofErr w:type="spellEnd"/>
      <w:r w:rsidRPr="008157E4">
        <w:rPr>
          <w:rFonts w:ascii="Palatino Linotype" w:eastAsia="Palatino Linotype" w:hAnsi="Palatino Linotype" w:cs="Palatino Linotype"/>
          <w:i/>
        </w:rPr>
        <w:t xml:space="preserve"> </w:t>
      </w:r>
      <w:r w:rsidRPr="008157E4">
        <w:rPr>
          <w:rFonts w:ascii="Palatino Linotype" w:eastAsia="Palatino Linotype" w:hAnsi="Palatino Linotype" w:cs="Palatino Linotype"/>
          <w:b/>
          <w:i/>
          <w:u w:val="single"/>
        </w:rPr>
        <w:t>copia de las resoluciones emitidas</w:t>
      </w:r>
      <w:r w:rsidRPr="008157E4">
        <w:rPr>
          <w:rFonts w:ascii="Palatino Linotype" w:eastAsia="Palatino Linotype" w:hAnsi="Palatino Linotype" w:cs="Palatino Linotype"/>
          <w:b/>
          <w:i/>
        </w:rPr>
        <w:t xml:space="preserve"> en el año 2022 de los expedientes y las resoluciones emitida </w:t>
      </w:r>
      <w:r w:rsidRPr="008157E4">
        <w:rPr>
          <w:rFonts w:ascii="Palatino Linotype" w:eastAsia="Palatino Linotype" w:hAnsi="Palatino Linotype" w:cs="Palatino Linotype"/>
          <w:i/>
          <w:u w:val="single"/>
        </w:rPr>
        <w:t xml:space="preserve">por la </w:t>
      </w:r>
      <w:proofErr w:type="spellStart"/>
      <w:r w:rsidRPr="008157E4">
        <w:rPr>
          <w:rFonts w:ascii="Palatino Linotype" w:eastAsia="Palatino Linotype" w:hAnsi="Palatino Linotype" w:cs="Palatino Linotype"/>
          <w:i/>
          <w:u w:val="single"/>
        </w:rPr>
        <w:t>contraloria</w:t>
      </w:r>
      <w:proofErr w:type="spellEnd"/>
      <w:r w:rsidRPr="008157E4">
        <w:rPr>
          <w:rFonts w:ascii="Palatino Linotype" w:eastAsia="Palatino Linotype" w:hAnsi="Palatino Linotype" w:cs="Palatino Linotype"/>
          <w:i/>
          <w:u w:val="single"/>
        </w:rPr>
        <w:t xml:space="preserve"> </w:t>
      </w:r>
      <w:r w:rsidRPr="008157E4">
        <w:rPr>
          <w:rFonts w:ascii="Palatino Linotype" w:eastAsia="Palatino Linotype" w:hAnsi="Palatino Linotype" w:cs="Palatino Linotype"/>
          <w:i/>
          <w:u w:val="single"/>
        </w:rPr>
        <w:lastRenderedPageBreak/>
        <w:t xml:space="preserve">interna los </w:t>
      </w:r>
      <w:proofErr w:type="spellStart"/>
      <w:r w:rsidRPr="008157E4">
        <w:rPr>
          <w:rFonts w:ascii="Palatino Linotype" w:eastAsia="Palatino Linotype" w:hAnsi="Palatino Linotype" w:cs="Palatino Linotype"/>
          <w:i/>
          <w:u w:val="single"/>
        </w:rPr>
        <w:t>procediemintos</w:t>
      </w:r>
      <w:proofErr w:type="spellEnd"/>
      <w:r w:rsidRPr="008157E4">
        <w:rPr>
          <w:rFonts w:ascii="Palatino Linotype" w:eastAsia="Palatino Linotype" w:hAnsi="Palatino Linotype" w:cs="Palatino Linotype"/>
          <w:i/>
          <w:u w:val="single"/>
        </w:rPr>
        <w:t xml:space="preserve"> de servidore público</w:t>
      </w:r>
      <w:r w:rsidRPr="008157E4">
        <w:rPr>
          <w:rFonts w:ascii="Palatino Linotype" w:eastAsia="Palatino Linotype" w:hAnsi="Palatino Linotype" w:cs="Palatino Linotype"/>
          <w:b/>
          <w:i/>
        </w:rPr>
        <w:t xml:space="preserve"> esto en </w:t>
      </w:r>
      <w:proofErr w:type="spellStart"/>
      <w:r w:rsidRPr="008157E4">
        <w:rPr>
          <w:rFonts w:ascii="Palatino Linotype" w:eastAsia="Palatino Linotype" w:hAnsi="Palatino Linotype" w:cs="Palatino Linotype"/>
          <w:b/>
          <w:i/>
        </w:rPr>
        <w:t>expresion</w:t>
      </w:r>
      <w:proofErr w:type="spellEnd"/>
      <w:r w:rsidRPr="008157E4">
        <w:rPr>
          <w:rFonts w:ascii="Palatino Linotype" w:eastAsia="Palatino Linotype" w:hAnsi="Palatino Linotype" w:cs="Palatino Linotype"/>
          <w:b/>
          <w:i/>
        </w:rPr>
        <w:t xml:space="preserve"> documenta</w:t>
      </w:r>
      <w:r w:rsidRPr="008157E4">
        <w:rPr>
          <w:rFonts w:ascii="Palatino Linotype" w:eastAsia="Palatino Linotype" w:hAnsi="Palatino Linotype" w:cs="Palatino Linotype"/>
          <w:i/>
        </w:rPr>
        <w:t>l” (Sic).</w:t>
      </w:r>
    </w:p>
    <w:p w14:paraId="6DDCBEEE"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Modalidad de entrega: A través del </w:t>
      </w:r>
      <w:r w:rsidRPr="008157E4">
        <w:rPr>
          <w:rFonts w:ascii="Palatino Linotype" w:eastAsia="Palatino Linotype" w:hAnsi="Palatino Linotype" w:cs="Palatino Linotype"/>
          <w:b/>
          <w:sz w:val="24"/>
          <w:szCs w:val="24"/>
        </w:rPr>
        <w:t>SAIMEX</w:t>
      </w:r>
      <w:r w:rsidRPr="008157E4">
        <w:rPr>
          <w:rFonts w:ascii="Palatino Linotype" w:eastAsia="Palatino Linotype" w:hAnsi="Palatino Linotype" w:cs="Palatino Linotype"/>
          <w:sz w:val="24"/>
          <w:szCs w:val="24"/>
        </w:rPr>
        <w:t>.</w:t>
      </w:r>
    </w:p>
    <w:p w14:paraId="48959E4E" w14:textId="77777777" w:rsidR="00230A6E" w:rsidRPr="008157E4" w:rsidRDefault="00230A6E"/>
    <w:p w14:paraId="2EE6FB44" w14:textId="77777777" w:rsidR="00230A6E" w:rsidRPr="008157E4" w:rsidRDefault="006E2CFE">
      <w:pPr>
        <w:spacing w:after="0" w:line="360" w:lineRule="auto"/>
        <w:jc w:val="both"/>
      </w:pPr>
      <w:bookmarkStart w:id="0" w:name="_heading=h.gjdgxs" w:colFirst="0" w:colLast="0"/>
      <w:bookmarkEnd w:id="0"/>
      <w:r w:rsidRPr="008157E4">
        <w:rPr>
          <w:rFonts w:ascii="Palatino Linotype" w:eastAsia="Palatino Linotype" w:hAnsi="Palatino Linotype" w:cs="Palatino Linotype"/>
          <w:b/>
          <w:sz w:val="24"/>
          <w:szCs w:val="24"/>
        </w:rPr>
        <w:t xml:space="preserve">2. RESPUESTA.  </w:t>
      </w:r>
      <w:r w:rsidRPr="008157E4">
        <w:rPr>
          <w:rFonts w:ascii="Palatino Linotype" w:eastAsia="Palatino Linotype" w:hAnsi="Palatino Linotype" w:cs="Palatino Linotype"/>
          <w:sz w:val="24"/>
          <w:szCs w:val="24"/>
        </w:rPr>
        <w:t xml:space="preserve">Con fecha diecinueve de septiembre del dos mil veintidós, </w:t>
      </w:r>
      <w:r w:rsidRPr="008157E4">
        <w:rPr>
          <w:rFonts w:ascii="Palatino Linotype" w:eastAsia="Palatino Linotype" w:hAnsi="Palatino Linotype" w:cs="Palatino Linotype"/>
          <w:b/>
          <w:sz w:val="24"/>
          <w:szCs w:val="24"/>
        </w:rPr>
        <w:t>EL SUJETO OBLIGADO</w:t>
      </w:r>
      <w:r w:rsidRPr="008157E4">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8157E4">
        <w:t xml:space="preserve"> </w:t>
      </w:r>
    </w:p>
    <w:p w14:paraId="6E422CE0" w14:textId="77777777" w:rsidR="00230A6E" w:rsidRPr="008157E4" w:rsidRDefault="00230A6E">
      <w:pPr>
        <w:spacing w:after="0" w:line="360" w:lineRule="auto"/>
        <w:jc w:val="both"/>
      </w:pPr>
    </w:p>
    <w:p w14:paraId="7BC09105" w14:textId="77777777" w:rsidR="00230A6E" w:rsidRPr="008157E4" w:rsidRDefault="006E2CFE">
      <w:pPr>
        <w:spacing w:after="0" w:line="276" w:lineRule="auto"/>
        <w:ind w:left="851" w:right="900"/>
        <w:jc w:val="both"/>
        <w:rPr>
          <w:rFonts w:ascii="Palatino Linotype" w:eastAsia="Palatino Linotype" w:hAnsi="Palatino Linotype" w:cs="Palatino Linotype"/>
          <w:i/>
        </w:rPr>
      </w:pPr>
      <w:r w:rsidRPr="008157E4">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5887291" w14:textId="77777777" w:rsidR="00230A6E" w:rsidRPr="008157E4" w:rsidRDefault="006E2CFE">
      <w:pPr>
        <w:spacing w:after="0" w:line="276" w:lineRule="auto"/>
        <w:ind w:left="851" w:right="900"/>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Al respecto y de conformidad con lo dispuesto en los artículos 6 apartado A de la Constitución Política de los Estados Unidos Mexicanos; 5 de la Constitución Política del Estado Libre y Soberano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5.41 Bis del Código Reglamentario de Toluca; además de lo relativo al Manual de Procedimientos de la Unidad de Transparencia de Toluca; hago de su conocimiento que la Contraloría Municipal y Servidor Público Habilitado, informó a la que suscribe que por lo que hace " copia de las resoluciones emitidas en el año 2022 de los expedientes" (Sic), derivado del daño que la divulgación que esta información puede generar, se clasificó como reservada por un periodo de hasta dos años, con base en el acuerdo emitido en la Quingentésima Cuadragésima Séptima Sesión Extraordinaria del Comité de Transparencia del Municipio de Toluca, de fecha 12 de septiembre de 2022. Asimismo y por cuanto hace a " las resoluciones emitidas en los expedientes y las resoluciones emitida por la </w:t>
      </w:r>
      <w:proofErr w:type="spellStart"/>
      <w:r w:rsidRPr="008157E4">
        <w:rPr>
          <w:rFonts w:ascii="Palatino Linotype" w:eastAsia="Palatino Linotype" w:hAnsi="Palatino Linotype" w:cs="Palatino Linotype"/>
          <w:i/>
        </w:rPr>
        <w:t>contraloria</w:t>
      </w:r>
      <w:proofErr w:type="spellEnd"/>
      <w:r w:rsidRPr="008157E4">
        <w:rPr>
          <w:rFonts w:ascii="Palatino Linotype" w:eastAsia="Palatino Linotype" w:hAnsi="Palatino Linotype" w:cs="Palatino Linotype"/>
          <w:i/>
        </w:rPr>
        <w:t xml:space="preserve"> interna ", informó que se tratan de las mismas, ya que los procedimientos de responsabilidades administrativas en contra de servidores públicos de este Ayuntamiento son tramitados en la Contraloría Interna </w:t>
      </w:r>
      <w:r w:rsidRPr="008157E4">
        <w:rPr>
          <w:rFonts w:ascii="Palatino Linotype" w:eastAsia="Palatino Linotype" w:hAnsi="Palatino Linotype" w:cs="Palatino Linotype"/>
          <w:i/>
        </w:rPr>
        <w:lastRenderedPageBreak/>
        <w:t>Municipal por sus autoridades administrativas, mismas que son emitidas de conformidad con lo dispuesto en los artículos 188, 189, 190, 191, 192, 193 y 194 fracciones X, XI de la Ley de Responsabilidades Administrativas del Estado de México y Municipios.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otro particular por el momento, aprovecho la ocasión para enviarle un cordial saludo.</w:t>
      </w:r>
    </w:p>
    <w:p w14:paraId="7E9FE0FD" w14:textId="77777777" w:rsidR="00230A6E" w:rsidRPr="008157E4" w:rsidRDefault="006E2CFE">
      <w:pPr>
        <w:spacing w:after="0" w:line="276" w:lineRule="auto"/>
        <w:ind w:left="851" w:right="900"/>
        <w:jc w:val="both"/>
        <w:rPr>
          <w:rFonts w:ascii="Palatino Linotype" w:eastAsia="Palatino Linotype" w:hAnsi="Palatino Linotype" w:cs="Palatino Linotype"/>
          <w:i/>
        </w:rPr>
      </w:pPr>
      <w:r w:rsidRPr="008157E4">
        <w:rPr>
          <w:rFonts w:ascii="Palatino Linotype" w:eastAsia="Palatino Linotype" w:hAnsi="Palatino Linotype" w:cs="Palatino Linotype"/>
          <w:i/>
        </w:rPr>
        <w:t>ATENTAMENTE</w:t>
      </w:r>
    </w:p>
    <w:p w14:paraId="56875294" w14:textId="77777777" w:rsidR="00230A6E" w:rsidRPr="008157E4" w:rsidRDefault="006E2CFE">
      <w:pPr>
        <w:spacing w:after="0" w:line="276" w:lineRule="auto"/>
        <w:ind w:left="851" w:right="900"/>
        <w:jc w:val="both"/>
        <w:rPr>
          <w:rFonts w:ascii="Palatino Linotype" w:eastAsia="Palatino Linotype" w:hAnsi="Palatino Linotype" w:cs="Palatino Linotype"/>
          <w:i/>
        </w:rPr>
      </w:pPr>
      <w:r w:rsidRPr="008157E4">
        <w:rPr>
          <w:rFonts w:ascii="Palatino Linotype" w:eastAsia="Palatino Linotype" w:hAnsi="Palatino Linotype" w:cs="Palatino Linotype"/>
          <w:i/>
        </w:rPr>
        <w:t>Lic. Norma Sofía Pérez Martínez”</w:t>
      </w:r>
    </w:p>
    <w:p w14:paraId="2077DD98" w14:textId="77777777" w:rsidR="00230A6E" w:rsidRPr="008157E4" w:rsidRDefault="00230A6E">
      <w:pPr>
        <w:spacing w:after="0" w:line="360" w:lineRule="auto"/>
        <w:jc w:val="both"/>
        <w:rPr>
          <w:rFonts w:ascii="Palatino Linotype" w:eastAsia="Palatino Linotype" w:hAnsi="Palatino Linotype" w:cs="Palatino Linotype"/>
          <w:b/>
          <w:sz w:val="24"/>
          <w:szCs w:val="24"/>
        </w:rPr>
      </w:pPr>
    </w:p>
    <w:p w14:paraId="317CE44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EL SUJETO OBLIGADO </w:t>
      </w:r>
      <w:r w:rsidRPr="008157E4">
        <w:rPr>
          <w:rFonts w:ascii="Palatino Linotype" w:eastAsia="Palatino Linotype" w:hAnsi="Palatino Linotype" w:cs="Palatino Linotype"/>
          <w:sz w:val="24"/>
          <w:szCs w:val="24"/>
        </w:rPr>
        <w:t>adjuntó para tal efecto los archivos electrónicos:</w:t>
      </w:r>
    </w:p>
    <w:p w14:paraId="1F4EBD1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AB88C12" w14:textId="77777777" w:rsidR="00230A6E" w:rsidRPr="008157E4" w:rsidRDefault="006E2CFE">
      <w:pPr>
        <w:tabs>
          <w:tab w:val="center" w:pos="4419"/>
        </w:tabs>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i/>
          <w:sz w:val="24"/>
          <w:szCs w:val="24"/>
          <w:u w:val="single"/>
        </w:rPr>
        <w:t xml:space="preserve">2022-OFI- 1376 - SMX-1823.pdf: </w:t>
      </w:r>
      <w:r w:rsidRPr="008157E4">
        <w:rPr>
          <w:rFonts w:ascii="Palatino Linotype" w:eastAsia="Palatino Linotype" w:hAnsi="Palatino Linotype" w:cs="Palatino Linotype"/>
          <w:sz w:val="24"/>
          <w:szCs w:val="24"/>
        </w:rPr>
        <w:t xml:space="preserve">Oficio 203010000/1376/2022 de fecha trece de septiembre de dos mil veintidós, signado por el Contralor Interno Municipal, mediante el cual refiere que las copias de las resoluciones emitidas en el año 2022 de los expedientes se clasificó como reservada durante un periodo de dos años, en la Quingentésima Cuadragésima Séptima Sesión Extraordinaria, así mismo, por cuando hace a las “resoluciones emitidas en los expedientes y las resoluciones </w:t>
      </w:r>
      <w:r w:rsidRPr="008157E4">
        <w:rPr>
          <w:rFonts w:ascii="Palatino Linotype" w:eastAsia="Palatino Linotype" w:hAnsi="Palatino Linotype" w:cs="Palatino Linotype"/>
          <w:sz w:val="24"/>
          <w:szCs w:val="24"/>
        </w:rPr>
        <w:lastRenderedPageBreak/>
        <w:t xml:space="preserve">emitidas por la Contraloría Interna, se tratan de las mismas ya que los procedimientos de responsabilidades administrativas en contra de servidores públicos del Ayuntamiento son tramitados por la Contraloría Interna.  </w:t>
      </w:r>
    </w:p>
    <w:p w14:paraId="04E26649" w14:textId="77777777" w:rsidR="00230A6E" w:rsidRPr="008157E4" w:rsidRDefault="00230A6E">
      <w:pPr>
        <w:tabs>
          <w:tab w:val="center" w:pos="4419"/>
        </w:tabs>
        <w:spacing w:after="0" w:line="360" w:lineRule="auto"/>
        <w:jc w:val="both"/>
        <w:rPr>
          <w:rFonts w:ascii="Palatino Linotype" w:eastAsia="Palatino Linotype" w:hAnsi="Palatino Linotype" w:cs="Palatino Linotype"/>
          <w:sz w:val="24"/>
          <w:szCs w:val="24"/>
        </w:rPr>
      </w:pPr>
    </w:p>
    <w:p w14:paraId="7C7AA687" w14:textId="77777777" w:rsidR="00230A6E" w:rsidRPr="008157E4" w:rsidRDefault="006E2CFE">
      <w:pPr>
        <w:tabs>
          <w:tab w:val="center" w:pos="4419"/>
        </w:tabs>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i/>
          <w:sz w:val="24"/>
          <w:szCs w:val="24"/>
          <w:u w:val="single"/>
        </w:rPr>
        <w:t xml:space="preserve">Acta Quingentésima Cuadragésima Séptima Sesión Extraordinaria.pdf: </w:t>
      </w:r>
      <w:r w:rsidRPr="008157E4">
        <w:rPr>
          <w:rFonts w:ascii="Palatino Linotype" w:eastAsia="Palatino Linotype" w:hAnsi="Palatino Linotype" w:cs="Palatino Linotype"/>
          <w:sz w:val="24"/>
          <w:szCs w:val="24"/>
        </w:rPr>
        <w:t xml:space="preserve">Acta de la Quingentésima Cuadragésima Séptima Sesión Extraordinaria del Comité de Transparencia del </w:t>
      </w:r>
      <w:r w:rsidRPr="008157E4">
        <w:rPr>
          <w:rFonts w:ascii="Palatino Linotype" w:eastAsia="Palatino Linotype" w:hAnsi="Palatino Linotype" w:cs="Palatino Linotype"/>
          <w:b/>
          <w:sz w:val="24"/>
          <w:szCs w:val="24"/>
        </w:rPr>
        <w:t xml:space="preserve">SUJETO OBLIGADO. </w:t>
      </w:r>
    </w:p>
    <w:p w14:paraId="08538919" w14:textId="77777777" w:rsidR="00230A6E" w:rsidRPr="008157E4" w:rsidRDefault="00230A6E">
      <w:pPr>
        <w:spacing w:after="0" w:line="360" w:lineRule="auto"/>
        <w:jc w:val="both"/>
        <w:rPr>
          <w:rFonts w:ascii="Palatino Linotype" w:eastAsia="Palatino Linotype" w:hAnsi="Palatino Linotype" w:cs="Palatino Linotype"/>
          <w:b/>
          <w:sz w:val="24"/>
          <w:szCs w:val="24"/>
        </w:rPr>
      </w:pPr>
    </w:p>
    <w:p w14:paraId="07BF47E5" w14:textId="77777777" w:rsidR="00230A6E" w:rsidRPr="008157E4" w:rsidRDefault="006E2CFE">
      <w:pPr>
        <w:spacing w:after="0" w:line="360" w:lineRule="auto"/>
        <w:ind w:right="-234"/>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3. DEL RECURSO DE REVISIÓN. </w:t>
      </w:r>
      <w:r w:rsidRPr="008157E4">
        <w:rPr>
          <w:rFonts w:ascii="Palatino Linotype" w:eastAsia="Palatino Linotype" w:hAnsi="Palatino Linotype" w:cs="Palatino Linotype"/>
          <w:sz w:val="24"/>
          <w:szCs w:val="24"/>
        </w:rPr>
        <w:t>Inconforme con la respuesta del</w:t>
      </w:r>
      <w:r w:rsidRPr="008157E4">
        <w:rPr>
          <w:rFonts w:ascii="Palatino Linotype" w:eastAsia="Palatino Linotype" w:hAnsi="Palatino Linotype" w:cs="Palatino Linotype"/>
          <w:b/>
          <w:sz w:val="24"/>
          <w:szCs w:val="24"/>
        </w:rPr>
        <w:t xml:space="preserve"> SUJETO OBLIGADO, </w:t>
      </w:r>
      <w:r w:rsidRPr="008157E4">
        <w:rPr>
          <w:rFonts w:ascii="Palatino Linotype" w:eastAsia="Palatino Linotype" w:hAnsi="Palatino Linotype" w:cs="Palatino Linotype"/>
          <w:sz w:val="24"/>
          <w:szCs w:val="24"/>
        </w:rPr>
        <w:t>en fecha veintiuno de septiembre de dos mil veintidós</w:t>
      </w:r>
      <w:r w:rsidRPr="008157E4">
        <w:rPr>
          <w:rFonts w:ascii="Palatino Linotype" w:eastAsia="Palatino Linotype" w:hAnsi="Palatino Linotype" w:cs="Palatino Linotype"/>
          <w:b/>
          <w:sz w:val="24"/>
          <w:szCs w:val="24"/>
        </w:rPr>
        <w:t xml:space="preserve">, EL RECURRENTE </w:t>
      </w:r>
      <w:r w:rsidRPr="008157E4">
        <w:rPr>
          <w:rFonts w:ascii="Palatino Linotype" w:eastAsia="Palatino Linotype" w:hAnsi="Palatino Linotype" w:cs="Palatino Linotype"/>
          <w:sz w:val="24"/>
          <w:szCs w:val="24"/>
        </w:rPr>
        <w:t>interpuso el recurso de revisión, el cual fue registrado</w:t>
      </w:r>
      <w:r w:rsidRPr="008157E4">
        <w:rPr>
          <w:rFonts w:ascii="Palatino Linotype" w:eastAsia="Palatino Linotype" w:hAnsi="Palatino Linotype" w:cs="Palatino Linotype"/>
          <w:b/>
          <w:sz w:val="24"/>
          <w:szCs w:val="24"/>
        </w:rPr>
        <w:t xml:space="preserve"> </w:t>
      </w:r>
      <w:r w:rsidRPr="008157E4">
        <w:rPr>
          <w:rFonts w:ascii="Palatino Linotype" w:eastAsia="Palatino Linotype" w:hAnsi="Palatino Linotype" w:cs="Palatino Linotype"/>
          <w:sz w:val="24"/>
          <w:szCs w:val="24"/>
        </w:rPr>
        <w:t xml:space="preserve">en el sistema electrónico con el expediente número </w:t>
      </w:r>
      <w:r w:rsidRPr="008157E4">
        <w:rPr>
          <w:rFonts w:ascii="Palatino Linotype" w:eastAsia="Palatino Linotype" w:hAnsi="Palatino Linotype" w:cs="Palatino Linotype"/>
          <w:b/>
          <w:sz w:val="24"/>
          <w:szCs w:val="24"/>
        </w:rPr>
        <w:t>14969/INFOEM/IP/RR/2022</w:t>
      </w:r>
      <w:r w:rsidRPr="008157E4">
        <w:rPr>
          <w:rFonts w:ascii="Palatino Linotype" w:eastAsia="Palatino Linotype" w:hAnsi="Palatino Linotype" w:cs="Palatino Linotype"/>
          <w:sz w:val="24"/>
          <w:szCs w:val="24"/>
        </w:rPr>
        <w:t>, en el cual manifestó, lo siguiente:</w:t>
      </w:r>
    </w:p>
    <w:p w14:paraId="5035DE6D" w14:textId="77777777" w:rsidR="00230A6E" w:rsidRPr="008157E4" w:rsidRDefault="00230A6E">
      <w:pPr>
        <w:spacing w:after="0" w:line="360" w:lineRule="auto"/>
        <w:ind w:right="-234"/>
        <w:jc w:val="both"/>
        <w:rPr>
          <w:rFonts w:ascii="Palatino Linotype" w:eastAsia="Palatino Linotype" w:hAnsi="Palatino Linotype" w:cs="Palatino Linotype"/>
          <w:sz w:val="24"/>
          <w:szCs w:val="24"/>
        </w:rPr>
      </w:pPr>
    </w:p>
    <w:p w14:paraId="3DA2EB51" w14:textId="77777777" w:rsidR="00230A6E" w:rsidRPr="008157E4" w:rsidRDefault="006E2CFE">
      <w:pPr>
        <w:numPr>
          <w:ilvl w:val="0"/>
          <w:numId w:val="9"/>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8157E4">
        <w:rPr>
          <w:rFonts w:ascii="Palatino Linotype" w:eastAsia="Palatino Linotype" w:hAnsi="Palatino Linotype" w:cs="Palatino Linotype"/>
          <w:b/>
          <w:i/>
          <w:sz w:val="24"/>
          <w:szCs w:val="24"/>
        </w:rPr>
        <w:t>Acto Impugnado:</w:t>
      </w:r>
    </w:p>
    <w:p w14:paraId="2E2A5599" w14:textId="77777777" w:rsidR="00230A6E" w:rsidRPr="008157E4" w:rsidRDefault="006E2CFE">
      <w:pPr>
        <w:spacing w:before="240" w:after="240" w:line="276" w:lineRule="auto"/>
        <w:ind w:left="851"/>
        <w:jc w:val="both"/>
        <w:rPr>
          <w:rFonts w:ascii="Palatino Linotype" w:eastAsia="Palatino Linotype" w:hAnsi="Palatino Linotype" w:cs="Palatino Linotype"/>
          <w:i/>
        </w:rPr>
      </w:pPr>
      <w:r w:rsidRPr="008157E4">
        <w:rPr>
          <w:rFonts w:ascii="Palatino Linotype" w:eastAsia="Palatino Linotype" w:hAnsi="Palatino Linotype" w:cs="Palatino Linotype"/>
          <w:i/>
        </w:rPr>
        <w:t>“No entrega la información solicitada negando y argumentando incongruencias” [sic]</w:t>
      </w:r>
    </w:p>
    <w:p w14:paraId="292299E3" w14:textId="77777777" w:rsidR="00230A6E" w:rsidRPr="008157E4" w:rsidRDefault="006E2CFE">
      <w:pPr>
        <w:numPr>
          <w:ilvl w:val="0"/>
          <w:numId w:val="9"/>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8157E4">
        <w:rPr>
          <w:rFonts w:ascii="Palatino Linotype" w:eastAsia="Palatino Linotype" w:hAnsi="Palatino Linotype" w:cs="Palatino Linotype"/>
          <w:b/>
          <w:i/>
          <w:sz w:val="24"/>
          <w:szCs w:val="24"/>
        </w:rPr>
        <w:t>Razones o Motivos de Inconformidad</w:t>
      </w:r>
      <w:r w:rsidRPr="008157E4">
        <w:rPr>
          <w:rFonts w:ascii="Palatino Linotype" w:eastAsia="Palatino Linotype" w:hAnsi="Palatino Linotype" w:cs="Palatino Linotype"/>
          <w:i/>
          <w:sz w:val="24"/>
          <w:szCs w:val="24"/>
        </w:rPr>
        <w:t>:</w:t>
      </w:r>
    </w:p>
    <w:p w14:paraId="2F7661FF" w14:textId="77777777" w:rsidR="00230A6E" w:rsidRPr="008157E4" w:rsidRDefault="006E2CFE">
      <w:pPr>
        <w:spacing w:before="240" w:after="0" w:line="276" w:lineRule="auto"/>
        <w:ind w:left="851"/>
        <w:jc w:val="both"/>
        <w:rPr>
          <w:rFonts w:ascii="Palatino Linotype" w:eastAsia="Palatino Linotype" w:hAnsi="Palatino Linotype" w:cs="Palatino Linotype"/>
          <w:i/>
        </w:rPr>
      </w:pPr>
      <w:r w:rsidRPr="008157E4">
        <w:rPr>
          <w:rFonts w:ascii="Palatino Linotype" w:eastAsia="Palatino Linotype" w:hAnsi="Palatino Linotype" w:cs="Palatino Linotype"/>
          <w:i/>
          <w:sz w:val="24"/>
          <w:szCs w:val="24"/>
        </w:rPr>
        <w:t>“</w:t>
      </w:r>
      <w:r w:rsidRPr="008157E4">
        <w:rPr>
          <w:rFonts w:ascii="Palatino Linotype" w:eastAsia="Palatino Linotype" w:hAnsi="Palatino Linotype" w:cs="Palatino Linotype"/>
          <w:i/>
        </w:rPr>
        <w:t>la información proporcionada niega la información” [sic]</w:t>
      </w:r>
    </w:p>
    <w:p w14:paraId="6B9A46E1" w14:textId="77777777" w:rsidR="00230A6E" w:rsidRPr="008157E4" w:rsidRDefault="00230A6E">
      <w:pPr>
        <w:spacing w:line="360" w:lineRule="auto"/>
        <w:jc w:val="both"/>
        <w:rPr>
          <w:b/>
        </w:rPr>
      </w:pPr>
    </w:p>
    <w:p w14:paraId="189E1E60"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4. TURNO. </w:t>
      </w:r>
      <w:r w:rsidRPr="008157E4">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Pr="008157E4">
        <w:rPr>
          <w:rFonts w:ascii="Palatino Linotype" w:eastAsia="Palatino Linotype" w:hAnsi="Palatino Linotype" w:cs="Palatino Linotype"/>
          <w:sz w:val="24"/>
          <w:szCs w:val="24"/>
        </w:rPr>
        <w:lastRenderedPageBreak/>
        <w:t xml:space="preserve">Transparencia, Acceso a la Información Pública y Protección de Datos Personales del Estado de México y Municipios, a la Comisionada </w:t>
      </w:r>
      <w:r w:rsidRPr="008157E4">
        <w:rPr>
          <w:rFonts w:ascii="Palatino Linotype" w:eastAsia="Palatino Linotype" w:hAnsi="Palatino Linotype" w:cs="Palatino Linotype"/>
          <w:b/>
          <w:sz w:val="24"/>
          <w:szCs w:val="24"/>
        </w:rPr>
        <w:t xml:space="preserve">Guadalupe Ramírez Peña, </w:t>
      </w:r>
      <w:r w:rsidRPr="008157E4">
        <w:rPr>
          <w:rFonts w:ascii="Palatino Linotype" w:eastAsia="Palatino Linotype" w:hAnsi="Palatino Linotype" w:cs="Palatino Linotype"/>
          <w:sz w:val="24"/>
          <w:szCs w:val="24"/>
        </w:rPr>
        <w:t xml:space="preserve">a efecto de que analizara sobre su admisión o su </w:t>
      </w:r>
      <w:proofErr w:type="spellStart"/>
      <w:r w:rsidRPr="008157E4">
        <w:rPr>
          <w:rFonts w:ascii="Palatino Linotype" w:eastAsia="Palatino Linotype" w:hAnsi="Palatino Linotype" w:cs="Palatino Linotype"/>
          <w:sz w:val="24"/>
          <w:szCs w:val="24"/>
        </w:rPr>
        <w:t>desechamiento</w:t>
      </w:r>
      <w:proofErr w:type="spellEnd"/>
      <w:r w:rsidRPr="008157E4">
        <w:rPr>
          <w:rFonts w:ascii="Palatino Linotype" w:eastAsia="Palatino Linotype" w:hAnsi="Palatino Linotype" w:cs="Palatino Linotype"/>
          <w:sz w:val="24"/>
          <w:szCs w:val="24"/>
        </w:rPr>
        <w:t>.</w:t>
      </w:r>
    </w:p>
    <w:p w14:paraId="05000D7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E103CE1"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5. ADMISIÓN DEL RECURSO DE REVISIÓN.</w:t>
      </w:r>
      <w:r w:rsidRPr="008157E4">
        <w:rPr>
          <w:rFonts w:ascii="Palatino Linotype" w:eastAsia="Palatino Linotype" w:hAnsi="Palatino Linotype" w:cs="Palatino Linotype"/>
          <w:sz w:val="24"/>
          <w:szCs w:val="24"/>
        </w:rPr>
        <w:t xml:space="preserve"> Con fecha</w:t>
      </w:r>
      <w:r w:rsidRPr="008157E4">
        <w:rPr>
          <w:rFonts w:ascii="Palatino Linotype" w:eastAsia="Palatino Linotype" w:hAnsi="Palatino Linotype" w:cs="Palatino Linotype"/>
          <w:b/>
          <w:sz w:val="24"/>
          <w:szCs w:val="24"/>
        </w:rPr>
        <w:t xml:space="preserve"> veintiséis de septiembre de dos mil veintidós, </w:t>
      </w:r>
      <w:r w:rsidRPr="008157E4">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157E4">
        <w:rPr>
          <w:rFonts w:ascii="Palatino Linotype" w:eastAsia="Palatino Linotype" w:hAnsi="Palatino Linotype" w:cs="Palatino Linotype"/>
          <w:b/>
          <w:sz w:val="24"/>
          <w:szCs w:val="24"/>
        </w:rPr>
        <w:t xml:space="preserve">SUJETO OBLIGADO </w:t>
      </w:r>
      <w:r w:rsidRPr="008157E4">
        <w:rPr>
          <w:rFonts w:ascii="Palatino Linotype" w:eastAsia="Palatino Linotype" w:hAnsi="Palatino Linotype" w:cs="Palatino Linotype"/>
          <w:sz w:val="24"/>
          <w:szCs w:val="24"/>
        </w:rPr>
        <w:t>presentará su informe justificado.</w:t>
      </w:r>
    </w:p>
    <w:p w14:paraId="7FFC709B" w14:textId="77777777" w:rsidR="00230A6E" w:rsidRPr="008157E4" w:rsidRDefault="00230A6E">
      <w:pPr>
        <w:spacing w:line="360" w:lineRule="auto"/>
        <w:jc w:val="both"/>
        <w:rPr>
          <w:b/>
        </w:rPr>
      </w:pPr>
    </w:p>
    <w:p w14:paraId="1278E7AB"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6. MANIFESTACIONES.</w:t>
      </w:r>
      <w:r w:rsidRPr="008157E4">
        <w:rPr>
          <w:rFonts w:ascii="Palatino Linotype" w:eastAsia="Palatino Linotype" w:hAnsi="Palatino Linotype" w:cs="Palatino Linotype"/>
          <w:sz w:val="24"/>
          <w:szCs w:val="24"/>
        </w:rPr>
        <w:t xml:space="preserve"> El cinco de octubre de dos mil veintidós se recibió, a través del Sistema de Acceso a la Información Mexiquense (SAIMEX), el Informe Justificado del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w:t>
      </w:r>
      <w:r w:rsidRPr="008157E4">
        <w:rPr>
          <w:rFonts w:ascii="Palatino Linotype" w:eastAsia="Palatino Linotype" w:hAnsi="Palatino Linotype" w:cs="Palatino Linotype"/>
          <w:b/>
          <w:sz w:val="24"/>
          <w:szCs w:val="24"/>
        </w:rPr>
        <w:t xml:space="preserve"> </w:t>
      </w:r>
      <w:r w:rsidRPr="008157E4">
        <w:rPr>
          <w:rFonts w:ascii="Palatino Linotype" w:eastAsia="Palatino Linotype" w:hAnsi="Palatino Linotype" w:cs="Palatino Linotype"/>
          <w:sz w:val="24"/>
          <w:szCs w:val="24"/>
        </w:rPr>
        <w:t>a través del siguiente archivo electrónico:</w:t>
      </w:r>
    </w:p>
    <w:p w14:paraId="435C3A40"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 </w:t>
      </w:r>
    </w:p>
    <w:p w14:paraId="44338CC1"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w:t>
      </w:r>
      <w:r w:rsidRPr="008157E4">
        <w:rPr>
          <w:rFonts w:ascii="Palatino Linotype" w:eastAsia="Palatino Linotype" w:hAnsi="Palatino Linotype" w:cs="Palatino Linotype"/>
          <w:b/>
          <w:i/>
          <w:sz w:val="24"/>
          <w:szCs w:val="24"/>
          <w:u w:val="single"/>
        </w:rPr>
        <w:t>RR 14969.pdf</w:t>
      </w:r>
      <w:r w:rsidRPr="008157E4">
        <w:rPr>
          <w:rFonts w:ascii="Palatino Linotype" w:eastAsia="Palatino Linotype" w:hAnsi="Palatino Linotype" w:cs="Palatino Linotype"/>
          <w:sz w:val="24"/>
          <w:szCs w:val="24"/>
        </w:rPr>
        <w:t xml:space="preserve">”: Oficio 2010A4000/UT/RR/0618/2022 de fecha cinco de octubre de dos mil veintidós, signado por la Titular de la Unidad de Transparencia, mediante el cual describe las constancias que obran en el SAIMEX, solicitando se confirme su respuesta inicial. </w:t>
      </w:r>
    </w:p>
    <w:p w14:paraId="08ABAA59"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CB2D0D4"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lo que corresponde a la parte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este resulto omiso de emitir manifestaciones conforme a derecho le corresponde.</w:t>
      </w:r>
    </w:p>
    <w:p w14:paraId="33022D35" w14:textId="77777777" w:rsidR="00230A6E" w:rsidRPr="008157E4" w:rsidRDefault="00230A6E">
      <w:pPr>
        <w:spacing w:after="0" w:line="360" w:lineRule="auto"/>
        <w:jc w:val="both"/>
      </w:pPr>
    </w:p>
    <w:p w14:paraId="758D1C1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7. AMPLIACIÓN DEL TÉRMINO PARA RESOLVER</w:t>
      </w:r>
      <w:r w:rsidRPr="008157E4">
        <w:rPr>
          <w:rFonts w:ascii="Palatino Linotype" w:eastAsia="Palatino Linotype" w:hAnsi="Palatino Linotype" w:cs="Palatino Linotype"/>
          <w:sz w:val="24"/>
          <w:szCs w:val="24"/>
        </w:rPr>
        <w:t>.</w:t>
      </w:r>
      <w:r w:rsidRPr="008157E4">
        <w:rPr>
          <w:rFonts w:ascii="Palatino Linotype" w:eastAsia="Palatino Linotype" w:hAnsi="Palatino Linotype" w:cs="Palatino Linotype"/>
        </w:rPr>
        <w:t xml:space="preserve"> </w:t>
      </w:r>
      <w:r w:rsidRPr="008157E4">
        <w:rPr>
          <w:rFonts w:ascii="Palatino Linotype" w:eastAsia="Palatino Linotype" w:hAnsi="Palatino Linotype" w:cs="Palatino Linotype"/>
          <w:sz w:val="24"/>
          <w:szCs w:val="24"/>
        </w:rPr>
        <w:t xml:space="preserve">En fecha veintiuno de marzo de dos mil veintitrés, se amplió el término para resolver el recurso de revisión en términos del artículo 181 párrafo tercero de la Ley de Transparencia y Acceso a la Información Pública del Estado de México y Municipios. </w:t>
      </w:r>
    </w:p>
    <w:p w14:paraId="417AEC3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3C5597E"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65070A3E"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A20D3B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ello, es menester precisar </w:t>
      </w:r>
      <w:proofErr w:type="gramStart"/>
      <w:r w:rsidRPr="008157E4">
        <w:rPr>
          <w:rFonts w:ascii="Palatino Linotype" w:eastAsia="Palatino Linotype" w:hAnsi="Palatino Linotype" w:cs="Palatino Linotype"/>
          <w:sz w:val="24"/>
          <w:szCs w:val="24"/>
        </w:rPr>
        <w:t>que</w:t>
      </w:r>
      <w:proofErr w:type="gramEnd"/>
      <w:r w:rsidRPr="008157E4">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866587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95B956E"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8157E4">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14:paraId="59808782"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2DB6B4E"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6B06A7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58F092D2" w14:textId="77777777" w:rsidR="00230A6E" w:rsidRPr="008157E4" w:rsidRDefault="00230A6E">
      <w:pPr>
        <w:spacing w:after="0" w:line="360" w:lineRule="auto"/>
        <w:jc w:val="both"/>
        <w:rPr>
          <w:rFonts w:ascii="Palatino Linotype" w:eastAsia="Palatino Linotype" w:hAnsi="Palatino Linotype" w:cs="Palatino Linotype"/>
          <w:strike/>
          <w:sz w:val="24"/>
          <w:szCs w:val="24"/>
        </w:rPr>
      </w:pPr>
    </w:p>
    <w:p w14:paraId="203D6259" w14:textId="77777777" w:rsidR="00230A6E" w:rsidRPr="008157E4" w:rsidRDefault="006E2CFE">
      <w:pPr>
        <w:numPr>
          <w:ilvl w:val="0"/>
          <w:numId w:val="10"/>
        </w:num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DF2C4EC" w14:textId="77777777" w:rsidR="00230A6E" w:rsidRPr="008157E4" w:rsidRDefault="006E2CFE">
      <w:pPr>
        <w:numPr>
          <w:ilvl w:val="0"/>
          <w:numId w:val="10"/>
        </w:num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Actividad Procesal del interesado. Acciones u omisiones del interesado.</w:t>
      </w:r>
    </w:p>
    <w:p w14:paraId="157994B6"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44AD112" w14:textId="77777777" w:rsidR="00230A6E" w:rsidRPr="008157E4" w:rsidRDefault="006E2CFE">
      <w:pPr>
        <w:numPr>
          <w:ilvl w:val="0"/>
          <w:numId w:val="10"/>
        </w:num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7543A043" w14:textId="77777777" w:rsidR="00230A6E" w:rsidRPr="008157E4" w:rsidRDefault="006E2CFE">
      <w:pPr>
        <w:numPr>
          <w:ilvl w:val="0"/>
          <w:numId w:val="10"/>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3E682CF1" w14:textId="77777777" w:rsidR="00230A6E" w:rsidRPr="008157E4" w:rsidRDefault="00230A6E">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14:paraId="3D90E41B"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w:t>
      </w:r>
      <w:r w:rsidRPr="008157E4">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7A8BAF61"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BD418B1"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8157E4">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8157E4">
        <w:rPr>
          <w:rFonts w:ascii="Palatino Linotype" w:eastAsia="Palatino Linotype" w:hAnsi="Palatino Linotype" w:cs="Palatino Linotype"/>
          <w:sz w:val="24"/>
          <w:szCs w:val="24"/>
        </w:rPr>
        <w:t>, visible en la Gaceta del Seminario Judicial de la Federación con el registro digital 205635.</w:t>
      </w:r>
    </w:p>
    <w:p w14:paraId="72C43343" w14:textId="77777777" w:rsidR="00230A6E" w:rsidRPr="008157E4" w:rsidRDefault="00230A6E">
      <w:pPr>
        <w:spacing w:after="0" w:line="360" w:lineRule="auto"/>
        <w:jc w:val="both"/>
        <w:rPr>
          <w:rFonts w:ascii="Palatino Linotype" w:eastAsia="Palatino Linotype" w:hAnsi="Palatino Linotype" w:cs="Palatino Linotype"/>
          <w:b/>
          <w:sz w:val="24"/>
          <w:szCs w:val="24"/>
        </w:rPr>
      </w:pPr>
    </w:p>
    <w:p w14:paraId="6BEF7FEF"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E0BD18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6733DC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E15EB8A"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9F9C45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 </w:t>
      </w:r>
      <w:r w:rsidRPr="008157E4">
        <w:rPr>
          <w:rFonts w:ascii="Palatino Linotype" w:eastAsia="Palatino Linotype" w:hAnsi="Palatino Linotype" w:cs="Palatino Linotype"/>
          <w:i/>
          <w:sz w:val="24"/>
          <w:szCs w:val="24"/>
        </w:rPr>
        <w:t>“PLAZO RAZONABLE PARA RESOLVER. DIMENSIÓN Y EFECTOS DE ESTE CONCEPTO CUANDO SE ADUCE EXCESIVA CARGA DE TRABAJO.”</w:t>
      </w:r>
      <w:r w:rsidRPr="008157E4">
        <w:rPr>
          <w:rFonts w:ascii="Palatino Linotype" w:eastAsia="Palatino Linotype" w:hAnsi="Palatino Linotype" w:cs="Palatino Linotype"/>
          <w:sz w:val="24"/>
          <w:szCs w:val="24"/>
        </w:rPr>
        <w:t xml:space="preserve"> consultable en el Seminario Judicial de la Federación y su gaceta, con el registro digital 2002351.</w:t>
      </w:r>
    </w:p>
    <w:p w14:paraId="7DEEABE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844A1E4"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8157E4">
        <w:rPr>
          <w:rFonts w:ascii="Palatino Linotype" w:eastAsia="Palatino Linotype" w:hAnsi="Palatino Linotype" w:cs="Palatino Linotype"/>
          <w:sz w:val="24"/>
          <w:szCs w:val="24"/>
        </w:rPr>
        <w:t>, visible en el Seminario Judicial de la Federación y su gaceta, con el registro digital 2002350.</w:t>
      </w:r>
    </w:p>
    <w:p w14:paraId="0C0388DD"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EA64260"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4B4D50A4"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01B6F7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8. CIERRE DE INSTRUCCIÓN. </w:t>
      </w:r>
      <w:r w:rsidRPr="008157E4">
        <w:rPr>
          <w:rFonts w:ascii="Palatino Linotype" w:eastAsia="Palatino Linotype" w:hAnsi="Palatino Linotype" w:cs="Palatino Linotype"/>
          <w:sz w:val="24"/>
          <w:szCs w:val="24"/>
        </w:rPr>
        <w:t xml:space="preserve">El veintiuno de marzo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8157E4">
        <w:rPr>
          <w:rFonts w:ascii="Palatino Linotype" w:eastAsia="Palatino Linotype" w:hAnsi="Palatino Linotype" w:cs="Palatino Linotype"/>
          <w:sz w:val="24"/>
          <w:szCs w:val="24"/>
        </w:rPr>
        <w:lastRenderedPageBreak/>
        <w:t>Información Pública del Estado de México y Municipios, iniciando el término legal para dictar resolución definitiva del asunto.</w:t>
      </w:r>
    </w:p>
    <w:p w14:paraId="67909B9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1AE153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7E7100F9" w14:textId="77777777" w:rsidR="00230A6E" w:rsidRPr="008157E4" w:rsidRDefault="00230A6E">
      <w:pPr>
        <w:spacing w:line="360" w:lineRule="auto"/>
        <w:jc w:val="both"/>
        <w:rPr>
          <w:b/>
        </w:rPr>
      </w:pPr>
    </w:p>
    <w:p w14:paraId="503F456B" w14:textId="77777777" w:rsidR="00230A6E" w:rsidRPr="008157E4" w:rsidRDefault="006E2CFE">
      <w:pPr>
        <w:widowControl w:val="0"/>
        <w:spacing w:after="0" w:line="360" w:lineRule="auto"/>
        <w:jc w:val="center"/>
        <w:rPr>
          <w:rFonts w:ascii="Palatino Linotype" w:eastAsia="Palatino Linotype" w:hAnsi="Palatino Linotype" w:cs="Palatino Linotype"/>
          <w:b/>
          <w:sz w:val="24"/>
          <w:szCs w:val="24"/>
        </w:rPr>
      </w:pPr>
      <w:r w:rsidRPr="008157E4">
        <w:rPr>
          <w:rFonts w:ascii="Palatino Linotype" w:eastAsia="Palatino Linotype" w:hAnsi="Palatino Linotype" w:cs="Palatino Linotype"/>
          <w:b/>
          <w:sz w:val="24"/>
          <w:szCs w:val="24"/>
        </w:rPr>
        <w:t>C O N S I D E R A N D O S</w:t>
      </w:r>
    </w:p>
    <w:p w14:paraId="2657088B" w14:textId="77777777" w:rsidR="00230A6E" w:rsidRPr="008157E4" w:rsidRDefault="00230A6E">
      <w:pPr>
        <w:spacing w:after="0" w:line="360" w:lineRule="auto"/>
        <w:jc w:val="both"/>
        <w:rPr>
          <w:rFonts w:ascii="Palatino Linotype" w:eastAsia="Palatino Linotype" w:hAnsi="Palatino Linotype" w:cs="Palatino Linotype"/>
          <w:b/>
          <w:sz w:val="24"/>
          <w:szCs w:val="24"/>
        </w:rPr>
      </w:pPr>
    </w:p>
    <w:p w14:paraId="73EF7AD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PRIMERO. COMPETENCIA.</w:t>
      </w:r>
      <w:r w:rsidRPr="008157E4">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5484260" w14:textId="77777777" w:rsidR="00230A6E" w:rsidRPr="008157E4" w:rsidRDefault="00230A6E">
      <w:pPr>
        <w:spacing w:after="0" w:line="360" w:lineRule="auto"/>
        <w:jc w:val="both"/>
        <w:rPr>
          <w:b/>
        </w:rPr>
      </w:pPr>
    </w:p>
    <w:p w14:paraId="0027469A" w14:textId="77777777" w:rsidR="00230A6E" w:rsidRPr="008157E4" w:rsidRDefault="006E2CFE">
      <w:pPr>
        <w:spacing w:after="0" w:line="360" w:lineRule="auto"/>
        <w:ind w:right="-234"/>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lastRenderedPageBreak/>
        <w:t xml:space="preserve">SEGUNDO. OPORTUNIDAD Y PROCEDIBILIDAD DEL RECURSO DE REVISIÓN.  </w:t>
      </w:r>
      <w:r w:rsidRPr="008157E4">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7DCC40BB" w14:textId="77777777" w:rsidR="00230A6E" w:rsidRPr="008157E4" w:rsidRDefault="006E2CFE">
      <w:pPr>
        <w:spacing w:after="0" w:line="360" w:lineRule="auto"/>
        <w:ind w:right="-234"/>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8157E4">
        <w:rPr>
          <w:rFonts w:ascii="Palatino Linotype" w:eastAsia="Palatino Linotype" w:hAnsi="Palatino Linotype" w:cs="Palatino Linotype"/>
          <w:b/>
          <w:sz w:val="24"/>
          <w:szCs w:val="24"/>
        </w:rPr>
        <w:t xml:space="preserve"> EL SUJETO OBLIGADO </w:t>
      </w:r>
      <w:r w:rsidRPr="008157E4">
        <w:rPr>
          <w:rFonts w:ascii="Palatino Linotype" w:eastAsia="Palatino Linotype" w:hAnsi="Palatino Linotype" w:cs="Palatino Linotype"/>
          <w:sz w:val="24"/>
          <w:szCs w:val="24"/>
        </w:rPr>
        <w:t xml:space="preserve">emitió la respuesta, toda vez que esta fue pronunciada el día diecinueve de septiembre de dos mil veintidós, mientras que </w:t>
      </w:r>
      <w:r w:rsidRPr="008157E4">
        <w:rPr>
          <w:rFonts w:ascii="Palatino Linotype" w:eastAsia="Palatino Linotype" w:hAnsi="Palatino Linotype" w:cs="Palatino Linotype"/>
          <w:b/>
          <w:sz w:val="24"/>
          <w:szCs w:val="24"/>
        </w:rPr>
        <w:t>EL</w:t>
      </w:r>
      <w:r w:rsidRPr="008157E4">
        <w:rPr>
          <w:rFonts w:ascii="Palatino Linotype" w:eastAsia="Palatino Linotype" w:hAnsi="Palatino Linotype" w:cs="Palatino Linotype"/>
          <w:sz w:val="24"/>
          <w:szCs w:val="24"/>
        </w:rPr>
        <w:t xml:space="preserve">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xml:space="preserve"> interpuso el recurso de revisión en fecha veintiuno de septiembre de dos mil veintidós, esto es al segundo día hábil de haber recibido la respuesta. </w:t>
      </w:r>
    </w:p>
    <w:p w14:paraId="1FDC4E62" w14:textId="77777777" w:rsidR="00230A6E" w:rsidRPr="008157E4" w:rsidRDefault="00230A6E">
      <w:pPr>
        <w:spacing w:after="0" w:line="360" w:lineRule="auto"/>
        <w:ind w:right="-234"/>
        <w:jc w:val="both"/>
        <w:rPr>
          <w:rFonts w:ascii="Palatino Linotype" w:eastAsia="Palatino Linotype" w:hAnsi="Palatino Linotype" w:cs="Palatino Linotype"/>
          <w:sz w:val="24"/>
          <w:szCs w:val="24"/>
        </w:rPr>
      </w:pPr>
    </w:p>
    <w:p w14:paraId="61B7BE9F"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6118BC5E" w14:textId="77777777" w:rsidR="00230A6E" w:rsidRPr="008157E4" w:rsidRDefault="00230A6E">
      <w:pPr>
        <w:spacing w:after="0" w:line="360" w:lineRule="auto"/>
        <w:jc w:val="both"/>
        <w:rPr>
          <w:b/>
          <w:sz w:val="24"/>
          <w:szCs w:val="24"/>
        </w:rPr>
      </w:pPr>
    </w:p>
    <w:p w14:paraId="0CFF3D7D"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xml:space="preserve">, no señaló un nombre con el cual desea ser identificado, como se advierte en el detalle de seguimiento del SAIMEX, no obstante lo anterior, no proporcionar el nombre no es motivo para archivar la solicitud de acceso a la información pública como concluida, conforme a lo previsto </w:t>
      </w:r>
      <w:r w:rsidRPr="008157E4">
        <w:rPr>
          <w:rFonts w:ascii="Palatino Linotype" w:eastAsia="Palatino Linotype" w:hAnsi="Palatino Linotype" w:cs="Palatino Linotype"/>
          <w:sz w:val="24"/>
          <w:szCs w:val="24"/>
        </w:rPr>
        <w:lastRenderedPageBreak/>
        <w:t>en el artículo 155, penúltimo párrafo de la Ley de Transparencia y Acceso a la Información Pública del Estado de México y Municipios que establece lo siguiente:</w:t>
      </w:r>
    </w:p>
    <w:p w14:paraId="36E6A7F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9C7B555" w14:textId="77777777" w:rsidR="00230A6E" w:rsidRPr="008157E4" w:rsidRDefault="006E2CFE">
      <w:pPr>
        <w:spacing w:after="0" w:line="240" w:lineRule="auto"/>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r w:rsidRPr="008157E4">
        <w:rPr>
          <w:rFonts w:ascii="Palatino Linotype" w:eastAsia="Palatino Linotype" w:hAnsi="Palatino Linotype" w:cs="Palatino Linotype"/>
          <w:b/>
          <w:i/>
        </w:rPr>
        <w:t xml:space="preserve">Las solicitudes </w:t>
      </w:r>
      <w:r w:rsidRPr="008157E4">
        <w:rPr>
          <w:rFonts w:ascii="Palatino Linotype" w:eastAsia="Palatino Linotype" w:hAnsi="Palatino Linotype" w:cs="Palatino Linotype"/>
          <w:i/>
        </w:rPr>
        <w:t xml:space="preserve">anónimas, </w:t>
      </w:r>
      <w:r w:rsidRPr="008157E4">
        <w:rPr>
          <w:rFonts w:ascii="Palatino Linotype" w:eastAsia="Palatino Linotype" w:hAnsi="Palatino Linotype" w:cs="Palatino Linotype"/>
          <w:b/>
          <w:i/>
        </w:rPr>
        <w:t>con</w:t>
      </w:r>
      <w:r w:rsidRPr="008157E4">
        <w:rPr>
          <w:rFonts w:ascii="Palatino Linotype" w:eastAsia="Palatino Linotype" w:hAnsi="Palatino Linotype" w:cs="Palatino Linotype"/>
          <w:i/>
        </w:rPr>
        <w:t xml:space="preserve"> nombre incompleto o </w:t>
      </w:r>
      <w:r w:rsidRPr="008157E4">
        <w:rPr>
          <w:rFonts w:ascii="Palatino Linotype" w:eastAsia="Palatino Linotype" w:hAnsi="Palatino Linotype" w:cs="Palatino Linotype"/>
          <w:b/>
          <w:i/>
        </w:rPr>
        <w:t>seudónimo</w:t>
      </w:r>
      <w:r w:rsidRPr="008157E4">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0D84539A" w14:textId="77777777" w:rsidR="00230A6E" w:rsidRPr="008157E4" w:rsidRDefault="00230A6E">
      <w:pPr>
        <w:spacing w:after="0" w:line="360" w:lineRule="auto"/>
        <w:ind w:left="851" w:right="902"/>
        <w:jc w:val="both"/>
        <w:rPr>
          <w:rFonts w:ascii="Palatino Linotype" w:eastAsia="Palatino Linotype" w:hAnsi="Palatino Linotype" w:cs="Palatino Linotype"/>
          <w:i/>
        </w:rPr>
      </w:pPr>
    </w:p>
    <w:p w14:paraId="2887E6A1" w14:textId="77777777" w:rsidR="00230A6E" w:rsidRPr="008157E4" w:rsidRDefault="006E2CFE">
      <w:pPr>
        <w:spacing w:after="0" w:line="360" w:lineRule="auto"/>
        <w:jc w:val="both"/>
        <w:rPr>
          <w:rFonts w:ascii="Palatino Linotype" w:eastAsia="Palatino Linotype" w:hAnsi="Palatino Linotype" w:cs="Palatino Linotype"/>
          <w:b/>
          <w:sz w:val="24"/>
          <w:szCs w:val="24"/>
        </w:rPr>
      </w:pPr>
      <w:r w:rsidRPr="008157E4">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8157E4">
        <w:rPr>
          <w:rFonts w:ascii="Palatino Linotype" w:eastAsia="Palatino Linotype" w:hAnsi="Palatino Linotype" w:cs="Palatino Linotype"/>
          <w:b/>
          <w:sz w:val="24"/>
          <w:szCs w:val="24"/>
        </w:rPr>
        <w:t xml:space="preserve">EL SAIMEX.  </w:t>
      </w:r>
    </w:p>
    <w:p w14:paraId="00A7845C" w14:textId="77777777" w:rsidR="00230A6E" w:rsidRPr="008157E4" w:rsidRDefault="00230A6E">
      <w:pPr>
        <w:spacing w:after="0" w:line="360" w:lineRule="auto"/>
        <w:jc w:val="both"/>
        <w:rPr>
          <w:b/>
        </w:rPr>
      </w:pPr>
    </w:p>
    <w:p w14:paraId="358D770B" w14:textId="77777777" w:rsidR="00230A6E" w:rsidRPr="008157E4" w:rsidRDefault="006E2CFE">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Finalmente, resulta procedente la interposición del recurso, según lo aducido por </w:t>
      </w:r>
      <w:r w:rsidRPr="008157E4">
        <w:rPr>
          <w:rFonts w:ascii="Palatino Linotype" w:eastAsia="Palatino Linotype" w:hAnsi="Palatino Linotype" w:cs="Palatino Linotype"/>
          <w:b/>
          <w:sz w:val="24"/>
          <w:szCs w:val="24"/>
        </w:rPr>
        <w:t>la parte RECURRENTE</w:t>
      </w:r>
      <w:r w:rsidRPr="008157E4">
        <w:rPr>
          <w:rFonts w:ascii="Palatino Linotype" w:eastAsia="Palatino Linotype" w:hAnsi="Palatino Linotype" w:cs="Palatino Linotype"/>
          <w:sz w:val="24"/>
          <w:szCs w:val="24"/>
        </w:rPr>
        <w:t xml:space="preserve"> en sus razones o motivos de inconformidad, de acuerdo al artículo 179, fracción II de la Ley de Transparencia y Acceso a la Información Pública del Estado de México y Municipios; que a la letra dice:</w:t>
      </w:r>
    </w:p>
    <w:p w14:paraId="0F1CAEA0" w14:textId="77777777" w:rsidR="00230A6E" w:rsidRPr="008157E4" w:rsidRDefault="00230A6E">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5A63F5F5" w14:textId="77777777" w:rsidR="00230A6E" w:rsidRPr="008157E4" w:rsidRDefault="006E2CF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157E4">
        <w:rPr>
          <w:rFonts w:ascii="Palatino Linotype" w:eastAsia="Palatino Linotype" w:hAnsi="Palatino Linotype" w:cs="Palatino Linotype"/>
          <w:b/>
          <w:i/>
        </w:rPr>
        <w:t>“Artículo 179</w:t>
      </w:r>
      <w:r w:rsidRPr="008157E4">
        <w:rPr>
          <w:rFonts w:ascii="Palatino Linotype" w:eastAsia="Palatino Linotype" w:hAnsi="Palatino Linotype" w:cs="Palatino Linotype"/>
          <w:i/>
        </w:rPr>
        <w:t xml:space="preserve">. </w:t>
      </w:r>
      <w:r w:rsidRPr="008157E4">
        <w:rPr>
          <w:rFonts w:ascii="Palatino Linotype" w:eastAsia="Palatino Linotype" w:hAnsi="Palatino Linotype" w:cs="Palatino Linotype"/>
          <w:b/>
          <w:i/>
        </w:rPr>
        <w:t>El recurso de revisión</w:t>
      </w:r>
      <w:r w:rsidRPr="008157E4">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8157E4">
        <w:rPr>
          <w:rFonts w:ascii="Palatino Linotype" w:eastAsia="Palatino Linotype" w:hAnsi="Palatino Linotype" w:cs="Palatino Linotype"/>
          <w:b/>
          <w:i/>
        </w:rPr>
        <w:t>, y procederá en contra de las siguientes causas</w:t>
      </w:r>
      <w:r w:rsidRPr="008157E4">
        <w:rPr>
          <w:rFonts w:ascii="Palatino Linotype" w:eastAsia="Palatino Linotype" w:hAnsi="Palatino Linotype" w:cs="Palatino Linotype"/>
          <w:i/>
        </w:rPr>
        <w:t>:</w:t>
      </w:r>
    </w:p>
    <w:p w14:paraId="47DF9CEF" w14:textId="77777777" w:rsidR="00230A6E" w:rsidRPr="008157E4" w:rsidRDefault="006E2CF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157E4">
        <w:rPr>
          <w:rFonts w:ascii="Palatino Linotype" w:eastAsia="Palatino Linotype" w:hAnsi="Palatino Linotype" w:cs="Palatino Linotype"/>
          <w:b/>
          <w:i/>
        </w:rPr>
        <w:t>(</w:t>
      </w:r>
      <w:r w:rsidRPr="008157E4">
        <w:rPr>
          <w:rFonts w:ascii="Palatino Linotype" w:eastAsia="Palatino Linotype" w:hAnsi="Palatino Linotype" w:cs="Palatino Linotype"/>
          <w:i/>
        </w:rPr>
        <w:t>…)</w:t>
      </w:r>
    </w:p>
    <w:p w14:paraId="68944A00" w14:textId="77777777" w:rsidR="00230A6E" w:rsidRPr="008157E4" w:rsidRDefault="006E2CFE">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8157E4">
        <w:rPr>
          <w:rFonts w:ascii="Palatino Linotype" w:eastAsia="Palatino Linotype" w:hAnsi="Palatino Linotype" w:cs="Palatino Linotype"/>
          <w:i/>
        </w:rPr>
        <w:t>II. La clasificación de la información;”</w:t>
      </w:r>
    </w:p>
    <w:p w14:paraId="1BE7BF4A" w14:textId="77777777" w:rsidR="00230A6E" w:rsidRPr="008157E4" w:rsidRDefault="00230A6E">
      <w:pPr>
        <w:spacing w:line="360" w:lineRule="auto"/>
        <w:jc w:val="both"/>
        <w:rPr>
          <w:rFonts w:ascii="Palatino Linotype" w:eastAsia="Palatino Linotype" w:hAnsi="Palatino Linotype" w:cs="Palatino Linotype"/>
          <w:b/>
          <w:sz w:val="24"/>
          <w:szCs w:val="24"/>
        </w:rPr>
      </w:pPr>
    </w:p>
    <w:p w14:paraId="24A232D5" w14:textId="77777777" w:rsidR="00230A6E" w:rsidRPr="008157E4" w:rsidRDefault="006E2CFE">
      <w:pPr>
        <w:spacing w:after="0" w:line="360" w:lineRule="auto"/>
        <w:ind w:right="-234"/>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TERCERO. MATERIA DE LA REVISIÓN. </w:t>
      </w:r>
      <w:r w:rsidRPr="008157E4">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sidRPr="008157E4">
        <w:rPr>
          <w:rFonts w:ascii="Palatino Linotype" w:eastAsia="Palatino Linotype" w:hAnsi="Palatino Linotype" w:cs="Palatino Linotype"/>
          <w:sz w:val="24"/>
          <w:szCs w:val="24"/>
        </w:rPr>
        <w:lastRenderedPageBreak/>
        <w:t xml:space="preserve">que este Organismo Garante de Transparencia y Acceso a la Información se pronunciará será: verificar si la respuesta e informe justificado otorgado por 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es adecuada y suficiente para satisfacer el derecho de acceso a la información pública de la parte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o en su defecto, en caso de ser procedente, ordenar la entrega de información oportuna.</w:t>
      </w:r>
    </w:p>
    <w:p w14:paraId="7D84CAA6"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A5F4820"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CUARTO. ESTUDIO Y RESOLUCIÓN DEL ASUNTO.  </w:t>
      </w:r>
      <w:r w:rsidRPr="008157E4">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45EDD59"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65E847D" w14:textId="77777777" w:rsidR="00230A6E" w:rsidRPr="008157E4" w:rsidRDefault="006E2CFE">
      <w:pPr>
        <w:tabs>
          <w:tab w:val="left" w:pos="709"/>
        </w:tabs>
        <w:spacing w:line="276" w:lineRule="auto"/>
        <w:ind w:left="851" w:right="850"/>
        <w:jc w:val="both"/>
        <w:rPr>
          <w:rFonts w:ascii="Palatino Linotype" w:eastAsia="Palatino Linotype" w:hAnsi="Palatino Linotype" w:cs="Palatino Linotype"/>
          <w:i/>
        </w:rPr>
      </w:pPr>
      <w:r w:rsidRPr="008157E4">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8157E4">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30D6B22" w14:textId="77777777" w:rsidR="00230A6E" w:rsidRPr="008157E4" w:rsidRDefault="006E2CFE">
      <w:pPr>
        <w:tabs>
          <w:tab w:val="left" w:pos="709"/>
        </w:tabs>
        <w:spacing w:line="276" w:lineRule="auto"/>
        <w:ind w:left="851" w:right="850"/>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04D3A1EA" w14:textId="77777777" w:rsidR="00230A6E" w:rsidRPr="008157E4" w:rsidRDefault="006E2CFE">
      <w:pPr>
        <w:tabs>
          <w:tab w:val="left" w:pos="709"/>
        </w:tabs>
        <w:spacing w:line="276" w:lineRule="auto"/>
        <w:ind w:left="851" w:right="850"/>
        <w:jc w:val="both"/>
        <w:rPr>
          <w:rFonts w:ascii="Palatino Linotype" w:eastAsia="Palatino Linotype" w:hAnsi="Palatino Linotype" w:cs="Palatino Linotype"/>
          <w:i/>
        </w:rPr>
      </w:pPr>
      <w:r w:rsidRPr="008157E4">
        <w:rPr>
          <w:rFonts w:ascii="Palatino Linotype" w:eastAsia="Palatino Linotype" w:hAnsi="Palatino Linotype" w:cs="Palatino Linotype"/>
          <w:b/>
          <w:i/>
          <w:u w:val="single"/>
        </w:rPr>
        <w:t xml:space="preserve">Todas las autoridades, en el ámbito de sus competencias, tienen la obligación de promover, respetar, proteger y garantizar los derechos </w:t>
      </w:r>
      <w:r w:rsidRPr="008157E4">
        <w:rPr>
          <w:rFonts w:ascii="Palatino Linotype" w:eastAsia="Palatino Linotype" w:hAnsi="Palatino Linotype" w:cs="Palatino Linotype"/>
          <w:b/>
          <w:i/>
          <w:u w:val="single"/>
        </w:rPr>
        <w:lastRenderedPageBreak/>
        <w:t>humanos de conformidad con los principios de universalidad, interdependencia, indivisibilidad y progresividad.</w:t>
      </w:r>
      <w:r w:rsidRPr="008157E4">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45F74814" w14:textId="77777777" w:rsidR="00230A6E" w:rsidRPr="008157E4" w:rsidRDefault="006E2CFE">
      <w:pPr>
        <w:tabs>
          <w:tab w:val="left" w:pos="709"/>
        </w:tabs>
        <w:ind w:left="851" w:right="850"/>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3A94F857" w14:textId="77777777" w:rsidR="00230A6E" w:rsidRPr="008157E4" w:rsidRDefault="006E2CFE">
      <w:pPr>
        <w:ind w:left="851" w:right="901"/>
        <w:jc w:val="both"/>
        <w:rPr>
          <w:rFonts w:ascii="Palatino Linotype" w:eastAsia="Palatino Linotype" w:hAnsi="Palatino Linotype" w:cs="Palatino Linotype"/>
          <w:i/>
        </w:rPr>
      </w:pPr>
      <w:r w:rsidRPr="008157E4">
        <w:rPr>
          <w:rFonts w:ascii="Palatino Linotype" w:eastAsia="Palatino Linotype" w:hAnsi="Palatino Linotype" w:cs="Palatino Linotype"/>
          <w:b/>
          <w:i/>
        </w:rPr>
        <w:t>“Artículo 6o.</w:t>
      </w:r>
    </w:p>
    <w:p w14:paraId="0007E99E" w14:textId="77777777" w:rsidR="00230A6E" w:rsidRPr="008157E4" w:rsidRDefault="006E2CFE">
      <w:pPr>
        <w:ind w:left="851" w:right="901"/>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4A99F4DD" w14:textId="77777777" w:rsidR="00230A6E" w:rsidRPr="008157E4" w:rsidRDefault="006E2CFE">
      <w:pPr>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A. Para el ejercicio del derecho de acceso a la información, la Federación y </w:t>
      </w:r>
      <w:r w:rsidRPr="008157E4">
        <w:rPr>
          <w:rFonts w:ascii="Palatino Linotype" w:eastAsia="Palatino Linotype" w:hAnsi="Palatino Linotype" w:cs="Palatino Linotype"/>
          <w:b/>
          <w:i/>
          <w:u w:val="single"/>
        </w:rPr>
        <w:t>las entidades federativas</w:t>
      </w:r>
      <w:r w:rsidRPr="008157E4">
        <w:rPr>
          <w:rFonts w:ascii="Palatino Linotype" w:eastAsia="Palatino Linotype" w:hAnsi="Palatino Linotype" w:cs="Palatino Linotype"/>
          <w:b/>
          <w:i/>
        </w:rPr>
        <w:t>,</w:t>
      </w:r>
      <w:r w:rsidRPr="008157E4">
        <w:rPr>
          <w:rFonts w:ascii="Palatino Linotype" w:eastAsia="Palatino Linotype" w:hAnsi="Palatino Linotype" w:cs="Palatino Linotype"/>
          <w:i/>
        </w:rPr>
        <w:t xml:space="preserve"> en el ámbito de sus respectivas competencias, se regirán por los siguientes principios y bases:</w:t>
      </w:r>
    </w:p>
    <w:p w14:paraId="0F53B169" w14:textId="77777777" w:rsidR="00230A6E" w:rsidRPr="008157E4" w:rsidRDefault="006E2CFE">
      <w:pPr>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 </w:t>
      </w:r>
    </w:p>
    <w:p w14:paraId="18C9B235"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I. </w:t>
      </w:r>
      <w:r w:rsidRPr="008157E4">
        <w:rPr>
          <w:rFonts w:ascii="Palatino Linotype" w:eastAsia="Palatino Linotype" w:hAnsi="Palatino Linotype" w:cs="Palatino Linotype"/>
          <w:b/>
          <w:i/>
          <w:u w:val="single"/>
        </w:rPr>
        <w:t>Toda la información en posesión de cualquier autoridad, entidad, órgano y organismo de los Poderes</w:t>
      </w:r>
      <w:r w:rsidRPr="008157E4">
        <w:rPr>
          <w:rFonts w:ascii="Palatino Linotype" w:eastAsia="Palatino Linotype" w:hAnsi="Palatino Linotype" w:cs="Palatino Linotype"/>
          <w:i/>
        </w:rPr>
        <w:t xml:space="preserve"> Ejecutivo, Legislativo </w:t>
      </w:r>
      <w:r w:rsidRPr="008157E4">
        <w:rPr>
          <w:rFonts w:ascii="Palatino Linotype" w:eastAsia="Palatino Linotype" w:hAnsi="Palatino Linotype" w:cs="Palatino Linotype"/>
          <w:b/>
          <w:i/>
          <w:u w:val="single"/>
        </w:rPr>
        <w:t>y Judicial</w:t>
      </w:r>
      <w:r w:rsidRPr="008157E4">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157E4">
        <w:rPr>
          <w:rFonts w:ascii="Palatino Linotype" w:eastAsia="Palatino Linotype" w:hAnsi="Palatino Linotype" w:cs="Palatino Linotype"/>
          <w:b/>
          <w:i/>
        </w:rPr>
        <w:t>es pública y sólo podrá ser reservada temporalmente por razones de interés público y seguridad nacional,</w:t>
      </w:r>
      <w:r w:rsidRPr="008157E4">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C6636A" w14:textId="77777777" w:rsidR="00230A6E" w:rsidRPr="008157E4" w:rsidRDefault="006E2CFE">
      <w:pPr>
        <w:spacing w:line="276" w:lineRule="auto"/>
        <w:ind w:left="851" w:right="851"/>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31E089EA"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 </w:t>
      </w:r>
    </w:p>
    <w:p w14:paraId="0E179686"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III. </w:t>
      </w:r>
      <w:r w:rsidRPr="008157E4">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8157E4">
        <w:rPr>
          <w:rFonts w:ascii="Palatino Linotype" w:eastAsia="Palatino Linotype" w:hAnsi="Palatino Linotype" w:cs="Palatino Linotype"/>
          <w:i/>
        </w:rPr>
        <w:t xml:space="preserve"> a sus datos personales o a la rectificación de éstos.</w:t>
      </w:r>
    </w:p>
    <w:p w14:paraId="39F65537"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 </w:t>
      </w:r>
    </w:p>
    <w:p w14:paraId="3A300436"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lastRenderedPageBreak/>
        <w:t xml:space="preserve">IV. </w:t>
      </w:r>
      <w:r w:rsidRPr="008157E4">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F1E4E4D" w14:textId="77777777" w:rsidR="00230A6E" w:rsidRPr="008157E4" w:rsidRDefault="00230A6E">
      <w:pPr>
        <w:spacing w:line="276" w:lineRule="auto"/>
        <w:ind w:left="851" w:right="851"/>
        <w:jc w:val="both"/>
        <w:rPr>
          <w:rFonts w:ascii="Palatino Linotype" w:eastAsia="Palatino Linotype" w:hAnsi="Palatino Linotype" w:cs="Palatino Linotype"/>
          <w:i/>
        </w:rPr>
      </w:pPr>
    </w:p>
    <w:p w14:paraId="28AED324"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V. </w:t>
      </w:r>
      <w:r w:rsidRPr="008157E4">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5E6C685" w14:textId="77777777" w:rsidR="00230A6E" w:rsidRPr="008157E4" w:rsidRDefault="006E2CFE">
      <w:pPr>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 </w:t>
      </w:r>
    </w:p>
    <w:p w14:paraId="115AD03C" w14:textId="77777777" w:rsidR="00230A6E" w:rsidRPr="008157E4" w:rsidRDefault="006E2CFE">
      <w:pPr>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VI. </w:t>
      </w:r>
      <w:r w:rsidRPr="008157E4">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63F34132" w14:textId="77777777" w:rsidR="00230A6E" w:rsidRPr="008157E4" w:rsidRDefault="006E2CFE">
      <w:pPr>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 </w:t>
      </w:r>
    </w:p>
    <w:p w14:paraId="06190C3C" w14:textId="77777777" w:rsidR="00230A6E" w:rsidRPr="008157E4" w:rsidRDefault="006E2CFE">
      <w:pPr>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VII. </w:t>
      </w:r>
      <w:r w:rsidRPr="008157E4">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09F710F3" w14:textId="77777777" w:rsidR="00230A6E" w:rsidRPr="008157E4" w:rsidRDefault="006E2CFE">
      <w:pPr>
        <w:tabs>
          <w:tab w:val="left" w:pos="709"/>
        </w:tabs>
        <w:spacing w:before="160"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6651E1C3"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E4EEB7A" w14:textId="77777777" w:rsidR="00230A6E" w:rsidRPr="008157E4" w:rsidRDefault="006E2CFE">
      <w:pPr>
        <w:spacing w:after="8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primer lugar, es conveniente analizar si la respuesta del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cumple con los requisitos y procedimientos del derecho de acceso a la información </w:t>
      </w:r>
      <w:r w:rsidRPr="008157E4">
        <w:rPr>
          <w:rFonts w:ascii="Palatino Linotype" w:eastAsia="Palatino Linotype" w:hAnsi="Palatino Linotype" w:cs="Palatino Linotype"/>
          <w:sz w:val="24"/>
          <w:szCs w:val="24"/>
        </w:rPr>
        <w:lastRenderedPageBreak/>
        <w:t>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64AC87E7" w14:textId="77777777" w:rsidR="00230A6E" w:rsidRPr="008157E4" w:rsidRDefault="006E2CFE">
      <w:pPr>
        <w:spacing w:before="80" w:line="276" w:lineRule="auto"/>
        <w:ind w:left="709" w:right="760"/>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r w:rsidRPr="008157E4">
        <w:rPr>
          <w:rFonts w:ascii="Palatino Linotype" w:eastAsia="Palatino Linotype" w:hAnsi="Palatino Linotype" w:cs="Palatino Linotype"/>
          <w:b/>
          <w:i/>
        </w:rPr>
        <w:t>Artículo 4.</w:t>
      </w:r>
      <w:r w:rsidRPr="008157E4">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9E68800" w14:textId="77777777" w:rsidR="00230A6E" w:rsidRPr="008157E4" w:rsidRDefault="006E2CFE">
      <w:pPr>
        <w:spacing w:line="276" w:lineRule="auto"/>
        <w:ind w:left="709" w:right="760"/>
        <w:jc w:val="both"/>
        <w:rPr>
          <w:rFonts w:ascii="Palatino Linotype" w:eastAsia="Palatino Linotype" w:hAnsi="Palatino Linotype" w:cs="Palatino Linotype"/>
          <w:i/>
        </w:rPr>
      </w:pPr>
      <w:r w:rsidRPr="008157E4">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157E4">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BFC5519" w14:textId="77777777" w:rsidR="00230A6E" w:rsidRPr="008157E4" w:rsidRDefault="006E2CFE">
      <w:pPr>
        <w:spacing w:line="276" w:lineRule="auto"/>
        <w:ind w:left="709" w:right="760"/>
        <w:jc w:val="both"/>
        <w:rPr>
          <w:rFonts w:ascii="Palatino Linotype" w:eastAsia="Palatino Linotype" w:hAnsi="Palatino Linotype" w:cs="Palatino Linotype"/>
          <w:i/>
        </w:rPr>
      </w:pPr>
      <w:r w:rsidRPr="008157E4">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8157E4">
        <w:rPr>
          <w:rFonts w:ascii="Palatino Linotype" w:eastAsia="Palatino Linotype" w:hAnsi="Palatino Linotype" w:cs="Palatino Linotype"/>
          <w:i/>
        </w:rPr>
        <w:t>.”(</w:t>
      </w:r>
      <w:proofErr w:type="gramEnd"/>
      <w:r w:rsidRPr="008157E4">
        <w:rPr>
          <w:rFonts w:ascii="Palatino Linotype" w:eastAsia="Palatino Linotype" w:hAnsi="Palatino Linotype" w:cs="Palatino Linotype"/>
          <w:i/>
        </w:rPr>
        <w:t>Sic)</w:t>
      </w:r>
    </w:p>
    <w:p w14:paraId="0A59658B" w14:textId="77777777" w:rsidR="00230A6E" w:rsidRPr="008157E4" w:rsidRDefault="00230A6E">
      <w:pPr>
        <w:ind w:left="709" w:right="760"/>
        <w:jc w:val="both"/>
        <w:rPr>
          <w:rFonts w:ascii="Palatino Linotype" w:eastAsia="Palatino Linotype" w:hAnsi="Palatino Linotype" w:cs="Palatino Linotype"/>
          <w:i/>
        </w:rPr>
      </w:pPr>
    </w:p>
    <w:p w14:paraId="22994796" w14:textId="77777777" w:rsidR="00230A6E" w:rsidRPr="008157E4" w:rsidRDefault="006E2CFE">
      <w:pPr>
        <w:spacing w:before="240" w:after="24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w:t>
      </w:r>
      <w:r w:rsidRPr="008157E4">
        <w:rPr>
          <w:rFonts w:ascii="Palatino Linotype" w:eastAsia="Palatino Linotype" w:hAnsi="Palatino Linotype" w:cs="Palatino Linotype"/>
          <w:sz w:val="24"/>
          <w:szCs w:val="24"/>
        </w:rPr>
        <w:lastRenderedPageBreak/>
        <w:t>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D5C00E8" w14:textId="77777777" w:rsidR="00230A6E" w:rsidRPr="008157E4" w:rsidRDefault="006E2CFE">
      <w:pPr>
        <w:spacing w:line="276" w:lineRule="auto"/>
        <w:ind w:left="567" w:right="758"/>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r w:rsidRPr="008157E4">
        <w:rPr>
          <w:rFonts w:ascii="Palatino Linotype" w:eastAsia="Palatino Linotype" w:hAnsi="Palatino Linotype" w:cs="Palatino Linotype"/>
          <w:b/>
          <w:i/>
        </w:rPr>
        <w:t>Artículo12.-</w:t>
      </w:r>
      <w:r w:rsidRPr="008157E4">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D9BC60E" w14:textId="77777777" w:rsidR="00230A6E" w:rsidRPr="008157E4" w:rsidRDefault="006E2CFE">
      <w:pPr>
        <w:spacing w:line="276" w:lineRule="auto"/>
        <w:ind w:left="567" w:right="758"/>
        <w:jc w:val="both"/>
        <w:rPr>
          <w:rFonts w:ascii="Palatino Linotype" w:eastAsia="Palatino Linotype" w:hAnsi="Palatino Linotype" w:cs="Palatino Linotype"/>
          <w:i/>
        </w:rPr>
      </w:pPr>
      <w:r w:rsidRPr="008157E4">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157E4">
        <w:rPr>
          <w:rFonts w:ascii="Palatino Linotype" w:eastAsia="Palatino Linotype" w:hAnsi="Palatino Linotype" w:cs="Palatino Linotype"/>
          <w:i/>
        </w:rPr>
        <w:t xml:space="preserve">. </w:t>
      </w:r>
      <w:r w:rsidRPr="008157E4">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C09F80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57C0E04"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332662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F85B092"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8157E4">
        <w:rPr>
          <w:rFonts w:ascii="Palatino Linotype" w:eastAsia="Palatino Linotype" w:hAnsi="Palatino Linotype" w:cs="Palatino Linotype"/>
          <w:sz w:val="24"/>
          <w:szCs w:val="24"/>
        </w:rPr>
        <w:lastRenderedPageBreak/>
        <w:t>el servidor público habilitado de cada Sujeto Obligado; como así se establece en la Ley de Transparencia y Acceso a la Información Pública del Estado de México y Municipios.</w:t>
      </w:r>
    </w:p>
    <w:p w14:paraId="06D3B90C" w14:textId="77777777" w:rsidR="00230A6E" w:rsidRPr="008157E4" w:rsidRDefault="00230A6E">
      <w:pPr>
        <w:spacing w:after="0" w:line="360" w:lineRule="auto"/>
        <w:ind w:right="49"/>
        <w:jc w:val="both"/>
        <w:rPr>
          <w:rFonts w:ascii="Palatino Linotype" w:eastAsia="Palatino Linotype" w:hAnsi="Palatino Linotype" w:cs="Palatino Linotype"/>
          <w:sz w:val="24"/>
          <w:szCs w:val="24"/>
        </w:rPr>
      </w:pPr>
    </w:p>
    <w:p w14:paraId="036EA9F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otra parte, conviene mencionar que la Ley de Transparencia vigente en el Estado de México refiere: </w:t>
      </w:r>
    </w:p>
    <w:p w14:paraId="477B7A2B"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“Artículo 18.</w:t>
      </w:r>
      <w:r w:rsidRPr="008157E4">
        <w:rPr>
          <w:rFonts w:ascii="Palatino Linotype" w:eastAsia="Palatino Linotype" w:hAnsi="Palatino Linotype" w:cs="Palatino Linotype"/>
          <w:i/>
        </w:rPr>
        <w:t xml:space="preserve"> </w:t>
      </w:r>
      <w:r w:rsidRPr="008157E4">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8157E4">
        <w:rPr>
          <w:rFonts w:ascii="Palatino Linotype" w:eastAsia="Palatino Linotype" w:hAnsi="Palatino Linotype" w:cs="Palatino Linotype"/>
          <w:i/>
        </w:rPr>
        <w:t xml:space="preserve"> y reutilización de la información que generen.</w:t>
      </w:r>
    </w:p>
    <w:p w14:paraId="670A8CC0" w14:textId="77777777" w:rsidR="00230A6E" w:rsidRPr="008157E4" w:rsidRDefault="00230A6E">
      <w:pPr>
        <w:spacing w:line="276" w:lineRule="auto"/>
        <w:ind w:left="851" w:right="851"/>
        <w:jc w:val="both"/>
        <w:rPr>
          <w:rFonts w:ascii="Palatino Linotype" w:eastAsia="Palatino Linotype" w:hAnsi="Palatino Linotype" w:cs="Palatino Linotype"/>
          <w:b/>
          <w:i/>
        </w:rPr>
      </w:pPr>
    </w:p>
    <w:p w14:paraId="1AC68662"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Artículo 19. </w:t>
      </w:r>
      <w:r w:rsidRPr="008157E4">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8157E4">
        <w:rPr>
          <w:rFonts w:ascii="Palatino Linotype" w:eastAsia="Palatino Linotype" w:hAnsi="Palatino Linotype" w:cs="Palatino Linotype"/>
          <w:i/>
        </w:rPr>
        <w:t>.</w:t>
      </w:r>
    </w:p>
    <w:p w14:paraId="4D1E0EE7" w14:textId="77777777" w:rsidR="00230A6E" w:rsidRPr="008157E4" w:rsidRDefault="00230A6E">
      <w:pPr>
        <w:spacing w:line="276" w:lineRule="auto"/>
        <w:ind w:left="851" w:right="851"/>
        <w:jc w:val="both"/>
        <w:rPr>
          <w:rFonts w:ascii="Palatino Linotype" w:eastAsia="Palatino Linotype" w:hAnsi="Palatino Linotype" w:cs="Palatino Linotype"/>
          <w:i/>
        </w:rPr>
      </w:pPr>
    </w:p>
    <w:p w14:paraId="152EA1B1"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38FDBAC0" w14:textId="77777777" w:rsidR="00230A6E" w:rsidRPr="008157E4" w:rsidRDefault="006E2CFE">
      <w:pPr>
        <w:spacing w:line="276" w:lineRule="auto"/>
        <w:ind w:left="851" w:right="851"/>
        <w:jc w:val="both"/>
        <w:rPr>
          <w:rFonts w:ascii="Palatino Linotype" w:eastAsia="Palatino Linotype" w:hAnsi="Palatino Linotype" w:cs="Palatino Linotype"/>
          <w:i/>
        </w:rPr>
      </w:pPr>
      <w:r w:rsidRPr="008157E4">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8F21B1B"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w:t>
      </w:r>
      <w:r w:rsidRPr="008157E4">
        <w:rPr>
          <w:rFonts w:ascii="Palatino Linotype" w:eastAsia="Palatino Linotype" w:hAnsi="Palatino Linotype" w:cs="Palatino Linotype"/>
          <w:sz w:val="24"/>
          <w:szCs w:val="24"/>
        </w:rPr>
        <w:lastRenderedPageBreak/>
        <w:t>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7B06E652"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52BEE06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FB2EE88"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r w:rsidRPr="008157E4">
        <w:rPr>
          <w:rFonts w:ascii="Palatino Linotype" w:eastAsia="Palatino Linotype" w:hAnsi="Palatino Linotype" w:cs="Palatino Linotype"/>
          <w:b/>
          <w:i/>
        </w:rPr>
        <w:t xml:space="preserve">Artículo 3. </w:t>
      </w:r>
      <w:r w:rsidRPr="008157E4">
        <w:rPr>
          <w:rFonts w:ascii="Palatino Linotype" w:eastAsia="Palatino Linotype" w:hAnsi="Palatino Linotype" w:cs="Palatino Linotype"/>
          <w:i/>
        </w:rPr>
        <w:t>Para los efectos de la presente Ley se entenderá por:</w:t>
      </w:r>
    </w:p>
    <w:p w14:paraId="0E75DCEF"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5AA9644F"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b/>
          <w:i/>
        </w:rPr>
        <w:t>XI. Documento:</w:t>
      </w:r>
      <w:r w:rsidRPr="008157E4">
        <w:rPr>
          <w:rFonts w:ascii="Palatino Linotype" w:eastAsia="Palatino Linotype" w:hAnsi="Palatino Linotype" w:cs="Palatino Linotype"/>
          <w:i/>
        </w:rPr>
        <w:t xml:space="preserve"> Los expedientes, reportes, estudios, actas</w:t>
      </w:r>
      <w:r w:rsidRPr="008157E4">
        <w:rPr>
          <w:rFonts w:ascii="Palatino Linotype" w:eastAsia="Palatino Linotype" w:hAnsi="Palatino Linotype" w:cs="Palatino Linotype"/>
          <w:b/>
          <w:i/>
        </w:rPr>
        <w:t>,</w:t>
      </w:r>
      <w:r w:rsidRPr="008157E4">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F7A2057" w14:textId="77777777" w:rsidR="00230A6E" w:rsidRPr="008157E4" w:rsidRDefault="006E2CFE">
      <w:pPr>
        <w:spacing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B3763D2" w14:textId="77777777" w:rsidR="00230A6E" w:rsidRPr="008157E4" w:rsidRDefault="006E2CFE">
      <w:pPr>
        <w:ind w:left="851" w:right="899"/>
        <w:jc w:val="both"/>
        <w:rPr>
          <w:rFonts w:ascii="Palatino Linotype" w:eastAsia="Palatino Linotype" w:hAnsi="Palatino Linotype" w:cs="Palatino Linotype"/>
          <w:b/>
          <w:i/>
        </w:rPr>
      </w:pPr>
      <w:r w:rsidRPr="008157E4">
        <w:rPr>
          <w:rFonts w:ascii="Palatino Linotype" w:eastAsia="Palatino Linotype" w:hAnsi="Palatino Linotype" w:cs="Palatino Linotype"/>
          <w:b/>
        </w:rPr>
        <w:t>“</w:t>
      </w:r>
      <w:r w:rsidRPr="008157E4">
        <w:rPr>
          <w:rFonts w:ascii="Palatino Linotype" w:eastAsia="Palatino Linotype" w:hAnsi="Palatino Linotype" w:cs="Palatino Linotype"/>
          <w:b/>
          <w:i/>
        </w:rPr>
        <w:t>CRITERIO 0002-11</w:t>
      </w:r>
    </w:p>
    <w:p w14:paraId="16FD74AA"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8157E4">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4715D86"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En </w:t>
      </w:r>
      <w:proofErr w:type="gramStart"/>
      <w:r w:rsidRPr="008157E4">
        <w:rPr>
          <w:rFonts w:ascii="Palatino Linotype" w:eastAsia="Palatino Linotype" w:hAnsi="Palatino Linotype" w:cs="Palatino Linotype"/>
          <w:i/>
        </w:rPr>
        <w:t>consecuencia</w:t>
      </w:r>
      <w:proofErr w:type="gramEnd"/>
      <w:r w:rsidRPr="008157E4">
        <w:rPr>
          <w:rFonts w:ascii="Palatino Linotype" w:eastAsia="Palatino Linotype" w:hAnsi="Palatino Linotype" w:cs="Palatino Linotype"/>
          <w:i/>
        </w:rPr>
        <w:t xml:space="preserve"> el acceso a la información se refiere a que se cumplan cualquiera de los siguientes tres supuestos:</w:t>
      </w:r>
    </w:p>
    <w:p w14:paraId="5C1DA742"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1) Que se trate de información registrada en cualquier soporte documental, </w:t>
      </w:r>
      <w:proofErr w:type="gramStart"/>
      <w:r w:rsidRPr="008157E4">
        <w:rPr>
          <w:rFonts w:ascii="Palatino Linotype" w:eastAsia="Palatino Linotype" w:hAnsi="Palatino Linotype" w:cs="Palatino Linotype"/>
          <w:i/>
        </w:rPr>
        <w:t>que</w:t>
      </w:r>
      <w:proofErr w:type="gramEnd"/>
      <w:r w:rsidRPr="008157E4">
        <w:rPr>
          <w:rFonts w:ascii="Palatino Linotype" w:eastAsia="Palatino Linotype" w:hAnsi="Palatino Linotype" w:cs="Palatino Linotype"/>
          <w:i/>
        </w:rPr>
        <w:t xml:space="preserve"> en ejercicio de las atribuciones conferidas, sea generada por los Sujetos Obligados;</w:t>
      </w:r>
    </w:p>
    <w:p w14:paraId="78A6770C"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2) Que se trate de información registrada en cualquier soporte documental, </w:t>
      </w:r>
      <w:proofErr w:type="gramStart"/>
      <w:r w:rsidRPr="008157E4">
        <w:rPr>
          <w:rFonts w:ascii="Palatino Linotype" w:eastAsia="Palatino Linotype" w:hAnsi="Palatino Linotype" w:cs="Palatino Linotype"/>
          <w:i/>
        </w:rPr>
        <w:t>que</w:t>
      </w:r>
      <w:proofErr w:type="gramEnd"/>
      <w:r w:rsidRPr="008157E4">
        <w:rPr>
          <w:rFonts w:ascii="Palatino Linotype" w:eastAsia="Palatino Linotype" w:hAnsi="Palatino Linotype" w:cs="Palatino Linotype"/>
          <w:i/>
        </w:rPr>
        <w:t xml:space="preserve"> en ejercicio de las atribuciones conferidas, sea administrada por los Sujetos Obligados, y</w:t>
      </w:r>
    </w:p>
    <w:p w14:paraId="25321307" w14:textId="77777777" w:rsidR="00230A6E" w:rsidRPr="008157E4" w:rsidRDefault="006E2CFE">
      <w:pPr>
        <w:spacing w:line="276" w:lineRule="auto"/>
        <w:ind w:left="851" w:right="899"/>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3) Que se trate de información registrada en cualquier soporte documental, </w:t>
      </w:r>
      <w:proofErr w:type="gramStart"/>
      <w:r w:rsidRPr="008157E4">
        <w:rPr>
          <w:rFonts w:ascii="Palatino Linotype" w:eastAsia="Palatino Linotype" w:hAnsi="Palatino Linotype" w:cs="Palatino Linotype"/>
          <w:i/>
        </w:rPr>
        <w:t>que</w:t>
      </w:r>
      <w:proofErr w:type="gramEnd"/>
      <w:r w:rsidRPr="008157E4">
        <w:rPr>
          <w:rFonts w:ascii="Palatino Linotype" w:eastAsia="Palatino Linotype" w:hAnsi="Palatino Linotype" w:cs="Palatino Linotype"/>
          <w:i/>
        </w:rPr>
        <w:t xml:space="preserve"> en ejercicio de las atribuciones conferidas, se encuentre en posesión de los Sujetos Obligados.” </w:t>
      </w:r>
    </w:p>
    <w:p w14:paraId="0D10BD33" w14:textId="77777777" w:rsidR="00230A6E" w:rsidRPr="008157E4" w:rsidRDefault="006E2CFE">
      <w:pPr>
        <w:spacing w:before="160"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ahí que 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w:t>
      </w:r>
      <w:r w:rsidRPr="008157E4">
        <w:rPr>
          <w:rFonts w:ascii="Palatino Linotype" w:eastAsia="Palatino Linotype" w:hAnsi="Palatino Linotype" w:cs="Palatino Linotype"/>
          <w:sz w:val="24"/>
          <w:szCs w:val="24"/>
        </w:rPr>
        <w:lastRenderedPageBreak/>
        <w:t>se trata de información relativa a obligaciones de transparencia, la cual se relaciona con aquella que se genere de acuerdo con sus facultades, atribuciones y obligaciones señaladas por la Ley en la materia</w:t>
      </w:r>
      <w:r w:rsidRPr="008157E4">
        <w:rPr>
          <w:rFonts w:ascii="Palatino Linotype" w:eastAsia="Palatino Linotype" w:hAnsi="Palatino Linotype" w:cs="Palatino Linotype"/>
          <w:sz w:val="24"/>
          <w:szCs w:val="24"/>
          <w:vertAlign w:val="superscript"/>
        </w:rPr>
        <w:footnoteReference w:id="1"/>
      </w:r>
      <w:r w:rsidRPr="008157E4">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8157E4">
        <w:rPr>
          <w:rFonts w:ascii="Palatino Linotype" w:eastAsia="Palatino Linotype" w:hAnsi="Palatino Linotype" w:cs="Palatino Linotype"/>
          <w:sz w:val="24"/>
          <w:szCs w:val="24"/>
          <w:vertAlign w:val="superscript"/>
        </w:rPr>
        <w:footnoteReference w:id="2"/>
      </w:r>
      <w:r w:rsidRPr="008157E4">
        <w:rPr>
          <w:rFonts w:ascii="Palatino Linotype" w:eastAsia="Palatino Linotype" w:hAnsi="Palatino Linotype" w:cs="Palatino Linotype"/>
          <w:sz w:val="24"/>
          <w:szCs w:val="24"/>
        </w:rPr>
        <w:t>, como pudiera tratarse de aquella relacionada con las obligaciones de trasparencia señaladas en los artículos 92 y 100 de la Ley de la Materia.</w:t>
      </w:r>
    </w:p>
    <w:p w14:paraId="5637163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1A5BD070" w14:textId="77777777" w:rsidR="00230A6E" w:rsidRPr="008157E4" w:rsidRDefault="006E2CFE">
      <w:pPr>
        <w:spacing w:after="280" w:line="360" w:lineRule="auto"/>
        <w:jc w:val="both"/>
        <w:rPr>
          <w:rFonts w:ascii="Palatino Linotype" w:eastAsia="Palatino Linotype" w:hAnsi="Palatino Linotype" w:cs="Palatino Linotype"/>
          <w:sz w:val="28"/>
          <w:szCs w:val="28"/>
        </w:rPr>
      </w:pPr>
      <w:r w:rsidRPr="008157E4">
        <w:rPr>
          <w:rFonts w:ascii="Palatino Linotype" w:eastAsia="Palatino Linotype" w:hAnsi="Palatino Linotype" w:cs="Palatino Linotype"/>
          <w:sz w:val="24"/>
          <w:szCs w:val="24"/>
        </w:rPr>
        <w:t xml:space="preserve">En este sentido, cabe reiterar que el particular solicitó al </w:t>
      </w:r>
      <w:r w:rsidRPr="008157E4">
        <w:rPr>
          <w:rFonts w:ascii="Palatino Linotype" w:eastAsia="Palatino Linotype" w:hAnsi="Palatino Linotype" w:cs="Palatino Linotype"/>
          <w:b/>
          <w:sz w:val="24"/>
          <w:szCs w:val="24"/>
        </w:rPr>
        <w:t xml:space="preserve">SUJETO OBLIGADO, </w:t>
      </w:r>
      <w:r w:rsidRPr="008157E4">
        <w:rPr>
          <w:rFonts w:ascii="Palatino Linotype" w:eastAsia="Palatino Linotype" w:hAnsi="Palatino Linotype" w:cs="Palatino Linotype"/>
          <w:sz w:val="24"/>
          <w:szCs w:val="24"/>
        </w:rPr>
        <w:t>lo siguiente:</w:t>
      </w:r>
    </w:p>
    <w:p w14:paraId="4F5822B7" w14:textId="77777777" w:rsidR="00230A6E" w:rsidRPr="008157E4" w:rsidRDefault="006E2CFE">
      <w:pPr>
        <w:numPr>
          <w:ilvl w:val="0"/>
          <w:numId w:val="11"/>
        </w:numPr>
        <w:pBdr>
          <w:top w:val="nil"/>
          <w:left w:val="nil"/>
          <w:bottom w:val="nil"/>
          <w:right w:val="nil"/>
          <w:between w:val="nil"/>
        </w:pBdr>
        <w:spacing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copia de las resoluciones emitidas en el año 2022 por la contraloría interna en los procedimientos de servidores públicos.</w:t>
      </w:r>
    </w:p>
    <w:p w14:paraId="0338B202"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respuesta, </w:t>
      </w:r>
      <w:r w:rsidRPr="008157E4">
        <w:rPr>
          <w:rFonts w:ascii="Palatino Linotype" w:eastAsia="Palatino Linotype" w:hAnsi="Palatino Linotype" w:cs="Palatino Linotype"/>
          <w:b/>
          <w:sz w:val="24"/>
          <w:szCs w:val="24"/>
        </w:rPr>
        <w:t>EL SUJETO OBLIGADO</w:t>
      </w:r>
      <w:r w:rsidRPr="008157E4">
        <w:rPr>
          <w:rFonts w:ascii="Palatino Linotype" w:eastAsia="Palatino Linotype" w:hAnsi="Palatino Linotype" w:cs="Palatino Linotype"/>
          <w:sz w:val="24"/>
          <w:szCs w:val="24"/>
        </w:rPr>
        <w:t xml:space="preserve">, por conducto el Contralor Interno Municipal, mediante el cual refiere que </w:t>
      </w:r>
      <w:proofErr w:type="gramStart"/>
      <w:r w:rsidRPr="008157E4">
        <w:rPr>
          <w:rFonts w:ascii="Palatino Linotype" w:eastAsia="Palatino Linotype" w:hAnsi="Palatino Linotype" w:cs="Palatino Linotype"/>
          <w:sz w:val="24"/>
          <w:szCs w:val="24"/>
        </w:rPr>
        <w:t>las copias de las resoluciones emitidas en el año 2022 de los expedientes se clasificó</w:t>
      </w:r>
      <w:proofErr w:type="gramEnd"/>
      <w:r w:rsidRPr="008157E4">
        <w:rPr>
          <w:rFonts w:ascii="Palatino Linotype" w:eastAsia="Palatino Linotype" w:hAnsi="Palatino Linotype" w:cs="Palatino Linotype"/>
          <w:sz w:val="24"/>
          <w:szCs w:val="24"/>
        </w:rPr>
        <w:t xml:space="preserve"> como reservada durante un periodo de dos </w:t>
      </w:r>
      <w:r w:rsidRPr="008157E4">
        <w:rPr>
          <w:rFonts w:ascii="Palatino Linotype" w:eastAsia="Palatino Linotype" w:hAnsi="Palatino Linotype" w:cs="Palatino Linotype"/>
          <w:sz w:val="24"/>
          <w:szCs w:val="24"/>
        </w:rPr>
        <w:lastRenderedPageBreak/>
        <w:t>años, mediante el acta de la Quingentésima Cuadragésima Séptima Sesión Extraordinaria.</w:t>
      </w:r>
    </w:p>
    <w:p w14:paraId="31119CF1"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BBE9576"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Conocida la respuesta por la</w:t>
      </w:r>
      <w:r w:rsidRPr="008157E4">
        <w:rPr>
          <w:rFonts w:ascii="Palatino Linotype" w:eastAsia="Palatino Linotype" w:hAnsi="Palatino Linotype" w:cs="Palatino Linotype"/>
          <w:sz w:val="40"/>
          <w:szCs w:val="40"/>
        </w:rPr>
        <w:t xml:space="preserve"> </w:t>
      </w:r>
      <w:r w:rsidRPr="008157E4">
        <w:rPr>
          <w:rFonts w:ascii="Palatino Linotype" w:eastAsia="Palatino Linotype" w:hAnsi="Palatino Linotype" w:cs="Palatino Linotype"/>
          <w:sz w:val="24"/>
          <w:szCs w:val="24"/>
        </w:rPr>
        <w:t xml:space="preserve">particular, al no estar conforme con los términos de la misma, presentó el recurso de revisión que nos ocupa, mediante el cual señaló como motivo de inconformidad en lo medular que niega la información solicitada. </w:t>
      </w:r>
    </w:p>
    <w:p w14:paraId="2978740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D093307"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Cabe precisar </w:t>
      </w:r>
      <w:proofErr w:type="gramStart"/>
      <w:r w:rsidRPr="008157E4">
        <w:rPr>
          <w:rFonts w:ascii="Palatino Linotype" w:eastAsia="Palatino Linotype" w:hAnsi="Palatino Linotype" w:cs="Palatino Linotype"/>
          <w:sz w:val="24"/>
          <w:szCs w:val="24"/>
        </w:rPr>
        <w:t>que</w:t>
      </w:r>
      <w:proofErr w:type="gramEnd"/>
      <w:r w:rsidRPr="008157E4">
        <w:rPr>
          <w:rFonts w:ascii="Palatino Linotype" w:eastAsia="Palatino Linotype" w:hAnsi="Palatino Linotype" w:cs="Palatino Linotype"/>
          <w:sz w:val="24"/>
          <w:szCs w:val="24"/>
        </w:rPr>
        <w:t xml:space="preserve"> una vez notificado el recurso de revisión al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remitió su informe justificado, en donde, la Titular de la Unidad de Transparencia, mediante el cual describe las constancias que obran en el SAIMEX, solicitando para tal efecto se confirme la respuesta otorgada a la solicitud de información.</w:t>
      </w:r>
    </w:p>
    <w:p w14:paraId="34F74346"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CDCA2F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Aclarado lo anterior, en primera instancia resulta oportuno señalar el significado de resolución, </w:t>
      </w:r>
      <w:proofErr w:type="gramStart"/>
      <w:r w:rsidRPr="008157E4">
        <w:rPr>
          <w:rFonts w:ascii="Palatino Linotype" w:eastAsia="Palatino Linotype" w:hAnsi="Palatino Linotype" w:cs="Palatino Linotype"/>
          <w:sz w:val="24"/>
          <w:szCs w:val="24"/>
        </w:rPr>
        <w:t>que</w:t>
      </w:r>
      <w:proofErr w:type="gramEnd"/>
      <w:r w:rsidRPr="008157E4">
        <w:rPr>
          <w:rFonts w:ascii="Palatino Linotype" w:eastAsia="Palatino Linotype" w:hAnsi="Palatino Linotype" w:cs="Palatino Linotype"/>
          <w:sz w:val="24"/>
          <w:szCs w:val="24"/>
        </w:rPr>
        <w:t xml:space="preserve"> de acuerdo a la Real Academia Española, misma que se puede consultar en la liga electrónica </w:t>
      </w:r>
      <w:hyperlink r:id="rId8">
        <w:r w:rsidRPr="008157E4">
          <w:rPr>
            <w:rFonts w:ascii="Palatino Linotype" w:eastAsia="Palatino Linotype" w:hAnsi="Palatino Linotype" w:cs="Palatino Linotype"/>
            <w:sz w:val="24"/>
            <w:szCs w:val="24"/>
            <w:u w:val="single"/>
          </w:rPr>
          <w:t>https://www.rae.es/drae2001/resoluci%C3%B3n</w:t>
        </w:r>
      </w:hyperlink>
      <w:r w:rsidRPr="008157E4">
        <w:rPr>
          <w:rFonts w:ascii="Palatino Linotype" w:eastAsia="Palatino Linotype" w:hAnsi="Palatino Linotype" w:cs="Palatino Linotype"/>
          <w:sz w:val="24"/>
          <w:szCs w:val="24"/>
        </w:rPr>
        <w:t xml:space="preserve"> es:</w:t>
      </w:r>
    </w:p>
    <w:p w14:paraId="0764524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EB4DC90" w14:textId="77777777" w:rsidR="00230A6E" w:rsidRPr="008157E4" w:rsidRDefault="006E2CFE">
      <w:pPr>
        <w:spacing w:after="0" w:line="360" w:lineRule="auto"/>
        <w:jc w:val="both"/>
        <w:rPr>
          <w:rFonts w:ascii="Palatino Linotype" w:eastAsia="Palatino Linotype" w:hAnsi="Palatino Linotype" w:cs="Palatino Linotype"/>
          <w:b/>
          <w:i/>
          <w:sz w:val="24"/>
          <w:szCs w:val="24"/>
          <w:u w:val="single"/>
        </w:rPr>
      </w:pPr>
      <w:r w:rsidRPr="008157E4">
        <w:rPr>
          <w:rFonts w:ascii="Palatino Linotype" w:eastAsia="Palatino Linotype" w:hAnsi="Palatino Linotype" w:cs="Palatino Linotype"/>
          <w:b/>
          <w:i/>
          <w:sz w:val="24"/>
          <w:szCs w:val="24"/>
          <w:u w:val="single"/>
        </w:rPr>
        <w:t xml:space="preserve"> “Decreto, providencia, auto o fallo de autoridad gubernativa o judicial.”</w:t>
      </w:r>
    </w:p>
    <w:p w14:paraId="6B7E3C54"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4DD4F4F" w14:textId="77777777" w:rsidR="00230A6E" w:rsidRPr="008157E4" w:rsidRDefault="006E2CFE">
      <w:pPr>
        <w:spacing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Ahora bien, resulta necesario, analizar dicho Acuerdo de Reserva de la información antes referido, entregado por 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en su respuesta, a fin de establecer si el Comité de Transparencia cumplió o no cabalmente con las formalidades exigidas por con el artículo 113 de la Ley General de Transparencia y Acceso a la Información Pública, numeral trigésimo fracción I de los Lineamientos </w:t>
      </w:r>
      <w:r w:rsidRPr="008157E4">
        <w:rPr>
          <w:rFonts w:ascii="Palatino Linotype" w:eastAsia="Palatino Linotype" w:hAnsi="Palatino Linotype" w:cs="Palatino Linotype"/>
          <w:sz w:val="24"/>
          <w:szCs w:val="24"/>
        </w:rPr>
        <w:lastRenderedPageBreak/>
        <w:t xml:space="preserve">Generales en Materia de Clasificación y Desclasificación de la Información, así como para la Elaboración de Versiones Públicas, así como los artículos 91, 128, 129, 140, fracción I, VI y VIII de la ley local,  y 141, de la Ley de Transparencia y Acceso a la Información Pública del Estado de México y Municipios, relacionadas con las fracciones X y XI de la Ley General y Numerales Vigésimo Noveno y Trigésimo de los lineamientos: </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5812"/>
        <w:gridCol w:w="1603"/>
      </w:tblGrid>
      <w:tr w:rsidR="00230A6E" w:rsidRPr="008157E4" w14:paraId="4A100A59" w14:textId="77777777">
        <w:tc>
          <w:tcPr>
            <w:tcW w:w="1413" w:type="dxa"/>
            <w:tcBorders>
              <w:top w:val="single" w:sz="4" w:space="0" w:color="000000"/>
              <w:left w:val="single" w:sz="4" w:space="0" w:color="000000"/>
              <w:bottom w:val="single" w:sz="4" w:space="0" w:color="000000"/>
              <w:right w:val="single" w:sz="4" w:space="0" w:color="000000"/>
            </w:tcBorders>
            <w:shd w:val="clear" w:color="auto" w:fill="7B7B7B"/>
          </w:tcPr>
          <w:p w14:paraId="19388004"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18"/>
                <w:szCs w:val="18"/>
              </w:rPr>
              <w:t>Elementos del acuerdo de clasificación</w:t>
            </w:r>
          </w:p>
        </w:tc>
        <w:tc>
          <w:tcPr>
            <w:tcW w:w="5812" w:type="dxa"/>
            <w:tcBorders>
              <w:top w:val="single" w:sz="4" w:space="0" w:color="000000"/>
              <w:left w:val="single" w:sz="4" w:space="0" w:color="000000"/>
              <w:bottom w:val="single" w:sz="4" w:space="0" w:color="000000"/>
              <w:right w:val="single" w:sz="4" w:space="0" w:color="000000"/>
            </w:tcBorders>
            <w:shd w:val="clear" w:color="auto" w:fill="7B7B7B"/>
          </w:tcPr>
          <w:p w14:paraId="2793C5AA"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22"/>
                <w:szCs w:val="22"/>
              </w:rPr>
              <w:t>Contenido</w:t>
            </w:r>
          </w:p>
        </w:tc>
        <w:tc>
          <w:tcPr>
            <w:tcW w:w="1603" w:type="dxa"/>
            <w:tcBorders>
              <w:top w:val="single" w:sz="4" w:space="0" w:color="000000"/>
              <w:left w:val="single" w:sz="4" w:space="0" w:color="000000"/>
              <w:bottom w:val="single" w:sz="4" w:space="0" w:color="000000"/>
              <w:right w:val="single" w:sz="4" w:space="0" w:color="000000"/>
            </w:tcBorders>
            <w:shd w:val="clear" w:color="auto" w:fill="7B7B7B"/>
          </w:tcPr>
          <w:p w14:paraId="6B12C4AD"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22"/>
                <w:szCs w:val="22"/>
              </w:rPr>
              <w:t>Cumple</w:t>
            </w:r>
          </w:p>
        </w:tc>
      </w:tr>
      <w:tr w:rsidR="00230A6E" w:rsidRPr="008157E4" w14:paraId="1C8C9C82" w14:textId="77777777">
        <w:tc>
          <w:tcPr>
            <w:tcW w:w="1413" w:type="dxa"/>
            <w:tcBorders>
              <w:top w:val="single" w:sz="4" w:space="0" w:color="000000"/>
              <w:left w:val="single" w:sz="4" w:space="0" w:color="000000"/>
              <w:bottom w:val="single" w:sz="4" w:space="0" w:color="000000"/>
              <w:right w:val="single" w:sz="4" w:space="0" w:color="000000"/>
            </w:tcBorders>
          </w:tcPr>
          <w:p w14:paraId="6469C894" w14:textId="77777777" w:rsidR="00230A6E" w:rsidRPr="008157E4" w:rsidRDefault="006E2CFE">
            <w:pPr>
              <w:spacing w:before="100" w:after="200" w:line="276" w:lineRule="auto"/>
              <w:jc w:val="center"/>
              <w:rPr>
                <w:rFonts w:ascii="Palatino Linotype" w:eastAsia="Palatino Linotype" w:hAnsi="Palatino Linotype" w:cs="Palatino Linotype"/>
                <w:sz w:val="18"/>
                <w:szCs w:val="18"/>
              </w:rPr>
            </w:pPr>
            <w:r w:rsidRPr="008157E4">
              <w:rPr>
                <w:rFonts w:ascii="Palatino Linotype" w:eastAsia="Palatino Linotype" w:hAnsi="Palatino Linotype" w:cs="Palatino Linotype"/>
                <w:b/>
                <w:sz w:val="18"/>
                <w:szCs w:val="18"/>
              </w:rPr>
              <w:t>Número de folio de la solicitud</w:t>
            </w:r>
          </w:p>
        </w:tc>
        <w:tc>
          <w:tcPr>
            <w:tcW w:w="5812" w:type="dxa"/>
            <w:tcBorders>
              <w:top w:val="single" w:sz="4" w:space="0" w:color="000000"/>
              <w:left w:val="single" w:sz="4" w:space="0" w:color="000000"/>
              <w:bottom w:val="single" w:sz="4" w:space="0" w:color="000000"/>
              <w:right w:val="single" w:sz="4" w:space="0" w:color="000000"/>
            </w:tcBorders>
          </w:tcPr>
          <w:p w14:paraId="4940C436" w14:textId="77777777" w:rsidR="00230A6E" w:rsidRPr="008157E4" w:rsidRDefault="006E2CFE">
            <w:pPr>
              <w:spacing w:before="100" w:after="200" w:line="276" w:lineRule="auto"/>
            </w:pPr>
            <w:r w:rsidRPr="008157E4">
              <w:t xml:space="preserve"> </w:t>
            </w:r>
            <w:r w:rsidRPr="008157E4">
              <w:rPr>
                <w:noProof/>
              </w:rPr>
              <w:drawing>
                <wp:inline distT="0" distB="0" distL="0" distR="0" wp14:anchorId="049AFEE3" wp14:editId="4930EFEE">
                  <wp:extent cx="3553460" cy="110680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53460" cy="110680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54B41B6A" w14:textId="77777777" w:rsidR="00230A6E" w:rsidRPr="008157E4" w:rsidRDefault="006E2CFE">
            <w:pPr>
              <w:spacing w:before="100" w:after="200" w:line="276" w:lineRule="auto"/>
              <w:jc w:val="center"/>
              <w:rPr>
                <w:rFonts w:ascii="Palatino Linotype" w:eastAsia="Palatino Linotype" w:hAnsi="Palatino Linotype" w:cs="Palatino Linotype"/>
                <w:b/>
                <w:sz w:val="20"/>
                <w:szCs w:val="20"/>
              </w:rPr>
            </w:pPr>
            <w:r w:rsidRPr="008157E4">
              <w:rPr>
                <w:rFonts w:ascii="Palatino Linotype" w:eastAsia="Palatino Linotype" w:hAnsi="Palatino Linotype" w:cs="Palatino Linotype"/>
                <w:b/>
              </w:rPr>
              <w:t>Sí</w:t>
            </w:r>
          </w:p>
        </w:tc>
      </w:tr>
      <w:tr w:rsidR="00230A6E" w:rsidRPr="008157E4" w14:paraId="58A388DB" w14:textId="77777777">
        <w:tc>
          <w:tcPr>
            <w:tcW w:w="1413" w:type="dxa"/>
            <w:tcBorders>
              <w:top w:val="single" w:sz="4" w:space="0" w:color="000000"/>
              <w:left w:val="single" w:sz="4" w:space="0" w:color="000000"/>
              <w:bottom w:val="single" w:sz="4" w:space="0" w:color="000000"/>
              <w:right w:val="single" w:sz="4" w:space="0" w:color="000000"/>
            </w:tcBorders>
          </w:tcPr>
          <w:p w14:paraId="595CE963" w14:textId="77777777" w:rsidR="00230A6E" w:rsidRPr="008157E4" w:rsidRDefault="006E2CFE">
            <w:pPr>
              <w:spacing w:before="100" w:after="200" w:line="276" w:lineRule="auto"/>
              <w:jc w:val="center"/>
              <w:rPr>
                <w:rFonts w:ascii="Palatino Linotype" w:eastAsia="Palatino Linotype" w:hAnsi="Palatino Linotype" w:cs="Palatino Linotype"/>
                <w:sz w:val="18"/>
                <w:szCs w:val="18"/>
              </w:rPr>
            </w:pPr>
            <w:r w:rsidRPr="008157E4">
              <w:rPr>
                <w:rFonts w:ascii="Palatino Linotype" w:eastAsia="Palatino Linotype" w:hAnsi="Palatino Linotype" w:cs="Palatino Linotype"/>
                <w:b/>
                <w:sz w:val="18"/>
                <w:szCs w:val="18"/>
              </w:rPr>
              <w:t>Referencia de la información solicitada</w:t>
            </w:r>
          </w:p>
        </w:tc>
        <w:tc>
          <w:tcPr>
            <w:tcW w:w="5812" w:type="dxa"/>
            <w:tcBorders>
              <w:top w:val="single" w:sz="4" w:space="0" w:color="000000"/>
              <w:left w:val="single" w:sz="4" w:space="0" w:color="000000"/>
              <w:bottom w:val="single" w:sz="4" w:space="0" w:color="000000"/>
              <w:right w:val="single" w:sz="4" w:space="0" w:color="000000"/>
            </w:tcBorders>
          </w:tcPr>
          <w:p w14:paraId="5C7263B7" w14:textId="77777777" w:rsidR="00230A6E" w:rsidRPr="008157E4" w:rsidRDefault="006E2CFE">
            <w:pPr>
              <w:spacing w:before="100" w:after="200" w:line="276" w:lineRule="auto"/>
              <w:jc w:val="center"/>
            </w:pPr>
            <w:r w:rsidRPr="008157E4">
              <w:rPr>
                <w:noProof/>
              </w:rPr>
              <w:drawing>
                <wp:inline distT="0" distB="0" distL="0" distR="0" wp14:anchorId="75715067" wp14:editId="1726828C">
                  <wp:extent cx="3533775" cy="119062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533775" cy="1190625"/>
                          </a:xfrm>
                          <a:prstGeom prst="rect">
                            <a:avLst/>
                          </a:prstGeom>
                          <a:ln/>
                        </pic:spPr>
                      </pic:pic>
                    </a:graphicData>
                  </a:graphic>
                </wp:inline>
              </w:drawing>
            </w:r>
            <w:r w:rsidRPr="008157E4">
              <w:t xml:space="preserve"> </w:t>
            </w:r>
          </w:p>
        </w:tc>
        <w:tc>
          <w:tcPr>
            <w:tcW w:w="1603" w:type="dxa"/>
            <w:tcBorders>
              <w:top w:val="single" w:sz="4" w:space="0" w:color="000000"/>
              <w:left w:val="single" w:sz="4" w:space="0" w:color="000000"/>
              <w:bottom w:val="single" w:sz="4" w:space="0" w:color="000000"/>
              <w:right w:val="single" w:sz="4" w:space="0" w:color="000000"/>
            </w:tcBorders>
          </w:tcPr>
          <w:p w14:paraId="2B683AC6" w14:textId="77777777" w:rsidR="00230A6E" w:rsidRPr="008157E4" w:rsidRDefault="006E2CFE">
            <w:pPr>
              <w:spacing w:before="100" w:after="200" w:line="276" w:lineRule="auto"/>
              <w:jc w:val="center"/>
              <w:rPr>
                <w:rFonts w:ascii="Palatino Linotype" w:eastAsia="Palatino Linotype" w:hAnsi="Palatino Linotype" w:cs="Palatino Linotype"/>
                <w:sz w:val="18"/>
                <w:szCs w:val="18"/>
              </w:rPr>
            </w:pPr>
            <w:r w:rsidRPr="008157E4">
              <w:rPr>
                <w:rFonts w:ascii="Palatino Linotype" w:eastAsia="Palatino Linotype" w:hAnsi="Palatino Linotype" w:cs="Palatino Linotype"/>
                <w:b/>
              </w:rPr>
              <w:t>Sí</w:t>
            </w:r>
          </w:p>
        </w:tc>
      </w:tr>
      <w:tr w:rsidR="00230A6E" w:rsidRPr="008157E4" w14:paraId="67548BD2" w14:textId="77777777">
        <w:tc>
          <w:tcPr>
            <w:tcW w:w="1413" w:type="dxa"/>
            <w:tcBorders>
              <w:top w:val="single" w:sz="4" w:space="0" w:color="000000"/>
              <w:left w:val="single" w:sz="4" w:space="0" w:color="000000"/>
              <w:bottom w:val="single" w:sz="4" w:space="0" w:color="000000"/>
              <w:right w:val="single" w:sz="4" w:space="0" w:color="000000"/>
            </w:tcBorders>
          </w:tcPr>
          <w:p w14:paraId="14C62BFA" w14:textId="77777777" w:rsidR="00230A6E" w:rsidRPr="008157E4" w:rsidRDefault="006E2CFE">
            <w:pPr>
              <w:spacing w:before="100" w:after="200" w:line="276" w:lineRule="auto"/>
              <w:jc w:val="center"/>
              <w:rPr>
                <w:rFonts w:ascii="Palatino Linotype" w:eastAsia="Palatino Linotype" w:hAnsi="Palatino Linotype" w:cs="Palatino Linotype"/>
                <w:sz w:val="18"/>
                <w:szCs w:val="18"/>
              </w:rPr>
            </w:pPr>
            <w:r w:rsidRPr="008157E4">
              <w:rPr>
                <w:rFonts w:ascii="Palatino Linotype" w:eastAsia="Palatino Linotype" w:hAnsi="Palatino Linotype" w:cs="Palatino Linotype"/>
                <w:b/>
                <w:sz w:val="18"/>
                <w:szCs w:val="18"/>
              </w:rPr>
              <w:t xml:space="preserve">Causal aplicable del artículo 113 de la Ley General, vinculándola con el Lineamiento </w:t>
            </w:r>
            <w:r w:rsidRPr="008157E4">
              <w:rPr>
                <w:rFonts w:ascii="Palatino Linotype" w:eastAsia="Palatino Linotype" w:hAnsi="Palatino Linotype" w:cs="Palatino Linotype"/>
                <w:b/>
                <w:sz w:val="18"/>
                <w:szCs w:val="18"/>
              </w:rPr>
              <w:lastRenderedPageBreak/>
              <w:t>específico del presente ordenamiento y, cuando corresponda, el supuesto normativo que expresamente le otorga el carácter de información reservada</w:t>
            </w:r>
          </w:p>
        </w:tc>
        <w:tc>
          <w:tcPr>
            <w:tcW w:w="5812" w:type="dxa"/>
            <w:tcBorders>
              <w:top w:val="single" w:sz="4" w:space="0" w:color="000000"/>
              <w:left w:val="single" w:sz="4" w:space="0" w:color="000000"/>
              <w:bottom w:val="single" w:sz="4" w:space="0" w:color="000000"/>
              <w:right w:val="single" w:sz="4" w:space="0" w:color="000000"/>
            </w:tcBorders>
          </w:tcPr>
          <w:p w14:paraId="1191D750" w14:textId="77777777" w:rsidR="00230A6E" w:rsidRPr="008157E4" w:rsidRDefault="006E2CFE">
            <w:pPr>
              <w:spacing w:before="100" w:after="200" w:line="276" w:lineRule="auto"/>
              <w:rPr>
                <w:sz w:val="20"/>
                <w:szCs w:val="20"/>
              </w:rPr>
            </w:pPr>
            <w:r w:rsidRPr="008157E4">
              <w:rPr>
                <w:noProof/>
              </w:rPr>
              <w:lastRenderedPageBreak/>
              <w:drawing>
                <wp:inline distT="0" distB="0" distL="0" distR="0" wp14:anchorId="3B6AE38A" wp14:editId="0EA80532">
                  <wp:extent cx="3553460" cy="1033145"/>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553460" cy="1033145"/>
                          </a:xfrm>
                          <a:prstGeom prst="rect">
                            <a:avLst/>
                          </a:prstGeom>
                          <a:ln/>
                        </pic:spPr>
                      </pic:pic>
                    </a:graphicData>
                  </a:graphic>
                </wp:inline>
              </w:drawing>
            </w:r>
            <w:r w:rsidRPr="008157E4">
              <w:t xml:space="preserve"> </w:t>
            </w:r>
          </w:p>
          <w:p w14:paraId="22FDC219" w14:textId="77777777" w:rsidR="00230A6E" w:rsidRPr="008157E4" w:rsidRDefault="00230A6E">
            <w:pPr>
              <w:spacing w:before="100" w:after="200" w:line="276" w:lineRule="auto"/>
              <w:rPr>
                <w:sz w:val="20"/>
                <w:szCs w:val="20"/>
              </w:rPr>
            </w:pPr>
          </w:p>
        </w:tc>
        <w:tc>
          <w:tcPr>
            <w:tcW w:w="1603" w:type="dxa"/>
            <w:tcBorders>
              <w:top w:val="single" w:sz="4" w:space="0" w:color="000000"/>
              <w:left w:val="single" w:sz="4" w:space="0" w:color="000000"/>
              <w:bottom w:val="single" w:sz="4" w:space="0" w:color="000000"/>
              <w:right w:val="single" w:sz="4" w:space="0" w:color="000000"/>
            </w:tcBorders>
          </w:tcPr>
          <w:p w14:paraId="7C0C0F19" w14:textId="77777777" w:rsidR="00230A6E" w:rsidRPr="008157E4" w:rsidRDefault="006E2CFE">
            <w:pPr>
              <w:spacing w:before="100" w:after="200" w:line="276" w:lineRule="auto"/>
              <w:jc w:val="center"/>
              <w:rPr>
                <w:rFonts w:ascii="Palatino Linotype" w:eastAsia="Palatino Linotype" w:hAnsi="Palatino Linotype" w:cs="Palatino Linotype"/>
                <w:b/>
                <w:sz w:val="20"/>
                <w:szCs w:val="20"/>
              </w:rPr>
            </w:pPr>
            <w:r w:rsidRPr="008157E4">
              <w:rPr>
                <w:rFonts w:ascii="Palatino Linotype" w:eastAsia="Palatino Linotype" w:hAnsi="Palatino Linotype" w:cs="Palatino Linotype"/>
                <w:b/>
                <w:sz w:val="20"/>
                <w:szCs w:val="20"/>
              </w:rPr>
              <w:t>NO</w:t>
            </w:r>
          </w:p>
          <w:p w14:paraId="75AC2000" w14:textId="77777777" w:rsidR="00230A6E" w:rsidRPr="008157E4" w:rsidRDefault="006E2CFE">
            <w:pPr>
              <w:spacing w:before="100" w:after="200" w:line="276" w:lineRule="auto"/>
              <w:jc w:val="center"/>
              <w:rPr>
                <w:rFonts w:ascii="Palatino Linotype" w:eastAsia="Palatino Linotype" w:hAnsi="Palatino Linotype" w:cs="Palatino Linotype"/>
                <w:b/>
                <w:sz w:val="20"/>
                <w:szCs w:val="20"/>
              </w:rPr>
            </w:pPr>
            <w:r w:rsidRPr="008157E4">
              <w:rPr>
                <w:rFonts w:ascii="Palatino Linotype" w:eastAsia="Palatino Linotype" w:hAnsi="Palatino Linotype" w:cs="Palatino Linotype"/>
                <w:sz w:val="18"/>
                <w:szCs w:val="18"/>
              </w:rPr>
              <w:t xml:space="preserve">Ya que no se observa la </w:t>
            </w:r>
            <w:proofErr w:type="gramStart"/>
            <w:r w:rsidRPr="008157E4">
              <w:rPr>
                <w:rFonts w:ascii="Palatino Linotype" w:eastAsia="Palatino Linotype" w:hAnsi="Palatino Linotype" w:cs="Palatino Linotype"/>
                <w:sz w:val="18"/>
                <w:szCs w:val="18"/>
              </w:rPr>
              <w:t>vinculación  aplicable</w:t>
            </w:r>
            <w:proofErr w:type="gramEnd"/>
            <w:r w:rsidRPr="008157E4">
              <w:rPr>
                <w:rFonts w:ascii="Palatino Linotype" w:eastAsia="Palatino Linotype" w:hAnsi="Palatino Linotype" w:cs="Palatino Linotype"/>
                <w:sz w:val="18"/>
                <w:szCs w:val="18"/>
              </w:rPr>
              <w:t xml:space="preserve"> del artículo 113 de la Ley General con </w:t>
            </w:r>
            <w:r w:rsidRPr="008157E4">
              <w:rPr>
                <w:rFonts w:ascii="Palatino Linotype" w:eastAsia="Palatino Linotype" w:hAnsi="Palatino Linotype" w:cs="Palatino Linotype"/>
                <w:sz w:val="18"/>
                <w:szCs w:val="18"/>
              </w:rPr>
              <w:lastRenderedPageBreak/>
              <w:t xml:space="preserve">los lineamientos aplicables. </w:t>
            </w:r>
          </w:p>
        </w:tc>
      </w:tr>
      <w:tr w:rsidR="00230A6E" w:rsidRPr="008157E4" w14:paraId="5DAC35F6" w14:textId="77777777">
        <w:tc>
          <w:tcPr>
            <w:tcW w:w="1413" w:type="dxa"/>
            <w:tcBorders>
              <w:top w:val="single" w:sz="4" w:space="0" w:color="000000"/>
              <w:left w:val="single" w:sz="4" w:space="0" w:color="000000"/>
              <w:bottom w:val="single" w:sz="4" w:space="0" w:color="000000"/>
              <w:right w:val="single" w:sz="4" w:space="0" w:color="000000"/>
            </w:tcBorders>
          </w:tcPr>
          <w:p w14:paraId="3184DFD1" w14:textId="77777777" w:rsidR="00230A6E" w:rsidRPr="008157E4" w:rsidRDefault="006E2CFE">
            <w:pPr>
              <w:spacing w:before="100" w:after="200" w:line="276" w:lineRule="auto"/>
              <w:jc w:val="center"/>
              <w:rPr>
                <w:rFonts w:ascii="Palatino Linotype" w:eastAsia="Palatino Linotype" w:hAnsi="Palatino Linotype" w:cs="Palatino Linotype"/>
                <w:sz w:val="18"/>
                <w:szCs w:val="18"/>
              </w:rPr>
            </w:pPr>
            <w:r w:rsidRPr="008157E4">
              <w:rPr>
                <w:rFonts w:ascii="Palatino Linotype" w:eastAsia="Palatino Linotype" w:hAnsi="Palatino Linotype" w:cs="Palatino Linotype"/>
                <w:b/>
                <w:sz w:val="18"/>
                <w:szCs w:val="18"/>
              </w:rPr>
              <w:lastRenderedPageBreak/>
              <w:t>Fundamento y Motivación Legal</w:t>
            </w:r>
          </w:p>
        </w:tc>
        <w:tc>
          <w:tcPr>
            <w:tcW w:w="5812" w:type="dxa"/>
            <w:tcBorders>
              <w:top w:val="single" w:sz="4" w:space="0" w:color="000000"/>
              <w:left w:val="single" w:sz="4" w:space="0" w:color="000000"/>
              <w:bottom w:val="single" w:sz="4" w:space="0" w:color="000000"/>
              <w:right w:val="single" w:sz="4" w:space="0" w:color="000000"/>
            </w:tcBorders>
          </w:tcPr>
          <w:p w14:paraId="518B1750" w14:textId="77777777" w:rsidR="00230A6E" w:rsidRPr="008157E4" w:rsidRDefault="006E2CFE">
            <w:pPr>
              <w:spacing w:before="100" w:after="200" w:line="276" w:lineRule="auto"/>
              <w:rPr>
                <w:sz w:val="20"/>
                <w:szCs w:val="20"/>
              </w:rPr>
            </w:pPr>
            <w:r w:rsidRPr="008157E4">
              <w:rPr>
                <w:noProof/>
              </w:rPr>
              <w:drawing>
                <wp:inline distT="0" distB="0" distL="0" distR="0" wp14:anchorId="5EDBFD65" wp14:editId="3894E84E">
                  <wp:extent cx="3553460" cy="5959475"/>
                  <wp:effectExtent l="0" t="0" r="0" b="0"/>
                  <wp:docPr id="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553460" cy="595947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00A2F5A" w14:textId="77777777" w:rsidR="00230A6E" w:rsidRPr="008157E4" w:rsidRDefault="006E2CFE">
            <w:pPr>
              <w:spacing w:before="100" w:after="200" w:line="276" w:lineRule="auto"/>
              <w:jc w:val="center"/>
              <w:rPr>
                <w:rFonts w:ascii="Palatino Linotype" w:eastAsia="Palatino Linotype" w:hAnsi="Palatino Linotype" w:cs="Palatino Linotype"/>
                <w:b/>
                <w:sz w:val="20"/>
                <w:szCs w:val="20"/>
              </w:rPr>
            </w:pPr>
            <w:r w:rsidRPr="008157E4">
              <w:rPr>
                <w:rFonts w:ascii="Palatino Linotype" w:eastAsia="Palatino Linotype" w:hAnsi="Palatino Linotype" w:cs="Palatino Linotype"/>
                <w:b/>
                <w:sz w:val="20"/>
                <w:szCs w:val="20"/>
              </w:rPr>
              <w:t>NO</w:t>
            </w:r>
          </w:p>
          <w:p w14:paraId="01C780FE" w14:textId="77777777" w:rsidR="00230A6E" w:rsidRPr="008157E4" w:rsidRDefault="006E2CFE">
            <w:pPr>
              <w:spacing w:before="100" w:after="200"/>
              <w:jc w:val="both"/>
              <w:rPr>
                <w:rFonts w:ascii="Palatino Linotype" w:eastAsia="Palatino Linotype" w:hAnsi="Palatino Linotype" w:cs="Palatino Linotype"/>
                <w:sz w:val="18"/>
                <w:szCs w:val="18"/>
              </w:rPr>
            </w:pPr>
            <w:r w:rsidRPr="008157E4">
              <w:rPr>
                <w:rFonts w:ascii="Palatino Linotype" w:eastAsia="Palatino Linotype" w:hAnsi="Palatino Linotype" w:cs="Palatino Linotype"/>
                <w:sz w:val="18"/>
                <w:szCs w:val="18"/>
              </w:rPr>
              <w:t xml:space="preserve">Porque dicha fundamentación y motivación no se refieren al caso específico que nos ocupa. </w:t>
            </w:r>
          </w:p>
        </w:tc>
      </w:tr>
      <w:tr w:rsidR="00230A6E" w:rsidRPr="008157E4" w14:paraId="4F1BC538" w14:textId="77777777">
        <w:tc>
          <w:tcPr>
            <w:tcW w:w="1413" w:type="dxa"/>
            <w:tcBorders>
              <w:top w:val="single" w:sz="4" w:space="0" w:color="000000"/>
              <w:left w:val="single" w:sz="4" w:space="0" w:color="000000"/>
              <w:bottom w:val="single" w:sz="4" w:space="0" w:color="000000"/>
              <w:right w:val="single" w:sz="4" w:space="0" w:color="000000"/>
            </w:tcBorders>
          </w:tcPr>
          <w:p w14:paraId="329F0639" w14:textId="77777777" w:rsidR="00230A6E" w:rsidRPr="008157E4" w:rsidRDefault="006E2CFE">
            <w:pPr>
              <w:spacing w:before="100" w:after="200" w:line="276" w:lineRule="auto"/>
              <w:rPr>
                <w:rFonts w:ascii="Palatino Linotype" w:eastAsia="Palatino Linotype" w:hAnsi="Palatino Linotype" w:cs="Palatino Linotype"/>
                <w:b/>
                <w:sz w:val="16"/>
                <w:szCs w:val="16"/>
              </w:rPr>
            </w:pPr>
            <w:r w:rsidRPr="008157E4">
              <w:rPr>
                <w:rFonts w:ascii="Palatino Linotype" w:eastAsia="Palatino Linotype" w:hAnsi="Palatino Linotype" w:cs="Palatino Linotype"/>
                <w:b/>
                <w:sz w:val="16"/>
                <w:szCs w:val="16"/>
              </w:rPr>
              <w:lastRenderedPageBreak/>
              <w:t>Conexión entre los fundamentos y motivos que dieron origen a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19BE79BF" w14:textId="77777777" w:rsidR="00230A6E" w:rsidRPr="008157E4" w:rsidRDefault="006E2CFE">
            <w:pPr>
              <w:spacing w:before="100" w:after="200" w:line="276" w:lineRule="auto"/>
              <w:rPr>
                <w:sz w:val="20"/>
                <w:szCs w:val="20"/>
              </w:rPr>
            </w:pPr>
            <w:r w:rsidRPr="008157E4">
              <w:rPr>
                <w:noProof/>
              </w:rPr>
              <w:drawing>
                <wp:inline distT="0" distB="0" distL="0" distR="0" wp14:anchorId="43A0BF4B" wp14:editId="08D77A9D">
                  <wp:extent cx="3553460" cy="1720850"/>
                  <wp:effectExtent l="0" t="0" r="0" b="0"/>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553460" cy="172085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3B516157" w14:textId="77777777" w:rsidR="00230A6E" w:rsidRPr="008157E4" w:rsidRDefault="006E2CFE">
            <w:pPr>
              <w:spacing w:before="100" w:after="200" w:line="276" w:lineRule="auto"/>
              <w:jc w:val="center"/>
              <w:rPr>
                <w:rFonts w:ascii="Palatino Linotype" w:eastAsia="Palatino Linotype" w:hAnsi="Palatino Linotype" w:cs="Palatino Linotype"/>
                <w:b/>
              </w:rPr>
            </w:pPr>
            <w:r w:rsidRPr="008157E4">
              <w:rPr>
                <w:rFonts w:ascii="Palatino Linotype" w:eastAsia="Palatino Linotype" w:hAnsi="Palatino Linotype" w:cs="Palatino Linotype"/>
                <w:b/>
              </w:rPr>
              <w:t>NO</w:t>
            </w:r>
          </w:p>
          <w:p w14:paraId="3C100EFD" w14:textId="77777777" w:rsidR="00230A6E" w:rsidRPr="008157E4" w:rsidRDefault="006E2CFE">
            <w:pPr>
              <w:spacing w:before="100" w:after="200" w:line="276" w:lineRule="auto"/>
              <w:jc w:val="both"/>
              <w:rPr>
                <w:rFonts w:ascii="Palatino Linotype" w:eastAsia="Palatino Linotype" w:hAnsi="Palatino Linotype" w:cs="Palatino Linotype"/>
                <w:b/>
                <w:sz w:val="20"/>
                <w:szCs w:val="20"/>
              </w:rPr>
            </w:pPr>
            <w:r w:rsidRPr="008157E4">
              <w:rPr>
                <w:rFonts w:ascii="Palatino Linotype" w:eastAsia="Palatino Linotype" w:hAnsi="Palatino Linotype" w:cs="Palatino Linotype"/>
                <w:sz w:val="18"/>
                <w:szCs w:val="18"/>
              </w:rPr>
              <w:t>Pero no se refieren al caso específico que nos ocupa (expedientes concluidos)</w:t>
            </w:r>
          </w:p>
        </w:tc>
      </w:tr>
      <w:tr w:rsidR="00230A6E" w:rsidRPr="008157E4" w14:paraId="3157EE95" w14:textId="77777777">
        <w:tc>
          <w:tcPr>
            <w:tcW w:w="8828" w:type="dxa"/>
            <w:gridSpan w:val="3"/>
            <w:tcBorders>
              <w:top w:val="single" w:sz="4" w:space="0" w:color="000000"/>
              <w:left w:val="single" w:sz="4" w:space="0" w:color="000000"/>
              <w:bottom w:val="single" w:sz="4" w:space="0" w:color="000000"/>
              <w:right w:val="single" w:sz="4" w:space="0" w:color="000000"/>
            </w:tcBorders>
            <w:shd w:val="clear" w:color="auto" w:fill="7B7B7B"/>
          </w:tcPr>
          <w:p w14:paraId="7769CFDB" w14:textId="77777777" w:rsidR="00230A6E" w:rsidRPr="008157E4" w:rsidRDefault="006E2CFE">
            <w:pPr>
              <w:spacing w:before="100" w:after="200" w:line="276" w:lineRule="auto"/>
              <w:jc w:val="center"/>
              <w:rPr>
                <w:rFonts w:ascii="Palatino Linotype" w:eastAsia="Palatino Linotype" w:hAnsi="Palatino Linotype" w:cs="Palatino Linotype"/>
                <w:b/>
              </w:rPr>
            </w:pPr>
            <w:r w:rsidRPr="008157E4">
              <w:rPr>
                <w:rFonts w:ascii="Palatino Linotype" w:eastAsia="Palatino Linotype" w:hAnsi="Palatino Linotype" w:cs="Palatino Linotype"/>
                <w:b/>
                <w:sz w:val="22"/>
                <w:szCs w:val="22"/>
              </w:rPr>
              <w:t>Elementos de la prueba de daño</w:t>
            </w:r>
          </w:p>
        </w:tc>
      </w:tr>
      <w:tr w:rsidR="00230A6E" w:rsidRPr="008157E4" w14:paraId="5701048D" w14:textId="77777777">
        <w:tc>
          <w:tcPr>
            <w:tcW w:w="1413" w:type="dxa"/>
            <w:tcBorders>
              <w:top w:val="single" w:sz="4" w:space="0" w:color="000000"/>
              <w:left w:val="single" w:sz="4" w:space="0" w:color="000000"/>
              <w:bottom w:val="single" w:sz="4" w:space="0" w:color="000000"/>
              <w:right w:val="single" w:sz="4" w:space="0" w:color="000000"/>
            </w:tcBorders>
          </w:tcPr>
          <w:p w14:paraId="1568A4DF" w14:textId="77777777" w:rsidR="00230A6E" w:rsidRPr="008157E4" w:rsidRDefault="006E2CFE">
            <w:pPr>
              <w:spacing w:after="120" w:line="256" w:lineRule="auto"/>
              <w:jc w:val="center"/>
              <w:rPr>
                <w:rFonts w:ascii="Palatino Linotype" w:eastAsia="Palatino Linotype" w:hAnsi="Palatino Linotype" w:cs="Palatino Linotype"/>
                <w:b/>
                <w:sz w:val="16"/>
                <w:szCs w:val="16"/>
              </w:rPr>
            </w:pPr>
            <w:r w:rsidRPr="008157E4">
              <w:rPr>
                <w:rFonts w:ascii="Palatino Linotype" w:eastAsia="Palatino Linotype" w:hAnsi="Palatino Linotype" w:cs="Palatino Linotype"/>
                <w:b/>
                <w:sz w:val="16"/>
                <w:szCs w:val="16"/>
              </w:rPr>
              <w:t>Riesgo Real, Demostrable e Identificable</w:t>
            </w:r>
          </w:p>
          <w:p w14:paraId="6A89B136"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16"/>
                <w:szCs w:val="16"/>
              </w:rPr>
              <w:t>(Modo, Tiempo y Lugar)</w:t>
            </w:r>
          </w:p>
        </w:tc>
        <w:tc>
          <w:tcPr>
            <w:tcW w:w="5812" w:type="dxa"/>
            <w:tcBorders>
              <w:top w:val="single" w:sz="4" w:space="0" w:color="000000"/>
              <w:left w:val="single" w:sz="4" w:space="0" w:color="000000"/>
              <w:bottom w:val="single" w:sz="4" w:space="0" w:color="000000"/>
              <w:right w:val="single" w:sz="4" w:space="0" w:color="000000"/>
            </w:tcBorders>
          </w:tcPr>
          <w:p w14:paraId="3F605948" w14:textId="77777777" w:rsidR="00230A6E" w:rsidRPr="008157E4" w:rsidRDefault="006E2CFE">
            <w:pPr>
              <w:spacing w:before="100" w:after="200" w:line="276" w:lineRule="auto"/>
              <w:rPr>
                <w:rFonts w:ascii="Palatino Linotype" w:eastAsia="Palatino Linotype" w:hAnsi="Palatino Linotype" w:cs="Palatino Linotype"/>
                <w:b/>
                <w:sz w:val="22"/>
                <w:szCs w:val="22"/>
              </w:rPr>
            </w:pPr>
            <w:r w:rsidRPr="008157E4">
              <w:rPr>
                <w:noProof/>
              </w:rPr>
              <w:drawing>
                <wp:inline distT="0" distB="0" distL="0" distR="0" wp14:anchorId="4D878EC2" wp14:editId="647C8B61">
                  <wp:extent cx="3524250" cy="1362075"/>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524250" cy="1362075"/>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E4DF1E0"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22"/>
                <w:szCs w:val="22"/>
              </w:rPr>
              <w:t>No</w:t>
            </w:r>
          </w:p>
          <w:p w14:paraId="3F450C98" w14:textId="77777777" w:rsidR="00230A6E" w:rsidRPr="008157E4" w:rsidRDefault="006E2CFE">
            <w:pPr>
              <w:spacing w:before="100" w:after="200" w:line="276" w:lineRule="auto"/>
              <w:jc w:val="both"/>
              <w:rPr>
                <w:rFonts w:ascii="Palatino Linotype" w:eastAsia="Palatino Linotype" w:hAnsi="Palatino Linotype" w:cs="Palatino Linotype"/>
                <w:sz w:val="18"/>
                <w:szCs w:val="18"/>
              </w:rPr>
            </w:pPr>
            <w:r w:rsidRPr="008157E4">
              <w:rPr>
                <w:rFonts w:ascii="Palatino Linotype" w:eastAsia="Palatino Linotype" w:hAnsi="Palatino Linotype" w:cs="Palatino Linotype"/>
                <w:sz w:val="18"/>
                <w:szCs w:val="18"/>
              </w:rPr>
              <w:t xml:space="preserve">No aplicada </w:t>
            </w:r>
            <w:proofErr w:type="gramStart"/>
            <w:r w:rsidRPr="008157E4">
              <w:rPr>
                <w:rFonts w:ascii="Palatino Linotype" w:eastAsia="Palatino Linotype" w:hAnsi="Palatino Linotype" w:cs="Palatino Linotype"/>
                <w:sz w:val="18"/>
                <w:szCs w:val="18"/>
              </w:rPr>
              <w:t>al  caso</w:t>
            </w:r>
            <w:proofErr w:type="gramEnd"/>
            <w:r w:rsidRPr="008157E4">
              <w:rPr>
                <w:rFonts w:ascii="Palatino Linotype" w:eastAsia="Palatino Linotype" w:hAnsi="Palatino Linotype" w:cs="Palatino Linotype"/>
                <w:sz w:val="18"/>
                <w:szCs w:val="18"/>
              </w:rPr>
              <w:t xml:space="preserve"> específico que se indica en el presente punto</w:t>
            </w:r>
          </w:p>
        </w:tc>
      </w:tr>
      <w:tr w:rsidR="00230A6E" w:rsidRPr="008157E4" w14:paraId="362811D8" w14:textId="77777777">
        <w:tc>
          <w:tcPr>
            <w:tcW w:w="1413" w:type="dxa"/>
            <w:tcBorders>
              <w:top w:val="single" w:sz="4" w:space="0" w:color="000000"/>
              <w:left w:val="single" w:sz="4" w:space="0" w:color="000000"/>
              <w:bottom w:val="single" w:sz="4" w:space="0" w:color="000000"/>
              <w:right w:val="single" w:sz="4" w:space="0" w:color="000000"/>
            </w:tcBorders>
          </w:tcPr>
          <w:p w14:paraId="5D186D30"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16"/>
                <w:szCs w:val="16"/>
              </w:rPr>
              <w:t>Temporalidad de la Reserva de la información</w:t>
            </w:r>
          </w:p>
        </w:tc>
        <w:tc>
          <w:tcPr>
            <w:tcW w:w="5812" w:type="dxa"/>
            <w:tcBorders>
              <w:top w:val="single" w:sz="4" w:space="0" w:color="000000"/>
              <w:left w:val="single" w:sz="4" w:space="0" w:color="000000"/>
              <w:bottom w:val="single" w:sz="4" w:space="0" w:color="000000"/>
              <w:right w:val="single" w:sz="4" w:space="0" w:color="000000"/>
            </w:tcBorders>
          </w:tcPr>
          <w:p w14:paraId="0D21ADB9" w14:textId="77777777" w:rsidR="00230A6E" w:rsidRPr="008157E4" w:rsidRDefault="006E2CFE">
            <w:pPr>
              <w:spacing w:before="100" w:after="200" w:line="276" w:lineRule="auto"/>
              <w:rPr>
                <w:rFonts w:ascii="Palatino Linotype" w:eastAsia="Palatino Linotype" w:hAnsi="Palatino Linotype" w:cs="Palatino Linotype"/>
                <w:b/>
                <w:sz w:val="22"/>
                <w:szCs w:val="22"/>
              </w:rPr>
            </w:pPr>
            <w:r w:rsidRPr="008157E4">
              <w:rPr>
                <w:noProof/>
              </w:rPr>
              <w:drawing>
                <wp:inline distT="0" distB="0" distL="0" distR="0" wp14:anchorId="18FBFF74" wp14:editId="1683B83F">
                  <wp:extent cx="3570260" cy="319724"/>
                  <wp:effectExtent l="0" t="0" r="0" b="0"/>
                  <wp:docPr id="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31629" t="62461" r="14493" b="28957"/>
                          <a:stretch>
                            <a:fillRect/>
                          </a:stretch>
                        </pic:blipFill>
                        <pic:spPr>
                          <a:xfrm>
                            <a:off x="0" y="0"/>
                            <a:ext cx="3570260" cy="319724"/>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6012392B"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rPr>
              <w:t xml:space="preserve">Sí </w:t>
            </w:r>
          </w:p>
        </w:tc>
      </w:tr>
      <w:tr w:rsidR="00230A6E" w:rsidRPr="008157E4" w14:paraId="4AAF56A4" w14:textId="77777777">
        <w:tc>
          <w:tcPr>
            <w:tcW w:w="1413" w:type="dxa"/>
            <w:tcBorders>
              <w:top w:val="single" w:sz="4" w:space="0" w:color="000000"/>
              <w:left w:val="single" w:sz="4" w:space="0" w:color="000000"/>
              <w:bottom w:val="single" w:sz="4" w:space="0" w:color="000000"/>
              <w:right w:val="single" w:sz="4" w:space="0" w:color="000000"/>
            </w:tcBorders>
          </w:tcPr>
          <w:p w14:paraId="3A416289"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16"/>
                <w:szCs w:val="16"/>
              </w:rPr>
              <w:lastRenderedPageBreak/>
              <w:t>Autoridades competentes.</w:t>
            </w:r>
          </w:p>
        </w:tc>
        <w:tc>
          <w:tcPr>
            <w:tcW w:w="5812" w:type="dxa"/>
            <w:tcBorders>
              <w:top w:val="single" w:sz="4" w:space="0" w:color="000000"/>
              <w:left w:val="single" w:sz="4" w:space="0" w:color="000000"/>
              <w:bottom w:val="single" w:sz="4" w:space="0" w:color="000000"/>
              <w:right w:val="single" w:sz="4" w:space="0" w:color="000000"/>
            </w:tcBorders>
          </w:tcPr>
          <w:p w14:paraId="796DFE27" w14:textId="77777777" w:rsidR="00230A6E" w:rsidRPr="008157E4" w:rsidRDefault="006E2CFE">
            <w:pPr>
              <w:spacing w:before="100" w:after="200" w:line="276" w:lineRule="auto"/>
            </w:pPr>
            <w:r w:rsidRPr="008157E4">
              <w:rPr>
                <w:noProof/>
              </w:rPr>
              <w:drawing>
                <wp:inline distT="0" distB="0" distL="0" distR="0" wp14:anchorId="563FF7B7" wp14:editId="6F0F1579">
                  <wp:extent cx="3390900" cy="4343400"/>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390900" cy="4343400"/>
                          </a:xfrm>
                          <a:prstGeom prst="rect">
                            <a:avLst/>
                          </a:prstGeom>
                          <a:ln/>
                        </pic:spPr>
                      </pic:pic>
                    </a:graphicData>
                  </a:graphic>
                </wp:inline>
              </w:drawing>
            </w:r>
          </w:p>
        </w:tc>
        <w:tc>
          <w:tcPr>
            <w:tcW w:w="1603" w:type="dxa"/>
            <w:tcBorders>
              <w:top w:val="single" w:sz="4" w:space="0" w:color="000000"/>
              <w:left w:val="single" w:sz="4" w:space="0" w:color="000000"/>
              <w:bottom w:val="single" w:sz="4" w:space="0" w:color="000000"/>
              <w:right w:val="single" w:sz="4" w:space="0" w:color="000000"/>
            </w:tcBorders>
          </w:tcPr>
          <w:p w14:paraId="0BBC1CF3" w14:textId="77777777" w:rsidR="00230A6E" w:rsidRPr="008157E4" w:rsidRDefault="006E2CFE">
            <w:pPr>
              <w:spacing w:before="100" w:after="200" w:line="276" w:lineRule="auto"/>
              <w:jc w:val="center"/>
              <w:rPr>
                <w:rFonts w:ascii="Palatino Linotype" w:eastAsia="Palatino Linotype" w:hAnsi="Palatino Linotype" w:cs="Palatino Linotype"/>
                <w:b/>
                <w:sz w:val="22"/>
                <w:szCs w:val="22"/>
              </w:rPr>
            </w:pPr>
            <w:r w:rsidRPr="008157E4">
              <w:rPr>
                <w:rFonts w:ascii="Palatino Linotype" w:eastAsia="Palatino Linotype" w:hAnsi="Palatino Linotype" w:cs="Palatino Linotype"/>
                <w:b/>
                <w:sz w:val="22"/>
                <w:szCs w:val="22"/>
              </w:rPr>
              <w:t>Sí</w:t>
            </w:r>
          </w:p>
        </w:tc>
      </w:tr>
    </w:tbl>
    <w:p w14:paraId="439BAC8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637179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Como se vislumbró en páginas previas, 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realizó la prueba de daño y precisó las razones por las cuales la apertura de la información generaría una afectación, sin embargo, no está debidamente fundado y motivado aplicable al caso en concreto, esto es, no encuadro correctamente la fracción de los artículos de la Ley de Transparencia Local, ya que como se puede apreciar pretende clasificar con la fracción  V, VI, VIII y X del artículo 140 de la Ley Local de Transparencia y las fracciones  I y V del artículo 113 de la Ley General de Transparencia, sin embargo, la información solicitada no encuadra en dicha normatividad, ya que el particular </w:t>
      </w:r>
      <w:r w:rsidRPr="008157E4">
        <w:rPr>
          <w:rFonts w:ascii="Palatino Linotype" w:eastAsia="Palatino Linotype" w:hAnsi="Palatino Linotype" w:cs="Palatino Linotype"/>
          <w:sz w:val="24"/>
          <w:szCs w:val="24"/>
        </w:rPr>
        <w:lastRenderedPageBreak/>
        <w:t>requirió las resoluciones emitidas por la contraloría interna sobre los procedimientos de servidores públicos.</w:t>
      </w:r>
    </w:p>
    <w:p w14:paraId="4A91573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4CCDFBB"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Del análisis del acuerdo de reserva, se advierte que el sujeto obligado no funda y motiva adecuadamente la clasificación de la información como reservada, toda vez que de conformidad con lo establecido en el artículo 141 de la Ley de Transparencia del Estado, las causales de reserva se deberán fundar y motivar, a través de la aplicación de la prueba de daño.</w:t>
      </w:r>
    </w:p>
    <w:p w14:paraId="02AFEC9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21426A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Para entender los alcances de la fundamentación y motivación, sirve de sustento la tesis visible en la página 450, Tomo XIV, </w:t>
      </w:r>
      <w:proofErr w:type="gramStart"/>
      <w:r w:rsidRPr="008157E4">
        <w:rPr>
          <w:rFonts w:ascii="Palatino Linotype" w:eastAsia="Palatino Linotype" w:hAnsi="Palatino Linotype" w:cs="Palatino Linotype"/>
          <w:sz w:val="24"/>
          <w:szCs w:val="24"/>
        </w:rPr>
        <w:t>Noviembre</w:t>
      </w:r>
      <w:proofErr w:type="gramEnd"/>
      <w:r w:rsidRPr="008157E4">
        <w:rPr>
          <w:rFonts w:ascii="Palatino Linotype" w:eastAsia="Palatino Linotype" w:hAnsi="Palatino Linotype" w:cs="Palatino Linotype"/>
          <w:sz w:val="24"/>
          <w:szCs w:val="24"/>
        </w:rPr>
        <w:t xml:space="preserve"> de 1994, del Apéndice del Semanario Judicial de la Federación 1917-2000, que literalmente dice: </w:t>
      </w:r>
    </w:p>
    <w:p w14:paraId="4A1BF804"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E067B09" w14:textId="77777777" w:rsidR="00230A6E" w:rsidRPr="008157E4" w:rsidRDefault="006E2CFE">
      <w:pPr>
        <w:spacing w:after="0" w:line="360" w:lineRule="auto"/>
        <w:ind w:left="567" w:right="616"/>
        <w:jc w:val="both"/>
        <w:rPr>
          <w:rFonts w:ascii="Palatino Linotype" w:eastAsia="Palatino Linotype" w:hAnsi="Palatino Linotype" w:cs="Palatino Linotype"/>
          <w:i/>
        </w:rPr>
      </w:pPr>
      <w:r w:rsidRPr="008157E4">
        <w:rPr>
          <w:rFonts w:ascii="Palatino Linotype" w:eastAsia="Palatino Linotype" w:hAnsi="Palatino Linotype" w:cs="Palatino Linotype"/>
          <w:i/>
        </w:rPr>
        <w:t>FUNDAMENTACIÓN Y MOTIVACIÓN, CONCEPTO DE. 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9AAC9FB" w14:textId="77777777" w:rsidR="00230A6E" w:rsidRPr="008157E4" w:rsidRDefault="00230A6E">
      <w:pPr>
        <w:spacing w:after="0" w:line="360" w:lineRule="auto"/>
        <w:ind w:right="616"/>
        <w:jc w:val="both"/>
        <w:rPr>
          <w:rFonts w:ascii="Palatino Linotype" w:eastAsia="Palatino Linotype" w:hAnsi="Palatino Linotype" w:cs="Palatino Linotype"/>
          <w:sz w:val="24"/>
          <w:szCs w:val="24"/>
        </w:rPr>
      </w:pPr>
    </w:p>
    <w:p w14:paraId="3813877D"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Así, para considerar que se cumple con la formalidad destacada, la autoridad emisora de un acto de autoridad que incida en la esfera de derechos de un particular, </w:t>
      </w:r>
      <w:r w:rsidRPr="008157E4">
        <w:rPr>
          <w:rFonts w:ascii="Palatino Linotype" w:eastAsia="Palatino Linotype" w:hAnsi="Palatino Linotype" w:cs="Palatino Linotype"/>
          <w:b/>
          <w:sz w:val="24"/>
          <w:szCs w:val="24"/>
        </w:rPr>
        <w:t>debe darle a conocer a este,  en detalle y de manera completa</w:t>
      </w:r>
      <w:r w:rsidRPr="008157E4">
        <w:rPr>
          <w:rFonts w:ascii="Palatino Linotype" w:eastAsia="Palatino Linotype" w:hAnsi="Palatino Linotype" w:cs="Palatino Linotype"/>
          <w:sz w:val="24"/>
          <w:szCs w:val="24"/>
        </w:rPr>
        <w:t xml:space="preserve">, en la </w:t>
      </w:r>
      <w:r w:rsidRPr="008157E4">
        <w:rPr>
          <w:rFonts w:ascii="Palatino Linotype" w:eastAsia="Palatino Linotype" w:hAnsi="Palatino Linotype" w:cs="Palatino Linotype"/>
          <w:sz w:val="24"/>
          <w:szCs w:val="24"/>
        </w:rPr>
        <w:lastRenderedPageBreak/>
        <w:t>actuación de que se trate, la esencia de todas las circunstancias y condiciones que determinaron el acto de la autoridad, de manera que sea evidente y muy claro para el afectado poder cuestionar y controvertir el mérito de la decisión, permitiéndole una real y auténtica defensa. Por tanto, no basta que el acto de autoridad apenas observe una motivación de manera insuficiente o imprecisa, que impida la finalidad del conocimiento, comprobación y defensa pertinente, por lo que, la decisión a efecto de que se considere debidamente fundado y motivado, debe de exponer los hechos relevantes para decidir, citando la norma y un argumento mínimo pero suficiente para acreditar el razonamiento del que se deduzca la relación de pertenencia lógica de los hechos al derecho invocado, que es la subsunción.</w:t>
      </w:r>
    </w:p>
    <w:p w14:paraId="60419010" w14:textId="77777777" w:rsidR="00230A6E" w:rsidRPr="008157E4" w:rsidRDefault="00230A6E">
      <w:pPr>
        <w:spacing w:after="0" w:line="360" w:lineRule="auto"/>
        <w:ind w:right="616"/>
        <w:jc w:val="both"/>
        <w:rPr>
          <w:rFonts w:ascii="Palatino Linotype" w:eastAsia="Palatino Linotype" w:hAnsi="Palatino Linotype" w:cs="Palatino Linotype"/>
          <w:sz w:val="24"/>
          <w:szCs w:val="24"/>
        </w:rPr>
      </w:pPr>
    </w:p>
    <w:p w14:paraId="4E40A4DB"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Tal criterio se advierte de la tesis jurisprudencial I.4o.A. J/43, sustentada por el Cuarto Tribunal en Materia Administrativa del Primer Circuito, publicada en la página 1531 del Tomo XXIII, </w:t>
      </w:r>
      <w:proofErr w:type="gramStart"/>
      <w:r w:rsidRPr="008157E4">
        <w:rPr>
          <w:rFonts w:ascii="Palatino Linotype" w:eastAsia="Palatino Linotype" w:hAnsi="Palatino Linotype" w:cs="Palatino Linotype"/>
          <w:sz w:val="24"/>
          <w:szCs w:val="24"/>
        </w:rPr>
        <w:t>Mayo</w:t>
      </w:r>
      <w:proofErr w:type="gramEnd"/>
      <w:r w:rsidRPr="008157E4">
        <w:rPr>
          <w:rFonts w:ascii="Palatino Linotype" w:eastAsia="Palatino Linotype" w:hAnsi="Palatino Linotype" w:cs="Palatino Linotype"/>
          <w:sz w:val="24"/>
          <w:szCs w:val="24"/>
        </w:rPr>
        <w:t xml:space="preserve"> de 2006, del Semanario Judicial de la Federación y su Gaceta correspondiente a la Novena Época, que dice: </w:t>
      </w:r>
    </w:p>
    <w:p w14:paraId="210146BE" w14:textId="77777777" w:rsidR="00230A6E" w:rsidRPr="008157E4" w:rsidRDefault="00230A6E">
      <w:pPr>
        <w:spacing w:after="0" w:line="360" w:lineRule="auto"/>
        <w:ind w:right="616"/>
        <w:jc w:val="both"/>
        <w:rPr>
          <w:rFonts w:ascii="Palatino Linotype" w:eastAsia="Palatino Linotype" w:hAnsi="Palatino Linotype" w:cs="Palatino Linotype"/>
          <w:sz w:val="24"/>
          <w:szCs w:val="24"/>
        </w:rPr>
      </w:pPr>
    </w:p>
    <w:p w14:paraId="4903B10D" w14:textId="77777777" w:rsidR="00230A6E" w:rsidRPr="008157E4" w:rsidRDefault="006E2CFE">
      <w:pPr>
        <w:spacing w:after="0" w:line="276" w:lineRule="auto"/>
        <w:ind w:left="567" w:right="1183"/>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FUNDAMENTACIÓN Y MOTIVACIÓN. EL ASPECTO FORMAL DE LA GARANTÍA Y SU FINALIDAD SE TRADUCEN EN EXPLICAR, JUSTIFICAR, POSIBILITAR LA DEFENSA Y COMUNICAR LA DECISIÓN.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w:t>
      </w:r>
      <w:r w:rsidRPr="008157E4">
        <w:rPr>
          <w:rFonts w:ascii="Palatino Linotype" w:eastAsia="Palatino Linotype" w:hAnsi="Palatino Linotype" w:cs="Palatino Linotype"/>
          <w:i/>
        </w:rPr>
        <w:lastRenderedPageBreak/>
        <w:t>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DAC2B3F" w14:textId="77777777" w:rsidR="00230A6E" w:rsidRPr="008157E4" w:rsidRDefault="00230A6E">
      <w:pPr>
        <w:spacing w:after="0" w:line="360" w:lineRule="auto"/>
        <w:ind w:right="1183"/>
        <w:jc w:val="both"/>
        <w:rPr>
          <w:rFonts w:ascii="Palatino Linotype" w:eastAsia="Palatino Linotype" w:hAnsi="Palatino Linotype" w:cs="Palatino Linotype"/>
          <w:sz w:val="24"/>
          <w:szCs w:val="24"/>
        </w:rPr>
      </w:pPr>
    </w:p>
    <w:p w14:paraId="4103DC77"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lo anterior, en el acta de la Quingentésima Cuadragésima Séptima Sesión Extraordinaria 2022 del Comité de Transparencia del Municipio de Toluca, se señala que la información contenida en las resoluciones emitidas en el año 2022 de los expedientes se encuentra en su fase de trámite, por lo que al día en que se clasificó la información no está concluida.</w:t>
      </w:r>
    </w:p>
    <w:p w14:paraId="4C2D8D22" w14:textId="77777777" w:rsidR="00230A6E" w:rsidRPr="008157E4" w:rsidRDefault="00230A6E">
      <w:pPr>
        <w:spacing w:after="0" w:line="360" w:lineRule="auto"/>
        <w:ind w:right="49"/>
        <w:jc w:val="both"/>
        <w:rPr>
          <w:rFonts w:ascii="Palatino Linotype" w:eastAsia="Palatino Linotype" w:hAnsi="Palatino Linotype" w:cs="Palatino Linotype"/>
          <w:sz w:val="24"/>
          <w:szCs w:val="24"/>
        </w:rPr>
      </w:pPr>
    </w:p>
    <w:p w14:paraId="0A8C2B45"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tal motivo, se procedió a elaborar una prueba de daño, bajo las causales previstas en el artículo 140, fracciones V, VI, VIII, y X de la Ley de Transparencia local.</w:t>
      </w:r>
    </w:p>
    <w:p w14:paraId="3E64A858" w14:textId="77777777" w:rsidR="00230A6E" w:rsidRPr="008157E4" w:rsidRDefault="00230A6E">
      <w:pPr>
        <w:spacing w:after="0" w:line="360" w:lineRule="auto"/>
        <w:ind w:right="49"/>
        <w:jc w:val="both"/>
        <w:rPr>
          <w:rFonts w:ascii="Palatino Linotype" w:eastAsia="Palatino Linotype" w:hAnsi="Palatino Linotype" w:cs="Palatino Linotype"/>
          <w:sz w:val="24"/>
          <w:szCs w:val="24"/>
        </w:rPr>
      </w:pPr>
    </w:p>
    <w:p w14:paraId="369B0D3D"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No obstante lo anterior, resulta necesario mencionar que los Lineamientos Generales en Materia de Clasificación y Desclasificación de la Información, así como para la Elaboración de Versiones Públicas, tienen por objeto establecer los criterios con base en los cuales los sujetos obligados clasificarán como reservada o confidencial la información que posean, desclasificarán y generarán, en su caso, </w:t>
      </w:r>
      <w:r w:rsidRPr="008157E4">
        <w:rPr>
          <w:rFonts w:ascii="Palatino Linotype" w:eastAsia="Palatino Linotype" w:hAnsi="Palatino Linotype" w:cs="Palatino Linotype"/>
          <w:sz w:val="24"/>
          <w:szCs w:val="24"/>
        </w:rPr>
        <w:lastRenderedPageBreak/>
        <w:t>versiones públicas de expedientes o documentos que contengan partes o secciones clasificadas, señalando que dicho cuerpo normativo es de observancia obligatoria para los sujetos obligados.</w:t>
      </w:r>
    </w:p>
    <w:p w14:paraId="7557ABC2" w14:textId="77777777" w:rsidR="00230A6E" w:rsidRPr="008157E4" w:rsidRDefault="00230A6E">
      <w:pPr>
        <w:spacing w:after="0" w:line="360" w:lineRule="auto"/>
        <w:ind w:right="49"/>
        <w:jc w:val="both"/>
        <w:rPr>
          <w:rFonts w:ascii="Palatino Linotype" w:eastAsia="Palatino Linotype" w:hAnsi="Palatino Linotype" w:cs="Palatino Linotype"/>
          <w:sz w:val="24"/>
          <w:szCs w:val="24"/>
        </w:rPr>
      </w:pPr>
    </w:p>
    <w:p w14:paraId="3F652012"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este entendido, el numeral segundo, fracción XIII del documento en consulta refiere que la prueba de daño es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258C3047" w14:textId="77777777" w:rsidR="00230A6E" w:rsidRPr="008157E4" w:rsidRDefault="00230A6E">
      <w:pPr>
        <w:spacing w:after="0" w:line="360" w:lineRule="auto"/>
        <w:ind w:right="1183"/>
        <w:jc w:val="both"/>
        <w:rPr>
          <w:rFonts w:ascii="Palatino Linotype" w:eastAsia="Palatino Linotype" w:hAnsi="Palatino Linotype" w:cs="Palatino Linotype"/>
          <w:sz w:val="24"/>
          <w:szCs w:val="24"/>
        </w:rPr>
      </w:pPr>
    </w:p>
    <w:p w14:paraId="0E24D030"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igual manera, el numeral cuarto establece que para clasificar la información como reservada o confidencial, de manera total o parcial, el titular del área del sujeto obligado deberá atender lo dispuesto por el Título Sexto de la Ley General, </w:t>
      </w:r>
      <w:r w:rsidRPr="008157E4">
        <w:rPr>
          <w:rFonts w:ascii="Palatino Linotype" w:eastAsia="Palatino Linotype" w:hAnsi="Palatino Linotype" w:cs="Palatino Linotype"/>
          <w:b/>
          <w:sz w:val="24"/>
          <w:szCs w:val="24"/>
        </w:rPr>
        <w:t>en relación con las disposiciones contenidas en los presentes lineamientos, así como en aquellas disposiciones legales aplicables a la materia en el ámbito de sus respectivas competencias,</w:t>
      </w:r>
      <w:r w:rsidRPr="008157E4">
        <w:rPr>
          <w:rFonts w:ascii="Palatino Linotype" w:eastAsia="Palatino Linotype" w:hAnsi="Palatino Linotype" w:cs="Palatino Linotype"/>
          <w:sz w:val="24"/>
          <w:szCs w:val="24"/>
        </w:rPr>
        <w:t xml:space="preserve"> en tanto estas últimas no contravengan lo dispuesto en la Ley General.</w:t>
      </w:r>
    </w:p>
    <w:p w14:paraId="35538459"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60092C09"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lo anterior, y en el caso que nos ocupa, se entiende que para que los sujetos obligados puedan clasificar la información con el carácter de reservada, atendiendo a lo dispuesto por la Ley General de Transparencia, en relación con los Lineamientos de clasificación y de conformidad las disposiciones legales aplicables a la materia, </w:t>
      </w:r>
      <w:r w:rsidRPr="008157E4">
        <w:rPr>
          <w:rFonts w:ascii="Palatino Linotype" w:eastAsia="Palatino Linotype" w:hAnsi="Palatino Linotype" w:cs="Palatino Linotype"/>
          <w:sz w:val="24"/>
          <w:szCs w:val="24"/>
        </w:rPr>
        <w:lastRenderedPageBreak/>
        <w:t>siendo en este caso la Ley de Transparencia del Estado, siempre y cuando no se contravenga con lo señalado en la Ley General.</w:t>
      </w:r>
    </w:p>
    <w:p w14:paraId="5AEB5013"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Así cuando los sujetos obligados se refieran a información de carácter reservado,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106BDDF2"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152E35C1"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Expuesto lo anterior, y conforme a la reserva de la información contenida en el acta de la Quingentésima Cuadragésima Séptima Sesión Extraordinaria 2022 del Comité de Transparencia del Municipio de Toluca, se advierte que el sujeto obligado no fundó y motivó adecuadamente la reserva de la información.</w:t>
      </w:r>
    </w:p>
    <w:p w14:paraId="28D0E05E"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703C32EA"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igual manera, es de señalar que algunas de las causales de reserva no corresponden al caso en particular y la prueba de daño no fue elaborada de conformidad con lo antes señalado.</w:t>
      </w:r>
    </w:p>
    <w:p w14:paraId="507A20C3"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7847A616"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tal motivo, para el caso de aquellas resoluciones que no han quedado firmes  o no han causado estado, de elaborar un nuevo acuerdo de clasificación de la información como reservada, bajo las causales establecidas en los artículos 113, fracciones X y XI de la Ley General de Transparencia, y 140, fracciones VI y VIII de la Ley de Transparencia del Estado, correlativo con los numerales Vigésimo noveno y Trigésimo de los Lineamientos de Clasificación; insistiendo que ello es </w:t>
      </w:r>
      <w:r w:rsidRPr="008157E4">
        <w:rPr>
          <w:rFonts w:ascii="Palatino Linotype" w:eastAsia="Palatino Linotype" w:hAnsi="Palatino Linotype" w:cs="Palatino Linotype"/>
          <w:b/>
          <w:sz w:val="24"/>
          <w:szCs w:val="24"/>
        </w:rPr>
        <w:t xml:space="preserve">siempre y </w:t>
      </w:r>
      <w:r w:rsidRPr="008157E4">
        <w:rPr>
          <w:rFonts w:ascii="Palatino Linotype" w:eastAsia="Palatino Linotype" w:hAnsi="Palatino Linotype" w:cs="Palatino Linotype"/>
          <w:b/>
          <w:sz w:val="24"/>
          <w:szCs w:val="24"/>
        </w:rPr>
        <w:lastRenderedPageBreak/>
        <w:t>cuando el sujeto obligado acredite de manera fundada y motivada</w:t>
      </w:r>
      <w:r w:rsidRPr="008157E4">
        <w:rPr>
          <w:rFonts w:ascii="Palatino Linotype" w:eastAsia="Palatino Linotype" w:hAnsi="Palatino Linotype" w:cs="Palatino Linotype"/>
          <w:sz w:val="24"/>
          <w:szCs w:val="24"/>
        </w:rPr>
        <w:t xml:space="preserve"> que las resoluciones emitidas por la contraloría interna de los procedimientos de servidores públicos </w:t>
      </w:r>
      <w:r w:rsidRPr="008157E4">
        <w:rPr>
          <w:rFonts w:ascii="Palatino Linotype" w:eastAsia="Palatino Linotype" w:hAnsi="Palatino Linotype" w:cs="Palatino Linotype"/>
          <w:b/>
          <w:sz w:val="24"/>
          <w:szCs w:val="24"/>
        </w:rPr>
        <w:t>no estén firmes.</w:t>
      </w:r>
    </w:p>
    <w:p w14:paraId="6FBBA49B"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lo anterior, para realizar la reserva de la información invocando la fracción X, del artículo 113 de la Ley General de Transparencia y VI, del artículo 140 de la Ley de Transparencia del Estado, la resolución o acuerdo de clasificación que emita el sujeto obligado deberá de acreditar que de divulgarse la información afecte el debido proceso actualizándose los siguientes elementos: </w:t>
      </w:r>
    </w:p>
    <w:p w14:paraId="0CA6D003"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7686C6BF" w14:textId="77777777" w:rsidR="00230A6E" w:rsidRPr="008157E4" w:rsidRDefault="006E2CFE">
      <w:pPr>
        <w:numPr>
          <w:ilvl w:val="0"/>
          <w:numId w:val="5"/>
        </w:num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La existencia de un procedimiento judicial, administrativo o arbitral en trámite; </w:t>
      </w:r>
    </w:p>
    <w:p w14:paraId="2B838E6A" w14:textId="77777777" w:rsidR="00230A6E" w:rsidRPr="008157E4" w:rsidRDefault="006E2CFE">
      <w:pPr>
        <w:numPr>
          <w:ilvl w:val="0"/>
          <w:numId w:val="5"/>
        </w:num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Que el sujeto obligado sea parte en ese procedimiento; </w:t>
      </w:r>
    </w:p>
    <w:p w14:paraId="70FB4A40" w14:textId="77777777" w:rsidR="00230A6E" w:rsidRPr="008157E4" w:rsidRDefault="006E2CFE">
      <w:pPr>
        <w:numPr>
          <w:ilvl w:val="0"/>
          <w:numId w:val="5"/>
        </w:num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Que la información no sea conocida por la contraparte antes de la presentación de la misma en el proceso, y </w:t>
      </w:r>
    </w:p>
    <w:p w14:paraId="735C7FF8" w14:textId="77777777" w:rsidR="00230A6E" w:rsidRPr="008157E4" w:rsidRDefault="006E2CFE">
      <w:pPr>
        <w:numPr>
          <w:ilvl w:val="0"/>
          <w:numId w:val="5"/>
        </w:num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Que con su divulgación se menoscaben los derechos del debido proceso.</w:t>
      </w:r>
    </w:p>
    <w:p w14:paraId="3EA63DB6"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0A9A4942"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Asimismo, deberá elaborar una prueba de daño conforme a lo establecido por los artículos 104 de la Ley General de Transparencia; 141 de la Ley de Transparencia del Estado; y numeral Trigésimo tercero de los Lineamientos de Clasificación atendiendo a lo siguiente:</w:t>
      </w:r>
    </w:p>
    <w:p w14:paraId="5BF93028" w14:textId="77777777" w:rsidR="00230A6E" w:rsidRPr="008157E4" w:rsidRDefault="00230A6E">
      <w:pPr>
        <w:tabs>
          <w:tab w:val="left" w:pos="7513"/>
        </w:tabs>
        <w:spacing w:line="360" w:lineRule="auto"/>
        <w:ind w:right="49"/>
        <w:jc w:val="both"/>
        <w:rPr>
          <w:rFonts w:ascii="Palatino Linotype" w:eastAsia="Palatino Linotype" w:hAnsi="Palatino Linotype" w:cs="Palatino Linotype"/>
          <w:sz w:val="24"/>
          <w:szCs w:val="24"/>
        </w:rPr>
      </w:pPr>
    </w:p>
    <w:p w14:paraId="01B95DCE" w14:textId="77777777" w:rsidR="00230A6E" w:rsidRPr="008157E4" w:rsidRDefault="006E2CFE">
      <w:pPr>
        <w:numPr>
          <w:ilvl w:val="0"/>
          <w:numId w:val="7"/>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Se deberá fundar la clasificación, al citar la fracción y la hipótesis de la causal aplicable de los artículos 113 de la Ley General y 140 de la Ley de </w:t>
      </w:r>
      <w:r w:rsidRPr="008157E4">
        <w:rPr>
          <w:rFonts w:ascii="Palatino Linotype" w:eastAsia="Palatino Linotype" w:hAnsi="Palatino Linotype" w:cs="Palatino Linotype"/>
          <w:sz w:val="24"/>
          <w:szCs w:val="24"/>
        </w:rPr>
        <w:lastRenderedPageBreak/>
        <w:t>Transparencia Local, vinculándolas con el Lineamiento específico de los Lineamientos de Clasificación y cuando corresponda, el supuesto normativo</w:t>
      </w:r>
      <w:r w:rsidRPr="008157E4">
        <w:t xml:space="preserve"> </w:t>
      </w:r>
      <w:r w:rsidRPr="008157E4">
        <w:rPr>
          <w:rFonts w:ascii="Palatino Linotype" w:eastAsia="Palatino Linotype" w:hAnsi="Palatino Linotype" w:cs="Palatino Linotype"/>
          <w:sz w:val="24"/>
          <w:szCs w:val="24"/>
        </w:rPr>
        <w:t xml:space="preserve">que expresamente le otorga el carácter de información reservada; </w:t>
      </w:r>
    </w:p>
    <w:p w14:paraId="3F505132" w14:textId="77777777" w:rsidR="00230A6E" w:rsidRPr="008157E4" w:rsidRDefault="00230A6E">
      <w:pPr>
        <w:pBdr>
          <w:top w:val="nil"/>
          <w:left w:val="nil"/>
          <w:bottom w:val="nil"/>
          <w:right w:val="nil"/>
          <w:between w:val="nil"/>
        </w:pBdr>
        <w:tabs>
          <w:tab w:val="left" w:pos="7513"/>
        </w:tabs>
        <w:spacing w:after="0" w:line="360" w:lineRule="auto"/>
        <w:ind w:left="1080" w:right="49"/>
        <w:jc w:val="both"/>
        <w:rPr>
          <w:rFonts w:ascii="Palatino Linotype" w:eastAsia="Palatino Linotype" w:hAnsi="Palatino Linotype" w:cs="Palatino Linotype"/>
          <w:sz w:val="24"/>
          <w:szCs w:val="24"/>
        </w:rPr>
      </w:pPr>
    </w:p>
    <w:p w14:paraId="0747CF33" w14:textId="77777777" w:rsidR="00230A6E" w:rsidRPr="008157E4" w:rsidRDefault="006E2CFE">
      <w:pPr>
        <w:numPr>
          <w:ilvl w:val="0"/>
          <w:numId w:val="7"/>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Se deberá motivar la clasificación, señalando las circunstancias de </w:t>
      </w:r>
      <w:r w:rsidRPr="008157E4">
        <w:rPr>
          <w:rFonts w:ascii="Palatino Linotype" w:eastAsia="Palatino Linotype" w:hAnsi="Palatino Linotype" w:cs="Palatino Linotype"/>
          <w:b/>
          <w:sz w:val="24"/>
          <w:szCs w:val="24"/>
        </w:rPr>
        <w:t>modo, tiempo y lugar</w:t>
      </w:r>
      <w:r w:rsidRPr="008157E4">
        <w:rPr>
          <w:rFonts w:ascii="Palatino Linotype" w:eastAsia="Palatino Linotype" w:hAnsi="Palatino Linotype" w:cs="Palatino Linotype"/>
          <w:sz w:val="24"/>
          <w:szCs w:val="24"/>
        </w:rPr>
        <w:t xml:space="preserve"> que acrediten el vínculo entre la difusión de la información y la afectación al interés público; </w:t>
      </w:r>
    </w:p>
    <w:p w14:paraId="68E48E73" w14:textId="77777777" w:rsidR="00230A6E" w:rsidRPr="008157E4" w:rsidRDefault="00230A6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2339B117" w14:textId="77777777" w:rsidR="00230A6E" w:rsidRPr="008157E4" w:rsidRDefault="006E2CFE">
      <w:pPr>
        <w:numPr>
          <w:ilvl w:val="0"/>
          <w:numId w:val="7"/>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Se deberán precisar las razones objetivas por las que la apertura de la información generaría un riesgo de perjuicio </w:t>
      </w:r>
      <w:r w:rsidRPr="008157E4">
        <w:rPr>
          <w:rFonts w:ascii="Palatino Linotype" w:eastAsia="Palatino Linotype" w:hAnsi="Palatino Linotype" w:cs="Palatino Linotype"/>
          <w:b/>
          <w:sz w:val="24"/>
          <w:szCs w:val="24"/>
        </w:rPr>
        <w:t xml:space="preserve">real, demostrable e identificable </w:t>
      </w:r>
      <w:r w:rsidRPr="008157E4">
        <w:rPr>
          <w:rFonts w:ascii="Palatino Linotype" w:eastAsia="Palatino Linotype" w:hAnsi="Palatino Linotype" w:cs="Palatino Linotype"/>
          <w:sz w:val="24"/>
          <w:szCs w:val="24"/>
        </w:rPr>
        <w:t xml:space="preserve">al interés jurídico tutelado de que se trate; </w:t>
      </w:r>
    </w:p>
    <w:p w14:paraId="774B74A0" w14:textId="77777777" w:rsidR="00230A6E" w:rsidRPr="008157E4" w:rsidRDefault="00230A6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24C623F3" w14:textId="77777777" w:rsidR="00230A6E" w:rsidRPr="008157E4" w:rsidRDefault="006E2CFE">
      <w:pPr>
        <w:numPr>
          <w:ilvl w:val="0"/>
          <w:numId w:val="7"/>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Mediante una ponderación entre la medida restrictiva y el derecho de acceso a la información, deberá justificar y probar objetivamente mediante los elementos señalados en el punto anterior, que la publicidad de la información solicitada generaría un riesgo de perjuicio que supera al interés público de que la información se difunda; </w:t>
      </w:r>
    </w:p>
    <w:p w14:paraId="605DE4A3" w14:textId="77777777" w:rsidR="00230A6E" w:rsidRPr="008157E4" w:rsidRDefault="00230A6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0D19265F" w14:textId="77777777" w:rsidR="00230A6E" w:rsidRPr="008157E4" w:rsidRDefault="006E2CFE">
      <w:pPr>
        <w:numPr>
          <w:ilvl w:val="0"/>
          <w:numId w:val="7"/>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Deberá elegir y justificar la opción de excepción al derecho de acceso a la información que menos lo restrinja y que sea adecuada y proporcional para evitar el perjuicio al interés público, evitando siempre que sea posible la reserva absoluta de documentos o expedientes; y </w:t>
      </w:r>
    </w:p>
    <w:p w14:paraId="18E1C63B" w14:textId="77777777" w:rsidR="00230A6E" w:rsidRPr="008157E4" w:rsidRDefault="00230A6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287E965C" w14:textId="77777777" w:rsidR="00230A6E" w:rsidRPr="008157E4" w:rsidRDefault="006E2CFE">
      <w:pPr>
        <w:numPr>
          <w:ilvl w:val="0"/>
          <w:numId w:val="7"/>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En caso de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1B5B017E"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0D550FD9"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Ahora bien, para realizar la reserva de la información invocando la fracción XI, del artículo 113 de la Ley General de Transparencia y VIII, del artículo 140 de la Ley de Transparencia del Estado, en la misma resolución o acuerdo de clasificación deberá respecto de aquella información que vulnere la conducción de los expedientes judiciales o de los procedimientos administrativos seguidos en forma de juicio, deberá acreditar los siguientes elementos: </w:t>
      </w:r>
    </w:p>
    <w:p w14:paraId="134DBFD7" w14:textId="77777777" w:rsidR="00230A6E" w:rsidRPr="008157E4" w:rsidRDefault="00230A6E">
      <w:pPr>
        <w:tabs>
          <w:tab w:val="left" w:pos="7513"/>
        </w:tabs>
        <w:spacing w:line="360" w:lineRule="auto"/>
        <w:ind w:right="49"/>
        <w:jc w:val="both"/>
        <w:rPr>
          <w:rFonts w:ascii="Palatino Linotype" w:eastAsia="Palatino Linotype" w:hAnsi="Palatino Linotype" w:cs="Palatino Linotype"/>
          <w:sz w:val="24"/>
          <w:szCs w:val="24"/>
        </w:rPr>
      </w:pPr>
    </w:p>
    <w:p w14:paraId="28C563F0" w14:textId="77777777" w:rsidR="00230A6E" w:rsidRPr="008157E4" w:rsidRDefault="006E2CFE">
      <w:pPr>
        <w:numPr>
          <w:ilvl w:val="0"/>
          <w:numId w:val="8"/>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La existencia de un juicio o procedimiento administrativo materialmente jurisdiccional, que se encuentre en trámite; </w:t>
      </w:r>
    </w:p>
    <w:p w14:paraId="3797B6F2" w14:textId="77777777" w:rsidR="00230A6E" w:rsidRPr="008157E4" w:rsidRDefault="006E2CFE">
      <w:pPr>
        <w:numPr>
          <w:ilvl w:val="0"/>
          <w:numId w:val="8"/>
        </w:numPr>
        <w:pBdr>
          <w:top w:val="nil"/>
          <w:left w:val="nil"/>
          <w:bottom w:val="nil"/>
          <w:right w:val="nil"/>
          <w:between w:val="nil"/>
        </w:pBd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Que la información solicitada se refiera a actuaciones, diligencias o constancias propias del procedimiento; y </w:t>
      </w:r>
    </w:p>
    <w:p w14:paraId="525223B3" w14:textId="77777777" w:rsidR="00230A6E" w:rsidRPr="008157E4" w:rsidRDefault="006E2CFE">
      <w:pPr>
        <w:numPr>
          <w:ilvl w:val="0"/>
          <w:numId w:val="8"/>
        </w:numPr>
        <w:pBdr>
          <w:top w:val="nil"/>
          <w:left w:val="nil"/>
          <w:bottom w:val="nil"/>
          <w:right w:val="nil"/>
          <w:between w:val="nil"/>
        </w:pBdr>
        <w:tabs>
          <w:tab w:val="left" w:pos="7513"/>
        </w:tabs>
        <w:spacing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Que su difusión afecte o interrumpa la libertad de decisión de las autoridades dentro del juicio o procedimiento administrativo seguido en forma de juicio.</w:t>
      </w:r>
    </w:p>
    <w:p w14:paraId="3430764D"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Para los efectos de la fracción I, se considera procedimiento seguido en forma de juicio a aquel formalmente administrativo, pero materialmente jurisdiccional; esto es, en el que concurran los siguientes elementos: </w:t>
      </w:r>
    </w:p>
    <w:p w14:paraId="42372D82"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59D99D48" w14:textId="77777777" w:rsidR="00230A6E" w:rsidRPr="008157E4" w:rsidRDefault="006E2CFE">
      <w:pPr>
        <w:tabs>
          <w:tab w:val="left" w:pos="7513"/>
        </w:tabs>
        <w:spacing w:after="0" w:line="360" w:lineRule="auto"/>
        <w:ind w:left="567"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1.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 </w:t>
      </w:r>
    </w:p>
    <w:p w14:paraId="0C73B0D2" w14:textId="77777777" w:rsidR="00230A6E" w:rsidRPr="008157E4" w:rsidRDefault="006E2CFE">
      <w:pPr>
        <w:tabs>
          <w:tab w:val="left" w:pos="7513"/>
        </w:tabs>
        <w:spacing w:after="0" w:line="360" w:lineRule="auto"/>
        <w:ind w:left="567"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2. Que se cumplan las formalidades esenciales del procedimiento. </w:t>
      </w:r>
    </w:p>
    <w:p w14:paraId="4D531DB6"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No serán objeto de reserva las resoluciones interlocutorias </w:t>
      </w:r>
      <w:r w:rsidRPr="008157E4">
        <w:rPr>
          <w:rFonts w:ascii="Palatino Linotype" w:eastAsia="Palatino Linotype" w:hAnsi="Palatino Linotype" w:cs="Palatino Linotype"/>
          <w:b/>
          <w:sz w:val="24"/>
          <w:szCs w:val="24"/>
          <w:u w:val="single"/>
        </w:rPr>
        <w:t>o definitivas</w:t>
      </w:r>
      <w:r w:rsidRPr="008157E4">
        <w:rPr>
          <w:rFonts w:ascii="Palatino Linotype" w:eastAsia="Palatino Linotype" w:hAnsi="Palatino Linotype" w:cs="Palatino Linotype"/>
          <w:sz w:val="24"/>
          <w:szCs w:val="24"/>
        </w:rPr>
        <w:t xml:space="preserve"> que se dicten dentro de los procedimientos o con las que se concluya el mismo. En estos casos deberá otorgarse acceso a la resolución en versión pública, testando la información clasificada.</w:t>
      </w:r>
    </w:p>
    <w:p w14:paraId="08A7BC84"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25F7CEEC"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igual manera, deberá elaborar la prueba de daño atendiendo lo antes señalado, conforme a lo establecido por los artículos 104 de la Ley General de Transparencia; 141 de la Ley de Transparencia del Estado; y numeral Trigésimo tercero de los Lineamientos de Clasificación.</w:t>
      </w:r>
    </w:p>
    <w:p w14:paraId="2ECA0BB4"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182FB54F" w14:textId="77777777" w:rsidR="00230A6E" w:rsidRPr="008157E4" w:rsidRDefault="006E2CFE">
      <w:pPr>
        <w:tabs>
          <w:tab w:val="left" w:pos="7513"/>
        </w:tabs>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Finalmente, no se omite mencionar que de conformidad con lo establecido en el artículo 92, fracción XL de la Ley de Transparencia del Estado,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relativa a </w:t>
      </w:r>
      <w:r w:rsidRPr="008157E4">
        <w:rPr>
          <w:rFonts w:ascii="Palatino Linotype" w:eastAsia="Palatino Linotype" w:hAnsi="Palatino Linotype" w:cs="Palatino Linotype"/>
          <w:b/>
          <w:sz w:val="24"/>
          <w:szCs w:val="24"/>
        </w:rPr>
        <w:t>las resoluciones y laudos que se emitan en procesos o procedimientos seguidos en forma de juicio.</w:t>
      </w:r>
    </w:p>
    <w:p w14:paraId="794B6506" w14:textId="77777777" w:rsidR="00230A6E" w:rsidRPr="008157E4" w:rsidRDefault="00230A6E">
      <w:pPr>
        <w:tabs>
          <w:tab w:val="left" w:pos="7513"/>
        </w:tabs>
        <w:spacing w:after="0" w:line="360" w:lineRule="auto"/>
        <w:ind w:right="49"/>
        <w:jc w:val="both"/>
        <w:rPr>
          <w:rFonts w:ascii="Palatino Linotype" w:eastAsia="Palatino Linotype" w:hAnsi="Palatino Linotype" w:cs="Palatino Linotype"/>
          <w:sz w:val="24"/>
          <w:szCs w:val="24"/>
        </w:rPr>
      </w:pPr>
    </w:p>
    <w:p w14:paraId="5C6F8267" w14:textId="77777777" w:rsidR="00230A6E" w:rsidRPr="008157E4" w:rsidRDefault="006E2CFE">
      <w:pPr>
        <w:tabs>
          <w:tab w:val="left" w:pos="7513"/>
        </w:tabs>
        <w:spacing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este sentido, si las resoluciones de los expedientes emitidas por la contraloría interna en el año 2022 se encuentran </w:t>
      </w:r>
      <w:proofErr w:type="gramStart"/>
      <w:r w:rsidRPr="008157E4">
        <w:rPr>
          <w:rFonts w:ascii="Palatino Linotype" w:eastAsia="Palatino Linotype" w:hAnsi="Palatino Linotype" w:cs="Palatino Linotype"/>
          <w:sz w:val="24"/>
          <w:szCs w:val="24"/>
        </w:rPr>
        <w:t>firmes,  procede</w:t>
      </w:r>
      <w:proofErr w:type="gramEnd"/>
      <w:r w:rsidRPr="008157E4">
        <w:rPr>
          <w:rFonts w:ascii="Palatino Linotype" w:eastAsia="Palatino Linotype" w:hAnsi="Palatino Linotype" w:cs="Palatino Linotype"/>
          <w:sz w:val="24"/>
          <w:szCs w:val="24"/>
        </w:rPr>
        <w:t xml:space="preserve"> su acceso conforme a lo siguiente: </w:t>
      </w:r>
    </w:p>
    <w:p w14:paraId="3CEA808F" w14:textId="77777777" w:rsidR="00230A6E" w:rsidRPr="008157E4" w:rsidRDefault="006E2CFE">
      <w:pPr>
        <w:numPr>
          <w:ilvl w:val="0"/>
          <w:numId w:val="11"/>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b/>
          <w:sz w:val="24"/>
          <w:szCs w:val="24"/>
        </w:rPr>
      </w:pPr>
      <w:r w:rsidRPr="008157E4">
        <w:rPr>
          <w:rFonts w:ascii="Palatino Linotype" w:eastAsia="Palatino Linotype" w:hAnsi="Palatino Linotype" w:cs="Palatino Linotype"/>
          <w:b/>
          <w:sz w:val="24"/>
          <w:szCs w:val="24"/>
        </w:rPr>
        <w:t xml:space="preserve">De los procedimientos administrativos de responsabilidades por faltas no graves concluidos sin importar si fue absolutorio o condenatorio. </w:t>
      </w:r>
    </w:p>
    <w:p w14:paraId="0B52D14F" w14:textId="77777777" w:rsidR="00230A6E" w:rsidRPr="008157E4" w:rsidRDefault="006E2CFE">
      <w:pPr>
        <w:spacing w:before="240" w:after="240" w:line="360" w:lineRule="auto"/>
        <w:ind w:right="4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lo que concierne a las sanciones graves y no graves, es de mencionarse que corresponde a una de las obligaciones de transparencia común, como se desprende del artículo 92 fracción XXII de la Ley de Transparencia y Acceso a la Información Pública del Estado de México y Municipios, que señala:</w:t>
      </w:r>
    </w:p>
    <w:p w14:paraId="033471A2" w14:textId="77777777" w:rsidR="00230A6E" w:rsidRPr="008157E4" w:rsidRDefault="006E2CFE">
      <w:pPr>
        <w:spacing w:before="240" w:after="240" w:line="276" w:lineRule="auto"/>
        <w:ind w:left="860" w:right="820"/>
        <w:jc w:val="both"/>
        <w:rPr>
          <w:rFonts w:ascii="Palatino Linotype" w:eastAsia="Palatino Linotype" w:hAnsi="Palatino Linotype" w:cs="Palatino Linotype"/>
          <w:i/>
        </w:rPr>
      </w:pPr>
      <w:r w:rsidRPr="008157E4">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DF81498" w14:textId="77777777" w:rsidR="00230A6E" w:rsidRPr="008157E4" w:rsidRDefault="006E2CFE">
      <w:pPr>
        <w:spacing w:before="240" w:after="240" w:line="276" w:lineRule="auto"/>
        <w:ind w:left="860" w:right="820"/>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013ABC4E" w14:textId="77777777" w:rsidR="00230A6E" w:rsidRPr="008157E4" w:rsidRDefault="006E2CFE">
      <w:pPr>
        <w:spacing w:before="240" w:after="240" w:line="276" w:lineRule="auto"/>
        <w:ind w:left="860" w:right="820"/>
        <w:jc w:val="both"/>
        <w:rPr>
          <w:rFonts w:ascii="Palatino Linotype" w:eastAsia="Palatino Linotype" w:hAnsi="Palatino Linotype" w:cs="Palatino Linotype"/>
          <w:b/>
          <w:i/>
        </w:rPr>
      </w:pPr>
      <w:r w:rsidRPr="008157E4">
        <w:rPr>
          <w:rFonts w:ascii="Palatino Linotype" w:eastAsia="Palatino Linotype" w:hAnsi="Palatino Linotype" w:cs="Palatino Linotype"/>
          <w:i/>
        </w:rPr>
        <w:t xml:space="preserve">XXII. </w:t>
      </w:r>
      <w:r w:rsidRPr="008157E4">
        <w:rPr>
          <w:rFonts w:ascii="Palatino Linotype" w:eastAsia="Palatino Linotype" w:hAnsi="Palatino Linotype" w:cs="Palatino Linotype"/>
          <w:b/>
          <w:i/>
        </w:rPr>
        <w:t>El listado de Servidores Públicos con sanciones administrativas definitivas, especificando la causa de sanción y la disposición;" (Sic) (Énfasis añadido)</w:t>
      </w:r>
    </w:p>
    <w:p w14:paraId="45569F7A" w14:textId="77777777" w:rsidR="00230A6E" w:rsidRPr="008157E4" w:rsidRDefault="006E2CFE">
      <w:pPr>
        <w:spacing w:before="240" w:after="240" w:line="360" w:lineRule="auto"/>
        <w:ind w:right="4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No obstante, </w:t>
      </w:r>
      <w:r w:rsidRPr="008157E4">
        <w:rPr>
          <w:rFonts w:ascii="Palatino Linotype" w:eastAsia="Palatino Linotype" w:hAnsi="Palatino Linotype" w:cs="Palatino Linotype"/>
          <w:b/>
          <w:sz w:val="24"/>
          <w:szCs w:val="24"/>
          <w:u w:val="single"/>
        </w:rPr>
        <w:t>sólo pueden ser dadas a conocer las responsabilidades administrativas</w:t>
      </w:r>
      <w:r w:rsidRPr="008157E4">
        <w:rPr>
          <w:rFonts w:ascii="Palatino Linotype" w:eastAsia="Palatino Linotype" w:hAnsi="Palatino Linotype" w:cs="Palatino Linotype"/>
          <w:sz w:val="24"/>
          <w:szCs w:val="24"/>
        </w:rPr>
        <w:t xml:space="preserve"> </w:t>
      </w:r>
      <w:r w:rsidRPr="008157E4">
        <w:rPr>
          <w:rFonts w:ascii="Palatino Linotype" w:eastAsia="Palatino Linotype" w:hAnsi="Palatino Linotype" w:cs="Palatino Linotype"/>
          <w:b/>
          <w:sz w:val="24"/>
          <w:szCs w:val="24"/>
          <w:u w:val="single"/>
        </w:rPr>
        <w:t>por faltas graves</w:t>
      </w:r>
      <w:r w:rsidRPr="008157E4">
        <w:rPr>
          <w:rFonts w:ascii="Palatino Linotype" w:eastAsia="Palatino Linotype" w:hAnsi="Palatino Linotype" w:cs="Palatino Linotype"/>
          <w:sz w:val="24"/>
          <w:szCs w:val="24"/>
        </w:rPr>
        <w:t xml:space="preserve">. Lo anterior, con motivo de la entrada en vigor de la Ley del Sistema Anticorrupción del Estado de México y Municipios publicada en </w:t>
      </w:r>
      <w:r w:rsidRPr="008157E4">
        <w:rPr>
          <w:rFonts w:ascii="Palatino Linotype" w:eastAsia="Palatino Linotype" w:hAnsi="Palatino Linotype" w:cs="Palatino Linotype"/>
          <w:sz w:val="24"/>
          <w:szCs w:val="24"/>
        </w:rPr>
        <w:lastRenderedPageBreak/>
        <w:t xml:space="preserve">el periódico oficial "Gaceta del Gobierno" el treinta de mayo de 2017, que establece que </w:t>
      </w:r>
      <w:r w:rsidRPr="008157E4">
        <w:rPr>
          <w:rFonts w:ascii="Palatino Linotype" w:eastAsia="Palatino Linotype" w:hAnsi="Palatino Linotype" w:cs="Palatino Linotype"/>
          <w:b/>
          <w:sz w:val="24"/>
          <w:szCs w:val="24"/>
          <w:u w:val="single"/>
        </w:rPr>
        <w:t>las sanciones no graves no serán públicas</w:t>
      </w:r>
      <w:r w:rsidRPr="008157E4">
        <w:rPr>
          <w:rFonts w:ascii="Palatino Linotype" w:eastAsia="Palatino Linotype" w:hAnsi="Palatino Linotype" w:cs="Palatino Linotype"/>
          <w:sz w:val="24"/>
          <w:szCs w:val="24"/>
        </w:rPr>
        <w:t>, toda vez que únicamente es de interés para los Poderes Ejecutivo, Legislativo y Judicial, los Ayuntamientos, Organismos Auxiliares, Fideicomisos Públicos y los Órganos Constitucionalmente Autónomos, en virtud de que exclusivamente se deriva de la relación entre autoridades administrativas y el titular de los datos personales, para acatar las disposiciones contenidas en el artículo 53 de la citada Ley Anticorrupción y que son de la literalidad siguiente:</w:t>
      </w:r>
    </w:p>
    <w:p w14:paraId="2730EC6E" w14:textId="77777777" w:rsidR="00230A6E" w:rsidRPr="008157E4" w:rsidRDefault="006E2CFE">
      <w:pPr>
        <w:spacing w:before="240" w:after="240" w:line="276" w:lineRule="auto"/>
        <w:ind w:left="860" w:right="820"/>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 xml:space="preserve">“Artículo 53. Las sanciones impuestas por faltas administrativas graves serán del conocimiento público </w:t>
      </w:r>
      <w:r w:rsidRPr="008157E4">
        <w:rPr>
          <w:rFonts w:ascii="Palatino Linotype" w:eastAsia="Palatino Linotype" w:hAnsi="Palatino Linotype" w:cs="Palatino Linotype"/>
          <w:b/>
          <w:i/>
          <w:u w:val="single"/>
        </w:rPr>
        <w:t>cuando éstas contengan impedimentos o inhabilitaciones</w:t>
      </w:r>
      <w:r w:rsidRPr="008157E4">
        <w:rPr>
          <w:rFonts w:ascii="Palatino Linotype" w:eastAsia="Palatino Linotype" w:hAnsi="Palatino Linotype" w:cs="Palatino Linotype"/>
          <w:b/>
          <w:i/>
        </w:rPr>
        <w:t xml:space="preserve"> para ser contratados como servidores públicos o como prestadores de servicios o contratistas del sector público, en términos de la Ley de Responsabilidades Administrativas del Estado de México y Municipios.</w:t>
      </w:r>
    </w:p>
    <w:p w14:paraId="1AEB067D" w14:textId="77777777" w:rsidR="00230A6E" w:rsidRPr="008157E4" w:rsidRDefault="006E2CFE">
      <w:pPr>
        <w:spacing w:before="240" w:after="240" w:line="276" w:lineRule="auto"/>
        <w:ind w:left="860" w:right="820"/>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 Los registros de </w:t>
      </w:r>
      <w:r w:rsidRPr="008157E4">
        <w:rPr>
          <w:rFonts w:ascii="Palatino Linotype" w:eastAsia="Palatino Linotype" w:hAnsi="Palatino Linotype" w:cs="Palatino Linotype"/>
          <w:b/>
          <w:i/>
          <w:u w:val="single"/>
        </w:rPr>
        <w:t>las sanciones relativas a responsabilidades administrativas no graves, quedarán registradas para efectos de eventual reincidencia, pero no serán públicas.</w:t>
      </w:r>
      <w:r w:rsidRPr="008157E4">
        <w:rPr>
          <w:rFonts w:ascii="Palatino Linotype" w:eastAsia="Palatino Linotype" w:hAnsi="Palatino Linotype" w:cs="Palatino Linotype"/>
          <w:i/>
        </w:rPr>
        <w:t>” (Sic) (Énfasis añadido)</w:t>
      </w:r>
    </w:p>
    <w:p w14:paraId="4564AAAC" w14:textId="77777777" w:rsidR="00230A6E" w:rsidRPr="008157E4" w:rsidRDefault="006E2CFE">
      <w:pPr>
        <w:spacing w:before="240" w:after="0" w:line="360" w:lineRule="auto"/>
        <w:ind w:right="4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ese sentido es importante, referir que la Ley de Responsabilidades Administrativas del Estado de México y Municipios, señala que incurrirá en una falta administrativa no grave, aquellos servidores públicos cuyos actos y omisiones incumplan o transgredan el cumplimiento de sus funciones, atribuciones o comisiones, la atención de instrucciones, presentar en tiempo y forma las declaraciones de situación patrimonial y de intereses, el cuidado de documentación, la rendición de cuentas sobre el ejercicio de sus funciones, entre otras.</w:t>
      </w:r>
    </w:p>
    <w:p w14:paraId="41F46A57" w14:textId="77777777" w:rsidR="00230A6E" w:rsidRPr="008157E4" w:rsidRDefault="00230A6E">
      <w:pPr>
        <w:spacing w:after="0" w:line="360" w:lineRule="auto"/>
        <w:ind w:right="40"/>
        <w:jc w:val="both"/>
        <w:rPr>
          <w:rFonts w:ascii="Palatino Linotype" w:eastAsia="Palatino Linotype" w:hAnsi="Palatino Linotype" w:cs="Palatino Linotype"/>
          <w:sz w:val="24"/>
          <w:szCs w:val="24"/>
        </w:rPr>
      </w:pPr>
    </w:p>
    <w:p w14:paraId="58A06DFC"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Como se logra observar, las faltas no graves, son aquellas que cometen los servidores públicos por incumplimiento a sus funciones, o bien, a sus obligaciones y, por lo tanto, las consecuencias recaen directamente en contra de este, al no haber una afectación a terceros (</w:t>
      </w:r>
      <w:r w:rsidRPr="008157E4">
        <w:rPr>
          <w:rFonts w:ascii="Palatino Linotype" w:eastAsia="Palatino Linotype" w:hAnsi="Palatino Linotype" w:cs="Palatino Linotype"/>
          <w:i/>
          <w:sz w:val="24"/>
          <w:szCs w:val="24"/>
        </w:rPr>
        <w:t>personas físicas, morales, instituciones públicas u otros trabajadores</w:t>
      </w:r>
      <w:r w:rsidRPr="008157E4">
        <w:rPr>
          <w:rFonts w:ascii="Palatino Linotype" w:eastAsia="Palatino Linotype" w:hAnsi="Palatino Linotype" w:cs="Palatino Linotype"/>
          <w:sz w:val="24"/>
          <w:szCs w:val="24"/>
        </w:rPr>
        <w:t>), ni haber un detrimento en el erario.</w:t>
      </w:r>
    </w:p>
    <w:p w14:paraId="1DA8495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Así, se puede advertir que dichas faltas, no tienen una trascendencia social, </w:t>
      </w:r>
      <w:r w:rsidRPr="008157E4">
        <w:rPr>
          <w:rFonts w:ascii="Palatino Linotype" w:eastAsia="Palatino Linotype" w:hAnsi="Palatino Linotype" w:cs="Palatino Linotype"/>
          <w:sz w:val="24"/>
          <w:szCs w:val="24"/>
        </w:rPr>
        <w:t>pues no existe un daño externo, sino que únicamente le atañe al servidor público en cuestión.</w:t>
      </w:r>
    </w:p>
    <w:p w14:paraId="5C1284EA"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D81FDF1"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lo expuesto, se desprende que dar a conocer el nombre del servidor público de un procedimiento de responsabilidad administrativa no grave, constituye información confidencial que afecta su esfera privada, puesto que podría generar una percepción negativa de este, ocasionando un perjuicio en su </w:t>
      </w:r>
      <w:r w:rsidRPr="008157E4">
        <w:rPr>
          <w:rFonts w:ascii="Palatino Linotype" w:eastAsia="Palatino Linotype" w:hAnsi="Palatino Linotype" w:cs="Palatino Linotype"/>
          <w:b/>
          <w:sz w:val="24"/>
          <w:szCs w:val="24"/>
        </w:rPr>
        <w:t>honor, intimidad y buena imagen</w:t>
      </w:r>
      <w:r w:rsidRPr="008157E4">
        <w:rPr>
          <w:rFonts w:ascii="Palatino Linotype" w:eastAsia="Palatino Linotype" w:hAnsi="Palatino Linotype" w:cs="Palatino Linotype"/>
          <w:sz w:val="24"/>
          <w:szCs w:val="24"/>
        </w:rPr>
        <w:t>, pues como se precisó la afectación es para el propio servidor público, situación que no afecta a terceros.</w:t>
      </w:r>
    </w:p>
    <w:p w14:paraId="0EF7E6D6"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75F62E0"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lo cual, dar a conocer el nombre y cargo del servidor público, así como la sanción  que haya recibido por una falta administrativa no grave, la cual no causa una afectación a otros, pues como se precisó en párrafos anteriores, se trata de incumplimientos a sus funciones u obligaciones, podría generar un juicio </w:t>
      </w:r>
      <w:r w:rsidRPr="008157E4">
        <w:rPr>
          <w:rFonts w:ascii="Palatino Linotype" w:eastAsia="Palatino Linotype" w:hAnsi="Palatino Linotype" w:cs="Palatino Linotype"/>
          <w:i/>
          <w:sz w:val="24"/>
          <w:szCs w:val="24"/>
        </w:rPr>
        <w:t>a priori</w:t>
      </w:r>
      <w:r w:rsidRPr="008157E4">
        <w:rPr>
          <w:rFonts w:ascii="Palatino Linotype" w:eastAsia="Palatino Linotype" w:hAnsi="Palatino Linotype" w:cs="Palatino Linotype"/>
          <w:sz w:val="24"/>
          <w:szCs w:val="24"/>
        </w:rPr>
        <w:t xml:space="preserve"> por parte de la sociedad, afectando su prestigio y su buen nombre, pues esto podría causar una mala percepción del servidor público frente a la sociedad, </w:t>
      </w:r>
      <w:r w:rsidRPr="008157E4">
        <w:rPr>
          <w:rFonts w:ascii="Palatino Linotype" w:eastAsia="Palatino Linotype" w:hAnsi="Palatino Linotype" w:cs="Palatino Linotype"/>
          <w:b/>
          <w:sz w:val="24"/>
          <w:szCs w:val="24"/>
        </w:rPr>
        <w:t>lo cual daña su vida privada y profesional,</w:t>
      </w:r>
      <w:r w:rsidRPr="008157E4">
        <w:rPr>
          <w:rFonts w:ascii="Palatino Linotype" w:eastAsia="Palatino Linotype" w:hAnsi="Palatino Linotype" w:cs="Palatino Linotype"/>
          <w:sz w:val="24"/>
          <w:szCs w:val="24"/>
        </w:rPr>
        <w:t xml:space="preserve"> mismas que forman parte de su intimidad; por lo que </w:t>
      </w:r>
      <w:r w:rsidRPr="008157E4">
        <w:rPr>
          <w:rFonts w:ascii="Palatino Linotype" w:eastAsia="Palatino Linotype" w:hAnsi="Palatino Linotype" w:cs="Palatino Linotype"/>
          <w:sz w:val="24"/>
          <w:szCs w:val="24"/>
        </w:rPr>
        <w:lastRenderedPageBreak/>
        <w:t>se concluye que dicha información, en caso de que existiera, tiene el carácter de confidencial.</w:t>
      </w:r>
    </w:p>
    <w:p w14:paraId="016121FE" w14:textId="77777777" w:rsidR="00230A6E" w:rsidRPr="008157E4" w:rsidRDefault="00230A6E">
      <w:pPr>
        <w:spacing w:after="0" w:line="360" w:lineRule="auto"/>
        <w:jc w:val="both"/>
        <w:rPr>
          <w:rFonts w:ascii="Palatino Linotype" w:eastAsia="Palatino Linotype" w:hAnsi="Palatino Linotype" w:cs="Palatino Linotype"/>
          <w:sz w:val="28"/>
          <w:szCs w:val="28"/>
        </w:rPr>
      </w:pPr>
    </w:p>
    <w:p w14:paraId="0661AEFF"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lo cual, se considera procedente la clasificación, en términos del artículo 143, fracción I, de la Ley de Transparencia y Acceso a la Información Pública del Estado de México y Municipios, </w:t>
      </w:r>
      <w:r w:rsidRPr="008157E4">
        <w:rPr>
          <w:rFonts w:ascii="Palatino Linotype" w:eastAsia="Palatino Linotype" w:hAnsi="Palatino Linotype" w:cs="Palatino Linotype"/>
          <w:b/>
          <w:sz w:val="24"/>
          <w:szCs w:val="24"/>
        </w:rPr>
        <w:t>del nombre de los servidores públicos que hayan recibido alguna sanción por falta administrativa no grave</w:t>
      </w:r>
      <w:r w:rsidRPr="008157E4">
        <w:rPr>
          <w:rFonts w:ascii="Palatino Linotype" w:eastAsia="Palatino Linotype" w:hAnsi="Palatino Linotype" w:cs="Palatino Linotype"/>
          <w:sz w:val="24"/>
          <w:szCs w:val="24"/>
        </w:rPr>
        <w:t>.</w:t>
      </w:r>
    </w:p>
    <w:p w14:paraId="6C83161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BF2A70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Luego entonces, conforme a los preceptos legales antes citados </w:t>
      </w:r>
      <w:proofErr w:type="gramStart"/>
      <w:r w:rsidRPr="008157E4">
        <w:rPr>
          <w:rFonts w:ascii="Palatino Linotype" w:eastAsia="Palatino Linotype" w:hAnsi="Palatino Linotype" w:cs="Palatino Linotype"/>
          <w:b/>
          <w:sz w:val="24"/>
          <w:szCs w:val="24"/>
        </w:rPr>
        <w:t>la resoluciones</w:t>
      </w:r>
      <w:proofErr w:type="gramEnd"/>
      <w:r w:rsidRPr="008157E4">
        <w:rPr>
          <w:rFonts w:ascii="Palatino Linotype" w:eastAsia="Palatino Linotype" w:hAnsi="Palatino Linotype" w:cs="Palatino Linotype"/>
          <w:b/>
          <w:sz w:val="24"/>
          <w:szCs w:val="24"/>
        </w:rPr>
        <w:t xml:space="preserve"> a los procedimientos que derivaron en sanciones administrativas no graves concluidos de manera absolutoria o condenatoria, serán de acceso público en versión pública</w:t>
      </w:r>
      <w:r w:rsidRPr="008157E4">
        <w:rPr>
          <w:rFonts w:ascii="Palatino Linotype" w:eastAsia="Palatino Linotype" w:hAnsi="Palatino Linotype" w:cs="Palatino Linotype"/>
          <w:sz w:val="24"/>
          <w:szCs w:val="24"/>
        </w:rPr>
        <w:t>, clasificando como información confidencial el nombre, cargo, y en su caso la sanción que se hubiese impuesto, para lo cual deberá ser emitido por el Comité de Transparencia del Sujeto Obligado, conforme a lo establecido en el considerando quinto.</w:t>
      </w:r>
    </w:p>
    <w:p w14:paraId="26FECD7A" w14:textId="77777777" w:rsidR="00230A6E" w:rsidRPr="008157E4" w:rsidRDefault="00230A6E">
      <w:pPr>
        <w:spacing w:after="0" w:line="360" w:lineRule="auto"/>
        <w:jc w:val="both"/>
        <w:rPr>
          <w:rFonts w:ascii="Palatino Linotype" w:eastAsia="Palatino Linotype" w:hAnsi="Palatino Linotype" w:cs="Palatino Linotype"/>
          <w:sz w:val="28"/>
          <w:szCs w:val="28"/>
        </w:rPr>
      </w:pPr>
    </w:p>
    <w:p w14:paraId="181D86A2" w14:textId="77777777" w:rsidR="00230A6E" w:rsidRPr="008157E4" w:rsidRDefault="006E2CFE">
      <w:pPr>
        <w:numPr>
          <w:ilvl w:val="0"/>
          <w:numId w:val="6"/>
        </w:numPr>
        <w:pBdr>
          <w:top w:val="nil"/>
          <w:left w:val="nil"/>
          <w:bottom w:val="nil"/>
          <w:right w:val="nil"/>
          <w:between w:val="nil"/>
        </w:pBdr>
        <w:spacing w:after="0" w:line="360" w:lineRule="auto"/>
        <w:ind w:left="0" w:right="49" w:hanging="284"/>
        <w:jc w:val="both"/>
        <w:rPr>
          <w:rFonts w:ascii="Palatino Linotype" w:eastAsia="Palatino Linotype" w:hAnsi="Palatino Linotype" w:cs="Palatino Linotype"/>
          <w:b/>
          <w:sz w:val="24"/>
          <w:szCs w:val="24"/>
        </w:rPr>
      </w:pPr>
      <w:r w:rsidRPr="008157E4">
        <w:rPr>
          <w:rFonts w:ascii="Palatino Linotype" w:eastAsia="Palatino Linotype" w:hAnsi="Palatino Linotype" w:cs="Palatino Linotype"/>
          <w:b/>
          <w:sz w:val="24"/>
          <w:szCs w:val="24"/>
        </w:rPr>
        <w:t xml:space="preserve">De las resoluciones a los procedimientos sobre faltas administrativas graves concluidos con sanción condenatoria. </w:t>
      </w:r>
    </w:p>
    <w:p w14:paraId="3FC2A901" w14:textId="77777777" w:rsidR="00230A6E" w:rsidRPr="008157E4" w:rsidRDefault="00230A6E">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29DA4F06" w14:textId="77777777" w:rsidR="00230A6E" w:rsidRPr="008157E4" w:rsidRDefault="006E2CF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Si las resoluciones de los expedientes requeridos por el particular, ya han causado estado, es decir, que ya no acepta recurso o medio de defensa alguno, es procedente entregar la información al recurrente pero en versión pública, dejando visible el nombre, cargo y sanción impuesta al Servidor Público condenado, no así todos los </w:t>
      </w:r>
      <w:r w:rsidRPr="008157E4">
        <w:rPr>
          <w:rFonts w:ascii="Palatino Linotype" w:eastAsia="Palatino Linotype" w:hAnsi="Palatino Linotype" w:cs="Palatino Linotype"/>
          <w:sz w:val="24"/>
          <w:szCs w:val="24"/>
        </w:rPr>
        <w:lastRenderedPageBreak/>
        <w:t>datos personales que en este se encuentren los que se deberán proteger, para lo cual el Sujeto Obligado deberá realizar y notificar el acuerdo de clasificación de la información relativa a los datos personales a efecto de que pueda emitir la versión pública de lo que se le solicitó, deberá clasificarla por la hipótesis análoga siendo aplicables los numerales de la Ley de la materia, que a la letra esgrimen:</w:t>
      </w:r>
    </w:p>
    <w:p w14:paraId="371673D8" w14:textId="77777777" w:rsidR="00230A6E" w:rsidRPr="008157E4" w:rsidRDefault="00230A6E">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366F710" w14:textId="77777777" w:rsidR="00230A6E" w:rsidRPr="008157E4" w:rsidRDefault="006E2CFE">
      <w:pPr>
        <w:spacing w:after="0" w:line="360" w:lineRule="auto"/>
        <w:ind w:left="851" w:right="822"/>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“Artículo 3. Para los efectos de la presente Ley se entenderá por:</w:t>
      </w:r>
    </w:p>
    <w:p w14:paraId="50211999" w14:textId="77777777" w:rsidR="00230A6E" w:rsidRPr="008157E4" w:rsidRDefault="006E2CFE">
      <w:pPr>
        <w:spacing w:line="276" w:lineRule="auto"/>
        <w:ind w:left="851" w:right="822"/>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w:t>
      </w:r>
    </w:p>
    <w:p w14:paraId="20DFD4EE" w14:textId="77777777" w:rsidR="00230A6E" w:rsidRPr="008157E4" w:rsidRDefault="006E2CFE">
      <w:pPr>
        <w:spacing w:line="276" w:lineRule="auto"/>
        <w:ind w:left="851" w:right="822"/>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IX. Datos personales: La información concerniente a una persona, identificada o identificable según lo dispuesto por la Ley de Protección de Datos Personales del Estado de México;</w:t>
      </w:r>
    </w:p>
    <w:p w14:paraId="45F879D7" w14:textId="77777777" w:rsidR="00230A6E" w:rsidRPr="008157E4" w:rsidRDefault="006E2CFE">
      <w:pPr>
        <w:spacing w:line="276" w:lineRule="auto"/>
        <w:ind w:left="851" w:right="822"/>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w:t>
      </w:r>
    </w:p>
    <w:p w14:paraId="6866FC9A" w14:textId="77777777" w:rsidR="00230A6E" w:rsidRPr="008157E4" w:rsidRDefault="006E2CFE">
      <w:pPr>
        <w:ind w:left="851" w:right="822"/>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XLV. Versión pública: Documento en el que se elimine, suprime o borra la información clasificada como reservada o confidencial para permitir su acceso.</w:t>
      </w:r>
    </w:p>
    <w:p w14:paraId="51F5956F" w14:textId="77777777" w:rsidR="00230A6E" w:rsidRPr="008157E4" w:rsidRDefault="006E2CFE">
      <w:pPr>
        <w:ind w:left="851" w:right="822"/>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Artículo 122. La clasificación es el proceso mediante el cual el Sujeto Obligado determina que la información en su poder </w:t>
      </w:r>
      <w:proofErr w:type="spellStart"/>
      <w:r w:rsidRPr="008157E4">
        <w:rPr>
          <w:rFonts w:ascii="Palatino Linotype" w:eastAsia="Palatino Linotype" w:hAnsi="Palatino Linotype" w:cs="Palatino Linotype"/>
          <w:i/>
        </w:rPr>
        <w:t>actualiza</w:t>
      </w:r>
      <w:proofErr w:type="spellEnd"/>
      <w:r w:rsidRPr="008157E4">
        <w:rPr>
          <w:rFonts w:ascii="Palatino Linotype" w:eastAsia="Palatino Linotype" w:hAnsi="Palatino Linotype" w:cs="Palatino Linotype"/>
          <w:i/>
        </w:rPr>
        <w:t xml:space="preserve"> alguno de los supuestos de reserva o confidencialidad, de conformidad con lo dispuesto en el presente título.</w:t>
      </w:r>
    </w:p>
    <w:p w14:paraId="557295F8" w14:textId="77777777" w:rsidR="00230A6E" w:rsidRPr="008157E4" w:rsidRDefault="006E2CFE">
      <w:pPr>
        <w:ind w:left="851" w:right="82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27F03259" w14:textId="77777777" w:rsidR="00230A6E" w:rsidRPr="008157E4" w:rsidRDefault="006E2CFE">
      <w:pPr>
        <w:ind w:left="851" w:right="822"/>
        <w:jc w:val="both"/>
        <w:rPr>
          <w:rFonts w:ascii="Palatino Linotype" w:eastAsia="Palatino Linotype" w:hAnsi="Palatino Linotype" w:cs="Palatino Linotype"/>
          <w:i/>
        </w:rPr>
      </w:pPr>
      <w:r w:rsidRPr="008157E4">
        <w:rPr>
          <w:rFonts w:ascii="Palatino Linotype" w:eastAsia="Palatino Linotype" w:hAnsi="Palatino Linotype" w:cs="Palatino Linotype"/>
          <w:i/>
        </w:rPr>
        <w:t>Artículo 132. La clasificación de la información se llevará a cabo en el momento en que:</w:t>
      </w:r>
    </w:p>
    <w:p w14:paraId="44C83F59" w14:textId="77777777" w:rsidR="00230A6E" w:rsidRPr="008157E4" w:rsidRDefault="006E2CFE">
      <w:pPr>
        <w:ind w:left="851" w:right="82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513309F4" w14:textId="77777777" w:rsidR="00230A6E" w:rsidRPr="008157E4" w:rsidRDefault="006E2CFE">
      <w:pPr>
        <w:ind w:left="851" w:right="822"/>
        <w:jc w:val="both"/>
        <w:rPr>
          <w:rFonts w:ascii="Palatino Linotype" w:eastAsia="Palatino Linotype" w:hAnsi="Palatino Linotype" w:cs="Palatino Linotype"/>
          <w:b/>
          <w:i/>
        </w:rPr>
      </w:pPr>
      <w:r w:rsidRPr="008157E4">
        <w:rPr>
          <w:rFonts w:ascii="Palatino Linotype" w:eastAsia="Palatino Linotype" w:hAnsi="Palatino Linotype" w:cs="Palatino Linotype"/>
          <w:b/>
          <w:i/>
        </w:rPr>
        <w:t>III. Se generen versiones públicas para dar cumplimiento a las obligaciones de transparencia previstas en esta Ley.</w:t>
      </w:r>
    </w:p>
    <w:p w14:paraId="2E11C091" w14:textId="77777777" w:rsidR="00230A6E" w:rsidRPr="008157E4" w:rsidRDefault="006E2CFE">
      <w:pPr>
        <w:ind w:left="851" w:right="822"/>
        <w:jc w:val="both"/>
        <w:rPr>
          <w:rFonts w:ascii="Palatino Linotype" w:eastAsia="Palatino Linotype" w:hAnsi="Palatino Linotype" w:cs="Palatino Linotype"/>
          <w:b/>
          <w:i/>
          <w:u w:val="single"/>
        </w:rPr>
      </w:pPr>
      <w:r w:rsidRPr="008157E4">
        <w:rPr>
          <w:rFonts w:ascii="Palatino Linotype" w:eastAsia="Palatino Linotype" w:hAnsi="Palatino Linotype" w:cs="Palatino Linotype"/>
          <w:b/>
          <w:i/>
        </w:rPr>
        <w:t xml:space="preserve">Artículo 137. Cuando un mismo medio, impreso o electrónico, contenga información pública y reservada o confidencial, la Unidad de Transparencia para efectos de atender una solicitud de información, </w:t>
      </w:r>
      <w:r w:rsidRPr="008157E4">
        <w:rPr>
          <w:rFonts w:ascii="Palatino Linotype" w:eastAsia="Palatino Linotype" w:hAnsi="Palatino Linotype" w:cs="Palatino Linotype"/>
          <w:b/>
          <w:i/>
        </w:rPr>
        <w:lastRenderedPageBreak/>
        <w:t xml:space="preserve">deberán elaborar una versión pública en la que se testen las partes o secciones clasificadas, indicando su contenido </w:t>
      </w:r>
      <w:r w:rsidRPr="008157E4">
        <w:rPr>
          <w:rFonts w:ascii="Palatino Linotype" w:eastAsia="Palatino Linotype" w:hAnsi="Palatino Linotype" w:cs="Palatino Linotype"/>
          <w:b/>
          <w:i/>
          <w:u w:val="single"/>
        </w:rPr>
        <w:t>de manera genérica y fundando y motivando su clasificación.” (Sic)</w:t>
      </w:r>
    </w:p>
    <w:p w14:paraId="7A1535DE" w14:textId="77777777" w:rsidR="00230A6E" w:rsidRPr="008157E4" w:rsidRDefault="00230A6E">
      <w:pPr>
        <w:spacing w:line="360" w:lineRule="auto"/>
        <w:ind w:right="49"/>
        <w:jc w:val="both"/>
        <w:rPr>
          <w:rFonts w:ascii="Palatino Linotype" w:eastAsia="Palatino Linotype" w:hAnsi="Palatino Linotype" w:cs="Palatino Linotype"/>
          <w:b/>
          <w:i/>
          <w:u w:val="single"/>
        </w:rPr>
      </w:pPr>
    </w:p>
    <w:p w14:paraId="1AC07286"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14:paraId="63F62F4E"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681BF1D"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A8DBE6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ACF8EC0"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Así, los LINEAMIENTOS GENERALES EN MATERIA DE CLASIFICACIÓN Y DESCLASIFICACIÓN DE LA INFORMACIÓN, ASÍ COMO PARA LA ELABORACIÓN DE VERSIONES PÚBLICAS, emitidos por Consejo Nacional del Sistema Nacional de Transparencia, señalan con claridad cuáles son aquellos datos </w:t>
      </w:r>
      <w:r w:rsidRPr="008157E4">
        <w:rPr>
          <w:rFonts w:ascii="Palatino Linotype" w:eastAsia="Palatino Linotype" w:hAnsi="Palatino Linotype" w:cs="Palatino Linotype"/>
          <w:sz w:val="24"/>
          <w:szCs w:val="24"/>
        </w:rPr>
        <w:lastRenderedPageBreak/>
        <w:t xml:space="preserve">personales que deben ser clasificados al momento de la elaboración de las versiones públicas. </w:t>
      </w:r>
    </w:p>
    <w:p w14:paraId="67A44133"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3663F7C"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Efectivamente, cuando se clasifica información como confidencial o reservada </w:t>
      </w:r>
      <w:r w:rsidRPr="008157E4">
        <w:rPr>
          <w:rFonts w:ascii="Palatino Linotype" w:eastAsia="Palatino Linotype" w:hAnsi="Palatino Linotype" w:cs="Palatino Linotype"/>
          <w:b/>
          <w:sz w:val="24"/>
          <w:szCs w:val="24"/>
        </w:rPr>
        <w:t>es deber someterlo al Comité de Transparencia</w:t>
      </w:r>
      <w:r w:rsidRPr="008157E4">
        <w:rPr>
          <w:rFonts w:ascii="Palatino Linotype" w:eastAsia="Palatino Linotype" w:hAnsi="Palatino Linotype" w:cs="Palatino Linotype"/>
          <w:sz w:val="24"/>
          <w:szCs w:val="24"/>
        </w:rPr>
        <w:t>, quien debe confirmar, modificar o revocar las determinaciones en materia de clasificación de la información que realicen los titulares de las áreas de los sujetos obligados; por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49E387D"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4E9CEF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otro lado, si bien es cierto, que entregar el nombre de los servidores públicos que obtuvieron alguna sanción, podría generar una percepción negativa de estos, ocasionando un perjuicio en su honor, intimidad, buena imagen y nombre, así como a su vida privada, también lo es, que en el presente caso se trata de responsabilidades graves.</w:t>
      </w:r>
    </w:p>
    <w:p w14:paraId="78B6362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148F84D"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Al respecto, se puede establecer responsabilidades graves, cuando un servidor público cometa actos de corrupción, desvío de recursos públicos, abuso de funciones, realizar hostigamiento y acoso sexual, enriquecimiento oculto, tráfico de influencias, entre otros, los cuales recaer en diversas sanciones, entre las que se encuentran la recisión, o en su caso, la sanción económica.</w:t>
      </w:r>
    </w:p>
    <w:p w14:paraId="676A4C01"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3F2BEBE"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Además, cabe señalar que la mayoría de dichas conductas, se encuentran reguladas en el Título Sexto Delitos por Hechos de Corrupción, del Código Penal del Estado de México, en donde se prevé como delitos el abuso de autoridad, uso ilícito de atribuciones, ejercicio abusivo de funciones y enriquecimiento ilícito.</w:t>
      </w:r>
    </w:p>
    <w:p w14:paraId="428C786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1F4118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Conforme a lo anterior, se logra vislumbrar que las responsabilidades graves, causan un perjuicio de manera externa, esto es, a terceras personas o bien, a la hacienda o erario público; por lo que, se podría considerar que existe una trascendencia social, para dar a conocer dicha información, además que se relacionan dichas conductas con actos de corrupción, conforme a la normatividad citada en el párrafo previo.</w:t>
      </w:r>
    </w:p>
    <w:p w14:paraId="2B509F5D"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EFE854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ese orden de ideas, si bien los procedimientos solicitados, podrían generar una percepción negativa de los servidores públicos que les acreditó una responsabilidad grave, ocasionaría un perjuicio en su honor, intimidad y buena imagen, también lo es que existe un interés público en darlas a conocer, pues establecen que el actuar de los Servidores Públicos, en ejercicio de sus atribuciones, fueron en contra de las </w:t>
      </w:r>
      <w:r w:rsidRPr="008157E4">
        <w:rPr>
          <w:rFonts w:ascii="Palatino Linotype" w:eastAsia="Palatino Linotype" w:hAnsi="Palatino Linotype" w:cs="Palatino Linotype"/>
          <w:sz w:val="24"/>
          <w:szCs w:val="24"/>
        </w:rPr>
        <w:lastRenderedPageBreak/>
        <w:t>disposiciones normativas aplicables y que causaron un perjuicio a otras personas o al erario público.</w:t>
      </w:r>
    </w:p>
    <w:p w14:paraId="154BF479"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1DEE8D37"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Ante tales circunstancias, se desprende que, en el caso concreto, sobreviene una colisión de derechos fundamentales, esto es, por una parte, se tiene el derecho de acceso a la información de la Particular para conocer la información en análisis, y por la otra, el derecho a la protección de la vida privada de diversos servidores públicos, lo cual implica dar a conocer información confidencial, consistente en los procedimientos en donde se les acredito una responsabilidad grave, de tal manera, en que los puedan reconocer. </w:t>
      </w:r>
    </w:p>
    <w:p w14:paraId="63AC46DA"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3270B2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Sobre el particular, debe señalarse que, en un sistema jurídico racional, el contenido de ciertos derechos fundamentales no es absoluto y la colisión entre derechos fundamentales debe resolverse mediante una ponderación que determine el derecho que ha de prevalecer en el caso concretó, y no apelando a reglas de prioridad entre normas.</w:t>
      </w:r>
    </w:p>
    <w:p w14:paraId="6BE4084C"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61F34BC"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cuanto hace a la colisión entre el derecho a la información y el derecho a la intimidad o a la vida privada, el Poder Judicial de la Federación ha sostenido la necesidad de resolver el conflicto apuntado mediante el ejercicio de ponderación; además, que el interés público que tenga cierta información, será concepto legitimador de las intromisiones en la intimidad o la vida privada, en donde este derecho debe ceder a favor del derecho a comunicar y recibir información, </w:t>
      </w:r>
      <w:r w:rsidRPr="008157E4">
        <w:rPr>
          <w:rFonts w:ascii="Palatino Linotype" w:eastAsia="Palatino Linotype" w:hAnsi="Palatino Linotype" w:cs="Palatino Linotype"/>
          <w:sz w:val="24"/>
          <w:szCs w:val="24"/>
        </w:rPr>
        <w:lastRenderedPageBreak/>
        <w:t>atendiendo a las circunstancias de cada caso en concreto, tal y como se desprende de la tesis 1a. XLIII/2010, emitida por la Primera Sala de la Suprema Corte de Justicia de la Nación, publicada en el Semanario Judicial de la Federación y su Gaceta, Tomo XXXI, página 928, de marzo de 2010, Novena Época, materia constitucional.</w:t>
      </w:r>
    </w:p>
    <w:p w14:paraId="1636E42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2DB1CBB"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ese mismo sentido y atendiendo a la naturaleza del derecho a la protección de datos personales, por analogía, este debe ceder cuando exista un interés público mayor de acuerdo a las circunstancias del caso. Señalado lo anterior, resulta necesario realizar una ponderación de los dos intereses jurídicos tutelados que convergen en la controversia que se dirime; para lo cual, el artículo 184 de la Ley de Transparencia y Acceso a la Información Pública del Estado de México y Municipios prevé que cuando exista una colisión de derechos, este Instituto, al resolver el recurso de revisión, debe aplicar una prueba de interés público con base en elementos de idoneidad, necesidad y proporcionalidad. Para estos efectos, se entenderá por: </w:t>
      </w:r>
    </w:p>
    <w:p w14:paraId="3AEA221A" w14:textId="77777777" w:rsidR="00230A6E" w:rsidRPr="008157E4" w:rsidRDefault="00230A6E">
      <w:pPr>
        <w:spacing w:after="0" w:line="360" w:lineRule="auto"/>
        <w:jc w:val="both"/>
        <w:rPr>
          <w:rFonts w:ascii="Palatino Linotype" w:eastAsia="Palatino Linotype" w:hAnsi="Palatino Linotype" w:cs="Palatino Linotype"/>
          <w:sz w:val="28"/>
          <w:szCs w:val="28"/>
        </w:rPr>
      </w:pPr>
    </w:p>
    <w:p w14:paraId="432B1610" w14:textId="77777777" w:rsidR="00230A6E" w:rsidRPr="008157E4" w:rsidRDefault="006E2CFE">
      <w:pPr>
        <w:numPr>
          <w:ilvl w:val="0"/>
          <w:numId w:val="3"/>
        </w:numPr>
        <w:spacing w:after="0" w:line="360" w:lineRule="auto"/>
        <w:ind w:left="851" w:hanging="426"/>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Idoneidad:</w:t>
      </w:r>
      <w:r w:rsidRPr="008157E4">
        <w:rPr>
          <w:rFonts w:ascii="Palatino Linotype" w:eastAsia="Palatino Linotype" w:hAnsi="Palatino Linotype" w:cs="Palatino Linotype"/>
          <w:sz w:val="24"/>
          <w:szCs w:val="24"/>
        </w:rPr>
        <w:t xml:space="preserve"> La legitimidad del derecho adoptado como preferente, que sea el adecuado para el logro de un fin constitucionalmente válido o apto para conseguir el fin pretendido;</w:t>
      </w:r>
    </w:p>
    <w:p w14:paraId="66FA3CC0" w14:textId="77777777" w:rsidR="00230A6E" w:rsidRPr="008157E4" w:rsidRDefault="006E2CFE">
      <w:pPr>
        <w:numPr>
          <w:ilvl w:val="0"/>
          <w:numId w:val="3"/>
        </w:numPr>
        <w:spacing w:after="0" w:line="360" w:lineRule="auto"/>
        <w:ind w:left="851" w:hanging="426"/>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Necesidad:</w:t>
      </w:r>
      <w:r w:rsidRPr="008157E4">
        <w:rPr>
          <w:rFonts w:ascii="Palatino Linotype" w:eastAsia="Palatino Linotype" w:hAnsi="Palatino Linotype" w:cs="Palatino Linotype"/>
          <w:sz w:val="24"/>
          <w:szCs w:val="24"/>
        </w:rPr>
        <w:t xml:space="preserve"> La falta de un medio alternativo menos lesivo a la apertura de la información, para satisfacer el interés público, y</w:t>
      </w:r>
    </w:p>
    <w:p w14:paraId="28F982E5" w14:textId="77777777" w:rsidR="00230A6E" w:rsidRPr="008157E4" w:rsidRDefault="006E2CFE">
      <w:pPr>
        <w:numPr>
          <w:ilvl w:val="0"/>
          <w:numId w:val="3"/>
        </w:numPr>
        <w:spacing w:after="0" w:line="360" w:lineRule="auto"/>
        <w:ind w:left="851" w:hanging="426"/>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lastRenderedPageBreak/>
        <w:t>Proporcionalidad:</w:t>
      </w:r>
      <w:r w:rsidRPr="008157E4">
        <w:rPr>
          <w:rFonts w:ascii="Palatino Linotype" w:eastAsia="Palatino Linotype" w:hAnsi="Palatino Linotype" w:cs="Palatino Linotype"/>
          <w:sz w:val="24"/>
          <w:szCs w:val="24"/>
        </w:rPr>
        <w:t xml:space="preserve"> El equilibrio entre perjuicio y beneficio a favor del interés público, a fin de que la decisión tomada represente un beneficio mayor al perjuicio que podría causar a la población.</w:t>
      </w:r>
    </w:p>
    <w:p w14:paraId="071F495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64C256D"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ese orden de ideas, resulta procedente analizar cada uno de los elementos referidos, partiendo de que, en el caso concreto, se estima como preferente el derecho de acceso a la información, bajo las consideraciones que se verterán a continuación.</w:t>
      </w:r>
    </w:p>
    <w:p w14:paraId="4244BC9C"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20489BB"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a) Idoneidad</w:t>
      </w:r>
      <w:r w:rsidRPr="008157E4">
        <w:rPr>
          <w:rFonts w:ascii="Palatino Linotype" w:eastAsia="Palatino Linotype" w:hAnsi="Palatino Linotype" w:cs="Palatino Linotype"/>
          <w:sz w:val="24"/>
          <w:szCs w:val="24"/>
        </w:rPr>
        <w:t>. El presente asunto representa un caso en el que el ejercicio del derecho de acceso a la información se contrapone al derecho a la vida privada, los cuales se encuentran reconocidos en el plano constitucional, en igualdad de características para los gobernados.</w:t>
      </w:r>
    </w:p>
    <w:p w14:paraId="6324BBB3" w14:textId="77777777" w:rsidR="00230A6E" w:rsidRPr="008157E4" w:rsidRDefault="00230A6E">
      <w:pPr>
        <w:spacing w:after="0" w:line="360" w:lineRule="auto"/>
        <w:jc w:val="both"/>
        <w:rPr>
          <w:rFonts w:ascii="Palatino Linotype" w:eastAsia="Palatino Linotype" w:hAnsi="Palatino Linotype" w:cs="Palatino Linotype"/>
          <w:b/>
          <w:sz w:val="24"/>
          <w:szCs w:val="24"/>
        </w:rPr>
      </w:pPr>
    </w:p>
    <w:p w14:paraId="1341AA0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Sin embargo, existen dos fines válidos para otorgar los acuerdos emitidos en los expedientes de procedimientos de responsabilidades graves; los cuales, consisten en transparentar, por un lado, el desempeño de dichos trabajadores en cuestión en el ejercicio de sus funciones, sobre todo, dado que se tratan de servidores públicos, con la finalidad de calificar su actuar, ello con independencia de que tal funcionario también revista el carácter de persona física identificada e identificable, y, por otro lado, la actividad desplegada por el Sujeto Obligado, en la investigación y determinación de los asuntos. Aunado, a que se relacionan con responsabilidades calificadas como graves.</w:t>
      </w:r>
    </w:p>
    <w:p w14:paraId="5924ACE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F09018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Ahora bien, respecto al derecho al honor y a la privacidad, es establecido que cuando se hace referencia a servidores públicos, el umbral de protección del derecho a su honor debe permitir el más amplio control ciudadano sobre el ejercicio de sus funciones, porque el funcionario público se expone voluntariamente al escrutinio de la sociedad al asumir ciertas responsabilidades profesionales -lo que conlleva naturalmente mayores riesgos de sufrir afectaciones en su honor- y, porque su condición le permite tener mayor influencia social y acceder con facilidad a los medios de comunicación para dar explicaciones o reaccionar ante hechos que lo involucren.</w:t>
      </w:r>
    </w:p>
    <w:p w14:paraId="478BED4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E19E1C1"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Así, se advierte que aquellas personas con responsabilidades públicas mantienen la protección derivada del derecho al honor incluso cuando no estén actuando en carácter de particulares, pero las implicaciones de esta protección deben ser ponderadas con las que derivan del interés en un debate abierto sobre los asuntos públicos.</w:t>
      </w:r>
    </w:p>
    <w:p w14:paraId="21F68EB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ACDE80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ese sentido, el hecho de que los servidores públicos concluyan sus funciones, no implica que termine el mayor nivel de tolerancia frente a la crítica de su desempeño, es decir, no significa que una vez que el servidor público termine su encargo, debe estar vedado publicar información respecto de su desempeño o que se termine el mayor nivel de tolerancia que debe tener frente a la crítica, sino que ese mayor nivel, sólo se tiene frente a la información de interés público.</w:t>
      </w:r>
    </w:p>
    <w:p w14:paraId="184A734A" w14:textId="77777777" w:rsidR="00230A6E" w:rsidRPr="008157E4" w:rsidRDefault="00230A6E">
      <w:pPr>
        <w:spacing w:after="0" w:line="360" w:lineRule="auto"/>
        <w:jc w:val="both"/>
        <w:rPr>
          <w:rFonts w:ascii="Palatino Linotype" w:eastAsia="Palatino Linotype" w:hAnsi="Palatino Linotype" w:cs="Palatino Linotype"/>
          <w:sz w:val="28"/>
          <w:szCs w:val="28"/>
        </w:rPr>
      </w:pPr>
    </w:p>
    <w:p w14:paraId="7B359A32"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 xml:space="preserve">En ese contexto, dado que la información se relaciona con el actuar de los servidores públicos, existe un interés público por conocer los procedimientos generados en análisis vinculados con el nombre del servidor público sancionado, y, por lo tanto, la información del interés del particular no es susceptible de protección en tanto que su vinculación con una persona determinada reviste un interés público mayor de ser dado a conocer. </w:t>
      </w:r>
    </w:p>
    <w:p w14:paraId="526978D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34D693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Lo anterior, ya que como se precisó en párrafos anteriores, proporcionar la información de referencia, garantizaría la rendición de cuentas por parte de la Contraloría Municipal del Sujeto Obligado, relativo a su actuación, teniendo como consecuencia que los ciudadanos tengan confianza en sus autoridades, al poder conocer todos los documentos derivados de los procedimientos administrativos disciplinarios y que hayan concluido con resolución en donde se determine que un servidor público tuvo responsabilidades graves, relacionadas al ejercicio de las funciones.</w:t>
      </w:r>
    </w:p>
    <w:p w14:paraId="3BC9EA53"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C2F445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Además, que, con dicha información, se estaría revelando que el desempeño de los servidores públicos sancionados, no fue conforme a derecho, asimismo, de dar a conocer que los referidos acreditaron que había cometido alguna responsabilidad grave.</w:t>
      </w:r>
    </w:p>
    <w:p w14:paraId="4C5DEE23"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A858C7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Con base en lo anterior, se considera que el principio que se debe adoptar en el presente asunto es el que subyace en el derecho fundamental de acceso a la </w:t>
      </w:r>
      <w:r w:rsidRPr="008157E4">
        <w:rPr>
          <w:rFonts w:ascii="Palatino Linotype" w:eastAsia="Palatino Linotype" w:hAnsi="Palatino Linotype" w:cs="Palatino Linotype"/>
          <w:sz w:val="24"/>
          <w:szCs w:val="24"/>
        </w:rPr>
        <w:lastRenderedPageBreak/>
        <w:t>información, puesto que a través de éste se busca no sólo satisfacer un interés individual, sino la necesidad de la colectividad de estar en posibilidad de evaluar el desempeño de los servidores públicos y autoridades.</w:t>
      </w:r>
    </w:p>
    <w:p w14:paraId="006A32E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52EBB6E" w14:textId="77777777" w:rsidR="00230A6E" w:rsidRPr="008157E4" w:rsidRDefault="006E2CFE">
      <w:pPr>
        <w:spacing w:after="0" w:line="360" w:lineRule="auto"/>
        <w:jc w:val="both"/>
        <w:rPr>
          <w:rFonts w:ascii="Palatino Linotype" w:eastAsia="Palatino Linotype" w:hAnsi="Palatino Linotype" w:cs="Palatino Linotype"/>
          <w:sz w:val="24"/>
          <w:szCs w:val="24"/>
        </w:rPr>
      </w:pPr>
      <w:bookmarkStart w:id="1" w:name="_heading=h.tyjcwt" w:colFirst="0" w:colLast="0"/>
      <w:bookmarkEnd w:id="1"/>
      <w:r w:rsidRPr="008157E4">
        <w:rPr>
          <w:rFonts w:ascii="Palatino Linotype" w:eastAsia="Palatino Linotype" w:hAnsi="Palatino Linotype" w:cs="Palatino Linotype"/>
          <w:b/>
          <w:sz w:val="24"/>
          <w:szCs w:val="24"/>
        </w:rPr>
        <w:t xml:space="preserve">b) Necesidad: </w:t>
      </w:r>
      <w:r w:rsidRPr="008157E4">
        <w:rPr>
          <w:rFonts w:ascii="Palatino Linotype" w:eastAsia="Palatino Linotype" w:hAnsi="Palatino Linotype" w:cs="Palatino Linotype"/>
          <w:sz w:val="24"/>
          <w:szCs w:val="24"/>
        </w:rPr>
        <w:t>Por otra parte, este Instituto observa que también se actualiza el principio de necesidad, ya que no existe un medio menos oneroso para lograr el fin válido, pues se estima necesaria la difusión de la información requerida, es decir, de los procedimientos en análisis vinculándolos al servidor público sancionado, pues se relacionan con el ejercicio de sus funciones de los cargos ocupados, a fin de que los ciudadanos identifiquen el tipo de desempeño efectuado por el trabajador, en el ejercicio de sus atribuciones y así, calificar su actuar, ello con independencia de que el funcionario también revista el carácter de persona física identificada e identificable, pues, tal como se hizo alusión en el análisis que precede, la protección de sus datos personales queda supeditada al interés mayor de conocer los motivos y circunstancias que dieron origen a las posibles responsabilidades instauradas en su contra, que en su caso obren en los archivos.</w:t>
      </w:r>
    </w:p>
    <w:p w14:paraId="6CD92EB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2E14FC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Además, ello permite evaluar la actuación del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pues se podrá advertir la forma en la que ejercieron las funciones que legalmente tienen conferidas.</w:t>
      </w:r>
    </w:p>
    <w:p w14:paraId="78BEF356"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08A2D37"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Lo anterior, considerando que sólo por esta vía se podría lograr el acceso a la información correspondiente a los documentos del interés de la Particular, para </w:t>
      </w:r>
      <w:r w:rsidRPr="008157E4">
        <w:rPr>
          <w:rFonts w:ascii="Palatino Linotype" w:eastAsia="Palatino Linotype" w:hAnsi="Palatino Linotype" w:cs="Palatino Linotype"/>
          <w:sz w:val="24"/>
          <w:szCs w:val="24"/>
        </w:rPr>
        <w:lastRenderedPageBreak/>
        <w:t>garantizar la rendición de cuentas sobre su actuación, así como, la de los servidores públicos sancionados.</w:t>
      </w:r>
    </w:p>
    <w:p w14:paraId="5FF5844D"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8E15856"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tal virtud, por la trascendencia social de la materia del requerimiento, el derecho de acceso a la información deberá prevalecer sobre el derecho a la privacidad.</w:t>
      </w:r>
    </w:p>
    <w:p w14:paraId="2806B75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4B3F46C"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c) Proporcionalidad en sentido estricto:</w:t>
      </w:r>
      <w:r w:rsidRPr="008157E4">
        <w:rPr>
          <w:rFonts w:ascii="Palatino Linotype" w:eastAsia="Palatino Linotype" w:hAnsi="Palatino Linotype" w:cs="Palatino Linotype"/>
          <w:sz w:val="24"/>
          <w:szCs w:val="24"/>
        </w:rPr>
        <w:t xml:space="preserve"> El sacrificio de la protección del nombre de los servidores públicos, en caso de que hayan sido sujetos a proceso y cuente con una resolución sancionatoria por haber cometido responsabilidades graves, relacionadas con el desempeño de sus funciones, como medio para lograr el fin válido señalado, se justifica en razón de que se satisface el interés público en conocer el desempeño de sus funciones como trabajador gubernamental y elemento de la institución policial, esto es, que no operó conforme a derecho, así como, la actividad desplegada por las autoridades correspondientes, en el trámite de dichos asuntos. Además, que como se precisó en párrafos previos, dichas faltas recaen en una afectación, para terceras personas, o bien, al erario público.</w:t>
      </w:r>
    </w:p>
    <w:p w14:paraId="26B4A41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esta manera, se logra un mayor beneficio en proporción del otro derecho que se verá restringido, logrando publicitar información que es de interés público, por lo que, se advierte que el daño que se causaría con su difusión es menor a aquél que se causaría con su resguardo.</w:t>
      </w:r>
    </w:p>
    <w:p w14:paraId="7B079317"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CA2D4E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En ese orden de ideas, es posible advertir un margen de beneficio mayor al favorecer el derecho de acceso a la información, respecto del derecho a la vida privada; por lo </w:t>
      </w:r>
      <w:r w:rsidRPr="008157E4">
        <w:rPr>
          <w:rFonts w:ascii="Palatino Linotype" w:eastAsia="Palatino Linotype" w:hAnsi="Palatino Linotype" w:cs="Palatino Linotype"/>
          <w:sz w:val="24"/>
          <w:szCs w:val="24"/>
        </w:rPr>
        <w:lastRenderedPageBreak/>
        <w:t>que, la intervención que subsume este ejercicio de ponderación apunta a la obtención de mayores efectos positivos y una afectación menor en la esfera de privacidad de los servidores públicos.</w:t>
      </w:r>
    </w:p>
    <w:p w14:paraId="3DCEDCB7"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3F62BE0"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Lo anterior se robustece con el hecho de que la difusión de la información solicitada contribuiría a garantizar el ejercicio de acceso a la información, a favorecer la rendición de cuentas a los ciudadanos, de manera que puedan valorar el desempeño de los sujetos obligados y servidores públicos, además de fortalecer el escrutinio ciudadano sobre las actividades sustantivas de los sujetos obligados, en cumplimiento a los objetivos previstos en el artículo 2° de la Ley Federal de Transparencia y Acceso a la Información Pública.</w:t>
      </w:r>
    </w:p>
    <w:p w14:paraId="55FE109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0ECF06A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tanto, se concluye que, al tenor de la ponderación realizada, se cumple con los tres elementos para darle preminencia, en el caso concreto, al derecho de acceso a la información.</w:t>
      </w:r>
    </w:p>
    <w:p w14:paraId="373F55C4"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13CA07E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Por lo expuesto, se determina que los procedimientos de responsabilidades graves vinculados con el nombre de los servidores públicos o ex trabajadores, guardan la naturaleza pública, en razón de que, si bien la difusión de los mismos afectaría los derechos a la confidencialidad, a la privacidad, al honor y a la propia imagen, también lo es que tratándose de asuntos relacionados con actos de responsabilidad graves, tales prerrogativas quedan supeditadas al interés mayor de conocer tales </w:t>
      </w:r>
      <w:r w:rsidRPr="008157E4">
        <w:rPr>
          <w:rFonts w:ascii="Palatino Linotype" w:eastAsia="Palatino Linotype" w:hAnsi="Palatino Linotype" w:cs="Palatino Linotype"/>
          <w:sz w:val="24"/>
          <w:szCs w:val="24"/>
        </w:rPr>
        <w:lastRenderedPageBreak/>
        <w:t>eventualidades y por lo tanto no precede su clasificación en términos del artículo 143, fracción I de la Ley de la materia.</w:t>
      </w:r>
    </w:p>
    <w:p w14:paraId="489E48F7"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B6204F7"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Conforme a lo anterior, se concluye que el sujeto obligado únicamente se encuentra constreñido, a proporcionar los procedimientos que ya hayan causado estado, sin testar el nombre de servidores públicos que fueron sancionados por responsabilidades graves.</w:t>
      </w:r>
    </w:p>
    <w:p w14:paraId="7A6584BE"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3A26789" w14:textId="77777777" w:rsidR="00230A6E" w:rsidRPr="008157E4" w:rsidRDefault="006E2CFE">
      <w:pPr>
        <w:numPr>
          <w:ilvl w:val="0"/>
          <w:numId w:val="1"/>
        </w:numPr>
        <w:pBdr>
          <w:top w:val="nil"/>
          <w:left w:val="nil"/>
          <w:bottom w:val="nil"/>
          <w:right w:val="nil"/>
          <w:between w:val="nil"/>
        </w:pBdr>
        <w:spacing w:line="360" w:lineRule="auto"/>
        <w:ind w:left="1418" w:right="900" w:hanging="284"/>
        <w:jc w:val="both"/>
        <w:rPr>
          <w:rFonts w:ascii="Palatino Linotype" w:eastAsia="Palatino Linotype" w:hAnsi="Palatino Linotype" w:cs="Palatino Linotype"/>
          <w:b/>
          <w:sz w:val="24"/>
          <w:szCs w:val="24"/>
        </w:rPr>
      </w:pPr>
      <w:r w:rsidRPr="008157E4">
        <w:rPr>
          <w:rFonts w:ascii="Palatino Linotype" w:eastAsia="Palatino Linotype" w:hAnsi="Palatino Linotype" w:cs="Palatino Linotype"/>
          <w:b/>
          <w:sz w:val="24"/>
          <w:szCs w:val="24"/>
        </w:rPr>
        <w:t>Resoluciones de Procedimientos de sanciones graves absolutorias, concluidos.</w:t>
      </w:r>
    </w:p>
    <w:p w14:paraId="286AA5A6" w14:textId="77777777" w:rsidR="00230A6E" w:rsidRPr="008157E4" w:rsidRDefault="006E2CFE">
      <w:pPr>
        <w:spacing w:before="160"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Si las resoluciones requeridas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1E61919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Carta Magna dispone que toda persona tiene derecho a la protección de sus datos </w:t>
      </w:r>
      <w:r w:rsidRPr="008157E4">
        <w:rPr>
          <w:rFonts w:ascii="Palatino Linotype" w:eastAsia="Palatino Linotype" w:hAnsi="Palatino Linotype" w:cs="Palatino Linotype"/>
          <w:sz w:val="24"/>
          <w:szCs w:val="24"/>
        </w:rPr>
        <w:lastRenderedPageBreak/>
        <w:t>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201B4837"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1AE313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22A2A62E"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4CE0A14"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7F65732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concordancia con lo previo, el artículo 143, fracción I, de la Ley previamente citada, establece que la información privada y los datos personales, concernientes a una persona física identificada o identificable son confidenciales.</w:t>
      </w:r>
    </w:p>
    <w:p w14:paraId="71FFDA30"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F624BA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w:t>
      </w:r>
      <w:r w:rsidRPr="008157E4">
        <w:rPr>
          <w:rFonts w:ascii="Palatino Linotype" w:eastAsia="Palatino Linotype" w:hAnsi="Palatino Linotype" w:cs="Palatino Linotype"/>
          <w:b/>
          <w:sz w:val="24"/>
          <w:szCs w:val="24"/>
        </w:rPr>
        <w:t xml:space="preserve">i) </w:t>
      </w:r>
      <w:r w:rsidRPr="008157E4">
        <w:rPr>
          <w:rFonts w:ascii="Palatino Linotype" w:eastAsia="Palatino Linotype" w:hAnsi="Palatino Linotype" w:cs="Palatino Linotype"/>
          <w:sz w:val="24"/>
          <w:szCs w:val="24"/>
        </w:rPr>
        <w:t xml:space="preserve">la información se encuentre en registros públicos o fuentes de acceso público, </w:t>
      </w:r>
      <w:proofErr w:type="spellStart"/>
      <w:r w:rsidRPr="008157E4">
        <w:rPr>
          <w:rFonts w:ascii="Palatino Linotype" w:eastAsia="Palatino Linotype" w:hAnsi="Palatino Linotype" w:cs="Palatino Linotype"/>
          <w:b/>
          <w:sz w:val="24"/>
          <w:szCs w:val="24"/>
        </w:rPr>
        <w:t>ii</w:t>
      </w:r>
      <w:proofErr w:type="spellEnd"/>
      <w:r w:rsidRPr="008157E4">
        <w:rPr>
          <w:rFonts w:ascii="Palatino Linotype" w:eastAsia="Palatino Linotype" w:hAnsi="Palatino Linotype" w:cs="Palatino Linotype"/>
          <w:b/>
          <w:sz w:val="24"/>
          <w:szCs w:val="24"/>
        </w:rPr>
        <w:t>)</w:t>
      </w:r>
      <w:r w:rsidRPr="008157E4">
        <w:rPr>
          <w:rFonts w:ascii="Palatino Linotype" w:eastAsia="Palatino Linotype" w:hAnsi="Palatino Linotype" w:cs="Palatino Linotype"/>
          <w:sz w:val="24"/>
          <w:szCs w:val="24"/>
        </w:rPr>
        <w:t xml:space="preserve"> por ley tenga el carácter de pública, </w:t>
      </w:r>
      <w:proofErr w:type="spellStart"/>
      <w:r w:rsidRPr="008157E4">
        <w:rPr>
          <w:rFonts w:ascii="Palatino Linotype" w:eastAsia="Palatino Linotype" w:hAnsi="Palatino Linotype" w:cs="Palatino Linotype"/>
          <w:b/>
          <w:sz w:val="24"/>
          <w:szCs w:val="24"/>
        </w:rPr>
        <w:t>iii</w:t>
      </w:r>
      <w:proofErr w:type="spellEnd"/>
      <w:r w:rsidRPr="008157E4">
        <w:rPr>
          <w:rFonts w:ascii="Palatino Linotype" w:eastAsia="Palatino Linotype" w:hAnsi="Palatino Linotype" w:cs="Palatino Linotype"/>
          <w:b/>
          <w:sz w:val="24"/>
          <w:szCs w:val="24"/>
        </w:rPr>
        <w:t>)</w:t>
      </w:r>
      <w:r w:rsidRPr="008157E4">
        <w:rPr>
          <w:rFonts w:ascii="Palatino Linotype" w:eastAsia="Palatino Linotype" w:hAnsi="Palatino Linotype" w:cs="Palatino Linotype"/>
          <w:sz w:val="24"/>
          <w:szCs w:val="24"/>
        </w:rPr>
        <w:t xml:space="preserve"> exista una orden judicial, </w:t>
      </w:r>
      <w:proofErr w:type="spellStart"/>
      <w:r w:rsidRPr="008157E4">
        <w:rPr>
          <w:rFonts w:ascii="Palatino Linotype" w:eastAsia="Palatino Linotype" w:hAnsi="Palatino Linotype" w:cs="Palatino Linotype"/>
          <w:b/>
          <w:sz w:val="24"/>
          <w:szCs w:val="24"/>
        </w:rPr>
        <w:t>iv</w:t>
      </w:r>
      <w:proofErr w:type="spellEnd"/>
      <w:r w:rsidRPr="008157E4">
        <w:rPr>
          <w:rFonts w:ascii="Palatino Linotype" w:eastAsia="Palatino Linotype" w:hAnsi="Palatino Linotype" w:cs="Palatino Linotype"/>
          <w:b/>
          <w:sz w:val="24"/>
          <w:szCs w:val="24"/>
        </w:rPr>
        <w:t>)</w:t>
      </w:r>
      <w:r w:rsidRPr="008157E4">
        <w:rPr>
          <w:rFonts w:ascii="Palatino Linotype" w:eastAsia="Palatino Linotype" w:hAnsi="Palatino Linotype" w:cs="Palatino Linotype"/>
          <w:sz w:val="24"/>
          <w:szCs w:val="24"/>
        </w:rPr>
        <w:t xml:space="preserve"> por razones de seguridad nacional y salubridad general o </w:t>
      </w:r>
      <w:r w:rsidRPr="008157E4">
        <w:rPr>
          <w:rFonts w:ascii="Palatino Linotype" w:eastAsia="Palatino Linotype" w:hAnsi="Palatino Linotype" w:cs="Palatino Linotype"/>
          <w:b/>
          <w:sz w:val="24"/>
          <w:szCs w:val="24"/>
        </w:rPr>
        <w:t>v)</w:t>
      </w:r>
      <w:r w:rsidRPr="008157E4">
        <w:rPr>
          <w:rFonts w:ascii="Palatino Linotype" w:eastAsia="Palatino Linotype" w:hAnsi="Palatino Linotype" w:cs="Palatino Linotype"/>
          <w:sz w:val="24"/>
          <w:szCs w:val="24"/>
        </w:rPr>
        <w:t xml:space="preserve"> para proteger los derechos de terceros o cuando se transmita entre sujetos obligados en términos de los tratados y los acuerdos interinstitucionales.</w:t>
      </w:r>
    </w:p>
    <w:p w14:paraId="78FD85B5"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0FF5F9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términos de lo expuesto, la documentación y aquellos datos que se consideren confidenciales, serán una limitante del derecho de acceso a la información, siempre y cuando:</w:t>
      </w:r>
    </w:p>
    <w:p w14:paraId="500256C1" w14:textId="77777777" w:rsidR="00230A6E" w:rsidRPr="008157E4" w:rsidRDefault="006E2CFE">
      <w:pPr>
        <w:spacing w:after="0" w:line="360" w:lineRule="auto"/>
        <w:ind w:left="860" w:right="6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a).</w:t>
      </w:r>
      <w:r w:rsidRPr="008157E4">
        <w:rPr>
          <w:rFonts w:ascii="Palatino Linotype" w:eastAsia="Palatino Linotype" w:hAnsi="Palatino Linotype" w:cs="Palatino Linotype"/>
          <w:sz w:val="24"/>
          <w:szCs w:val="24"/>
        </w:rPr>
        <w:t xml:space="preserve"> Se trate de datos personales; esto es, información concerniente a una persona física y que ésta sea identificada o identificable.</w:t>
      </w:r>
    </w:p>
    <w:p w14:paraId="04C7077A" w14:textId="77777777" w:rsidR="00230A6E" w:rsidRPr="008157E4" w:rsidRDefault="006E2CFE">
      <w:pPr>
        <w:spacing w:after="0" w:line="360" w:lineRule="auto"/>
        <w:ind w:left="860" w:right="6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b).</w:t>
      </w:r>
      <w:r w:rsidRPr="008157E4">
        <w:rPr>
          <w:rFonts w:ascii="Palatino Linotype" w:eastAsia="Palatino Linotype" w:hAnsi="Palatino Linotype" w:cs="Palatino Linotype"/>
          <w:sz w:val="24"/>
          <w:szCs w:val="24"/>
        </w:rPr>
        <w:t xml:space="preserve"> Para la difusión de los datos, se requiera el consentimiento del titular.</w:t>
      </w:r>
    </w:p>
    <w:p w14:paraId="6276933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9FB3C4F"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w:t>
      </w:r>
      <w:r w:rsidRPr="008157E4">
        <w:rPr>
          <w:rFonts w:ascii="Palatino Linotype" w:eastAsia="Palatino Linotype" w:hAnsi="Palatino Linotype" w:cs="Palatino Linotype"/>
          <w:i/>
          <w:sz w:val="24"/>
          <w:szCs w:val="24"/>
        </w:rPr>
        <w:t xml:space="preserve">cuando su identidad pueda determinarse directa o </w:t>
      </w:r>
      <w:r w:rsidRPr="008157E4">
        <w:rPr>
          <w:rFonts w:ascii="Palatino Linotype" w:eastAsia="Palatino Linotype" w:hAnsi="Palatino Linotype" w:cs="Palatino Linotype"/>
          <w:i/>
          <w:sz w:val="24"/>
          <w:szCs w:val="24"/>
        </w:rPr>
        <w:lastRenderedPageBreak/>
        <w:t>indirectamente a través de cualquier documento informativo físico o electrónico</w:t>
      </w:r>
      <w:r w:rsidRPr="008157E4">
        <w:rPr>
          <w:rFonts w:ascii="Palatino Linotype" w:eastAsia="Palatino Linotype" w:hAnsi="Palatino Linotype" w:cs="Palatino Linotype"/>
          <w:sz w:val="24"/>
          <w:szCs w:val="24"/>
        </w:rPr>
        <w:t>), establecida en cualquier formato o modalidad.</w:t>
      </w:r>
    </w:p>
    <w:p w14:paraId="3645A8E6"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96D3F52"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Además, en el artículo 5° de dicho ordenamiento jurídico, establece que es la Ley aplicable para todo tratamiento de datos personales.</w:t>
      </w:r>
    </w:p>
    <w:p w14:paraId="5F22F65E"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B525C39"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ese contexto,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w:t>
      </w:r>
      <w:r w:rsidRPr="008157E4">
        <w:rPr>
          <w:rFonts w:ascii="Palatino Linotype" w:eastAsia="Palatino Linotype" w:hAnsi="Palatino Linotype" w:cs="Palatino Linotype"/>
          <w:i/>
          <w:sz w:val="24"/>
          <w:szCs w:val="24"/>
        </w:rPr>
        <w:t>principio de finalidad</w:t>
      </w:r>
      <w:r w:rsidRPr="008157E4">
        <w:rPr>
          <w:rFonts w:ascii="Palatino Linotype" w:eastAsia="Palatino Linotype" w:hAnsi="Palatino Linotype" w:cs="Palatino Linotype"/>
          <w:sz w:val="24"/>
          <w:szCs w:val="24"/>
        </w:rPr>
        <w:t>).</w:t>
      </w:r>
    </w:p>
    <w:p w14:paraId="01A8DC04"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460D28BF"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Así,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01E0F013"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En este contexto, la confidencialidad de los datos personales, tiene por objetivo establecer el límite del derecho de acceso a la información a partir del derecho a la intimidad y la vida privada de los individuos.</w:t>
      </w:r>
    </w:p>
    <w:p w14:paraId="2D66A8D3"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66768A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tal suerte, las instituciones públicas tienen la doble responsabilidad, por un lado, de proteger los datos personales y por otro, darle publicidad aquella información de relevancia que sea de interés público.</w:t>
      </w:r>
    </w:p>
    <w:p w14:paraId="58273393"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2F264DE"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este orden de ideas, toda la información que transparente la gestión pública, favorezca la rendición de cuentas y contribuya a la democratización del Estado Mexicano es, sin excepción, de naturaleza pública; sin embargo, la información esta necesariamente vinculada con datos personales, los cuales deben ser protegidos.</w:t>
      </w:r>
    </w:p>
    <w:p w14:paraId="58148A04"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6FF8E8D"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otro lado,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350C7B8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AECE99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En tales circunstancias, se considera que en la especie proporcionar el nombre, cargo y área de adscripción de los Servidores Públicos absueltos,</w:t>
      </w:r>
      <w:r w:rsidRPr="008157E4">
        <w:rPr>
          <w:rFonts w:ascii="Palatino Linotype" w:eastAsia="Palatino Linotype" w:hAnsi="Palatino Linotype" w:cs="Palatino Linotype"/>
          <w:b/>
          <w:sz w:val="24"/>
          <w:szCs w:val="24"/>
        </w:rPr>
        <w:t xml:space="preserve"> </w:t>
      </w:r>
      <w:r w:rsidRPr="008157E4">
        <w:rPr>
          <w:rFonts w:ascii="Palatino Linotype" w:eastAsia="Palatino Linotype" w:hAnsi="Palatino Linotype" w:cs="Palatino Linotype"/>
          <w:sz w:val="24"/>
          <w:szCs w:val="24"/>
        </w:rPr>
        <w:t>en caso de que existieran, podría afectar su honor, buen nombre y su imagen.</w:t>
      </w:r>
    </w:p>
    <w:p w14:paraId="2DCA8BD1"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Por lo expuesto, se desprende que dar a conocer los nombres, cargos y áreas de adscripción de los servidores públicos, absueltos, en su caso que existan, constituyen información confidencial que afecta su esfera privada, puesto que podría generar una percepción negativa de éste, ocasionando un perjuicio en su honor, intimidad y buena imagen, pues como se precisó la afectación es para el propio servidor público, situación que no afecta a terceros.</w:t>
      </w:r>
    </w:p>
    <w:p w14:paraId="4E62A6B8"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9A2B9DC"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Asimismo, dar a conocer el nombre y cargo del servidor público que no haya recibido una sanción por una supuesta responsabilidad que no se comprobó, la cual no causa una afectación a otros, como se precisó en párrafos anteriores, podría generar un juicio </w:t>
      </w:r>
      <w:r w:rsidRPr="008157E4">
        <w:rPr>
          <w:rFonts w:ascii="Palatino Linotype" w:eastAsia="Palatino Linotype" w:hAnsi="Palatino Linotype" w:cs="Palatino Linotype"/>
          <w:i/>
          <w:sz w:val="24"/>
          <w:szCs w:val="24"/>
        </w:rPr>
        <w:t>a priori</w:t>
      </w:r>
      <w:r w:rsidRPr="008157E4">
        <w:rPr>
          <w:rFonts w:ascii="Palatino Linotype" w:eastAsia="Palatino Linotype" w:hAnsi="Palatino Linotype" w:cs="Palatino Linotype"/>
          <w:sz w:val="24"/>
          <w:szCs w:val="24"/>
        </w:rPr>
        <w:t xml:space="preserve"> por parte de la sociedad, afectando su prestigio y su buen nombre, pues la sociedad podría calificar de manera negativa a dicho servidor público, o hacerlo sujeto a ofensas, lo cual daña su vida privada y profesional, mismas que forman parte de su intimidad; por lo que se concluye que dicha información, en caso que existiera, tiene el carácter de confidencial.</w:t>
      </w:r>
    </w:p>
    <w:p w14:paraId="32C0FEA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0F6C67B"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QUINTO. VERSIÓN PÚBLICA. </w:t>
      </w:r>
      <w:r w:rsidRPr="008157E4">
        <w:rPr>
          <w:rFonts w:ascii="Palatino Linotype" w:eastAsia="Palatino Linotype" w:hAnsi="Palatino Linotype" w:cs="Palatino Linotype"/>
          <w:sz w:val="24"/>
          <w:szCs w:val="24"/>
        </w:rPr>
        <w:t>Finalmente, debe señalarse que de ser el caso en que los documentos que vayan a ser entregados por el</w:t>
      </w:r>
      <w:r w:rsidRPr="008157E4">
        <w:rPr>
          <w:rFonts w:ascii="Palatino Linotype" w:eastAsia="Palatino Linotype" w:hAnsi="Palatino Linotype" w:cs="Palatino Linotype"/>
          <w:b/>
          <w:sz w:val="24"/>
          <w:szCs w:val="24"/>
        </w:rPr>
        <w:t xml:space="preserve"> </w:t>
      </w:r>
      <w:r w:rsidRPr="008157E4">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8157E4">
        <w:rPr>
          <w:rFonts w:ascii="Palatino Linotype" w:eastAsia="Palatino Linotype" w:hAnsi="Palatino Linotype" w:cs="Palatino Linotype"/>
          <w:b/>
          <w:sz w:val="24"/>
          <w:szCs w:val="24"/>
        </w:rPr>
        <w:t>EL SUJETO OBLIGADO</w:t>
      </w:r>
      <w:r w:rsidRPr="008157E4">
        <w:rPr>
          <w:rFonts w:ascii="Palatino Linotype" w:eastAsia="Palatino Linotype" w:hAnsi="Palatino Linotype" w:cs="Palatino Linotype"/>
          <w:sz w:val="24"/>
          <w:szCs w:val="24"/>
        </w:rPr>
        <w:t xml:space="preserve"> deberá hacer la elaboración de la versión pública de tales </w:t>
      </w:r>
      <w:r w:rsidRPr="008157E4">
        <w:rPr>
          <w:rFonts w:ascii="Palatino Linotype" w:eastAsia="Palatino Linotype" w:hAnsi="Palatino Linotype" w:cs="Palatino Linotype"/>
          <w:sz w:val="24"/>
          <w:szCs w:val="24"/>
        </w:rPr>
        <w:lastRenderedPageBreak/>
        <w:t>documentos a fin de satisfacer el derecho de acceso a la información pública del recurrente sin menoscabo al derecho a la protección de los datos personales de terceros.</w:t>
      </w:r>
    </w:p>
    <w:p w14:paraId="062926C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3C1DF82"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6FA86D0B"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B6C31B7" w14:textId="77777777" w:rsidR="00230A6E" w:rsidRPr="008157E4" w:rsidRDefault="006E2CFE">
      <w:pPr>
        <w:spacing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r w:rsidRPr="008157E4">
        <w:rPr>
          <w:rFonts w:ascii="Palatino Linotype" w:eastAsia="Palatino Linotype" w:hAnsi="Palatino Linotype" w:cs="Palatino Linotype"/>
          <w:b/>
          <w:i/>
        </w:rPr>
        <w:t>Artículo 3</w:t>
      </w:r>
      <w:r w:rsidRPr="008157E4">
        <w:rPr>
          <w:rFonts w:ascii="Palatino Linotype" w:eastAsia="Palatino Linotype" w:hAnsi="Palatino Linotype" w:cs="Palatino Linotype"/>
          <w:i/>
        </w:rPr>
        <w:t>. Para los efectos de la presente Ley se entenderá por:</w:t>
      </w:r>
    </w:p>
    <w:p w14:paraId="70BBF08D"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75083E77"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IX. Datos personales</w:t>
      </w:r>
      <w:r w:rsidRPr="008157E4">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58515523"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XX. Información clasificada</w:t>
      </w:r>
      <w:r w:rsidRPr="008157E4">
        <w:rPr>
          <w:rFonts w:ascii="Palatino Linotype" w:eastAsia="Palatino Linotype" w:hAnsi="Palatino Linotype" w:cs="Palatino Linotype"/>
          <w:i/>
        </w:rPr>
        <w:t>: Aquella considerada por la presente Ley como reservada o confidencial;</w:t>
      </w:r>
    </w:p>
    <w:p w14:paraId="433C0DEF"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 xml:space="preserve">XXI. Información confidencial: </w:t>
      </w:r>
      <w:r w:rsidRPr="008157E4">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1EF6B14"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XLV. Versión pública:</w:t>
      </w:r>
      <w:r w:rsidRPr="008157E4">
        <w:rPr>
          <w:rFonts w:ascii="Palatino Linotype" w:eastAsia="Palatino Linotype" w:hAnsi="Palatino Linotype" w:cs="Palatino Linotype"/>
          <w:i/>
        </w:rPr>
        <w:t xml:space="preserve"> Documento en el que se elimine, suprime o borra la información clasificada como reservada o confidencial para permitir su acceso.</w:t>
      </w:r>
    </w:p>
    <w:p w14:paraId="08EBD5A1"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5A6F429A"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Artículo 91.</w:t>
      </w:r>
      <w:r w:rsidRPr="008157E4">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795AE1DD"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Artículo 132.</w:t>
      </w:r>
      <w:r w:rsidRPr="008157E4">
        <w:rPr>
          <w:rFonts w:ascii="Palatino Linotype" w:eastAsia="Palatino Linotype" w:hAnsi="Palatino Linotype" w:cs="Palatino Linotype"/>
          <w:i/>
        </w:rPr>
        <w:t xml:space="preserve"> La clasificación de la información se llevará a cabo en el momento en que:</w:t>
      </w:r>
    </w:p>
    <w:p w14:paraId="2E97C5E9"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lastRenderedPageBreak/>
        <w:t>I</w:t>
      </w:r>
      <w:r w:rsidRPr="008157E4">
        <w:rPr>
          <w:rFonts w:ascii="Palatino Linotype" w:eastAsia="Palatino Linotype" w:hAnsi="Palatino Linotype" w:cs="Palatino Linotype"/>
          <w:i/>
        </w:rPr>
        <w:t>. Se reciba una solicitud de acceso a la información;</w:t>
      </w:r>
    </w:p>
    <w:p w14:paraId="0F904168"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II.</w:t>
      </w:r>
      <w:r w:rsidRPr="008157E4">
        <w:rPr>
          <w:rFonts w:ascii="Palatino Linotype" w:eastAsia="Palatino Linotype" w:hAnsi="Palatino Linotype" w:cs="Palatino Linotype"/>
          <w:i/>
        </w:rPr>
        <w:t xml:space="preserve"> Se determine mediante resolución de autoridad competente; o</w:t>
      </w:r>
    </w:p>
    <w:p w14:paraId="2C29EA61"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III.</w:t>
      </w:r>
      <w:r w:rsidRPr="008157E4">
        <w:rPr>
          <w:rFonts w:ascii="Palatino Linotype" w:eastAsia="Palatino Linotype" w:hAnsi="Palatino Linotype" w:cs="Palatino Linotype"/>
          <w:i/>
        </w:rPr>
        <w:t xml:space="preserve"> Se generen versiones públicas para dar cumplimiento a las obligaciones de transparencia previstas en esta Ley.</w:t>
      </w:r>
    </w:p>
    <w:p w14:paraId="5F115C89"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w:t>
      </w:r>
    </w:p>
    <w:p w14:paraId="3817D0AE"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Artículo 143</w:t>
      </w:r>
      <w:r w:rsidRPr="008157E4">
        <w:rPr>
          <w:rFonts w:ascii="Palatino Linotype" w:eastAsia="Palatino Linotype" w:hAnsi="Palatino Linotype" w:cs="Palatino Linotype"/>
          <w:i/>
        </w:rPr>
        <w:t>. Para los efectos de esta Ley se considera información confidencial, la clasificada como tal, de manera permanente, por su naturaleza, cuando:</w:t>
      </w:r>
    </w:p>
    <w:p w14:paraId="04AD860C"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w:t>
      </w:r>
      <w:r w:rsidRPr="008157E4">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0FFC1DE1"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II.</w:t>
      </w:r>
      <w:r w:rsidRPr="008157E4">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612F7F6"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III.</w:t>
      </w:r>
      <w:r w:rsidRPr="008157E4">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30BF6D30"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3ACC9597"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5593A2D0" w14:textId="77777777" w:rsidR="00230A6E" w:rsidRPr="008157E4" w:rsidRDefault="00230A6E">
      <w:pPr>
        <w:spacing w:before="120" w:after="120"/>
        <w:ind w:left="851" w:right="902"/>
        <w:jc w:val="both"/>
        <w:rPr>
          <w:rFonts w:ascii="Palatino Linotype" w:eastAsia="Palatino Linotype" w:hAnsi="Palatino Linotype" w:cs="Palatino Linotype"/>
          <w:i/>
        </w:rPr>
      </w:pPr>
    </w:p>
    <w:p w14:paraId="1BD9E10D" w14:textId="77777777" w:rsidR="00230A6E" w:rsidRPr="008157E4" w:rsidRDefault="006E2CFE">
      <w:pPr>
        <w:spacing w:after="0" w:line="360" w:lineRule="auto"/>
        <w:jc w:val="both"/>
        <w:rPr>
          <w:rFonts w:ascii="Palatino Linotype" w:eastAsia="Palatino Linotype" w:hAnsi="Palatino Linotype" w:cs="Palatino Linotype"/>
          <w:sz w:val="24"/>
          <w:szCs w:val="24"/>
        </w:rPr>
      </w:pPr>
      <w:bookmarkStart w:id="2" w:name="_heading=h.30j0zll" w:colFirst="0" w:colLast="0"/>
      <w:bookmarkEnd w:id="2"/>
      <w:r w:rsidRPr="008157E4">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8157E4">
        <w:rPr>
          <w:rFonts w:ascii="Palatino Linotype" w:eastAsia="Palatino Linotype" w:hAnsi="Palatino Linotype" w:cs="Palatino Linotype"/>
          <w:sz w:val="24"/>
          <w:szCs w:val="24"/>
        </w:rPr>
        <w:lastRenderedPageBreak/>
        <w:t>como reservada o confidencial la información que posean, desclasificarán y generarán, en su caso, versiones públicas de expedientes o documentos que contengan partes o secciones clasificadas.</w:t>
      </w:r>
    </w:p>
    <w:p w14:paraId="109B813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8BA1957"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66AF51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6048A4E7" w14:textId="77777777" w:rsidR="00230A6E" w:rsidRPr="008157E4" w:rsidRDefault="006E2CFE">
      <w:pPr>
        <w:spacing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“Quincuagésimo sexto</w:t>
      </w:r>
      <w:r w:rsidRPr="008157E4">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5DEB2B4D"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Quincuagésimo séptimo</w:t>
      </w:r>
      <w:r w:rsidRPr="008157E4">
        <w:rPr>
          <w:rFonts w:ascii="Palatino Linotype" w:eastAsia="Palatino Linotype" w:hAnsi="Palatino Linotype" w:cs="Palatino Linotype"/>
          <w:i/>
        </w:rPr>
        <w:t xml:space="preserve">. Se considera, en principio, como información pública y no podrá omitirse de las versiones públicas la siguiente: </w:t>
      </w:r>
    </w:p>
    <w:p w14:paraId="21E90CB4"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w:t>
      </w:r>
      <w:r w:rsidRPr="008157E4">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0499262B"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II.</w:t>
      </w:r>
      <w:r w:rsidRPr="008157E4">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0259EBC2" w14:textId="77777777" w:rsidR="00230A6E" w:rsidRPr="008157E4" w:rsidRDefault="006E2CFE">
      <w:pPr>
        <w:spacing w:before="120" w:after="120"/>
        <w:ind w:left="1134"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III.</w:t>
      </w:r>
      <w:r w:rsidRPr="008157E4">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EB6246D" w14:textId="77777777" w:rsidR="00230A6E" w:rsidRPr="008157E4" w:rsidRDefault="006E2CFE">
      <w:pPr>
        <w:spacing w:before="120" w:after="120"/>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8157E4">
        <w:rPr>
          <w:rFonts w:ascii="Palatino Linotype" w:eastAsia="Palatino Linotype" w:hAnsi="Palatino Linotype" w:cs="Palatino Linotype"/>
          <w:i/>
        </w:rPr>
        <w:t>internaciones suscritos</w:t>
      </w:r>
      <w:proofErr w:type="gramEnd"/>
      <w:r w:rsidRPr="008157E4">
        <w:rPr>
          <w:rFonts w:ascii="Palatino Linotype" w:eastAsia="Palatino Linotype" w:hAnsi="Palatino Linotype" w:cs="Palatino Linotype"/>
          <w:i/>
        </w:rPr>
        <w:t xml:space="preserve"> por el Estado mexicano. </w:t>
      </w:r>
    </w:p>
    <w:p w14:paraId="3CA05738" w14:textId="77777777" w:rsidR="00230A6E" w:rsidRPr="008157E4" w:rsidRDefault="006E2CFE">
      <w:pPr>
        <w:spacing w:after="0" w:line="360" w:lineRule="auto"/>
        <w:ind w:left="851" w:right="902"/>
        <w:jc w:val="both"/>
        <w:rPr>
          <w:rFonts w:ascii="Palatino Linotype" w:eastAsia="Palatino Linotype" w:hAnsi="Palatino Linotype" w:cs="Palatino Linotype"/>
          <w:i/>
        </w:rPr>
      </w:pPr>
      <w:r w:rsidRPr="008157E4">
        <w:rPr>
          <w:rFonts w:ascii="Palatino Linotype" w:eastAsia="Palatino Linotype" w:hAnsi="Palatino Linotype" w:cs="Palatino Linotype"/>
          <w:b/>
          <w:i/>
        </w:rPr>
        <w:t>Quincuagésimo octavo</w:t>
      </w:r>
      <w:r w:rsidRPr="008157E4">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6E3EE63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lastRenderedPageBreak/>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E12DB3D"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471BEC1" w14:textId="77777777" w:rsidR="00230A6E" w:rsidRPr="008157E4" w:rsidRDefault="006E2CFE">
      <w:pPr>
        <w:spacing w:after="24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Style w:val="a0"/>
        <w:tblW w:w="8835" w:type="dxa"/>
        <w:tblInd w:w="0" w:type="dxa"/>
        <w:tblLayout w:type="fixed"/>
        <w:tblLook w:val="0400" w:firstRow="0" w:lastRow="0" w:firstColumn="0" w:lastColumn="0" w:noHBand="0" w:noVBand="1"/>
      </w:tblPr>
      <w:tblGrid>
        <w:gridCol w:w="993"/>
        <w:gridCol w:w="3424"/>
        <w:gridCol w:w="969"/>
        <w:gridCol w:w="3449"/>
      </w:tblGrid>
      <w:tr w:rsidR="00230A6E" w:rsidRPr="008157E4" w14:paraId="45C36D21" w14:textId="77777777">
        <w:tc>
          <w:tcPr>
            <w:tcW w:w="4417" w:type="dxa"/>
            <w:gridSpan w:val="2"/>
          </w:tcPr>
          <w:p w14:paraId="0AAFB4E1" w14:textId="77777777" w:rsidR="00230A6E" w:rsidRPr="008157E4" w:rsidRDefault="006E2CFE">
            <w:pPr>
              <w:jc w:val="center"/>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Parcial</w:t>
            </w:r>
          </w:p>
        </w:tc>
        <w:tc>
          <w:tcPr>
            <w:tcW w:w="4418" w:type="dxa"/>
            <w:gridSpan w:val="2"/>
          </w:tcPr>
          <w:p w14:paraId="11BAC926" w14:textId="77777777" w:rsidR="00230A6E" w:rsidRPr="008157E4" w:rsidRDefault="006E2CFE">
            <w:pPr>
              <w:jc w:val="center"/>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Total</w:t>
            </w:r>
          </w:p>
        </w:tc>
      </w:tr>
      <w:tr w:rsidR="00230A6E" w:rsidRPr="008157E4" w14:paraId="27B971DE" w14:textId="77777777">
        <w:tc>
          <w:tcPr>
            <w:tcW w:w="993" w:type="dxa"/>
          </w:tcPr>
          <w:p w14:paraId="753E58E9" w14:textId="77777777" w:rsidR="00230A6E" w:rsidRPr="008157E4" w:rsidRDefault="006E2CFE">
            <w:pPr>
              <w:jc w:val="center"/>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Concepto</w:t>
            </w:r>
          </w:p>
        </w:tc>
        <w:tc>
          <w:tcPr>
            <w:tcW w:w="3424" w:type="dxa"/>
          </w:tcPr>
          <w:p w14:paraId="73E5DF3F" w14:textId="77777777" w:rsidR="00230A6E" w:rsidRPr="008157E4" w:rsidRDefault="006E2CFE">
            <w:pPr>
              <w:jc w:val="center"/>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Dónde</w:t>
            </w:r>
          </w:p>
        </w:tc>
        <w:tc>
          <w:tcPr>
            <w:tcW w:w="969" w:type="dxa"/>
          </w:tcPr>
          <w:p w14:paraId="54B276C9" w14:textId="77777777" w:rsidR="00230A6E" w:rsidRPr="008157E4" w:rsidRDefault="006E2CFE">
            <w:pPr>
              <w:jc w:val="center"/>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Concepto</w:t>
            </w:r>
          </w:p>
        </w:tc>
        <w:tc>
          <w:tcPr>
            <w:tcW w:w="3449" w:type="dxa"/>
          </w:tcPr>
          <w:p w14:paraId="5D83E372" w14:textId="77777777" w:rsidR="00230A6E" w:rsidRPr="008157E4" w:rsidRDefault="006E2CFE">
            <w:pPr>
              <w:jc w:val="center"/>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Dónde</w:t>
            </w:r>
          </w:p>
        </w:tc>
      </w:tr>
      <w:tr w:rsidR="00230A6E" w:rsidRPr="008157E4" w14:paraId="3B04EFF6" w14:textId="77777777">
        <w:tc>
          <w:tcPr>
            <w:tcW w:w="8835" w:type="dxa"/>
            <w:gridSpan w:val="4"/>
          </w:tcPr>
          <w:p w14:paraId="1052293E" w14:textId="77777777" w:rsidR="00230A6E" w:rsidRPr="008157E4" w:rsidRDefault="006E2CFE">
            <w:pPr>
              <w:jc w:val="center"/>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Sello oficial o logotipo del sujeto obligado</w:t>
            </w:r>
          </w:p>
        </w:tc>
      </w:tr>
      <w:tr w:rsidR="00230A6E" w:rsidRPr="008157E4" w14:paraId="4EB152D1" w14:textId="77777777">
        <w:tc>
          <w:tcPr>
            <w:tcW w:w="993" w:type="dxa"/>
          </w:tcPr>
          <w:p w14:paraId="4776924C"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Fecha de clasificación</w:t>
            </w:r>
          </w:p>
        </w:tc>
        <w:tc>
          <w:tcPr>
            <w:tcW w:w="3424" w:type="dxa"/>
          </w:tcPr>
          <w:p w14:paraId="2AD756F6"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14:paraId="222FDDAE"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Fecha de clasificación</w:t>
            </w:r>
          </w:p>
        </w:tc>
        <w:tc>
          <w:tcPr>
            <w:tcW w:w="3449" w:type="dxa"/>
          </w:tcPr>
          <w:p w14:paraId="21582C89"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30A6E" w:rsidRPr="008157E4" w14:paraId="7AD08BE5" w14:textId="77777777">
        <w:tc>
          <w:tcPr>
            <w:tcW w:w="993" w:type="dxa"/>
          </w:tcPr>
          <w:p w14:paraId="03C30DF8"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Área</w:t>
            </w:r>
          </w:p>
        </w:tc>
        <w:tc>
          <w:tcPr>
            <w:tcW w:w="3424" w:type="dxa"/>
          </w:tcPr>
          <w:p w14:paraId="6CFBA81A"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señalará el nombre del área del cual es titular quien clasifica.</w:t>
            </w:r>
          </w:p>
        </w:tc>
        <w:tc>
          <w:tcPr>
            <w:tcW w:w="969" w:type="dxa"/>
          </w:tcPr>
          <w:p w14:paraId="0D6CD274"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Área</w:t>
            </w:r>
          </w:p>
        </w:tc>
        <w:tc>
          <w:tcPr>
            <w:tcW w:w="3449" w:type="dxa"/>
          </w:tcPr>
          <w:p w14:paraId="22D259ED"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señalará el nombre del área de la cual es el titular quien clasifica.</w:t>
            </w:r>
          </w:p>
        </w:tc>
      </w:tr>
      <w:tr w:rsidR="00230A6E" w:rsidRPr="008157E4" w14:paraId="0E480325" w14:textId="77777777">
        <w:tc>
          <w:tcPr>
            <w:tcW w:w="993" w:type="dxa"/>
          </w:tcPr>
          <w:p w14:paraId="2D93D63D"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Información reservada</w:t>
            </w:r>
          </w:p>
        </w:tc>
        <w:tc>
          <w:tcPr>
            <w:tcW w:w="3424" w:type="dxa"/>
          </w:tcPr>
          <w:p w14:paraId="1B8EBA5A"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9" w:type="dxa"/>
          </w:tcPr>
          <w:p w14:paraId="4D8FE084"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Reservado</w:t>
            </w:r>
          </w:p>
        </w:tc>
        <w:tc>
          <w:tcPr>
            <w:tcW w:w="3449" w:type="dxa"/>
          </w:tcPr>
          <w:p w14:paraId="23A50F48"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Leyenda de información RESERVADA.</w:t>
            </w:r>
          </w:p>
        </w:tc>
      </w:tr>
      <w:tr w:rsidR="00230A6E" w:rsidRPr="008157E4" w14:paraId="75734105" w14:textId="77777777">
        <w:tc>
          <w:tcPr>
            <w:tcW w:w="993" w:type="dxa"/>
          </w:tcPr>
          <w:p w14:paraId="7BAD4894"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Fundamento legal</w:t>
            </w:r>
          </w:p>
        </w:tc>
        <w:tc>
          <w:tcPr>
            <w:tcW w:w="3424" w:type="dxa"/>
          </w:tcPr>
          <w:p w14:paraId="41C64110"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14:paraId="6DBAE0D8"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Periodo de reserva</w:t>
            </w:r>
          </w:p>
        </w:tc>
        <w:tc>
          <w:tcPr>
            <w:tcW w:w="3449" w:type="dxa"/>
          </w:tcPr>
          <w:p w14:paraId="3550BD19"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30A6E" w:rsidRPr="008157E4" w14:paraId="19AECA18" w14:textId="77777777">
        <w:tc>
          <w:tcPr>
            <w:tcW w:w="993" w:type="dxa"/>
          </w:tcPr>
          <w:p w14:paraId="61924DF5"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Ampliación del periodo de reserva</w:t>
            </w:r>
          </w:p>
        </w:tc>
        <w:tc>
          <w:tcPr>
            <w:tcW w:w="3424" w:type="dxa"/>
          </w:tcPr>
          <w:p w14:paraId="44C594A2"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14:paraId="6AE3E284"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Fundamento legal</w:t>
            </w:r>
          </w:p>
        </w:tc>
        <w:tc>
          <w:tcPr>
            <w:tcW w:w="3449" w:type="dxa"/>
          </w:tcPr>
          <w:p w14:paraId="4375CFB9"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30A6E" w:rsidRPr="008157E4" w14:paraId="6B543B0F" w14:textId="77777777">
        <w:tc>
          <w:tcPr>
            <w:tcW w:w="993" w:type="dxa"/>
          </w:tcPr>
          <w:p w14:paraId="618BC50C"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lastRenderedPageBreak/>
              <w:t>Confidencial</w:t>
            </w:r>
          </w:p>
        </w:tc>
        <w:tc>
          <w:tcPr>
            <w:tcW w:w="3424" w:type="dxa"/>
          </w:tcPr>
          <w:p w14:paraId="4A133E64"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14:paraId="5F4D64C8"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Ampliación del periodo de reserva</w:t>
            </w:r>
          </w:p>
        </w:tc>
        <w:tc>
          <w:tcPr>
            <w:tcW w:w="3449" w:type="dxa"/>
          </w:tcPr>
          <w:p w14:paraId="3720406C"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30A6E" w:rsidRPr="008157E4" w14:paraId="3E91005E" w14:textId="77777777">
        <w:tc>
          <w:tcPr>
            <w:tcW w:w="993" w:type="dxa"/>
          </w:tcPr>
          <w:p w14:paraId="196AA7C3"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Fundamento legal</w:t>
            </w:r>
          </w:p>
        </w:tc>
        <w:tc>
          <w:tcPr>
            <w:tcW w:w="3424" w:type="dxa"/>
          </w:tcPr>
          <w:p w14:paraId="2BB29A50"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14:paraId="7DD6CAEC"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Confidencial</w:t>
            </w:r>
          </w:p>
        </w:tc>
        <w:tc>
          <w:tcPr>
            <w:tcW w:w="3449" w:type="dxa"/>
          </w:tcPr>
          <w:p w14:paraId="3433B419"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Leyenda de información CONFIDENCIAL.</w:t>
            </w:r>
          </w:p>
        </w:tc>
      </w:tr>
      <w:tr w:rsidR="00230A6E" w:rsidRPr="008157E4" w14:paraId="1A1B7143" w14:textId="77777777">
        <w:tc>
          <w:tcPr>
            <w:tcW w:w="993" w:type="dxa"/>
          </w:tcPr>
          <w:p w14:paraId="5BC7F575"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Rúbrica del titular del área</w:t>
            </w:r>
          </w:p>
        </w:tc>
        <w:tc>
          <w:tcPr>
            <w:tcW w:w="3424" w:type="dxa"/>
          </w:tcPr>
          <w:p w14:paraId="21206525"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Rúbrica autógrafa de quien clasifica.</w:t>
            </w:r>
          </w:p>
        </w:tc>
        <w:tc>
          <w:tcPr>
            <w:tcW w:w="969" w:type="dxa"/>
          </w:tcPr>
          <w:p w14:paraId="72D4F589"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Fundamento legal</w:t>
            </w:r>
          </w:p>
        </w:tc>
        <w:tc>
          <w:tcPr>
            <w:tcW w:w="3449" w:type="dxa"/>
          </w:tcPr>
          <w:p w14:paraId="6EDC7257"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30A6E" w:rsidRPr="008157E4" w14:paraId="60902457" w14:textId="77777777">
        <w:tc>
          <w:tcPr>
            <w:tcW w:w="993" w:type="dxa"/>
          </w:tcPr>
          <w:p w14:paraId="29D4E258"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Fecha de desclasificación</w:t>
            </w:r>
          </w:p>
        </w:tc>
        <w:tc>
          <w:tcPr>
            <w:tcW w:w="3424" w:type="dxa"/>
          </w:tcPr>
          <w:p w14:paraId="66FC1CFD"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anotará la fecha en que se desclasifica el documento.</w:t>
            </w:r>
          </w:p>
        </w:tc>
        <w:tc>
          <w:tcPr>
            <w:tcW w:w="969" w:type="dxa"/>
          </w:tcPr>
          <w:p w14:paraId="70F0F9A3"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Rúbrica del titular del área</w:t>
            </w:r>
          </w:p>
        </w:tc>
        <w:tc>
          <w:tcPr>
            <w:tcW w:w="3449" w:type="dxa"/>
          </w:tcPr>
          <w:p w14:paraId="67A5D959"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Rúbrica autógrafa de quien clasifica.</w:t>
            </w:r>
          </w:p>
        </w:tc>
      </w:tr>
      <w:tr w:rsidR="00230A6E" w:rsidRPr="008157E4" w14:paraId="5C91C7E4" w14:textId="77777777">
        <w:tc>
          <w:tcPr>
            <w:tcW w:w="993" w:type="dxa"/>
          </w:tcPr>
          <w:p w14:paraId="14CF04DC"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Rúbrica y cargo del servidor público</w:t>
            </w:r>
          </w:p>
        </w:tc>
        <w:tc>
          <w:tcPr>
            <w:tcW w:w="3424" w:type="dxa"/>
          </w:tcPr>
          <w:p w14:paraId="64FA2AEF"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Rúbrica autógrafa de quien desclasifica.</w:t>
            </w:r>
          </w:p>
        </w:tc>
        <w:tc>
          <w:tcPr>
            <w:tcW w:w="969" w:type="dxa"/>
          </w:tcPr>
          <w:p w14:paraId="6C4E09CF"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Fecha de desclasificación</w:t>
            </w:r>
          </w:p>
        </w:tc>
        <w:tc>
          <w:tcPr>
            <w:tcW w:w="3449" w:type="dxa"/>
          </w:tcPr>
          <w:p w14:paraId="08DB3520"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Se anotará la fecha en que se desclasifica.</w:t>
            </w:r>
          </w:p>
        </w:tc>
      </w:tr>
      <w:tr w:rsidR="00230A6E" w:rsidRPr="008157E4" w14:paraId="2E951359" w14:textId="77777777">
        <w:tc>
          <w:tcPr>
            <w:tcW w:w="993" w:type="dxa"/>
          </w:tcPr>
          <w:p w14:paraId="5FAE69AA" w14:textId="77777777" w:rsidR="00230A6E" w:rsidRPr="008157E4" w:rsidRDefault="00230A6E">
            <w:pPr>
              <w:jc w:val="both"/>
              <w:rPr>
                <w:rFonts w:ascii="Palatino Linotype" w:eastAsia="Palatino Linotype" w:hAnsi="Palatino Linotype" w:cs="Palatino Linotype"/>
                <w:sz w:val="12"/>
                <w:szCs w:val="12"/>
              </w:rPr>
            </w:pPr>
          </w:p>
        </w:tc>
        <w:tc>
          <w:tcPr>
            <w:tcW w:w="3424" w:type="dxa"/>
          </w:tcPr>
          <w:p w14:paraId="411897EB" w14:textId="77777777" w:rsidR="00230A6E" w:rsidRPr="008157E4" w:rsidRDefault="00230A6E">
            <w:pPr>
              <w:jc w:val="both"/>
              <w:rPr>
                <w:rFonts w:ascii="Palatino Linotype" w:eastAsia="Palatino Linotype" w:hAnsi="Palatino Linotype" w:cs="Palatino Linotype"/>
                <w:sz w:val="12"/>
                <w:szCs w:val="12"/>
              </w:rPr>
            </w:pPr>
          </w:p>
        </w:tc>
        <w:tc>
          <w:tcPr>
            <w:tcW w:w="969" w:type="dxa"/>
          </w:tcPr>
          <w:p w14:paraId="6788E132"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Partes o secciones reservadas o confidenciales</w:t>
            </w:r>
          </w:p>
        </w:tc>
        <w:tc>
          <w:tcPr>
            <w:tcW w:w="3449" w:type="dxa"/>
          </w:tcPr>
          <w:p w14:paraId="0934184E"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 xml:space="preserve">En caso que una vez desclasificado el expediente, </w:t>
            </w:r>
            <w:proofErr w:type="spellStart"/>
            <w:r w:rsidRPr="008157E4">
              <w:rPr>
                <w:rFonts w:ascii="Palatino Linotype" w:eastAsia="Palatino Linotype" w:hAnsi="Palatino Linotype" w:cs="Palatino Linotype"/>
                <w:sz w:val="12"/>
                <w:szCs w:val="12"/>
              </w:rPr>
              <w:t>subsistanpartes</w:t>
            </w:r>
            <w:proofErr w:type="spellEnd"/>
            <w:r w:rsidRPr="008157E4">
              <w:rPr>
                <w:rFonts w:ascii="Palatino Linotype" w:eastAsia="Palatino Linotype" w:hAnsi="Palatino Linotype" w:cs="Palatino Linotype"/>
                <w:sz w:val="12"/>
                <w:szCs w:val="12"/>
              </w:rPr>
              <w:t xml:space="preserve"> o secciones del mismo reservadas o confidenciales, se señalará este hecho.</w:t>
            </w:r>
          </w:p>
        </w:tc>
      </w:tr>
      <w:tr w:rsidR="00230A6E" w:rsidRPr="008157E4" w14:paraId="400FEC4A" w14:textId="77777777">
        <w:tc>
          <w:tcPr>
            <w:tcW w:w="993" w:type="dxa"/>
          </w:tcPr>
          <w:p w14:paraId="2813FADA" w14:textId="77777777" w:rsidR="00230A6E" w:rsidRPr="008157E4" w:rsidRDefault="00230A6E">
            <w:pPr>
              <w:jc w:val="both"/>
              <w:rPr>
                <w:rFonts w:ascii="Palatino Linotype" w:eastAsia="Palatino Linotype" w:hAnsi="Palatino Linotype" w:cs="Palatino Linotype"/>
                <w:sz w:val="12"/>
                <w:szCs w:val="12"/>
              </w:rPr>
            </w:pPr>
          </w:p>
        </w:tc>
        <w:tc>
          <w:tcPr>
            <w:tcW w:w="3424" w:type="dxa"/>
          </w:tcPr>
          <w:p w14:paraId="218B358B" w14:textId="77777777" w:rsidR="00230A6E" w:rsidRPr="008157E4" w:rsidRDefault="00230A6E">
            <w:pPr>
              <w:jc w:val="both"/>
              <w:rPr>
                <w:rFonts w:ascii="Palatino Linotype" w:eastAsia="Palatino Linotype" w:hAnsi="Palatino Linotype" w:cs="Palatino Linotype"/>
                <w:sz w:val="12"/>
                <w:szCs w:val="12"/>
              </w:rPr>
            </w:pPr>
          </w:p>
        </w:tc>
        <w:tc>
          <w:tcPr>
            <w:tcW w:w="969" w:type="dxa"/>
          </w:tcPr>
          <w:p w14:paraId="7491DFBF" w14:textId="77777777" w:rsidR="00230A6E" w:rsidRPr="008157E4" w:rsidRDefault="006E2CFE">
            <w:pPr>
              <w:jc w:val="both"/>
              <w:rPr>
                <w:rFonts w:ascii="Palatino Linotype" w:eastAsia="Palatino Linotype" w:hAnsi="Palatino Linotype" w:cs="Palatino Linotype"/>
                <w:b/>
                <w:sz w:val="12"/>
                <w:szCs w:val="12"/>
              </w:rPr>
            </w:pPr>
            <w:r w:rsidRPr="008157E4">
              <w:rPr>
                <w:rFonts w:ascii="Palatino Linotype" w:eastAsia="Palatino Linotype" w:hAnsi="Palatino Linotype" w:cs="Palatino Linotype"/>
                <w:b/>
                <w:sz w:val="12"/>
                <w:szCs w:val="12"/>
              </w:rPr>
              <w:t>Rúbrica y cargo del servidor público</w:t>
            </w:r>
          </w:p>
        </w:tc>
        <w:tc>
          <w:tcPr>
            <w:tcW w:w="3449" w:type="dxa"/>
          </w:tcPr>
          <w:p w14:paraId="1B41A2D1" w14:textId="77777777" w:rsidR="00230A6E" w:rsidRPr="008157E4" w:rsidRDefault="006E2CFE">
            <w:pPr>
              <w:jc w:val="both"/>
              <w:rPr>
                <w:rFonts w:ascii="Palatino Linotype" w:eastAsia="Palatino Linotype" w:hAnsi="Palatino Linotype" w:cs="Palatino Linotype"/>
                <w:sz w:val="12"/>
                <w:szCs w:val="12"/>
              </w:rPr>
            </w:pPr>
            <w:r w:rsidRPr="008157E4">
              <w:rPr>
                <w:rFonts w:ascii="Palatino Linotype" w:eastAsia="Palatino Linotype" w:hAnsi="Palatino Linotype" w:cs="Palatino Linotype"/>
                <w:sz w:val="12"/>
                <w:szCs w:val="12"/>
              </w:rPr>
              <w:t>Rúbrica autógrafa de quien desclasifica.</w:t>
            </w:r>
          </w:p>
        </w:tc>
      </w:tr>
    </w:tbl>
    <w:p w14:paraId="3DE8ADD9" w14:textId="77777777" w:rsidR="00230A6E" w:rsidRPr="008157E4" w:rsidRDefault="006E2CFE">
      <w:pPr>
        <w:spacing w:after="0" w:line="360" w:lineRule="auto"/>
        <w:ind w:right="49"/>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26224F1"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2A2FF37D"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0C9CD64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7D45F44" w14:textId="77777777" w:rsidR="00230A6E" w:rsidRPr="008157E4" w:rsidRDefault="006E2CFE">
      <w:pPr>
        <w:spacing w:after="0" w:line="360" w:lineRule="auto"/>
        <w:ind w:left="1080"/>
        <w:jc w:val="center"/>
        <w:rPr>
          <w:rFonts w:ascii="Palatino Linotype" w:eastAsia="Palatino Linotype" w:hAnsi="Palatino Linotype" w:cs="Palatino Linotype"/>
          <w:b/>
          <w:sz w:val="24"/>
          <w:szCs w:val="24"/>
        </w:rPr>
      </w:pPr>
      <w:r w:rsidRPr="008157E4">
        <w:rPr>
          <w:rFonts w:ascii="Palatino Linotype" w:eastAsia="Palatino Linotype" w:hAnsi="Palatino Linotype" w:cs="Palatino Linotype"/>
          <w:b/>
          <w:sz w:val="24"/>
          <w:szCs w:val="24"/>
        </w:rPr>
        <w:t>R E S U E L V E</w:t>
      </w:r>
    </w:p>
    <w:p w14:paraId="2957A3DF" w14:textId="77777777" w:rsidR="00230A6E" w:rsidRPr="008157E4" w:rsidRDefault="00230A6E">
      <w:pPr>
        <w:spacing w:after="0" w:line="360" w:lineRule="auto"/>
        <w:ind w:left="1080"/>
        <w:rPr>
          <w:rFonts w:ascii="Palatino Linotype" w:eastAsia="Palatino Linotype" w:hAnsi="Palatino Linotype" w:cs="Palatino Linotype"/>
          <w:b/>
          <w:sz w:val="24"/>
          <w:szCs w:val="24"/>
        </w:rPr>
      </w:pPr>
    </w:p>
    <w:p w14:paraId="223678B5"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PRIMERO. </w:t>
      </w:r>
      <w:r w:rsidRPr="008157E4">
        <w:rPr>
          <w:rFonts w:ascii="Palatino Linotype" w:eastAsia="Palatino Linotype" w:hAnsi="Palatino Linotype" w:cs="Palatino Linotype"/>
          <w:sz w:val="24"/>
          <w:szCs w:val="24"/>
        </w:rPr>
        <w:t xml:space="preserve">Resultan fundados los motivos de inconformidad hechos valer por el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xml:space="preserve"> en el Recurso de Revisión </w:t>
      </w:r>
      <w:r w:rsidRPr="008157E4">
        <w:rPr>
          <w:rFonts w:ascii="Palatino Linotype" w:eastAsia="Palatino Linotype" w:hAnsi="Palatino Linotype" w:cs="Palatino Linotype"/>
          <w:b/>
          <w:sz w:val="24"/>
          <w:szCs w:val="24"/>
        </w:rPr>
        <w:t xml:space="preserve">14969/INFOEM/IP/RR/2022, </w:t>
      </w:r>
      <w:r w:rsidRPr="008157E4">
        <w:rPr>
          <w:rFonts w:ascii="Palatino Linotype" w:eastAsia="Palatino Linotype" w:hAnsi="Palatino Linotype" w:cs="Palatino Linotype"/>
          <w:sz w:val="24"/>
          <w:szCs w:val="24"/>
        </w:rPr>
        <w:t xml:space="preserve">por lo que, en términos del considerando </w:t>
      </w:r>
      <w:r w:rsidRPr="008157E4">
        <w:rPr>
          <w:rFonts w:ascii="Palatino Linotype" w:eastAsia="Palatino Linotype" w:hAnsi="Palatino Linotype" w:cs="Palatino Linotype"/>
          <w:b/>
          <w:sz w:val="24"/>
          <w:szCs w:val="24"/>
        </w:rPr>
        <w:t xml:space="preserve">Cuarto </w:t>
      </w:r>
      <w:r w:rsidRPr="008157E4">
        <w:rPr>
          <w:rFonts w:ascii="Palatino Linotype" w:eastAsia="Palatino Linotype" w:hAnsi="Palatino Linotype" w:cs="Palatino Linotype"/>
          <w:sz w:val="24"/>
          <w:szCs w:val="24"/>
        </w:rPr>
        <w:t xml:space="preserve">de esta resolución, se </w:t>
      </w:r>
      <w:r w:rsidRPr="008157E4">
        <w:rPr>
          <w:rFonts w:ascii="Palatino Linotype" w:eastAsia="Palatino Linotype" w:hAnsi="Palatino Linotype" w:cs="Palatino Linotype"/>
          <w:b/>
          <w:sz w:val="24"/>
          <w:szCs w:val="24"/>
        </w:rPr>
        <w:t xml:space="preserve">REVOCA </w:t>
      </w:r>
      <w:r w:rsidRPr="008157E4">
        <w:rPr>
          <w:rFonts w:ascii="Palatino Linotype" w:eastAsia="Palatino Linotype" w:hAnsi="Palatino Linotype" w:cs="Palatino Linotype"/>
          <w:sz w:val="24"/>
          <w:szCs w:val="24"/>
        </w:rPr>
        <w:t xml:space="preserve">la respuesta emitida por 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w:t>
      </w:r>
    </w:p>
    <w:p w14:paraId="1EC1714D"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7E245DA0" w14:textId="77777777" w:rsidR="00230A6E" w:rsidRPr="008157E4" w:rsidRDefault="006E2CFE">
      <w:pPr>
        <w:spacing w:line="360" w:lineRule="auto"/>
        <w:jc w:val="both"/>
        <w:rPr>
          <w:rFonts w:ascii="Palatino Linotype" w:eastAsia="Palatino Linotype" w:hAnsi="Palatino Linotype" w:cs="Palatino Linotype"/>
          <w:sz w:val="24"/>
          <w:szCs w:val="24"/>
        </w:rPr>
      </w:pPr>
      <w:bookmarkStart w:id="3" w:name="_heading=h.kelgs2428oa6" w:colFirst="0" w:colLast="0"/>
      <w:bookmarkEnd w:id="3"/>
      <w:r w:rsidRPr="008157E4">
        <w:rPr>
          <w:rFonts w:ascii="Palatino Linotype" w:eastAsia="Palatino Linotype" w:hAnsi="Palatino Linotype" w:cs="Palatino Linotype"/>
          <w:b/>
          <w:sz w:val="24"/>
          <w:szCs w:val="24"/>
        </w:rPr>
        <w:t xml:space="preserve">SEGUNDO. </w:t>
      </w:r>
      <w:r w:rsidRPr="008157E4">
        <w:rPr>
          <w:rFonts w:ascii="Palatino Linotype" w:eastAsia="Palatino Linotype" w:hAnsi="Palatino Linotype" w:cs="Palatino Linotype"/>
          <w:sz w:val="24"/>
          <w:szCs w:val="24"/>
        </w:rPr>
        <w:t>Se</w:t>
      </w:r>
      <w:r w:rsidRPr="008157E4">
        <w:rPr>
          <w:rFonts w:ascii="Palatino Linotype" w:eastAsia="Palatino Linotype" w:hAnsi="Palatino Linotype" w:cs="Palatino Linotype"/>
          <w:b/>
          <w:sz w:val="24"/>
          <w:szCs w:val="24"/>
        </w:rPr>
        <w:t xml:space="preserve"> ORDENA </w:t>
      </w:r>
      <w:r w:rsidRPr="008157E4">
        <w:rPr>
          <w:rFonts w:ascii="Palatino Linotype" w:eastAsia="Palatino Linotype" w:hAnsi="Palatino Linotype" w:cs="Palatino Linotype"/>
          <w:sz w:val="24"/>
          <w:szCs w:val="24"/>
        </w:rPr>
        <w:t xml:space="preserve">al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en términos de los Considerandos </w:t>
      </w:r>
      <w:r w:rsidRPr="008157E4">
        <w:rPr>
          <w:rFonts w:ascii="Palatino Linotype" w:eastAsia="Palatino Linotype" w:hAnsi="Palatino Linotype" w:cs="Palatino Linotype"/>
          <w:b/>
          <w:sz w:val="24"/>
          <w:szCs w:val="24"/>
        </w:rPr>
        <w:t xml:space="preserve">Cuarto y Quinto </w:t>
      </w:r>
      <w:r w:rsidRPr="008157E4">
        <w:rPr>
          <w:rFonts w:ascii="Palatino Linotype" w:eastAsia="Palatino Linotype" w:hAnsi="Palatino Linotype" w:cs="Palatino Linotype"/>
          <w:sz w:val="24"/>
          <w:szCs w:val="24"/>
        </w:rPr>
        <w:t xml:space="preserve">de esta resolución, haga entrega, en versión pública vía </w:t>
      </w:r>
      <w:r w:rsidRPr="008157E4">
        <w:rPr>
          <w:rFonts w:ascii="Palatino Linotype" w:eastAsia="Palatino Linotype" w:hAnsi="Palatino Linotype" w:cs="Palatino Linotype"/>
          <w:b/>
          <w:sz w:val="24"/>
          <w:szCs w:val="24"/>
        </w:rPr>
        <w:t>SAIMEX</w:t>
      </w:r>
      <w:r w:rsidRPr="008157E4">
        <w:rPr>
          <w:rFonts w:ascii="Palatino Linotype" w:eastAsia="Palatino Linotype" w:hAnsi="Palatino Linotype" w:cs="Palatino Linotype"/>
          <w:sz w:val="24"/>
          <w:szCs w:val="24"/>
        </w:rPr>
        <w:t xml:space="preserve">, de lo siguiente </w:t>
      </w:r>
    </w:p>
    <w:p w14:paraId="5428CE57" w14:textId="77777777" w:rsidR="00230A6E" w:rsidRPr="008157E4" w:rsidRDefault="006E2CFE">
      <w:pPr>
        <w:numPr>
          <w:ilvl w:val="0"/>
          <w:numId w:val="1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Las resoluciones de los procedimientos administrativos en contra de los servidores públicos, que han causado estado del primero de enero al veintiséis de agosto de dos mil veintidós:</w:t>
      </w:r>
    </w:p>
    <w:p w14:paraId="3C80CC54" w14:textId="77777777" w:rsidR="00230A6E" w:rsidRPr="008157E4" w:rsidRDefault="00230A6E">
      <w:pPr>
        <w:pBdr>
          <w:top w:val="nil"/>
          <w:left w:val="nil"/>
          <w:bottom w:val="nil"/>
          <w:right w:val="nil"/>
          <w:between w:val="nil"/>
        </w:pBdr>
        <w:spacing w:after="0" w:line="360" w:lineRule="auto"/>
        <w:ind w:left="720"/>
        <w:jc w:val="both"/>
        <w:rPr>
          <w:rFonts w:ascii="Palatino Linotype" w:eastAsia="Palatino Linotype" w:hAnsi="Palatino Linotype" w:cs="Palatino Linotype"/>
          <w:sz w:val="24"/>
          <w:szCs w:val="24"/>
        </w:rPr>
      </w:pPr>
    </w:p>
    <w:p w14:paraId="342B7B7F" w14:textId="77777777" w:rsidR="00230A6E" w:rsidRPr="008157E4" w:rsidRDefault="006E2CFE">
      <w:pPr>
        <w:numPr>
          <w:ilvl w:val="0"/>
          <w:numId w:val="4"/>
        </w:numPr>
        <w:pBdr>
          <w:top w:val="nil"/>
          <w:left w:val="nil"/>
          <w:bottom w:val="nil"/>
          <w:right w:val="nil"/>
          <w:between w:val="nil"/>
        </w:pBdr>
        <w:spacing w:after="0" w:line="360" w:lineRule="auto"/>
        <w:ind w:right="90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Para el caso de que cuente con resolución condenatoria por faltas administrativas graves, deberá entregar en versión pública los documentos en donde conste el nombre, motivo y sanción, generadas del primero de enero al veintiséis de agosto de dos mil veintidós. </w:t>
      </w:r>
    </w:p>
    <w:p w14:paraId="032D8DD5" w14:textId="77777777" w:rsidR="00230A6E" w:rsidRPr="008157E4" w:rsidRDefault="00230A6E">
      <w:pPr>
        <w:pBdr>
          <w:top w:val="nil"/>
          <w:left w:val="nil"/>
          <w:bottom w:val="nil"/>
          <w:right w:val="nil"/>
          <w:between w:val="nil"/>
        </w:pBdr>
        <w:spacing w:after="0"/>
        <w:ind w:left="720"/>
        <w:rPr>
          <w:rFonts w:ascii="Palatino Linotype" w:eastAsia="Palatino Linotype" w:hAnsi="Palatino Linotype" w:cs="Palatino Linotype"/>
          <w:sz w:val="24"/>
          <w:szCs w:val="24"/>
        </w:rPr>
      </w:pPr>
    </w:p>
    <w:p w14:paraId="05A6DDED" w14:textId="77777777" w:rsidR="00230A6E" w:rsidRPr="008157E4" w:rsidRDefault="006E2CFE">
      <w:pPr>
        <w:numPr>
          <w:ilvl w:val="0"/>
          <w:numId w:val="4"/>
        </w:numPr>
        <w:pBdr>
          <w:top w:val="nil"/>
          <w:left w:val="nil"/>
          <w:bottom w:val="nil"/>
          <w:right w:val="nil"/>
          <w:between w:val="nil"/>
        </w:pBdr>
        <w:spacing w:after="0" w:line="360" w:lineRule="auto"/>
        <w:ind w:right="90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Para el caso de que las faltas administrativas graves con resolución absolutoria y las no graves condenatorias y absolutorias, deberán </w:t>
      </w:r>
      <w:r w:rsidRPr="008157E4">
        <w:rPr>
          <w:rFonts w:ascii="Palatino Linotype" w:eastAsia="Palatino Linotype" w:hAnsi="Palatino Linotype" w:cs="Palatino Linotype"/>
          <w:sz w:val="24"/>
          <w:szCs w:val="24"/>
        </w:rPr>
        <w:lastRenderedPageBreak/>
        <w:t xml:space="preserve">entregarse en versión pública, protegiendo el nombre, cargo y área de adscripción del Servidor Público absuelto y aquellos datos personales que hagan identificable a una persona, generadas del primero de enero al veintiséis de agosto de dos mil veintidós. </w:t>
      </w:r>
    </w:p>
    <w:p w14:paraId="6D9C93C1" w14:textId="77777777" w:rsidR="00230A6E" w:rsidRPr="008157E4" w:rsidRDefault="00230A6E">
      <w:pPr>
        <w:pBdr>
          <w:top w:val="nil"/>
          <w:left w:val="nil"/>
          <w:bottom w:val="nil"/>
          <w:right w:val="nil"/>
          <w:between w:val="nil"/>
        </w:pBdr>
        <w:ind w:left="720"/>
        <w:rPr>
          <w:rFonts w:ascii="Palatino Linotype" w:eastAsia="Palatino Linotype" w:hAnsi="Palatino Linotype" w:cs="Palatino Linotype"/>
          <w:sz w:val="24"/>
          <w:szCs w:val="24"/>
        </w:rPr>
      </w:pPr>
    </w:p>
    <w:p w14:paraId="2ADD4EF6" w14:textId="77777777" w:rsidR="00230A6E" w:rsidRPr="008157E4" w:rsidRDefault="006E2CFE">
      <w:pPr>
        <w:numPr>
          <w:ilvl w:val="0"/>
          <w:numId w:val="2"/>
        </w:numPr>
        <w:pBdr>
          <w:top w:val="nil"/>
          <w:left w:val="nil"/>
          <w:bottom w:val="nil"/>
          <w:right w:val="nil"/>
          <w:between w:val="nil"/>
        </w:pBdr>
        <w:spacing w:after="240" w:line="360" w:lineRule="auto"/>
        <w:ind w:right="900"/>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 xml:space="preserve">Acuerdo mediante el cual se clasifiquen como reservadas las resoluciones de los procedimientos administrativos en contra de los servidores públicos, que ni han causado estado del primero de enero al veintiséis de agosto de dos mil veintidós, </w:t>
      </w:r>
      <w:r w:rsidRPr="008157E4">
        <w:rPr>
          <w:rFonts w:ascii="Palatino Linotype" w:eastAsia="Palatino Linotype" w:hAnsi="Palatino Linotype" w:cs="Palatino Linotype"/>
          <w:i/>
          <w:sz w:val="24"/>
          <w:szCs w:val="24"/>
        </w:rPr>
        <w:t>s</w:t>
      </w:r>
      <w:r w:rsidRPr="008157E4">
        <w:rPr>
          <w:rFonts w:ascii="Palatino Linotype" w:eastAsia="Palatino Linotype" w:hAnsi="Palatino Linotype" w:cs="Palatino Linotype"/>
          <w:b/>
          <w:i/>
          <w:sz w:val="24"/>
          <w:szCs w:val="24"/>
        </w:rPr>
        <w:t xml:space="preserve">iempre y cuando no se configure alguno de los supuestos contemplados en el artículo 142 de la Ley de la materia, </w:t>
      </w:r>
      <w:r w:rsidRPr="008157E4">
        <w:rPr>
          <w:rFonts w:ascii="Palatino Linotype" w:eastAsia="Palatino Linotype" w:hAnsi="Palatino Linotype" w:cs="Palatino Linotype"/>
          <w:sz w:val="24"/>
          <w:szCs w:val="24"/>
        </w:rPr>
        <w:t>en caso contrario</w:t>
      </w:r>
      <w:r w:rsidRPr="008157E4">
        <w:rPr>
          <w:rFonts w:ascii="Palatino Linotype" w:eastAsia="Palatino Linotype" w:hAnsi="Palatino Linotype" w:cs="Palatino Linotype"/>
          <w:b/>
          <w:sz w:val="24"/>
          <w:szCs w:val="24"/>
        </w:rPr>
        <w:t xml:space="preserve"> </w:t>
      </w:r>
      <w:r w:rsidRPr="008157E4">
        <w:rPr>
          <w:rFonts w:ascii="Palatino Linotype" w:eastAsia="Palatino Linotype" w:hAnsi="Palatino Linotype" w:cs="Palatino Linotype"/>
          <w:sz w:val="24"/>
          <w:szCs w:val="24"/>
        </w:rPr>
        <w:t>deberá hacer entrega de las mismas en versión pública, conforme a lo establecido en considerando quinto de la presente resolución.</w:t>
      </w:r>
      <w:r w:rsidRPr="008157E4">
        <w:rPr>
          <w:rFonts w:ascii="Palatino Linotype" w:eastAsia="Palatino Linotype" w:hAnsi="Palatino Linotype" w:cs="Palatino Linotype"/>
          <w:i/>
          <w:sz w:val="24"/>
          <w:szCs w:val="24"/>
        </w:rPr>
        <w:t xml:space="preserve"> </w:t>
      </w:r>
    </w:p>
    <w:p w14:paraId="072B07AA" w14:textId="77777777" w:rsidR="00230A6E" w:rsidRPr="008157E4" w:rsidRDefault="006E2CFE">
      <w:pPr>
        <w:spacing w:before="240" w:after="0" w:line="360" w:lineRule="auto"/>
        <w:jc w:val="both"/>
        <w:rPr>
          <w:rFonts w:ascii="Palatino Linotype" w:eastAsia="Palatino Linotype" w:hAnsi="Palatino Linotype" w:cs="Palatino Linotype"/>
          <w:i/>
          <w:sz w:val="20"/>
          <w:szCs w:val="20"/>
        </w:rPr>
      </w:pPr>
      <w:r w:rsidRPr="008157E4">
        <w:rPr>
          <w:rFonts w:ascii="Palatino Linotype" w:eastAsia="Palatino Linotype" w:hAnsi="Palatino Linotype" w:cs="Palatino Linotype"/>
          <w:i/>
          <w:sz w:val="20"/>
          <w:szCs w:val="20"/>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8D1C580" w14:textId="77777777" w:rsidR="00230A6E" w:rsidRPr="008157E4" w:rsidRDefault="00230A6E">
      <w:pPr>
        <w:spacing w:after="0" w:line="360" w:lineRule="auto"/>
        <w:jc w:val="both"/>
        <w:rPr>
          <w:rFonts w:ascii="Palatino Linotype" w:eastAsia="Palatino Linotype" w:hAnsi="Palatino Linotype" w:cs="Palatino Linotype"/>
          <w:i/>
          <w:sz w:val="20"/>
          <w:szCs w:val="20"/>
        </w:rPr>
      </w:pPr>
    </w:p>
    <w:p w14:paraId="42927094" w14:textId="77777777" w:rsidR="00230A6E" w:rsidRPr="008157E4" w:rsidRDefault="006E2CFE">
      <w:pPr>
        <w:spacing w:after="0" w:line="360" w:lineRule="auto"/>
        <w:ind w:right="51"/>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TERCERO. Notifíquese vía SAIMEX,</w:t>
      </w:r>
      <w:r w:rsidRPr="008157E4">
        <w:rPr>
          <w:rFonts w:ascii="Palatino Linotype" w:eastAsia="Palatino Linotype" w:hAnsi="Palatino Linotype" w:cs="Palatino Linotype"/>
          <w:b/>
          <w:i/>
          <w:sz w:val="24"/>
          <w:szCs w:val="24"/>
        </w:rPr>
        <w:t xml:space="preserve"> </w:t>
      </w:r>
      <w:r w:rsidRPr="008157E4">
        <w:rPr>
          <w:rFonts w:ascii="Palatino Linotype" w:eastAsia="Palatino Linotype" w:hAnsi="Palatino Linotype" w:cs="Palatino Linotype"/>
          <w:sz w:val="24"/>
          <w:szCs w:val="24"/>
        </w:rPr>
        <w:t xml:space="preserve">al </w:t>
      </w:r>
      <w:proofErr w:type="gramStart"/>
      <w:r w:rsidRPr="008157E4">
        <w:rPr>
          <w:rFonts w:ascii="Palatino Linotype" w:eastAsia="Palatino Linotype" w:hAnsi="Palatino Linotype" w:cs="Palatino Linotype"/>
          <w:sz w:val="24"/>
          <w:szCs w:val="24"/>
        </w:rPr>
        <w:t>Responsable</w:t>
      </w:r>
      <w:proofErr w:type="gramEnd"/>
      <w:r w:rsidRPr="008157E4">
        <w:rPr>
          <w:rFonts w:ascii="Palatino Linotype" w:eastAsia="Palatino Linotype" w:hAnsi="Palatino Linotype" w:cs="Palatino Linotype"/>
          <w:sz w:val="24"/>
          <w:szCs w:val="24"/>
        </w:rPr>
        <w:t xml:space="preserve"> de la Unidad de Transparencia del </w:t>
      </w:r>
      <w:r w:rsidRPr="008157E4">
        <w:rPr>
          <w:rFonts w:ascii="Palatino Linotype" w:eastAsia="Palatino Linotype" w:hAnsi="Palatino Linotype" w:cs="Palatino Linotype"/>
          <w:b/>
          <w:sz w:val="24"/>
          <w:szCs w:val="24"/>
        </w:rPr>
        <w:t>SUJETO OBLIGADO</w:t>
      </w:r>
      <w:r w:rsidRPr="008157E4">
        <w:rPr>
          <w:rFonts w:ascii="Palatino Linotype" w:eastAsia="Palatino Linotype" w:hAnsi="Palatino Linotype" w:cs="Palatino Linotype"/>
          <w:sz w:val="24"/>
          <w:szCs w:val="24"/>
        </w:rPr>
        <w:t xml:space="preserve"> la presente resolución, para que conforme al artículo 186, último párrafo y 189, párrafo segundo de la Ley de Transparencia y Acceso a la Información Pública del Estado de México y Municipios dé cumplimiento a lo ordenado dentro del plazo de diez días hábiles, debiendo </w:t>
      </w:r>
      <w:r w:rsidRPr="008157E4">
        <w:rPr>
          <w:rFonts w:ascii="Palatino Linotype" w:eastAsia="Palatino Linotype" w:hAnsi="Palatino Linotype" w:cs="Palatino Linotype"/>
          <w:sz w:val="24"/>
          <w:szCs w:val="24"/>
        </w:rPr>
        <w:lastRenderedPageBreak/>
        <w:t>informar a este Instituto en un plazo de tres días hábiles siguientes sobre el cumplimiento dado.</w:t>
      </w:r>
    </w:p>
    <w:p w14:paraId="06F5B6A2" w14:textId="77777777" w:rsidR="00230A6E" w:rsidRPr="008157E4" w:rsidRDefault="00230A6E">
      <w:pPr>
        <w:spacing w:after="0" w:line="360" w:lineRule="auto"/>
        <w:ind w:right="51"/>
        <w:jc w:val="both"/>
        <w:rPr>
          <w:rFonts w:ascii="Palatino Linotype" w:eastAsia="Palatino Linotype" w:hAnsi="Palatino Linotype" w:cs="Palatino Linotype"/>
          <w:i/>
          <w:sz w:val="20"/>
          <w:szCs w:val="20"/>
        </w:rPr>
      </w:pPr>
    </w:p>
    <w:p w14:paraId="1B6C28AA"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 xml:space="preserve">CUARTO. </w:t>
      </w:r>
      <w:r w:rsidRPr="008157E4">
        <w:rPr>
          <w:rFonts w:ascii="Palatino Linotype" w:eastAsia="Palatino Linotype" w:hAnsi="Palatino Linotype" w:cs="Palatino Linotype"/>
          <w:sz w:val="24"/>
          <w:szCs w:val="24"/>
        </w:rPr>
        <w:t xml:space="preserve">Notifíquese, vía </w:t>
      </w:r>
      <w:r w:rsidRPr="008157E4">
        <w:rPr>
          <w:rFonts w:ascii="Palatino Linotype" w:eastAsia="Palatino Linotype" w:hAnsi="Palatino Linotype" w:cs="Palatino Linotype"/>
          <w:b/>
          <w:sz w:val="24"/>
          <w:szCs w:val="24"/>
        </w:rPr>
        <w:t>SAIMEX</w:t>
      </w:r>
      <w:r w:rsidRPr="008157E4">
        <w:rPr>
          <w:rFonts w:ascii="Palatino Linotype" w:eastAsia="Palatino Linotype" w:hAnsi="Palatino Linotype" w:cs="Palatino Linotype"/>
          <w:sz w:val="24"/>
          <w:szCs w:val="24"/>
        </w:rPr>
        <w:t xml:space="preserve">, al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F60C3FF"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5E4BD6FD" w14:textId="77777777" w:rsidR="00230A6E" w:rsidRPr="008157E4" w:rsidRDefault="006E2CFE">
      <w:pPr>
        <w:pBdr>
          <w:top w:val="nil"/>
          <w:left w:val="nil"/>
          <w:bottom w:val="nil"/>
          <w:right w:val="nil"/>
          <w:between w:val="nil"/>
        </w:pBdr>
        <w:spacing w:after="12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b/>
          <w:sz w:val="24"/>
          <w:szCs w:val="24"/>
        </w:rPr>
        <w:t>QUINTO.</w:t>
      </w:r>
      <w:r w:rsidRPr="008157E4">
        <w:rPr>
          <w:rFonts w:ascii="Palatino Linotype" w:eastAsia="Palatino Linotype" w:hAnsi="Palatino Linotype" w:cs="Palatino Linotype"/>
          <w:sz w:val="24"/>
          <w:szCs w:val="24"/>
        </w:rPr>
        <w:t xml:space="preserve"> </w:t>
      </w:r>
      <w:r w:rsidRPr="008157E4">
        <w:rPr>
          <w:rFonts w:ascii="Palatino Linotype" w:eastAsia="Palatino Linotype" w:hAnsi="Palatino Linotype" w:cs="Palatino Linotype"/>
          <w:b/>
          <w:sz w:val="24"/>
          <w:szCs w:val="24"/>
        </w:rPr>
        <w:t>NOTIFÍQUESE vía SAIMEX</w:t>
      </w:r>
      <w:r w:rsidRPr="008157E4">
        <w:rPr>
          <w:rFonts w:ascii="Palatino Linotype" w:eastAsia="Palatino Linotype" w:hAnsi="Palatino Linotype" w:cs="Palatino Linotype"/>
          <w:sz w:val="24"/>
          <w:szCs w:val="24"/>
        </w:rPr>
        <w:t xml:space="preserve"> al </w:t>
      </w:r>
      <w:r w:rsidRPr="008157E4">
        <w:rPr>
          <w:rFonts w:ascii="Palatino Linotype" w:eastAsia="Palatino Linotype" w:hAnsi="Palatino Linotype" w:cs="Palatino Linotype"/>
          <w:b/>
          <w:sz w:val="24"/>
          <w:szCs w:val="24"/>
        </w:rPr>
        <w:t>RECURRENTE</w:t>
      </w:r>
      <w:r w:rsidRPr="008157E4">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E83A172" w14:textId="77777777" w:rsidR="00230A6E" w:rsidRPr="008157E4" w:rsidRDefault="00230A6E">
      <w:pPr>
        <w:spacing w:after="0" w:line="360" w:lineRule="auto"/>
        <w:jc w:val="both"/>
        <w:rPr>
          <w:rFonts w:ascii="Palatino Linotype" w:eastAsia="Palatino Linotype" w:hAnsi="Palatino Linotype" w:cs="Palatino Linotype"/>
          <w:sz w:val="24"/>
          <w:szCs w:val="24"/>
        </w:rPr>
      </w:pPr>
    </w:p>
    <w:p w14:paraId="3AD55DB8" w14:textId="77777777" w:rsidR="00230A6E" w:rsidRPr="008157E4" w:rsidRDefault="006E2CFE">
      <w:pPr>
        <w:spacing w:after="0" w:line="360" w:lineRule="auto"/>
        <w:jc w:val="both"/>
        <w:rPr>
          <w:rFonts w:ascii="Palatino Linotype" w:eastAsia="Palatino Linotype" w:hAnsi="Palatino Linotype" w:cs="Palatino Linotype"/>
          <w:sz w:val="24"/>
          <w:szCs w:val="24"/>
        </w:rPr>
      </w:pPr>
      <w:r w:rsidRPr="008157E4">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47CA1" w:rsidRPr="008157E4">
        <w:rPr>
          <w:rFonts w:ascii="Palatino Linotype" w:eastAsia="Palatino Linotype" w:hAnsi="Palatino Linotype" w:cs="Palatino Linotype"/>
          <w:sz w:val="24"/>
          <w:szCs w:val="24"/>
        </w:rPr>
        <w:t xml:space="preserve"> (EMITIENDO VOTO </w:t>
      </w:r>
      <w:r w:rsidR="00647CA1" w:rsidRPr="008157E4">
        <w:rPr>
          <w:rFonts w:ascii="Palatino Linotype" w:eastAsia="Palatino Linotype" w:hAnsi="Palatino Linotype" w:cs="Palatino Linotype"/>
          <w:sz w:val="24"/>
          <w:szCs w:val="24"/>
        </w:rPr>
        <w:lastRenderedPageBreak/>
        <w:t>PARTICULAR)</w:t>
      </w:r>
      <w:r w:rsidRPr="008157E4">
        <w:rPr>
          <w:rFonts w:ascii="Palatino Linotype" w:eastAsia="Palatino Linotype" w:hAnsi="Palatino Linotype" w:cs="Palatino Linotype"/>
          <w:sz w:val="24"/>
          <w:szCs w:val="24"/>
        </w:rPr>
        <w:t>, SHARON CRISTINA MORALES MARTÍNEZ, LUIS GUSTAVO PARRA NORIEGA</w:t>
      </w:r>
      <w:r w:rsidR="00647CA1" w:rsidRPr="008157E4">
        <w:rPr>
          <w:rFonts w:ascii="Palatino Linotype" w:eastAsia="Palatino Linotype" w:hAnsi="Palatino Linotype" w:cs="Palatino Linotype"/>
          <w:sz w:val="24"/>
          <w:szCs w:val="24"/>
        </w:rPr>
        <w:t xml:space="preserve"> (EMITIENDO VOTO PARTICULAR)</w:t>
      </w:r>
      <w:r w:rsidRPr="008157E4">
        <w:rPr>
          <w:rFonts w:ascii="Palatino Linotype" w:eastAsia="Palatino Linotype" w:hAnsi="Palatino Linotype" w:cs="Palatino Linotype"/>
          <w:sz w:val="24"/>
          <w:szCs w:val="24"/>
        </w:rPr>
        <w:t xml:space="preserve"> Y GUADALUPE RAMÍREZ PEÑA; EN LA DÉCIMA SEGUNDA SESIÓN ORDINARIA CELEBRADA EL </w:t>
      </w:r>
      <w:r w:rsidR="001003E7">
        <w:rPr>
          <w:rFonts w:ascii="Palatino Linotype" w:eastAsia="Palatino Linotype" w:hAnsi="Palatino Linotype" w:cs="Palatino Linotype"/>
          <w:sz w:val="24"/>
          <w:szCs w:val="24"/>
        </w:rPr>
        <w:t>VEINTINUEVE</w:t>
      </w:r>
      <w:r w:rsidRPr="008157E4">
        <w:rPr>
          <w:rFonts w:ascii="Palatino Linotype" w:eastAsia="Palatino Linotype" w:hAnsi="Palatino Linotype" w:cs="Palatino Linotype"/>
          <w:sz w:val="24"/>
          <w:szCs w:val="24"/>
        </w:rPr>
        <w:t xml:space="preserve"> DE MARZO DE DOS MIL VEINTITRÉS, ANTE EL SECRETARIO TÉCNICO DEL PLENO ALEXIS TAPIA RAMÍREZ. </w:t>
      </w:r>
    </w:p>
    <w:p w14:paraId="26792460" w14:textId="77777777" w:rsidR="00230A6E" w:rsidRPr="008157E4" w:rsidRDefault="001003E7">
      <w:pPr>
        <w:tabs>
          <w:tab w:val="left" w:pos="211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0B7B5AC" wp14:editId="12C164EC">
                <wp:simplePos x="0" y="0"/>
                <wp:positionH relativeFrom="column">
                  <wp:posOffset>253365</wp:posOffset>
                </wp:positionH>
                <wp:positionV relativeFrom="paragraph">
                  <wp:posOffset>202564</wp:posOffset>
                </wp:positionV>
                <wp:extent cx="4991100" cy="46577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4991100" cy="465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33F26"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95pt,15.95pt" to="412.95pt,3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" strokecolor="#4472c4 [3204]" strokeweight=".5pt">
                <v:stroke joinstyle="miter"/>
              </v:line>
            </w:pict>
          </mc:Fallback>
        </mc:AlternateContent>
      </w:r>
    </w:p>
    <w:p w14:paraId="10754A20" w14:textId="77777777" w:rsidR="00230A6E" w:rsidRPr="008157E4" w:rsidRDefault="00230A6E">
      <w:pPr>
        <w:spacing w:after="0" w:line="360" w:lineRule="auto"/>
        <w:jc w:val="both"/>
        <w:rPr>
          <w:rFonts w:ascii="Palatino Linotype" w:eastAsia="Palatino Linotype" w:hAnsi="Palatino Linotype" w:cs="Palatino Linotype"/>
          <w:i/>
          <w:sz w:val="20"/>
          <w:szCs w:val="20"/>
        </w:rPr>
      </w:pPr>
    </w:p>
    <w:p w14:paraId="7EA95988" w14:textId="77777777" w:rsidR="00230A6E" w:rsidRPr="008157E4" w:rsidRDefault="00230A6E">
      <w:pPr>
        <w:spacing w:line="360" w:lineRule="auto"/>
        <w:jc w:val="both"/>
        <w:rPr>
          <w:rFonts w:ascii="Palatino Linotype" w:eastAsia="Palatino Linotype" w:hAnsi="Palatino Linotype" w:cs="Palatino Linotype"/>
          <w:sz w:val="24"/>
          <w:szCs w:val="24"/>
        </w:rPr>
      </w:pPr>
    </w:p>
    <w:p w14:paraId="41DCA12E"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48203568"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16ADAC81"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1FBF7C8C"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1019DCBB"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4B35AB8E"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65033436"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46F6DC59"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07702F48"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75D294AD"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2A9EA18B"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22A80C2B" w14:textId="77777777" w:rsidR="003F35DC" w:rsidRPr="008157E4" w:rsidRDefault="003F35DC">
      <w:pPr>
        <w:spacing w:line="360" w:lineRule="auto"/>
        <w:jc w:val="both"/>
        <w:rPr>
          <w:rFonts w:ascii="Palatino Linotype" w:eastAsia="Palatino Linotype" w:hAnsi="Palatino Linotype" w:cs="Palatino Linotype"/>
          <w:sz w:val="24"/>
          <w:szCs w:val="24"/>
        </w:rPr>
      </w:pPr>
    </w:p>
    <w:p w14:paraId="23E789B7" w14:textId="77777777" w:rsidR="003F35DC" w:rsidRPr="008157E4" w:rsidRDefault="003F35DC">
      <w:pPr>
        <w:spacing w:line="360" w:lineRule="auto"/>
        <w:jc w:val="both"/>
        <w:rPr>
          <w:rFonts w:ascii="Palatino Linotype" w:eastAsia="Palatino Linotype" w:hAnsi="Palatino Linotype" w:cs="Palatino Linotype"/>
          <w:sz w:val="24"/>
          <w:szCs w:val="24"/>
        </w:rPr>
      </w:pPr>
    </w:p>
    <w:sectPr w:rsidR="003F35DC" w:rsidRPr="008157E4">
      <w:headerReference w:type="default" r:id="rId17"/>
      <w:footerReference w:type="default" r:id="rId1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28E5C" w14:textId="77777777" w:rsidR="003D2483" w:rsidRDefault="003D2483">
      <w:pPr>
        <w:spacing w:after="0" w:line="240" w:lineRule="auto"/>
      </w:pPr>
      <w:r>
        <w:separator/>
      </w:r>
    </w:p>
  </w:endnote>
  <w:endnote w:type="continuationSeparator" w:id="0">
    <w:p w14:paraId="1BB8AAD3" w14:textId="77777777" w:rsidR="003D2483" w:rsidRDefault="003D2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AFF7" w14:textId="77777777" w:rsidR="00FD2946" w:rsidRDefault="00FD2946">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906A9">
      <w:rPr>
        <w:rFonts w:ascii="Arial" w:eastAsia="Arial" w:hAnsi="Arial" w:cs="Arial"/>
        <w:b/>
        <w:noProof/>
        <w:color w:val="000000"/>
        <w:sz w:val="20"/>
        <w:szCs w:val="20"/>
      </w:rPr>
      <w:t>67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906A9">
      <w:rPr>
        <w:rFonts w:ascii="Arial" w:eastAsia="Arial" w:hAnsi="Arial" w:cs="Arial"/>
        <w:b/>
        <w:noProof/>
        <w:color w:val="000000"/>
        <w:sz w:val="20"/>
        <w:szCs w:val="20"/>
      </w:rPr>
      <w:t>68</w:t>
    </w:r>
    <w:r>
      <w:rPr>
        <w:rFonts w:ascii="Arial" w:eastAsia="Arial" w:hAnsi="Arial" w:cs="Arial"/>
        <w:b/>
        <w:color w:val="000000"/>
        <w:sz w:val="20"/>
        <w:szCs w:val="20"/>
      </w:rPr>
      <w:fldChar w:fldCharType="end"/>
    </w:r>
  </w:p>
  <w:p w14:paraId="4B847716" w14:textId="77777777" w:rsidR="00FD2946" w:rsidRDefault="00FD294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789E" w14:textId="77777777" w:rsidR="003D2483" w:rsidRDefault="003D2483">
      <w:pPr>
        <w:spacing w:after="0" w:line="240" w:lineRule="auto"/>
      </w:pPr>
      <w:r>
        <w:separator/>
      </w:r>
    </w:p>
  </w:footnote>
  <w:footnote w:type="continuationSeparator" w:id="0">
    <w:p w14:paraId="01B503F5" w14:textId="77777777" w:rsidR="003D2483" w:rsidRDefault="003D2483">
      <w:pPr>
        <w:spacing w:after="0" w:line="240" w:lineRule="auto"/>
      </w:pPr>
      <w:r>
        <w:continuationSeparator/>
      </w:r>
    </w:p>
  </w:footnote>
  <w:footnote w:id="1">
    <w:p w14:paraId="39A02108" w14:textId="77777777" w:rsidR="00FD2946" w:rsidRDefault="00FD294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4F1FF3F1" w14:textId="77777777" w:rsidR="00FD2946" w:rsidRDefault="00FD294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FA745" w14:textId="77777777" w:rsidR="00FD2946" w:rsidRDefault="00FD294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1"/>
      <w:tblW w:w="10302" w:type="dxa"/>
      <w:tblInd w:w="-1281" w:type="dxa"/>
      <w:tblLayout w:type="fixed"/>
      <w:tblLook w:val="0400" w:firstRow="0" w:lastRow="0" w:firstColumn="0" w:lastColumn="0" w:noHBand="0" w:noVBand="1"/>
    </w:tblPr>
    <w:tblGrid>
      <w:gridCol w:w="5660"/>
      <w:gridCol w:w="4642"/>
    </w:tblGrid>
    <w:tr w:rsidR="00FD2946" w14:paraId="77DE8ABE" w14:textId="77777777">
      <w:trPr>
        <w:trHeight w:val="260"/>
      </w:trPr>
      <w:tc>
        <w:tcPr>
          <w:tcW w:w="5660" w:type="dxa"/>
        </w:tcPr>
        <w:p w14:paraId="0820F576" w14:textId="77777777" w:rsidR="00FD2946" w:rsidRDefault="00FD294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42" w:type="dxa"/>
        </w:tcPr>
        <w:p w14:paraId="737558DA" w14:textId="77777777" w:rsidR="00FD2946" w:rsidRDefault="00FD2946">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14969/INFOEM/IP/RR/2022.</w:t>
          </w:r>
        </w:p>
      </w:tc>
    </w:tr>
    <w:tr w:rsidR="00FD2946" w14:paraId="31BCBD89" w14:textId="77777777">
      <w:trPr>
        <w:trHeight w:val="224"/>
      </w:trPr>
      <w:tc>
        <w:tcPr>
          <w:tcW w:w="5660" w:type="dxa"/>
        </w:tcPr>
        <w:p w14:paraId="2F7D9C6D" w14:textId="77777777" w:rsidR="00FD2946" w:rsidRDefault="00FD2946">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14:paraId="00E6CFC1" w14:textId="77777777" w:rsidR="00FD2946" w:rsidRDefault="00FD2946">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FD2946" w14:paraId="5CCD83B8" w14:textId="77777777">
      <w:trPr>
        <w:trHeight w:val="278"/>
      </w:trPr>
      <w:tc>
        <w:tcPr>
          <w:tcW w:w="5660" w:type="dxa"/>
        </w:tcPr>
        <w:p w14:paraId="30C000DF" w14:textId="77777777" w:rsidR="00FD2946" w:rsidRDefault="00FD2946">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14:paraId="50EE30A8" w14:textId="77777777" w:rsidR="00FD2946" w:rsidRDefault="00FD2946">
          <w:pPr>
            <w:spacing w:after="0"/>
            <w:ind w:left="-495"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rPr>
            <w:t>Ayuntamiento de Toluca</w:t>
          </w:r>
        </w:p>
      </w:tc>
    </w:tr>
    <w:tr w:rsidR="00FD2946" w14:paraId="459EB5AD" w14:textId="77777777">
      <w:trPr>
        <w:trHeight w:val="393"/>
      </w:trPr>
      <w:tc>
        <w:tcPr>
          <w:tcW w:w="5660" w:type="dxa"/>
        </w:tcPr>
        <w:p w14:paraId="5343148A" w14:textId="77777777" w:rsidR="00FD2946" w:rsidRDefault="00FD2946">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14:paraId="4F77E526" w14:textId="77777777" w:rsidR="00FD2946" w:rsidRDefault="00FD2946">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4AC83A3" w14:textId="77777777" w:rsidR="00FD2946" w:rsidRDefault="00FD2946">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14:anchorId="06FAC019" wp14:editId="5CA824FF">
          <wp:simplePos x="0" y="0"/>
          <wp:positionH relativeFrom="column">
            <wp:posOffset>-788669</wp:posOffset>
          </wp:positionH>
          <wp:positionV relativeFrom="paragraph">
            <wp:posOffset>-1459864</wp:posOffset>
          </wp:positionV>
          <wp:extent cx="7753350" cy="9942731"/>
          <wp:effectExtent l="0" t="0" r="0" b="0"/>
          <wp:wrapNone/>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D0D74"/>
    <w:multiLevelType w:val="multilevel"/>
    <w:tmpl w:val="83A83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885564"/>
    <w:multiLevelType w:val="multilevel"/>
    <w:tmpl w:val="363880A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437758"/>
    <w:multiLevelType w:val="multilevel"/>
    <w:tmpl w:val="9974890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024F3F"/>
    <w:multiLevelType w:val="multilevel"/>
    <w:tmpl w:val="E814CF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6FF7A9C"/>
    <w:multiLevelType w:val="multilevel"/>
    <w:tmpl w:val="EB167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13627A"/>
    <w:multiLevelType w:val="multilevel"/>
    <w:tmpl w:val="73B42A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FAD75BC"/>
    <w:multiLevelType w:val="multilevel"/>
    <w:tmpl w:val="DBF83A3A"/>
    <w:lvl w:ilvl="0">
      <w:start w:val="1"/>
      <w:numFmt w:val="bullet"/>
      <w:lvlText w:val="●"/>
      <w:lvlJc w:val="left"/>
      <w:pPr>
        <w:ind w:left="860" w:hanging="360"/>
      </w:pPr>
      <w:rPr>
        <w:rFonts w:ascii="Noto Sans Symbols" w:eastAsia="Noto Sans Symbols" w:hAnsi="Noto Sans Symbols" w:cs="Noto Sans Symbols"/>
      </w:rPr>
    </w:lvl>
    <w:lvl w:ilvl="1">
      <w:start w:val="1"/>
      <w:numFmt w:val="bullet"/>
      <w:lvlText w:val="o"/>
      <w:lvlJc w:val="left"/>
      <w:pPr>
        <w:ind w:left="1580" w:hanging="360"/>
      </w:pPr>
      <w:rPr>
        <w:rFonts w:ascii="Courier New" w:eastAsia="Courier New" w:hAnsi="Courier New" w:cs="Courier New"/>
      </w:rPr>
    </w:lvl>
    <w:lvl w:ilvl="2">
      <w:start w:val="1"/>
      <w:numFmt w:val="bullet"/>
      <w:lvlText w:val="▪"/>
      <w:lvlJc w:val="left"/>
      <w:pPr>
        <w:ind w:left="2300" w:hanging="360"/>
      </w:pPr>
      <w:rPr>
        <w:rFonts w:ascii="Noto Sans Symbols" w:eastAsia="Noto Sans Symbols" w:hAnsi="Noto Sans Symbols" w:cs="Noto Sans Symbols"/>
      </w:rPr>
    </w:lvl>
    <w:lvl w:ilvl="3">
      <w:start w:val="1"/>
      <w:numFmt w:val="bullet"/>
      <w:lvlText w:val="●"/>
      <w:lvlJc w:val="left"/>
      <w:pPr>
        <w:ind w:left="3020" w:hanging="360"/>
      </w:pPr>
      <w:rPr>
        <w:rFonts w:ascii="Noto Sans Symbols" w:eastAsia="Noto Sans Symbols" w:hAnsi="Noto Sans Symbols" w:cs="Noto Sans Symbols"/>
      </w:rPr>
    </w:lvl>
    <w:lvl w:ilvl="4">
      <w:start w:val="1"/>
      <w:numFmt w:val="bullet"/>
      <w:lvlText w:val="o"/>
      <w:lvlJc w:val="left"/>
      <w:pPr>
        <w:ind w:left="3740" w:hanging="360"/>
      </w:pPr>
      <w:rPr>
        <w:rFonts w:ascii="Courier New" w:eastAsia="Courier New" w:hAnsi="Courier New" w:cs="Courier New"/>
      </w:rPr>
    </w:lvl>
    <w:lvl w:ilvl="5">
      <w:start w:val="1"/>
      <w:numFmt w:val="bullet"/>
      <w:lvlText w:val="▪"/>
      <w:lvlJc w:val="left"/>
      <w:pPr>
        <w:ind w:left="4460" w:hanging="360"/>
      </w:pPr>
      <w:rPr>
        <w:rFonts w:ascii="Noto Sans Symbols" w:eastAsia="Noto Sans Symbols" w:hAnsi="Noto Sans Symbols" w:cs="Noto Sans Symbols"/>
      </w:rPr>
    </w:lvl>
    <w:lvl w:ilvl="6">
      <w:start w:val="1"/>
      <w:numFmt w:val="bullet"/>
      <w:lvlText w:val="●"/>
      <w:lvlJc w:val="left"/>
      <w:pPr>
        <w:ind w:left="5180" w:hanging="360"/>
      </w:pPr>
      <w:rPr>
        <w:rFonts w:ascii="Noto Sans Symbols" w:eastAsia="Noto Sans Symbols" w:hAnsi="Noto Sans Symbols" w:cs="Noto Sans Symbols"/>
      </w:rPr>
    </w:lvl>
    <w:lvl w:ilvl="7">
      <w:start w:val="1"/>
      <w:numFmt w:val="bullet"/>
      <w:lvlText w:val="o"/>
      <w:lvlJc w:val="left"/>
      <w:pPr>
        <w:ind w:left="5900" w:hanging="360"/>
      </w:pPr>
      <w:rPr>
        <w:rFonts w:ascii="Courier New" w:eastAsia="Courier New" w:hAnsi="Courier New" w:cs="Courier New"/>
      </w:rPr>
    </w:lvl>
    <w:lvl w:ilvl="8">
      <w:start w:val="1"/>
      <w:numFmt w:val="bullet"/>
      <w:lvlText w:val="▪"/>
      <w:lvlJc w:val="left"/>
      <w:pPr>
        <w:ind w:left="6620" w:hanging="360"/>
      </w:pPr>
      <w:rPr>
        <w:rFonts w:ascii="Noto Sans Symbols" w:eastAsia="Noto Sans Symbols" w:hAnsi="Noto Sans Symbols" w:cs="Noto Sans Symbols"/>
      </w:rPr>
    </w:lvl>
  </w:abstractNum>
  <w:abstractNum w:abstractNumId="7" w15:restartNumberingAfterBreak="0">
    <w:nsid w:val="518236B6"/>
    <w:multiLevelType w:val="multilevel"/>
    <w:tmpl w:val="51EADE7A"/>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8" w15:restartNumberingAfterBreak="0">
    <w:nsid w:val="5BB87004"/>
    <w:multiLevelType w:val="multilevel"/>
    <w:tmpl w:val="400C65B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1F5E94"/>
    <w:multiLevelType w:val="multilevel"/>
    <w:tmpl w:val="580054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F122A86"/>
    <w:multiLevelType w:val="multilevel"/>
    <w:tmpl w:val="05A28632"/>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10"/>
  </w:num>
  <w:num w:numId="4">
    <w:abstractNumId w:val="7"/>
  </w:num>
  <w:num w:numId="5">
    <w:abstractNumId w:val="5"/>
  </w:num>
  <w:num w:numId="6">
    <w:abstractNumId w:val="4"/>
  </w:num>
  <w:num w:numId="7">
    <w:abstractNumId w:val="8"/>
  </w:num>
  <w:num w:numId="8">
    <w:abstractNumId w:val="9"/>
  </w:num>
  <w:num w:numId="9">
    <w:abstractNumId w:val="1"/>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A6E"/>
    <w:rsid w:val="001003E7"/>
    <w:rsid w:val="001C105A"/>
    <w:rsid w:val="00230A6E"/>
    <w:rsid w:val="003D2483"/>
    <w:rsid w:val="003F35DC"/>
    <w:rsid w:val="004513B9"/>
    <w:rsid w:val="005906A9"/>
    <w:rsid w:val="006270B8"/>
    <w:rsid w:val="00647CA1"/>
    <w:rsid w:val="006E2CFE"/>
    <w:rsid w:val="008157E4"/>
    <w:rsid w:val="00FD29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87954"/>
  <w15:docId w15:val="{8586A73F-6600-4E60-B6E3-BAB8FCF3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2A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0172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72AA"/>
  </w:style>
  <w:style w:type="paragraph" w:styleId="Piedepgina">
    <w:name w:val="footer"/>
    <w:basedOn w:val="Normal"/>
    <w:link w:val="PiedepginaCar"/>
    <w:uiPriority w:val="99"/>
    <w:unhideWhenUsed/>
    <w:rsid w:val="000172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72AA"/>
  </w:style>
  <w:style w:type="paragraph" w:styleId="Prrafodelista">
    <w:name w:val="List Paragraph"/>
    <w:basedOn w:val="Normal"/>
    <w:uiPriority w:val="34"/>
    <w:qFormat/>
    <w:rsid w:val="006B420C"/>
    <w:pPr>
      <w:ind w:left="720"/>
      <w:contextualSpacing/>
    </w:pPr>
  </w:style>
  <w:style w:type="table" w:styleId="Tablaconcuadrcula">
    <w:name w:val="Table Grid"/>
    <w:basedOn w:val="Tablanormal"/>
    <w:uiPriority w:val="59"/>
    <w:rsid w:val="005034F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A6D53"/>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4"/>
      <w:szCs w:val="24"/>
    </w:r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ae.es/drae2001/resoluci%C3%B3n"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lWgKyQue7V6cMySSOp1WyDa+mow==">AMUW2mVipKPhtP5dEdrbwuZWxsA0XWVlZZ9Zqdu3gBDZjSJy3QIsZTabMaFCZIbeksAmkmnbQnEFb2XRUVPV0Qv3Z2pYTfuVc/Z0dM2l21OpRqGf1GqxxHivcA4N0M8TepMSjb+U5w4s6Hqbs+WQtiW49bLqXhOMsWdZo/fPMutXgzISBkQuHEE=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68</Pages>
  <Words>14674</Words>
  <Characters>80710</Characters>
  <Application>Microsoft Office Word</Application>
  <DocSecurity>0</DocSecurity>
  <Lines>672</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CELIA LILIANA DE JESUS SANCHEZ</dc:creator>
  <cp:lastModifiedBy>MARICELA VILLAGOMEZ</cp:lastModifiedBy>
  <cp:revision>2</cp:revision>
  <cp:lastPrinted>2023-03-31T16:34:00Z</cp:lastPrinted>
  <dcterms:created xsi:type="dcterms:W3CDTF">2023-04-11T03:30:00Z</dcterms:created>
  <dcterms:modified xsi:type="dcterms:W3CDTF">2023-04-11T03:30:00Z</dcterms:modified>
</cp:coreProperties>
</file>