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36029" w14:textId="68DECC62" w:rsidR="00757A60" w:rsidRPr="0034034E" w:rsidRDefault="00F059F1">
      <w:pPr>
        <w:spacing w:before="240" w:after="240" w:line="360" w:lineRule="auto"/>
        <w:jc w:val="both"/>
        <w:rPr>
          <w:rFonts w:ascii="Palatino Linotype" w:eastAsia="Palatino Linotype" w:hAnsi="Palatino Linotype" w:cs="Palatino Linotype"/>
        </w:rPr>
      </w:pPr>
      <w:bookmarkStart w:id="0" w:name="_GoBack"/>
      <w:bookmarkEnd w:id="0"/>
      <w:r w:rsidRPr="0034034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9E6AEE" w:rsidRPr="0034034E">
        <w:rPr>
          <w:rFonts w:ascii="Palatino Linotype" w:eastAsia="Palatino Linotype" w:hAnsi="Palatino Linotype" w:cs="Palatino Linotype"/>
          <w:b/>
        </w:rPr>
        <w:t>veintidós de febrero</w:t>
      </w:r>
      <w:r w:rsidRPr="0034034E">
        <w:rPr>
          <w:rFonts w:ascii="Palatino Linotype" w:eastAsia="Palatino Linotype" w:hAnsi="Palatino Linotype" w:cs="Palatino Linotype"/>
          <w:b/>
        </w:rPr>
        <w:t xml:space="preserve"> de dos mil veinti</w:t>
      </w:r>
      <w:r w:rsidR="009E6AEE" w:rsidRPr="0034034E">
        <w:rPr>
          <w:rFonts w:ascii="Palatino Linotype" w:eastAsia="Palatino Linotype" w:hAnsi="Palatino Linotype" w:cs="Palatino Linotype"/>
          <w:b/>
        </w:rPr>
        <w:t>trés</w:t>
      </w:r>
      <w:r w:rsidRPr="0034034E">
        <w:rPr>
          <w:rFonts w:ascii="Palatino Linotype" w:eastAsia="Palatino Linotype" w:hAnsi="Palatino Linotype" w:cs="Palatino Linotype"/>
        </w:rPr>
        <w:t xml:space="preserve">. </w:t>
      </w:r>
    </w:p>
    <w:p w14:paraId="166CC32A" w14:textId="43D6AD2B" w:rsidR="00757A60" w:rsidRPr="0034034E" w:rsidRDefault="00F059F1">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b/>
        </w:rPr>
        <w:t>VISTO</w:t>
      </w:r>
      <w:r w:rsidRPr="0034034E">
        <w:rPr>
          <w:rFonts w:ascii="Palatino Linotype" w:eastAsia="Palatino Linotype" w:hAnsi="Palatino Linotype" w:cs="Palatino Linotype"/>
        </w:rPr>
        <w:t xml:space="preserve"> el expediente formado con motivo del recurso de revisión </w:t>
      </w:r>
      <w:r w:rsidR="005D01DB" w:rsidRPr="0034034E">
        <w:rPr>
          <w:rFonts w:ascii="Palatino Linotype" w:eastAsia="Palatino Linotype" w:hAnsi="Palatino Linotype" w:cs="Palatino Linotype"/>
          <w:b/>
        </w:rPr>
        <w:t>1760</w:t>
      </w:r>
      <w:r w:rsidR="00186828" w:rsidRPr="0034034E">
        <w:rPr>
          <w:rFonts w:ascii="Palatino Linotype" w:eastAsia="Palatino Linotype" w:hAnsi="Palatino Linotype" w:cs="Palatino Linotype"/>
          <w:b/>
        </w:rPr>
        <w:t>4</w:t>
      </w:r>
      <w:r w:rsidRPr="0034034E">
        <w:rPr>
          <w:rFonts w:ascii="Palatino Linotype" w:eastAsia="Palatino Linotype" w:hAnsi="Palatino Linotype" w:cs="Palatino Linotype"/>
          <w:b/>
        </w:rPr>
        <w:t>/INFOEM/IP/RR/2022</w:t>
      </w:r>
      <w:r w:rsidRPr="0034034E">
        <w:rPr>
          <w:rFonts w:ascii="Palatino Linotype" w:eastAsia="Palatino Linotype" w:hAnsi="Palatino Linotype" w:cs="Palatino Linotype"/>
        </w:rPr>
        <w:t>, interpuesto por</w:t>
      </w:r>
      <w:r w:rsidR="00186828" w:rsidRPr="0034034E">
        <w:rPr>
          <w:rFonts w:ascii="Palatino Linotype" w:eastAsia="Palatino Linotype" w:hAnsi="Palatino Linotype" w:cs="Palatino Linotype"/>
          <w:b/>
        </w:rPr>
        <w:t xml:space="preserve"> un particular que no proporcionó nombre o seudónimo</w:t>
      </w:r>
      <w:r w:rsidRPr="0034034E">
        <w:rPr>
          <w:rFonts w:ascii="Palatino Linotype" w:eastAsia="Palatino Linotype" w:hAnsi="Palatino Linotype" w:cs="Palatino Linotype"/>
          <w:b/>
        </w:rPr>
        <w:t xml:space="preserve">, </w:t>
      </w:r>
      <w:r w:rsidRPr="0034034E">
        <w:rPr>
          <w:rFonts w:ascii="Palatino Linotype" w:eastAsia="Palatino Linotype" w:hAnsi="Palatino Linotype" w:cs="Palatino Linotype"/>
        </w:rPr>
        <w:t>en lo sucesivo</w:t>
      </w:r>
      <w:r w:rsidRPr="0034034E">
        <w:rPr>
          <w:rFonts w:ascii="Palatino Linotype" w:eastAsia="Palatino Linotype" w:hAnsi="Palatino Linotype" w:cs="Palatino Linotype"/>
          <w:b/>
        </w:rPr>
        <w:t xml:space="preserve"> </w:t>
      </w:r>
      <w:r w:rsidRPr="0034034E">
        <w:rPr>
          <w:rFonts w:ascii="Palatino Linotype" w:eastAsia="Palatino Linotype" w:hAnsi="Palatino Linotype" w:cs="Palatino Linotype"/>
        </w:rPr>
        <w:t xml:space="preserve">la parte </w:t>
      </w:r>
      <w:r w:rsidRPr="0034034E">
        <w:rPr>
          <w:rFonts w:ascii="Palatino Linotype" w:eastAsia="Palatino Linotype" w:hAnsi="Palatino Linotype" w:cs="Palatino Linotype"/>
          <w:b/>
        </w:rPr>
        <w:t>Recurrente,</w:t>
      </w:r>
      <w:r w:rsidRPr="0034034E">
        <w:rPr>
          <w:rFonts w:ascii="Palatino Linotype" w:eastAsia="Palatino Linotype" w:hAnsi="Palatino Linotype" w:cs="Palatino Linotype"/>
        </w:rPr>
        <w:t xml:space="preserve"> en contra de la falta de respuesta a su solicitud por parte del</w:t>
      </w:r>
      <w:r w:rsidR="007942F1" w:rsidRPr="0034034E">
        <w:rPr>
          <w:rFonts w:ascii="Palatino Linotype" w:eastAsia="Palatino Linotype" w:hAnsi="Palatino Linotype" w:cs="Palatino Linotype"/>
          <w:b/>
        </w:rPr>
        <w:t xml:space="preserve"> </w:t>
      </w:r>
      <w:r w:rsidR="00186828" w:rsidRPr="0034034E">
        <w:rPr>
          <w:rFonts w:ascii="Palatino Linotype" w:eastAsia="Palatino Linotype" w:hAnsi="Palatino Linotype" w:cs="Palatino Linotype"/>
          <w:b/>
        </w:rPr>
        <w:t>Ayuntamiento de Zinacantepec</w:t>
      </w:r>
      <w:r w:rsidRPr="0034034E">
        <w:rPr>
          <w:rFonts w:ascii="Palatino Linotype" w:eastAsia="Palatino Linotype" w:hAnsi="Palatino Linotype" w:cs="Palatino Linotype"/>
          <w:b/>
        </w:rPr>
        <w:t xml:space="preserve">, </w:t>
      </w:r>
      <w:r w:rsidRPr="0034034E">
        <w:rPr>
          <w:rFonts w:ascii="Palatino Linotype" w:eastAsia="Palatino Linotype" w:hAnsi="Palatino Linotype" w:cs="Palatino Linotype"/>
        </w:rPr>
        <w:t xml:space="preserve">en lo sucesivo el </w:t>
      </w:r>
      <w:r w:rsidRPr="0034034E">
        <w:rPr>
          <w:rFonts w:ascii="Palatino Linotype" w:eastAsia="Palatino Linotype" w:hAnsi="Palatino Linotype" w:cs="Palatino Linotype"/>
          <w:b/>
        </w:rPr>
        <w:t xml:space="preserve">Sujeto Obligado, </w:t>
      </w:r>
      <w:r w:rsidRPr="0034034E">
        <w:rPr>
          <w:rFonts w:ascii="Palatino Linotype" w:eastAsia="Palatino Linotype" w:hAnsi="Palatino Linotype" w:cs="Palatino Linotype"/>
        </w:rPr>
        <w:t xml:space="preserve">se procede a dictar la presente resolución con base en los siguientes: </w:t>
      </w:r>
    </w:p>
    <w:p w14:paraId="6587D38F" w14:textId="77777777" w:rsidR="00757A60" w:rsidRPr="0034034E" w:rsidRDefault="00F059F1">
      <w:pPr>
        <w:spacing w:before="240" w:after="240" w:line="360" w:lineRule="auto"/>
        <w:jc w:val="center"/>
        <w:rPr>
          <w:rFonts w:ascii="Palatino Linotype" w:eastAsia="Palatino Linotype" w:hAnsi="Palatino Linotype" w:cs="Palatino Linotype"/>
          <w:b/>
        </w:rPr>
      </w:pPr>
      <w:r w:rsidRPr="0034034E">
        <w:rPr>
          <w:rFonts w:ascii="Palatino Linotype" w:eastAsia="Palatino Linotype" w:hAnsi="Palatino Linotype" w:cs="Palatino Linotype"/>
          <w:b/>
        </w:rPr>
        <w:t>I. A N T E C E D E N T E S</w:t>
      </w:r>
    </w:p>
    <w:p w14:paraId="26CC02B9" w14:textId="2868175C" w:rsidR="00757A60" w:rsidRPr="0034034E" w:rsidRDefault="00F059F1">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b/>
        </w:rPr>
        <w:t>1. Solicitud de acceso a la información.</w:t>
      </w:r>
      <w:r w:rsidRPr="0034034E">
        <w:rPr>
          <w:rFonts w:ascii="Palatino Linotype" w:eastAsia="Palatino Linotype" w:hAnsi="Palatino Linotype" w:cs="Palatino Linotype"/>
        </w:rPr>
        <w:t xml:space="preserve"> Con fecha </w:t>
      </w:r>
      <w:r w:rsidR="00186828" w:rsidRPr="0034034E">
        <w:rPr>
          <w:rFonts w:ascii="Palatino Linotype" w:eastAsia="Palatino Linotype" w:hAnsi="Palatino Linotype" w:cs="Palatino Linotype"/>
          <w:b/>
        </w:rPr>
        <w:t>dieciocho de noviembre</w:t>
      </w:r>
      <w:r w:rsidRPr="0034034E">
        <w:rPr>
          <w:rFonts w:ascii="Palatino Linotype" w:eastAsia="Palatino Linotype" w:hAnsi="Palatino Linotype" w:cs="Palatino Linotype"/>
          <w:b/>
        </w:rPr>
        <w:t xml:space="preserve"> de dos mil veintidós,</w:t>
      </w:r>
      <w:r w:rsidRPr="0034034E">
        <w:rPr>
          <w:rFonts w:ascii="Palatino Linotype" w:eastAsia="Palatino Linotype" w:hAnsi="Palatino Linotype" w:cs="Palatino Linotype"/>
        </w:rPr>
        <w:t xml:space="preserve"> la parte </w:t>
      </w:r>
      <w:r w:rsidRPr="0034034E">
        <w:rPr>
          <w:rFonts w:ascii="Palatino Linotype" w:eastAsia="Palatino Linotype" w:hAnsi="Palatino Linotype" w:cs="Palatino Linotype"/>
          <w:b/>
        </w:rPr>
        <w:t xml:space="preserve">Recurrente </w:t>
      </w:r>
      <w:r w:rsidRPr="0034034E">
        <w:rPr>
          <w:rFonts w:ascii="Palatino Linotype" w:eastAsia="Palatino Linotype" w:hAnsi="Palatino Linotype" w:cs="Palatino Linotype"/>
        </w:rPr>
        <w:t xml:space="preserve">presentó, través del Sistema de Acceso a la Información Mexiquense, en lo subsecuente el </w:t>
      </w:r>
      <w:r w:rsidRPr="0034034E">
        <w:rPr>
          <w:rFonts w:ascii="Palatino Linotype" w:eastAsia="Palatino Linotype" w:hAnsi="Palatino Linotype" w:cs="Palatino Linotype"/>
          <w:b/>
        </w:rPr>
        <w:t>SAIMEX,</w:t>
      </w:r>
      <w:r w:rsidRPr="0034034E">
        <w:rPr>
          <w:rFonts w:ascii="Palatino Linotype" w:eastAsia="Palatino Linotype" w:hAnsi="Palatino Linotype" w:cs="Palatino Linotype"/>
        </w:rPr>
        <w:t xml:space="preserve"> ante el </w:t>
      </w:r>
      <w:r w:rsidRPr="0034034E">
        <w:rPr>
          <w:rFonts w:ascii="Palatino Linotype" w:eastAsia="Palatino Linotype" w:hAnsi="Palatino Linotype" w:cs="Palatino Linotype"/>
          <w:b/>
        </w:rPr>
        <w:t>Sujeto Obligado</w:t>
      </w:r>
      <w:r w:rsidRPr="0034034E">
        <w:rPr>
          <w:rFonts w:ascii="Palatino Linotype" w:eastAsia="Palatino Linotype" w:hAnsi="Palatino Linotype" w:cs="Palatino Linotype"/>
        </w:rPr>
        <w:t>, la solicitud de acceso a la información pública, a la que se le asignó el número</w:t>
      </w:r>
      <w:r w:rsidRPr="0034034E">
        <w:rPr>
          <w:rFonts w:ascii="Palatino Linotype" w:eastAsia="Palatino Linotype" w:hAnsi="Palatino Linotype" w:cs="Palatino Linotype"/>
          <w:b/>
        </w:rPr>
        <w:t xml:space="preserve"> </w:t>
      </w:r>
      <w:r w:rsidR="005D01DB" w:rsidRPr="0034034E">
        <w:rPr>
          <w:rFonts w:ascii="Palatino Linotype" w:eastAsia="Palatino Linotype" w:hAnsi="Palatino Linotype" w:cs="Palatino Linotype"/>
          <w:b/>
          <w:bCs/>
        </w:rPr>
        <w:t>01255/ZINACANT/IP/2022</w:t>
      </w:r>
      <w:r w:rsidRPr="0034034E">
        <w:rPr>
          <w:rFonts w:ascii="Palatino Linotype" w:eastAsia="Palatino Linotype" w:hAnsi="Palatino Linotype" w:cs="Palatino Linotype"/>
          <w:b/>
        </w:rPr>
        <w:t xml:space="preserve">, </w:t>
      </w:r>
      <w:r w:rsidRPr="0034034E">
        <w:rPr>
          <w:rFonts w:ascii="Palatino Linotype" w:eastAsia="Palatino Linotype" w:hAnsi="Palatino Linotype" w:cs="Palatino Linotype"/>
        </w:rPr>
        <w:t xml:space="preserve">mediante la cual requirió la información siguiente: </w:t>
      </w:r>
    </w:p>
    <w:p w14:paraId="7B912AA7" w14:textId="6F4507EB" w:rsidR="00757A60" w:rsidRPr="0034034E" w:rsidRDefault="00F059F1">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34034E">
        <w:rPr>
          <w:rFonts w:ascii="Palatino Linotype" w:eastAsia="Palatino Linotype" w:hAnsi="Palatino Linotype" w:cs="Palatino Linotype"/>
          <w:i/>
          <w:sz w:val="22"/>
          <w:szCs w:val="22"/>
        </w:rPr>
        <w:t>“</w:t>
      </w:r>
      <w:r w:rsidR="005D01DB" w:rsidRPr="0034034E">
        <w:rPr>
          <w:rFonts w:ascii="Palatino Linotype" w:eastAsia="Palatino Linotype" w:hAnsi="Palatino Linotype" w:cs="Palatino Linotype"/>
          <w:i/>
          <w:sz w:val="22"/>
          <w:szCs w:val="22"/>
        </w:rPr>
        <w:t xml:space="preserve">SOLICITO EL </w:t>
      </w:r>
      <w:r w:rsidR="005D01DB" w:rsidRPr="0034034E">
        <w:rPr>
          <w:rFonts w:ascii="Palatino Linotype" w:eastAsia="Palatino Linotype" w:hAnsi="Palatino Linotype" w:cs="Palatino Linotype"/>
          <w:b/>
          <w:i/>
          <w:sz w:val="22"/>
          <w:szCs w:val="22"/>
        </w:rPr>
        <w:t>COMPROBANTE DEL ÚLTIMO GRADO DE ESTUDIOS DE LOS SERVIDORES PÚBLICOS ADSCRITOS A LA DIRECCIÓN DE SERVICIOS PÚBLICOS ASÍ COMO TODOS SUS RECIBOS DE NÓMINA DEL AÑO 2022</w:t>
      </w:r>
      <w:r w:rsidR="00186828" w:rsidRPr="0034034E">
        <w:rPr>
          <w:rFonts w:ascii="Palatino Linotype" w:eastAsia="Palatino Linotype" w:hAnsi="Palatino Linotype" w:cs="Palatino Linotype"/>
          <w:i/>
          <w:sz w:val="22"/>
          <w:szCs w:val="22"/>
        </w:rPr>
        <w:t>”</w:t>
      </w:r>
      <w:r w:rsidR="005D01DB" w:rsidRPr="0034034E">
        <w:rPr>
          <w:rFonts w:ascii="Palatino Linotype" w:eastAsia="Palatino Linotype" w:hAnsi="Palatino Linotype" w:cs="Palatino Linotype"/>
          <w:i/>
          <w:sz w:val="22"/>
          <w:szCs w:val="22"/>
        </w:rPr>
        <w:t>(S</w:t>
      </w:r>
      <w:r w:rsidRPr="0034034E">
        <w:rPr>
          <w:rFonts w:ascii="Palatino Linotype" w:eastAsia="Palatino Linotype" w:hAnsi="Palatino Linotype" w:cs="Palatino Linotype"/>
          <w:i/>
          <w:sz w:val="22"/>
          <w:szCs w:val="22"/>
        </w:rPr>
        <w:t>ic)</w:t>
      </w:r>
      <w:r w:rsidR="005D01DB" w:rsidRPr="0034034E">
        <w:rPr>
          <w:rFonts w:ascii="Palatino Linotype" w:eastAsia="Palatino Linotype" w:hAnsi="Palatino Linotype" w:cs="Palatino Linotype"/>
          <w:i/>
          <w:sz w:val="22"/>
          <w:szCs w:val="22"/>
        </w:rPr>
        <w:t xml:space="preserve"> (Énfasis añadido)</w:t>
      </w:r>
    </w:p>
    <w:p w14:paraId="20800B8F" w14:textId="77777777" w:rsidR="00757A60" w:rsidRPr="0034034E" w:rsidRDefault="00F059F1">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b/>
        </w:rPr>
        <w:t>Modalidad de Entrega:</w:t>
      </w:r>
      <w:r w:rsidRPr="0034034E">
        <w:rPr>
          <w:rFonts w:ascii="Palatino Linotype" w:eastAsia="Palatino Linotype" w:hAnsi="Palatino Linotype" w:cs="Palatino Linotype"/>
        </w:rPr>
        <w:t xml:space="preserve"> A través de SAIMEX.</w:t>
      </w:r>
    </w:p>
    <w:p w14:paraId="214CEEE7" w14:textId="3F665069" w:rsidR="00186828" w:rsidRPr="0034034E" w:rsidRDefault="00186828" w:rsidP="00186828">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b/>
        </w:rPr>
        <w:lastRenderedPageBreak/>
        <w:t xml:space="preserve">2. Solicitud de Aclaración. </w:t>
      </w:r>
      <w:r w:rsidRPr="0034034E">
        <w:rPr>
          <w:rFonts w:ascii="Palatino Linotype" w:eastAsia="Palatino Linotype" w:hAnsi="Palatino Linotype" w:cs="Palatino Linotype"/>
          <w:bCs/>
        </w:rPr>
        <w:t>C</w:t>
      </w:r>
      <w:r w:rsidRPr="0034034E">
        <w:rPr>
          <w:rFonts w:ascii="Palatino Linotype" w:eastAsia="Palatino Linotype" w:hAnsi="Palatino Linotype" w:cs="Palatino Linotype"/>
        </w:rPr>
        <w:t xml:space="preserve">on fecha </w:t>
      </w:r>
      <w:r w:rsidRPr="0034034E">
        <w:rPr>
          <w:rFonts w:ascii="Palatino Linotype" w:eastAsia="Palatino Linotype" w:hAnsi="Palatino Linotype" w:cs="Palatino Linotype"/>
          <w:b/>
        </w:rPr>
        <w:t>veintiocho de noviembre de dos mil veintidós</w:t>
      </w:r>
      <w:r w:rsidRPr="0034034E">
        <w:rPr>
          <w:rFonts w:ascii="Palatino Linotype" w:eastAsia="Palatino Linotype" w:hAnsi="Palatino Linotype" w:cs="Palatino Linotype"/>
        </w:rPr>
        <w:t xml:space="preserve">, el sujeto obligado requirió a la parte </w:t>
      </w:r>
      <w:r w:rsidRPr="0034034E">
        <w:rPr>
          <w:rFonts w:ascii="Palatino Linotype" w:eastAsia="Palatino Linotype" w:hAnsi="Palatino Linotype" w:cs="Palatino Linotype"/>
          <w:b/>
        </w:rPr>
        <w:t xml:space="preserve">Recurrente </w:t>
      </w:r>
      <w:r w:rsidRPr="0034034E">
        <w:rPr>
          <w:rFonts w:ascii="Palatino Linotype" w:eastAsia="Palatino Linotype" w:hAnsi="Palatino Linotype" w:cs="Palatino Linotype"/>
        </w:rPr>
        <w:t>aclarara la solicitud de información pública planteadas, en los siguientes términos:</w:t>
      </w:r>
    </w:p>
    <w:p w14:paraId="35019F67" w14:textId="77777777" w:rsidR="005D01DB" w:rsidRPr="0034034E" w:rsidRDefault="00186828" w:rsidP="005D01DB">
      <w:pPr>
        <w:spacing w:before="240" w:after="240"/>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w:t>
      </w:r>
      <w:r w:rsidR="005D01DB" w:rsidRPr="0034034E">
        <w:rPr>
          <w:rFonts w:ascii="Palatino Linotype" w:eastAsia="Palatino Linotype" w:hAnsi="Palatino Linotype" w:cs="Palatino Linotype"/>
          <w:i/>
          <w:sz w:val="22"/>
          <w:szCs w:val="22"/>
        </w:rPr>
        <w:t xml:space="preserve">Con fundamento en el </w:t>
      </w:r>
      <w:proofErr w:type="spellStart"/>
      <w:r w:rsidR="005D01DB" w:rsidRPr="0034034E">
        <w:rPr>
          <w:rFonts w:ascii="Palatino Linotype" w:eastAsia="Palatino Linotype" w:hAnsi="Palatino Linotype" w:cs="Palatino Linotype"/>
          <w:i/>
          <w:sz w:val="22"/>
          <w:szCs w:val="22"/>
        </w:rPr>
        <w:t>articulo</w:t>
      </w:r>
      <w:proofErr w:type="spellEnd"/>
      <w:r w:rsidR="005D01DB" w:rsidRPr="0034034E">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1A4D097D" w14:textId="77777777" w:rsidR="005D01DB" w:rsidRPr="0034034E" w:rsidRDefault="005D01DB" w:rsidP="005D01DB">
      <w:pPr>
        <w:spacing w:before="240" w:after="240"/>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871B670" w14:textId="77777777" w:rsidR="005D01DB" w:rsidRPr="0034034E" w:rsidRDefault="005D01DB" w:rsidP="005D01DB">
      <w:pPr>
        <w:spacing w:before="240" w:after="240"/>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D7098BD" w14:textId="77777777" w:rsidR="005D01DB" w:rsidRPr="0034034E" w:rsidRDefault="005D01DB" w:rsidP="005D01DB">
      <w:pPr>
        <w:spacing w:before="240" w:after="240"/>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ATENTAMENTE</w:t>
      </w:r>
    </w:p>
    <w:p w14:paraId="0601AD43" w14:textId="43A07163" w:rsidR="00186828" w:rsidRPr="0034034E" w:rsidRDefault="005D01DB" w:rsidP="005D01DB">
      <w:pPr>
        <w:spacing w:before="240" w:after="240"/>
        <w:ind w:left="851" w:right="902"/>
        <w:jc w:val="both"/>
        <w:rPr>
          <w:rFonts w:ascii="Palatino Linotype" w:eastAsia="Palatino Linotype" w:hAnsi="Palatino Linotype" w:cs="Palatino Linotype"/>
          <w:b/>
          <w:i/>
          <w:sz w:val="22"/>
          <w:szCs w:val="22"/>
        </w:rPr>
      </w:pPr>
      <w:r w:rsidRPr="0034034E">
        <w:rPr>
          <w:rFonts w:ascii="Palatino Linotype" w:eastAsia="Palatino Linotype" w:hAnsi="Palatino Linotype" w:cs="Palatino Linotype"/>
          <w:i/>
          <w:sz w:val="22"/>
          <w:szCs w:val="22"/>
        </w:rPr>
        <w:t>ING. JESUS EMMANUEL ENCASTIN RENDON</w:t>
      </w:r>
      <w:r w:rsidR="00186828" w:rsidRPr="0034034E">
        <w:rPr>
          <w:rFonts w:ascii="Palatino Linotype" w:eastAsia="Palatino Linotype" w:hAnsi="Palatino Linotype" w:cs="Palatino Linotype"/>
          <w:i/>
          <w:sz w:val="22"/>
          <w:szCs w:val="22"/>
        </w:rPr>
        <w:t>” (sic)</w:t>
      </w:r>
    </w:p>
    <w:p w14:paraId="096094DF" w14:textId="4230501D" w:rsidR="00186828" w:rsidRPr="0034034E" w:rsidRDefault="00186828" w:rsidP="00186828">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b/>
        </w:rPr>
        <w:t xml:space="preserve">3. Aclaración. </w:t>
      </w:r>
      <w:r w:rsidRPr="0034034E">
        <w:rPr>
          <w:rFonts w:ascii="Palatino Linotype" w:eastAsia="Palatino Linotype" w:hAnsi="Palatino Linotype" w:cs="Palatino Linotype"/>
        </w:rPr>
        <w:t>De las constancias que obran en el expediente en el que se actúa, se advie</w:t>
      </w:r>
      <w:r w:rsidR="00A02181" w:rsidRPr="0034034E">
        <w:rPr>
          <w:rFonts w:ascii="Palatino Linotype" w:eastAsia="Palatino Linotype" w:hAnsi="Palatino Linotype" w:cs="Palatino Linotype"/>
        </w:rPr>
        <w:t xml:space="preserve">rte que la persona solicitante desahogó dicho requerimiento, </w:t>
      </w:r>
      <w:r w:rsidRPr="0034034E">
        <w:rPr>
          <w:rFonts w:ascii="Palatino Linotype" w:eastAsia="Palatino Linotype" w:hAnsi="Palatino Linotype" w:cs="Palatino Linotype"/>
        </w:rPr>
        <w:t xml:space="preserve">en fecha </w:t>
      </w:r>
      <w:r w:rsidRPr="0034034E">
        <w:rPr>
          <w:rFonts w:ascii="Palatino Linotype" w:eastAsia="Palatino Linotype" w:hAnsi="Palatino Linotype" w:cs="Palatino Linotype"/>
          <w:b/>
        </w:rPr>
        <w:t xml:space="preserve">veintiocho de noviembre de dos mil veintidós, </w:t>
      </w:r>
      <w:r w:rsidRPr="0034034E">
        <w:rPr>
          <w:rFonts w:ascii="Palatino Linotype" w:eastAsia="Palatino Linotype" w:hAnsi="Palatino Linotype" w:cs="Palatino Linotype"/>
        </w:rPr>
        <w:t>manifestando lo siguiente:</w:t>
      </w:r>
    </w:p>
    <w:p w14:paraId="593BE4F5" w14:textId="7BC98BBF" w:rsidR="00186828" w:rsidRPr="0034034E" w:rsidRDefault="00186828" w:rsidP="00186828">
      <w:pPr>
        <w:spacing w:before="240" w:after="240"/>
        <w:ind w:left="851" w:right="902"/>
        <w:jc w:val="both"/>
        <w:rPr>
          <w:rFonts w:ascii="Palatino Linotype" w:eastAsia="Palatino Linotype" w:hAnsi="Palatino Linotype" w:cs="Palatino Linotype"/>
          <w:b/>
          <w:i/>
          <w:sz w:val="22"/>
          <w:szCs w:val="22"/>
        </w:rPr>
      </w:pPr>
      <w:r w:rsidRPr="0034034E">
        <w:rPr>
          <w:rFonts w:ascii="Palatino Linotype" w:eastAsia="Palatino Linotype" w:hAnsi="Palatino Linotype" w:cs="Palatino Linotype"/>
          <w:i/>
          <w:sz w:val="22"/>
          <w:szCs w:val="22"/>
        </w:rPr>
        <w:t>“...</w:t>
      </w:r>
      <w:r w:rsidR="005D01DB" w:rsidRPr="0034034E">
        <w:rPr>
          <w:rFonts w:ascii="Palatino Linotype" w:eastAsia="Palatino Linotype" w:hAnsi="Palatino Linotype" w:cs="Palatino Linotype"/>
          <w:i/>
          <w:sz w:val="22"/>
          <w:szCs w:val="22"/>
        </w:rPr>
        <w:t>LA SOLICITUD ES MUY ESPECÍFICA</w:t>
      </w:r>
      <w:r w:rsidRPr="0034034E">
        <w:rPr>
          <w:rFonts w:ascii="Palatino Linotype" w:eastAsia="Palatino Linotype" w:hAnsi="Palatino Linotype" w:cs="Palatino Linotype"/>
          <w:i/>
          <w:sz w:val="22"/>
          <w:szCs w:val="22"/>
        </w:rPr>
        <w:t>...” (</w:t>
      </w:r>
      <w:proofErr w:type="gramStart"/>
      <w:r w:rsidRPr="0034034E">
        <w:rPr>
          <w:rFonts w:ascii="Palatino Linotype" w:eastAsia="Palatino Linotype" w:hAnsi="Palatino Linotype" w:cs="Palatino Linotype"/>
          <w:i/>
          <w:sz w:val="22"/>
          <w:szCs w:val="22"/>
        </w:rPr>
        <w:t>sic</w:t>
      </w:r>
      <w:proofErr w:type="gramEnd"/>
      <w:r w:rsidRPr="0034034E">
        <w:rPr>
          <w:rFonts w:ascii="Palatino Linotype" w:eastAsia="Palatino Linotype" w:hAnsi="Palatino Linotype" w:cs="Palatino Linotype"/>
          <w:i/>
          <w:sz w:val="22"/>
          <w:szCs w:val="22"/>
        </w:rPr>
        <w:t>)</w:t>
      </w:r>
    </w:p>
    <w:p w14:paraId="621D2834" w14:textId="607C72CC" w:rsidR="007942F1" w:rsidRPr="0034034E" w:rsidRDefault="00186828" w:rsidP="007942F1">
      <w:pPr>
        <w:spacing w:before="240" w:after="240" w:line="360" w:lineRule="auto"/>
        <w:jc w:val="both"/>
        <w:rPr>
          <w:rFonts w:ascii="Palatino Linotype" w:eastAsia="Palatino Linotype" w:hAnsi="Palatino Linotype" w:cs="Palatino Linotype"/>
          <w:b/>
        </w:rPr>
      </w:pPr>
      <w:r w:rsidRPr="0034034E">
        <w:rPr>
          <w:rFonts w:ascii="Palatino Linotype" w:eastAsia="Palatino Linotype" w:hAnsi="Palatino Linotype" w:cs="Palatino Linotype"/>
          <w:b/>
        </w:rPr>
        <w:lastRenderedPageBreak/>
        <w:t xml:space="preserve">4. </w:t>
      </w:r>
      <w:r w:rsidR="007942F1" w:rsidRPr="0034034E">
        <w:rPr>
          <w:rFonts w:ascii="Palatino Linotype" w:eastAsia="Palatino Linotype" w:hAnsi="Palatino Linotype" w:cs="Palatino Linotype"/>
          <w:b/>
        </w:rPr>
        <w:t xml:space="preserve">Respuesta. </w:t>
      </w:r>
      <w:r w:rsidR="007942F1" w:rsidRPr="0034034E">
        <w:rPr>
          <w:rFonts w:ascii="Palatino Linotype" w:eastAsia="Palatino Linotype" w:hAnsi="Palatino Linotype" w:cs="Palatino Linotype"/>
        </w:rPr>
        <w:t xml:space="preserve">De las constancias que obran en SAIMEX, se observa que el </w:t>
      </w:r>
      <w:r w:rsidR="007942F1" w:rsidRPr="0034034E">
        <w:rPr>
          <w:rFonts w:ascii="Palatino Linotype" w:eastAsia="Palatino Linotype" w:hAnsi="Palatino Linotype" w:cs="Palatino Linotype"/>
          <w:b/>
        </w:rPr>
        <w:t>Sujeto Obligado</w:t>
      </w:r>
      <w:r w:rsidR="007942F1" w:rsidRPr="0034034E">
        <w:rPr>
          <w:rFonts w:ascii="Palatino Linotype" w:eastAsia="Palatino Linotype" w:hAnsi="Palatino Linotype" w:cs="Palatino Linotype"/>
        </w:rPr>
        <w:t xml:space="preserve"> no emitió respuesta a la solicitud de información formulada por la persona solicitante.</w:t>
      </w:r>
    </w:p>
    <w:p w14:paraId="26A4952D" w14:textId="4F61F46E" w:rsidR="00757A60" w:rsidRPr="0034034E" w:rsidRDefault="00186828">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b/>
        </w:rPr>
        <w:t>5</w:t>
      </w:r>
      <w:r w:rsidR="00F059F1" w:rsidRPr="0034034E">
        <w:rPr>
          <w:rFonts w:ascii="Palatino Linotype" w:eastAsia="Palatino Linotype" w:hAnsi="Palatino Linotype" w:cs="Palatino Linotype"/>
          <w:b/>
        </w:rPr>
        <w:t xml:space="preserve">. Interposición del recurso de revisión. </w:t>
      </w:r>
      <w:r w:rsidR="00F059F1" w:rsidRPr="0034034E">
        <w:rPr>
          <w:rFonts w:ascii="Palatino Linotype" w:eastAsia="Palatino Linotype" w:hAnsi="Palatino Linotype" w:cs="Palatino Linotype"/>
        </w:rPr>
        <w:t xml:space="preserve">Inconforme la persona solicitante con la falta de respuesta del </w:t>
      </w:r>
      <w:r w:rsidR="00F059F1" w:rsidRPr="0034034E">
        <w:rPr>
          <w:rFonts w:ascii="Palatino Linotype" w:eastAsia="Palatino Linotype" w:hAnsi="Palatino Linotype" w:cs="Palatino Linotype"/>
          <w:b/>
        </w:rPr>
        <w:t>Sujeto Obligado</w:t>
      </w:r>
      <w:r w:rsidR="00F059F1" w:rsidRPr="0034034E">
        <w:rPr>
          <w:rFonts w:ascii="Palatino Linotype" w:eastAsia="Palatino Linotype" w:hAnsi="Palatino Linotype" w:cs="Palatino Linotype"/>
        </w:rPr>
        <w:t xml:space="preserve">, en fecha </w:t>
      </w:r>
      <w:r w:rsidRPr="0034034E">
        <w:rPr>
          <w:rFonts w:ascii="Palatino Linotype" w:eastAsia="Palatino Linotype" w:hAnsi="Palatino Linotype" w:cs="Palatino Linotype"/>
          <w:b/>
        </w:rPr>
        <w:t>veintiuno de diciembre</w:t>
      </w:r>
      <w:r w:rsidR="00F059F1" w:rsidRPr="0034034E">
        <w:rPr>
          <w:rFonts w:ascii="Palatino Linotype" w:eastAsia="Palatino Linotype" w:hAnsi="Palatino Linotype" w:cs="Palatino Linotype"/>
          <w:b/>
        </w:rPr>
        <w:t xml:space="preserve"> de dos mil veintidós,</w:t>
      </w:r>
      <w:r w:rsidR="00F059F1" w:rsidRPr="0034034E">
        <w:rPr>
          <w:rFonts w:ascii="Palatino Linotype" w:eastAsia="Palatino Linotype" w:hAnsi="Palatino Linotype" w:cs="Palatino Linotype"/>
        </w:rPr>
        <w:t xml:space="preserve"> interpuso el recurso de revisión a través de </w:t>
      </w:r>
      <w:r w:rsidR="00F059F1" w:rsidRPr="0034034E">
        <w:rPr>
          <w:rFonts w:ascii="Palatino Linotype" w:eastAsia="Palatino Linotype" w:hAnsi="Palatino Linotype" w:cs="Palatino Linotype"/>
          <w:b/>
        </w:rPr>
        <w:t xml:space="preserve">SAIMEX, </w:t>
      </w:r>
      <w:r w:rsidR="00F059F1" w:rsidRPr="0034034E">
        <w:rPr>
          <w:rFonts w:ascii="Palatino Linotype" w:eastAsia="Palatino Linotype" w:hAnsi="Palatino Linotype" w:cs="Palatino Linotype"/>
        </w:rPr>
        <w:t>en donde se manifestó de la siguiente manera:</w:t>
      </w:r>
    </w:p>
    <w:p w14:paraId="12FBB704" w14:textId="77777777" w:rsidR="00757A60" w:rsidRPr="0034034E" w:rsidRDefault="00F059F1">
      <w:pPr>
        <w:tabs>
          <w:tab w:val="left" w:pos="2745"/>
        </w:tabs>
        <w:spacing w:before="240" w:after="240" w:line="360" w:lineRule="auto"/>
        <w:jc w:val="both"/>
        <w:rPr>
          <w:rFonts w:ascii="Palatino Linotype" w:eastAsia="Palatino Linotype" w:hAnsi="Palatino Linotype" w:cs="Palatino Linotype"/>
          <w:b/>
        </w:rPr>
      </w:pPr>
      <w:r w:rsidRPr="0034034E">
        <w:rPr>
          <w:rFonts w:ascii="Palatino Linotype" w:eastAsia="Palatino Linotype" w:hAnsi="Palatino Linotype" w:cs="Palatino Linotype"/>
          <w:b/>
        </w:rPr>
        <w:t xml:space="preserve">Acto impugnado: </w:t>
      </w:r>
    </w:p>
    <w:p w14:paraId="5DA8DBDC" w14:textId="5E4C0363" w:rsidR="00757A60" w:rsidRPr="0034034E" w:rsidRDefault="00F059F1">
      <w:pPr>
        <w:tabs>
          <w:tab w:val="left" w:pos="2745"/>
        </w:tabs>
        <w:spacing w:before="240" w:after="240"/>
        <w:ind w:left="851" w:right="900"/>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w:t>
      </w:r>
      <w:r w:rsidR="00186828" w:rsidRPr="0034034E">
        <w:rPr>
          <w:rFonts w:ascii="Palatino Linotype" w:eastAsia="Palatino Linotype" w:hAnsi="Palatino Linotype" w:cs="Palatino Linotype"/>
          <w:i/>
          <w:sz w:val="22"/>
          <w:szCs w:val="22"/>
        </w:rPr>
        <w:t>NO ENTREGA INFORMACIÓN</w:t>
      </w:r>
      <w:proofErr w:type="gramStart"/>
      <w:r w:rsidR="005D01DB" w:rsidRPr="0034034E">
        <w:rPr>
          <w:rFonts w:ascii="Palatino Linotype" w:eastAsia="Palatino Linotype" w:hAnsi="Palatino Linotype" w:cs="Palatino Linotype"/>
          <w:i/>
          <w:sz w:val="22"/>
          <w:szCs w:val="22"/>
        </w:rPr>
        <w:t>“ (</w:t>
      </w:r>
      <w:proofErr w:type="gramEnd"/>
      <w:r w:rsidR="005D01DB" w:rsidRPr="0034034E">
        <w:rPr>
          <w:rFonts w:ascii="Palatino Linotype" w:eastAsia="Palatino Linotype" w:hAnsi="Palatino Linotype" w:cs="Palatino Linotype"/>
          <w:i/>
          <w:sz w:val="22"/>
          <w:szCs w:val="22"/>
        </w:rPr>
        <w:t>S</w:t>
      </w:r>
      <w:r w:rsidRPr="0034034E">
        <w:rPr>
          <w:rFonts w:ascii="Palatino Linotype" w:eastAsia="Palatino Linotype" w:hAnsi="Palatino Linotype" w:cs="Palatino Linotype"/>
          <w:i/>
          <w:sz w:val="22"/>
          <w:szCs w:val="22"/>
        </w:rPr>
        <w:t>ic)</w:t>
      </w:r>
    </w:p>
    <w:p w14:paraId="320764BC" w14:textId="252ACD06" w:rsidR="00757A60" w:rsidRPr="0034034E" w:rsidRDefault="00F059F1">
      <w:pPr>
        <w:spacing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b/>
        </w:rPr>
        <w:t>Razones o motivos de inconformidad</w:t>
      </w:r>
      <w:r w:rsidRPr="0034034E">
        <w:rPr>
          <w:rFonts w:ascii="Palatino Linotype" w:eastAsia="Palatino Linotype" w:hAnsi="Palatino Linotype" w:cs="Palatino Linotype"/>
        </w:rPr>
        <w:t>:</w:t>
      </w:r>
    </w:p>
    <w:p w14:paraId="60B043A8" w14:textId="2D8B548F" w:rsidR="00757A60" w:rsidRPr="0034034E" w:rsidRDefault="00F059F1">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34034E">
        <w:rPr>
          <w:rFonts w:ascii="Palatino Linotype" w:eastAsia="Palatino Linotype" w:hAnsi="Palatino Linotype" w:cs="Palatino Linotype"/>
          <w:i/>
          <w:sz w:val="22"/>
          <w:szCs w:val="22"/>
        </w:rPr>
        <w:t xml:space="preserve"> “</w:t>
      </w:r>
      <w:r w:rsidR="00186828" w:rsidRPr="0034034E">
        <w:rPr>
          <w:rFonts w:ascii="Palatino Linotype" w:eastAsia="Palatino Linotype" w:hAnsi="Palatino Linotype" w:cs="Palatino Linotype"/>
          <w:i/>
          <w:sz w:val="22"/>
          <w:szCs w:val="22"/>
        </w:rPr>
        <w:t>NO ENTREGA INFORMACIÓN</w:t>
      </w:r>
      <w:r w:rsidRPr="0034034E">
        <w:rPr>
          <w:rFonts w:ascii="Palatino Linotype" w:eastAsia="Palatino Linotype" w:hAnsi="Palatino Linotype" w:cs="Palatino Linotype"/>
          <w:i/>
          <w:sz w:val="22"/>
          <w:szCs w:val="22"/>
        </w:rPr>
        <w:t>” (</w:t>
      </w:r>
      <w:r w:rsidR="005D01DB" w:rsidRPr="0034034E">
        <w:rPr>
          <w:rFonts w:ascii="Palatino Linotype" w:eastAsia="Palatino Linotype" w:hAnsi="Palatino Linotype" w:cs="Palatino Linotype"/>
          <w:i/>
          <w:sz w:val="22"/>
          <w:szCs w:val="22"/>
        </w:rPr>
        <w:t>Sic</w:t>
      </w:r>
      <w:r w:rsidRPr="0034034E">
        <w:rPr>
          <w:rFonts w:ascii="Palatino Linotype" w:eastAsia="Palatino Linotype" w:hAnsi="Palatino Linotype" w:cs="Palatino Linotype"/>
          <w:i/>
          <w:sz w:val="22"/>
          <w:szCs w:val="22"/>
        </w:rPr>
        <w:t>)</w:t>
      </w:r>
    </w:p>
    <w:p w14:paraId="27701228" w14:textId="39F0A9FC" w:rsidR="00757A60" w:rsidRPr="0034034E" w:rsidRDefault="00186828">
      <w:pPr>
        <w:spacing w:before="240" w:after="240" w:line="360" w:lineRule="auto"/>
        <w:ind w:right="51"/>
        <w:jc w:val="both"/>
        <w:rPr>
          <w:rFonts w:ascii="Palatino Linotype" w:eastAsia="Palatino Linotype" w:hAnsi="Palatino Linotype" w:cs="Palatino Linotype"/>
        </w:rPr>
      </w:pPr>
      <w:r w:rsidRPr="0034034E">
        <w:rPr>
          <w:rFonts w:ascii="Palatino Linotype" w:eastAsia="Palatino Linotype" w:hAnsi="Palatino Linotype" w:cs="Palatino Linotype"/>
          <w:b/>
        </w:rPr>
        <w:t>6</w:t>
      </w:r>
      <w:r w:rsidR="00F059F1" w:rsidRPr="0034034E">
        <w:rPr>
          <w:rFonts w:ascii="Palatino Linotype" w:eastAsia="Palatino Linotype" w:hAnsi="Palatino Linotype" w:cs="Palatino Linotype"/>
          <w:b/>
        </w:rPr>
        <w:t xml:space="preserve">. Turno. </w:t>
      </w:r>
      <w:r w:rsidR="00F059F1" w:rsidRPr="0034034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059F1" w:rsidRPr="0034034E">
        <w:rPr>
          <w:rFonts w:ascii="Palatino Linotype" w:eastAsia="Palatino Linotype" w:hAnsi="Palatino Linotype" w:cs="Palatino Linotype"/>
          <w:b/>
        </w:rPr>
        <w:t xml:space="preserve">Guadalupe Ramírez Peña, </w:t>
      </w:r>
      <w:r w:rsidR="00F059F1" w:rsidRPr="0034034E">
        <w:rPr>
          <w:rFonts w:ascii="Palatino Linotype" w:eastAsia="Palatino Linotype" w:hAnsi="Palatino Linotype" w:cs="Palatino Linotype"/>
        </w:rPr>
        <w:t xml:space="preserve">a efecto de que analizara sobre su admisión o su </w:t>
      </w:r>
      <w:proofErr w:type="spellStart"/>
      <w:r w:rsidR="00F059F1" w:rsidRPr="0034034E">
        <w:rPr>
          <w:rFonts w:ascii="Palatino Linotype" w:eastAsia="Palatino Linotype" w:hAnsi="Palatino Linotype" w:cs="Palatino Linotype"/>
        </w:rPr>
        <w:t>desechamiento</w:t>
      </w:r>
      <w:proofErr w:type="spellEnd"/>
      <w:r w:rsidR="00F059F1" w:rsidRPr="0034034E">
        <w:rPr>
          <w:rFonts w:ascii="Palatino Linotype" w:eastAsia="Palatino Linotype" w:hAnsi="Palatino Linotype" w:cs="Palatino Linotype"/>
        </w:rPr>
        <w:t>.</w:t>
      </w:r>
    </w:p>
    <w:p w14:paraId="11755975" w14:textId="4F0D6255" w:rsidR="00757A60" w:rsidRPr="0034034E" w:rsidRDefault="00186828">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b/>
        </w:rPr>
        <w:t>7</w:t>
      </w:r>
      <w:r w:rsidR="00F059F1" w:rsidRPr="0034034E">
        <w:rPr>
          <w:rFonts w:ascii="Palatino Linotype" w:eastAsia="Palatino Linotype" w:hAnsi="Palatino Linotype" w:cs="Palatino Linotype"/>
          <w:b/>
        </w:rPr>
        <w:t>. Admisión del Recurso de revisión.</w:t>
      </w:r>
      <w:r w:rsidR="00F059F1" w:rsidRPr="0034034E">
        <w:rPr>
          <w:rFonts w:ascii="Palatino Linotype" w:eastAsia="Palatino Linotype" w:hAnsi="Palatino Linotype" w:cs="Palatino Linotype"/>
        </w:rPr>
        <w:t xml:space="preserve"> Con fecha</w:t>
      </w:r>
      <w:r w:rsidR="00F059F1" w:rsidRPr="0034034E">
        <w:rPr>
          <w:rFonts w:ascii="Palatino Linotype" w:eastAsia="Palatino Linotype" w:hAnsi="Palatino Linotype" w:cs="Palatino Linotype"/>
          <w:b/>
        </w:rPr>
        <w:t xml:space="preserve"> </w:t>
      </w:r>
      <w:r w:rsidR="00A02181" w:rsidRPr="0034034E">
        <w:rPr>
          <w:rFonts w:ascii="Palatino Linotype" w:eastAsia="Palatino Linotype" w:hAnsi="Palatino Linotype" w:cs="Palatino Linotype"/>
          <w:b/>
        </w:rPr>
        <w:t>once</w:t>
      </w:r>
      <w:r w:rsidRPr="0034034E">
        <w:rPr>
          <w:rFonts w:ascii="Palatino Linotype" w:eastAsia="Palatino Linotype" w:hAnsi="Palatino Linotype" w:cs="Palatino Linotype"/>
          <w:b/>
        </w:rPr>
        <w:t xml:space="preserve"> de enero</w:t>
      </w:r>
      <w:r w:rsidR="005D01DB" w:rsidRPr="0034034E">
        <w:rPr>
          <w:rFonts w:ascii="Palatino Linotype" w:eastAsia="Palatino Linotype" w:hAnsi="Palatino Linotype" w:cs="Palatino Linotype"/>
          <w:b/>
        </w:rPr>
        <w:t xml:space="preserve"> de dos mil veintitré</w:t>
      </w:r>
      <w:r w:rsidR="00F059F1" w:rsidRPr="0034034E">
        <w:rPr>
          <w:rFonts w:ascii="Palatino Linotype" w:eastAsia="Palatino Linotype" w:hAnsi="Palatino Linotype" w:cs="Palatino Linotype"/>
          <w:b/>
        </w:rPr>
        <w:t xml:space="preserve">s, </w:t>
      </w:r>
      <w:r w:rsidR="00F059F1" w:rsidRPr="0034034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F059F1" w:rsidRPr="0034034E">
        <w:rPr>
          <w:rFonts w:ascii="Palatino Linotype" w:eastAsia="Palatino Linotype" w:hAnsi="Palatino Linotype" w:cs="Palatino Linotype"/>
        </w:rPr>
        <w:lastRenderedPageBreak/>
        <w:t xml:space="preserve">conveniente, ofrecieran pruebas, formularan alegatos y el </w:t>
      </w:r>
      <w:r w:rsidR="00F059F1" w:rsidRPr="0034034E">
        <w:rPr>
          <w:rFonts w:ascii="Palatino Linotype" w:eastAsia="Palatino Linotype" w:hAnsi="Palatino Linotype" w:cs="Palatino Linotype"/>
          <w:b/>
        </w:rPr>
        <w:t xml:space="preserve">Sujeto Obligado </w:t>
      </w:r>
      <w:r w:rsidR="00F059F1" w:rsidRPr="0034034E">
        <w:rPr>
          <w:rFonts w:ascii="Palatino Linotype" w:eastAsia="Palatino Linotype" w:hAnsi="Palatino Linotype" w:cs="Palatino Linotype"/>
        </w:rPr>
        <w:t>presentara su informe justificado.</w:t>
      </w:r>
    </w:p>
    <w:p w14:paraId="18D17B67" w14:textId="5B6C1D33" w:rsidR="00186828" w:rsidRPr="0034034E" w:rsidRDefault="00186828">
      <w:pPr>
        <w:spacing w:before="240" w:after="240" w:line="360" w:lineRule="auto"/>
        <w:ind w:right="49"/>
        <w:jc w:val="both"/>
        <w:rPr>
          <w:rFonts w:ascii="Palatino Linotype" w:eastAsia="Palatino Linotype" w:hAnsi="Palatino Linotype" w:cs="Palatino Linotype"/>
        </w:rPr>
      </w:pPr>
      <w:bookmarkStart w:id="3" w:name="_heading=h.2s8eyo1" w:colFirst="0" w:colLast="0"/>
      <w:bookmarkEnd w:id="3"/>
      <w:r w:rsidRPr="0034034E">
        <w:rPr>
          <w:rFonts w:ascii="Palatino Linotype" w:eastAsia="Palatino Linotype" w:hAnsi="Palatino Linotype" w:cs="Palatino Linotype"/>
          <w:b/>
        </w:rPr>
        <w:t>8</w:t>
      </w:r>
      <w:r w:rsidR="00F059F1" w:rsidRPr="0034034E">
        <w:rPr>
          <w:rFonts w:ascii="Palatino Linotype" w:eastAsia="Palatino Linotype" w:hAnsi="Palatino Linotype" w:cs="Palatino Linotype"/>
          <w:b/>
        </w:rPr>
        <w:t>. Manifestaciones</w:t>
      </w:r>
      <w:r w:rsidR="00F059F1" w:rsidRPr="0034034E">
        <w:rPr>
          <w:rFonts w:ascii="Palatino Linotype" w:eastAsia="Palatino Linotype" w:hAnsi="Palatino Linotype" w:cs="Palatino Linotype"/>
        </w:rPr>
        <w:t xml:space="preserve">. De las constancias que integran el expediente electrónico en que se actúa se advierte que en fecha </w:t>
      </w:r>
      <w:r w:rsidRPr="0034034E">
        <w:rPr>
          <w:rFonts w:ascii="Palatino Linotype" w:eastAsia="Palatino Linotype" w:hAnsi="Palatino Linotype" w:cs="Palatino Linotype"/>
          <w:b/>
        </w:rPr>
        <w:t>doce de enero</w:t>
      </w:r>
      <w:r w:rsidR="00DA4D38" w:rsidRPr="0034034E">
        <w:rPr>
          <w:rFonts w:ascii="Palatino Linotype" w:eastAsia="Palatino Linotype" w:hAnsi="Palatino Linotype" w:cs="Palatino Linotype"/>
          <w:b/>
        </w:rPr>
        <w:t xml:space="preserve"> </w:t>
      </w:r>
      <w:r w:rsidR="005D01DB" w:rsidRPr="0034034E">
        <w:rPr>
          <w:rFonts w:ascii="Palatino Linotype" w:eastAsia="Palatino Linotype" w:hAnsi="Palatino Linotype" w:cs="Palatino Linotype"/>
          <w:b/>
        </w:rPr>
        <w:t>de dos mil veintitré</w:t>
      </w:r>
      <w:r w:rsidR="00F059F1" w:rsidRPr="0034034E">
        <w:rPr>
          <w:rFonts w:ascii="Palatino Linotype" w:eastAsia="Palatino Linotype" w:hAnsi="Palatino Linotype" w:cs="Palatino Linotype"/>
          <w:b/>
        </w:rPr>
        <w:t xml:space="preserve">s, </w:t>
      </w:r>
      <w:r w:rsidR="00F059F1" w:rsidRPr="0034034E">
        <w:rPr>
          <w:rFonts w:ascii="Palatino Linotype" w:eastAsia="Palatino Linotype" w:hAnsi="Palatino Linotype" w:cs="Palatino Linotype"/>
        </w:rPr>
        <w:t xml:space="preserve">el </w:t>
      </w:r>
      <w:r w:rsidR="00F059F1" w:rsidRPr="0034034E">
        <w:rPr>
          <w:rFonts w:ascii="Palatino Linotype" w:eastAsia="Palatino Linotype" w:hAnsi="Palatino Linotype" w:cs="Palatino Linotype"/>
          <w:b/>
        </w:rPr>
        <w:t>Sujeto Obligado</w:t>
      </w:r>
      <w:r w:rsidR="00F059F1" w:rsidRPr="0034034E">
        <w:rPr>
          <w:rFonts w:ascii="Palatino Linotype" w:eastAsia="Palatino Linotype" w:hAnsi="Palatino Linotype" w:cs="Palatino Linotype"/>
        </w:rPr>
        <w:t xml:space="preserve"> remitió</w:t>
      </w:r>
      <w:r w:rsidR="00DA4D38" w:rsidRPr="0034034E">
        <w:rPr>
          <w:rFonts w:ascii="Palatino Linotype" w:eastAsia="Palatino Linotype" w:hAnsi="Palatino Linotype" w:cs="Palatino Linotype"/>
        </w:rPr>
        <w:t xml:space="preserve"> el </w:t>
      </w:r>
      <w:r w:rsidRPr="0034034E">
        <w:rPr>
          <w:rFonts w:ascii="Palatino Linotype" w:eastAsia="Palatino Linotype" w:hAnsi="Palatino Linotype" w:cs="Palatino Linotype"/>
        </w:rPr>
        <w:t>escrito emitido por el titular de la Unidad de Transparencia, mediante el cual manifiesta lo siguiente:</w:t>
      </w:r>
    </w:p>
    <w:p w14:paraId="3DF78807" w14:textId="02C02674" w:rsidR="005D01DB" w:rsidRPr="0034034E" w:rsidRDefault="00186828" w:rsidP="005D01DB">
      <w:pPr>
        <w:spacing w:before="120" w:after="120"/>
        <w:ind w:left="851" w:right="902"/>
        <w:jc w:val="both"/>
        <w:rPr>
          <w:rFonts w:ascii="Palatino Linotype" w:hAnsi="Palatino Linotype"/>
          <w:i/>
          <w:sz w:val="22"/>
        </w:rPr>
      </w:pPr>
      <w:r w:rsidRPr="0034034E">
        <w:rPr>
          <w:rFonts w:ascii="Palatino Linotype" w:hAnsi="Palatino Linotype"/>
          <w:i/>
          <w:sz w:val="22"/>
        </w:rPr>
        <w:t>“</w:t>
      </w:r>
      <w:r w:rsidR="005D01DB" w:rsidRPr="0034034E">
        <w:rPr>
          <w:rFonts w:ascii="Palatino Linotype" w:hAnsi="Palatino Linotype"/>
          <w:i/>
          <w:sz w:val="22"/>
        </w:rPr>
        <w:t>Con el fin de poder darle una oportuna contestación al hoy recurrente le informo que este Sujeto Obligado al realizar un análisis en su solicitud procedió a turnarla al Servidor Público Habilitado poseedor de la información, mismo que informa que lo solicitado se puede consultar dentro del sistema de Información Pública de Oficio Mexiquense (IPOMEX), cabe recalcar que en dicho sistema se puede consultar toda la información que este Sujeto Obligado debe transparentar en apego al artículo 92 de Ley en Materia, por lo tanto se proporciona enlace para su consulta:</w:t>
      </w:r>
    </w:p>
    <w:p w14:paraId="1E908333" w14:textId="5DA45707" w:rsidR="00186828" w:rsidRPr="0034034E" w:rsidRDefault="00EA78E7" w:rsidP="005D01DB">
      <w:pPr>
        <w:spacing w:before="120" w:after="120"/>
        <w:ind w:left="851" w:right="902"/>
        <w:jc w:val="both"/>
        <w:rPr>
          <w:rFonts w:ascii="Palatino Linotype" w:eastAsia="Palatino Linotype" w:hAnsi="Palatino Linotype" w:cs="Palatino Linotype"/>
          <w:i/>
          <w:sz w:val="22"/>
        </w:rPr>
      </w:pPr>
      <w:hyperlink r:id="rId9" w:history="1">
        <w:r w:rsidR="005D01DB" w:rsidRPr="0034034E">
          <w:rPr>
            <w:rStyle w:val="Hipervnculo"/>
            <w:rFonts w:ascii="Palatino Linotype" w:hAnsi="Palatino Linotype"/>
            <w:i/>
            <w:sz w:val="22"/>
          </w:rPr>
          <w:t>https://www.ipomex.org.mx/ipo3/lgt/indice/ZINACANTEPEC/art_92_xii/4.web</w:t>
        </w:r>
      </w:hyperlink>
      <w:r w:rsidR="00186828" w:rsidRPr="0034034E">
        <w:rPr>
          <w:rFonts w:ascii="Palatino Linotype" w:hAnsi="Palatino Linotype"/>
          <w:i/>
          <w:sz w:val="22"/>
        </w:rPr>
        <w:t>”</w:t>
      </w:r>
      <w:r w:rsidR="005D01DB" w:rsidRPr="0034034E">
        <w:rPr>
          <w:rFonts w:ascii="Palatino Linotype" w:hAnsi="Palatino Linotype"/>
          <w:i/>
          <w:sz w:val="22"/>
        </w:rPr>
        <w:t xml:space="preserve"> (S</w:t>
      </w:r>
      <w:r w:rsidR="007B3145" w:rsidRPr="0034034E">
        <w:rPr>
          <w:rFonts w:ascii="Palatino Linotype" w:hAnsi="Palatino Linotype"/>
          <w:i/>
          <w:sz w:val="22"/>
        </w:rPr>
        <w:t>ic)</w:t>
      </w:r>
    </w:p>
    <w:p w14:paraId="4181BE41" w14:textId="447458BF" w:rsidR="0086710B" w:rsidRPr="0034034E" w:rsidRDefault="00EE627E" w:rsidP="0086710B">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Una vez analizado </w:t>
      </w:r>
      <w:r w:rsidR="0086710B" w:rsidRPr="0034034E">
        <w:rPr>
          <w:rFonts w:ascii="Palatino Linotype" w:eastAsia="Palatino Linotype" w:hAnsi="Palatino Linotype" w:cs="Palatino Linotype"/>
        </w:rPr>
        <w:t xml:space="preserve">el </w:t>
      </w:r>
      <w:r w:rsidRPr="0034034E">
        <w:rPr>
          <w:rFonts w:ascii="Palatino Linotype" w:eastAsia="Palatino Linotype" w:hAnsi="Palatino Linotype" w:cs="Palatino Linotype"/>
        </w:rPr>
        <w:t>d</w:t>
      </w:r>
      <w:r w:rsidR="00F059F1" w:rsidRPr="0034034E">
        <w:rPr>
          <w:rFonts w:ascii="Palatino Linotype" w:eastAsia="Palatino Linotype" w:hAnsi="Palatino Linotype" w:cs="Palatino Linotype"/>
        </w:rPr>
        <w:t>ocumento</w:t>
      </w:r>
      <w:r w:rsidR="0086710B" w:rsidRPr="0034034E">
        <w:rPr>
          <w:rFonts w:ascii="Palatino Linotype" w:eastAsia="Palatino Linotype" w:hAnsi="Palatino Linotype" w:cs="Palatino Linotype"/>
        </w:rPr>
        <w:t xml:space="preserve">, se determinó hacerlo </w:t>
      </w:r>
      <w:r w:rsidRPr="0034034E">
        <w:rPr>
          <w:rFonts w:ascii="Palatino Linotype" w:eastAsia="Palatino Linotype" w:hAnsi="Palatino Linotype" w:cs="Palatino Linotype"/>
        </w:rPr>
        <w:t xml:space="preserve">del conocimiento de la parte </w:t>
      </w:r>
      <w:r w:rsidRPr="0034034E">
        <w:rPr>
          <w:rFonts w:ascii="Palatino Linotype" w:eastAsia="Palatino Linotype" w:hAnsi="Palatino Linotype" w:cs="Palatino Linotype"/>
          <w:b/>
        </w:rPr>
        <w:t xml:space="preserve">Recurrente </w:t>
      </w:r>
      <w:r w:rsidR="0086710B" w:rsidRPr="0034034E">
        <w:rPr>
          <w:rFonts w:ascii="Palatino Linotype" w:eastAsia="Palatino Linotype" w:hAnsi="Palatino Linotype" w:cs="Palatino Linotype"/>
        </w:rPr>
        <w:t>con la finalidad de que manifestara lo que a su derecho estimara conveniente, siendo omisa en ejercer dicha prerrogativa.</w:t>
      </w:r>
    </w:p>
    <w:p w14:paraId="68EDF7FE" w14:textId="1E876C52" w:rsidR="00A0122B" w:rsidRPr="0034034E" w:rsidRDefault="00186828" w:rsidP="005D01DB">
      <w:pPr>
        <w:widowControl w:val="0"/>
        <w:spacing w:after="240" w:line="360" w:lineRule="auto"/>
        <w:jc w:val="both"/>
        <w:rPr>
          <w:rFonts w:ascii="Palatino Linotype" w:eastAsia="Palatino Linotype" w:hAnsi="Palatino Linotype" w:cs="Palatino Linotype"/>
          <w:lang w:val="es-ES"/>
        </w:rPr>
      </w:pPr>
      <w:r w:rsidRPr="0034034E">
        <w:rPr>
          <w:rFonts w:ascii="Palatino Linotype" w:eastAsia="Palatino Linotype" w:hAnsi="Palatino Linotype" w:cs="Palatino Linotype"/>
          <w:b/>
        </w:rPr>
        <w:t>9</w:t>
      </w:r>
      <w:r w:rsidR="00F059F1" w:rsidRPr="0034034E">
        <w:rPr>
          <w:rFonts w:ascii="Palatino Linotype" w:eastAsia="Palatino Linotype" w:hAnsi="Palatino Linotype" w:cs="Palatino Linotype"/>
          <w:b/>
        </w:rPr>
        <w:t xml:space="preserve">. </w:t>
      </w:r>
      <w:r w:rsidR="005D01DB" w:rsidRPr="0034034E">
        <w:rPr>
          <w:rFonts w:ascii="Palatino Linotype" w:eastAsia="Palatino Linotype" w:hAnsi="Palatino Linotype" w:cs="Palatino Linotype"/>
          <w:b/>
          <w:lang w:val="es-ES"/>
        </w:rPr>
        <w:t>Ampliación del plazo para emitir resolución.</w:t>
      </w:r>
      <w:r w:rsidR="00A0122B" w:rsidRPr="0034034E">
        <w:rPr>
          <w:rFonts w:ascii="Palatino Linotype" w:eastAsia="Palatino Linotype" w:hAnsi="Palatino Linotype" w:cs="Palatino Linotype"/>
          <w:lang w:val="es-ES"/>
        </w:rPr>
        <w:t xml:space="preserve"> </w:t>
      </w:r>
      <w:r w:rsidR="00A0122B" w:rsidRPr="0034034E">
        <w:rPr>
          <w:rFonts w:ascii="Palatino Linotype" w:eastAsia="Palatino Linotype" w:hAnsi="Palatino Linotype" w:cs="Palatino Linotype"/>
        </w:rPr>
        <w:t xml:space="preserve">El </w:t>
      </w:r>
      <w:r w:rsidR="00A0122B" w:rsidRPr="0034034E">
        <w:rPr>
          <w:rFonts w:ascii="Palatino Linotype" w:eastAsia="Palatino Linotype" w:hAnsi="Palatino Linotype" w:cs="Palatino Linotype"/>
          <w:b/>
        </w:rPr>
        <w:t>quince de febrero de dos mil veintitrés</w:t>
      </w:r>
      <w:r w:rsidR="00A0122B" w:rsidRPr="0034034E">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w:t>
      </w:r>
    </w:p>
    <w:p w14:paraId="6D431A40" w14:textId="530D60B5" w:rsidR="00757A60" w:rsidRPr="0034034E" w:rsidRDefault="005D01DB">
      <w:pPr>
        <w:spacing w:before="240" w:after="240" w:line="360" w:lineRule="auto"/>
        <w:jc w:val="both"/>
        <w:rPr>
          <w:rFonts w:ascii="Palatino Linotype" w:eastAsia="Palatino Linotype" w:hAnsi="Palatino Linotype" w:cs="Palatino Linotype"/>
          <w:b/>
        </w:rPr>
      </w:pPr>
      <w:r w:rsidRPr="0034034E">
        <w:rPr>
          <w:rFonts w:ascii="Palatino Linotype" w:eastAsia="Palatino Linotype" w:hAnsi="Palatino Linotype" w:cs="Palatino Linotype"/>
          <w:b/>
        </w:rPr>
        <w:lastRenderedPageBreak/>
        <w:t xml:space="preserve">10. </w:t>
      </w:r>
      <w:r w:rsidR="00F059F1" w:rsidRPr="0034034E">
        <w:rPr>
          <w:rFonts w:ascii="Palatino Linotype" w:eastAsia="Palatino Linotype" w:hAnsi="Palatino Linotype" w:cs="Palatino Linotype"/>
          <w:b/>
        </w:rPr>
        <w:t xml:space="preserve">Cierre de instrucción. </w:t>
      </w:r>
      <w:r w:rsidR="00F059F1" w:rsidRPr="0034034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34034E">
        <w:rPr>
          <w:rFonts w:ascii="Palatino Linotype" w:eastAsia="Palatino Linotype" w:hAnsi="Palatino Linotype" w:cs="Palatino Linotype"/>
          <w:b/>
        </w:rPr>
        <w:t>quince</w:t>
      </w:r>
      <w:r w:rsidR="00C208E5" w:rsidRPr="0034034E">
        <w:rPr>
          <w:rFonts w:ascii="Palatino Linotype" w:eastAsia="Palatino Linotype" w:hAnsi="Palatino Linotype" w:cs="Palatino Linotype"/>
          <w:b/>
        </w:rPr>
        <w:t xml:space="preserve"> </w:t>
      </w:r>
      <w:r w:rsidR="00D06AFC" w:rsidRPr="0034034E">
        <w:rPr>
          <w:rFonts w:ascii="Palatino Linotype" w:eastAsia="Palatino Linotype" w:hAnsi="Palatino Linotype" w:cs="Palatino Linotype"/>
          <w:b/>
        </w:rPr>
        <w:t>de febrero</w:t>
      </w:r>
      <w:r w:rsidR="00F059F1" w:rsidRPr="0034034E">
        <w:rPr>
          <w:rFonts w:ascii="Palatino Linotype" w:eastAsia="Palatino Linotype" w:hAnsi="Palatino Linotype" w:cs="Palatino Linotype"/>
          <w:b/>
        </w:rPr>
        <w:t xml:space="preserve"> de dos mil veinti</w:t>
      </w:r>
      <w:r w:rsidR="00D06AFC" w:rsidRPr="0034034E">
        <w:rPr>
          <w:rFonts w:ascii="Palatino Linotype" w:eastAsia="Palatino Linotype" w:hAnsi="Palatino Linotype" w:cs="Palatino Linotype"/>
          <w:b/>
        </w:rPr>
        <w:t>trés</w:t>
      </w:r>
      <w:r w:rsidR="00F059F1" w:rsidRPr="0034034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252FFC9" w14:textId="77777777" w:rsidR="00757A60" w:rsidRPr="0034034E" w:rsidRDefault="00F059F1">
      <w:pPr>
        <w:spacing w:before="240" w:after="240" w:line="360" w:lineRule="auto"/>
        <w:jc w:val="both"/>
        <w:rPr>
          <w:rFonts w:ascii="Palatino Linotype" w:eastAsia="Palatino Linotype" w:hAnsi="Palatino Linotype" w:cs="Palatino Linotype"/>
          <w:sz w:val="22"/>
        </w:rPr>
      </w:pPr>
      <w:r w:rsidRPr="0034034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52BA9A6" w14:textId="77777777" w:rsidR="00757A60" w:rsidRPr="0034034E" w:rsidRDefault="00F059F1">
      <w:pPr>
        <w:widowControl w:val="0"/>
        <w:spacing w:before="240" w:after="240" w:line="360" w:lineRule="auto"/>
        <w:jc w:val="center"/>
        <w:rPr>
          <w:rFonts w:ascii="Palatino Linotype" w:eastAsia="Palatino Linotype" w:hAnsi="Palatino Linotype" w:cs="Palatino Linotype"/>
          <w:b/>
        </w:rPr>
      </w:pPr>
      <w:r w:rsidRPr="0034034E">
        <w:rPr>
          <w:rFonts w:ascii="Palatino Linotype" w:eastAsia="Palatino Linotype" w:hAnsi="Palatino Linotype" w:cs="Palatino Linotype"/>
          <w:b/>
        </w:rPr>
        <w:t>II. C O N S I D E R A N D O S</w:t>
      </w:r>
    </w:p>
    <w:p w14:paraId="771800CB" w14:textId="77777777" w:rsidR="00757A60" w:rsidRPr="0034034E" w:rsidRDefault="00F059F1">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b/>
        </w:rPr>
        <w:t>Primero. Competencia.</w:t>
      </w:r>
      <w:r w:rsidRPr="0034034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491D8A5" w14:textId="77777777" w:rsidR="00867676" w:rsidRPr="0034034E" w:rsidRDefault="00867676" w:rsidP="00867676">
      <w:pPr>
        <w:pBdr>
          <w:top w:val="nil"/>
          <w:left w:val="nil"/>
          <w:bottom w:val="nil"/>
          <w:right w:val="nil"/>
          <w:between w:val="nil"/>
        </w:pBdr>
        <w:spacing w:before="240" w:after="240" w:line="360" w:lineRule="auto"/>
        <w:jc w:val="both"/>
        <w:rPr>
          <w:rFonts w:ascii="Palatino Linotype" w:hAnsi="Palatino Linotype"/>
        </w:rPr>
      </w:pPr>
      <w:bookmarkStart w:id="4" w:name="_heading=h.tyjcwt" w:colFirst="0" w:colLast="0"/>
      <w:bookmarkEnd w:id="4"/>
      <w:r w:rsidRPr="0034034E">
        <w:rPr>
          <w:rFonts w:ascii="Palatino Linotype" w:eastAsia="Palatino Linotype" w:hAnsi="Palatino Linotype" w:cs="Palatino Linotype"/>
          <w:b/>
        </w:rPr>
        <w:lastRenderedPageBreak/>
        <w:t xml:space="preserve">Segundo. Oportunidad y </w:t>
      </w:r>
      <w:proofErr w:type="spellStart"/>
      <w:r w:rsidRPr="0034034E">
        <w:rPr>
          <w:rFonts w:ascii="Palatino Linotype" w:eastAsia="Palatino Linotype" w:hAnsi="Palatino Linotype" w:cs="Palatino Linotype"/>
          <w:b/>
        </w:rPr>
        <w:t>Procedibilidad</w:t>
      </w:r>
      <w:proofErr w:type="spellEnd"/>
      <w:r w:rsidRPr="0034034E">
        <w:rPr>
          <w:rFonts w:ascii="Palatino Linotype" w:eastAsia="Palatino Linotype" w:hAnsi="Palatino Linotype" w:cs="Palatino Linotype"/>
          <w:b/>
        </w:rPr>
        <w:t xml:space="preserve"> del Recurso de Revisión</w:t>
      </w:r>
      <w:r w:rsidRPr="0034034E">
        <w:rPr>
          <w:rFonts w:ascii="Palatino Linotype" w:eastAsia="Palatino Linotype" w:hAnsi="Palatino Linotype" w:cs="Palatino Linotype"/>
        </w:rPr>
        <w:t>. Es de precisar que la</w:t>
      </w:r>
      <w:r w:rsidRPr="0034034E">
        <w:rPr>
          <w:rFonts w:ascii="Palatino Linotype" w:eastAsia="Palatino Linotype" w:hAnsi="Palatino Linotype" w:cs="Palatino Linotype"/>
          <w:b/>
        </w:rPr>
        <w:t xml:space="preserve"> </w:t>
      </w:r>
      <w:r w:rsidRPr="0034034E">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 166, del tenor literal siguiente: </w:t>
      </w:r>
    </w:p>
    <w:p w14:paraId="2A311260" w14:textId="77777777" w:rsidR="00867676" w:rsidRPr="0034034E" w:rsidRDefault="00867676" w:rsidP="00867676">
      <w:pPr>
        <w:pBdr>
          <w:top w:val="nil"/>
          <w:left w:val="nil"/>
          <w:bottom w:val="nil"/>
          <w:right w:val="nil"/>
          <w:between w:val="nil"/>
        </w:pBdr>
        <w:spacing w:before="120" w:after="120"/>
        <w:ind w:left="851" w:right="851"/>
        <w:jc w:val="both"/>
        <w:rPr>
          <w:rFonts w:ascii="Palatino Linotype" w:hAnsi="Palatino Linotype"/>
        </w:rPr>
      </w:pPr>
      <w:r w:rsidRPr="0034034E">
        <w:rPr>
          <w:rFonts w:ascii="Palatino Linotype" w:eastAsia="Palatino Linotype" w:hAnsi="Palatino Linotype" w:cs="Palatino Linotype"/>
          <w:i/>
          <w:sz w:val="22"/>
          <w:szCs w:val="22"/>
        </w:rPr>
        <w:t>“</w:t>
      </w:r>
      <w:r w:rsidRPr="0034034E">
        <w:rPr>
          <w:rFonts w:ascii="Palatino Linotype" w:eastAsia="Palatino Linotype" w:hAnsi="Palatino Linotype" w:cs="Palatino Linotype"/>
          <w:b/>
          <w:i/>
          <w:sz w:val="22"/>
          <w:szCs w:val="22"/>
        </w:rPr>
        <w:t xml:space="preserve">Artículo 163. </w:t>
      </w:r>
      <w:r w:rsidRPr="0034034E">
        <w:rPr>
          <w:rFonts w:ascii="Palatino Linotype" w:eastAsia="Palatino Linotype" w:hAnsi="Palatino Linotype" w:cs="Palatino Linotype"/>
          <w:i/>
          <w:sz w:val="22"/>
          <w:szCs w:val="22"/>
        </w:rPr>
        <w:t>La Unidad de Transparencia deberá notificar la respuesta a la solicitud al interesado en el menor tiempo posible, que no podrá exceder de quince días hábiles, contados a partir del día siguiente a la presentación de aquélla. </w:t>
      </w:r>
    </w:p>
    <w:p w14:paraId="379ABDF3" w14:textId="77777777" w:rsidR="00867676" w:rsidRPr="0034034E" w:rsidRDefault="00867676" w:rsidP="00867676">
      <w:pPr>
        <w:pBdr>
          <w:top w:val="nil"/>
          <w:left w:val="nil"/>
          <w:bottom w:val="nil"/>
          <w:right w:val="nil"/>
          <w:between w:val="nil"/>
        </w:pBdr>
        <w:spacing w:before="120" w:after="120"/>
        <w:ind w:left="851" w:right="851"/>
        <w:jc w:val="both"/>
        <w:rPr>
          <w:rFonts w:ascii="Palatino Linotype" w:hAnsi="Palatino Linotype"/>
        </w:rPr>
      </w:pPr>
      <w:r w:rsidRPr="0034034E">
        <w:rPr>
          <w:rFonts w:ascii="Palatino Linotype" w:eastAsia="Palatino Linotype" w:hAnsi="Palatino Linotype" w:cs="Palatino Linotype"/>
          <w:i/>
          <w:sz w:val="22"/>
          <w:szCs w:val="22"/>
        </w:rPr>
        <w:t>…</w:t>
      </w:r>
    </w:p>
    <w:p w14:paraId="4675DB49" w14:textId="77777777" w:rsidR="00867676" w:rsidRPr="0034034E" w:rsidRDefault="00867676" w:rsidP="00867676">
      <w:pPr>
        <w:pBdr>
          <w:top w:val="nil"/>
          <w:left w:val="nil"/>
          <w:bottom w:val="nil"/>
          <w:right w:val="nil"/>
          <w:between w:val="nil"/>
        </w:pBdr>
        <w:spacing w:before="120" w:after="120"/>
        <w:ind w:left="851" w:right="851"/>
        <w:jc w:val="both"/>
        <w:rPr>
          <w:rFonts w:ascii="Palatino Linotype" w:hAnsi="Palatino Linotype"/>
        </w:rPr>
      </w:pPr>
      <w:r w:rsidRPr="0034034E">
        <w:rPr>
          <w:rFonts w:ascii="Palatino Linotype" w:eastAsia="Palatino Linotype" w:hAnsi="Palatino Linotype" w:cs="Palatino Linotype"/>
          <w:b/>
          <w:i/>
          <w:sz w:val="22"/>
          <w:szCs w:val="22"/>
        </w:rPr>
        <w:t>Artículo 166.</w:t>
      </w:r>
      <w:r w:rsidRPr="0034034E">
        <w:rPr>
          <w:rFonts w:ascii="Palatino Linotype" w:eastAsia="Palatino Linotype" w:hAnsi="Palatino Linotype" w:cs="Palatino Linotype"/>
          <w:i/>
          <w:sz w:val="22"/>
          <w:szCs w:val="22"/>
        </w:rPr>
        <w:t xml:space="preserve"> […]</w:t>
      </w:r>
    </w:p>
    <w:p w14:paraId="326A485A" w14:textId="77777777" w:rsidR="00867676" w:rsidRPr="0034034E" w:rsidRDefault="00867676" w:rsidP="00867676">
      <w:pPr>
        <w:pBdr>
          <w:top w:val="nil"/>
          <w:left w:val="nil"/>
          <w:bottom w:val="nil"/>
          <w:right w:val="nil"/>
          <w:between w:val="nil"/>
        </w:pBdr>
        <w:spacing w:before="120" w:after="120"/>
        <w:ind w:left="851" w:right="851"/>
        <w:jc w:val="both"/>
        <w:rPr>
          <w:rFonts w:ascii="Palatino Linotype" w:hAnsi="Palatino Linotype"/>
        </w:rPr>
      </w:pPr>
      <w:r w:rsidRPr="0034034E">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w:t>
      </w:r>
    </w:p>
    <w:p w14:paraId="32666D74" w14:textId="77777777" w:rsidR="00867676" w:rsidRPr="0034034E" w:rsidRDefault="00867676" w:rsidP="00867676">
      <w:pPr>
        <w:pBdr>
          <w:top w:val="nil"/>
          <w:left w:val="nil"/>
          <w:bottom w:val="nil"/>
          <w:right w:val="nil"/>
          <w:between w:val="nil"/>
        </w:pBdr>
        <w:spacing w:before="240" w:after="240" w:line="360" w:lineRule="auto"/>
        <w:jc w:val="both"/>
        <w:rPr>
          <w:rFonts w:ascii="Palatino Linotype" w:hAnsi="Palatino Linotype"/>
        </w:rPr>
      </w:pPr>
      <w:r w:rsidRPr="0034034E">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1E81BCEE" w14:textId="77777777" w:rsidR="00867676" w:rsidRPr="0034034E" w:rsidRDefault="00867676" w:rsidP="00867676">
      <w:pPr>
        <w:pBdr>
          <w:top w:val="nil"/>
          <w:left w:val="nil"/>
          <w:bottom w:val="nil"/>
          <w:right w:val="nil"/>
          <w:between w:val="nil"/>
        </w:pBdr>
        <w:spacing w:before="240" w:after="240" w:line="360" w:lineRule="auto"/>
        <w:jc w:val="both"/>
        <w:rPr>
          <w:rFonts w:ascii="Palatino Linotype" w:hAnsi="Palatino Linotype"/>
        </w:rPr>
      </w:pPr>
      <w:r w:rsidRPr="0034034E">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7239BC5E" w14:textId="1BDDAC04" w:rsidR="00867676" w:rsidRPr="0034034E" w:rsidRDefault="00867676" w:rsidP="00867676">
      <w:pPr>
        <w:pBdr>
          <w:top w:val="nil"/>
          <w:left w:val="nil"/>
          <w:bottom w:val="nil"/>
          <w:right w:val="nil"/>
          <w:between w:val="nil"/>
        </w:pBdr>
        <w:spacing w:before="240" w:after="240" w:line="360" w:lineRule="auto"/>
        <w:jc w:val="both"/>
        <w:rPr>
          <w:rFonts w:ascii="Palatino Linotype" w:hAnsi="Palatino Linotype"/>
        </w:rPr>
      </w:pPr>
      <w:r w:rsidRPr="0034034E">
        <w:rPr>
          <w:rFonts w:ascii="Palatino Linotype" w:eastAsia="Palatino Linotype" w:hAnsi="Palatino Linotype" w:cs="Palatino Linotype"/>
        </w:rPr>
        <w:lastRenderedPageBreak/>
        <w:t xml:space="preserve">Por su parte, el artículo 178 del citado ordenamiento, </w:t>
      </w:r>
      <w:r w:rsidR="00A23245" w:rsidRPr="0034034E">
        <w:rPr>
          <w:rFonts w:ascii="Palatino Linotype" w:eastAsia="Palatino Linotype" w:hAnsi="Palatino Linotype" w:cs="Palatino Linotype"/>
        </w:rPr>
        <w:t>en su parte conducente establece:</w:t>
      </w:r>
    </w:p>
    <w:p w14:paraId="4CD987E0" w14:textId="77777777" w:rsidR="00A23245" w:rsidRPr="0034034E" w:rsidRDefault="00867676" w:rsidP="00867676">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2"/>
          <w:szCs w:val="22"/>
        </w:rPr>
      </w:pPr>
      <w:r w:rsidRPr="0034034E">
        <w:rPr>
          <w:rFonts w:ascii="Palatino Linotype" w:eastAsia="Palatino Linotype" w:hAnsi="Palatino Linotype" w:cs="Palatino Linotype"/>
          <w:i/>
          <w:sz w:val="22"/>
          <w:szCs w:val="22"/>
        </w:rPr>
        <w:t>“</w:t>
      </w:r>
      <w:r w:rsidRPr="0034034E">
        <w:rPr>
          <w:rFonts w:ascii="Palatino Linotype" w:eastAsia="Palatino Linotype" w:hAnsi="Palatino Linotype" w:cs="Palatino Linotype"/>
          <w:b/>
          <w:i/>
          <w:sz w:val="22"/>
          <w:szCs w:val="22"/>
        </w:rPr>
        <w:t xml:space="preserve">Artículo 178. </w:t>
      </w:r>
      <w:r w:rsidRPr="0034034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4034E">
        <w:rPr>
          <w:rFonts w:ascii="Palatino Linotype" w:eastAsia="Palatino Linotype" w:hAnsi="Palatino Linotype" w:cs="Palatino Linotype"/>
          <w:b/>
          <w:i/>
          <w:sz w:val="22"/>
          <w:szCs w:val="22"/>
        </w:rPr>
        <w:t>.</w:t>
      </w:r>
    </w:p>
    <w:p w14:paraId="2BFC4E0C" w14:textId="0432028D" w:rsidR="00867676" w:rsidRPr="0034034E" w:rsidRDefault="00A23245" w:rsidP="00A23245">
      <w:pPr>
        <w:pBdr>
          <w:top w:val="nil"/>
          <w:left w:val="nil"/>
          <w:bottom w:val="nil"/>
          <w:right w:val="nil"/>
          <w:between w:val="nil"/>
        </w:pBdr>
        <w:spacing w:line="276" w:lineRule="auto"/>
        <w:ind w:left="851" w:right="851"/>
        <w:jc w:val="both"/>
        <w:rPr>
          <w:rFonts w:ascii="Palatino Linotype" w:hAnsi="Palatino Linotype"/>
        </w:rPr>
      </w:pPr>
      <w:r w:rsidRPr="0034034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00867676" w:rsidRPr="0034034E">
        <w:rPr>
          <w:rFonts w:ascii="Palatino Linotype" w:eastAsia="Palatino Linotype" w:hAnsi="Palatino Linotype" w:cs="Palatino Linotype"/>
          <w:i/>
          <w:sz w:val="22"/>
          <w:szCs w:val="22"/>
        </w:rPr>
        <w:t>”</w:t>
      </w:r>
    </w:p>
    <w:p w14:paraId="094AEB6B" w14:textId="77777777" w:rsidR="00867676" w:rsidRPr="0034034E" w:rsidRDefault="00867676" w:rsidP="00867676">
      <w:pPr>
        <w:pBdr>
          <w:top w:val="nil"/>
          <w:left w:val="nil"/>
          <w:bottom w:val="nil"/>
          <w:right w:val="nil"/>
          <w:between w:val="nil"/>
        </w:pBdr>
        <w:spacing w:before="240" w:after="240" w:line="360" w:lineRule="auto"/>
        <w:jc w:val="both"/>
        <w:rPr>
          <w:rFonts w:ascii="Palatino Linotype" w:hAnsi="Palatino Linotype"/>
        </w:rPr>
      </w:pPr>
      <w:r w:rsidRPr="0034034E">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34034E">
        <w:rPr>
          <w:rFonts w:ascii="Palatino Linotype" w:eastAsia="Palatino Linotype" w:hAnsi="Palatino Linotype" w:cs="Palatino Linotype"/>
          <w:b/>
        </w:rPr>
        <w:t xml:space="preserve">Sujeto Obligado </w:t>
      </w:r>
      <w:r w:rsidRPr="0034034E">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1A361F2C" w14:textId="77777777" w:rsidR="00867676" w:rsidRPr="0034034E" w:rsidRDefault="00867676" w:rsidP="00867676">
      <w:pPr>
        <w:pBdr>
          <w:top w:val="nil"/>
          <w:left w:val="nil"/>
          <w:bottom w:val="nil"/>
          <w:right w:val="nil"/>
          <w:between w:val="nil"/>
        </w:pBdr>
        <w:spacing w:before="240" w:after="240" w:line="360" w:lineRule="auto"/>
        <w:jc w:val="both"/>
        <w:rPr>
          <w:rFonts w:ascii="Palatino Linotype" w:hAnsi="Palatino Linotype"/>
        </w:rPr>
      </w:pPr>
      <w:r w:rsidRPr="0034034E">
        <w:rPr>
          <w:rFonts w:ascii="Palatino Linotype" w:eastAsia="Palatino Linotype" w:hAnsi="Palatino Linotype" w:cs="Palatino Linotype"/>
        </w:rPr>
        <w:t xml:space="preserve">La negativa ficta constituye una presunción legal, en el entendido de que donde no hubo respuesta por parte del </w:t>
      </w:r>
      <w:r w:rsidRPr="0034034E">
        <w:rPr>
          <w:rFonts w:ascii="Palatino Linotype" w:eastAsia="Palatino Linotype" w:hAnsi="Palatino Linotype" w:cs="Palatino Linotype"/>
          <w:b/>
        </w:rPr>
        <w:t xml:space="preserve">Sujeto Obligado </w:t>
      </w:r>
      <w:r w:rsidRPr="0034034E">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9569069" w14:textId="77777777" w:rsidR="00867676" w:rsidRPr="0034034E" w:rsidRDefault="00867676" w:rsidP="00867676">
      <w:pPr>
        <w:pBdr>
          <w:top w:val="nil"/>
          <w:left w:val="nil"/>
          <w:bottom w:val="nil"/>
          <w:right w:val="nil"/>
          <w:between w:val="nil"/>
        </w:pBdr>
        <w:spacing w:before="240" w:after="240" w:line="360" w:lineRule="auto"/>
        <w:jc w:val="both"/>
        <w:rPr>
          <w:rFonts w:ascii="Palatino Linotype" w:hAnsi="Palatino Linotype"/>
        </w:rPr>
      </w:pPr>
      <w:r w:rsidRPr="0034034E">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34034E">
        <w:rPr>
          <w:rFonts w:ascii="Palatino Linotype" w:eastAsia="Palatino Linotype" w:hAnsi="Palatino Linotype" w:cs="Palatino Linotype"/>
        </w:rPr>
        <w:t>desechamiento</w:t>
      </w:r>
      <w:proofErr w:type="spellEnd"/>
      <w:r w:rsidRPr="0034034E">
        <w:rPr>
          <w:rFonts w:ascii="Palatino Linotype" w:eastAsia="Palatino Linotype" w:hAnsi="Palatino Linotype" w:cs="Palatino Linotype"/>
        </w:rPr>
        <w:t xml:space="preserve"> del mismo.</w:t>
      </w:r>
    </w:p>
    <w:p w14:paraId="78EED32C" w14:textId="77777777" w:rsidR="00867676" w:rsidRPr="0034034E" w:rsidRDefault="00867676" w:rsidP="00867676">
      <w:pPr>
        <w:pBdr>
          <w:top w:val="nil"/>
          <w:left w:val="nil"/>
          <w:bottom w:val="nil"/>
          <w:right w:val="nil"/>
          <w:between w:val="nil"/>
        </w:pBdr>
        <w:spacing w:before="240" w:after="240" w:line="360" w:lineRule="auto"/>
        <w:jc w:val="both"/>
        <w:rPr>
          <w:rFonts w:ascii="Palatino Linotype" w:hAnsi="Palatino Linotype"/>
        </w:rPr>
      </w:pPr>
      <w:r w:rsidRPr="0034034E">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4034E">
        <w:rPr>
          <w:rFonts w:ascii="Palatino Linotype" w:eastAsia="Palatino Linotype" w:hAnsi="Palatino Linotype" w:cs="Palatino Linotype"/>
          <w:b/>
        </w:rPr>
        <w:t>Sujeto Obligado</w:t>
      </w:r>
      <w:r w:rsidRPr="0034034E">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D2846AD" w14:textId="77777777" w:rsidR="00867676" w:rsidRPr="0034034E" w:rsidRDefault="00867676" w:rsidP="00867676">
      <w:pPr>
        <w:pBdr>
          <w:top w:val="nil"/>
          <w:left w:val="nil"/>
          <w:bottom w:val="nil"/>
          <w:right w:val="nil"/>
          <w:between w:val="nil"/>
        </w:pBdr>
        <w:spacing w:line="276" w:lineRule="auto"/>
        <w:ind w:left="851" w:right="851"/>
        <w:jc w:val="both"/>
        <w:rPr>
          <w:rFonts w:ascii="Palatino Linotype" w:hAnsi="Palatino Linotype"/>
        </w:rPr>
      </w:pPr>
      <w:r w:rsidRPr="0034034E">
        <w:rPr>
          <w:rFonts w:ascii="Palatino Linotype" w:eastAsia="Palatino Linotype" w:hAnsi="Palatino Linotype" w:cs="Palatino Linotype"/>
          <w:b/>
          <w:i/>
          <w:sz w:val="22"/>
          <w:szCs w:val="22"/>
        </w:rPr>
        <w:t>“CRITERIO 0001-15. NEGATIVA FICTA. PLAZO PARA INTERPONER EL RECURSO DE REVISIÓN TRATÁNDOSE DE</w:t>
      </w:r>
      <w:r w:rsidRPr="0034034E">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w:t>
      </w:r>
      <w:r w:rsidRPr="0034034E">
        <w:rPr>
          <w:rFonts w:ascii="Palatino Linotype" w:eastAsia="Palatino Linotype" w:hAnsi="Palatino Linotype" w:cs="Palatino Linotype"/>
          <w:i/>
          <w:sz w:val="22"/>
          <w:szCs w:val="22"/>
        </w:rPr>
        <w:lastRenderedPageBreak/>
        <w:t xml:space="preserve">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w:t>
      </w:r>
      <w:r w:rsidRPr="0034034E">
        <w:rPr>
          <w:rFonts w:ascii="Palatino Linotype" w:eastAsia="Palatino Linotype" w:hAnsi="Palatino Linotype" w:cs="Palatino Linotype"/>
          <w:b/>
          <w:i/>
          <w:sz w:val="22"/>
          <w:szCs w:val="22"/>
        </w:rPr>
        <w:t>se genera la ficción legal de una respuesta en sentido negativo</w:t>
      </w:r>
      <w:r w:rsidRPr="0034034E">
        <w:rPr>
          <w:rFonts w:ascii="Palatino Linotype" w:eastAsia="Palatino Linotype" w:hAnsi="Palatino Linotype" w:cs="Palatino Linotype"/>
          <w:i/>
          <w:sz w:val="22"/>
          <w:szCs w:val="22"/>
        </w:rPr>
        <w:t>;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4034E">
        <w:rPr>
          <w:rFonts w:ascii="Palatino Linotype" w:eastAsia="Palatino Linotype" w:hAnsi="Palatino Linotype" w:cs="Palatino Linotype"/>
          <w:i/>
        </w:rPr>
        <w:t> </w:t>
      </w:r>
    </w:p>
    <w:p w14:paraId="4D80D73E" w14:textId="77777777" w:rsidR="00757A60" w:rsidRPr="0034034E" w:rsidRDefault="00F059F1">
      <w:pPr>
        <w:tabs>
          <w:tab w:val="left" w:pos="7938"/>
        </w:tabs>
        <w:spacing w:before="240" w:after="240" w:line="360" w:lineRule="auto"/>
        <w:jc w:val="both"/>
        <w:rPr>
          <w:rFonts w:ascii="Palatino Linotype" w:eastAsia="Palatino Linotype" w:hAnsi="Palatino Linotype" w:cs="Palatino Linotype"/>
          <w:b/>
        </w:rPr>
      </w:pPr>
      <w:r w:rsidRPr="0034034E">
        <w:rPr>
          <w:rFonts w:ascii="Palatino Linotype" w:eastAsia="Palatino Linotype" w:hAnsi="Palatino Linotype" w:cs="Palatino Linotype"/>
        </w:rPr>
        <w:t xml:space="preserve">Al mismo tiempo, por cuanto hace a la </w:t>
      </w:r>
      <w:proofErr w:type="spellStart"/>
      <w:r w:rsidRPr="0034034E">
        <w:rPr>
          <w:rFonts w:ascii="Palatino Linotype" w:eastAsia="Palatino Linotype" w:hAnsi="Palatino Linotype" w:cs="Palatino Linotype"/>
        </w:rPr>
        <w:t>procedibilidad</w:t>
      </w:r>
      <w:proofErr w:type="spellEnd"/>
      <w:r w:rsidRPr="0034034E">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34034E">
        <w:rPr>
          <w:rFonts w:ascii="Palatino Linotype" w:eastAsia="Palatino Linotype" w:hAnsi="Palatino Linotype" w:cs="Palatino Linotype"/>
          <w:b/>
        </w:rPr>
        <w:t>SAIMEX.</w:t>
      </w:r>
    </w:p>
    <w:p w14:paraId="5035317B" w14:textId="20D8464B" w:rsidR="00F56D28" w:rsidRPr="0034034E" w:rsidRDefault="00F56D28" w:rsidP="00F56D28">
      <w:pPr>
        <w:spacing w:before="240" w:after="240" w:line="360" w:lineRule="auto"/>
        <w:jc w:val="both"/>
        <w:rPr>
          <w:rFonts w:ascii="Palatino Linotype" w:hAnsi="Palatino Linotype" w:cs="Arial"/>
        </w:rPr>
      </w:pPr>
      <w:r w:rsidRPr="0034034E">
        <w:rPr>
          <w:rFonts w:ascii="Palatino Linotype" w:hAnsi="Palatino Linotype" w:cs="Arial"/>
        </w:rPr>
        <w:t xml:space="preserve">A efecto de sustentar lo anterior, es de suma importancia mencionar que si bien la persona solicitante </w:t>
      </w:r>
      <w:r w:rsidRPr="0034034E">
        <w:rPr>
          <w:rFonts w:ascii="Palatino Linotype" w:hAnsi="Palatino Linotype" w:cs="Arial"/>
          <w:b/>
          <w:bCs/>
        </w:rPr>
        <w:t xml:space="preserve">no proporcionó nombre </w:t>
      </w:r>
      <w:r w:rsidRPr="0034034E">
        <w:rPr>
          <w:rFonts w:ascii="Palatino Linotype" w:hAnsi="Palatino Linotype" w:cs="Arial"/>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3B82B41" w14:textId="77777777" w:rsidR="00F56D28" w:rsidRPr="0034034E" w:rsidRDefault="00F56D28" w:rsidP="00F56D28">
      <w:pPr>
        <w:spacing w:before="120" w:after="120"/>
        <w:ind w:left="851" w:right="902"/>
        <w:jc w:val="both"/>
        <w:rPr>
          <w:rFonts w:ascii="Palatino Linotype" w:hAnsi="Palatino Linotype" w:cs="Arial"/>
          <w:sz w:val="22"/>
          <w:szCs w:val="22"/>
        </w:rPr>
      </w:pPr>
      <w:r w:rsidRPr="0034034E">
        <w:rPr>
          <w:rFonts w:ascii="Palatino Linotype" w:hAnsi="Palatino Linotype" w:cs="Arial"/>
          <w:i/>
          <w:iCs/>
          <w:sz w:val="22"/>
          <w:szCs w:val="22"/>
        </w:rPr>
        <w:t>"</w:t>
      </w:r>
      <w:r w:rsidRPr="0034034E">
        <w:rPr>
          <w:rFonts w:ascii="Palatino Linotype" w:hAnsi="Palatino Linotype" w:cs="Arial"/>
          <w:b/>
          <w:bCs/>
          <w:i/>
          <w:iCs/>
          <w:sz w:val="22"/>
          <w:szCs w:val="22"/>
        </w:rPr>
        <w:t>Las solicitudes anónimas</w:t>
      </w:r>
      <w:r w:rsidRPr="0034034E">
        <w:rPr>
          <w:rFonts w:ascii="Palatino Linotype" w:hAnsi="Palatino Linotype" w:cs="Arial"/>
          <w:i/>
          <w:iCs/>
          <w:sz w:val="22"/>
          <w:szCs w:val="22"/>
        </w:rPr>
        <w:t xml:space="preserve">, con nombre incompleto o seudónimo </w:t>
      </w:r>
      <w:r w:rsidRPr="0034034E">
        <w:rPr>
          <w:rFonts w:ascii="Palatino Linotype" w:hAnsi="Palatino Linotype" w:cs="Arial"/>
          <w:b/>
          <w:bCs/>
          <w:i/>
          <w:iCs/>
          <w:sz w:val="22"/>
          <w:szCs w:val="22"/>
        </w:rPr>
        <w:t>serán procedentes para su trámite por parte del sujeto obligado ante quien se presente</w:t>
      </w:r>
      <w:r w:rsidRPr="0034034E">
        <w:rPr>
          <w:rFonts w:ascii="Palatino Linotype" w:hAnsi="Palatino Linotype" w:cs="Arial"/>
          <w:i/>
          <w:iCs/>
          <w:sz w:val="22"/>
          <w:szCs w:val="22"/>
        </w:rPr>
        <w:t>. No podrá requerirse información adicional con motivo del nombre proporcionado por el solicitante."</w:t>
      </w:r>
    </w:p>
    <w:p w14:paraId="6B6021D8" w14:textId="77777777" w:rsidR="00F56D28" w:rsidRPr="0034034E" w:rsidRDefault="00F56D28" w:rsidP="00F56D28">
      <w:pPr>
        <w:spacing w:before="240" w:after="240" w:line="360" w:lineRule="auto"/>
        <w:jc w:val="both"/>
        <w:rPr>
          <w:rFonts w:ascii="Palatino Linotype" w:hAnsi="Palatino Linotype" w:cs="Arial"/>
        </w:rPr>
      </w:pPr>
      <w:r w:rsidRPr="0034034E">
        <w:rPr>
          <w:rFonts w:ascii="Palatino Linotype" w:hAnsi="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34034E">
        <w:rPr>
          <w:rFonts w:ascii="Palatino Linotype" w:hAnsi="Palatino Linotype"/>
          <w:b/>
        </w:rPr>
        <w:t>Recurrente</w:t>
      </w:r>
      <w:r w:rsidRPr="0034034E">
        <w:rPr>
          <w:rFonts w:ascii="Palatino Linotype" w:hAnsi="Palatino Linotype"/>
        </w:rPr>
        <w:t>, por lo que, en el presente caso, al haber sido presentado el recurso de revisión vía SAIMEX, dicho requisito resulta innecesario</w:t>
      </w:r>
      <w:r w:rsidRPr="0034034E">
        <w:rPr>
          <w:rFonts w:ascii="Palatino Linotype" w:hAnsi="Palatino Linotype" w:cs="Arial"/>
        </w:rPr>
        <w:t>.</w:t>
      </w:r>
    </w:p>
    <w:p w14:paraId="62CE4BF3" w14:textId="77777777" w:rsidR="00757A60" w:rsidRPr="0034034E" w:rsidRDefault="00F059F1">
      <w:pPr>
        <w:pBdr>
          <w:top w:val="nil"/>
          <w:left w:val="nil"/>
          <w:bottom w:val="nil"/>
          <w:right w:val="nil"/>
          <w:between w:val="nil"/>
        </w:pBdr>
        <w:spacing w:before="240" w:after="240" w:line="360" w:lineRule="auto"/>
        <w:jc w:val="both"/>
        <w:rPr>
          <w:rFonts w:ascii="Palatino Linotype" w:hAnsi="Palatino Linotype"/>
        </w:rPr>
      </w:pPr>
      <w:r w:rsidRPr="0034034E">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w:t>
      </w:r>
      <w:r w:rsidR="008851F5" w:rsidRPr="0034034E">
        <w:rPr>
          <w:rFonts w:ascii="Palatino Linotype" w:eastAsia="Palatino Linotype" w:hAnsi="Palatino Linotype" w:cs="Palatino Linotype"/>
        </w:rPr>
        <w:t xml:space="preserve"> en el artículo 179, fracción VII</w:t>
      </w:r>
      <w:r w:rsidRPr="0034034E">
        <w:rPr>
          <w:rFonts w:ascii="Palatino Linotype" w:eastAsia="Palatino Linotype" w:hAnsi="Palatino Linotype" w:cs="Palatino Linotype"/>
        </w:rPr>
        <w:t xml:space="preserve"> de la ley de la materia, que a la letra dice:</w:t>
      </w:r>
    </w:p>
    <w:p w14:paraId="1F448EBC" w14:textId="77777777" w:rsidR="00757A60" w:rsidRPr="0034034E" w:rsidRDefault="00F059F1">
      <w:pPr>
        <w:pBdr>
          <w:top w:val="nil"/>
          <w:left w:val="nil"/>
          <w:bottom w:val="nil"/>
          <w:right w:val="nil"/>
          <w:between w:val="nil"/>
        </w:pBdr>
        <w:spacing w:line="276" w:lineRule="auto"/>
        <w:ind w:left="851" w:right="851"/>
        <w:jc w:val="both"/>
        <w:rPr>
          <w:rFonts w:ascii="Palatino Linotype" w:hAnsi="Palatino Linotype"/>
        </w:rPr>
      </w:pPr>
      <w:r w:rsidRPr="0034034E">
        <w:rPr>
          <w:rFonts w:ascii="Palatino Linotype" w:eastAsia="Palatino Linotype" w:hAnsi="Palatino Linotype" w:cs="Palatino Linotype"/>
          <w:i/>
          <w:sz w:val="22"/>
          <w:szCs w:val="22"/>
        </w:rPr>
        <w:t>“</w:t>
      </w:r>
      <w:r w:rsidRPr="0034034E">
        <w:rPr>
          <w:rFonts w:ascii="Palatino Linotype" w:eastAsia="Palatino Linotype" w:hAnsi="Palatino Linotype" w:cs="Palatino Linotype"/>
          <w:b/>
          <w:i/>
          <w:sz w:val="22"/>
          <w:szCs w:val="22"/>
        </w:rPr>
        <w:t xml:space="preserve">Artículo 179. </w:t>
      </w:r>
      <w:r w:rsidRPr="0034034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4247387" w14:textId="77777777" w:rsidR="00757A60" w:rsidRPr="0034034E" w:rsidRDefault="00F059F1">
      <w:pPr>
        <w:pBdr>
          <w:top w:val="nil"/>
          <w:left w:val="nil"/>
          <w:bottom w:val="nil"/>
          <w:right w:val="nil"/>
          <w:between w:val="nil"/>
        </w:pBdr>
        <w:spacing w:line="276" w:lineRule="auto"/>
        <w:ind w:left="1134" w:right="851"/>
        <w:jc w:val="both"/>
        <w:rPr>
          <w:rFonts w:ascii="Palatino Linotype" w:hAnsi="Palatino Linotype"/>
        </w:rPr>
      </w:pPr>
      <w:r w:rsidRPr="0034034E">
        <w:rPr>
          <w:rFonts w:ascii="Palatino Linotype" w:eastAsia="Palatino Linotype" w:hAnsi="Palatino Linotype" w:cs="Palatino Linotype"/>
          <w:i/>
        </w:rPr>
        <w:t>…</w:t>
      </w:r>
    </w:p>
    <w:p w14:paraId="2570C27C" w14:textId="77777777" w:rsidR="00757A60" w:rsidRPr="0034034E" w:rsidRDefault="008851F5" w:rsidP="008851F5">
      <w:pPr>
        <w:pBdr>
          <w:top w:val="nil"/>
          <w:left w:val="nil"/>
          <w:bottom w:val="nil"/>
          <w:right w:val="nil"/>
          <w:between w:val="nil"/>
        </w:pBdr>
        <w:spacing w:line="276" w:lineRule="auto"/>
        <w:ind w:left="1134" w:right="851"/>
        <w:jc w:val="both"/>
        <w:rPr>
          <w:rFonts w:ascii="Palatino Linotype" w:hAnsi="Palatino Linotype"/>
        </w:rPr>
      </w:pPr>
      <w:r w:rsidRPr="0034034E">
        <w:rPr>
          <w:rFonts w:ascii="Palatino Linotype" w:eastAsia="Palatino Linotype" w:hAnsi="Palatino Linotype" w:cs="Palatino Linotype"/>
          <w:b/>
          <w:i/>
          <w:sz w:val="22"/>
          <w:szCs w:val="22"/>
        </w:rPr>
        <w:t xml:space="preserve">VII. </w:t>
      </w:r>
      <w:r w:rsidRPr="0034034E">
        <w:rPr>
          <w:rFonts w:ascii="Palatino Linotype" w:eastAsia="Palatino Linotype" w:hAnsi="Palatino Linotype" w:cs="Palatino Linotype"/>
          <w:i/>
          <w:sz w:val="22"/>
          <w:szCs w:val="22"/>
        </w:rPr>
        <w:t>La falta de respuesta a una solicitud de acceso a la información</w:t>
      </w:r>
      <w:r w:rsidRPr="0034034E">
        <w:rPr>
          <w:rFonts w:ascii="Palatino Linotype" w:eastAsia="Palatino Linotype" w:hAnsi="Palatino Linotype" w:cs="Palatino Linotype"/>
          <w:b/>
          <w:i/>
          <w:sz w:val="22"/>
          <w:szCs w:val="22"/>
        </w:rPr>
        <w:t>;</w:t>
      </w:r>
      <w:r w:rsidR="00F059F1" w:rsidRPr="0034034E">
        <w:rPr>
          <w:rFonts w:ascii="Palatino Linotype" w:eastAsia="Palatino Linotype" w:hAnsi="Palatino Linotype" w:cs="Palatino Linotype"/>
          <w:i/>
          <w:sz w:val="22"/>
          <w:szCs w:val="22"/>
        </w:rPr>
        <w:t>”</w:t>
      </w:r>
    </w:p>
    <w:p w14:paraId="71E1CA9D" w14:textId="77777777" w:rsidR="008851F5" w:rsidRPr="0034034E" w:rsidRDefault="008851F5" w:rsidP="008851F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El precepto legal citado, establece como supuesto de procedencia del recurso de revisión, en aquellos casos en que la parte </w:t>
      </w:r>
      <w:r w:rsidRPr="0034034E">
        <w:rPr>
          <w:rFonts w:ascii="Palatino Linotype" w:eastAsia="Palatino Linotype" w:hAnsi="Palatino Linotype" w:cs="Palatino Linotype"/>
          <w:b/>
        </w:rPr>
        <w:t xml:space="preserve">Recurrente </w:t>
      </w:r>
      <w:r w:rsidRPr="0034034E">
        <w:rPr>
          <w:rFonts w:ascii="Palatino Linotype" w:eastAsia="Palatino Linotype" w:hAnsi="Palatino Linotype" w:cs="Palatino Linotype"/>
        </w:rPr>
        <w:t xml:space="preserve">estime negado el acceso a la información por la falta de respuesta a una solicitud por el Sujeto Obligado, en este asunto se actualiza la hipótesis jurídica citada, en atención a que la parte </w:t>
      </w:r>
      <w:r w:rsidRPr="0034034E">
        <w:rPr>
          <w:rFonts w:ascii="Palatino Linotype" w:eastAsia="Palatino Linotype" w:hAnsi="Palatino Linotype" w:cs="Palatino Linotype"/>
          <w:b/>
        </w:rPr>
        <w:t>Recurrente</w:t>
      </w:r>
      <w:r w:rsidRPr="0034034E">
        <w:rPr>
          <w:rFonts w:ascii="Palatino Linotype" w:eastAsia="Palatino Linotype" w:hAnsi="Palatino Linotype" w:cs="Palatino Linotype"/>
        </w:rPr>
        <w:t xml:space="preserve"> combate falta de respuesta por el </w:t>
      </w:r>
      <w:r w:rsidRPr="0034034E">
        <w:rPr>
          <w:rFonts w:ascii="Palatino Linotype" w:eastAsia="Palatino Linotype" w:hAnsi="Palatino Linotype" w:cs="Palatino Linotype"/>
          <w:b/>
        </w:rPr>
        <w:t>Sujeto Obligado</w:t>
      </w:r>
      <w:r w:rsidRPr="0034034E">
        <w:rPr>
          <w:rFonts w:ascii="Palatino Linotype" w:eastAsia="Palatino Linotype" w:hAnsi="Palatino Linotype" w:cs="Palatino Linotype"/>
        </w:rPr>
        <w:t xml:space="preserve"> y expresa motivos de inconformidad en contra de dicha circunstancia.</w:t>
      </w:r>
    </w:p>
    <w:p w14:paraId="534EB766" w14:textId="77777777" w:rsidR="00757A60" w:rsidRPr="0034034E" w:rsidRDefault="00F059F1">
      <w:pPr>
        <w:tabs>
          <w:tab w:val="left" w:pos="8647"/>
        </w:tabs>
        <w:spacing w:before="240" w:after="240" w:line="360" w:lineRule="auto"/>
        <w:jc w:val="both"/>
        <w:rPr>
          <w:rFonts w:ascii="Palatino Linotype" w:eastAsia="Palatino Linotype" w:hAnsi="Palatino Linotype" w:cs="Palatino Linotype"/>
          <w:b/>
        </w:rPr>
      </w:pPr>
      <w:r w:rsidRPr="0034034E">
        <w:rPr>
          <w:rFonts w:ascii="Palatino Linotype" w:eastAsia="Palatino Linotype" w:hAnsi="Palatino Linotype" w:cs="Palatino Linotype"/>
          <w:b/>
        </w:rPr>
        <w:t xml:space="preserve">Tercero. Materia de la revisión. </w:t>
      </w:r>
      <w:r w:rsidRPr="0034034E">
        <w:rPr>
          <w:rFonts w:ascii="Palatino Linotype" w:eastAsia="Palatino Linotype" w:hAnsi="Palatino Linotype" w:cs="Palatino Linotype"/>
        </w:rPr>
        <w:t xml:space="preserve">Este Organismo Garante procede del análisis de los agravios hechos valer por la parte </w:t>
      </w:r>
      <w:r w:rsidRPr="0034034E">
        <w:rPr>
          <w:rFonts w:ascii="Palatino Linotype" w:eastAsia="Palatino Linotype" w:hAnsi="Palatino Linotype" w:cs="Palatino Linotype"/>
          <w:b/>
        </w:rPr>
        <w:t>Recurrente</w:t>
      </w:r>
      <w:r w:rsidRPr="0034034E">
        <w:rPr>
          <w:rFonts w:ascii="Palatino Linotype" w:eastAsia="Palatino Linotype" w:hAnsi="Palatino Linotype" w:cs="Palatino Linotype"/>
        </w:rPr>
        <w:t xml:space="preserve">, a fin de determinar si se violenta en perjuicio de éste, el derecho de acceso a la información previsto en la Constitución </w:t>
      </w:r>
      <w:r w:rsidRPr="0034034E">
        <w:rPr>
          <w:rFonts w:ascii="Palatino Linotype" w:eastAsia="Palatino Linotype" w:hAnsi="Palatino Linotype" w:cs="Palatino Linotype"/>
        </w:rPr>
        <w:lastRenderedPageBreak/>
        <w:t xml:space="preserve">Política de los Estados Unidos Mexicanos y en la Constitución Política del Estado Libre y Soberano de México. </w:t>
      </w:r>
    </w:p>
    <w:p w14:paraId="6965895C" w14:textId="77777777" w:rsidR="007B3145" w:rsidRPr="0034034E" w:rsidRDefault="00F059F1" w:rsidP="007B3145">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b/>
        </w:rPr>
        <w:t xml:space="preserve">Cuarto. Estudio del asunto. </w:t>
      </w:r>
      <w:r w:rsidR="007B3145" w:rsidRPr="0034034E">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007B3145" w:rsidRPr="0034034E">
        <w:rPr>
          <w:rFonts w:ascii="Palatino Linotype" w:eastAsia="Palatino Linotype" w:hAnsi="Palatino Linotype" w:cs="Palatino Linotype"/>
          <w:b/>
        </w:rPr>
        <w:t xml:space="preserve">Sujeto Obligado </w:t>
      </w:r>
      <w:r w:rsidR="007B3145" w:rsidRPr="0034034E">
        <w:rPr>
          <w:rFonts w:ascii="Palatino Linotype" w:eastAsia="Palatino Linotype" w:hAnsi="Palatino Linotype" w:cs="Palatino Linotype"/>
        </w:rPr>
        <w:t xml:space="preserve">no dio respuesta a la solicitud de información planteada por la parte </w:t>
      </w:r>
      <w:r w:rsidR="007B3145" w:rsidRPr="0034034E">
        <w:rPr>
          <w:rFonts w:ascii="Palatino Linotype" w:eastAsia="Palatino Linotype" w:hAnsi="Palatino Linotype" w:cs="Palatino Linotype"/>
          <w:b/>
        </w:rPr>
        <w:t>Recurrente</w:t>
      </w:r>
      <w:r w:rsidR="007B3145" w:rsidRPr="0034034E">
        <w:rPr>
          <w:rFonts w:ascii="Palatino Linotype" w:eastAsia="Palatino Linotype" w:hAnsi="Palatino Linotype" w:cs="Palatino Linotype"/>
        </w:rPr>
        <w:t xml:space="preserve">, lo que se traduce como la configuración de la </w:t>
      </w:r>
      <w:r w:rsidR="007B3145" w:rsidRPr="0034034E">
        <w:rPr>
          <w:rFonts w:ascii="Palatino Linotype" w:eastAsia="Palatino Linotype" w:hAnsi="Palatino Linotype" w:cs="Palatino Linotype"/>
          <w:b/>
        </w:rPr>
        <w:t>Negativa Ficta</w:t>
      </w:r>
      <w:r w:rsidR="007B3145" w:rsidRPr="0034034E">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007B3145" w:rsidRPr="0034034E">
        <w:rPr>
          <w:rFonts w:ascii="Palatino Linotype" w:eastAsia="Palatino Linotype" w:hAnsi="Palatino Linotype" w:cs="Palatino Linotype"/>
          <w:b/>
        </w:rPr>
        <w:t>Sujeto Obligado</w:t>
      </w:r>
      <w:r w:rsidR="007B3145" w:rsidRPr="0034034E">
        <w:rPr>
          <w:rFonts w:ascii="Palatino Linotype" w:eastAsia="Palatino Linotype" w:hAnsi="Palatino Linotype" w:cs="Palatino Linotype"/>
        </w:rPr>
        <w:t xml:space="preserve"> no emitió respuesta a la solicitud de información, dentro del plazo legal previsto para ello.</w:t>
      </w:r>
    </w:p>
    <w:p w14:paraId="775382EF" w14:textId="77777777" w:rsidR="007B3145" w:rsidRPr="0034034E" w:rsidRDefault="007B3145" w:rsidP="007B3145">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34034E">
        <w:rPr>
          <w:rFonts w:ascii="Palatino Linotype" w:eastAsia="Palatino Linotype" w:hAnsi="Palatino Linotype" w:cs="Palatino Linotype"/>
          <w:b/>
        </w:rPr>
        <w:t>Recurrente</w:t>
      </w:r>
      <w:r w:rsidRPr="0034034E">
        <w:rPr>
          <w:rFonts w:ascii="Palatino Linotype" w:eastAsia="Palatino Linotype" w:hAnsi="Palatino Linotype" w:cs="Palatino Linotype"/>
        </w:rPr>
        <w:t>,</w:t>
      </w:r>
      <w:r w:rsidRPr="0034034E">
        <w:rPr>
          <w:rFonts w:ascii="Palatino Linotype" w:eastAsia="Palatino Linotype" w:hAnsi="Palatino Linotype" w:cs="Palatino Linotype"/>
          <w:b/>
        </w:rPr>
        <w:t xml:space="preserve"> </w:t>
      </w:r>
      <w:r w:rsidRPr="0034034E">
        <w:rPr>
          <w:rFonts w:ascii="Palatino Linotype" w:eastAsia="Palatino Linotype" w:hAnsi="Palatino Linotype" w:cs="Palatino Linotype"/>
        </w:rPr>
        <w:t xml:space="preserve">se advierte que requirió al </w:t>
      </w:r>
      <w:r w:rsidRPr="0034034E">
        <w:rPr>
          <w:rFonts w:ascii="Palatino Linotype" w:eastAsia="Palatino Linotype" w:hAnsi="Palatino Linotype" w:cs="Palatino Linotype"/>
          <w:b/>
        </w:rPr>
        <w:t>Sujeto Obligado</w:t>
      </w:r>
      <w:r w:rsidRPr="0034034E">
        <w:rPr>
          <w:rFonts w:ascii="Palatino Linotype" w:eastAsia="Palatino Linotype" w:hAnsi="Palatino Linotype" w:cs="Palatino Linotype"/>
        </w:rPr>
        <w:t xml:space="preserve"> le proporcionara, información consistente en lo siguiente:</w:t>
      </w:r>
    </w:p>
    <w:p w14:paraId="1D1C2C9A" w14:textId="21DEBE4C" w:rsidR="005D01DB" w:rsidRPr="0034034E" w:rsidRDefault="005D01DB" w:rsidP="005D01DB">
      <w:pPr>
        <w:pStyle w:val="Prrafodelista"/>
        <w:numPr>
          <w:ilvl w:val="0"/>
          <w:numId w:val="12"/>
        </w:numPr>
        <w:spacing w:before="240" w:after="240" w:line="360" w:lineRule="auto"/>
        <w:ind w:left="567" w:right="900" w:hanging="141"/>
        <w:jc w:val="both"/>
        <w:rPr>
          <w:rFonts w:ascii="Palatino Linotype" w:eastAsia="Palatino Linotype" w:hAnsi="Palatino Linotype" w:cs="Palatino Linotype"/>
          <w:b/>
          <w:sz w:val="22"/>
        </w:rPr>
      </w:pPr>
      <w:r w:rsidRPr="0034034E">
        <w:rPr>
          <w:rFonts w:ascii="Palatino Linotype" w:eastAsia="Palatino Linotype" w:hAnsi="Palatino Linotype" w:cs="Palatino Linotype"/>
          <w:b/>
          <w:sz w:val="22"/>
        </w:rPr>
        <w:t>El comprobante del último grado de estudios de los servidores públicos adscritos a la dirección de servicios públicos así como todos sus recibos de nómina del año 2022.</w:t>
      </w:r>
    </w:p>
    <w:p w14:paraId="0DCE3687" w14:textId="77777777" w:rsidR="007B3145" w:rsidRPr="0034034E" w:rsidRDefault="007B3145" w:rsidP="007B3145">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w:t>
      </w:r>
      <w:r w:rsidRPr="0034034E">
        <w:rPr>
          <w:rFonts w:ascii="Palatino Linotype" w:eastAsia="Palatino Linotype" w:hAnsi="Palatino Linotype" w:cs="Palatino Linotype"/>
        </w:rPr>
        <w:lastRenderedPageBreak/>
        <w:t>consagrado en nuestra Constitución Federal, Local y demás leyes aplicables en la materia, así como en los tratados internacionales en los que el Estado Mexicano sea parte, en concordancia con el artículo 8 de la Ley de Transparencia local.</w:t>
      </w:r>
    </w:p>
    <w:p w14:paraId="3B0E839A" w14:textId="77777777" w:rsidR="007B3145" w:rsidRPr="0034034E" w:rsidRDefault="007B3145" w:rsidP="007B3145">
      <w:pPr>
        <w:tabs>
          <w:tab w:val="left" w:pos="709"/>
        </w:tabs>
        <w:spacing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En primer lugar, es necesario mencionar que en ejercicio de la facultad conferida en el artículo 159 primer párrafo de la Ley de Transparencia y Acceso a la Información Pública del Estado de México, el </w:t>
      </w:r>
      <w:r w:rsidRPr="0034034E">
        <w:rPr>
          <w:rFonts w:ascii="Palatino Linotype" w:eastAsia="Palatino Linotype" w:hAnsi="Palatino Linotype" w:cs="Palatino Linotype"/>
          <w:b/>
        </w:rPr>
        <w:t>Sujeto Obligado</w:t>
      </w:r>
      <w:r w:rsidRPr="0034034E">
        <w:rPr>
          <w:rFonts w:ascii="Palatino Linotype" w:eastAsia="Palatino Linotype" w:hAnsi="Palatino Linotype" w:cs="Palatino Linotype"/>
        </w:rPr>
        <w:t xml:space="preserve"> a través de la Titular de la Unidad de Transparencia, requirió a la persona solicitante al quinto día hábil posterior a la presentación de la solicitud, a efecto de que, dentro de los diez días hábiles siguientes, ampliara los datos de su solicitud a efecto de asegurar la continuidad del proceso de acceso a la información, debiendo especificar correctamente los elementos requeridos.</w:t>
      </w:r>
    </w:p>
    <w:p w14:paraId="36DB8B61" w14:textId="77777777" w:rsidR="007B3145" w:rsidRPr="0034034E" w:rsidRDefault="007B3145" w:rsidP="007B3145">
      <w:pPr>
        <w:spacing w:before="240" w:after="240" w:line="372"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En este sentido, es evidente que el derecho humano de acceso a la información pública accionado por la persona solicitante se vulneró, pues, a través de una interpretación equívoca de un precepto legal, el </w:t>
      </w:r>
      <w:r w:rsidRPr="0034034E">
        <w:rPr>
          <w:rFonts w:ascii="Palatino Linotype" w:eastAsia="Palatino Linotype" w:hAnsi="Palatino Linotype" w:cs="Palatino Linotype"/>
          <w:b/>
        </w:rPr>
        <w:t>Sujeto Obligado</w:t>
      </w:r>
      <w:r w:rsidRPr="0034034E">
        <w:rPr>
          <w:rFonts w:ascii="Palatino Linotype" w:eastAsia="Palatino Linotype" w:hAnsi="Palatino Linotype" w:cs="Palatino Linotype"/>
        </w:rPr>
        <w:t xml:space="preserve"> justificó la negativa de la información que le fue solicitada.</w:t>
      </w:r>
    </w:p>
    <w:p w14:paraId="1F7ED950" w14:textId="77777777" w:rsidR="007B3145" w:rsidRPr="0034034E" w:rsidRDefault="007B3145" w:rsidP="007B3145">
      <w:pPr>
        <w:spacing w:before="240" w:after="240" w:line="372"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A efecto de sustentar dicho argumento,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60639A11" w14:textId="77777777" w:rsidR="007B3145" w:rsidRPr="0034034E" w:rsidRDefault="007B3145" w:rsidP="007B3145">
      <w:pPr>
        <w:spacing w:before="240" w:after="240" w:line="372"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Asimismo, para aplicar dicha facultad, debe actualizarse el supuesto jurídico que consiste en que los términos de la solicitud sean vagos, que los datos proporcionados </w:t>
      </w:r>
      <w:r w:rsidRPr="0034034E">
        <w:rPr>
          <w:rFonts w:ascii="Palatino Linotype" w:eastAsia="Palatino Linotype" w:hAnsi="Palatino Linotype" w:cs="Palatino Linotype"/>
        </w:rPr>
        <w:lastRenderedPageBreak/>
        <w:t>sean insuficientes o incompletos, impidiendo a los Sujetos Obligados tener certeza de que información deben ubicar y entregar.</w:t>
      </w:r>
    </w:p>
    <w:p w14:paraId="681A6D5E" w14:textId="77777777" w:rsidR="007B3145" w:rsidRPr="0034034E" w:rsidRDefault="007B3145" w:rsidP="007B3145">
      <w:pPr>
        <w:spacing w:before="240" w:after="240" w:line="372"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Así, es que a consideración de este Organismo Garante el </w:t>
      </w:r>
      <w:r w:rsidRPr="0034034E">
        <w:rPr>
          <w:rFonts w:ascii="Palatino Linotype" w:eastAsia="Palatino Linotype" w:hAnsi="Palatino Linotype" w:cs="Palatino Linotype"/>
          <w:b/>
        </w:rPr>
        <w:t>Sujeto Obligado hizo un uso excesivo del requerimiento de aclaración</w:t>
      </w:r>
      <w:r w:rsidRPr="0034034E">
        <w:rPr>
          <w:rFonts w:ascii="Palatino Linotype" w:eastAsia="Palatino Linotype" w:hAnsi="Palatino Linotype" w:cs="Palatino Linotype"/>
        </w:rPr>
        <w:t>, pues si bien el requerimiento se encuentra dentro del plazo legal establecido, no pasa inadvertido que los términos de la solicitud son claros y permiten identificar plenamente la información que es del interés de la persona solicitante, por lo que la aclaración pretendida no era necesaria.</w:t>
      </w:r>
    </w:p>
    <w:p w14:paraId="389FF833" w14:textId="3BB904B1" w:rsidR="00A23245" w:rsidRPr="0034034E" w:rsidRDefault="007B3145" w:rsidP="00A23245">
      <w:pPr>
        <w:spacing w:before="100" w:beforeAutospacing="1" w:after="100" w:afterAutospacing="1" w:line="360" w:lineRule="auto"/>
        <w:jc w:val="both"/>
        <w:rPr>
          <w:rFonts w:ascii="Palatino Linotype" w:hAnsi="Palatino Linotype" w:cs="Arial"/>
        </w:rPr>
      </w:pPr>
      <w:r w:rsidRPr="0034034E">
        <w:rPr>
          <w:rFonts w:ascii="Palatino Linotype" w:hAnsi="Palatino Linotype" w:cs="Segoe UI"/>
        </w:rPr>
        <w:t xml:space="preserve">Po otro lado, </w:t>
      </w:r>
      <w:r w:rsidR="00A23245" w:rsidRPr="0034034E">
        <w:rPr>
          <w:rFonts w:ascii="Palatino Linotype" w:hAnsi="Palatino Linotype" w:cs="Segoe UI"/>
        </w:rPr>
        <w:t>u</w:t>
      </w:r>
      <w:r w:rsidR="00A23245" w:rsidRPr="0034034E">
        <w:rPr>
          <w:rFonts w:ascii="Palatino Linotype" w:hAnsi="Palatino Linotype"/>
        </w:rPr>
        <w:t xml:space="preserve">na vez admitido el </w:t>
      </w:r>
      <w:r w:rsidR="00A23245" w:rsidRPr="0034034E">
        <w:rPr>
          <w:rFonts w:ascii="Palatino Linotype" w:hAnsi="Palatino Linotype" w:cs="Segoe UI"/>
        </w:rPr>
        <w:t>recurso de revisión,</w:t>
      </w:r>
      <w:r w:rsidR="00A23245" w:rsidRPr="0034034E">
        <w:rPr>
          <w:rFonts w:ascii="Palatino Linotype" w:hAnsi="Palatino Linotype"/>
        </w:rPr>
        <w:t xml:space="preserve"> en términos del artículo 185 fracción II</w:t>
      </w:r>
      <w:r w:rsidR="00A23245" w:rsidRPr="0034034E">
        <w:rPr>
          <w:rStyle w:val="Refdenotaalpie"/>
          <w:rFonts w:ascii="Palatino Linotype" w:hAnsi="Palatino Linotype"/>
        </w:rPr>
        <w:footnoteReference w:id="1"/>
      </w:r>
      <w:r w:rsidR="00A23245" w:rsidRPr="0034034E">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00A23245" w:rsidRPr="0034034E">
        <w:rPr>
          <w:rFonts w:ascii="Palatino Linotype" w:hAnsi="Palatino Linotype" w:cs="Arial"/>
        </w:rPr>
        <w:t>plazo máximo de siete días hábiles, manifestaran lo que a su derecho resultara conveniente.</w:t>
      </w:r>
    </w:p>
    <w:p w14:paraId="66785202" w14:textId="331A5A7F" w:rsidR="007B3145" w:rsidRPr="0034034E" w:rsidRDefault="00D954DB" w:rsidP="007B3145">
      <w:pPr>
        <w:spacing w:before="240" w:after="240" w:line="360" w:lineRule="auto"/>
        <w:ind w:right="49"/>
        <w:jc w:val="both"/>
        <w:rPr>
          <w:rFonts w:ascii="Palatino Linotype" w:hAnsi="Palatino Linotype" w:cs="Arial"/>
        </w:rPr>
      </w:pPr>
      <w:r w:rsidRPr="0034034E">
        <w:rPr>
          <w:rFonts w:ascii="Palatino Linotype" w:hAnsi="Palatino Linotype" w:cs="Arial"/>
        </w:rPr>
        <w:t xml:space="preserve">En tal sentido, el </w:t>
      </w:r>
      <w:r w:rsidRPr="0034034E">
        <w:rPr>
          <w:rFonts w:ascii="Palatino Linotype" w:hAnsi="Palatino Linotype" w:cs="Arial"/>
          <w:b/>
        </w:rPr>
        <w:t xml:space="preserve">Sujeto Obligado, </w:t>
      </w:r>
      <w:r w:rsidRPr="0034034E">
        <w:rPr>
          <w:rFonts w:ascii="Palatino Linotype" w:hAnsi="Palatino Linotype" w:cs="Arial"/>
        </w:rPr>
        <w:t xml:space="preserve">a través de la Unidad de Transparencia </w:t>
      </w:r>
      <w:r w:rsidR="007B3145" w:rsidRPr="0034034E">
        <w:rPr>
          <w:rFonts w:ascii="Palatino Linotype" w:hAnsi="Palatino Linotype" w:cs="Arial"/>
        </w:rPr>
        <w:t xml:space="preserve">informó que lo solicitado podía ser consultado dentro del sistema de Información Pública de Oficio Mexiquense, IPOMEX, proporcionando la dirección electrónica para tal efecto: </w:t>
      </w:r>
      <w:hyperlink r:id="rId10" w:history="1">
        <w:r w:rsidR="003E263C" w:rsidRPr="0034034E">
          <w:rPr>
            <w:rStyle w:val="Hipervnculo"/>
            <w:rFonts w:ascii="Palatino Linotype" w:hAnsi="Palatino Linotype"/>
            <w:i/>
            <w:sz w:val="22"/>
          </w:rPr>
          <w:t>https://www.ipomex.org.mx/ipo3/lgt/indice/ZINACANTEPEC/art_92_xii/4.web</w:t>
        </w:r>
      </w:hyperlink>
      <w:r w:rsidR="003E263C" w:rsidRPr="0034034E">
        <w:rPr>
          <w:rStyle w:val="Hipervnculo"/>
          <w:rFonts w:ascii="Palatino Linotype" w:hAnsi="Palatino Linotype"/>
          <w:i/>
          <w:color w:val="auto"/>
          <w:sz w:val="22"/>
        </w:rPr>
        <w:t xml:space="preserve"> </w:t>
      </w:r>
      <w:r w:rsidR="007B3145" w:rsidRPr="0034034E">
        <w:rPr>
          <w:rFonts w:ascii="Palatino Linotype" w:hAnsi="Palatino Linotype"/>
        </w:rPr>
        <w:t xml:space="preserve">. Información que como se detalló en líneas anteriores, se notificó a la parte recurrente </w:t>
      </w:r>
      <w:r w:rsidR="007B3145" w:rsidRPr="0034034E">
        <w:rPr>
          <w:rFonts w:ascii="Palatino Linotype" w:hAnsi="Palatino Linotype"/>
        </w:rPr>
        <w:lastRenderedPageBreak/>
        <w:t>con la finalidad de que manifestara lo que a su derecho estimara conveniente, siendo omisa en ejercer dicha prerrogativa.</w:t>
      </w:r>
    </w:p>
    <w:p w14:paraId="785B7AE4" w14:textId="77777777" w:rsidR="007B3145" w:rsidRPr="0034034E" w:rsidRDefault="007B3145" w:rsidP="007B3145">
      <w:pPr>
        <w:pBdr>
          <w:top w:val="nil"/>
          <w:left w:val="nil"/>
          <w:bottom w:val="nil"/>
          <w:right w:val="nil"/>
          <w:between w:val="nil"/>
        </w:pBdr>
        <w:spacing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Acotado lo anterior, en primer lugar,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688681F9" w14:textId="77777777" w:rsidR="007B3145" w:rsidRPr="0034034E" w:rsidRDefault="007B3145" w:rsidP="007B3145">
      <w:pPr>
        <w:spacing w:before="120" w:after="120"/>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rPr>
        <w:t xml:space="preserve"> </w:t>
      </w:r>
      <w:r w:rsidRPr="0034034E">
        <w:rPr>
          <w:rFonts w:ascii="Palatino Linotype" w:eastAsia="Palatino Linotype" w:hAnsi="Palatino Linotype" w:cs="Palatino Linotype"/>
          <w:i/>
          <w:sz w:val="22"/>
          <w:szCs w:val="22"/>
        </w:rPr>
        <w:t>“</w:t>
      </w:r>
      <w:r w:rsidRPr="0034034E">
        <w:rPr>
          <w:rFonts w:ascii="Palatino Linotype" w:eastAsia="Palatino Linotype" w:hAnsi="Palatino Linotype" w:cs="Palatino Linotype"/>
          <w:b/>
          <w:i/>
          <w:sz w:val="22"/>
          <w:szCs w:val="22"/>
        </w:rPr>
        <w:t>Artículo 4.</w:t>
      </w:r>
      <w:r w:rsidRPr="0034034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B35251F" w14:textId="77777777" w:rsidR="007B3145" w:rsidRPr="0034034E" w:rsidRDefault="007B3145" w:rsidP="007B3145">
      <w:pPr>
        <w:spacing w:before="120" w:after="120"/>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4034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DDCCD0" w14:textId="77777777" w:rsidR="007B3145" w:rsidRPr="0034034E" w:rsidRDefault="007B3145" w:rsidP="007B3145">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8070408" w14:textId="77777777" w:rsidR="007B3145" w:rsidRPr="0034034E" w:rsidRDefault="007B3145" w:rsidP="007B3145">
      <w:pPr>
        <w:spacing w:before="120" w:after="120"/>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lastRenderedPageBreak/>
        <w:t>“Artículo 12</w:t>
      </w:r>
      <w:r w:rsidRPr="0034034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03270C9" w14:textId="77777777" w:rsidR="007B3145" w:rsidRPr="0034034E" w:rsidRDefault="007B3145" w:rsidP="007B3145">
      <w:pPr>
        <w:spacing w:before="120" w:after="120"/>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A1DAC9C" w14:textId="77777777" w:rsidR="007B3145" w:rsidRPr="0034034E" w:rsidRDefault="007B3145" w:rsidP="007B3145">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34034E">
        <w:rPr>
          <w:rFonts w:ascii="Palatino Linotype" w:eastAsia="Palatino Linotype" w:hAnsi="Palatino Linotype" w:cs="Palatino Linotype"/>
          <w:b/>
        </w:rPr>
        <w:t xml:space="preserve"> </w:t>
      </w:r>
      <w:r w:rsidRPr="0034034E">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34034E">
        <w:rPr>
          <w:rFonts w:ascii="Palatino Linotype" w:eastAsia="Palatino Linotype" w:hAnsi="Palatino Linotype" w:cs="Palatino Linotype"/>
          <w:i/>
        </w:rPr>
        <w:t>ad hoc</w:t>
      </w:r>
      <w:r w:rsidRPr="0034034E">
        <w:rPr>
          <w:rFonts w:ascii="Palatino Linotype" w:eastAsia="Palatino Linotype" w:hAnsi="Palatino Linotype" w:cs="Palatino Linotype"/>
        </w:rPr>
        <w:t>, para satisfacer el derecho de acceso a la información pública.</w:t>
      </w:r>
    </w:p>
    <w:p w14:paraId="7F738B20" w14:textId="77777777" w:rsidR="007B3145" w:rsidRPr="0034034E" w:rsidRDefault="007B3145" w:rsidP="007B3145">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Aunado a ello el artículo 24 de la Ley de la materia</w:t>
      </w:r>
      <w:r w:rsidRPr="0034034E">
        <w:rPr>
          <w:rFonts w:ascii="Palatino Linotype" w:eastAsia="Palatino Linotype" w:hAnsi="Palatino Linotype" w:cs="Palatino Linotype"/>
          <w:vertAlign w:val="superscript"/>
        </w:rPr>
        <w:footnoteReference w:id="2"/>
      </w:r>
      <w:r w:rsidRPr="0034034E">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EAD3C25" w14:textId="77777777" w:rsidR="007B3145" w:rsidRPr="0034034E" w:rsidRDefault="007B3145" w:rsidP="007B3145">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34034E">
        <w:rPr>
          <w:rFonts w:ascii="Palatino Linotype" w:eastAsia="Palatino Linotype" w:hAnsi="Palatino Linotype" w:cs="Palatino Linotype"/>
        </w:rPr>
        <w:lastRenderedPageBreak/>
        <w:t xml:space="preserve">memorandos, estadísticas o bien, </w:t>
      </w:r>
      <w:r w:rsidRPr="0034034E">
        <w:rPr>
          <w:rFonts w:ascii="Palatino Linotype" w:eastAsia="Palatino Linotype" w:hAnsi="Palatino Linotype" w:cs="Palatino Linotype"/>
          <w:b/>
        </w:rPr>
        <w:t>cualquier otro registro que documente el ejercicio de las facultades, funciones y competencias de los Sujetos Obligados</w:t>
      </w:r>
      <w:r w:rsidRPr="0034034E">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26E9121D" w14:textId="77777777" w:rsidR="007B3145" w:rsidRPr="0034034E" w:rsidRDefault="007B3145" w:rsidP="007B3145">
      <w:pPr>
        <w:spacing w:before="120" w:after="120"/>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w:t>
      </w:r>
      <w:r w:rsidRPr="0034034E">
        <w:rPr>
          <w:rFonts w:ascii="Palatino Linotype" w:eastAsia="Palatino Linotype" w:hAnsi="Palatino Linotype" w:cs="Palatino Linotype"/>
          <w:b/>
          <w:i/>
          <w:sz w:val="22"/>
          <w:szCs w:val="22"/>
        </w:rPr>
        <w:t xml:space="preserve">Artículo 3. </w:t>
      </w:r>
      <w:r w:rsidRPr="0034034E">
        <w:rPr>
          <w:rFonts w:ascii="Palatino Linotype" w:eastAsia="Palatino Linotype" w:hAnsi="Palatino Linotype" w:cs="Palatino Linotype"/>
          <w:i/>
          <w:sz w:val="22"/>
          <w:szCs w:val="22"/>
        </w:rPr>
        <w:t>Para los efectos de la presente Ley se entenderá por:</w:t>
      </w:r>
    </w:p>
    <w:p w14:paraId="56689EA0" w14:textId="77777777" w:rsidR="007B3145" w:rsidRPr="0034034E" w:rsidRDefault="007B3145" w:rsidP="007B3145">
      <w:pPr>
        <w:spacing w:before="120" w:after="120"/>
        <w:ind w:left="1134"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w:t>
      </w:r>
    </w:p>
    <w:p w14:paraId="069A53E5" w14:textId="77777777" w:rsidR="007B3145" w:rsidRPr="0034034E" w:rsidRDefault="007B3145" w:rsidP="007B3145">
      <w:pPr>
        <w:spacing w:before="120" w:after="120"/>
        <w:ind w:left="1134"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t>XI. Documento:</w:t>
      </w:r>
      <w:r w:rsidRPr="0034034E">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34034E">
        <w:rPr>
          <w:rFonts w:ascii="Palatino Linotype" w:eastAsia="Palatino Linotype" w:hAnsi="Palatino Linotype" w:cs="Palatino Linotype"/>
          <w:b/>
          <w:i/>
          <w:sz w:val="22"/>
          <w:szCs w:val="22"/>
        </w:rPr>
        <w:t>…</w:t>
      </w:r>
      <w:r w:rsidRPr="0034034E">
        <w:rPr>
          <w:rFonts w:ascii="Palatino Linotype" w:eastAsia="Palatino Linotype" w:hAnsi="Palatino Linotype" w:cs="Palatino Linotype"/>
          <w:i/>
          <w:sz w:val="22"/>
          <w:szCs w:val="22"/>
        </w:rPr>
        <w:t>”</w:t>
      </w:r>
    </w:p>
    <w:p w14:paraId="69911DA7" w14:textId="77777777" w:rsidR="007B3145" w:rsidRPr="0034034E" w:rsidRDefault="007B3145" w:rsidP="007B3145">
      <w:pPr>
        <w:ind w:left="1134" w:right="899"/>
        <w:jc w:val="both"/>
        <w:rPr>
          <w:rFonts w:ascii="Palatino Linotype" w:eastAsia="Palatino Linotype" w:hAnsi="Palatino Linotype" w:cs="Palatino Linotype"/>
          <w:i/>
        </w:rPr>
      </w:pPr>
    </w:p>
    <w:p w14:paraId="7F2B88F9" w14:textId="77777777" w:rsidR="007B3145" w:rsidRPr="0034034E" w:rsidRDefault="007B3145" w:rsidP="007B3145">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432BB95" w14:textId="77777777" w:rsidR="007B3145" w:rsidRPr="0034034E" w:rsidRDefault="007B3145" w:rsidP="007B3145">
      <w:pPr>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sz w:val="22"/>
          <w:szCs w:val="22"/>
        </w:rPr>
        <w:t>“</w:t>
      </w:r>
      <w:r w:rsidRPr="0034034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4034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53182C" w14:textId="77777777" w:rsidR="007B3145" w:rsidRPr="0034034E" w:rsidRDefault="007B3145" w:rsidP="007B3145">
      <w:pPr>
        <w:spacing w:before="120" w:after="120"/>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33D3300B" w14:textId="77777777" w:rsidR="007B3145" w:rsidRPr="0034034E" w:rsidRDefault="007B3145" w:rsidP="007B3145">
      <w:pPr>
        <w:spacing w:before="120" w:after="120"/>
        <w:ind w:left="1134" w:right="902"/>
        <w:jc w:val="both"/>
        <w:rPr>
          <w:rFonts w:ascii="Palatino Linotype" w:eastAsia="Palatino Linotype" w:hAnsi="Palatino Linotype" w:cs="Palatino Linotype"/>
          <w:b/>
          <w:i/>
          <w:sz w:val="22"/>
          <w:szCs w:val="22"/>
        </w:rPr>
      </w:pPr>
      <w:r w:rsidRPr="0034034E">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14:paraId="47E6EA97" w14:textId="77777777" w:rsidR="007B3145" w:rsidRPr="0034034E" w:rsidRDefault="007B3145" w:rsidP="007B3145">
      <w:pPr>
        <w:spacing w:before="120" w:after="120"/>
        <w:ind w:left="1134"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0C27F79" w14:textId="77777777" w:rsidR="007B3145" w:rsidRPr="0034034E" w:rsidRDefault="007B3145" w:rsidP="007B3145">
      <w:pPr>
        <w:spacing w:before="120"/>
        <w:ind w:left="1134"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66AFFC76" w14:textId="0E67EC09" w:rsidR="009A3B98" w:rsidRPr="0034034E" w:rsidRDefault="007B3145" w:rsidP="009A3B98">
      <w:pPr>
        <w:spacing w:before="240" w:after="240" w:line="360" w:lineRule="auto"/>
        <w:ind w:right="51"/>
        <w:jc w:val="both"/>
        <w:rPr>
          <w:rFonts w:ascii="Palatino Linotype" w:hAnsi="Palatino Linotype" w:cs="Arial"/>
        </w:rPr>
      </w:pPr>
      <w:r w:rsidRPr="0034034E">
        <w:rPr>
          <w:rFonts w:ascii="Palatino Linotype" w:eastAsia="Palatino Linotype" w:hAnsi="Palatino Linotype" w:cs="Palatino Linotype"/>
        </w:rPr>
        <w:t xml:space="preserve">Ahora bien, </w:t>
      </w:r>
      <w:r w:rsidR="008969CF" w:rsidRPr="0034034E">
        <w:rPr>
          <w:rFonts w:ascii="Palatino Linotype" w:eastAsia="Palatino Linotype" w:hAnsi="Palatino Linotype" w:cs="Palatino Linotype"/>
        </w:rPr>
        <w:t xml:space="preserve">tomando en consideración el pronunciamiento vertido por la Unidad de Transparencia en la etapa de manifestaciones, </w:t>
      </w:r>
      <w:r w:rsidR="009A3B98" w:rsidRPr="0034034E">
        <w:rPr>
          <w:rFonts w:ascii="Palatino Linotype" w:hAnsi="Palatino Linotype" w:cs="Arial"/>
        </w:rPr>
        <w:t xml:space="preserve">debemos traer a colación </w:t>
      </w:r>
      <w:r w:rsidR="009A3B98" w:rsidRPr="0034034E">
        <w:rPr>
          <w:rFonts w:ascii="Palatino Linotype" w:hAnsi="Palatino Linotype"/>
        </w:rPr>
        <w:t xml:space="preserve">el </w:t>
      </w:r>
      <w:r w:rsidR="009A3B98" w:rsidRPr="0034034E">
        <w:rPr>
          <w:rFonts w:ascii="Palatino Linotype" w:hAnsi="Palatino Linotype" w:cs="Arial"/>
          <w:szCs w:val="22"/>
        </w:rPr>
        <w:t>artículo 161</w:t>
      </w:r>
      <w:r w:rsidR="009A3B98" w:rsidRPr="0034034E">
        <w:rPr>
          <w:rStyle w:val="Refdenotaalpie"/>
          <w:rFonts w:ascii="Palatino Linotype" w:hAnsi="Palatino Linotype" w:cs="Arial"/>
          <w:szCs w:val="22"/>
        </w:rPr>
        <w:footnoteReference w:id="3"/>
      </w:r>
      <w:r w:rsidR="009A3B98" w:rsidRPr="0034034E">
        <w:rPr>
          <w:rFonts w:ascii="Palatino Linotype" w:hAnsi="Palatino Linotype" w:cs="Arial"/>
          <w:szCs w:val="22"/>
        </w:rPr>
        <w:t xml:space="preserve"> de la </w:t>
      </w:r>
      <w:r w:rsidR="009A3B98" w:rsidRPr="0034034E">
        <w:rPr>
          <w:rFonts w:ascii="Palatino Linotype" w:hAnsi="Palatino Linotype"/>
        </w:rPr>
        <w:t>Ley de Transparencia y Acceso a la Información Pública del Estado de México y Municipios</w:t>
      </w:r>
      <w:r w:rsidR="009A3B98" w:rsidRPr="0034034E">
        <w:rPr>
          <w:rFonts w:ascii="Palatino Linotype" w:hAnsi="Palatino Linotype"/>
          <w:i/>
        </w:rPr>
        <w:t xml:space="preserve">, </w:t>
      </w:r>
      <w:r w:rsidR="009A3B98" w:rsidRPr="0034034E">
        <w:rPr>
          <w:rFonts w:ascii="Palatino Linotype" w:hAnsi="Palatino Linotype" w:cs="Arial"/>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8753A8C" w14:textId="77777777" w:rsidR="009A3B98" w:rsidRPr="0034034E" w:rsidRDefault="009A3B98" w:rsidP="009A3B98">
      <w:pPr>
        <w:spacing w:before="120" w:after="120" w:line="276" w:lineRule="auto"/>
        <w:ind w:left="284" w:right="51"/>
        <w:jc w:val="both"/>
        <w:rPr>
          <w:rFonts w:ascii="Palatino Linotype" w:hAnsi="Palatino Linotype" w:cs="Arial"/>
        </w:rPr>
      </w:pPr>
      <w:r w:rsidRPr="0034034E">
        <w:rPr>
          <w:rFonts w:ascii="Palatino Linotype" w:hAnsi="Palatino Linotype" w:cs="Arial"/>
        </w:rPr>
        <w:t>a) La fuente</w:t>
      </w:r>
    </w:p>
    <w:p w14:paraId="1453D41F" w14:textId="77777777" w:rsidR="009A3B98" w:rsidRPr="0034034E" w:rsidRDefault="009A3B98" w:rsidP="009A3B98">
      <w:pPr>
        <w:spacing w:before="120" w:after="120" w:line="276" w:lineRule="auto"/>
        <w:ind w:left="284" w:right="51"/>
        <w:jc w:val="both"/>
        <w:rPr>
          <w:rFonts w:ascii="Palatino Linotype" w:hAnsi="Palatino Linotype" w:cs="Arial"/>
        </w:rPr>
      </w:pPr>
      <w:r w:rsidRPr="0034034E">
        <w:rPr>
          <w:rFonts w:ascii="Palatino Linotype" w:hAnsi="Palatino Linotype" w:cs="Arial"/>
        </w:rPr>
        <w:t>b) El lugar y</w:t>
      </w:r>
    </w:p>
    <w:p w14:paraId="6EFD52C5" w14:textId="77777777" w:rsidR="009A3B98" w:rsidRPr="0034034E" w:rsidRDefault="009A3B98" w:rsidP="009A3B98">
      <w:pPr>
        <w:spacing w:before="120" w:after="120" w:line="276" w:lineRule="auto"/>
        <w:ind w:left="284" w:right="51"/>
        <w:jc w:val="both"/>
        <w:rPr>
          <w:rFonts w:ascii="Palatino Linotype" w:hAnsi="Palatino Linotype" w:cs="Arial"/>
        </w:rPr>
      </w:pPr>
      <w:r w:rsidRPr="0034034E">
        <w:rPr>
          <w:rFonts w:ascii="Palatino Linotype" w:hAnsi="Palatino Linotype" w:cs="Arial"/>
        </w:rPr>
        <w:lastRenderedPageBreak/>
        <w:t>c) La forma</w:t>
      </w:r>
    </w:p>
    <w:p w14:paraId="075D4189" w14:textId="77777777" w:rsidR="009A3B98" w:rsidRPr="0034034E" w:rsidRDefault="009A3B98" w:rsidP="009A3B98">
      <w:pPr>
        <w:spacing w:before="240" w:after="240" w:line="360" w:lineRule="auto"/>
        <w:ind w:right="49"/>
        <w:jc w:val="both"/>
        <w:rPr>
          <w:rFonts w:ascii="Palatino Linotype" w:hAnsi="Palatino Linotype" w:cs="Arial"/>
        </w:rPr>
      </w:pPr>
      <w:r w:rsidRPr="0034034E">
        <w:rPr>
          <w:rFonts w:ascii="Palatino Linotype" w:hAnsi="Palatino Linotype" w:cs="Arial"/>
        </w:rPr>
        <w:t>Asimismo, se establece que la fuente de la información deberá ser:</w:t>
      </w:r>
    </w:p>
    <w:p w14:paraId="1FA7E2E3" w14:textId="77777777" w:rsidR="009A3B98" w:rsidRPr="0034034E" w:rsidRDefault="009A3B98" w:rsidP="009A3B98">
      <w:pPr>
        <w:spacing w:before="120" w:after="120" w:line="276" w:lineRule="auto"/>
        <w:ind w:left="284" w:right="51"/>
        <w:jc w:val="both"/>
        <w:rPr>
          <w:rFonts w:ascii="Palatino Linotype" w:hAnsi="Palatino Linotype" w:cs="Arial"/>
        </w:rPr>
      </w:pPr>
      <w:r w:rsidRPr="0034034E">
        <w:rPr>
          <w:rFonts w:ascii="Palatino Linotype" w:hAnsi="Palatino Linotype" w:cs="Arial"/>
        </w:rPr>
        <w:t>a) Precisa</w:t>
      </w:r>
    </w:p>
    <w:p w14:paraId="06B7E833" w14:textId="77777777" w:rsidR="009A3B98" w:rsidRPr="0034034E" w:rsidRDefault="009A3B98" w:rsidP="009A3B98">
      <w:pPr>
        <w:spacing w:before="120" w:after="120" w:line="276" w:lineRule="auto"/>
        <w:ind w:left="284" w:right="51"/>
        <w:jc w:val="both"/>
        <w:rPr>
          <w:rFonts w:ascii="Palatino Linotype" w:hAnsi="Palatino Linotype" w:cs="Arial"/>
        </w:rPr>
      </w:pPr>
      <w:r w:rsidRPr="0034034E">
        <w:rPr>
          <w:rFonts w:ascii="Palatino Linotype" w:hAnsi="Palatino Linotype" w:cs="Arial"/>
        </w:rPr>
        <w:t>b) Concreta</w:t>
      </w:r>
    </w:p>
    <w:p w14:paraId="585395D0" w14:textId="77777777" w:rsidR="009A3B98" w:rsidRPr="0034034E" w:rsidRDefault="009A3B98" w:rsidP="009A3B98">
      <w:pPr>
        <w:spacing w:before="120" w:after="120" w:line="276" w:lineRule="auto"/>
        <w:ind w:left="284" w:right="51"/>
        <w:jc w:val="both"/>
        <w:rPr>
          <w:rFonts w:ascii="Palatino Linotype" w:hAnsi="Palatino Linotype" w:cs="Arial"/>
        </w:rPr>
      </w:pPr>
      <w:r w:rsidRPr="0034034E">
        <w:rPr>
          <w:rFonts w:ascii="Palatino Linotype" w:hAnsi="Palatino Linotype" w:cs="Arial"/>
        </w:rPr>
        <w:t>c) Y no debe implicar que el solicitante realice una búsqueda en toda la información que se encuentre disponible.</w:t>
      </w:r>
    </w:p>
    <w:p w14:paraId="19A729A0" w14:textId="77777777" w:rsidR="009A3B98" w:rsidRPr="0034034E" w:rsidRDefault="009A3B98" w:rsidP="009A3B98">
      <w:pPr>
        <w:spacing w:before="240" w:after="240" w:line="360" w:lineRule="auto"/>
        <w:ind w:right="49"/>
        <w:jc w:val="both"/>
        <w:rPr>
          <w:rFonts w:ascii="Palatino Linotype" w:hAnsi="Palatino Linotype" w:cs="Arial"/>
        </w:rPr>
      </w:pPr>
      <w:r w:rsidRPr="0034034E">
        <w:rPr>
          <w:rFonts w:ascii="Palatino Linotype" w:hAnsi="Palatino Linotype" w:cs="Arial"/>
        </w:rPr>
        <w:t>Imperativos legales que establecen el procedimiento que deben seguir los Sujetos Obligados para que pueda tomarse como válida su orientación sobre la forma en que puede consultar la información requerida.</w:t>
      </w:r>
    </w:p>
    <w:p w14:paraId="74C57F1F" w14:textId="3BC2E3A7" w:rsidR="00C208E5" w:rsidRPr="0034034E" w:rsidRDefault="009A3B98" w:rsidP="007B3145">
      <w:pPr>
        <w:spacing w:before="240" w:after="240" w:line="360" w:lineRule="auto"/>
        <w:ind w:right="51"/>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Derivado de lo anterior, </w:t>
      </w:r>
      <w:r w:rsidR="008969CF" w:rsidRPr="0034034E">
        <w:rPr>
          <w:rFonts w:ascii="Palatino Linotype" w:eastAsia="Palatino Linotype" w:hAnsi="Palatino Linotype" w:cs="Palatino Linotype"/>
        </w:rPr>
        <w:t>este Organismo Garante procedió a realizar la consulta de la información contenida en el portal IPOMEX, con la finalidad de determinar si con la misma el derecho de acceso a la información de la persona solicitante quedaba atendido, o en su defecto, ordenar el soporte documental que diera cuenta de lo solicitado.</w:t>
      </w:r>
    </w:p>
    <w:p w14:paraId="06EAE5DB" w14:textId="51BC4244" w:rsidR="007B3145" w:rsidRPr="0034034E" w:rsidRDefault="00C208E5" w:rsidP="007B3145">
      <w:pPr>
        <w:spacing w:before="240" w:after="240" w:line="360" w:lineRule="auto"/>
        <w:ind w:right="51"/>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De dicha revisión, se advirtió lo siguiente: </w:t>
      </w:r>
      <w:r w:rsidR="008969CF" w:rsidRPr="0034034E">
        <w:rPr>
          <w:rFonts w:ascii="Palatino Linotype" w:eastAsia="Palatino Linotype" w:hAnsi="Palatino Linotype" w:cs="Palatino Linotype"/>
        </w:rPr>
        <w:t xml:space="preserve"> </w:t>
      </w:r>
    </w:p>
    <w:p w14:paraId="7C80B6EE" w14:textId="20BFBE9A" w:rsidR="007B3145" w:rsidRPr="0034034E" w:rsidRDefault="003E263C" w:rsidP="003E263C">
      <w:pPr>
        <w:spacing w:before="240" w:after="240" w:line="360" w:lineRule="auto"/>
        <w:ind w:right="51"/>
        <w:rPr>
          <w:rFonts w:ascii="Palatino Linotype" w:hAnsi="Palatino Linotype"/>
        </w:rPr>
      </w:pPr>
      <w:r w:rsidRPr="0034034E">
        <w:rPr>
          <w:rFonts w:ascii="Palatino Linotype" w:hAnsi="Palatino Linotype"/>
          <w:noProof/>
        </w:rPr>
        <w:lastRenderedPageBreak/>
        <w:drawing>
          <wp:inline distT="0" distB="0" distL="0" distR="0" wp14:anchorId="76FFE3F9" wp14:editId="28D89DA8">
            <wp:extent cx="5612130" cy="3676650"/>
            <wp:effectExtent l="19050" t="19050" r="2667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676650"/>
                    </a:xfrm>
                    <a:prstGeom prst="rect">
                      <a:avLst/>
                    </a:prstGeom>
                    <a:ln>
                      <a:solidFill>
                        <a:schemeClr val="tx1"/>
                      </a:solidFill>
                    </a:ln>
                  </pic:spPr>
                </pic:pic>
              </a:graphicData>
            </a:graphic>
          </wp:inline>
        </w:drawing>
      </w:r>
    </w:p>
    <w:p w14:paraId="528029F2" w14:textId="7F5894ED" w:rsidR="00C208E5" w:rsidRPr="0034034E" w:rsidRDefault="00C208E5">
      <w:pPr>
        <w:spacing w:before="240" w:after="240" w:line="360" w:lineRule="auto"/>
        <w:ind w:right="51"/>
        <w:jc w:val="both"/>
        <w:rPr>
          <w:rFonts w:ascii="Palatino Linotype" w:hAnsi="Palatino Linotype"/>
        </w:rPr>
      </w:pPr>
      <w:r w:rsidRPr="0034034E">
        <w:rPr>
          <w:rFonts w:ascii="Palatino Linotype" w:hAnsi="Palatino Linotype"/>
        </w:rPr>
        <w:t xml:space="preserve">Como se advierte, la información contenida en dicho portal corresponde con la obligación de transparencia prevista </w:t>
      </w:r>
      <w:r w:rsidR="003E263C" w:rsidRPr="0034034E">
        <w:rPr>
          <w:rFonts w:ascii="Palatino Linotype" w:hAnsi="Palatino Linotype"/>
        </w:rPr>
        <w:t>en el artículo 92, fracción XII</w:t>
      </w:r>
      <w:r w:rsidRPr="0034034E">
        <w:rPr>
          <w:rFonts w:ascii="Palatino Linotype" w:hAnsi="Palatino Linotype"/>
        </w:rPr>
        <w:t xml:space="preserve"> de la Ley de Transparencia y Acceso a la Información Pública del Estado de México y Municipios, consistente en lo siguiente:</w:t>
      </w:r>
    </w:p>
    <w:p w14:paraId="391906A6" w14:textId="77777777" w:rsidR="003E263C" w:rsidRPr="0034034E" w:rsidRDefault="00C208E5" w:rsidP="003E263C">
      <w:pPr>
        <w:spacing w:before="120" w:after="120"/>
        <w:ind w:left="851" w:right="902"/>
        <w:jc w:val="both"/>
        <w:rPr>
          <w:rFonts w:ascii="Palatino Linotype" w:hAnsi="Palatino Linotype"/>
          <w:i/>
          <w:sz w:val="22"/>
        </w:rPr>
      </w:pPr>
      <w:r w:rsidRPr="0034034E">
        <w:rPr>
          <w:rFonts w:ascii="Palatino Linotype" w:hAnsi="Palatino Linotype"/>
          <w:i/>
          <w:sz w:val="22"/>
        </w:rPr>
        <w:t>“</w:t>
      </w:r>
      <w:r w:rsidRPr="0034034E">
        <w:rPr>
          <w:rFonts w:ascii="Palatino Linotype" w:hAnsi="Palatino Linotype"/>
          <w:b/>
          <w:i/>
          <w:sz w:val="22"/>
        </w:rPr>
        <w:t>Artículo 92.</w:t>
      </w:r>
      <w:r w:rsidRPr="0034034E">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5370EE" w14:textId="77777777" w:rsidR="003E263C" w:rsidRPr="0034034E" w:rsidRDefault="00C208E5" w:rsidP="003E263C">
      <w:pPr>
        <w:spacing w:before="120" w:after="120"/>
        <w:ind w:left="851" w:right="902"/>
        <w:jc w:val="both"/>
        <w:rPr>
          <w:rFonts w:ascii="Palatino Linotype" w:hAnsi="Palatino Linotype"/>
          <w:i/>
          <w:sz w:val="22"/>
        </w:rPr>
      </w:pPr>
      <w:r w:rsidRPr="0034034E">
        <w:rPr>
          <w:rFonts w:ascii="Palatino Linotype" w:hAnsi="Palatino Linotype"/>
          <w:i/>
          <w:sz w:val="22"/>
        </w:rPr>
        <w:t>...</w:t>
      </w:r>
    </w:p>
    <w:p w14:paraId="2BE5E848" w14:textId="28E51917" w:rsidR="00C208E5" w:rsidRPr="0034034E" w:rsidRDefault="003E263C" w:rsidP="003E263C">
      <w:pPr>
        <w:spacing w:before="120" w:after="120"/>
        <w:ind w:left="851" w:right="902"/>
        <w:jc w:val="both"/>
        <w:rPr>
          <w:rFonts w:ascii="Palatino Linotype" w:hAnsi="Palatino Linotype"/>
          <w:i/>
          <w:sz w:val="22"/>
        </w:rPr>
      </w:pPr>
      <w:r w:rsidRPr="0034034E">
        <w:rPr>
          <w:rFonts w:ascii="Palatino Linotype" w:hAnsi="Palatino Linotype"/>
          <w:b/>
          <w:i/>
          <w:sz w:val="22"/>
        </w:rPr>
        <w:t>XII. El perfil de los puestos de los servidores públicos a su servicio en los casos que aplique</w:t>
      </w:r>
      <w:r w:rsidR="00C208E5" w:rsidRPr="0034034E">
        <w:rPr>
          <w:rFonts w:ascii="Palatino Linotype" w:hAnsi="Palatino Linotype"/>
          <w:i/>
          <w:sz w:val="22"/>
        </w:rPr>
        <w:t>;”</w:t>
      </w:r>
    </w:p>
    <w:p w14:paraId="78004EE9" w14:textId="77777777" w:rsidR="003E263C" w:rsidRPr="0034034E" w:rsidRDefault="003E263C" w:rsidP="003E263C">
      <w:pPr>
        <w:spacing w:before="120" w:after="120"/>
        <w:ind w:left="851" w:right="902"/>
        <w:jc w:val="both"/>
        <w:rPr>
          <w:rFonts w:ascii="Palatino Linotype" w:hAnsi="Palatino Linotype"/>
          <w:i/>
          <w:sz w:val="22"/>
        </w:rPr>
      </w:pPr>
    </w:p>
    <w:p w14:paraId="416EB804" w14:textId="31EDF118" w:rsidR="009A3B98" w:rsidRPr="0034034E" w:rsidRDefault="009A3B98" w:rsidP="009A3B98">
      <w:pPr>
        <w:spacing w:before="240" w:after="240" w:line="360" w:lineRule="auto"/>
        <w:ind w:right="51"/>
        <w:jc w:val="both"/>
        <w:rPr>
          <w:rFonts w:ascii="Palatino Linotype" w:eastAsia="Palatino Linotype" w:hAnsi="Palatino Linotype" w:cs="Palatino Linotype"/>
        </w:rPr>
      </w:pPr>
      <w:r w:rsidRPr="0034034E">
        <w:rPr>
          <w:rFonts w:ascii="Palatino Linotype" w:eastAsia="Palatino Linotype" w:hAnsi="Palatino Linotype" w:cs="Palatino Linotype"/>
        </w:rPr>
        <w:lastRenderedPageBreak/>
        <w:t xml:space="preserve">Como se advierte, si bien la información contenida en el portal IPOMEX se relaciona con </w:t>
      </w:r>
      <w:r w:rsidR="003E263C" w:rsidRPr="0034034E">
        <w:rPr>
          <w:rFonts w:ascii="Palatino Linotype" w:eastAsia="Palatino Linotype" w:hAnsi="Palatino Linotype" w:cs="Palatino Linotype"/>
        </w:rPr>
        <w:t xml:space="preserve">el perfil de puestos de los servidores públicos </w:t>
      </w:r>
      <w:r w:rsidRPr="0034034E">
        <w:rPr>
          <w:rFonts w:ascii="Palatino Linotype" w:eastAsia="Palatino Linotype" w:hAnsi="Palatino Linotype" w:cs="Palatino Linotype"/>
        </w:rPr>
        <w:t xml:space="preserve">del </w:t>
      </w:r>
      <w:r w:rsidRPr="0034034E">
        <w:rPr>
          <w:rFonts w:ascii="Palatino Linotype" w:eastAsia="Palatino Linotype" w:hAnsi="Palatino Linotype" w:cs="Palatino Linotype"/>
          <w:b/>
        </w:rPr>
        <w:t xml:space="preserve">Sujeto Obligado, no debe perderse de vista que la pretensión de la persona es conocer </w:t>
      </w:r>
      <w:r w:rsidR="00831A5E" w:rsidRPr="0034034E">
        <w:rPr>
          <w:rFonts w:ascii="Palatino Linotype" w:eastAsia="Palatino Linotype" w:hAnsi="Palatino Linotype" w:cs="Palatino Linotype"/>
          <w:b/>
          <w:u w:val="single"/>
        </w:rPr>
        <w:t>el comprobante del último grado de estudios de los servidores públicos adscritos a la dirección de servicios públicos así como todos sus recibos de nómina del año 2022</w:t>
      </w:r>
      <w:r w:rsidRPr="0034034E">
        <w:rPr>
          <w:rFonts w:ascii="Palatino Linotype" w:eastAsia="Palatino Linotype" w:hAnsi="Palatino Linotype" w:cs="Palatino Linotype"/>
          <w:b/>
        </w:rPr>
        <w:t xml:space="preserve">, </w:t>
      </w:r>
      <w:r w:rsidRPr="0034034E">
        <w:rPr>
          <w:rFonts w:ascii="Palatino Linotype" w:eastAsia="Palatino Linotype" w:hAnsi="Palatino Linotype" w:cs="Palatino Linotype"/>
        </w:rPr>
        <w:t>mientras que la información contenida en el portal corresponde con</w:t>
      </w:r>
      <w:r w:rsidR="00831A5E" w:rsidRPr="0034034E">
        <w:rPr>
          <w:rFonts w:ascii="Palatino Linotype" w:eastAsia="Palatino Linotype" w:hAnsi="Palatino Linotype" w:cs="Palatino Linotype"/>
        </w:rPr>
        <w:t xml:space="preserve"> los requisitos que se requieren para desempeñar determinados puestos dentro de la administración pública municipal</w:t>
      </w:r>
      <w:r w:rsidRPr="0034034E">
        <w:rPr>
          <w:rFonts w:ascii="Palatino Linotype" w:eastAsia="Palatino Linotype" w:hAnsi="Palatino Linotype" w:cs="Palatino Linotype"/>
        </w:rPr>
        <w:t xml:space="preserve">, siendo evidente que </w:t>
      </w:r>
      <w:r w:rsidR="004E2308" w:rsidRPr="0034034E">
        <w:rPr>
          <w:rFonts w:ascii="Palatino Linotype" w:eastAsia="Palatino Linotype" w:hAnsi="Palatino Linotype" w:cs="Palatino Linotype"/>
        </w:rPr>
        <w:t>la información solicitada no se localiza a tal grado de detalle en dicha obligación de transparencia.</w:t>
      </w:r>
    </w:p>
    <w:p w14:paraId="0C4D23D4" w14:textId="11AF1213" w:rsidR="004E2308" w:rsidRPr="0034034E" w:rsidRDefault="004E2308" w:rsidP="009A3B98">
      <w:pPr>
        <w:spacing w:before="240" w:after="240" w:line="360" w:lineRule="auto"/>
        <w:ind w:right="51"/>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Sin perder de vista además, que el </w:t>
      </w:r>
      <w:r w:rsidRPr="0034034E">
        <w:rPr>
          <w:rFonts w:ascii="Palatino Linotype" w:eastAsia="Palatino Linotype" w:hAnsi="Palatino Linotype" w:cs="Palatino Linotype"/>
          <w:b/>
        </w:rPr>
        <w:t xml:space="preserve">Sujeto Obligado </w:t>
      </w:r>
      <w:r w:rsidRPr="0034034E">
        <w:rPr>
          <w:rFonts w:ascii="Palatino Linotype" w:eastAsia="Palatino Linotype" w:hAnsi="Palatino Linotype" w:cs="Palatino Linotype"/>
        </w:rPr>
        <w:t>se limitó a proporcionar la dirección electrónica sin exponer de manera clara y precisa, la forma en la que la persona solicitante podría llevar a cabo la consulta, en caso de que la información se encontrara alojada en el portal IPOMEX, por lo que no se atendió a lo previsto en el artículo 161 de la Ley de la materia citado con antelación.</w:t>
      </w:r>
    </w:p>
    <w:p w14:paraId="3F25F336" w14:textId="77777777" w:rsidR="004E2308" w:rsidRPr="0034034E" w:rsidRDefault="004E2308" w:rsidP="004E2308">
      <w:pPr>
        <w:spacing w:before="240" w:after="240" w:line="360" w:lineRule="auto"/>
        <w:ind w:right="49"/>
        <w:jc w:val="both"/>
        <w:rPr>
          <w:rFonts w:ascii="Palatino Linotype" w:eastAsia="Palatino Linotype" w:hAnsi="Palatino Linotype" w:cs="Palatino Linotype"/>
        </w:rPr>
      </w:pPr>
      <w:r w:rsidRPr="0034034E">
        <w:rPr>
          <w:rFonts w:ascii="Palatino Linotype" w:eastAsia="Palatino Linotype" w:hAnsi="Palatino Linotype" w:cs="Palatino Linotype"/>
        </w:rPr>
        <w:t>Ahora bien, resulta de suma importancia invocar el contenido de los artículos 162, 163, 164 y 165 de la Ley de Transparencia y Acceso a la Información Pública del Estado de México y Municipios, que rezan así:</w:t>
      </w:r>
    </w:p>
    <w:p w14:paraId="2DF0237A" w14:textId="77777777" w:rsidR="004E2308" w:rsidRPr="0034034E" w:rsidRDefault="004E2308" w:rsidP="004E2308">
      <w:pPr>
        <w:spacing w:after="120"/>
        <w:ind w:left="851" w:right="900"/>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t>“Artículo 162.</w:t>
      </w:r>
      <w:r w:rsidRPr="0034034E">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708DD662" w14:textId="77777777" w:rsidR="004E2308" w:rsidRPr="0034034E" w:rsidRDefault="004E2308" w:rsidP="004E2308">
      <w:pPr>
        <w:spacing w:after="120"/>
        <w:ind w:left="851" w:right="900"/>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t>Artículo 163.</w:t>
      </w:r>
      <w:r w:rsidRPr="0034034E">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0C66705B" w14:textId="77777777" w:rsidR="004E2308" w:rsidRPr="0034034E" w:rsidRDefault="004E2308" w:rsidP="004E2308">
      <w:pPr>
        <w:spacing w:after="120"/>
        <w:ind w:left="851" w:right="900"/>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0F1052F" w14:textId="77777777" w:rsidR="004E2308" w:rsidRPr="0034034E" w:rsidRDefault="004E2308" w:rsidP="004E2308">
      <w:pPr>
        <w:spacing w:after="120"/>
        <w:ind w:left="851" w:right="900"/>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t>Artículo 164.</w:t>
      </w:r>
      <w:r w:rsidRPr="0034034E">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4960C9C5" w14:textId="77777777" w:rsidR="004E2308" w:rsidRPr="0034034E" w:rsidRDefault="004E2308" w:rsidP="004E2308">
      <w:pPr>
        <w:spacing w:after="120"/>
        <w:ind w:left="851" w:right="900"/>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 xml:space="preserve">En cualquier caso, se deberá fundar y motivar la necesidad de ofrecer otras modalidades.  </w:t>
      </w:r>
    </w:p>
    <w:p w14:paraId="21296169" w14:textId="77777777" w:rsidR="004E2308" w:rsidRPr="0034034E" w:rsidRDefault="004E2308" w:rsidP="004E2308">
      <w:pPr>
        <w:spacing w:after="120"/>
        <w:ind w:left="851" w:right="900"/>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t>Artículo 165.</w:t>
      </w:r>
      <w:r w:rsidRPr="0034034E">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4B8AC0A0" w14:textId="77777777" w:rsidR="004E2308" w:rsidRPr="0034034E" w:rsidRDefault="004E2308" w:rsidP="004E2308">
      <w:pPr>
        <w:spacing w:before="240" w:after="240" w:line="360" w:lineRule="auto"/>
        <w:ind w:right="49"/>
        <w:jc w:val="both"/>
        <w:rPr>
          <w:rFonts w:ascii="Palatino Linotype" w:eastAsia="Palatino Linotype" w:hAnsi="Palatino Linotype" w:cs="Palatino Linotype"/>
        </w:rPr>
      </w:pPr>
      <w:r w:rsidRPr="0034034E">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250C9EE8" w14:textId="38897450" w:rsidR="004E2308" w:rsidRPr="0034034E" w:rsidRDefault="004E2308" w:rsidP="004E2308">
      <w:pPr>
        <w:spacing w:before="240" w:after="240" w:line="360" w:lineRule="auto"/>
        <w:ind w:right="49"/>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Siendo la Unidad de Transparencia la responsable de hacer las notificaciones correspondientes, además de llevar a </w:t>
      </w:r>
      <w:proofErr w:type="gramStart"/>
      <w:r w:rsidR="003E263C" w:rsidRPr="0034034E">
        <w:rPr>
          <w:rFonts w:ascii="Palatino Linotype" w:eastAsia="Palatino Linotype" w:hAnsi="Palatino Linotype" w:cs="Palatino Linotype"/>
        </w:rPr>
        <w:t>cabo todas</w:t>
      </w:r>
      <w:proofErr w:type="gramEnd"/>
      <w:r w:rsidRPr="0034034E">
        <w:rPr>
          <w:rFonts w:ascii="Palatino Linotype" w:eastAsia="Palatino Linotype" w:hAnsi="Palatino Linotype" w:cs="Palatino Linotype"/>
        </w:rPr>
        <w:t xml:space="preserve"> las gestiones necesarias para facilitar el acceso a la información; así la respuesta deberá ser notificada al interesado en el menor tiempo posible, que no podrá exceder de quince días hábiles, contados a partir de la presentación de la solicitud.</w:t>
      </w:r>
    </w:p>
    <w:p w14:paraId="1C110289" w14:textId="3ECC470B" w:rsidR="00831A5E" w:rsidRPr="0034034E" w:rsidRDefault="004E2308" w:rsidP="00831A5E">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En el caso concreto, derivado de las constancias que obran en el expediente electrónico, no se advierte que el Titular de la Unidad de Transparencia hubiera turnado la solicitud de información a las áreas competentes para contar con la </w:t>
      </w:r>
      <w:r w:rsidRPr="0034034E">
        <w:rPr>
          <w:rFonts w:ascii="Palatino Linotype" w:eastAsia="Palatino Linotype" w:hAnsi="Palatino Linotype" w:cs="Palatino Linotype"/>
        </w:rPr>
        <w:lastRenderedPageBreak/>
        <w:t xml:space="preserve">información solicitada, como pudiera ser la Tesorería Municipal o la Dirección de Administración, siendo la primera el único Órgano de la Administración Pública Municipal autorizado para </w:t>
      </w:r>
      <w:r w:rsidR="00831A5E" w:rsidRPr="0034034E">
        <w:rPr>
          <w:rFonts w:ascii="Palatino Linotype" w:eastAsia="Palatino Linotype" w:hAnsi="Palatino Linotype" w:cs="Palatino Linotype"/>
        </w:rPr>
        <w:t xml:space="preserve">efectuar las erogaciones que realice con cargo al presupuesto aprobado por el Ayuntamiento </w:t>
      </w:r>
      <w:r w:rsidRPr="0034034E">
        <w:rPr>
          <w:rFonts w:ascii="Palatino Linotype" w:eastAsia="Palatino Linotype" w:hAnsi="Palatino Linotype" w:cs="Palatino Linotype"/>
        </w:rPr>
        <w:t>de conformidad al artículo 95 fracciones I, II, III, y IV de la Ley Orgánica</w:t>
      </w:r>
      <w:r w:rsidR="00831A5E" w:rsidRPr="0034034E">
        <w:rPr>
          <w:rFonts w:ascii="Palatino Linotype" w:eastAsia="Palatino Linotype" w:hAnsi="Palatino Linotype" w:cs="Palatino Linotype"/>
        </w:rPr>
        <w:t xml:space="preserve"> Municipal del Estado de México</w:t>
      </w:r>
      <w:r w:rsidRPr="0034034E">
        <w:rPr>
          <w:rFonts w:ascii="Palatino Linotype" w:eastAsia="Palatino Linotype" w:hAnsi="Palatino Linotype" w:cs="Palatino Linotype"/>
        </w:rPr>
        <w:t xml:space="preserve">; mientras que la segunda </w:t>
      </w:r>
      <w:r w:rsidR="008B69B9" w:rsidRPr="0034034E">
        <w:rPr>
          <w:rFonts w:ascii="Palatino Linotype" w:eastAsia="Palatino Linotype" w:hAnsi="Palatino Linotype" w:cs="Palatino Linotype"/>
        </w:rPr>
        <w:t xml:space="preserve">tiene a su cargo, entre otras atribuciones las de </w:t>
      </w:r>
      <w:r w:rsidR="00831A5E" w:rsidRPr="0034034E">
        <w:rPr>
          <w:rFonts w:ascii="Palatino Linotype" w:eastAsia="Palatino Linotype" w:hAnsi="Palatino Linotype" w:cs="Palatino Linotype"/>
        </w:rPr>
        <w:t>promover y vigilar el cumplimiento de los lineamientos sobre los procesos de reclutamiento y selección de personal.</w:t>
      </w:r>
    </w:p>
    <w:p w14:paraId="6D84D438" w14:textId="568C96EC" w:rsidR="002F6597" w:rsidRPr="0034034E" w:rsidRDefault="002F6597" w:rsidP="002F6597">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Es de vital importancia señalar que dentro de la estructura orgánica de la Administración Pública Municipal, se cuenta con la Dirección de Servicios Públicos, tal como se desprende de la cita al Bando Municipal:</w:t>
      </w:r>
    </w:p>
    <w:p w14:paraId="6A86B053" w14:textId="018E7588" w:rsidR="002F6597" w:rsidRPr="0034034E" w:rsidRDefault="002F6597" w:rsidP="002F6597">
      <w:pPr>
        <w:spacing w:before="240" w:after="240" w:line="276" w:lineRule="auto"/>
        <w:ind w:left="567" w:right="900"/>
        <w:jc w:val="both"/>
        <w:rPr>
          <w:rFonts w:ascii="Palatino Linotype" w:eastAsia="Palatino Linotype" w:hAnsi="Palatino Linotype" w:cs="Palatino Linotype"/>
          <w:i/>
          <w:sz w:val="22"/>
        </w:rPr>
      </w:pPr>
      <w:r w:rsidRPr="0034034E">
        <w:rPr>
          <w:rFonts w:ascii="Palatino Linotype" w:eastAsia="Palatino Linotype" w:hAnsi="Palatino Linotype" w:cs="Palatino Linotype"/>
          <w:i/>
          <w:sz w:val="22"/>
        </w:rPr>
        <w:t>“Artículo 21. El Presidente Municipal para el ejercicio de sus funciones, se auxiliará de las siguientes Unidades Administrativas:</w:t>
      </w:r>
    </w:p>
    <w:p w14:paraId="59AB2806" w14:textId="54FA7847" w:rsidR="002F6597" w:rsidRPr="0034034E" w:rsidRDefault="002F6597" w:rsidP="002F6597">
      <w:pPr>
        <w:spacing w:before="240" w:after="240" w:line="276" w:lineRule="auto"/>
        <w:ind w:left="567" w:right="900"/>
        <w:jc w:val="both"/>
        <w:rPr>
          <w:rFonts w:ascii="Palatino Linotype" w:eastAsia="Palatino Linotype" w:hAnsi="Palatino Linotype" w:cs="Palatino Linotype"/>
          <w:i/>
          <w:sz w:val="22"/>
        </w:rPr>
      </w:pPr>
      <w:r w:rsidRPr="0034034E">
        <w:rPr>
          <w:rFonts w:ascii="Palatino Linotype" w:eastAsia="Palatino Linotype" w:hAnsi="Palatino Linotype" w:cs="Palatino Linotype"/>
          <w:i/>
          <w:sz w:val="22"/>
        </w:rPr>
        <w:t>…</w:t>
      </w:r>
    </w:p>
    <w:p w14:paraId="27E52272" w14:textId="3A755AF3" w:rsidR="002F6597" w:rsidRPr="0034034E" w:rsidRDefault="002F6597" w:rsidP="002F6597">
      <w:pPr>
        <w:spacing w:before="240" w:after="240" w:line="276" w:lineRule="auto"/>
        <w:ind w:left="567"/>
        <w:jc w:val="both"/>
        <w:rPr>
          <w:rFonts w:ascii="Palatino Linotype" w:eastAsia="Palatino Linotype" w:hAnsi="Palatino Linotype" w:cs="Palatino Linotype"/>
          <w:i/>
          <w:sz w:val="22"/>
        </w:rPr>
      </w:pPr>
      <w:r w:rsidRPr="0034034E">
        <w:rPr>
          <w:rFonts w:ascii="Palatino Linotype" w:eastAsia="Palatino Linotype" w:hAnsi="Palatino Linotype" w:cs="Palatino Linotype"/>
          <w:i/>
          <w:sz w:val="22"/>
        </w:rPr>
        <w:t>I. DEPENDENCIAS ADMINISTRATIVAS:</w:t>
      </w:r>
    </w:p>
    <w:p w14:paraId="7B3A535A" w14:textId="33D4A1FE" w:rsidR="002F6597" w:rsidRPr="0034034E" w:rsidRDefault="002F6597" w:rsidP="002F6597">
      <w:pPr>
        <w:spacing w:before="240" w:after="240" w:line="276" w:lineRule="auto"/>
        <w:ind w:left="567"/>
        <w:jc w:val="both"/>
        <w:rPr>
          <w:rFonts w:ascii="Palatino Linotype" w:eastAsia="Palatino Linotype" w:hAnsi="Palatino Linotype" w:cs="Palatino Linotype"/>
          <w:i/>
          <w:sz w:val="22"/>
        </w:rPr>
      </w:pPr>
      <w:r w:rsidRPr="0034034E">
        <w:rPr>
          <w:rFonts w:ascii="Palatino Linotype" w:eastAsia="Palatino Linotype" w:hAnsi="Palatino Linotype" w:cs="Palatino Linotype"/>
          <w:i/>
          <w:sz w:val="22"/>
        </w:rPr>
        <w:t>…</w:t>
      </w:r>
    </w:p>
    <w:p w14:paraId="7F575294" w14:textId="3C96721D" w:rsidR="002F6597" w:rsidRPr="0034034E" w:rsidRDefault="002F6597" w:rsidP="002F6597">
      <w:pPr>
        <w:spacing w:before="240" w:after="240" w:line="276" w:lineRule="auto"/>
        <w:ind w:left="567"/>
        <w:jc w:val="both"/>
        <w:rPr>
          <w:rFonts w:ascii="Palatino Linotype" w:eastAsia="Palatino Linotype" w:hAnsi="Palatino Linotype" w:cs="Palatino Linotype"/>
          <w:b/>
          <w:u w:val="single"/>
        </w:rPr>
      </w:pPr>
      <w:r w:rsidRPr="0034034E">
        <w:rPr>
          <w:rFonts w:ascii="Palatino Linotype" w:eastAsia="Palatino Linotype" w:hAnsi="Palatino Linotype" w:cs="Palatino Linotype"/>
          <w:b/>
          <w:i/>
          <w:sz w:val="22"/>
          <w:u w:val="single"/>
        </w:rPr>
        <w:t xml:space="preserve">10. Dirección de Servicios Públicos.” </w:t>
      </w:r>
      <w:r w:rsidRPr="0034034E">
        <w:rPr>
          <w:rFonts w:ascii="Palatino Linotype" w:eastAsia="Palatino Linotype" w:hAnsi="Palatino Linotype" w:cs="Palatino Linotype"/>
          <w:i/>
          <w:sz w:val="22"/>
        </w:rPr>
        <w:t>(Sic) (Énfasis añadido)</w:t>
      </w:r>
    </w:p>
    <w:p w14:paraId="42AC7803" w14:textId="77777777" w:rsidR="002F6597" w:rsidRPr="0034034E" w:rsidRDefault="002F6597" w:rsidP="00831A5E">
      <w:pPr>
        <w:spacing w:before="240" w:after="240" w:line="360" w:lineRule="auto"/>
        <w:jc w:val="both"/>
        <w:rPr>
          <w:rFonts w:ascii="Palatino Linotype" w:eastAsia="Palatino Linotype" w:hAnsi="Palatino Linotype" w:cs="Palatino Linotype"/>
        </w:rPr>
      </w:pPr>
    </w:p>
    <w:p w14:paraId="4678E557" w14:textId="4E9F1FE1" w:rsidR="00831A5E" w:rsidRPr="0034034E" w:rsidRDefault="00831A5E" w:rsidP="00831A5E">
      <w:pPr>
        <w:spacing w:line="360" w:lineRule="auto"/>
        <w:jc w:val="both"/>
        <w:rPr>
          <w:rFonts w:ascii="Palatino Linotype" w:eastAsia="Palatino Linotype" w:hAnsi="Palatino Linotype" w:cs="Palatino Linotype"/>
          <w:i/>
        </w:rPr>
      </w:pPr>
      <w:r w:rsidRPr="0034034E">
        <w:rPr>
          <w:rFonts w:ascii="Palatino Linotype" w:eastAsia="Palatino Linotype" w:hAnsi="Palatino Linotype" w:cs="Palatino Linotype"/>
        </w:rPr>
        <w:t>Ahora bien, sobre la naturaleza de la información solicitada, conviene precisar que si bien el término “</w:t>
      </w:r>
      <w:r w:rsidRPr="0034034E">
        <w:rPr>
          <w:rFonts w:ascii="Palatino Linotype" w:eastAsia="Palatino Linotype" w:hAnsi="Palatino Linotype" w:cs="Palatino Linotype"/>
          <w:i/>
        </w:rPr>
        <w:t xml:space="preserve">nómina” </w:t>
      </w:r>
      <w:r w:rsidRPr="0034034E">
        <w:rPr>
          <w:rFonts w:ascii="Palatino Linotype" w:eastAsia="Palatino Linotype" w:hAnsi="Palatino Linotype" w:cs="Palatino Linotype"/>
        </w:rPr>
        <w:t xml:space="preserve">no está definido en nuestra legislación, también lo es que el “Glosario de Términos para el Proceso de Planeación, Programación, </w:t>
      </w:r>
      <w:proofErr w:type="spellStart"/>
      <w:r w:rsidRPr="0034034E">
        <w:rPr>
          <w:rFonts w:ascii="Palatino Linotype" w:eastAsia="Palatino Linotype" w:hAnsi="Palatino Linotype" w:cs="Palatino Linotype"/>
        </w:rPr>
        <w:t>Presupuestación</w:t>
      </w:r>
      <w:proofErr w:type="spellEnd"/>
      <w:r w:rsidRPr="0034034E">
        <w:rPr>
          <w:rFonts w:ascii="Palatino Linotype" w:eastAsia="Palatino Linotype" w:hAnsi="Palatino Linotype" w:cs="Palatino Linotype"/>
        </w:rPr>
        <w:t xml:space="preserve"> y Evaluación en la Administración Pública”, elaborado por el </w:t>
      </w:r>
      <w:r w:rsidRPr="0034034E">
        <w:rPr>
          <w:rFonts w:ascii="Palatino Linotype" w:eastAsia="Palatino Linotype" w:hAnsi="Palatino Linotype" w:cs="Palatino Linotype"/>
        </w:rPr>
        <w:lastRenderedPageBreak/>
        <w:t xml:space="preserve">Grupo de Trabajo de Sistemas de Información Financiera, Contable y Presupuestal de la Comisión Permanente de Funcionarios Fiscales del Instituto para el Desarrollo Técnico de las Haciendas Públicas (INDETEC), la definen como el </w:t>
      </w:r>
      <w:r w:rsidRPr="0034034E">
        <w:rPr>
          <w:rFonts w:ascii="Palatino Linotype" w:eastAsia="Palatino Linotype" w:hAnsi="Palatino Linotype" w:cs="Palatino Linotype"/>
          <w:i/>
        </w:rPr>
        <w:t>listado general de los trabajadores de una institución, en</w:t>
      </w:r>
      <w:r w:rsidRPr="0034034E">
        <w:rPr>
          <w:rFonts w:ascii="Palatino Linotype" w:eastAsia="Palatino Linotype" w:hAnsi="Palatino Linotype" w:cs="Palatino Linotype"/>
          <w:b/>
          <w:i/>
        </w:rPr>
        <w:t xml:space="preserve"> </w:t>
      </w:r>
      <w:r w:rsidRPr="0034034E">
        <w:rPr>
          <w:rFonts w:ascii="Palatino Linotype" w:eastAsia="Palatino Linotype" w:hAnsi="Palatino Linotype" w:cs="Palatino Linotype"/>
          <w:i/>
        </w:rPr>
        <w:t xml:space="preserve">el cual se </w:t>
      </w:r>
      <w:r w:rsidRPr="0034034E">
        <w:rPr>
          <w:rFonts w:ascii="Palatino Linotype" w:eastAsia="Palatino Linotype" w:hAnsi="Palatino Linotype" w:cs="Palatino Linotype"/>
          <w:b/>
          <w:i/>
        </w:rPr>
        <w:t xml:space="preserve">asientan las </w:t>
      </w:r>
      <w:r w:rsidRPr="0034034E">
        <w:rPr>
          <w:rFonts w:ascii="Palatino Linotype" w:eastAsia="Palatino Linotype" w:hAnsi="Palatino Linotype" w:cs="Palatino Linotype"/>
          <w:b/>
          <w:i/>
          <w:u w:val="single"/>
        </w:rPr>
        <w:t>percepciones brutas, deducciones y alcance neto de las mismas</w:t>
      </w:r>
      <w:r w:rsidRPr="0034034E">
        <w:rPr>
          <w:rFonts w:ascii="Palatino Linotype" w:eastAsia="Palatino Linotype" w:hAnsi="Palatino Linotype" w:cs="Palatino Linotype"/>
          <w:i/>
        </w:rPr>
        <w:t>; la nómina es utilizada para</w:t>
      </w:r>
      <w:r w:rsidRPr="0034034E">
        <w:rPr>
          <w:rFonts w:ascii="Palatino Linotype" w:eastAsia="Palatino Linotype" w:hAnsi="Palatino Linotype" w:cs="Palatino Linotype"/>
          <w:b/>
          <w:i/>
        </w:rPr>
        <w:t xml:space="preserve"> efectuar los pagos periódicos</w:t>
      </w:r>
      <w:r w:rsidRPr="0034034E">
        <w:rPr>
          <w:rFonts w:ascii="Palatino Linotype" w:eastAsia="Palatino Linotype" w:hAnsi="Palatino Linotype" w:cs="Palatino Linotype"/>
          <w:i/>
        </w:rPr>
        <w:t xml:space="preserve"> (semanales, quincenales o</w:t>
      </w:r>
      <w:r w:rsidRPr="0034034E">
        <w:rPr>
          <w:rFonts w:ascii="Palatino Linotype" w:eastAsia="Palatino Linotype" w:hAnsi="Palatino Linotype" w:cs="Palatino Linotype"/>
          <w:b/>
          <w:i/>
        </w:rPr>
        <w:t xml:space="preserve"> </w:t>
      </w:r>
      <w:r w:rsidRPr="0034034E">
        <w:rPr>
          <w:rFonts w:ascii="Palatino Linotype" w:eastAsia="Palatino Linotype" w:hAnsi="Palatino Linotype" w:cs="Palatino Linotype"/>
          <w:i/>
        </w:rPr>
        <w:t xml:space="preserve">mensuales) a los trabajadores por concepto de </w:t>
      </w:r>
      <w:r w:rsidRPr="0034034E">
        <w:rPr>
          <w:rFonts w:ascii="Palatino Linotype" w:eastAsia="Palatino Linotype" w:hAnsi="Palatino Linotype" w:cs="Palatino Linotype"/>
          <w:b/>
          <w:i/>
        </w:rPr>
        <w:t>sueldos y salarios</w:t>
      </w:r>
      <w:r w:rsidRPr="0034034E">
        <w:rPr>
          <w:rFonts w:ascii="Palatino Linotype" w:eastAsia="Palatino Linotype" w:hAnsi="Palatino Linotype" w:cs="Palatino Linotype"/>
          <w:i/>
        </w:rPr>
        <w:t>.</w:t>
      </w:r>
    </w:p>
    <w:p w14:paraId="27031259" w14:textId="77777777" w:rsidR="00831A5E" w:rsidRPr="0034034E" w:rsidRDefault="00831A5E" w:rsidP="00831A5E">
      <w:pPr>
        <w:spacing w:line="360" w:lineRule="auto"/>
        <w:jc w:val="both"/>
        <w:rPr>
          <w:rFonts w:ascii="Palatino Linotype" w:eastAsia="Palatino Linotype" w:hAnsi="Palatino Linotype" w:cs="Palatino Linotype"/>
          <w:i/>
        </w:rPr>
      </w:pPr>
    </w:p>
    <w:p w14:paraId="3BE3AEB5" w14:textId="77777777" w:rsidR="00831A5E" w:rsidRPr="0034034E" w:rsidRDefault="00831A5E" w:rsidP="00831A5E">
      <w:pPr>
        <w:spacing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Documento o término que ha sido mencionado en diferentes ordenamientos legales, tal es el caso, de la </w:t>
      </w:r>
      <w:r w:rsidRPr="0034034E">
        <w:rPr>
          <w:rFonts w:ascii="Palatino Linotype" w:eastAsia="Palatino Linotype" w:hAnsi="Palatino Linotype" w:cs="Palatino Linotype"/>
          <w:i/>
        </w:rPr>
        <w:t>Ley Federal del Trabajo</w:t>
      </w:r>
      <w:r w:rsidRPr="0034034E">
        <w:rPr>
          <w:rFonts w:ascii="Palatino Linotype" w:eastAsia="Palatino Linotype" w:hAnsi="Palatino Linotype" w:cs="Palatino Linotype"/>
        </w:rPr>
        <w:t xml:space="preserve"> en el artículo 804 fracción II, que además reconoce los recibos de pagos de salarios, por lo que resulta indispensable citar el artículo de referencia.</w:t>
      </w:r>
    </w:p>
    <w:p w14:paraId="28B22F72" w14:textId="77777777" w:rsidR="00831A5E" w:rsidRPr="0034034E" w:rsidRDefault="00831A5E" w:rsidP="00831A5E">
      <w:pPr>
        <w:spacing w:line="360" w:lineRule="auto"/>
        <w:jc w:val="both"/>
        <w:rPr>
          <w:rFonts w:ascii="Palatino Linotype" w:eastAsia="Palatino Linotype" w:hAnsi="Palatino Linotype" w:cs="Palatino Linotype"/>
          <w:i/>
          <w:sz w:val="22"/>
          <w:szCs w:val="22"/>
        </w:rPr>
      </w:pPr>
    </w:p>
    <w:p w14:paraId="56D2EC26" w14:textId="77777777" w:rsidR="00831A5E" w:rsidRPr="0034034E" w:rsidRDefault="00831A5E" w:rsidP="00831A5E">
      <w:pPr>
        <w:pBdr>
          <w:top w:val="nil"/>
          <w:left w:val="nil"/>
          <w:bottom w:val="nil"/>
          <w:right w:val="nil"/>
          <w:between w:val="nil"/>
        </w:pBdr>
        <w:spacing w:after="120" w:line="259" w:lineRule="auto"/>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t>“Artículo 804.-</w:t>
      </w:r>
      <w:r w:rsidRPr="0034034E">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14:paraId="74BA4F6F" w14:textId="77777777" w:rsidR="00831A5E" w:rsidRPr="0034034E" w:rsidRDefault="00831A5E" w:rsidP="00831A5E">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t>…</w:t>
      </w:r>
    </w:p>
    <w:p w14:paraId="2A86492A" w14:textId="77777777" w:rsidR="00831A5E" w:rsidRPr="0034034E" w:rsidRDefault="00831A5E" w:rsidP="00831A5E">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b/>
          <w:i/>
          <w:sz w:val="22"/>
          <w:szCs w:val="22"/>
        </w:rPr>
      </w:pPr>
      <w:r w:rsidRPr="0034034E">
        <w:rPr>
          <w:rFonts w:ascii="Palatino Linotype" w:eastAsia="Palatino Linotype" w:hAnsi="Palatino Linotype" w:cs="Palatino Linotype"/>
          <w:b/>
          <w:i/>
          <w:sz w:val="22"/>
          <w:szCs w:val="22"/>
        </w:rPr>
        <w:t>II.</w:t>
      </w:r>
      <w:r w:rsidRPr="0034034E">
        <w:rPr>
          <w:rFonts w:ascii="Palatino Linotype" w:eastAsia="Palatino Linotype" w:hAnsi="Palatino Linotype" w:cs="Palatino Linotype"/>
          <w:i/>
          <w:sz w:val="22"/>
          <w:szCs w:val="22"/>
        </w:rPr>
        <w:t xml:space="preserve"> </w:t>
      </w:r>
      <w:r w:rsidRPr="0034034E">
        <w:rPr>
          <w:rFonts w:ascii="Palatino Linotype" w:eastAsia="Palatino Linotype" w:hAnsi="Palatino Linotype" w:cs="Palatino Linotype"/>
          <w:b/>
          <w:i/>
          <w:sz w:val="22"/>
          <w:szCs w:val="22"/>
        </w:rPr>
        <w:t>Listas de raya o nómina de personal</w:t>
      </w:r>
      <w:r w:rsidRPr="0034034E">
        <w:rPr>
          <w:rFonts w:ascii="Palatino Linotype" w:eastAsia="Palatino Linotype" w:hAnsi="Palatino Linotype" w:cs="Palatino Linotype"/>
          <w:i/>
          <w:sz w:val="22"/>
          <w:szCs w:val="22"/>
        </w:rPr>
        <w:t xml:space="preserve">, cuando se lleven en el centro de trabajo; </w:t>
      </w:r>
      <w:r w:rsidRPr="0034034E">
        <w:rPr>
          <w:rFonts w:ascii="Palatino Linotype" w:eastAsia="Palatino Linotype" w:hAnsi="Palatino Linotype" w:cs="Palatino Linotype"/>
          <w:b/>
          <w:i/>
          <w:sz w:val="22"/>
          <w:szCs w:val="22"/>
        </w:rPr>
        <w:t>o recibos de pagos de salarios;</w:t>
      </w:r>
    </w:p>
    <w:p w14:paraId="7CB1A333" w14:textId="77777777" w:rsidR="00831A5E" w:rsidRPr="0034034E" w:rsidRDefault="00831A5E" w:rsidP="00831A5E">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w:t>
      </w:r>
    </w:p>
    <w:p w14:paraId="45CEDEA7" w14:textId="77777777" w:rsidR="00831A5E" w:rsidRPr="0034034E" w:rsidRDefault="00831A5E" w:rsidP="00831A5E">
      <w:pPr>
        <w:pBdr>
          <w:top w:val="nil"/>
          <w:left w:val="nil"/>
          <w:bottom w:val="nil"/>
          <w:right w:val="nil"/>
          <w:between w:val="nil"/>
        </w:pBdr>
        <w:spacing w:after="120" w:line="259" w:lineRule="auto"/>
        <w:ind w:left="855"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los señalados en las fracciones </w:t>
      </w:r>
      <w:r w:rsidRPr="0034034E">
        <w:rPr>
          <w:rFonts w:ascii="Palatino Linotype" w:eastAsia="Palatino Linotype" w:hAnsi="Palatino Linotype" w:cs="Palatino Linotype"/>
          <w:b/>
          <w:i/>
          <w:sz w:val="22"/>
          <w:szCs w:val="22"/>
        </w:rPr>
        <w:t>II</w:t>
      </w:r>
      <w:r w:rsidRPr="0034034E">
        <w:rPr>
          <w:rFonts w:ascii="Palatino Linotype" w:eastAsia="Palatino Linotype" w:hAnsi="Palatino Linotype" w:cs="Palatino Linotype"/>
          <w:i/>
          <w:sz w:val="22"/>
          <w:szCs w:val="22"/>
        </w:rPr>
        <w:t>, III y IV, durante el último año y un año después de que se extinga la relación laboral; y los mencionados en la fracción V, conforme lo señalen las Leyes que los rijan.”</w:t>
      </w:r>
    </w:p>
    <w:p w14:paraId="2C4081B7" w14:textId="77777777" w:rsidR="00831A5E" w:rsidRPr="0034034E" w:rsidRDefault="00831A5E" w:rsidP="00831A5E">
      <w:pPr>
        <w:spacing w:before="240" w:after="36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De lo anteriormente citado, se puede llegar a la conclusión de que la nómina, es el documento que contiene el registro de los trabajadores a los cuales se va a remunerar </w:t>
      </w:r>
      <w:r w:rsidRPr="0034034E">
        <w:rPr>
          <w:rFonts w:ascii="Palatino Linotype" w:eastAsia="Palatino Linotype" w:hAnsi="Palatino Linotype" w:cs="Palatino Linotype"/>
        </w:rPr>
        <w:lastRenderedPageBreak/>
        <w:t xml:space="preserve">por los </w:t>
      </w:r>
      <w:hyperlink r:id="rId12">
        <w:r w:rsidRPr="0034034E">
          <w:rPr>
            <w:rFonts w:ascii="Palatino Linotype" w:eastAsia="Palatino Linotype" w:hAnsi="Palatino Linotype" w:cs="Palatino Linotype"/>
          </w:rPr>
          <w:t>servicios</w:t>
        </w:r>
      </w:hyperlink>
      <w:r w:rsidRPr="0034034E">
        <w:rPr>
          <w:rFonts w:ascii="Palatino Linotype" w:eastAsia="Palatino Linotype" w:hAnsi="Palatino Linotype" w:cs="Palatino Linotype"/>
        </w:rPr>
        <w:t xml:space="preserve"> que éstos le prestan al patrón, en el cual </w:t>
      </w:r>
      <w:r w:rsidRPr="0034034E">
        <w:rPr>
          <w:rFonts w:ascii="Palatino Linotype" w:eastAsia="Palatino Linotype" w:hAnsi="Palatino Linotype" w:cs="Palatino Linotype"/>
          <w:b/>
        </w:rPr>
        <w:t>se asientan las percepciones brutas, deducciones y el neto</w:t>
      </w:r>
      <w:r w:rsidRPr="0034034E">
        <w:rPr>
          <w:rFonts w:ascii="Palatino Linotype" w:eastAsia="Palatino Linotype" w:hAnsi="Palatino Linotype" w:cs="Palatino Linotype"/>
        </w:rPr>
        <w:t xml:space="preserve"> a recibir de dichos trabajadores.</w:t>
      </w:r>
    </w:p>
    <w:p w14:paraId="41BD032D" w14:textId="77777777" w:rsidR="00831A5E" w:rsidRPr="0034034E" w:rsidRDefault="00831A5E" w:rsidP="00831A5E">
      <w:pPr>
        <w:spacing w:before="240" w:after="36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En tal sentido, es oportuno traer a colación el contenido del artículo 350 del Código Financiero del Estado de México y Municipios, en el que se establece la obligación a cargo de las entidades fiscalizables, -como lo es el Sujeto Obligado-, de comunicar al Órgano Superior de Fiscalización del Estado de México, todo lo relacionado con la información contable, presupuestal y financiera, en los términos siguientes:</w:t>
      </w:r>
    </w:p>
    <w:p w14:paraId="0B2FA9F2" w14:textId="77777777" w:rsidR="00831A5E" w:rsidRPr="0034034E" w:rsidRDefault="00831A5E" w:rsidP="00831A5E">
      <w:pPr>
        <w:spacing w:after="160" w:line="259" w:lineRule="auto"/>
        <w:ind w:left="851" w:right="849"/>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 xml:space="preserve"> “</w:t>
      </w:r>
      <w:r w:rsidRPr="0034034E">
        <w:rPr>
          <w:rFonts w:ascii="Palatino Linotype" w:eastAsia="Palatino Linotype" w:hAnsi="Palatino Linotype" w:cs="Palatino Linotype"/>
          <w:b/>
          <w:i/>
          <w:sz w:val="22"/>
          <w:szCs w:val="22"/>
        </w:rPr>
        <w:t>Artículo 350.-</w:t>
      </w:r>
      <w:r w:rsidRPr="0034034E">
        <w:rPr>
          <w:rFonts w:ascii="Palatino Linotype" w:eastAsia="Palatino Linotype" w:hAnsi="Palatino Linotype" w:cs="Palatino Linotype"/>
          <w:i/>
          <w:sz w:val="22"/>
          <w:szCs w:val="22"/>
        </w:rPr>
        <w:t xml:space="preserve"> La Secretaría y </w:t>
      </w:r>
      <w:r w:rsidRPr="0034034E">
        <w:rPr>
          <w:rFonts w:ascii="Palatino Linotype" w:eastAsia="Palatino Linotype" w:hAnsi="Palatino Linotype" w:cs="Palatino Linotype"/>
          <w:b/>
          <w:i/>
          <w:sz w:val="22"/>
          <w:szCs w:val="22"/>
        </w:rPr>
        <w:t>las tesorerías</w:t>
      </w:r>
      <w:r w:rsidRPr="0034034E">
        <w:rPr>
          <w:rFonts w:ascii="Palatino Linotype" w:eastAsia="Palatino Linotype" w:hAnsi="Palatino Linotype" w:cs="Palatino Linotype"/>
          <w:i/>
          <w:sz w:val="22"/>
          <w:szCs w:val="22"/>
        </w:rPr>
        <w:t xml:space="preserve"> enviarán al Órgano Superior, de manera trimestral, dentro de los primeros veinte días hábiles posteriores al término del trimestre que se informa, para su análisis, la siguiente información:</w:t>
      </w:r>
    </w:p>
    <w:p w14:paraId="3E975F2A" w14:textId="77777777" w:rsidR="00831A5E" w:rsidRPr="0034034E" w:rsidRDefault="00831A5E" w:rsidP="00831A5E">
      <w:pPr>
        <w:spacing w:after="160" w:line="259" w:lineRule="auto"/>
        <w:ind w:left="1134" w:right="849"/>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t>I.</w:t>
      </w:r>
      <w:r w:rsidRPr="0034034E">
        <w:rPr>
          <w:rFonts w:ascii="Palatino Linotype" w:eastAsia="Palatino Linotype" w:hAnsi="Palatino Linotype" w:cs="Palatino Linotype"/>
          <w:i/>
          <w:sz w:val="22"/>
          <w:szCs w:val="22"/>
        </w:rPr>
        <w:t xml:space="preserve"> Patrimonial. </w:t>
      </w:r>
    </w:p>
    <w:p w14:paraId="502A9537" w14:textId="77777777" w:rsidR="00831A5E" w:rsidRPr="0034034E" w:rsidRDefault="00831A5E" w:rsidP="00831A5E">
      <w:pPr>
        <w:spacing w:after="160" w:line="259" w:lineRule="auto"/>
        <w:ind w:left="1134" w:right="849"/>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t>II</w:t>
      </w:r>
      <w:r w:rsidRPr="0034034E">
        <w:rPr>
          <w:rFonts w:ascii="Palatino Linotype" w:eastAsia="Palatino Linotype" w:hAnsi="Palatino Linotype" w:cs="Palatino Linotype"/>
          <w:i/>
          <w:sz w:val="22"/>
          <w:szCs w:val="22"/>
        </w:rPr>
        <w:t xml:space="preserve">. Presupuestal. </w:t>
      </w:r>
    </w:p>
    <w:p w14:paraId="0CAB3959" w14:textId="77777777" w:rsidR="00831A5E" w:rsidRPr="0034034E" w:rsidRDefault="00831A5E" w:rsidP="00831A5E">
      <w:pPr>
        <w:spacing w:after="160" w:line="259" w:lineRule="auto"/>
        <w:ind w:left="1134" w:right="849"/>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t>III</w:t>
      </w:r>
      <w:r w:rsidRPr="0034034E">
        <w:rPr>
          <w:rFonts w:ascii="Palatino Linotype" w:eastAsia="Palatino Linotype" w:hAnsi="Palatino Linotype" w:cs="Palatino Linotype"/>
          <w:i/>
          <w:sz w:val="22"/>
          <w:szCs w:val="22"/>
        </w:rPr>
        <w:t>. De la obra pública.</w:t>
      </w:r>
    </w:p>
    <w:p w14:paraId="1FC3C10F" w14:textId="77777777" w:rsidR="00831A5E" w:rsidRPr="0034034E" w:rsidRDefault="00831A5E" w:rsidP="00831A5E">
      <w:pPr>
        <w:spacing w:after="160" w:line="259" w:lineRule="auto"/>
        <w:ind w:left="1134" w:right="849"/>
        <w:jc w:val="both"/>
        <w:rPr>
          <w:rFonts w:ascii="Palatino Linotype" w:eastAsia="Palatino Linotype" w:hAnsi="Palatino Linotype" w:cs="Palatino Linotype"/>
          <w:b/>
          <w:i/>
          <w:sz w:val="22"/>
          <w:szCs w:val="22"/>
        </w:rPr>
      </w:pPr>
      <w:r w:rsidRPr="0034034E">
        <w:rPr>
          <w:rFonts w:ascii="Palatino Linotype" w:eastAsia="Palatino Linotype" w:hAnsi="Palatino Linotype" w:cs="Palatino Linotype"/>
          <w:b/>
          <w:i/>
          <w:sz w:val="22"/>
          <w:szCs w:val="22"/>
        </w:rPr>
        <w:t>IV. De nómina.</w:t>
      </w:r>
    </w:p>
    <w:p w14:paraId="33D218FE" w14:textId="77777777" w:rsidR="00831A5E" w:rsidRPr="0034034E" w:rsidRDefault="00831A5E" w:rsidP="00831A5E">
      <w:pPr>
        <w:spacing w:after="160" w:line="259" w:lineRule="auto"/>
        <w:ind w:left="1134" w:right="849"/>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t>V</w:t>
      </w:r>
      <w:r w:rsidRPr="0034034E">
        <w:rPr>
          <w:rFonts w:ascii="Palatino Linotype" w:eastAsia="Palatino Linotype" w:hAnsi="Palatino Linotype" w:cs="Palatino Linotype"/>
          <w:i/>
          <w:sz w:val="22"/>
          <w:szCs w:val="22"/>
        </w:rPr>
        <w:t xml:space="preserve">. Avance del cumplimiento del Plan de Desarrollo del Estado de México. </w:t>
      </w:r>
    </w:p>
    <w:p w14:paraId="1E159920" w14:textId="77777777" w:rsidR="00831A5E" w:rsidRPr="0034034E" w:rsidRDefault="00831A5E" w:rsidP="00831A5E">
      <w:pPr>
        <w:spacing w:after="160" w:line="259" w:lineRule="auto"/>
        <w:ind w:left="851" w:right="849"/>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14:paraId="3DA013BA" w14:textId="77777777" w:rsidR="00831A5E" w:rsidRPr="0034034E" w:rsidRDefault="00831A5E" w:rsidP="00831A5E">
      <w:pPr>
        <w:spacing w:after="160" w:line="259" w:lineRule="auto"/>
        <w:ind w:left="851" w:right="849"/>
        <w:jc w:val="both"/>
        <w:rPr>
          <w:rFonts w:ascii="Palatino Linotype" w:eastAsia="Palatino Linotype" w:hAnsi="Palatino Linotype" w:cs="Palatino Linotype"/>
          <w:b/>
          <w:i/>
          <w:sz w:val="22"/>
          <w:szCs w:val="22"/>
        </w:rPr>
      </w:pPr>
      <w:r w:rsidRPr="0034034E">
        <w:rPr>
          <w:rFonts w:ascii="Palatino Linotype" w:eastAsia="Palatino Linotype" w:hAnsi="Palatino Linotype" w:cs="Palatino Linotype"/>
          <w:i/>
          <w:sz w:val="22"/>
          <w:szCs w:val="22"/>
        </w:rPr>
        <w:t>El informe trimestral correspondiente al cuarto trimestre se entregará junto con las Cuentas Públicas del ejercicio fiscal de que se trate</w:t>
      </w:r>
      <w:r w:rsidRPr="0034034E">
        <w:rPr>
          <w:rFonts w:ascii="Palatino Linotype" w:eastAsia="Palatino Linotype" w:hAnsi="Palatino Linotype" w:cs="Palatino Linotype"/>
          <w:b/>
          <w:i/>
          <w:sz w:val="22"/>
          <w:szCs w:val="22"/>
        </w:rPr>
        <w:t>.”</w:t>
      </w:r>
    </w:p>
    <w:p w14:paraId="41219BC4" w14:textId="77777777" w:rsidR="00831A5E" w:rsidRPr="0034034E" w:rsidRDefault="00831A5E" w:rsidP="00831A5E">
      <w:pPr>
        <w:spacing w:before="240" w:after="36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416175D6" w14:textId="77777777" w:rsidR="00831A5E" w:rsidRPr="0034034E" w:rsidRDefault="00831A5E" w:rsidP="00831A5E">
      <w:pPr>
        <w:tabs>
          <w:tab w:val="left" w:pos="9072"/>
        </w:tabs>
        <w:spacing w:after="160" w:line="259" w:lineRule="auto"/>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lastRenderedPageBreak/>
        <w:t>“ARTÍCULO 220 K.-</w:t>
      </w:r>
      <w:r w:rsidRPr="0034034E">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52F25F18" w14:textId="77777777" w:rsidR="00831A5E" w:rsidRPr="0034034E" w:rsidRDefault="00831A5E" w:rsidP="00831A5E">
      <w:pPr>
        <w:tabs>
          <w:tab w:val="left" w:pos="9072"/>
        </w:tabs>
        <w:spacing w:after="160" w:line="259" w:lineRule="auto"/>
        <w:ind w:left="1134"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w:t>
      </w:r>
    </w:p>
    <w:p w14:paraId="3736F915" w14:textId="77777777" w:rsidR="00831A5E" w:rsidRPr="0034034E" w:rsidRDefault="00831A5E" w:rsidP="00831A5E">
      <w:pPr>
        <w:tabs>
          <w:tab w:val="left" w:pos="9072"/>
        </w:tabs>
        <w:spacing w:after="160" w:line="259" w:lineRule="auto"/>
        <w:ind w:left="1134"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 xml:space="preserve">II. </w:t>
      </w:r>
      <w:r w:rsidRPr="0034034E">
        <w:rPr>
          <w:rFonts w:ascii="Palatino Linotype" w:eastAsia="Palatino Linotype" w:hAnsi="Palatino Linotype" w:cs="Palatino Linotype"/>
          <w:b/>
          <w:i/>
          <w:sz w:val="22"/>
          <w:szCs w:val="22"/>
        </w:rPr>
        <w:t>Recibos de pagos de salarios</w:t>
      </w:r>
      <w:r w:rsidRPr="0034034E">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52FE5A8B" w14:textId="77777777" w:rsidR="00831A5E" w:rsidRPr="0034034E" w:rsidRDefault="00831A5E" w:rsidP="00831A5E">
      <w:pPr>
        <w:tabs>
          <w:tab w:val="left" w:pos="9072"/>
        </w:tabs>
        <w:spacing w:after="160" w:line="259" w:lineRule="auto"/>
        <w:ind w:left="1134"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w:t>
      </w:r>
    </w:p>
    <w:p w14:paraId="02E45E04" w14:textId="77777777" w:rsidR="00831A5E" w:rsidRPr="0034034E" w:rsidRDefault="00831A5E" w:rsidP="00831A5E">
      <w:pPr>
        <w:tabs>
          <w:tab w:val="left" w:pos="9072"/>
        </w:tabs>
        <w:spacing w:after="160" w:line="259" w:lineRule="auto"/>
        <w:ind w:left="1134" w:right="902"/>
        <w:jc w:val="both"/>
        <w:rPr>
          <w:rFonts w:ascii="Palatino Linotype" w:eastAsia="Palatino Linotype" w:hAnsi="Palatino Linotype" w:cs="Palatino Linotype"/>
          <w:i/>
          <w:sz w:val="22"/>
          <w:szCs w:val="22"/>
        </w:rPr>
      </w:pPr>
    </w:p>
    <w:p w14:paraId="0DF778ED" w14:textId="77777777" w:rsidR="00831A5E" w:rsidRPr="0034034E" w:rsidRDefault="00831A5E" w:rsidP="00831A5E">
      <w:pPr>
        <w:tabs>
          <w:tab w:val="left" w:pos="9072"/>
        </w:tabs>
        <w:spacing w:after="160" w:line="259" w:lineRule="auto"/>
        <w:ind w:left="1134"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69E6DBC9" w14:textId="77777777" w:rsidR="00831A5E" w:rsidRPr="0034034E" w:rsidRDefault="00831A5E" w:rsidP="00831A5E">
      <w:pPr>
        <w:tabs>
          <w:tab w:val="left" w:pos="9072"/>
        </w:tabs>
        <w:spacing w:after="160" w:line="259" w:lineRule="auto"/>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88AADFF" w14:textId="77777777" w:rsidR="00831A5E" w:rsidRPr="0034034E" w:rsidRDefault="00831A5E" w:rsidP="00831A5E">
      <w:pPr>
        <w:tabs>
          <w:tab w:val="left" w:pos="9072"/>
        </w:tabs>
        <w:spacing w:after="160" w:line="259" w:lineRule="auto"/>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B41F2C4" w14:textId="77777777" w:rsidR="00831A5E" w:rsidRPr="0034034E" w:rsidRDefault="00831A5E" w:rsidP="00831A5E">
      <w:pPr>
        <w:tabs>
          <w:tab w:val="left" w:pos="9072"/>
        </w:tabs>
        <w:spacing w:after="160" w:line="259" w:lineRule="auto"/>
        <w:ind w:left="851" w:right="902"/>
        <w:jc w:val="both"/>
        <w:rPr>
          <w:rFonts w:ascii="Palatino Linotype" w:eastAsia="Palatino Linotype" w:hAnsi="Palatino Linotype" w:cs="Palatino Linotype"/>
          <w:i/>
          <w:sz w:val="22"/>
          <w:szCs w:val="22"/>
        </w:rPr>
      </w:pPr>
    </w:p>
    <w:p w14:paraId="0C0B2EF6" w14:textId="77777777" w:rsidR="00831A5E" w:rsidRPr="0034034E" w:rsidRDefault="00831A5E" w:rsidP="00831A5E">
      <w:pPr>
        <w:spacing w:after="120" w:line="259" w:lineRule="auto"/>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24153A1B" w14:textId="77777777" w:rsidR="00831A5E" w:rsidRPr="0034034E" w:rsidRDefault="00831A5E" w:rsidP="00831A5E">
      <w:pPr>
        <w:spacing w:before="12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Sobre la base del precepto legal citado, se advierte que </w:t>
      </w:r>
      <w:r w:rsidRPr="0034034E">
        <w:rPr>
          <w:rFonts w:ascii="Palatino Linotype" w:eastAsia="Palatino Linotype" w:hAnsi="Palatino Linotype" w:cs="Palatino Linotype"/>
          <w:i/>
        </w:rPr>
        <w:t xml:space="preserve">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w:t>
      </w:r>
      <w:r w:rsidRPr="0034034E">
        <w:rPr>
          <w:rFonts w:ascii="Palatino Linotype" w:eastAsia="Palatino Linotype" w:hAnsi="Palatino Linotype" w:cs="Palatino Linotype"/>
          <w:i/>
        </w:rPr>
        <w:lastRenderedPageBreak/>
        <w:t>conservar dicha documentación durante el último año y un año después de que se extingue la relación laboral a través de los sistemas de digitalización o de información magnética o electrónica</w:t>
      </w:r>
      <w:r w:rsidRPr="0034034E">
        <w:rPr>
          <w:rFonts w:ascii="Palatino Linotype" w:eastAsia="Palatino Linotype" w:hAnsi="Palatino Linotype" w:cs="Palatino Linotype"/>
        </w:rPr>
        <w:t>.</w:t>
      </w:r>
    </w:p>
    <w:p w14:paraId="5D62F420" w14:textId="77777777" w:rsidR="00831A5E" w:rsidRPr="0034034E" w:rsidRDefault="00831A5E" w:rsidP="00831A5E">
      <w:pPr>
        <w:spacing w:line="360" w:lineRule="auto"/>
        <w:jc w:val="both"/>
        <w:rPr>
          <w:rFonts w:ascii="Palatino Linotype" w:eastAsia="Palatino Linotype" w:hAnsi="Palatino Linotype" w:cs="Palatino Linotype"/>
        </w:rPr>
      </w:pPr>
    </w:p>
    <w:p w14:paraId="383C530E" w14:textId="77777777" w:rsidR="00831A5E" w:rsidRPr="0034034E" w:rsidRDefault="00831A5E" w:rsidP="00831A5E">
      <w:pPr>
        <w:spacing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Por tanto, los </w:t>
      </w:r>
      <w:r w:rsidRPr="0034034E">
        <w:rPr>
          <w:rFonts w:ascii="Palatino Linotype" w:eastAsia="Palatino Linotype" w:hAnsi="Palatino Linotype" w:cs="Palatino Linotype"/>
          <w:i/>
        </w:rPr>
        <w:t xml:space="preserve">recibos de nómina o comprobantes digitales por concepto de nómina </w:t>
      </w:r>
      <w:r w:rsidRPr="0034034E">
        <w:rPr>
          <w:rFonts w:ascii="Palatino Linotype" w:eastAsia="Palatino Linotype" w:hAnsi="Palatino Linotype" w:cs="Palatino Linotype"/>
        </w:rPr>
        <w:t>tienen como objetivo presentar la información del pago de las remuneraciones de cada uno de los servidores públicos de la entidad fiscalizable de que se trate correspondiente a un periodo determinado.</w:t>
      </w:r>
    </w:p>
    <w:p w14:paraId="7D4B1B58" w14:textId="77777777" w:rsidR="00831A5E" w:rsidRPr="0034034E" w:rsidRDefault="00831A5E" w:rsidP="00831A5E">
      <w:pPr>
        <w:spacing w:line="360" w:lineRule="auto"/>
        <w:jc w:val="both"/>
        <w:rPr>
          <w:rFonts w:ascii="Palatino Linotype" w:eastAsia="Palatino Linotype" w:hAnsi="Palatino Linotype" w:cs="Palatino Linotype"/>
        </w:rPr>
      </w:pPr>
    </w:p>
    <w:p w14:paraId="45650850" w14:textId="77777777" w:rsidR="00831A5E" w:rsidRPr="0034034E" w:rsidRDefault="00831A5E" w:rsidP="00831A5E">
      <w:pPr>
        <w:spacing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Para conocer lo que debe contener la información correspondiente a la nómina, es necesario señalar que, al Órgano Superior de Fiscalización del Estado de México, OSFEM, le asiste la facultad de emitir los lineamientos para la integración del informe trimestral, en términos de la fracción XI del artículo 8 de la Ley de Fiscalización Superior del Estado de México, que es del tenor literal siguiente:</w:t>
      </w:r>
    </w:p>
    <w:p w14:paraId="4FFCBCF4" w14:textId="77777777" w:rsidR="00831A5E" w:rsidRPr="0034034E" w:rsidRDefault="00831A5E" w:rsidP="00831A5E">
      <w:pPr>
        <w:spacing w:line="360" w:lineRule="auto"/>
        <w:jc w:val="both"/>
        <w:rPr>
          <w:rFonts w:ascii="Palatino Linotype" w:eastAsia="Palatino Linotype" w:hAnsi="Palatino Linotype" w:cs="Palatino Linotype"/>
        </w:rPr>
      </w:pPr>
    </w:p>
    <w:p w14:paraId="2DE9B8F4" w14:textId="77777777" w:rsidR="00831A5E" w:rsidRPr="0034034E" w:rsidRDefault="00831A5E" w:rsidP="00831A5E">
      <w:pPr>
        <w:spacing w:line="276" w:lineRule="auto"/>
        <w:ind w:left="851"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t>“Artículo 8.-</w:t>
      </w:r>
      <w:r w:rsidRPr="0034034E">
        <w:rPr>
          <w:rFonts w:ascii="Palatino Linotype" w:eastAsia="Palatino Linotype" w:hAnsi="Palatino Linotype" w:cs="Palatino Linotype"/>
          <w:i/>
          <w:sz w:val="22"/>
          <w:szCs w:val="22"/>
        </w:rPr>
        <w:t xml:space="preserve"> El </w:t>
      </w:r>
      <w:r w:rsidRPr="0034034E">
        <w:rPr>
          <w:rFonts w:ascii="Palatino Linotype" w:eastAsia="Palatino Linotype" w:hAnsi="Palatino Linotype" w:cs="Palatino Linotype"/>
          <w:b/>
          <w:i/>
          <w:sz w:val="22"/>
          <w:szCs w:val="22"/>
        </w:rPr>
        <w:t>Órgano Superior</w:t>
      </w:r>
      <w:r w:rsidRPr="0034034E">
        <w:rPr>
          <w:rFonts w:ascii="Palatino Linotype" w:eastAsia="Palatino Linotype" w:hAnsi="Palatino Linotype" w:cs="Palatino Linotype"/>
          <w:i/>
          <w:sz w:val="22"/>
          <w:szCs w:val="22"/>
        </w:rPr>
        <w:t xml:space="preserve"> tendrá las siguientes atribuciones:</w:t>
      </w:r>
    </w:p>
    <w:p w14:paraId="7A693A16" w14:textId="77777777" w:rsidR="00831A5E" w:rsidRPr="0034034E" w:rsidRDefault="00831A5E" w:rsidP="00831A5E">
      <w:pPr>
        <w:spacing w:line="276" w:lineRule="auto"/>
        <w:ind w:left="1134"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w:t>
      </w:r>
    </w:p>
    <w:p w14:paraId="31E648D7" w14:textId="77777777" w:rsidR="00831A5E" w:rsidRPr="0034034E" w:rsidRDefault="00831A5E" w:rsidP="00831A5E">
      <w:pPr>
        <w:spacing w:line="276" w:lineRule="auto"/>
        <w:ind w:left="1134" w:right="902"/>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t>XI</w:t>
      </w:r>
      <w:r w:rsidRPr="0034034E">
        <w:rPr>
          <w:rFonts w:ascii="Palatino Linotype" w:eastAsia="Palatino Linotype" w:hAnsi="Palatino Linotype" w:cs="Palatino Linotype"/>
          <w:i/>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6A853AD7" w14:textId="77777777" w:rsidR="00831A5E" w:rsidRPr="0034034E" w:rsidRDefault="00831A5E" w:rsidP="00831A5E">
      <w:pPr>
        <w:spacing w:line="276" w:lineRule="auto"/>
        <w:ind w:left="1134" w:right="902"/>
        <w:jc w:val="both"/>
        <w:rPr>
          <w:rFonts w:ascii="Palatino Linotype" w:eastAsia="Palatino Linotype" w:hAnsi="Palatino Linotype" w:cs="Palatino Linotype"/>
          <w:i/>
          <w:sz w:val="22"/>
          <w:szCs w:val="22"/>
        </w:rPr>
      </w:pPr>
    </w:p>
    <w:p w14:paraId="142F4909" w14:textId="77777777" w:rsidR="00831A5E" w:rsidRPr="0034034E" w:rsidRDefault="00831A5E" w:rsidP="00831A5E">
      <w:pPr>
        <w:spacing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los titulares o quienes hagan sus </w:t>
      </w:r>
      <w:r w:rsidRPr="0034034E">
        <w:rPr>
          <w:rFonts w:ascii="Palatino Linotype" w:eastAsia="Palatino Linotype" w:hAnsi="Palatino Linotype" w:cs="Palatino Linotype"/>
        </w:rPr>
        <w:lastRenderedPageBreak/>
        <w:t>veces en empresas de participación estatal o municipal, sociedades o asociaciones asimiladas a éstas y en los fideicomisos públicos, y que manejen recursos públicos, como lo son los municipios; en atención a ello, el informe trimestral deberá ser presentado al OSFEM dentro de los veinte días posteriores al término del trimestre correspondiente de acuerdo a lo establecido en el artículo 350 del Código Financiero del Estado de México citado con antelación.</w:t>
      </w:r>
    </w:p>
    <w:p w14:paraId="7511AC91" w14:textId="77777777" w:rsidR="00831A5E" w:rsidRPr="0034034E" w:rsidRDefault="00831A5E" w:rsidP="00831A5E">
      <w:pPr>
        <w:spacing w:line="360" w:lineRule="auto"/>
        <w:jc w:val="both"/>
        <w:rPr>
          <w:rFonts w:ascii="Palatino Linotype" w:eastAsia="Palatino Linotype" w:hAnsi="Palatino Linotype" w:cs="Palatino Linotype"/>
          <w:i/>
        </w:rPr>
      </w:pPr>
    </w:p>
    <w:p w14:paraId="42162FC3" w14:textId="77777777" w:rsidR="00831A5E" w:rsidRPr="0034034E" w:rsidRDefault="00831A5E" w:rsidP="00831A5E">
      <w:pPr>
        <w:spacing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La información documental comprobatoria de los informes trimestrales presentados, debe conservarse en los archivos de la entidad fiscalizada -municipio- en original y debidamente integrada en términos de los lineamientos de referencia, pues son susceptibles de revisión directa por el Órgano Superior de Fiscalización del Estado de México.</w:t>
      </w:r>
    </w:p>
    <w:p w14:paraId="683313B2" w14:textId="77777777" w:rsidR="00831A5E" w:rsidRPr="0034034E" w:rsidRDefault="00831A5E" w:rsidP="00831A5E">
      <w:pPr>
        <w:spacing w:line="360" w:lineRule="auto"/>
        <w:jc w:val="both"/>
        <w:rPr>
          <w:rFonts w:ascii="Palatino Linotype" w:eastAsia="Palatino Linotype" w:hAnsi="Palatino Linotype" w:cs="Palatino Linotype"/>
        </w:rPr>
      </w:pPr>
    </w:p>
    <w:p w14:paraId="0A8774ED" w14:textId="77777777" w:rsidR="00831A5E" w:rsidRPr="0034034E" w:rsidRDefault="00831A5E" w:rsidP="00831A5E">
      <w:pPr>
        <w:spacing w:after="80" w:line="360" w:lineRule="auto"/>
        <w:ind w:right="49"/>
        <w:jc w:val="both"/>
        <w:rPr>
          <w:rFonts w:ascii="Palatino Linotype" w:eastAsia="Palatino Linotype" w:hAnsi="Palatino Linotype" w:cs="Palatino Linotype"/>
        </w:rPr>
      </w:pPr>
      <w:r w:rsidRPr="0034034E">
        <w:rPr>
          <w:rFonts w:ascii="Palatino Linotype" w:eastAsia="Palatino Linotype" w:hAnsi="Palatino Linotype" w:cs="Palatino Linotype"/>
        </w:rPr>
        <w:t>En este contexto, el Órgano Superior de Fiscalización del Estado de México, emite en cada ejercicio fiscal los Lineamientos para la integración y entrega del Informe Trimestral Municipal, para el ejercicio 2022 y los Instructivos de llenado correspondientes, mismos que se encuentran disponibles en su sitio de internet</w:t>
      </w:r>
      <w:r w:rsidRPr="0034034E">
        <w:rPr>
          <w:rFonts w:ascii="Palatino Linotype" w:eastAsia="Palatino Linotype" w:hAnsi="Palatino Linotype" w:cs="Palatino Linotype"/>
          <w:vertAlign w:val="superscript"/>
        </w:rPr>
        <w:footnoteReference w:id="4"/>
      </w:r>
      <w:r w:rsidRPr="0034034E">
        <w:rPr>
          <w:rFonts w:ascii="Palatino Linotype" w:eastAsia="Palatino Linotype" w:hAnsi="Palatino Linotype" w:cs="Palatino Linotype"/>
        </w:rPr>
        <w:t>, con la finalidad de definir los criterios, los formatos y la documentación necesaria para presentar los informes trimestrales, que deben ser entregados a través de cuatro módulos, que contienen la siguiente información:</w:t>
      </w:r>
    </w:p>
    <w:p w14:paraId="099D52BC" w14:textId="77777777" w:rsidR="00831A5E" w:rsidRPr="0034034E" w:rsidRDefault="00831A5E" w:rsidP="00831A5E">
      <w:pPr>
        <w:spacing w:before="80" w:after="160" w:line="360" w:lineRule="auto"/>
        <w:ind w:right="49"/>
        <w:jc w:val="center"/>
        <w:rPr>
          <w:rFonts w:ascii="Palatino Linotype" w:eastAsia="Palatino Linotype" w:hAnsi="Palatino Linotype" w:cs="Palatino Linotype"/>
          <w:sz w:val="22"/>
          <w:szCs w:val="22"/>
        </w:rPr>
      </w:pPr>
      <w:r w:rsidRPr="0034034E">
        <w:rPr>
          <w:rFonts w:ascii="Palatino Linotype" w:eastAsia="Palatino Linotype" w:hAnsi="Palatino Linotype" w:cs="Palatino Linotype"/>
          <w:noProof/>
          <w:sz w:val="22"/>
          <w:szCs w:val="22"/>
        </w:rPr>
        <w:lastRenderedPageBreak/>
        <w:drawing>
          <wp:inline distT="0" distB="0" distL="0" distR="0" wp14:anchorId="58294880" wp14:editId="42CF343C">
            <wp:extent cx="5610225" cy="2324100"/>
            <wp:effectExtent l="0" t="0" r="0" b="0"/>
            <wp:docPr id="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610225" cy="2324100"/>
                    </a:xfrm>
                    <a:prstGeom prst="rect">
                      <a:avLst/>
                    </a:prstGeom>
                    <a:ln/>
                  </pic:spPr>
                </pic:pic>
              </a:graphicData>
            </a:graphic>
          </wp:inline>
        </w:drawing>
      </w:r>
    </w:p>
    <w:p w14:paraId="737BB755" w14:textId="77777777" w:rsidR="00831A5E" w:rsidRPr="0034034E" w:rsidRDefault="00831A5E" w:rsidP="00831A5E">
      <w:pPr>
        <w:spacing w:before="240" w:after="160" w:line="360" w:lineRule="auto"/>
        <w:ind w:right="49"/>
        <w:jc w:val="both"/>
        <w:rPr>
          <w:rFonts w:ascii="Palatino Linotype" w:eastAsia="Palatino Linotype" w:hAnsi="Palatino Linotype" w:cs="Palatino Linotype"/>
          <w:sz w:val="22"/>
          <w:szCs w:val="22"/>
        </w:rPr>
      </w:pPr>
      <w:r w:rsidRPr="0034034E">
        <w:rPr>
          <w:rFonts w:ascii="Palatino Linotype" w:eastAsia="Palatino Linotype" w:hAnsi="Palatino Linotype" w:cs="Palatino Linotype"/>
          <w:sz w:val="22"/>
          <w:szCs w:val="22"/>
        </w:rPr>
        <w:t xml:space="preserve">La información que con motivo de la nómina genera el </w:t>
      </w:r>
      <w:r w:rsidRPr="0034034E">
        <w:rPr>
          <w:rFonts w:ascii="Palatino Linotype" w:eastAsia="Palatino Linotype" w:hAnsi="Palatino Linotype" w:cs="Palatino Linotype"/>
          <w:b/>
          <w:sz w:val="22"/>
          <w:szCs w:val="22"/>
        </w:rPr>
        <w:t>Sujeto Obligado</w:t>
      </w:r>
      <w:r w:rsidRPr="0034034E">
        <w:rPr>
          <w:rFonts w:ascii="Palatino Linotype" w:eastAsia="Palatino Linotype" w:hAnsi="Palatino Linotype" w:cs="Palatino Linotype"/>
          <w:sz w:val="22"/>
          <w:szCs w:val="22"/>
        </w:rPr>
        <w:t xml:space="preserve">, se encuentra contenida en el Módulo 4 Información administrativa, </w:t>
      </w:r>
      <w:proofErr w:type="spellStart"/>
      <w:r w:rsidRPr="0034034E">
        <w:rPr>
          <w:rFonts w:ascii="Palatino Linotype" w:eastAsia="Palatino Linotype" w:hAnsi="Palatino Linotype" w:cs="Palatino Linotype"/>
          <w:sz w:val="22"/>
          <w:szCs w:val="22"/>
        </w:rPr>
        <w:t>Submódulo</w:t>
      </w:r>
      <w:proofErr w:type="spellEnd"/>
      <w:r w:rsidRPr="0034034E">
        <w:rPr>
          <w:rFonts w:ascii="Palatino Linotype" w:eastAsia="Palatino Linotype" w:hAnsi="Palatino Linotype" w:cs="Palatino Linotype"/>
          <w:sz w:val="22"/>
          <w:szCs w:val="22"/>
        </w:rPr>
        <w:t xml:space="preserve"> Nómina y Comprobantes Fiscales, como se muestra a continuación:</w:t>
      </w:r>
    </w:p>
    <w:p w14:paraId="6C352B31" w14:textId="77777777" w:rsidR="00831A5E" w:rsidRPr="0034034E" w:rsidRDefault="00831A5E" w:rsidP="00831A5E">
      <w:pPr>
        <w:spacing w:before="240" w:after="160" w:line="360" w:lineRule="auto"/>
        <w:ind w:right="49"/>
        <w:jc w:val="both"/>
        <w:rPr>
          <w:rFonts w:ascii="Palatino Linotype" w:eastAsia="Palatino Linotype" w:hAnsi="Palatino Linotype" w:cs="Palatino Linotype"/>
          <w:sz w:val="22"/>
          <w:szCs w:val="22"/>
        </w:rPr>
      </w:pPr>
      <w:r w:rsidRPr="0034034E">
        <w:rPr>
          <w:rFonts w:ascii="Palatino Linotype" w:eastAsia="Palatino Linotype" w:hAnsi="Palatino Linotype" w:cs="Palatino Linotype"/>
          <w:noProof/>
          <w:sz w:val="22"/>
          <w:szCs w:val="22"/>
        </w:rPr>
        <w:drawing>
          <wp:inline distT="0" distB="0" distL="0" distR="0" wp14:anchorId="2213C48E" wp14:editId="6B683E7F">
            <wp:extent cx="5610225" cy="2495550"/>
            <wp:effectExtent l="0" t="0" r="0" b="0"/>
            <wp:docPr id="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610225" cy="2495550"/>
                    </a:xfrm>
                    <a:prstGeom prst="rect">
                      <a:avLst/>
                    </a:prstGeom>
                    <a:ln/>
                  </pic:spPr>
                </pic:pic>
              </a:graphicData>
            </a:graphic>
          </wp:inline>
        </w:drawing>
      </w:r>
      <w:r w:rsidRPr="0034034E">
        <w:rPr>
          <w:rFonts w:ascii="Palatino Linotype" w:eastAsia="Palatino Linotype" w:hAnsi="Palatino Linotype" w:cs="Palatino Linotype"/>
          <w:sz w:val="22"/>
          <w:szCs w:val="22"/>
        </w:rPr>
        <w:t xml:space="preserve"> </w:t>
      </w:r>
      <w:r w:rsidRPr="0034034E">
        <w:rPr>
          <w:rFonts w:ascii="Calibri" w:eastAsia="Calibri" w:hAnsi="Calibri" w:cs="Calibri"/>
          <w:noProof/>
          <w:sz w:val="22"/>
          <w:szCs w:val="22"/>
        </w:rPr>
        <mc:AlternateContent>
          <mc:Choice Requires="wps">
            <w:drawing>
              <wp:anchor distT="0" distB="0" distL="114300" distR="114300" simplePos="0" relativeHeight="251659264" behindDoc="0" locked="0" layoutInCell="1" hidden="0" allowOverlap="1" wp14:anchorId="19326FD9" wp14:editId="3EF985EA">
                <wp:simplePos x="0" y="0"/>
                <wp:positionH relativeFrom="column">
                  <wp:posOffset>279400</wp:posOffset>
                </wp:positionH>
                <wp:positionV relativeFrom="paragraph">
                  <wp:posOffset>1892300</wp:posOffset>
                </wp:positionV>
                <wp:extent cx="2686050" cy="695325"/>
                <wp:effectExtent l="0" t="0" r="0" b="0"/>
                <wp:wrapNone/>
                <wp:docPr id="92" name="Rectángulo 92"/>
                <wp:cNvGraphicFramePr/>
                <a:graphic xmlns:a="http://schemas.openxmlformats.org/drawingml/2006/main">
                  <a:graphicData uri="http://schemas.microsoft.com/office/word/2010/wordprocessingShape">
                    <wps:wsp>
                      <wps:cNvSpPr/>
                      <wps:spPr>
                        <a:xfrm>
                          <a:off x="4022025" y="3451388"/>
                          <a:ext cx="2647950" cy="657225"/>
                        </a:xfrm>
                        <a:prstGeom prst="rect">
                          <a:avLst/>
                        </a:prstGeom>
                        <a:noFill/>
                        <a:ln w="38100" cap="flat" cmpd="sng">
                          <a:solidFill>
                            <a:srgbClr val="C00000"/>
                          </a:solidFill>
                          <a:prstDash val="solid"/>
                          <a:round/>
                          <a:headEnd type="none" w="sm" len="sm"/>
                          <a:tailEnd type="none" w="sm" len="sm"/>
                        </a:ln>
                      </wps:spPr>
                      <wps:txbx>
                        <w:txbxContent>
                          <w:p w14:paraId="3D512471" w14:textId="77777777" w:rsidR="00F41957" w:rsidRDefault="00F41957" w:rsidP="00831A5E">
                            <w:pPr>
                              <w:spacing w:line="258"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9326FD9" id="Rectángulo 92" o:spid="_x0000_s1026" style="position:absolute;left:0;text-align:left;margin-left:22pt;margin-top:149pt;width:211.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" filled="f" strokecolor="#c00000" strokeweight="3pt">
                <v:stroke startarrowwidth="narrow" startarrowlength="short" endarrowwidth="narrow" endarrowlength="short" joinstyle="round"/>
                <v:textbox inset="2.53958mm,2.53958mm,2.53958mm,2.53958mm">
                  <w:txbxContent>
                    <w:p w14:paraId="3D512471" w14:textId="77777777" w:rsidR="00F41957" w:rsidRDefault="00F41957" w:rsidP="00831A5E">
                      <w:pPr>
                        <w:spacing w:line="258" w:lineRule="auto"/>
                        <w:textDirection w:val="btLr"/>
                      </w:pPr>
                    </w:p>
                  </w:txbxContent>
                </v:textbox>
              </v:rect>
            </w:pict>
          </mc:Fallback>
        </mc:AlternateContent>
      </w:r>
    </w:p>
    <w:p w14:paraId="4EC6E59F" w14:textId="77777777" w:rsidR="00831A5E" w:rsidRPr="0034034E" w:rsidRDefault="00831A5E" w:rsidP="00831A5E">
      <w:pPr>
        <w:spacing w:before="240" w:after="360" w:line="360" w:lineRule="auto"/>
        <w:rPr>
          <w:rFonts w:ascii="Palatino Linotype" w:eastAsia="Palatino Linotype" w:hAnsi="Palatino Linotype" w:cs="Palatino Linotype"/>
        </w:rPr>
      </w:pPr>
    </w:p>
    <w:p w14:paraId="3F63D11D" w14:textId="77777777" w:rsidR="00831A5E" w:rsidRPr="0034034E" w:rsidRDefault="00831A5E" w:rsidP="00831A5E">
      <w:pPr>
        <w:spacing w:line="360" w:lineRule="auto"/>
        <w:jc w:val="both"/>
        <w:rPr>
          <w:rFonts w:ascii="Palatino Linotype" w:eastAsia="Palatino Linotype" w:hAnsi="Palatino Linotype" w:cs="Palatino Linotype"/>
        </w:rPr>
      </w:pPr>
      <w:r w:rsidRPr="0034034E">
        <w:rPr>
          <w:rFonts w:ascii="Calibri" w:eastAsia="Calibri" w:hAnsi="Calibri" w:cs="Calibri"/>
          <w:noProof/>
          <w:sz w:val="22"/>
          <w:szCs w:val="22"/>
        </w:rPr>
        <w:lastRenderedPageBreak/>
        <w:drawing>
          <wp:inline distT="0" distB="0" distL="0" distR="0" wp14:anchorId="059330B0" wp14:editId="7ABF78C5">
            <wp:extent cx="5609305" cy="7380664"/>
            <wp:effectExtent l="0" t="0" r="0" b="0"/>
            <wp:docPr id="96" name="image5.png" descr="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nterfaz de usuario gráfica&#10;&#10;Descripción generada automáticamente"/>
                    <pic:cNvPicPr preferRelativeResize="0"/>
                  </pic:nvPicPr>
                  <pic:blipFill>
                    <a:blip r:embed="rId15"/>
                    <a:srcRect l="34623" t="19010" r="36354" b="13095"/>
                    <a:stretch>
                      <a:fillRect/>
                    </a:stretch>
                  </pic:blipFill>
                  <pic:spPr>
                    <a:xfrm>
                      <a:off x="0" y="0"/>
                      <a:ext cx="5609305" cy="7380664"/>
                    </a:xfrm>
                    <a:prstGeom prst="rect">
                      <a:avLst/>
                    </a:prstGeom>
                    <a:ln/>
                  </pic:spPr>
                </pic:pic>
              </a:graphicData>
            </a:graphic>
          </wp:inline>
        </w:drawing>
      </w:r>
    </w:p>
    <w:p w14:paraId="735A22E5" w14:textId="77777777" w:rsidR="00831A5E" w:rsidRPr="0034034E" w:rsidRDefault="00831A5E" w:rsidP="00831A5E">
      <w:pPr>
        <w:spacing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lastRenderedPageBreak/>
        <w:t xml:space="preserve">En estas condiciones, resulta claro que la información de mérito fue generada en ejercicio de las atribuciones del </w:t>
      </w:r>
      <w:r w:rsidRPr="0034034E">
        <w:rPr>
          <w:rFonts w:ascii="Palatino Linotype" w:eastAsia="Palatino Linotype" w:hAnsi="Palatino Linotype" w:cs="Palatino Linotype"/>
          <w:b/>
        </w:rPr>
        <w:t>Sujeto Obligado</w:t>
      </w:r>
      <w:r w:rsidRPr="0034034E">
        <w:rPr>
          <w:rFonts w:ascii="Palatino Linotype" w:eastAsia="Palatino Linotype" w:hAnsi="Palatino Linotype" w:cs="Palatino Linotype"/>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63F99177" w14:textId="77777777" w:rsidR="00831A5E" w:rsidRPr="0034034E" w:rsidRDefault="00831A5E" w:rsidP="00831A5E">
      <w:pPr>
        <w:spacing w:line="360" w:lineRule="auto"/>
        <w:jc w:val="both"/>
        <w:rPr>
          <w:rFonts w:ascii="Palatino Linotype" w:eastAsia="Palatino Linotype" w:hAnsi="Palatino Linotype" w:cs="Palatino Linotype"/>
        </w:rPr>
      </w:pPr>
    </w:p>
    <w:p w14:paraId="784E802F" w14:textId="09EA3360" w:rsidR="00831A5E" w:rsidRPr="0034034E" w:rsidRDefault="00831A5E" w:rsidP="00831A5E">
      <w:pPr>
        <w:spacing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En tal contexto, se estima procedente ordenar la entrega del soporte documental del que se desprenda la información solicitada, en versión pública co</w:t>
      </w:r>
      <w:r w:rsidR="0096387C" w:rsidRPr="0034034E">
        <w:rPr>
          <w:rFonts w:ascii="Palatino Linotype" w:eastAsia="Palatino Linotype" w:hAnsi="Palatino Linotype" w:cs="Palatino Linotype"/>
        </w:rPr>
        <w:t>nforme al considerando quinto</w:t>
      </w:r>
      <w:r w:rsidRPr="0034034E">
        <w:rPr>
          <w:rFonts w:ascii="Palatino Linotype" w:eastAsia="Palatino Linotype" w:hAnsi="Palatino Linotype" w:cs="Palatino Linotype"/>
        </w:rPr>
        <w:t>.</w:t>
      </w:r>
    </w:p>
    <w:p w14:paraId="769871DF" w14:textId="77777777" w:rsidR="00831A5E" w:rsidRPr="0034034E" w:rsidRDefault="00831A5E" w:rsidP="00831A5E">
      <w:pPr>
        <w:spacing w:line="360" w:lineRule="auto"/>
        <w:jc w:val="both"/>
        <w:rPr>
          <w:rFonts w:ascii="Palatino Linotype" w:eastAsia="Palatino Linotype" w:hAnsi="Palatino Linotype" w:cs="Palatino Linotype"/>
        </w:rPr>
      </w:pPr>
    </w:p>
    <w:p w14:paraId="5155804E" w14:textId="77777777" w:rsidR="00831A5E" w:rsidRPr="0034034E" w:rsidRDefault="00831A5E" w:rsidP="00831A5E">
      <w:pPr>
        <w:spacing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582819C2" w14:textId="77777777" w:rsidR="00831A5E" w:rsidRPr="0034034E" w:rsidRDefault="00831A5E" w:rsidP="00831A5E">
      <w:pPr>
        <w:spacing w:after="160" w:line="259" w:lineRule="auto"/>
        <w:ind w:left="851" w:right="851"/>
        <w:jc w:val="both"/>
        <w:rPr>
          <w:rFonts w:ascii="Palatino Linotype" w:eastAsia="Palatino Linotype" w:hAnsi="Palatino Linotype" w:cs="Palatino Linotype"/>
          <w:i/>
          <w:sz w:val="22"/>
          <w:szCs w:val="22"/>
          <w:u w:val="single"/>
        </w:rPr>
      </w:pPr>
      <w:r w:rsidRPr="0034034E">
        <w:rPr>
          <w:rFonts w:ascii="Palatino Linotype" w:eastAsia="Palatino Linotype" w:hAnsi="Palatino Linotype" w:cs="Palatino Linotype"/>
          <w:b/>
          <w:i/>
          <w:sz w:val="22"/>
          <w:szCs w:val="22"/>
          <w:u w:val="single"/>
        </w:rPr>
        <w:lastRenderedPageBreak/>
        <w:t>“Artículo 7. El Estado de México garantizará el efectivo acceso de toda persona a la información en posesión de cualquier entidad,</w:t>
      </w:r>
      <w:r w:rsidRPr="0034034E">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34034E">
        <w:rPr>
          <w:rFonts w:ascii="Palatino Linotype" w:eastAsia="Palatino Linotype" w:hAnsi="Palatino Linotype" w:cs="Palatino Linotype"/>
          <w:b/>
          <w:i/>
          <w:sz w:val="22"/>
          <w:szCs w:val="22"/>
          <w:u w:val="single"/>
        </w:rPr>
        <w:t>que reciba y ejerza recursos públicos</w:t>
      </w:r>
      <w:r w:rsidRPr="0034034E">
        <w:rPr>
          <w:rFonts w:ascii="Palatino Linotype" w:eastAsia="Palatino Linotype" w:hAnsi="Palatino Linotype" w:cs="Palatino Linotype"/>
          <w:i/>
          <w:sz w:val="22"/>
          <w:szCs w:val="22"/>
        </w:rPr>
        <w:t xml:space="preserve"> o realice actos de autoridad </w:t>
      </w:r>
      <w:r w:rsidRPr="0034034E">
        <w:rPr>
          <w:rFonts w:ascii="Palatino Linotype" w:eastAsia="Palatino Linotype" w:hAnsi="Palatino Linotype" w:cs="Palatino Linotype"/>
          <w:b/>
          <w:i/>
          <w:sz w:val="22"/>
          <w:szCs w:val="22"/>
          <w:u w:val="single"/>
        </w:rPr>
        <w:t>en el ámbito de competencia del Estado de México y sus municipios</w:t>
      </w:r>
      <w:r w:rsidRPr="0034034E">
        <w:rPr>
          <w:rFonts w:ascii="Palatino Linotype" w:eastAsia="Palatino Linotype" w:hAnsi="Palatino Linotype" w:cs="Palatino Linotype"/>
          <w:i/>
          <w:sz w:val="22"/>
          <w:szCs w:val="22"/>
          <w:u w:val="single"/>
        </w:rPr>
        <w:t>.</w:t>
      </w:r>
    </w:p>
    <w:p w14:paraId="1571171F" w14:textId="77777777" w:rsidR="00831A5E" w:rsidRPr="0034034E" w:rsidRDefault="00831A5E" w:rsidP="00831A5E">
      <w:pPr>
        <w:spacing w:after="160" w:line="259" w:lineRule="auto"/>
        <w:ind w:left="851" w:right="851"/>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2E90CC77" w14:textId="77777777" w:rsidR="00831A5E" w:rsidRPr="0034034E" w:rsidRDefault="00831A5E" w:rsidP="00831A5E">
      <w:pPr>
        <w:spacing w:after="160" w:line="259" w:lineRule="auto"/>
        <w:ind w:left="851" w:right="851"/>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w:t>
      </w:r>
    </w:p>
    <w:p w14:paraId="0400C0A9" w14:textId="77777777" w:rsidR="00831A5E" w:rsidRPr="0034034E" w:rsidRDefault="00831A5E" w:rsidP="00831A5E">
      <w:pPr>
        <w:spacing w:after="160" w:line="259" w:lineRule="auto"/>
        <w:ind w:left="851" w:right="851"/>
        <w:jc w:val="both"/>
        <w:rPr>
          <w:rFonts w:ascii="Palatino Linotype" w:eastAsia="Palatino Linotype" w:hAnsi="Palatino Linotype" w:cs="Palatino Linotype"/>
          <w:b/>
          <w:i/>
          <w:sz w:val="22"/>
          <w:szCs w:val="22"/>
          <w:u w:val="single"/>
        </w:rPr>
      </w:pPr>
      <w:r w:rsidRPr="0034034E">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2BEBB530" w14:textId="77777777" w:rsidR="00831A5E" w:rsidRPr="0034034E" w:rsidRDefault="00831A5E" w:rsidP="00831A5E">
      <w:pPr>
        <w:spacing w:after="160" w:line="259" w:lineRule="auto"/>
        <w:ind w:left="851" w:right="851"/>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w:t>
      </w:r>
    </w:p>
    <w:p w14:paraId="0C92C935" w14:textId="77777777" w:rsidR="00831A5E" w:rsidRPr="0034034E" w:rsidRDefault="00831A5E" w:rsidP="00831A5E">
      <w:pPr>
        <w:spacing w:after="160" w:line="259" w:lineRule="auto"/>
        <w:ind w:left="851" w:right="851"/>
        <w:jc w:val="both"/>
        <w:rPr>
          <w:rFonts w:ascii="Palatino Linotype" w:eastAsia="Palatino Linotype" w:hAnsi="Palatino Linotype" w:cs="Palatino Linotype"/>
          <w:b/>
          <w:i/>
          <w:sz w:val="22"/>
          <w:szCs w:val="22"/>
          <w:u w:val="single"/>
        </w:rPr>
      </w:pPr>
      <w:r w:rsidRPr="0034034E">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63DB6C4" w14:textId="77777777" w:rsidR="00831A5E" w:rsidRPr="0034034E" w:rsidRDefault="00831A5E" w:rsidP="00831A5E">
      <w:pPr>
        <w:spacing w:after="160" w:line="259" w:lineRule="auto"/>
        <w:ind w:left="851" w:right="851"/>
        <w:jc w:val="both"/>
        <w:rPr>
          <w:rFonts w:ascii="Palatino Linotype" w:eastAsia="Palatino Linotype" w:hAnsi="Palatino Linotype" w:cs="Palatino Linotype"/>
          <w:b/>
          <w:i/>
          <w:sz w:val="22"/>
          <w:szCs w:val="22"/>
        </w:rPr>
      </w:pPr>
      <w:r w:rsidRPr="0034034E">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34034E">
        <w:rPr>
          <w:rFonts w:ascii="Palatino Linotype" w:eastAsia="Palatino Linotype" w:hAnsi="Palatino Linotype" w:cs="Palatino Linotype"/>
          <w:b/>
          <w:i/>
          <w:sz w:val="22"/>
          <w:szCs w:val="22"/>
        </w:rPr>
        <w:t xml:space="preserve"> [Sic]</w:t>
      </w:r>
    </w:p>
    <w:p w14:paraId="3899661A" w14:textId="77777777" w:rsidR="00831A5E" w:rsidRPr="0034034E" w:rsidRDefault="00831A5E" w:rsidP="00831A5E">
      <w:pPr>
        <w:spacing w:after="160" w:line="360" w:lineRule="auto"/>
        <w:jc w:val="both"/>
        <w:rPr>
          <w:rFonts w:ascii="Palatino Linotype" w:eastAsia="Palatino Linotype" w:hAnsi="Palatino Linotype" w:cs="Palatino Linotype"/>
          <w:sz w:val="22"/>
          <w:szCs w:val="22"/>
        </w:rPr>
      </w:pPr>
    </w:p>
    <w:p w14:paraId="6FEED8AC" w14:textId="77777777" w:rsidR="00831A5E" w:rsidRPr="0034034E" w:rsidRDefault="00831A5E" w:rsidP="00831A5E">
      <w:pPr>
        <w:spacing w:after="16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34034E">
        <w:rPr>
          <w:rFonts w:ascii="Palatino Linotype" w:eastAsia="Palatino Linotype" w:hAnsi="Palatino Linotype" w:cs="Palatino Linotype"/>
          <w:b/>
        </w:rPr>
        <w:t>01/2003</w:t>
      </w:r>
      <w:r w:rsidRPr="0034034E">
        <w:rPr>
          <w:rFonts w:ascii="Palatino Linotype" w:eastAsia="Palatino Linotype" w:hAnsi="Palatino Linotype" w:cs="Palatino Linotype"/>
        </w:rPr>
        <w:t xml:space="preserve"> y </w:t>
      </w:r>
      <w:r w:rsidRPr="0034034E">
        <w:rPr>
          <w:rFonts w:ascii="Palatino Linotype" w:eastAsia="Palatino Linotype" w:hAnsi="Palatino Linotype" w:cs="Palatino Linotype"/>
          <w:b/>
        </w:rPr>
        <w:t>02/2003</w:t>
      </w:r>
      <w:r w:rsidRPr="0034034E">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38FB2789" w14:textId="77777777" w:rsidR="00831A5E" w:rsidRPr="0034034E" w:rsidRDefault="00831A5E" w:rsidP="00831A5E">
      <w:pPr>
        <w:spacing w:after="160" w:line="259" w:lineRule="auto"/>
        <w:ind w:left="851" w:right="851"/>
        <w:rPr>
          <w:rFonts w:ascii="Palatino Linotype" w:eastAsia="Palatino Linotype" w:hAnsi="Palatino Linotype" w:cs="Palatino Linotype"/>
          <w:b/>
          <w:i/>
          <w:sz w:val="22"/>
          <w:szCs w:val="22"/>
        </w:rPr>
      </w:pPr>
      <w:r w:rsidRPr="0034034E">
        <w:rPr>
          <w:rFonts w:ascii="Palatino Linotype" w:eastAsia="Palatino Linotype" w:hAnsi="Palatino Linotype" w:cs="Palatino Linotype"/>
          <w:b/>
          <w:i/>
          <w:sz w:val="22"/>
          <w:szCs w:val="22"/>
        </w:rPr>
        <w:t>“Criterio 01/2003.</w:t>
      </w:r>
    </w:p>
    <w:p w14:paraId="16287FB9" w14:textId="77777777" w:rsidR="00831A5E" w:rsidRPr="0034034E" w:rsidRDefault="00831A5E" w:rsidP="00831A5E">
      <w:pPr>
        <w:spacing w:after="160" w:line="259" w:lineRule="auto"/>
        <w:ind w:left="851" w:right="851"/>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lastRenderedPageBreak/>
        <w:t>INGRESOS DE LOS SERVIDORES PÚBLICOS. CONSTITUYEN INFORMACIÓN PÚBLICA AÚN Y CUANDO SU DIFUSIÓN PUEDE AFECTAR LA VIDA O LA SEGURIDAD DE AQUELLOS.</w:t>
      </w:r>
      <w:r w:rsidRPr="0034034E">
        <w:rPr>
          <w:rFonts w:ascii="Palatino Linotype" w:eastAsia="Palatino Linotype" w:hAnsi="Palatino Linotype" w:cs="Palatino Linotype"/>
          <w:i/>
          <w:sz w:val="22"/>
          <w:szCs w:val="22"/>
        </w:rPr>
        <w:t xml:space="preserve"> </w:t>
      </w:r>
    </w:p>
    <w:p w14:paraId="2AB8A497" w14:textId="77777777" w:rsidR="00831A5E" w:rsidRPr="0034034E" w:rsidRDefault="00831A5E" w:rsidP="00831A5E">
      <w:pPr>
        <w:spacing w:after="160" w:line="259" w:lineRule="auto"/>
        <w:ind w:left="851" w:right="851"/>
        <w:jc w:val="both"/>
        <w:rPr>
          <w:rFonts w:ascii="Palatino Linotype" w:eastAsia="Palatino Linotype" w:hAnsi="Palatino Linotype" w:cs="Palatino Linotype"/>
          <w:i/>
          <w:sz w:val="22"/>
          <w:szCs w:val="22"/>
          <w:u w:val="single"/>
        </w:rPr>
      </w:pPr>
      <w:r w:rsidRPr="0034034E">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4034E">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4034E">
        <w:rPr>
          <w:rFonts w:ascii="Palatino Linotype" w:eastAsia="Palatino Linotype" w:hAnsi="Palatino Linotype" w:cs="Palatino Linotype"/>
          <w:i/>
          <w:sz w:val="22"/>
          <w:szCs w:val="22"/>
          <w:u w:val="single"/>
        </w:rPr>
        <w:t>…”</w:t>
      </w:r>
    </w:p>
    <w:p w14:paraId="088EFA2B" w14:textId="77777777" w:rsidR="00831A5E" w:rsidRPr="0034034E" w:rsidRDefault="00831A5E" w:rsidP="00831A5E">
      <w:pPr>
        <w:spacing w:after="160" w:line="259" w:lineRule="auto"/>
        <w:ind w:left="851" w:right="851"/>
        <w:jc w:val="both"/>
        <w:rPr>
          <w:rFonts w:ascii="Palatino Linotype" w:eastAsia="Palatino Linotype" w:hAnsi="Palatino Linotype" w:cs="Palatino Linotype"/>
          <w:i/>
          <w:sz w:val="22"/>
          <w:szCs w:val="22"/>
        </w:rPr>
      </w:pPr>
    </w:p>
    <w:p w14:paraId="701FF7C5" w14:textId="77777777" w:rsidR="00831A5E" w:rsidRPr="0034034E" w:rsidRDefault="00831A5E" w:rsidP="00831A5E">
      <w:pPr>
        <w:spacing w:after="160" w:line="259" w:lineRule="auto"/>
        <w:ind w:left="851" w:right="851"/>
        <w:rPr>
          <w:rFonts w:ascii="Palatino Linotype" w:eastAsia="Palatino Linotype" w:hAnsi="Palatino Linotype" w:cs="Palatino Linotype"/>
          <w:b/>
          <w:i/>
          <w:sz w:val="22"/>
          <w:szCs w:val="22"/>
        </w:rPr>
      </w:pPr>
      <w:r w:rsidRPr="0034034E">
        <w:rPr>
          <w:rFonts w:ascii="Palatino Linotype" w:eastAsia="Palatino Linotype" w:hAnsi="Palatino Linotype" w:cs="Palatino Linotype"/>
          <w:b/>
          <w:i/>
          <w:sz w:val="22"/>
          <w:szCs w:val="22"/>
        </w:rPr>
        <w:t>“Criterio 02/2003.</w:t>
      </w:r>
    </w:p>
    <w:p w14:paraId="15712A98" w14:textId="77777777" w:rsidR="00831A5E" w:rsidRPr="0034034E" w:rsidRDefault="00831A5E" w:rsidP="00831A5E">
      <w:pPr>
        <w:spacing w:after="160" w:line="259" w:lineRule="auto"/>
        <w:ind w:left="851" w:right="851"/>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34034E">
        <w:rPr>
          <w:rFonts w:ascii="Palatino Linotype" w:eastAsia="Palatino Linotype" w:hAnsi="Palatino Linotype" w:cs="Palatino Linotype"/>
          <w:i/>
          <w:sz w:val="22"/>
          <w:szCs w:val="22"/>
        </w:rPr>
        <w:t xml:space="preserve"> </w:t>
      </w:r>
    </w:p>
    <w:p w14:paraId="317BBD98" w14:textId="77777777" w:rsidR="00831A5E" w:rsidRPr="0034034E" w:rsidRDefault="00831A5E" w:rsidP="00831A5E">
      <w:pPr>
        <w:spacing w:line="276" w:lineRule="auto"/>
        <w:ind w:left="851" w:right="851"/>
        <w:jc w:val="both"/>
        <w:rPr>
          <w:rFonts w:ascii="Palatino Linotype" w:eastAsia="Palatino Linotype" w:hAnsi="Palatino Linotype" w:cs="Palatino Linotype"/>
          <w:b/>
          <w:i/>
          <w:sz w:val="22"/>
          <w:szCs w:val="22"/>
        </w:rPr>
      </w:pPr>
      <w:r w:rsidRPr="0034034E">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4034E">
        <w:rPr>
          <w:rFonts w:ascii="Palatino Linotype" w:eastAsia="Palatino Linotype" w:hAnsi="Palatino Linotype" w:cs="Palatino Linotype"/>
          <w:b/>
          <w:i/>
          <w:sz w:val="22"/>
          <w:szCs w:val="22"/>
          <w:u w:val="single"/>
        </w:rPr>
        <w:t xml:space="preserve">lo que deriva del hecho de que en términos de los previsto en el citado ordenamiento deben ponerse a disposición del público a través de medios remotos o locales de comunicación electrónica, </w:t>
      </w:r>
      <w:r w:rsidRPr="0034034E">
        <w:rPr>
          <w:rFonts w:ascii="Palatino Linotype" w:eastAsia="Palatino Linotype" w:hAnsi="Palatino Linotype" w:cs="Palatino Linotype"/>
          <w:b/>
          <w:i/>
          <w:sz w:val="22"/>
          <w:szCs w:val="22"/>
          <w:u w:val="single"/>
        </w:rPr>
        <w:lastRenderedPageBreak/>
        <w:t>tanto el directorio de servidores públicos como las remuneraciones mensuales por puesto incluso</w:t>
      </w:r>
      <w:r w:rsidRPr="0034034E">
        <w:rPr>
          <w:rFonts w:ascii="Palatino Linotype" w:eastAsia="Palatino Linotype" w:hAnsi="Palatino Linotype" w:cs="Palatino Linotype"/>
          <w:i/>
          <w:sz w:val="22"/>
          <w:szCs w:val="22"/>
        </w:rPr>
        <w:t xml:space="preserve"> el sistema de compensación…” </w:t>
      </w:r>
      <w:r w:rsidRPr="0034034E">
        <w:rPr>
          <w:rFonts w:ascii="Palatino Linotype" w:eastAsia="Palatino Linotype" w:hAnsi="Palatino Linotype" w:cs="Palatino Linotype"/>
          <w:b/>
          <w:i/>
          <w:sz w:val="22"/>
          <w:szCs w:val="22"/>
        </w:rPr>
        <w:t>[Sic]</w:t>
      </w:r>
    </w:p>
    <w:p w14:paraId="732548C8" w14:textId="77777777" w:rsidR="00831A5E" w:rsidRPr="0034034E" w:rsidRDefault="00831A5E" w:rsidP="00831A5E">
      <w:pPr>
        <w:spacing w:line="360" w:lineRule="auto"/>
        <w:jc w:val="both"/>
        <w:rPr>
          <w:rFonts w:ascii="Palatino Linotype" w:eastAsia="Palatino Linotype" w:hAnsi="Palatino Linotype" w:cs="Palatino Linotype"/>
        </w:rPr>
      </w:pPr>
    </w:p>
    <w:p w14:paraId="78661551" w14:textId="77777777" w:rsidR="00831A5E" w:rsidRPr="0034034E" w:rsidRDefault="00831A5E" w:rsidP="00831A5E">
      <w:pPr>
        <w:spacing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Ahora bien, el artículo 70 de la Ley General de Transparencia y Acceso a la Información Pública dispone lo siguiente: </w:t>
      </w:r>
    </w:p>
    <w:p w14:paraId="7F4CBD95" w14:textId="77777777" w:rsidR="00831A5E" w:rsidRPr="0034034E" w:rsidRDefault="00831A5E" w:rsidP="00831A5E">
      <w:pPr>
        <w:spacing w:line="360" w:lineRule="auto"/>
        <w:jc w:val="both"/>
        <w:rPr>
          <w:rFonts w:ascii="Palatino Linotype" w:eastAsia="Palatino Linotype" w:hAnsi="Palatino Linotype" w:cs="Palatino Linotype"/>
          <w:sz w:val="22"/>
          <w:szCs w:val="22"/>
        </w:rPr>
      </w:pPr>
    </w:p>
    <w:p w14:paraId="3E11F264" w14:textId="77777777" w:rsidR="00831A5E" w:rsidRPr="0034034E" w:rsidRDefault="00831A5E" w:rsidP="00831A5E">
      <w:pPr>
        <w:spacing w:line="276" w:lineRule="auto"/>
        <w:ind w:left="851" w:right="900"/>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518CCA82" w14:textId="77777777" w:rsidR="00831A5E" w:rsidRPr="0034034E" w:rsidRDefault="00831A5E" w:rsidP="00831A5E">
      <w:pPr>
        <w:spacing w:line="276" w:lineRule="auto"/>
        <w:ind w:left="851" w:right="900"/>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 xml:space="preserve">… </w:t>
      </w:r>
    </w:p>
    <w:p w14:paraId="2141B173" w14:textId="77777777" w:rsidR="00831A5E" w:rsidRPr="0034034E" w:rsidRDefault="00831A5E" w:rsidP="00831A5E">
      <w:pPr>
        <w:spacing w:line="276" w:lineRule="auto"/>
        <w:ind w:left="851" w:right="900"/>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7041428B" w14:textId="77777777" w:rsidR="00831A5E" w:rsidRPr="0034034E" w:rsidRDefault="00831A5E" w:rsidP="00831A5E">
      <w:pPr>
        <w:spacing w:line="360" w:lineRule="auto"/>
        <w:jc w:val="both"/>
        <w:rPr>
          <w:rFonts w:ascii="Calibri" w:eastAsia="Calibri" w:hAnsi="Calibri" w:cs="Calibri"/>
          <w:sz w:val="22"/>
          <w:szCs w:val="22"/>
        </w:rPr>
      </w:pPr>
    </w:p>
    <w:p w14:paraId="12A2D06D" w14:textId="77777777" w:rsidR="00831A5E" w:rsidRPr="0034034E" w:rsidRDefault="00831A5E" w:rsidP="00831A5E">
      <w:pPr>
        <w:spacing w:line="360" w:lineRule="auto"/>
        <w:ind w:right="49"/>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Robustece lo anterior, el artículo 92, fracción VIII de la Ley de Transparencia y Acceso a la Información Pública del Estado de México y Municipios, señala: </w:t>
      </w:r>
    </w:p>
    <w:p w14:paraId="0B2297E1" w14:textId="77777777" w:rsidR="00831A5E" w:rsidRPr="0034034E" w:rsidRDefault="00831A5E" w:rsidP="00831A5E">
      <w:pPr>
        <w:spacing w:line="360" w:lineRule="auto"/>
        <w:ind w:right="49"/>
        <w:jc w:val="both"/>
        <w:rPr>
          <w:rFonts w:ascii="Palatino Linotype" w:eastAsia="Palatino Linotype" w:hAnsi="Palatino Linotype" w:cs="Palatino Linotype"/>
          <w:sz w:val="22"/>
          <w:szCs w:val="22"/>
        </w:rPr>
      </w:pPr>
    </w:p>
    <w:p w14:paraId="492941A5" w14:textId="77777777" w:rsidR="00831A5E" w:rsidRPr="0034034E" w:rsidRDefault="00831A5E" w:rsidP="00831A5E">
      <w:pPr>
        <w:spacing w:line="276" w:lineRule="auto"/>
        <w:ind w:left="851" w:right="900"/>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EC8258A" w14:textId="77777777" w:rsidR="00831A5E" w:rsidRPr="0034034E" w:rsidRDefault="00831A5E" w:rsidP="00831A5E">
      <w:pPr>
        <w:spacing w:line="276" w:lineRule="auto"/>
        <w:ind w:left="851" w:right="900"/>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w:t>
      </w:r>
    </w:p>
    <w:p w14:paraId="6F550DB9" w14:textId="77777777" w:rsidR="00831A5E" w:rsidRPr="0034034E" w:rsidRDefault="00831A5E" w:rsidP="00831A5E">
      <w:pPr>
        <w:spacing w:line="276" w:lineRule="auto"/>
        <w:ind w:left="851" w:right="900"/>
        <w:jc w:val="both"/>
        <w:rPr>
          <w:rFonts w:ascii="Palatino Linotype" w:eastAsia="Palatino Linotype" w:hAnsi="Palatino Linotype" w:cs="Palatino Linotype"/>
          <w:i/>
          <w:sz w:val="22"/>
          <w:szCs w:val="22"/>
        </w:rPr>
      </w:pPr>
      <w:r w:rsidRPr="0034034E">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CFC764F" w14:textId="77777777" w:rsidR="00831A5E" w:rsidRPr="0034034E" w:rsidRDefault="00831A5E" w:rsidP="00831A5E">
      <w:pPr>
        <w:spacing w:line="360" w:lineRule="auto"/>
        <w:jc w:val="both"/>
        <w:rPr>
          <w:rFonts w:ascii="Calibri" w:eastAsia="Calibri" w:hAnsi="Calibri" w:cs="Calibri"/>
          <w:sz w:val="22"/>
          <w:szCs w:val="22"/>
        </w:rPr>
      </w:pPr>
    </w:p>
    <w:p w14:paraId="6C53712A" w14:textId="77777777" w:rsidR="00831A5E" w:rsidRPr="0034034E" w:rsidRDefault="00831A5E" w:rsidP="00831A5E">
      <w:pPr>
        <w:spacing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lastRenderedPageBreak/>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14:paraId="0A816955" w14:textId="77777777" w:rsidR="0096387C" w:rsidRPr="0034034E" w:rsidRDefault="0096387C" w:rsidP="0096387C">
      <w:pPr>
        <w:spacing w:line="360" w:lineRule="auto"/>
        <w:jc w:val="both"/>
        <w:rPr>
          <w:rFonts w:ascii="Palatino Linotype" w:hAnsi="Palatino Linotype" w:cs="Arial"/>
          <w:lang w:val="es-ES" w:eastAsia="es-ES"/>
        </w:rPr>
      </w:pPr>
    </w:p>
    <w:p w14:paraId="6D4B0A7E" w14:textId="3838C234" w:rsidR="0096387C" w:rsidRPr="0034034E" w:rsidRDefault="0096387C" w:rsidP="0096387C">
      <w:pPr>
        <w:spacing w:line="360" w:lineRule="auto"/>
        <w:jc w:val="both"/>
        <w:rPr>
          <w:rFonts w:ascii="Palatino Linotype" w:hAnsi="Palatino Linotype"/>
          <w:lang w:val="es-ES" w:eastAsia="es-ES"/>
        </w:rPr>
      </w:pPr>
      <w:r w:rsidRPr="0034034E">
        <w:rPr>
          <w:rFonts w:ascii="Palatino Linotype" w:hAnsi="Palatino Linotype" w:cs="Arial"/>
          <w:lang w:val="es-ES" w:eastAsia="es-ES"/>
        </w:rPr>
        <w:t xml:space="preserve">Por otra parte, debemos recordar que otro punto de la solicitud es el último grado de estudios, por lo que debe tenerse en cuenta </w:t>
      </w:r>
      <w:r w:rsidR="00F5142E" w:rsidRPr="0034034E">
        <w:rPr>
          <w:rFonts w:ascii="Palatino Linotype" w:hAnsi="Palatino Linotype" w:cs="Arial"/>
          <w:lang w:val="es-ES" w:eastAsia="es-ES"/>
        </w:rPr>
        <w:t>lo dispuesto en el</w:t>
      </w:r>
      <w:r w:rsidR="00F5142E" w:rsidRPr="0034034E">
        <w:rPr>
          <w:rFonts w:ascii="Palatino Linotype" w:hAnsi="Palatino Linotype"/>
          <w:lang w:val="es-ES" w:eastAsia="es-ES"/>
        </w:rPr>
        <w:t xml:space="preserve"> artículo</w:t>
      </w:r>
      <w:r w:rsidRPr="0034034E">
        <w:rPr>
          <w:rFonts w:ascii="Palatino Linotype" w:hAnsi="Palatino Linotype"/>
          <w:lang w:val="es-ES" w:eastAsia="es-ES"/>
        </w:rPr>
        <w:t xml:space="preserve"> </w:t>
      </w:r>
      <w:proofErr w:type="gramStart"/>
      <w:r w:rsidRPr="0034034E">
        <w:rPr>
          <w:rFonts w:ascii="Palatino Linotype" w:hAnsi="Palatino Linotype"/>
          <w:lang w:val="es-ES" w:eastAsia="es-ES"/>
        </w:rPr>
        <w:t>60  de</w:t>
      </w:r>
      <w:proofErr w:type="gramEnd"/>
      <w:r w:rsidRPr="0034034E">
        <w:rPr>
          <w:rFonts w:ascii="Palatino Linotype" w:hAnsi="Palatino Linotype"/>
          <w:lang w:val="es-ES" w:eastAsia="es-ES"/>
        </w:rPr>
        <w:t xml:space="preserve"> la Ley General de Educación, 3.27 fracción IV, 3.28, 3.29 y 3.31 segundo párrafo del Código Administrativo del Estado de México, que prevén:</w:t>
      </w:r>
    </w:p>
    <w:p w14:paraId="72DE79A2" w14:textId="77777777" w:rsidR="0096387C" w:rsidRPr="0034034E" w:rsidRDefault="0096387C" w:rsidP="0096387C">
      <w:pPr>
        <w:spacing w:line="360" w:lineRule="auto"/>
        <w:jc w:val="both"/>
        <w:rPr>
          <w:rFonts w:ascii="Palatino Linotype" w:hAnsi="Palatino Linotype"/>
          <w:i/>
          <w:sz w:val="20"/>
          <w:szCs w:val="20"/>
          <w:lang w:val="es-ES" w:eastAsia="es-ES"/>
        </w:rPr>
      </w:pPr>
    </w:p>
    <w:p w14:paraId="5BED316A" w14:textId="77777777" w:rsidR="0096387C" w:rsidRPr="0034034E" w:rsidRDefault="0096387C" w:rsidP="0096387C">
      <w:pPr>
        <w:spacing w:after="120" w:line="276" w:lineRule="auto"/>
        <w:ind w:left="851" w:right="902"/>
        <w:jc w:val="both"/>
        <w:rPr>
          <w:rFonts w:ascii="Palatino Linotype" w:eastAsia="Calibri" w:hAnsi="Palatino Linotype"/>
          <w:i/>
          <w:sz w:val="22"/>
          <w:szCs w:val="20"/>
          <w:lang w:eastAsia="en-US"/>
        </w:rPr>
      </w:pPr>
      <w:r w:rsidRPr="0034034E">
        <w:rPr>
          <w:rFonts w:ascii="Palatino Linotype" w:eastAsia="Calibri" w:hAnsi="Palatino Linotype"/>
          <w:b/>
          <w:i/>
          <w:sz w:val="20"/>
          <w:szCs w:val="20"/>
          <w:lang w:eastAsia="en-US"/>
        </w:rPr>
        <w:t>“</w:t>
      </w:r>
      <w:r w:rsidRPr="0034034E">
        <w:rPr>
          <w:rFonts w:ascii="Palatino Linotype" w:eastAsia="Calibri" w:hAnsi="Palatino Linotype"/>
          <w:b/>
          <w:i/>
          <w:sz w:val="22"/>
          <w:szCs w:val="20"/>
          <w:lang w:eastAsia="en-US"/>
        </w:rPr>
        <w:t>ARTÍCULO 60.-</w:t>
      </w:r>
      <w:r w:rsidRPr="0034034E">
        <w:rPr>
          <w:rFonts w:ascii="Palatino Linotype" w:eastAsia="Calibri" w:hAnsi="Palatino Linotype"/>
          <w:i/>
          <w:sz w:val="22"/>
          <w:szCs w:val="20"/>
          <w:lang w:eastAsia="en-US"/>
        </w:rPr>
        <w:t xml:space="preserve"> Los estudios realizados dentro del sistema educativo nacional tendrán validez en toda la República.</w:t>
      </w:r>
    </w:p>
    <w:p w14:paraId="358D8933" w14:textId="77777777" w:rsidR="0096387C" w:rsidRPr="0034034E" w:rsidRDefault="0096387C" w:rsidP="0096387C">
      <w:pPr>
        <w:spacing w:after="120" w:line="276" w:lineRule="auto"/>
        <w:ind w:left="851" w:right="902"/>
        <w:jc w:val="both"/>
        <w:rPr>
          <w:rFonts w:ascii="Palatino Linotype" w:eastAsia="Calibri" w:hAnsi="Palatino Linotype"/>
          <w:i/>
          <w:sz w:val="22"/>
          <w:szCs w:val="20"/>
          <w:lang w:eastAsia="en-US"/>
        </w:rPr>
      </w:pPr>
      <w:r w:rsidRPr="0034034E">
        <w:rPr>
          <w:rFonts w:ascii="Palatino Linotype" w:eastAsia="Calibri" w:hAnsi="Palatino Linotype"/>
          <w:i/>
          <w:sz w:val="22"/>
          <w:szCs w:val="20"/>
          <w:lang w:eastAsia="en-US"/>
        </w:rPr>
        <w:t>Las instituciones del sistema educativo nacional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w:t>
      </w:r>
    </w:p>
    <w:p w14:paraId="375141A1" w14:textId="4B942010" w:rsidR="0096387C" w:rsidRPr="0034034E" w:rsidRDefault="0096387C" w:rsidP="0096387C">
      <w:pPr>
        <w:spacing w:before="240" w:after="240" w:line="360" w:lineRule="auto"/>
        <w:ind w:right="49"/>
        <w:jc w:val="both"/>
        <w:rPr>
          <w:rFonts w:ascii="Palatino Linotype" w:eastAsia="Calibri" w:hAnsi="Palatino Linotype"/>
          <w:lang w:eastAsia="en-US"/>
        </w:rPr>
      </w:pPr>
      <w:r w:rsidRPr="0034034E">
        <w:rPr>
          <w:rFonts w:ascii="Palatino Linotype" w:eastAsia="Calibri" w:hAnsi="Palatino Linotype"/>
          <w:lang w:eastAsia="en-US"/>
        </w:rPr>
        <w:t>De lo dispuesto e</w:t>
      </w:r>
      <w:r w:rsidR="00F5142E" w:rsidRPr="0034034E">
        <w:rPr>
          <w:rFonts w:ascii="Palatino Linotype" w:eastAsia="Calibri" w:hAnsi="Palatino Linotype"/>
          <w:lang w:eastAsia="en-US"/>
        </w:rPr>
        <w:t>n el</w:t>
      </w:r>
      <w:r w:rsidRPr="0034034E">
        <w:rPr>
          <w:rFonts w:ascii="Palatino Linotype" w:eastAsia="Calibri" w:hAnsi="Palatino Linotype"/>
          <w:lang w:eastAsia="en-US"/>
        </w:rPr>
        <w:t xml:space="preserve"> preceptos legales en cita, se obtiene que en materia de educación, es aplicable en la entidad lo dispuesto en la Ley General de Educación, por lo que en términos de dicha ley, el estudio educativo realizado dentro del sistema educativo nacional tiene validez en toda la República; siendo una obligación de las instituciones educativas expedir certificadas y otorgar constancias, diplomas, títulos o grados académicos a las personas que hayan concluido estudios de </w:t>
      </w:r>
      <w:r w:rsidRPr="0034034E">
        <w:rPr>
          <w:rFonts w:ascii="Palatino Linotype" w:eastAsia="Calibri" w:hAnsi="Palatino Linotype"/>
          <w:lang w:eastAsia="en-US"/>
        </w:rPr>
        <w:lastRenderedPageBreak/>
        <w:t>conformidad con los requisitos establecidos en los planes y programas de estudio correspondientes.</w:t>
      </w:r>
    </w:p>
    <w:p w14:paraId="5E2871CD" w14:textId="1777059E" w:rsidR="0096387C" w:rsidRPr="0034034E" w:rsidRDefault="0096387C" w:rsidP="0096387C">
      <w:pPr>
        <w:spacing w:before="240" w:after="240" w:line="360" w:lineRule="auto"/>
        <w:jc w:val="both"/>
        <w:rPr>
          <w:rFonts w:ascii="Palatino Linotype" w:hAnsi="Palatino Linotype" w:cs="Arial"/>
          <w:lang w:val="es-ES" w:eastAsia="es-ES"/>
        </w:rPr>
      </w:pPr>
      <w:r w:rsidRPr="0034034E">
        <w:rPr>
          <w:rFonts w:ascii="Palatino Linotype" w:hAnsi="Palatino Linotype" w:cs="Arial"/>
          <w:lang w:val="es-ES" w:eastAsia="es-ES"/>
        </w:rPr>
        <w:t xml:space="preserve">Ante los argumentos planteados, se puede concluir que constituyen documentos probatorios de estudios; los certificados, constancias, diplomas, títulos y/o cédula profesional, por tratarse de la expresión documental que permite acreditar el grado de estudios de los servidores públicos, por lo que el </w:t>
      </w:r>
      <w:r w:rsidRPr="0034034E">
        <w:rPr>
          <w:rFonts w:ascii="Palatino Linotype" w:hAnsi="Palatino Linotype" w:cs="Arial"/>
          <w:b/>
          <w:lang w:val="es-ES" w:eastAsia="es-ES"/>
        </w:rPr>
        <w:t>Sujeto Obligado</w:t>
      </w:r>
      <w:r w:rsidRPr="0034034E">
        <w:rPr>
          <w:rFonts w:ascii="Palatino Linotype" w:hAnsi="Palatino Linotype" w:cs="Arial"/>
          <w:lang w:val="es-ES" w:eastAsia="es-ES"/>
        </w:rPr>
        <w:t xml:space="preserve"> deberá hacer entrega del soporte documental en el que conste el último grado de estudios de los servidores públicos adscritos a la dirección de servicios públicos en funciones al dieciocho de noviembre de dos mil veintidós, </w:t>
      </w:r>
      <w:r w:rsidRPr="0034034E">
        <w:rPr>
          <w:rFonts w:ascii="Palatino Linotype" w:hAnsi="Palatino Linotype"/>
          <w:lang w:val="es-ES" w:eastAsia="es-ES"/>
        </w:rPr>
        <w:t>salvaguardando los datos</w:t>
      </w:r>
      <w:r w:rsidRPr="0034034E">
        <w:rPr>
          <w:rFonts w:ascii="Palatino Linotype" w:hAnsi="Palatino Linotype" w:cs="Arial"/>
          <w:lang w:val="es-ES" w:eastAsia="es-ES"/>
        </w:rPr>
        <w:t xml:space="preserve"> personales que en ellos consten, en atención al considerando siguiente.</w:t>
      </w:r>
    </w:p>
    <w:p w14:paraId="61EBE19A" w14:textId="0BE3EF26" w:rsidR="00716691" w:rsidRPr="0034034E" w:rsidRDefault="00716691" w:rsidP="0096387C">
      <w:pPr>
        <w:spacing w:before="240" w:after="240" w:line="360" w:lineRule="auto"/>
        <w:jc w:val="both"/>
        <w:rPr>
          <w:rFonts w:ascii="Palatino Linotype" w:hAnsi="Palatino Linotype"/>
          <w:lang w:eastAsia="es-ES"/>
        </w:rPr>
      </w:pPr>
      <w:r w:rsidRPr="0034034E">
        <w:rPr>
          <w:rFonts w:ascii="Palatino Linotype" w:hAnsi="Palatino Linotype"/>
          <w:lang w:eastAsia="es-ES"/>
        </w:rPr>
        <w:t>Ahora bien, cabe señalar que los documentos que den cuenta de lo solicitado, pudieran contener diversos datos, los cuales podrían ser considerados confidenciales, tales como:</w:t>
      </w:r>
    </w:p>
    <w:p w14:paraId="2E74BE36" w14:textId="77777777" w:rsidR="00716691" w:rsidRPr="0034034E" w:rsidRDefault="00716691" w:rsidP="00716691">
      <w:pPr>
        <w:numPr>
          <w:ilvl w:val="0"/>
          <w:numId w:val="13"/>
        </w:numPr>
        <w:spacing w:after="160" w:line="360" w:lineRule="auto"/>
        <w:contextualSpacing/>
        <w:jc w:val="both"/>
        <w:rPr>
          <w:rFonts w:ascii="Palatino Linotype" w:eastAsia="Calibri" w:hAnsi="Palatino Linotype" w:cs="Tahoma"/>
          <w:sz w:val="22"/>
          <w:szCs w:val="22"/>
          <w:lang w:eastAsia="en-US"/>
        </w:rPr>
      </w:pPr>
      <w:r w:rsidRPr="0034034E">
        <w:rPr>
          <w:rFonts w:ascii="Palatino Linotype" w:eastAsia="Calibri" w:hAnsi="Palatino Linotype" w:cs="Tahoma"/>
          <w:color w:val="000000"/>
          <w:sz w:val="22"/>
          <w:szCs w:val="22"/>
          <w:lang w:eastAsia="en-US"/>
        </w:rPr>
        <w:t>Clave Única de Registro de Población;</w:t>
      </w:r>
    </w:p>
    <w:p w14:paraId="4FB1E027" w14:textId="77777777" w:rsidR="00716691" w:rsidRPr="0034034E" w:rsidRDefault="00716691" w:rsidP="00716691">
      <w:pPr>
        <w:numPr>
          <w:ilvl w:val="0"/>
          <w:numId w:val="13"/>
        </w:numPr>
        <w:spacing w:after="160" w:line="360" w:lineRule="auto"/>
        <w:contextualSpacing/>
        <w:jc w:val="both"/>
        <w:rPr>
          <w:rFonts w:ascii="Palatino Linotype" w:eastAsia="Calibri" w:hAnsi="Palatino Linotype" w:cs="Tahoma"/>
          <w:color w:val="000000"/>
          <w:sz w:val="22"/>
          <w:szCs w:val="22"/>
          <w:lang w:eastAsia="en-US"/>
        </w:rPr>
      </w:pPr>
      <w:r w:rsidRPr="0034034E">
        <w:rPr>
          <w:rFonts w:ascii="Palatino Linotype" w:eastAsia="Calibri" w:hAnsi="Palatino Linotype" w:cs="Tahoma"/>
          <w:color w:val="000000"/>
          <w:sz w:val="22"/>
          <w:szCs w:val="22"/>
          <w:lang w:eastAsia="en-US"/>
        </w:rPr>
        <w:t>Matrícula o número de cuenta, número de expediente o de control.</w:t>
      </w:r>
    </w:p>
    <w:p w14:paraId="75F11D65" w14:textId="77777777" w:rsidR="00716691" w:rsidRPr="0034034E" w:rsidRDefault="00716691" w:rsidP="00716691">
      <w:pPr>
        <w:numPr>
          <w:ilvl w:val="0"/>
          <w:numId w:val="13"/>
        </w:numPr>
        <w:spacing w:after="160" w:line="360" w:lineRule="auto"/>
        <w:contextualSpacing/>
        <w:jc w:val="both"/>
        <w:rPr>
          <w:rFonts w:ascii="Palatino Linotype" w:eastAsia="Calibri" w:hAnsi="Palatino Linotype" w:cs="Tahoma"/>
          <w:color w:val="000000"/>
          <w:sz w:val="22"/>
          <w:szCs w:val="22"/>
          <w:lang w:eastAsia="en-US"/>
        </w:rPr>
      </w:pPr>
      <w:r w:rsidRPr="0034034E">
        <w:rPr>
          <w:rFonts w:ascii="Palatino Linotype" w:eastAsia="Calibri" w:hAnsi="Palatino Linotype" w:cs="Tahoma"/>
          <w:color w:val="000000"/>
          <w:sz w:val="22"/>
          <w:szCs w:val="22"/>
          <w:lang w:eastAsia="en-US"/>
        </w:rPr>
        <w:t>Calificaciones, créditos y promedio;</w:t>
      </w:r>
    </w:p>
    <w:p w14:paraId="3E0194BE" w14:textId="77777777" w:rsidR="00716691" w:rsidRPr="0034034E" w:rsidRDefault="00716691" w:rsidP="00716691">
      <w:pPr>
        <w:numPr>
          <w:ilvl w:val="0"/>
          <w:numId w:val="13"/>
        </w:numPr>
        <w:spacing w:after="160" w:line="360" w:lineRule="auto"/>
        <w:contextualSpacing/>
        <w:jc w:val="both"/>
        <w:rPr>
          <w:rFonts w:ascii="Palatino Linotype" w:eastAsia="Calibri" w:hAnsi="Palatino Linotype" w:cs="Tahoma"/>
          <w:color w:val="000000"/>
          <w:sz w:val="22"/>
          <w:szCs w:val="22"/>
          <w:lang w:eastAsia="en-US"/>
        </w:rPr>
      </w:pPr>
      <w:r w:rsidRPr="0034034E">
        <w:rPr>
          <w:rFonts w:ascii="Palatino Linotype" w:eastAsia="Calibri" w:hAnsi="Palatino Linotype" w:cs="Tahoma"/>
          <w:color w:val="000000"/>
          <w:sz w:val="22"/>
          <w:szCs w:val="22"/>
          <w:lang w:eastAsia="en-US"/>
        </w:rPr>
        <w:t>Número de cédula profesional;</w:t>
      </w:r>
    </w:p>
    <w:p w14:paraId="5DB409F9" w14:textId="77777777" w:rsidR="00716691" w:rsidRPr="0034034E" w:rsidRDefault="00716691" w:rsidP="00716691">
      <w:pPr>
        <w:numPr>
          <w:ilvl w:val="0"/>
          <w:numId w:val="13"/>
        </w:numPr>
        <w:spacing w:after="160" w:line="360" w:lineRule="auto"/>
        <w:contextualSpacing/>
        <w:jc w:val="both"/>
        <w:rPr>
          <w:rFonts w:ascii="Palatino Linotype" w:eastAsia="Calibri" w:hAnsi="Palatino Linotype" w:cs="Tahoma"/>
          <w:color w:val="000000"/>
          <w:sz w:val="22"/>
          <w:szCs w:val="22"/>
          <w:lang w:eastAsia="en-US"/>
        </w:rPr>
      </w:pPr>
      <w:r w:rsidRPr="0034034E">
        <w:rPr>
          <w:rFonts w:ascii="Palatino Linotype" w:eastAsia="Calibri" w:hAnsi="Palatino Linotype" w:cs="Tahoma"/>
          <w:color w:val="000000"/>
          <w:sz w:val="22"/>
          <w:szCs w:val="22"/>
          <w:lang w:eastAsia="en-US"/>
        </w:rPr>
        <w:t>Fotografía;</w:t>
      </w:r>
    </w:p>
    <w:p w14:paraId="5EEF8433" w14:textId="77777777" w:rsidR="00716691" w:rsidRPr="0034034E" w:rsidRDefault="00716691" w:rsidP="00716691">
      <w:pPr>
        <w:numPr>
          <w:ilvl w:val="0"/>
          <w:numId w:val="13"/>
        </w:numPr>
        <w:spacing w:after="160" w:line="360" w:lineRule="auto"/>
        <w:contextualSpacing/>
        <w:jc w:val="both"/>
        <w:rPr>
          <w:rFonts w:ascii="Palatino Linotype" w:eastAsia="Calibri" w:hAnsi="Palatino Linotype" w:cs="Tahoma"/>
          <w:color w:val="000000"/>
          <w:sz w:val="22"/>
          <w:szCs w:val="22"/>
          <w:lang w:eastAsia="en-US"/>
        </w:rPr>
      </w:pPr>
      <w:r w:rsidRPr="0034034E">
        <w:rPr>
          <w:rFonts w:ascii="Palatino Linotype" w:eastAsia="Calibri" w:hAnsi="Palatino Linotype" w:cs="Tahoma"/>
          <w:color w:val="000000"/>
          <w:sz w:val="22"/>
          <w:szCs w:val="22"/>
          <w:lang w:eastAsia="en-US"/>
        </w:rPr>
        <w:t>Firmas del servidor público (alumno), y</w:t>
      </w:r>
    </w:p>
    <w:p w14:paraId="25AF8434" w14:textId="77777777" w:rsidR="00716691" w:rsidRPr="0034034E" w:rsidRDefault="00716691" w:rsidP="00716691">
      <w:pPr>
        <w:numPr>
          <w:ilvl w:val="0"/>
          <w:numId w:val="13"/>
        </w:numPr>
        <w:spacing w:after="160" w:line="360" w:lineRule="auto"/>
        <w:contextualSpacing/>
        <w:jc w:val="both"/>
        <w:rPr>
          <w:rFonts w:ascii="Palatino Linotype" w:hAnsi="Palatino Linotype" w:cs="Tahoma"/>
          <w:bCs/>
          <w:iCs/>
          <w:sz w:val="22"/>
          <w:szCs w:val="22"/>
          <w:lang w:eastAsia="es-ES"/>
        </w:rPr>
      </w:pPr>
      <w:r w:rsidRPr="0034034E">
        <w:rPr>
          <w:rFonts w:ascii="Palatino Linotype" w:eastAsia="Calibri" w:hAnsi="Palatino Linotype" w:cs="Tahoma"/>
          <w:color w:val="000000"/>
          <w:sz w:val="22"/>
          <w:szCs w:val="22"/>
          <w:lang w:eastAsia="en-US"/>
        </w:rPr>
        <w:t>Datos de institución educativa, número de acuerdo de reconocimiento de validez oficial de estudios, clave de carrera, plan de estudios, denominación, campus o plantel, materias cursadas, fechas, folios, lugar de expedición, entre otros.</w:t>
      </w:r>
    </w:p>
    <w:p w14:paraId="596F730A" w14:textId="77777777" w:rsidR="00716691" w:rsidRPr="0034034E" w:rsidRDefault="00716691" w:rsidP="00716691">
      <w:pPr>
        <w:spacing w:line="360" w:lineRule="auto"/>
        <w:jc w:val="both"/>
        <w:rPr>
          <w:rFonts w:ascii="Palatino Linotype" w:hAnsi="Palatino Linotype" w:cs="Tahoma"/>
          <w:bCs/>
          <w:iCs/>
          <w:sz w:val="22"/>
          <w:szCs w:val="22"/>
          <w:lang w:eastAsia="es-ES"/>
        </w:rPr>
      </w:pPr>
    </w:p>
    <w:p w14:paraId="239D30A9"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lastRenderedPageBreak/>
        <w:t>Conforme a lo anterior, se procede analizar si dichos datos deben ser considerados como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06077B1"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p>
    <w:p w14:paraId="6FDCB942"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t>Por su parte, la Ley General de Transparencia y Acceso a la Información Pública, en su artículo 116, dispone que se considera información confidencial la que contenga datos personales concernientes a una persona física identificada o identificable. Además,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1BC11C4"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p>
    <w:p w14:paraId="27023830"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B3254D2"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p>
    <w:p w14:paraId="74ECBC6D"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14:paraId="39058E05"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p>
    <w:p w14:paraId="2526295D"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40D9C91" w14:textId="77777777" w:rsidR="00716691" w:rsidRPr="0034034E" w:rsidRDefault="00716691" w:rsidP="00716691">
      <w:pPr>
        <w:shd w:val="clear" w:color="auto" w:fill="FFFFFF"/>
        <w:spacing w:line="360" w:lineRule="auto"/>
        <w:jc w:val="both"/>
        <w:rPr>
          <w:rFonts w:ascii="Palatino Linotype" w:eastAsia="Calibri" w:hAnsi="Palatino Linotype" w:cs="Tahoma"/>
          <w:bCs/>
          <w:sz w:val="22"/>
          <w:szCs w:val="22"/>
          <w:lang w:val="es-ES" w:eastAsia="en-US"/>
        </w:rPr>
      </w:pPr>
    </w:p>
    <w:p w14:paraId="593C40F7"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t>En términos de lo expuesto, la documentación y aquellos datos que se consideren confidenciales, serán una limitante del derecho de acceso a la información, siempre y cuando:</w:t>
      </w:r>
    </w:p>
    <w:p w14:paraId="779518D9"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p>
    <w:p w14:paraId="2DE723DC" w14:textId="77777777" w:rsidR="00716691" w:rsidRPr="0034034E" w:rsidRDefault="00716691" w:rsidP="00716691">
      <w:pPr>
        <w:numPr>
          <w:ilvl w:val="0"/>
          <w:numId w:val="14"/>
        </w:numPr>
        <w:spacing w:after="160" w:line="360" w:lineRule="auto"/>
        <w:contextualSpacing/>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t xml:space="preserve">Se trate de datos personales o información privada; esto es, información concerniente a una persona física o jurídico colectiva y que esta sea identificada o identificable. </w:t>
      </w:r>
    </w:p>
    <w:p w14:paraId="17577F79"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p>
    <w:p w14:paraId="12C2028D" w14:textId="77777777" w:rsidR="00716691" w:rsidRPr="0034034E" w:rsidRDefault="00716691" w:rsidP="00716691">
      <w:pPr>
        <w:numPr>
          <w:ilvl w:val="0"/>
          <w:numId w:val="14"/>
        </w:numPr>
        <w:spacing w:after="160" w:line="360" w:lineRule="auto"/>
        <w:contextualSpacing/>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t xml:space="preserve">Para la difusión de los datos, se requiera el consentimiento del titular. </w:t>
      </w:r>
    </w:p>
    <w:p w14:paraId="37E89A8A"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p>
    <w:p w14:paraId="717D6643"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w:t>
      </w:r>
      <w:r w:rsidRPr="0034034E">
        <w:rPr>
          <w:rFonts w:ascii="Palatino Linotype" w:eastAsia="Calibri" w:hAnsi="Palatino Linotype" w:cs="Tahoma"/>
          <w:iCs/>
          <w:sz w:val="22"/>
          <w:szCs w:val="22"/>
          <w:lang w:val="es-ES"/>
        </w:rPr>
        <w:lastRenderedPageBreak/>
        <w:t xml:space="preserve">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2C91924"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p>
    <w:p w14:paraId="27D65D36"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t>Además, en el artículo 5° de dicho ordenamiento jurídico, establece que es la Ley aplicable para todo tratamiento de datos personales.</w:t>
      </w:r>
    </w:p>
    <w:p w14:paraId="65C2A014"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p>
    <w:p w14:paraId="768419B2"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t>En ese orden de ideas, los artículos 6°, 7°, 8° y 14 de la Ley</w:t>
      </w:r>
      <w:r w:rsidRPr="0034034E">
        <w:rPr>
          <w:rFonts w:ascii="Palatino Linotype" w:eastAsia="Calibri" w:hAnsi="Palatino Linotype" w:cs="Tahoma"/>
          <w:bCs/>
          <w:sz w:val="22"/>
          <w:szCs w:val="22"/>
          <w:lang w:val="es-ES" w:eastAsia="en-US"/>
        </w:rPr>
        <w:t xml:space="preserve"> de Protección de Datos Personales en Posesión de Sujetos Obligados del Estado de México y Municipios disponen que los responsables del tratamiento de datos personales, deben observar los principios de licitud, </w:t>
      </w:r>
      <w:r w:rsidRPr="0034034E">
        <w:rPr>
          <w:rFonts w:ascii="Palatino Linotype" w:eastAsia="Calibri" w:hAnsi="Palatino Linotype" w:cs="Tahoma"/>
          <w:iCs/>
          <w:sz w:val="22"/>
          <w:szCs w:val="22"/>
          <w:lang w:val="es-ES"/>
        </w:rPr>
        <w:t>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4DABA39"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p>
    <w:p w14:paraId="16270097"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14E5933"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p>
    <w:p w14:paraId="65C0EA25"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t xml:space="preserve">Por lo cual, la confidencialidad de los datos personales, tiene por objetivo establecer el límite del derecho de acceso a la información a partir del derecho a la intimidad y la vida privada </w:t>
      </w:r>
      <w:r w:rsidRPr="0034034E">
        <w:rPr>
          <w:rFonts w:ascii="Palatino Linotype" w:eastAsia="Calibri" w:hAnsi="Palatino Linotype" w:cs="Tahoma"/>
          <w:iCs/>
          <w:sz w:val="22"/>
          <w:szCs w:val="22"/>
          <w:lang w:val="es-ES"/>
        </w:rPr>
        <w:lastRenderedPageBreak/>
        <w:t>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4E36795"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p>
    <w:p w14:paraId="13098650"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t>De tal suerte, las instituciones públicas tienen la doble responsabilidad, por un lado, de proteger los datos personales y por otro, darles publicidad cuando la relevancia de esos datos sea de interés público.</w:t>
      </w:r>
    </w:p>
    <w:p w14:paraId="6F7273F7" w14:textId="77777777" w:rsidR="00716691" w:rsidRPr="0034034E" w:rsidRDefault="00716691" w:rsidP="00716691">
      <w:pPr>
        <w:shd w:val="clear" w:color="auto" w:fill="FFFFFF"/>
        <w:spacing w:line="360" w:lineRule="auto"/>
        <w:jc w:val="both"/>
        <w:rPr>
          <w:rFonts w:ascii="Palatino Linotype" w:eastAsia="Calibri" w:hAnsi="Palatino Linotype" w:cs="Tahoma"/>
          <w:bCs/>
          <w:sz w:val="22"/>
          <w:szCs w:val="22"/>
          <w:lang w:val="es-ES" w:eastAsia="en-US"/>
        </w:rPr>
      </w:pPr>
    </w:p>
    <w:p w14:paraId="14D7C0D2" w14:textId="77777777" w:rsidR="00716691" w:rsidRPr="0034034E" w:rsidRDefault="00716691" w:rsidP="00716691">
      <w:pPr>
        <w:shd w:val="clear" w:color="auto" w:fill="FFFFFF"/>
        <w:spacing w:line="360" w:lineRule="auto"/>
        <w:jc w:val="both"/>
        <w:rPr>
          <w:rFonts w:ascii="Palatino Linotype" w:eastAsia="Calibri" w:hAnsi="Palatino Linotype" w:cs="Tahoma"/>
          <w:bCs/>
          <w:sz w:val="22"/>
          <w:szCs w:val="22"/>
          <w:lang w:val="es-ES" w:eastAsia="en-US"/>
        </w:rPr>
      </w:pPr>
      <w:r w:rsidRPr="0034034E">
        <w:rPr>
          <w:rFonts w:ascii="Palatino Linotype" w:eastAsia="Calibri" w:hAnsi="Palatino Linotype" w:cs="Tahoma"/>
          <w:bCs/>
          <w:sz w:val="22"/>
          <w:szCs w:val="22"/>
          <w:lang w:val="es-ES"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40CF5F5"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p>
    <w:p w14:paraId="70447E49"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w:t>
      </w:r>
      <w:r w:rsidRPr="0034034E">
        <w:rPr>
          <w:rFonts w:ascii="Palatino Linotype" w:eastAsia="Calibri" w:hAnsi="Palatino Linotype" w:cs="Tahoma"/>
          <w:iCs/>
          <w:sz w:val="22"/>
          <w:szCs w:val="22"/>
          <w:lang w:val="es-ES"/>
        </w:rPr>
        <w:lastRenderedPageBreak/>
        <w:t>transparentan la gestión pública y favorecen la rendición de cuentas, constituyen información de naturaleza pública, en razón de que el beneficio de su publicidad es mayor que el beneficio de su clasificación, aun tratándose de información personal.</w:t>
      </w:r>
    </w:p>
    <w:p w14:paraId="0EAD9EE6"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p>
    <w:p w14:paraId="35B59215"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1B1EFC5"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p>
    <w:p w14:paraId="72481E9F" w14:textId="77777777" w:rsidR="00716691" w:rsidRPr="0034034E" w:rsidRDefault="00716691" w:rsidP="00716691">
      <w:pPr>
        <w:spacing w:line="360" w:lineRule="auto"/>
        <w:jc w:val="both"/>
        <w:rPr>
          <w:rFonts w:ascii="Palatino Linotype" w:eastAsia="Calibri" w:hAnsi="Palatino Linotype" w:cs="Tahoma"/>
          <w:iCs/>
          <w:sz w:val="22"/>
          <w:szCs w:val="22"/>
          <w:lang w:val="es-ES"/>
        </w:rPr>
      </w:pPr>
      <w:r w:rsidRPr="0034034E">
        <w:rPr>
          <w:rFonts w:ascii="Palatino Linotype" w:eastAsia="Calibri" w:hAnsi="Palatino Linotype" w:cs="Tahoma"/>
          <w:iCs/>
          <w:sz w:val="22"/>
          <w:szCs w:val="22"/>
          <w:lang w:val="es-ES"/>
        </w:rPr>
        <w:t>Bajo ese contexto, se analizarán si los datos referidos, deben ser considerados confidenciales o públicos.</w:t>
      </w:r>
    </w:p>
    <w:p w14:paraId="53CBB398" w14:textId="77777777" w:rsidR="00716691" w:rsidRPr="0034034E" w:rsidRDefault="00716691" w:rsidP="00716691">
      <w:pPr>
        <w:spacing w:line="360" w:lineRule="auto"/>
        <w:jc w:val="both"/>
        <w:rPr>
          <w:rFonts w:ascii="Palatino Linotype" w:eastAsia="Calibri" w:hAnsi="Palatino Linotype" w:cs="Tahoma"/>
          <w:bCs/>
          <w:color w:val="000000"/>
          <w:sz w:val="22"/>
          <w:szCs w:val="22"/>
          <w:lang w:eastAsia="en-US"/>
        </w:rPr>
      </w:pPr>
    </w:p>
    <w:p w14:paraId="48B5B58B" w14:textId="77777777" w:rsidR="00716691" w:rsidRPr="0034034E" w:rsidRDefault="00716691" w:rsidP="00716691">
      <w:pPr>
        <w:numPr>
          <w:ilvl w:val="0"/>
          <w:numId w:val="15"/>
        </w:numPr>
        <w:spacing w:after="160" w:line="360" w:lineRule="auto"/>
        <w:jc w:val="both"/>
        <w:rPr>
          <w:rFonts w:ascii="Palatino Linotype" w:eastAsia="Calibri" w:hAnsi="Palatino Linotype"/>
          <w:b/>
          <w:bCs/>
          <w:iCs/>
          <w:color w:val="000000"/>
          <w:sz w:val="22"/>
          <w:szCs w:val="22"/>
          <w:lang w:val="es-ES_tradnl" w:eastAsia="en-US"/>
        </w:rPr>
      </w:pPr>
      <w:r w:rsidRPr="0034034E">
        <w:rPr>
          <w:rFonts w:ascii="Palatino Linotype" w:eastAsia="Calibri" w:hAnsi="Palatino Linotype"/>
          <w:b/>
          <w:bCs/>
          <w:iCs/>
          <w:color w:val="000000"/>
          <w:sz w:val="22"/>
          <w:szCs w:val="22"/>
          <w:lang w:eastAsia="en-US"/>
        </w:rPr>
        <w:t>C</w:t>
      </w:r>
      <w:r w:rsidRPr="0034034E">
        <w:rPr>
          <w:rFonts w:ascii="Palatino Linotype" w:eastAsia="Calibri" w:hAnsi="Palatino Linotype"/>
          <w:b/>
          <w:bCs/>
          <w:iCs/>
          <w:color w:val="000000"/>
          <w:sz w:val="22"/>
          <w:szCs w:val="22"/>
          <w:lang w:val="es-ES_tradnl" w:eastAsia="en-US"/>
        </w:rPr>
        <w:t>lave Única de Registro de Población (CURP).</w:t>
      </w:r>
    </w:p>
    <w:p w14:paraId="7E0281D7"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p>
    <w:p w14:paraId="413C07F9"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70AA078"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p>
    <w:p w14:paraId="2DBADA3C"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w:t>
      </w:r>
      <w:r w:rsidRPr="0034034E">
        <w:rPr>
          <w:rFonts w:ascii="Palatino Linotype" w:eastAsia="Calibri" w:hAnsi="Palatino Linotype"/>
          <w:bCs/>
          <w:iCs/>
          <w:color w:val="000000"/>
          <w:sz w:val="22"/>
          <w:szCs w:val="22"/>
          <w:lang w:eastAsia="en-US"/>
        </w:rPr>
        <w:lastRenderedPageBreak/>
        <w:t>de Registro de Población a todas las personas residentes en el país, así como a los mexicanos que residan en el extranjero.</w:t>
      </w:r>
    </w:p>
    <w:p w14:paraId="745303F0"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p>
    <w:p w14:paraId="2FCB0DB7" w14:textId="7DB1E6CA"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 xml:space="preserve">En ese orden de ideas, la Secretaría de Gobernación en las direcciones </w:t>
      </w:r>
      <w:hyperlink r:id="rId16" w:history="1">
        <w:r w:rsidRPr="0034034E">
          <w:rPr>
            <w:rFonts w:ascii="Palatino Linotype" w:eastAsia="Calibri" w:hAnsi="Palatino Linotype"/>
            <w:bCs/>
            <w:iCs/>
            <w:color w:val="0563C1"/>
            <w:sz w:val="22"/>
            <w:szCs w:val="22"/>
            <w:u w:val="single"/>
            <w:lang w:eastAsia="en-US"/>
          </w:rPr>
          <w:t>https://consultas.curp.gob.mx/CurpSP/html/informacionecurpPS.html</w:t>
        </w:r>
      </w:hyperlink>
      <w:r w:rsidRPr="0034034E">
        <w:rPr>
          <w:rFonts w:ascii="Palatino Linotype" w:eastAsia="Calibri" w:hAnsi="Palatino Linotype"/>
          <w:bCs/>
          <w:iCs/>
          <w:color w:val="000000"/>
          <w:sz w:val="22"/>
          <w:szCs w:val="22"/>
          <w:lang w:eastAsia="en-US"/>
        </w:rPr>
        <w:t xml:space="preserve"> y </w:t>
      </w:r>
      <w:hyperlink r:id="rId17" w:history="1">
        <w:r w:rsidRPr="0034034E">
          <w:rPr>
            <w:rFonts w:ascii="Palatino Linotype" w:eastAsia="Calibri" w:hAnsi="Palatino Linotype"/>
            <w:bCs/>
            <w:iCs/>
            <w:color w:val="0563C1"/>
            <w:sz w:val="22"/>
            <w:szCs w:val="22"/>
            <w:u w:val="single"/>
            <w:lang w:eastAsia="en-US"/>
          </w:rPr>
          <w:t>https://www.gob.mx/segob/renapo/acciones-y-programas/clave-unica-de-registro-de-poblacion-curp-142226</w:t>
        </w:r>
      </w:hyperlink>
      <w:r w:rsidRPr="0034034E">
        <w:rPr>
          <w:rFonts w:ascii="Palatino Linotype" w:eastAsia="Calibri" w:hAnsi="Palatino Linotype"/>
          <w:bCs/>
          <w:iCs/>
          <w:color w:val="000000"/>
          <w:sz w:val="22"/>
          <w:szCs w:val="22"/>
          <w:lang w:eastAsia="en-US"/>
        </w:rPr>
        <w:t xml:space="preserve"> (consultadas el siete de febrero de dos mil </w:t>
      </w:r>
      <w:r w:rsidR="00F41957" w:rsidRPr="0034034E">
        <w:rPr>
          <w:rFonts w:ascii="Palatino Linotype" w:eastAsia="Calibri" w:hAnsi="Palatino Linotype"/>
          <w:bCs/>
          <w:iCs/>
          <w:color w:val="000000"/>
          <w:sz w:val="22"/>
          <w:szCs w:val="22"/>
          <w:lang w:eastAsia="en-US"/>
        </w:rPr>
        <w:t>veintitrés</w:t>
      </w:r>
      <w:r w:rsidRPr="0034034E">
        <w:rPr>
          <w:rFonts w:ascii="Palatino Linotype" w:eastAsia="Calibri" w:hAnsi="Palatino Linotype"/>
          <w:bCs/>
          <w:iCs/>
          <w:color w:val="000000"/>
          <w:sz w:val="22"/>
          <w:szCs w:val="22"/>
          <w:lang w:eastAsia="en-U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34034E">
        <w:rPr>
          <w:rFonts w:ascii="Palatino Linotype" w:eastAsia="Calibri" w:hAnsi="Palatino Linotype"/>
          <w:b/>
          <w:bCs/>
          <w:iCs/>
          <w:color w:val="000000"/>
          <w:sz w:val="22"/>
          <w:szCs w:val="22"/>
          <w:lang w:eastAsia="en-US"/>
        </w:rPr>
        <w:t>se generan a partir de los datos contenidos en el documento probatorio de la identidad</w:t>
      </w:r>
      <w:r w:rsidRPr="0034034E">
        <w:rPr>
          <w:rFonts w:ascii="Palatino Linotype" w:eastAsia="Calibri" w:hAnsi="Palatino Linotype"/>
          <w:bCs/>
          <w:iCs/>
          <w:color w:val="000000"/>
          <w:sz w:val="22"/>
          <w:szCs w:val="22"/>
          <w:lang w:eastAsia="en-US"/>
        </w:rPr>
        <w:t xml:space="preserve"> </w:t>
      </w:r>
      <w:r w:rsidRPr="0034034E">
        <w:rPr>
          <w:rFonts w:ascii="Palatino Linotype" w:eastAsia="Calibri" w:hAnsi="Palatino Linotype"/>
          <w:b/>
          <w:bCs/>
          <w:iCs/>
          <w:color w:val="000000"/>
          <w:sz w:val="22"/>
          <w:szCs w:val="22"/>
          <w:lang w:eastAsia="en-US"/>
        </w:rPr>
        <w:t xml:space="preserve">del interesado </w:t>
      </w:r>
      <w:r w:rsidRPr="0034034E">
        <w:rPr>
          <w:rFonts w:ascii="Palatino Linotype" w:eastAsia="Calibri" w:hAnsi="Palatino Linotype"/>
          <w:bCs/>
          <w:iCs/>
          <w:color w:val="000000"/>
          <w:sz w:val="22"/>
          <w:szCs w:val="22"/>
          <w:lang w:eastAsia="en-US"/>
        </w:rPr>
        <w:t>(acta de nacimiento, carta de naturalización o documento migratorio) de la siguiente forma:</w:t>
      </w:r>
    </w:p>
    <w:p w14:paraId="1BDA0551"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p>
    <w:p w14:paraId="160AB41E" w14:textId="77777777" w:rsidR="00716691" w:rsidRPr="0034034E" w:rsidRDefault="00716691" w:rsidP="00716691">
      <w:pPr>
        <w:numPr>
          <w:ilvl w:val="0"/>
          <w:numId w:val="16"/>
        </w:numPr>
        <w:spacing w:after="160"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El primero y segundo apellidos, así como al nombre de pila;</w:t>
      </w:r>
    </w:p>
    <w:p w14:paraId="33ACA583" w14:textId="77777777" w:rsidR="00716691" w:rsidRPr="0034034E" w:rsidRDefault="00716691" w:rsidP="00716691">
      <w:pPr>
        <w:numPr>
          <w:ilvl w:val="0"/>
          <w:numId w:val="16"/>
        </w:numPr>
        <w:spacing w:after="160"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La fecha de nacimiento;</w:t>
      </w:r>
    </w:p>
    <w:p w14:paraId="0156586D" w14:textId="77777777" w:rsidR="00716691" w:rsidRPr="0034034E" w:rsidRDefault="00716691" w:rsidP="00716691">
      <w:pPr>
        <w:numPr>
          <w:ilvl w:val="0"/>
          <w:numId w:val="16"/>
        </w:numPr>
        <w:spacing w:after="160"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El sexo, y</w:t>
      </w:r>
    </w:p>
    <w:p w14:paraId="688B0C29" w14:textId="77777777" w:rsidR="00716691" w:rsidRPr="0034034E" w:rsidRDefault="00716691" w:rsidP="00716691">
      <w:pPr>
        <w:numPr>
          <w:ilvl w:val="0"/>
          <w:numId w:val="16"/>
        </w:numPr>
        <w:spacing w:after="160"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La entidad federativa de nacimiento.</w:t>
      </w:r>
    </w:p>
    <w:p w14:paraId="395E7470"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p>
    <w:p w14:paraId="77A5AF12"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Los dos últimos elementos de la Clave Única de Registro de Población evitan la duplicidad de la Clave y garantizan su correcta integración.</w:t>
      </w:r>
    </w:p>
    <w:p w14:paraId="2A3A4332"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p>
    <w:p w14:paraId="1830A02C"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w:t>
      </w:r>
      <w:r w:rsidRPr="0034034E">
        <w:rPr>
          <w:rFonts w:ascii="Palatino Linotype" w:eastAsia="Calibri" w:hAnsi="Palatino Linotype"/>
          <w:bCs/>
          <w:iCs/>
          <w:color w:val="000000"/>
          <w:sz w:val="22"/>
          <w:szCs w:val="22"/>
          <w:lang w:eastAsia="en-US"/>
        </w:rPr>
        <w:lastRenderedPageBreak/>
        <w:t>públicas, ya que además no guarda relación con el desempeño laboral de un individuo, simplemente se trata de un trámite administrativo requerido por la autoridad federal para hacer identificables a las personas.</w:t>
      </w:r>
    </w:p>
    <w:p w14:paraId="1C7D64A5"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p>
    <w:p w14:paraId="118ACB50"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Situación que se robustece, con el Criterio 18/17, emitido por el Instituto Nacional de Transparencia, Acceso a la Información y Protección de Datos Personales, que establece lo siguiente:</w:t>
      </w:r>
    </w:p>
    <w:p w14:paraId="14A6667A"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p>
    <w:p w14:paraId="4EB60274" w14:textId="77777777" w:rsidR="00716691" w:rsidRPr="0034034E" w:rsidRDefault="00716691" w:rsidP="00716691">
      <w:pPr>
        <w:spacing w:line="360" w:lineRule="auto"/>
        <w:ind w:left="567" w:right="567"/>
        <w:jc w:val="both"/>
        <w:rPr>
          <w:rFonts w:ascii="Palatino Linotype" w:eastAsia="Calibri" w:hAnsi="Palatino Linotype"/>
          <w:bCs/>
          <w:i/>
          <w:iCs/>
          <w:color w:val="000000"/>
          <w:sz w:val="20"/>
          <w:szCs w:val="20"/>
          <w:lang w:eastAsia="en-US"/>
        </w:rPr>
      </w:pPr>
      <w:r w:rsidRPr="0034034E">
        <w:rPr>
          <w:rFonts w:ascii="Palatino Linotype" w:eastAsia="Calibri" w:hAnsi="Palatino Linotype"/>
          <w:b/>
          <w:bCs/>
          <w:i/>
          <w:iCs/>
          <w:color w:val="000000"/>
          <w:sz w:val="20"/>
          <w:szCs w:val="20"/>
          <w:lang w:eastAsia="en-US"/>
        </w:rPr>
        <w:t xml:space="preserve">“Clave Única de Registro de Población (CURP). </w:t>
      </w:r>
      <w:r w:rsidRPr="0034034E">
        <w:rPr>
          <w:rFonts w:ascii="Palatino Linotype" w:eastAsia="Calibri" w:hAnsi="Palatino Linotype"/>
          <w:bCs/>
          <w:i/>
          <w:iCs/>
          <w:color w:val="000000"/>
          <w:sz w:val="20"/>
          <w:szCs w:val="20"/>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788F575"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p>
    <w:p w14:paraId="1C3D50C3"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75018B6" w14:textId="77777777" w:rsidR="00716691" w:rsidRPr="0034034E" w:rsidRDefault="00716691" w:rsidP="00716691">
      <w:pPr>
        <w:numPr>
          <w:ilvl w:val="0"/>
          <w:numId w:val="15"/>
        </w:numPr>
        <w:tabs>
          <w:tab w:val="num" w:pos="720"/>
        </w:tabs>
        <w:spacing w:after="160" w:line="360" w:lineRule="auto"/>
        <w:jc w:val="both"/>
        <w:rPr>
          <w:rFonts w:ascii="Palatino Linotype" w:eastAsia="Calibri" w:hAnsi="Palatino Linotype" w:cs="Tahoma"/>
          <w:b/>
          <w:bCs/>
          <w:iCs/>
          <w:sz w:val="22"/>
          <w:szCs w:val="22"/>
          <w:lang w:eastAsia="es-ES_tradnl"/>
        </w:rPr>
      </w:pPr>
      <w:r w:rsidRPr="0034034E">
        <w:rPr>
          <w:rFonts w:ascii="Palatino Linotype" w:eastAsia="Calibri" w:hAnsi="Palatino Linotype" w:cs="Tahoma"/>
          <w:b/>
          <w:bCs/>
          <w:iCs/>
          <w:sz w:val="22"/>
          <w:szCs w:val="22"/>
          <w:lang w:val="es-ES" w:eastAsia="es-ES_tradnl"/>
        </w:rPr>
        <w:t>Matrícula o número de cuenta, de expediente o de control.</w:t>
      </w:r>
    </w:p>
    <w:p w14:paraId="56D0F015"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p>
    <w:p w14:paraId="28973A1C"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Ahora bien, por lo que hace a la matrícula, el número de cuenta, de expediente o de control, estos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4C9D0DE7"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 </w:t>
      </w:r>
    </w:p>
    <w:p w14:paraId="402B2691"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lastRenderedPageBreak/>
        <w:t>De tales circunstancias, se considera que el dato en comento, es información confidencial lo cual atañe únicamente a los alumnos y a la institución educativa, por lo que, son clasificados en términos del artículo 143, fracción I de la Ley de la materia.</w:t>
      </w:r>
    </w:p>
    <w:p w14:paraId="527365BC"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p>
    <w:p w14:paraId="3012CE11" w14:textId="77777777" w:rsidR="00716691" w:rsidRPr="0034034E" w:rsidRDefault="00716691" w:rsidP="00716691">
      <w:pPr>
        <w:numPr>
          <w:ilvl w:val="0"/>
          <w:numId w:val="15"/>
        </w:numPr>
        <w:tabs>
          <w:tab w:val="num" w:pos="720"/>
        </w:tabs>
        <w:spacing w:after="160" w:line="360" w:lineRule="auto"/>
        <w:jc w:val="both"/>
        <w:rPr>
          <w:rFonts w:ascii="Palatino Linotype" w:eastAsia="Calibri" w:hAnsi="Palatino Linotype" w:cs="Tahoma"/>
          <w:iCs/>
          <w:sz w:val="22"/>
          <w:szCs w:val="22"/>
          <w:lang w:eastAsia="es-ES_tradnl"/>
        </w:rPr>
      </w:pPr>
      <w:r w:rsidRPr="0034034E">
        <w:rPr>
          <w:rFonts w:ascii="Palatino Linotype" w:eastAsia="Calibri" w:hAnsi="Palatino Linotype" w:cs="Tahoma"/>
          <w:b/>
          <w:bCs/>
          <w:iCs/>
          <w:sz w:val="22"/>
          <w:szCs w:val="22"/>
          <w:lang w:eastAsia="es-ES_tradnl"/>
        </w:rPr>
        <w:t>Calificaciones, créditos y promedio.</w:t>
      </w:r>
    </w:p>
    <w:p w14:paraId="5C7823D0" w14:textId="77777777" w:rsidR="00716691" w:rsidRPr="0034034E" w:rsidRDefault="00716691" w:rsidP="00716691">
      <w:pPr>
        <w:spacing w:line="360" w:lineRule="auto"/>
        <w:jc w:val="both"/>
        <w:rPr>
          <w:rFonts w:ascii="Palatino Linotype" w:hAnsi="Palatino Linotype" w:cs="Tahoma"/>
          <w:sz w:val="22"/>
          <w:szCs w:val="22"/>
          <w:lang w:val="es-ES" w:eastAsia="es-ES"/>
        </w:rPr>
      </w:pPr>
    </w:p>
    <w:p w14:paraId="0802C0E7"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6CAF0554"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 </w:t>
      </w:r>
    </w:p>
    <w:p w14:paraId="116C5630"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04332DDB"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 </w:t>
      </w:r>
    </w:p>
    <w:p w14:paraId="3A72E9CC" w14:textId="77777777" w:rsidR="00716691" w:rsidRPr="0034034E" w:rsidRDefault="00716691" w:rsidP="00716691">
      <w:pPr>
        <w:spacing w:line="360" w:lineRule="auto"/>
        <w:jc w:val="both"/>
        <w:rPr>
          <w:rFonts w:ascii="Palatino Linotype" w:eastAsia="Calibri" w:hAnsi="Palatino Linotype"/>
          <w:bCs/>
          <w:iCs/>
          <w:color w:val="000000"/>
          <w:sz w:val="22"/>
          <w:szCs w:val="22"/>
          <w:lang w:eastAsia="en-US"/>
        </w:rPr>
      </w:pPr>
      <w:r w:rsidRPr="0034034E">
        <w:rPr>
          <w:rFonts w:ascii="Palatino Linotype" w:eastAsia="Calibri" w:hAnsi="Palatino Linotype"/>
          <w:bCs/>
          <w:iCs/>
          <w:color w:val="000000"/>
          <w:sz w:val="22"/>
          <w:szCs w:val="22"/>
          <w:lang w:eastAsia="en-US"/>
        </w:rPr>
        <w:t>En atención con lo anterior, se considera que las calificaciones obtenidas por un servidor público, es información íntima de los alumnos, pues corresponde a su desempeño escolar, lo cual únicamente atañe a estos, por lo que se considera que es un dato confidencial.</w:t>
      </w:r>
    </w:p>
    <w:p w14:paraId="65801CA3" w14:textId="77777777" w:rsidR="00716691" w:rsidRPr="0034034E" w:rsidRDefault="00716691" w:rsidP="00716691">
      <w:pPr>
        <w:spacing w:line="360" w:lineRule="auto"/>
        <w:jc w:val="both"/>
        <w:rPr>
          <w:rFonts w:ascii="Palatino Linotype" w:hAnsi="Palatino Linotype" w:cs="Tahoma"/>
          <w:sz w:val="22"/>
          <w:szCs w:val="22"/>
          <w:lang w:val="es-ES" w:eastAsia="es-ES"/>
        </w:rPr>
      </w:pPr>
    </w:p>
    <w:p w14:paraId="7ED777C5" w14:textId="77777777" w:rsidR="00716691" w:rsidRPr="0034034E" w:rsidRDefault="00716691" w:rsidP="00716691">
      <w:pPr>
        <w:spacing w:line="360" w:lineRule="auto"/>
        <w:jc w:val="both"/>
        <w:rPr>
          <w:rFonts w:ascii="Palatino Linotype" w:eastAsia="Calibri" w:hAnsi="Palatino Linotype" w:cs="Tahoma"/>
          <w:iCs/>
          <w:color w:val="000000"/>
          <w:sz w:val="22"/>
          <w:szCs w:val="22"/>
          <w:lang w:eastAsia="es-ES_tradnl"/>
        </w:rPr>
      </w:pPr>
      <w:r w:rsidRPr="0034034E">
        <w:rPr>
          <w:rFonts w:ascii="Palatino Linotype" w:eastAsia="Calibri" w:hAnsi="Palatino Linotype" w:cs="Tahoma"/>
          <w:iCs/>
          <w:color w:val="000000"/>
          <w:sz w:val="22"/>
          <w:szCs w:val="22"/>
          <w:lang w:eastAsia="es-ES_tradnl"/>
        </w:rPr>
        <w:t xml:space="preserve">Ahora bien, por lo que hace a los créditos, en la página de la Secretaría de Educación Pública (consultado el veinticuatro de septiembre de dos mil veinte, a las trece horas, con treinta minutos en el vínculo electrónico </w:t>
      </w:r>
      <w:hyperlink r:id="rId18" w:history="1">
        <w:r w:rsidRPr="0034034E">
          <w:rPr>
            <w:rFonts w:ascii="Palatino Linotype" w:eastAsia="Calibri" w:hAnsi="Palatino Linotype" w:cs="Tahoma"/>
            <w:iCs/>
            <w:color w:val="0563C1"/>
            <w:sz w:val="22"/>
            <w:szCs w:val="22"/>
            <w:u w:val="single"/>
            <w:lang w:eastAsia="es-ES_tradnl"/>
          </w:rPr>
          <w:t>https://www.dgespe.sep.gob.mx/reforma_curricular/planes/lepree/creditos</w:t>
        </w:r>
      </w:hyperlink>
      <w:r w:rsidRPr="0034034E">
        <w:rPr>
          <w:rFonts w:ascii="Palatino Linotype" w:eastAsia="Calibri" w:hAnsi="Palatino Linotype" w:cs="Tahoma"/>
          <w:iCs/>
          <w:color w:val="000000"/>
          <w:sz w:val="22"/>
          <w:szCs w:val="22"/>
          <w:lang w:eastAsia="es-ES_tradnl"/>
        </w:rPr>
        <w:t>), establece que los créditos académicos es una unidad de medida del trabajo que realiza el estudiante y cuantifica las actividades de aprendizaje consideradas en los planes de estudio; además, representa un valor para realizar intercambios, con otras instituciones de Educación Superior.</w:t>
      </w:r>
    </w:p>
    <w:p w14:paraId="2B1AC99D" w14:textId="77777777" w:rsidR="00716691" w:rsidRPr="0034034E" w:rsidRDefault="00716691" w:rsidP="00716691">
      <w:pPr>
        <w:spacing w:line="360" w:lineRule="auto"/>
        <w:jc w:val="both"/>
        <w:rPr>
          <w:rFonts w:ascii="Palatino Linotype" w:eastAsia="Calibri" w:hAnsi="Palatino Linotype" w:cs="Tahoma"/>
          <w:iCs/>
          <w:color w:val="000000"/>
          <w:sz w:val="22"/>
          <w:szCs w:val="22"/>
          <w:lang w:eastAsia="es-ES_tradnl"/>
        </w:rPr>
      </w:pPr>
    </w:p>
    <w:p w14:paraId="3DB5480E" w14:textId="77777777" w:rsidR="00716691" w:rsidRPr="0034034E" w:rsidRDefault="00716691" w:rsidP="00716691">
      <w:pPr>
        <w:spacing w:line="360" w:lineRule="auto"/>
        <w:jc w:val="both"/>
        <w:rPr>
          <w:rFonts w:ascii="Palatino Linotype" w:eastAsia="Calibri" w:hAnsi="Palatino Linotype" w:cs="Tahoma"/>
          <w:iCs/>
          <w:color w:val="000000"/>
          <w:sz w:val="22"/>
          <w:szCs w:val="22"/>
          <w:lang w:eastAsia="es-ES_tradnl"/>
        </w:rPr>
      </w:pPr>
      <w:r w:rsidRPr="0034034E">
        <w:rPr>
          <w:rFonts w:ascii="Palatino Linotype" w:eastAsia="Calibri" w:hAnsi="Palatino Linotype" w:cs="Tahoma"/>
          <w:iCs/>
          <w:color w:val="000000"/>
          <w:sz w:val="22"/>
          <w:szCs w:val="22"/>
          <w:lang w:eastAsia="es-ES_tradnl"/>
        </w:rPr>
        <w:t xml:space="preserve">En ese orden de ideas, el documento denominado Sistema de Asignación y Transferencia de Créditos Académico, de la Secretaría de Educación Pública (consultados el tres de diciembre de dos mil veinte, a las diecinueve horas, en la liga </w:t>
      </w:r>
      <w:hyperlink r:id="rId19" w:history="1">
        <w:r w:rsidRPr="0034034E">
          <w:rPr>
            <w:rFonts w:ascii="Palatino Linotype" w:eastAsia="Calibri" w:hAnsi="Palatino Linotype" w:cs="Tahoma"/>
            <w:iCs/>
            <w:color w:val="0563C1"/>
            <w:sz w:val="22"/>
            <w:szCs w:val="22"/>
            <w:u w:val="single"/>
            <w:lang w:eastAsia="es-ES_tradnl"/>
          </w:rPr>
          <w:t>http://ces.cs.buap.mx/SATCA.pdf</w:t>
        </w:r>
      </w:hyperlink>
      <w:r w:rsidRPr="0034034E">
        <w:rPr>
          <w:rFonts w:ascii="Palatino Linotype" w:eastAsia="Calibri" w:hAnsi="Palatino Linotype" w:cs="Tahoma"/>
          <w:iCs/>
          <w:color w:val="000000"/>
          <w:sz w:val="22"/>
          <w:szCs w:val="22"/>
          <w:lang w:eastAsia="es-ES_tradnl"/>
        </w:rPr>
        <w:t>), establece que el sistema de créditos permite:</w:t>
      </w:r>
    </w:p>
    <w:p w14:paraId="6E9A0784" w14:textId="77777777" w:rsidR="00716691" w:rsidRPr="0034034E" w:rsidRDefault="00716691" w:rsidP="00716691">
      <w:pPr>
        <w:spacing w:line="360" w:lineRule="auto"/>
        <w:jc w:val="both"/>
        <w:rPr>
          <w:rFonts w:ascii="Palatino Linotype" w:eastAsia="Calibri" w:hAnsi="Palatino Linotype" w:cs="Tahoma"/>
          <w:iCs/>
          <w:color w:val="000000"/>
          <w:sz w:val="22"/>
          <w:szCs w:val="22"/>
          <w:lang w:eastAsia="es-ES_tradnl"/>
        </w:rPr>
      </w:pPr>
    </w:p>
    <w:p w14:paraId="261F4944" w14:textId="77777777" w:rsidR="00716691" w:rsidRPr="0034034E" w:rsidRDefault="00716691" w:rsidP="00716691">
      <w:pPr>
        <w:numPr>
          <w:ilvl w:val="0"/>
          <w:numId w:val="17"/>
        </w:numPr>
        <w:spacing w:after="160" w:line="360" w:lineRule="auto"/>
        <w:jc w:val="both"/>
        <w:rPr>
          <w:rFonts w:ascii="Palatino Linotype" w:eastAsia="Calibri" w:hAnsi="Palatino Linotype" w:cs="Tahoma"/>
          <w:iCs/>
          <w:color w:val="000000"/>
          <w:sz w:val="22"/>
          <w:szCs w:val="22"/>
          <w:lang w:eastAsia="es-ES_tradnl"/>
        </w:rPr>
      </w:pPr>
      <w:r w:rsidRPr="0034034E">
        <w:rPr>
          <w:rFonts w:ascii="Palatino Linotype" w:eastAsia="Calibri" w:hAnsi="Palatino Linotype" w:cs="Tahoma"/>
          <w:iCs/>
          <w:color w:val="000000"/>
          <w:sz w:val="22"/>
          <w:szCs w:val="22"/>
          <w:lang w:eastAsia="es-ES_tradnl"/>
        </w:rPr>
        <w:t>Acreditar lo que un estudiante aprende, independiente de los ciclos escolares, etapas formativas, grados y lugar;</w:t>
      </w:r>
    </w:p>
    <w:p w14:paraId="194A885A" w14:textId="77777777" w:rsidR="00716691" w:rsidRPr="0034034E" w:rsidRDefault="00716691" w:rsidP="00716691">
      <w:pPr>
        <w:numPr>
          <w:ilvl w:val="0"/>
          <w:numId w:val="17"/>
        </w:numPr>
        <w:spacing w:after="160" w:line="360" w:lineRule="auto"/>
        <w:jc w:val="both"/>
        <w:rPr>
          <w:rFonts w:ascii="Palatino Linotype" w:eastAsia="Calibri" w:hAnsi="Palatino Linotype" w:cs="Tahoma"/>
          <w:iCs/>
          <w:color w:val="000000"/>
          <w:sz w:val="22"/>
          <w:szCs w:val="22"/>
          <w:lang w:eastAsia="es-ES_tradnl"/>
        </w:rPr>
      </w:pPr>
      <w:r w:rsidRPr="0034034E">
        <w:rPr>
          <w:rFonts w:ascii="Palatino Linotype" w:eastAsia="Calibri" w:hAnsi="Palatino Linotype" w:cs="Tahoma"/>
          <w:iCs/>
          <w:color w:val="000000"/>
          <w:sz w:val="22"/>
          <w:szCs w:val="22"/>
          <w:lang w:eastAsia="es-ES_tradnl"/>
        </w:rPr>
        <w:t xml:space="preserve">Acreditar aprendizajes situados en ambientes reales y </w:t>
      </w:r>
      <w:proofErr w:type="spellStart"/>
      <w:r w:rsidRPr="0034034E">
        <w:rPr>
          <w:rFonts w:ascii="Palatino Linotype" w:eastAsia="Calibri" w:hAnsi="Palatino Linotype" w:cs="Tahoma"/>
          <w:iCs/>
          <w:color w:val="000000"/>
          <w:sz w:val="22"/>
          <w:szCs w:val="22"/>
          <w:lang w:eastAsia="es-ES_tradnl"/>
        </w:rPr>
        <w:t>transdisciplinarios</w:t>
      </w:r>
      <w:proofErr w:type="spellEnd"/>
      <w:r w:rsidRPr="0034034E">
        <w:rPr>
          <w:rFonts w:ascii="Palatino Linotype" w:eastAsia="Calibri" w:hAnsi="Palatino Linotype" w:cs="Tahoma"/>
          <w:iCs/>
          <w:color w:val="000000"/>
          <w:sz w:val="22"/>
          <w:szCs w:val="22"/>
          <w:lang w:eastAsia="es-ES_tradnl"/>
        </w:rPr>
        <w:t>, y</w:t>
      </w:r>
    </w:p>
    <w:p w14:paraId="5B5DA595" w14:textId="77777777" w:rsidR="00716691" w:rsidRPr="0034034E" w:rsidRDefault="00716691" w:rsidP="00716691">
      <w:pPr>
        <w:numPr>
          <w:ilvl w:val="0"/>
          <w:numId w:val="17"/>
        </w:numPr>
        <w:spacing w:after="160" w:line="360" w:lineRule="auto"/>
        <w:jc w:val="both"/>
        <w:rPr>
          <w:rFonts w:ascii="Palatino Linotype" w:eastAsia="Calibri" w:hAnsi="Palatino Linotype" w:cs="Tahoma"/>
          <w:iCs/>
          <w:color w:val="000000"/>
          <w:sz w:val="22"/>
          <w:szCs w:val="22"/>
          <w:lang w:eastAsia="es-ES_tradnl"/>
        </w:rPr>
      </w:pPr>
      <w:r w:rsidRPr="0034034E">
        <w:rPr>
          <w:rFonts w:ascii="Palatino Linotype" w:eastAsia="Calibri" w:hAnsi="Palatino Linotype" w:cs="Tahoma"/>
          <w:iCs/>
          <w:color w:val="000000"/>
          <w:sz w:val="22"/>
          <w:szCs w:val="22"/>
          <w:lang w:eastAsia="es-ES_tradnl"/>
        </w:rPr>
        <w:t>Evaluar los avances del aprendizaje de suma de créditos.</w:t>
      </w:r>
    </w:p>
    <w:p w14:paraId="32A62A82" w14:textId="77777777" w:rsidR="00716691" w:rsidRPr="0034034E" w:rsidRDefault="00716691" w:rsidP="00716691">
      <w:pPr>
        <w:spacing w:line="360" w:lineRule="auto"/>
        <w:jc w:val="both"/>
        <w:rPr>
          <w:rFonts w:ascii="Palatino Linotype" w:eastAsia="Calibri" w:hAnsi="Palatino Linotype" w:cs="Tahoma"/>
          <w:iCs/>
          <w:color w:val="000000"/>
          <w:sz w:val="22"/>
          <w:szCs w:val="22"/>
          <w:lang w:eastAsia="es-ES_tradnl"/>
        </w:rPr>
      </w:pPr>
    </w:p>
    <w:p w14:paraId="2BB98DDA" w14:textId="77777777" w:rsidR="00716691" w:rsidRPr="0034034E" w:rsidRDefault="00716691" w:rsidP="00716691">
      <w:pPr>
        <w:spacing w:line="360" w:lineRule="auto"/>
        <w:jc w:val="both"/>
        <w:rPr>
          <w:rFonts w:ascii="Palatino Linotype" w:eastAsia="Calibri" w:hAnsi="Palatino Linotype" w:cs="Tahoma"/>
          <w:iCs/>
          <w:color w:val="000000"/>
          <w:sz w:val="22"/>
          <w:szCs w:val="22"/>
          <w:lang w:eastAsia="es-ES_tradnl"/>
        </w:rPr>
      </w:pPr>
      <w:r w:rsidRPr="0034034E">
        <w:rPr>
          <w:rFonts w:ascii="Palatino Linotype" w:eastAsia="Calibri" w:hAnsi="Palatino Linotype" w:cs="Tahoma"/>
          <w:iCs/>
          <w:color w:val="000000"/>
          <w:sz w:val="22"/>
          <w:szCs w:val="22"/>
          <w:lang w:eastAsia="es-ES_tradnl"/>
        </w:rPr>
        <w:t>Como se logra observar, los créditos dan cuenta de los aprendizajes que ha obtenido el estudiante; por lo que, también da cuenta grado de conocimientos adquiridos en una asignatura y, por lo tanto, corresponden a cuestiones relacionadas con el ámbito privado del servidor público.</w:t>
      </w:r>
    </w:p>
    <w:p w14:paraId="0883A8C2" w14:textId="77777777" w:rsidR="00716691" w:rsidRPr="0034034E" w:rsidRDefault="00716691" w:rsidP="00716691">
      <w:pPr>
        <w:spacing w:line="360" w:lineRule="auto"/>
        <w:jc w:val="both"/>
        <w:rPr>
          <w:rFonts w:ascii="Palatino Linotype" w:eastAsia="Calibri" w:hAnsi="Palatino Linotype" w:cs="Tahoma"/>
          <w:iCs/>
          <w:color w:val="000000"/>
          <w:sz w:val="22"/>
          <w:szCs w:val="22"/>
          <w:lang w:eastAsia="es-ES_tradnl"/>
        </w:rPr>
      </w:pPr>
    </w:p>
    <w:p w14:paraId="3DEDD5AC" w14:textId="77777777" w:rsidR="00716691" w:rsidRPr="0034034E" w:rsidRDefault="00716691" w:rsidP="00716691">
      <w:pPr>
        <w:spacing w:line="360" w:lineRule="auto"/>
        <w:jc w:val="both"/>
        <w:rPr>
          <w:rFonts w:ascii="Palatino Linotype" w:eastAsia="Calibri" w:hAnsi="Palatino Linotype" w:cs="Tahoma"/>
          <w:bCs/>
          <w:sz w:val="22"/>
          <w:szCs w:val="22"/>
          <w:lang w:eastAsia="en-US"/>
        </w:rPr>
      </w:pPr>
      <w:r w:rsidRPr="0034034E">
        <w:rPr>
          <w:rFonts w:ascii="Palatino Linotype" w:eastAsia="Calibri" w:hAnsi="Palatino Linotype" w:cs="Tahoma"/>
          <w:iCs/>
          <w:color w:val="000000"/>
          <w:sz w:val="22"/>
          <w:szCs w:val="22"/>
          <w:lang w:eastAsia="es-ES_tradnl"/>
        </w:rPr>
        <w:lastRenderedPageBreak/>
        <w:t xml:space="preserve">Finalmente, el promedio es la suma de las calificaciones y créditos, respectivamente que obtuvo una persona, durante un determinado curso, carrera, entre otros, por lo que, refleja el </w:t>
      </w:r>
      <w:r w:rsidRPr="0034034E">
        <w:rPr>
          <w:rFonts w:ascii="Palatino Linotype" w:hAnsi="Palatino Linotype"/>
          <w:sz w:val="22"/>
          <w:szCs w:val="22"/>
          <w:lang w:val="es-ES"/>
        </w:rPr>
        <w:t>grado de conocimientos adquiridos durante el desarrollo escolar, lo cual, corresponde a una cuestión privada del servidor público.</w:t>
      </w:r>
    </w:p>
    <w:p w14:paraId="682AEDFD" w14:textId="77777777" w:rsidR="00716691" w:rsidRPr="0034034E" w:rsidRDefault="00716691" w:rsidP="00716691">
      <w:pPr>
        <w:spacing w:line="360" w:lineRule="auto"/>
        <w:jc w:val="both"/>
        <w:rPr>
          <w:rFonts w:ascii="Palatino Linotype" w:eastAsia="Calibri" w:hAnsi="Palatino Linotype" w:cs="Tahoma"/>
          <w:bCs/>
          <w:sz w:val="22"/>
          <w:szCs w:val="22"/>
          <w:lang w:eastAsia="en-US"/>
        </w:rPr>
      </w:pPr>
    </w:p>
    <w:p w14:paraId="51F90031" w14:textId="77777777" w:rsidR="00716691" w:rsidRPr="0034034E" w:rsidRDefault="00716691" w:rsidP="00716691">
      <w:pPr>
        <w:spacing w:line="360" w:lineRule="auto"/>
        <w:jc w:val="both"/>
        <w:rPr>
          <w:rFonts w:ascii="Palatino Linotype" w:eastAsia="Calibri" w:hAnsi="Palatino Linotype" w:cs="Tahoma"/>
          <w:bCs/>
          <w:iCs/>
          <w:sz w:val="22"/>
          <w:szCs w:val="22"/>
          <w:lang w:val="es-ES" w:eastAsia="en-US"/>
        </w:rPr>
      </w:pPr>
      <w:r w:rsidRPr="0034034E">
        <w:rPr>
          <w:rFonts w:ascii="Palatino Linotype" w:eastAsia="Calibri" w:hAnsi="Palatino Linotype" w:cs="Tahoma"/>
          <w:bCs/>
          <w:iCs/>
          <w:sz w:val="22"/>
          <w:szCs w:val="22"/>
          <w:lang w:val="es-ES_tradnl" w:eastAsia="en-US"/>
        </w:rPr>
        <w:t xml:space="preserve">En ese contexto, toda vez que las calificaciones, créditos y promedios obtenidos, dan cuenta del desempeño obtenido dentro de una asignatura, lo cual, únicamente concierne a la vida íntima de este y forma parte de su vida privada; </w:t>
      </w:r>
      <w:r w:rsidRPr="0034034E">
        <w:rPr>
          <w:rFonts w:ascii="Palatino Linotype" w:eastAsia="Calibri" w:hAnsi="Palatino Linotype" w:cs="Tahoma"/>
          <w:bCs/>
          <w:iCs/>
          <w:sz w:val="22"/>
          <w:szCs w:val="22"/>
          <w:lang w:eastAsia="en-US"/>
        </w:rPr>
        <w:t xml:space="preserve">al respecto </w:t>
      </w:r>
      <w:r w:rsidRPr="0034034E">
        <w:rPr>
          <w:rFonts w:ascii="Palatino Linotype" w:eastAsia="Calibri" w:hAnsi="Palatino Linotype" w:cs="Tahoma"/>
          <w:bCs/>
          <w:iCs/>
          <w:sz w:val="22"/>
          <w:szCs w:val="22"/>
          <w:lang w:val="es-ES" w:eastAsia="en-US"/>
        </w:rPr>
        <w:t>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58892640" w14:textId="77777777" w:rsidR="00716691" w:rsidRPr="0034034E" w:rsidRDefault="00716691" w:rsidP="00716691">
      <w:pPr>
        <w:spacing w:line="360" w:lineRule="auto"/>
        <w:jc w:val="both"/>
        <w:rPr>
          <w:rFonts w:ascii="Palatino Linotype" w:eastAsia="Calibri" w:hAnsi="Palatino Linotype" w:cs="Tahoma"/>
          <w:bCs/>
          <w:iCs/>
          <w:sz w:val="22"/>
          <w:szCs w:val="22"/>
          <w:lang w:val="es-ES" w:eastAsia="en-US"/>
        </w:rPr>
      </w:pPr>
    </w:p>
    <w:p w14:paraId="208D45E9" w14:textId="77777777" w:rsidR="00716691" w:rsidRPr="0034034E" w:rsidRDefault="00716691" w:rsidP="00716691">
      <w:pPr>
        <w:spacing w:line="360" w:lineRule="auto"/>
        <w:ind w:left="567" w:right="567"/>
        <w:jc w:val="both"/>
        <w:rPr>
          <w:rFonts w:ascii="Palatino Linotype" w:eastAsia="Calibri" w:hAnsi="Palatino Linotype" w:cs="Tahoma"/>
          <w:bCs/>
          <w:i/>
          <w:iCs/>
          <w:sz w:val="20"/>
          <w:szCs w:val="20"/>
          <w:lang w:val="es-ES" w:eastAsia="en-US"/>
        </w:rPr>
      </w:pPr>
      <w:r w:rsidRPr="0034034E">
        <w:rPr>
          <w:rFonts w:ascii="Palatino Linotype" w:eastAsia="Calibri" w:hAnsi="Palatino Linotype" w:cs="Tahoma"/>
          <w:bCs/>
          <w:i/>
          <w:iCs/>
          <w:sz w:val="20"/>
          <w:szCs w:val="20"/>
          <w:lang w:val="es-ES" w:eastAsia="en-US"/>
        </w:rPr>
        <w:t>“</w:t>
      </w:r>
      <w:r w:rsidRPr="0034034E">
        <w:rPr>
          <w:rFonts w:ascii="Palatino Linotype" w:eastAsia="Calibri" w:hAnsi="Palatino Linotype" w:cs="Tahoma"/>
          <w:b/>
          <w:bCs/>
          <w:i/>
          <w:iCs/>
          <w:sz w:val="20"/>
          <w:szCs w:val="20"/>
          <w:lang w:val="es-ES" w:eastAsia="en-US"/>
        </w:rPr>
        <w:t xml:space="preserve">DERECHO A LA VIDA PRIVADA. SU CONTENIDO GENERAL Y LA IMPORTANCIA DE NO DESCONTEXTUALIZAR LAS REFERENCIAS A LA MISMA. </w:t>
      </w:r>
      <w:r w:rsidRPr="0034034E">
        <w:rPr>
          <w:rFonts w:ascii="Palatino Linotype" w:eastAsia="Calibri" w:hAnsi="Palatino Linotype" w:cs="Tahoma"/>
          <w:bCs/>
          <w:i/>
          <w:iCs/>
          <w:sz w:val="20"/>
          <w:szCs w:val="20"/>
          <w:lang w:val="es-ES"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w:t>
      </w:r>
      <w:r w:rsidRPr="0034034E">
        <w:rPr>
          <w:rFonts w:ascii="Palatino Linotype" w:eastAsia="Calibri" w:hAnsi="Palatino Linotype" w:cs="Tahoma"/>
          <w:bCs/>
          <w:i/>
          <w:iCs/>
          <w:sz w:val="20"/>
          <w:szCs w:val="20"/>
          <w:lang w:val="es-ES" w:eastAsia="en-US"/>
        </w:rPr>
        <w:lastRenderedPageBreak/>
        <w:t xml:space="preserve">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34034E">
        <w:rPr>
          <w:rFonts w:ascii="Palatino Linotype" w:eastAsia="Calibri" w:hAnsi="Palatino Linotype" w:cs="Tahoma"/>
          <w:b/>
          <w:bCs/>
          <w:i/>
          <w:iCs/>
          <w:sz w:val="20"/>
          <w:szCs w:val="20"/>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34034E">
        <w:rPr>
          <w:rFonts w:ascii="Palatino Linotype" w:eastAsia="Calibri" w:hAnsi="Palatino Linotype" w:cs="Tahoma"/>
          <w:bCs/>
          <w:i/>
          <w:iCs/>
          <w:sz w:val="20"/>
          <w:szCs w:val="20"/>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34034E">
        <w:rPr>
          <w:rFonts w:ascii="Palatino Linotype" w:eastAsia="Calibri" w:hAnsi="Palatino Linotype" w:cs="Tahoma"/>
          <w:b/>
          <w:bCs/>
          <w:i/>
          <w:iCs/>
          <w:sz w:val="20"/>
          <w:szCs w:val="20"/>
          <w:lang w:val="es-ES" w:eastAsia="en-US"/>
        </w:rPr>
        <w:t>En un sentido amplio, entonces, la protección constitucional de la vida privada implica poder conducir parte de la vida de uno protegido de la mirada y las injerencias de los demás</w:t>
      </w:r>
      <w:r w:rsidRPr="0034034E">
        <w:rPr>
          <w:rFonts w:ascii="Palatino Linotype" w:eastAsia="Calibri" w:hAnsi="Palatino Linotype" w:cs="Tahoma"/>
          <w:bCs/>
          <w:i/>
          <w:iCs/>
          <w:sz w:val="20"/>
          <w:szCs w:val="20"/>
          <w:lang w:val="es-ES" w:eastAsia="en-US"/>
        </w:rPr>
        <w:t xml:space="preserve">,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w:t>
      </w:r>
      <w:r w:rsidRPr="0034034E">
        <w:rPr>
          <w:rFonts w:ascii="Palatino Linotype" w:eastAsia="Calibri" w:hAnsi="Palatino Linotype" w:cs="Tahoma"/>
          <w:bCs/>
          <w:i/>
          <w:iCs/>
          <w:sz w:val="20"/>
          <w:szCs w:val="20"/>
          <w:lang w:val="es-ES" w:eastAsia="en-US"/>
        </w:rPr>
        <w:lastRenderedPageBreak/>
        <w:t>contra la divulgación de informaciones comunicadas o recibidas confidencialmente por un particular.”</w:t>
      </w:r>
    </w:p>
    <w:p w14:paraId="66BFBB42" w14:textId="77777777" w:rsidR="00716691" w:rsidRPr="0034034E" w:rsidRDefault="00716691" w:rsidP="00716691">
      <w:pPr>
        <w:spacing w:line="360" w:lineRule="auto"/>
        <w:jc w:val="both"/>
        <w:rPr>
          <w:rFonts w:ascii="Palatino Linotype" w:eastAsia="Calibri" w:hAnsi="Palatino Linotype" w:cs="Tahoma"/>
          <w:bCs/>
          <w:iCs/>
          <w:sz w:val="22"/>
          <w:szCs w:val="22"/>
          <w:lang w:val="es-ES" w:eastAsia="en-US"/>
        </w:rPr>
      </w:pPr>
    </w:p>
    <w:p w14:paraId="647FB4FB" w14:textId="77777777" w:rsidR="00716691" w:rsidRPr="0034034E" w:rsidRDefault="00716691" w:rsidP="00716691">
      <w:pPr>
        <w:spacing w:line="360" w:lineRule="auto"/>
        <w:jc w:val="both"/>
        <w:rPr>
          <w:rFonts w:ascii="Palatino Linotype" w:eastAsia="Calibri" w:hAnsi="Palatino Linotype" w:cs="Tahoma"/>
          <w:b/>
          <w:bCs/>
          <w:iCs/>
          <w:sz w:val="22"/>
          <w:szCs w:val="22"/>
          <w:lang w:val="es-ES" w:eastAsia="en-US"/>
        </w:rPr>
      </w:pPr>
      <w:r w:rsidRPr="0034034E">
        <w:rPr>
          <w:rFonts w:ascii="Palatino Linotype" w:eastAsia="Calibri" w:hAnsi="Palatino Linotype" w:cs="Tahoma"/>
          <w:bCs/>
          <w:iCs/>
          <w:sz w:val="22"/>
          <w:szCs w:val="22"/>
          <w:lang w:val="es-ES" w:eastAsia="en-US"/>
        </w:rPr>
        <w:t xml:space="preserve">De conformidad con lo señalado, se colige que </w:t>
      </w:r>
      <w:r w:rsidRPr="0034034E">
        <w:rPr>
          <w:rFonts w:ascii="Palatino Linotype" w:eastAsia="Calibri" w:hAnsi="Palatino Linotype" w:cs="Tahoma"/>
          <w:b/>
          <w:bCs/>
          <w:iCs/>
          <w:sz w:val="22"/>
          <w:szCs w:val="22"/>
          <w:lang w:val="es-ES" w:eastAsia="en-US"/>
        </w:rPr>
        <w:t>las actividades que realicen los particulares, dentro del ámbito privado, o dentro de la esfera particular, es información que debe protegerse.</w:t>
      </w:r>
    </w:p>
    <w:p w14:paraId="124EF181" w14:textId="77777777" w:rsidR="00716691" w:rsidRPr="0034034E" w:rsidRDefault="00716691" w:rsidP="00716691">
      <w:pPr>
        <w:spacing w:line="360" w:lineRule="auto"/>
        <w:jc w:val="both"/>
        <w:rPr>
          <w:rFonts w:ascii="Palatino Linotype" w:eastAsia="Calibri" w:hAnsi="Palatino Linotype" w:cs="Tahoma"/>
          <w:bCs/>
          <w:iCs/>
          <w:sz w:val="22"/>
          <w:szCs w:val="22"/>
          <w:lang w:eastAsia="en-US"/>
        </w:rPr>
      </w:pPr>
    </w:p>
    <w:p w14:paraId="7993A00D" w14:textId="77777777" w:rsidR="00716691" w:rsidRPr="0034034E" w:rsidRDefault="00716691" w:rsidP="00716691">
      <w:pPr>
        <w:spacing w:line="360" w:lineRule="auto"/>
        <w:jc w:val="both"/>
        <w:rPr>
          <w:rFonts w:ascii="Palatino Linotype" w:eastAsia="Calibri" w:hAnsi="Palatino Linotype" w:cs="Tahoma"/>
          <w:bCs/>
          <w:iCs/>
          <w:sz w:val="22"/>
          <w:szCs w:val="22"/>
          <w:lang w:eastAsia="en-US"/>
        </w:rPr>
      </w:pPr>
      <w:r w:rsidRPr="0034034E">
        <w:rPr>
          <w:rFonts w:ascii="Palatino Linotype" w:eastAsia="Calibri" w:hAnsi="Palatino Linotype" w:cs="Tahoma"/>
          <w:bCs/>
          <w:iCs/>
          <w:sz w:val="22"/>
          <w:szCs w:val="22"/>
          <w:lang w:eastAsia="en-US"/>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2F7009C9" w14:textId="77777777" w:rsidR="00716691" w:rsidRPr="0034034E" w:rsidRDefault="00716691" w:rsidP="00716691">
      <w:pPr>
        <w:spacing w:line="360" w:lineRule="auto"/>
        <w:jc w:val="both"/>
        <w:rPr>
          <w:rFonts w:ascii="Palatino Linotype" w:eastAsia="Calibri" w:hAnsi="Palatino Linotype" w:cs="Tahoma"/>
          <w:bCs/>
          <w:color w:val="000000"/>
          <w:sz w:val="22"/>
          <w:szCs w:val="22"/>
          <w:lang w:eastAsia="en-US"/>
        </w:rPr>
      </w:pPr>
    </w:p>
    <w:p w14:paraId="78342F9E" w14:textId="77777777" w:rsidR="00716691" w:rsidRPr="0034034E" w:rsidRDefault="00716691" w:rsidP="00716691">
      <w:pPr>
        <w:numPr>
          <w:ilvl w:val="0"/>
          <w:numId w:val="15"/>
        </w:numPr>
        <w:tabs>
          <w:tab w:val="num" w:pos="720"/>
        </w:tabs>
        <w:spacing w:after="160" w:line="360" w:lineRule="auto"/>
        <w:jc w:val="both"/>
        <w:rPr>
          <w:rFonts w:ascii="Palatino Linotype" w:hAnsi="Palatino Linotype" w:cs="Tahoma"/>
          <w:b/>
          <w:bCs/>
          <w:sz w:val="22"/>
          <w:szCs w:val="22"/>
          <w:lang w:val="es-ES" w:eastAsia="es-ES"/>
        </w:rPr>
      </w:pPr>
      <w:r w:rsidRPr="0034034E">
        <w:rPr>
          <w:rFonts w:ascii="Palatino Linotype" w:eastAsia="Calibri" w:hAnsi="Palatino Linotype" w:cs="Tahoma"/>
          <w:b/>
          <w:bCs/>
          <w:iCs/>
          <w:sz w:val="22"/>
          <w:szCs w:val="22"/>
          <w:lang w:eastAsia="es-ES_tradnl"/>
        </w:rPr>
        <w:t>Número</w:t>
      </w:r>
      <w:r w:rsidRPr="0034034E">
        <w:rPr>
          <w:rFonts w:ascii="Palatino Linotype" w:hAnsi="Palatino Linotype" w:cs="Tahoma"/>
          <w:b/>
          <w:bCs/>
          <w:sz w:val="22"/>
          <w:szCs w:val="22"/>
          <w:lang w:val="es-ES" w:eastAsia="es-ES"/>
        </w:rPr>
        <w:t xml:space="preserve"> de cédula profesional.</w:t>
      </w:r>
    </w:p>
    <w:p w14:paraId="0513CB2B" w14:textId="77777777" w:rsidR="00716691" w:rsidRPr="0034034E" w:rsidRDefault="00716691" w:rsidP="00716691">
      <w:pPr>
        <w:spacing w:line="360" w:lineRule="auto"/>
        <w:jc w:val="both"/>
        <w:rPr>
          <w:rFonts w:ascii="Palatino Linotype" w:hAnsi="Palatino Linotype" w:cs="Tahoma"/>
          <w:sz w:val="20"/>
          <w:szCs w:val="22"/>
          <w:lang w:val="es-ES" w:eastAsia="es-ES"/>
        </w:rPr>
      </w:pPr>
    </w:p>
    <w:p w14:paraId="6365F361" w14:textId="77777777" w:rsidR="00716691" w:rsidRPr="0034034E" w:rsidRDefault="00716691" w:rsidP="00716691">
      <w:pPr>
        <w:spacing w:line="360" w:lineRule="auto"/>
        <w:jc w:val="both"/>
        <w:rPr>
          <w:rFonts w:ascii="Palatino Linotype" w:eastAsia="Calibri" w:hAnsi="Palatino Linotype" w:cs="Tahoma"/>
          <w:color w:val="000000"/>
          <w:sz w:val="22"/>
          <w:szCs w:val="22"/>
          <w:lang w:eastAsia="en-US"/>
        </w:rPr>
      </w:pPr>
      <w:r w:rsidRPr="0034034E">
        <w:rPr>
          <w:rFonts w:ascii="Palatino Linotype" w:eastAsia="Calibri" w:hAnsi="Palatino Linotype" w:cs="Tahoma"/>
          <w:color w:val="000000"/>
          <w:sz w:val="22"/>
          <w:szCs w:val="22"/>
          <w:lang w:eastAsia="en-US"/>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20" w:history="1">
        <w:r w:rsidRPr="0034034E">
          <w:rPr>
            <w:rFonts w:ascii="Palatino Linotype" w:eastAsia="Calibri" w:hAnsi="Palatino Linotype" w:cs="Tahoma"/>
            <w:color w:val="0563C1"/>
            <w:sz w:val="22"/>
            <w:szCs w:val="22"/>
            <w:u w:val="single"/>
            <w:lang w:eastAsia="en-US"/>
          </w:rPr>
          <w:t>http://consultatucedula.mx/</w:t>
        </w:r>
      </w:hyperlink>
      <w:r w:rsidRPr="0034034E">
        <w:rPr>
          <w:rFonts w:ascii="Palatino Linotype" w:eastAsia="Calibri" w:hAnsi="Palatino Linotype" w:cs="Tahoma"/>
          <w:color w:val="000000"/>
          <w:sz w:val="22"/>
          <w:szCs w:val="22"/>
          <w:lang w:eastAsia="en-US"/>
        </w:rPr>
        <w:t>).</w:t>
      </w:r>
    </w:p>
    <w:p w14:paraId="5936CA5F" w14:textId="77777777" w:rsidR="00716691" w:rsidRPr="0034034E" w:rsidRDefault="00716691" w:rsidP="00716691">
      <w:pPr>
        <w:spacing w:line="360" w:lineRule="auto"/>
        <w:jc w:val="both"/>
        <w:rPr>
          <w:rFonts w:ascii="Palatino Linotype" w:eastAsia="Calibri" w:hAnsi="Palatino Linotype" w:cs="Tahoma"/>
          <w:color w:val="000000"/>
          <w:sz w:val="22"/>
          <w:szCs w:val="22"/>
          <w:lang w:eastAsia="en-US"/>
        </w:rPr>
      </w:pPr>
    </w:p>
    <w:p w14:paraId="25FE7B33" w14:textId="77777777" w:rsidR="00716691" w:rsidRPr="0034034E" w:rsidRDefault="00716691" w:rsidP="00716691">
      <w:pPr>
        <w:spacing w:line="360" w:lineRule="auto"/>
        <w:jc w:val="both"/>
        <w:rPr>
          <w:rFonts w:ascii="Palatino Linotype" w:eastAsia="Calibri" w:hAnsi="Palatino Linotype" w:cs="Tahoma"/>
          <w:color w:val="000000"/>
          <w:sz w:val="22"/>
          <w:szCs w:val="22"/>
          <w:lang w:val="es-ES" w:eastAsia="en-US"/>
        </w:rPr>
      </w:pPr>
      <w:r w:rsidRPr="0034034E">
        <w:rPr>
          <w:rFonts w:ascii="Palatino Linotype" w:eastAsia="Calibri" w:hAnsi="Palatino Linotype" w:cs="Tahoma"/>
          <w:color w:val="000000"/>
          <w:sz w:val="22"/>
          <w:szCs w:val="22"/>
          <w:lang w:eastAsia="en-US"/>
        </w:rPr>
        <w:t xml:space="preserve">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w:t>
      </w:r>
      <w:r w:rsidRPr="0034034E">
        <w:rPr>
          <w:rFonts w:ascii="Palatino Linotype" w:eastAsia="Calibri" w:hAnsi="Palatino Linotype" w:cs="Tahoma"/>
          <w:color w:val="000000"/>
          <w:sz w:val="22"/>
          <w:szCs w:val="22"/>
          <w:lang w:eastAsia="en-US"/>
        </w:rPr>
        <w:lastRenderedPageBreak/>
        <w:t>identidad en todas sus actividades profesionales, lo anterior toma sustento en los</w:t>
      </w:r>
      <w:r w:rsidRPr="0034034E">
        <w:rPr>
          <w:rFonts w:ascii="Palatino Linotype" w:eastAsia="Calibri" w:hAnsi="Palatino Linotype" w:cs="Tahoma"/>
          <w:color w:val="000000"/>
          <w:sz w:val="22"/>
          <w:szCs w:val="22"/>
          <w:lang w:val="es-ES" w:eastAsia="en-US"/>
        </w:rPr>
        <w:t xml:space="preserve"> artículos 3° y 23, fracción IV, de la Ley Reglamentaria del Artículo 5° Constitucional, Relativo al Ejercicio de las Profesiones en la Ciudad de México.</w:t>
      </w:r>
    </w:p>
    <w:p w14:paraId="2EC92174" w14:textId="77777777" w:rsidR="00716691" w:rsidRPr="0034034E" w:rsidRDefault="00716691" w:rsidP="00716691">
      <w:pPr>
        <w:spacing w:line="360" w:lineRule="auto"/>
        <w:jc w:val="both"/>
        <w:rPr>
          <w:rFonts w:ascii="Palatino Linotype" w:eastAsia="Calibri" w:hAnsi="Palatino Linotype" w:cs="Tahoma"/>
          <w:color w:val="000000"/>
          <w:sz w:val="22"/>
          <w:szCs w:val="22"/>
          <w:lang w:eastAsia="en-US"/>
        </w:rPr>
      </w:pPr>
    </w:p>
    <w:p w14:paraId="75153561" w14:textId="77777777" w:rsidR="00716691" w:rsidRPr="0034034E" w:rsidRDefault="00716691" w:rsidP="00716691">
      <w:pPr>
        <w:spacing w:line="360" w:lineRule="auto"/>
        <w:jc w:val="both"/>
        <w:rPr>
          <w:rFonts w:ascii="Palatino Linotype" w:eastAsia="Calibri" w:hAnsi="Palatino Linotype" w:cs="Tahoma"/>
          <w:bCs/>
          <w:iCs/>
          <w:color w:val="000000"/>
          <w:sz w:val="22"/>
          <w:szCs w:val="22"/>
          <w:lang w:val="es-ES" w:eastAsia="en-US"/>
        </w:rPr>
      </w:pPr>
      <w:r w:rsidRPr="0034034E">
        <w:rPr>
          <w:rFonts w:ascii="Palatino Linotype" w:eastAsia="Calibri" w:hAnsi="Palatino Linotype" w:cs="Tahoma"/>
          <w:bCs/>
          <w:iCs/>
          <w:color w:val="000000"/>
          <w:sz w:val="22"/>
          <w:szCs w:val="22"/>
          <w:lang w:val="es-ES" w:eastAsia="en-US"/>
        </w:rPr>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14:paraId="49ADCD10" w14:textId="77777777" w:rsidR="00716691" w:rsidRPr="0034034E" w:rsidRDefault="00716691" w:rsidP="00716691">
      <w:pPr>
        <w:spacing w:line="360" w:lineRule="auto"/>
        <w:jc w:val="both"/>
        <w:rPr>
          <w:rFonts w:ascii="Palatino Linotype" w:eastAsia="Calibri" w:hAnsi="Palatino Linotype" w:cs="Tahoma"/>
          <w:bCs/>
          <w:iCs/>
          <w:color w:val="000000"/>
          <w:sz w:val="22"/>
          <w:szCs w:val="22"/>
          <w:lang w:val="es-ES" w:eastAsia="en-US"/>
        </w:rPr>
      </w:pPr>
    </w:p>
    <w:p w14:paraId="2BA0BE59" w14:textId="77777777" w:rsidR="00716691" w:rsidRPr="0034034E" w:rsidRDefault="00716691" w:rsidP="00716691">
      <w:pPr>
        <w:spacing w:line="360" w:lineRule="auto"/>
        <w:jc w:val="both"/>
        <w:rPr>
          <w:rFonts w:ascii="Palatino Linotype" w:eastAsia="Calibri" w:hAnsi="Palatino Linotype" w:cs="Tahoma"/>
          <w:bCs/>
          <w:iCs/>
          <w:color w:val="000000"/>
          <w:sz w:val="22"/>
          <w:szCs w:val="22"/>
          <w:lang w:val="es-ES" w:eastAsia="en-US"/>
        </w:rPr>
      </w:pPr>
      <w:r w:rsidRPr="0034034E">
        <w:rPr>
          <w:rFonts w:ascii="Palatino Linotype" w:eastAsia="Calibri" w:hAnsi="Palatino Linotype" w:cs="Tahoma"/>
          <w:bCs/>
          <w:iCs/>
          <w:color w:val="000000"/>
          <w:sz w:val="22"/>
          <w:szCs w:val="22"/>
          <w:lang w:val="es-ES" w:eastAsia="en-US"/>
        </w:rPr>
        <w:t>Además, que dicho número forma parte del Registro Nacional de Profesionistas, y da cuenta de que algún profesionista, en el presente caso, tiene registrado su título, con efectos de patente; por lo que, se considera que el número, al formar parte de un registro público, no actualiza, la causal de clasificación prevista en el artículo 143, fracción I, de la Ley de Transparencia y Acceso a la Información Pública del Estado de México.</w:t>
      </w:r>
    </w:p>
    <w:p w14:paraId="50B32683" w14:textId="77777777" w:rsidR="00716691" w:rsidRPr="0034034E" w:rsidRDefault="00716691" w:rsidP="00716691">
      <w:pPr>
        <w:spacing w:line="360" w:lineRule="auto"/>
        <w:jc w:val="both"/>
        <w:rPr>
          <w:rFonts w:ascii="Palatino Linotype" w:eastAsia="Calibri" w:hAnsi="Palatino Linotype" w:cs="Tahoma"/>
          <w:bCs/>
          <w:color w:val="000000"/>
          <w:sz w:val="22"/>
          <w:szCs w:val="22"/>
          <w:lang w:eastAsia="en-US"/>
        </w:rPr>
      </w:pPr>
    </w:p>
    <w:p w14:paraId="03D942B0" w14:textId="77777777" w:rsidR="00716691" w:rsidRPr="0034034E" w:rsidRDefault="00716691" w:rsidP="00716691">
      <w:pPr>
        <w:numPr>
          <w:ilvl w:val="0"/>
          <w:numId w:val="15"/>
        </w:numPr>
        <w:tabs>
          <w:tab w:val="num" w:pos="720"/>
        </w:tabs>
        <w:spacing w:after="160" w:line="360" w:lineRule="auto"/>
        <w:jc w:val="both"/>
        <w:rPr>
          <w:rFonts w:ascii="Palatino Linotype" w:eastAsia="Calibri" w:hAnsi="Palatino Linotype" w:cs="Tahoma"/>
          <w:b/>
          <w:color w:val="000000"/>
          <w:sz w:val="22"/>
          <w:szCs w:val="22"/>
          <w:lang w:eastAsia="en-US"/>
        </w:rPr>
      </w:pPr>
      <w:r w:rsidRPr="0034034E">
        <w:rPr>
          <w:rFonts w:ascii="Palatino Linotype" w:eastAsia="Calibri" w:hAnsi="Palatino Linotype" w:cs="Tahoma"/>
          <w:b/>
          <w:color w:val="000000"/>
          <w:sz w:val="22"/>
          <w:szCs w:val="22"/>
          <w:lang w:eastAsia="en-US"/>
        </w:rPr>
        <w:t>Fotografía.</w:t>
      </w:r>
    </w:p>
    <w:p w14:paraId="40E01E46" w14:textId="77777777" w:rsidR="00716691" w:rsidRPr="0034034E" w:rsidRDefault="00716691" w:rsidP="00716691">
      <w:pPr>
        <w:spacing w:line="360" w:lineRule="auto"/>
        <w:ind w:right="-93"/>
        <w:jc w:val="both"/>
        <w:rPr>
          <w:rFonts w:ascii="Palatino Linotype" w:eastAsia="Calibri" w:hAnsi="Palatino Linotype" w:cs="Tahoma"/>
          <w:bCs/>
          <w:sz w:val="22"/>
          <w:szCs w:val="22"/>
          <w:lang w:val="es-ES" w:eastAsia="en-US"/>
        </w:rPr>
      </w:pPr>
    </w:p>
    <w:p w14:paraId="70F63014" w14:textId="77777777" w:rsidR="00716691" w:rsidRPr="0034034E" w:rsidRDefault="00716691" w:rsidP="00716691">
      <w:pPr>
        <w:spacing w:line="360" w:lineRule="auto"/>
        <w:ind w:right="-93"/>
        <w:jc w:val="both"/>
        <w:rPr>
          <w:rFonts w:ascii="Palatino Linotype" w:eastAsia="Calibri" w:hAnsi="Palatino Linotype" w:cs="Tahoma"/>
          <w:bCs/>
          <w:sz w:val="22"/>
          <w:szCs w:val="22"/>
          <w:lang w:val="es-ES" w:eastAsia="en-US"/>
        </w:rPr>
      </w:pPr>
      <w:r w:rsidRPr="0034034E">
        <w:rPr>
          <w:rFonts w:ascii="Palatino Linotype" w:eastAsia="Calibri" w:hAnsi="Palatino Linotype" w:cs="Tahoma"/>
          <w:bCs/>
          <w:sz w:val="22"/>
          <w:szCs w:val="22"/>
          <w:lang w:val="es-ES" w:eastAsia="en-US"/>
        </w:rPr>
        <w:t xml:space="preserve">Por lo que hace a las fotografías, es preciso señalar que estas </w:t>
      </w:r>
      <w:r w:rsidRPr="0034034E">
        <w:rPr>
          <w:rFonts w:ascii="Palatino Linotype" w:eastAsia="Calibri" w:hAnsi="Palatino Linotype" w:cs="Tahoma"/>
          <w:b/>
          <w:bCs/>
          <w:sz w:val="22"/>
          <w:szCs w:val="22"/>
          <w:lang w:val="es-ES" w:eastAsia="en-US"/>
        </w:rPr>
        <w:t>dan cuenta de las características físicas de los particulares.</w:t>
      </w:r>
      <w:r w:rsidRPr="0034034E">
        <w:rPr>
          <w:rFonts w:ascii="Palatino Linotype" w:eastAsia="Calibri" w:hAnsi="Palatino Linotype" w:cs="Tahoma"/>
          <w:bCs/>
          <w:sz w:val="22"/>
          <w:szCs w:val="22"/>
          <w:lang w:val="es-ES" w:eastAsia="en-US"/>
        </w:rPr>
        <w:t xml:space="preserve">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F9F6880" w14:textId="77777777" w:rsidR="00716691" w:rsidRPr="0034034E" w:rsidRDefault="00716691" w:rsidP="00716691">
      <w:pPr>
        <w:spacing w:line="360" w:lineRule="auto"/>
        <w:ind w:right="-93"/>
        <w:jc w:val="both"/>
        <w:rPr>
          <w:rFonts w:ascii="Palatino Linotype" w:eastAsia="Calibri" w:hAnsi="Palatino Linotype" w:cs="Tahoma"/>
          <w:bCs/>
          <w:sz w:val="22"/>
          <w:szCs w:val="22"/>
          <w:lang w:val="es-ES" w:eastAsia="en-US"/>
        </w:rPr>
      </w:pPr>
    </w:p>
    <w:p w14:paraId="1178CC72" w14:textId="77777777" w:rsidR="00716691" w:rsidRPr="0034034E" w:rsidRDefault="00716691" w:rsidP="00716691">
      <w:pPr>
        <w:spacing w:line="360" w:lineRule="auto"/>
        <w:ind w:right="-93"/>
        <w:jc w:val="both"/>
        <w:rPr>
          <w:rFonts w:ascii="Palatino Linotype" w:eastAsia="Calibri" w:hAnsi="Palatino Linotype" w:cs="Tahoma"/>
          <w:bCs/>
          <w:sz w:val="22"/>
          <w:szCs w:val="22"/>
          <w:lang w:val="es-ES" w:eastAsia="en-US"/>
        </w:rPr>
      </w:pPr>
      <w:r w:rsidRPr="0034034E">
        <w:rPr>
          <w:rFonts w:ascii="Palatino Linotype" w:eastAsia="Calibri" w:hAnsi="Palatino Linotype" w:cs="Tahoma"/>
          <w:bCs/>
          <w:sz w:val="22"/>
          <w:szCs w:val="22"/>
          <w:lang w:val="es-ES" w:eastAsia="en-US"/>
        </w:rPr>
        <w:lastRenderedPageBreak/>
        <w:t>De esa forma, el derecho a la imagen como la representación gráfica de la persona y el derecho a la propia imagen como facultad para permitir o impedir su obtención, reproducción, difusión y distribución por parte de un tercero.</w:t>
      </w:r>
    </w:p>
    <w:p w14:paraId="6247F200" w14:textId="77777777" w:rsidR="00716691" w:rsidRPr="0034034E" w:rsidRDefault="00716691" w:rsidP="00716691">
      <w:pPr>
        <w:spacing w:line="360" w:lineRule="auto"/>
        <w:ind w:right="-93"/>
        <w:jc w:val="both"/>
        <w:rPr>
          <w:rFonts w:ascii="Palatino Linotype" w:eastAsia="Calibri" w:hAnsi="Palatino Linotype" w:cs="Tahoma"/>
          <w:bCs/>
          <w:sz w:val="22"/>
          <w:szCs w:val="22"/>
          <w:lang w:val="es-ES" w:eastAsia="en-US"/>
        </w:rPr>
      </w:pPr>
    </w:p>
    <w:p w14:paraId="7D1BD9DD" w14:textId="77777777" w:rsidR="00716691" w:rsidRPr="0034034E" w:rsidRDefault="00716691" w:rsidP="00716691">
      <w:pPr>
        <w:spacing w:line="360" w:lineRule="auto"/>
        <w:ind w:right="-93"/>
        <w:jc w:val="both"/>
        <w:rPr>
          <w:rFonts w:ascii="Palatino Linotype" w:eastAsia="Calibri" w:hAnsi="Palatino Linotype" w:cs="Tahoma"/>
          <w:bCs/>
          <w:sz w:val="22"/>
          <w:szCs w:val="22"/>
          <w:lang w:val="es-ES" w:eastAsia="en-US"/>
        </w:rPr>
      </w:pPr>
      <w:r w:rsidRPr="0034034E">
        <w:rPr>
          <w:rFonts w:ascii="Palatino Linotype" w:eastAsia="Calibri" w:hAnsi="Palatino Linotype" w:cs="Tahoma"/>
          <w:bCs/>
          <w:sz w:val="22"/>
          <w:szCs w:val="22"/>
          <w:lang w:val="es-ES" w:eastAsia="en-US"/>
        </w:rPr>
        <w:t>Al respecto, el Pleno de la Suprema Corte de Justicia de la Nación se ha pronunciado en el mismo sentido en la siguiente tesis:</w:t>
      </w:r>
    </w:p>
    <w:p w14:paraId="3081FAC2" w14:textId="77777777" w:rsidR="00716691" w:rsidRPr="0034034E" w:rsidRDefault="00716691" w:rsidP="00716691">
      <w:pPr>
        <w:spacing w:line="360" w:lineRule="auto"/>
        <w:ind w:right="-93"/>
        <w:jc w:val="both"/>
        <w:rPr>
          <w:rFonts w:ascii="Palatino Linotype" w:eastAsia="Calibri" w:hAnsi="Palatino Linotype" w:cs="Tahoma"/>
          <w:bCs/>
          <w:sz w:val="22"/>
          <w:szCs w:val="22"/>
          <w:lang w:val="es-ES" w:eastAsia="en-US"/>
        </w:rPr>
      </w:pPr>
    </w:p>
    <w:p w14:paraId="057DA78B" w14:textId="77777777" w:rsidR="00716691" w:rsidRPr="0034034E" w:rsidRDefault="00716691" w:rsidP="00716691">
      <w:pPr>
        <w:spacing w:line="360" w:lineRule="auto"/>
        <w:ind w:left="567" w:right="567"/>
        <w:jc w:val="both"/>
        <w:rPr>
          <w:rFonts w:ascii="Palatino Linotype" w:eastAsia="Calibri" w:hAnsi="Palatino Linotype" w:cs="Tahoma"/>
          <w:bCs/>
          <w:i/>
          <w:sz w:val="20"/>
          <w:szCs w:val="20"/>
          <w:lang w:val="es-ES" w:eastAsia="en-US"/>
        </w:rPr>
      </w:pPr>
      <w:r w:rsidRPr="0034034E">
        <w:rPr>
          <w:rFonts w:ascii="Palatino Linotype" w:eastAsia="Calibri" w:hAnsi="Palatino Linotype" w:cs="Tahoma"/>
          <w:b/>
          <w:bCs/>
          <w:i/>
          <w:sz w:val="20"/>
          <w:szCs w:val="20"/>
          <w:lang w:val="es-ES" w:eastAsia="en-US"/>
        </w:rPr>
        <w:t xml:space="preserve">“DERECHOS A LA INTIMIDAD, PROPIA IMAGEN, IDENTIDAD PERSONAL Y SEXUAL. CONSTITUYEN DERECHOS DE DEFENSA Y GARANTÍA ESENCIAL PARA LA CONDICIÓN HUMANA. </w:t>
      </w:r>
      <w:r w:rsidRPr="0034034E">
        <w:rPr>
          <w:rFonts w:ascii="Palatino Linotype" w:eastAsia="Calibri" w:hAnsi="Palatino Linotype" w:cs="Tahoma"/>
          <w:bCs/>
          <w:i/>
          <w:sz w:val="20"/>
          <w:szCs w:val="20"/>
          <w:lang w:val="es-ES" w:eastAsia="en-US"/>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w:t>
      </w:r>
      <w:r w:rsidRPr="0034034E">
        <w:rPr>
          <w:rFonts w:ascii="Palatino Linotype" w:eastAsia="Calibri" w:hAnsi="Palatino Linotype" w:cs="Tahoma"/>
          <w:b/>
          <w:bCs/>
          <w:i/>
          <w:sz w:val="20"/>
          <w:szCs w:val="20"/>
          <w:lang w:val="es-ES" w:eastAsia="en-US"/>
        </w:rPr>
        <w:t xml:space="preserve">Por consiguiente, al constituir derechos inherentes a la persona, fuera de la injerencia </w:t>
      </w:r>
      <w:r w:rsidRPr="0034034E">
        <w:rPr>
          <w:rFonts w:ascii="Palatino Linotype" w:eastAsia="Calibri" w:hAnsi="Palatino Linotype" w:cs="Tahoma"/>
          <w:b/>
          <w:bCs/>
          <w:i/>
          <w:sz w:val="20"/>
          <w:szCs w:val="20"/>
          <w:lang w:val="es-ES" w:eastAsia="en-US"/>
        </w:rPr>
        <w:lastRenderedPageBreak/>
        <w:t xml:space="preserve">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34034E">
        <w:rPr>
          <w:rFonts w:ascii="Palatino Linotype" w:eastAsia="Calibri" w:hAnsi="Palatino Linotype" w:cs="Tahoma"/>
          <w:bCs/>
          <w:i/>
          <w:sz w:val="20"/>
          <w:szCs w:val="20"/>
          <w:lang w:val="es-ES" w:eastAsia="en-US"/>
        </w:rPr>
        <w:t xml:space="preserve">por lo que, si bien no son absolutos, </w:t>
      </w:r>
      <w:r w:rsidRPr="0034034E">
        <w:rPr>
          <w:rFonts w:ascii="Palatino Linotype" w:eastAsia="Calibri" w:hAnsi="Palatino Linotype" w:cs="Tahoma"/>
          <w:b/>
          <w:bCs/>
          <w:i/>
          <w:sz w:val="20"/>
          <w:szCs w:val="20"/>
          <w:lang w:val="es-ES" w:eastAsia="en-US"/>
        </w:rPr>
        <w:t>sólo por ley podrá justificarse su intromisión, siempre que medie un interés superior</w:t>
      </w:r>
      <w:r w:rsidRPr="0034034E">
        <w:rPr>
          <w:rFonts w:ascii="Palatino Linotype" w:eastAsia="Calibri" w:hAnsi="Palatino Linotype" w:cs="Tahoma"/>
          <w:bCs/>
          <w:i/>
          <w:sz w:val="20"/>
          <w:szCs w:val="20"/>
          <w:lang w:val="es-ES" w:eastAsia="en-US"/>
        </w:rPr>
        <w:t>.”</w:t>
      </w:r>
    </w:p>
    <w:p w14:paraId="4091226A" w14:textId="77777777" w:rsidR="00716691" w:rsidRPr="0034034E" w:rsidRDefault="00716691" w:rsidP="00716691">
      <w:pPr>
        <w:spacing w:line="360" w:lineRule="auto"/>
        <w:ind w:right="-93"/>
        <w:jc w:val="both"/>
        <w:rPr>
          <w:rFonts w:ascii="Palatino Linotype" w:eastAsia="Calibri" w:hAnsi="Palatino Linotype" w:cs="Tahoma"/>
          <w:bCs/>
          <w:sz w:val="22"/>
          <w:szCs w:val="22"/>
          <w:lang w:val="es-ES" w:eastAsia="en-US"/>
        </w:rPr>
      </w:pPr>
    </w:p>
    <w:p w14:paraId="1AE208B6" w14:textId="77777777" w:rsidR="00716691" w:rsidRPr="0034034E" w:rsidRDefault="00716691" w:rsidP="00716691">
      <w:pPr>
        <w:spacing w:line="360" w:lineRule="auto"/>
        <w:ind w:right="-93"/>
        <w:jc w:val="both"/>
        <w:rPr>
          <w:rFonts w:ascii="Palatino Linotype" w:eastAsia="Calibri" w:hAnsi="Palatino Linotype" w:cs="Tahoma"/>
          <w:bCs/>
          <w:sz w:val="22"/>
          <w:szCs w:val="22"/>
          <w:lang w:val="es-ES" w:eastAsia="en-US"/>
        </w:rPr>
      </w:pPr>
      <w:r w:rsidRPr="0034034E">
        <w:rPr>
          <w:rFonts w:ascii="Palatino Linotype" w:eastAsia="Calibri" w:hAnsi="Palatino Linotype" w:cs="Tahoma"/>
          <w:bCs/>
          <w:sz w:val="22"/>
          <w:szCs w:val="22"/>
          <w:lang w:val="es-ES" w:eastAsia="en-US"/>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14:paraId="6C74FD8A" w14:textId="77777777" w:rsidR="00716691" w:rsidRPr="0034034E" w:rsidRDefault="00716691" w:rsidP="00716691">
      <w:pPr>
        <w:spacing w:line="360" w:lineRule="auto"/>
        <w:ind w:right="-93"/>
        <w:jc w:val="both"/>
        <w:rPr>
          <w:rFonts w:ascii="Palatino Linotype" w:eastAsia="Calibri" w:hAnsi="Palatino Linotype" w:cs="Tahoma"/>
          <w:bCs/>
          <w:sz w:val="22"/>
          <w:szCs w:val="22"/>
          <w:lang w:val="es-ES" w:eastAsia="en-US"/>
        </w:rPr>
      </w:pPr>
    </w:p>
    <w:p w14:paraId="5F2F85A7" w14:textId="77777777" w:rsidR="00716691" w:rsidRPr="0034034E" w:rsidRDefault="00716691" w:rsidP="00716691">
      <w:pPr>
        <w:spacing w:line="360" w:lineRule="auto"/>
        <w:ind w:right="-93"/>
        <w:jc w:val="both"/>
        <w:rPr>
          <w:rFonts w:ascii="Palatino Linotype" w:eastAsia="Calibri" w:hAnsi="Palatino Linotype" w:cs="Tahoma"/>
          <w:bCs/>
          <w:sz w:val="22"/>
          <w:szCs w:val="22"/>
          <w:lang w:val="es-ES" w:eastAsia="en-US"/>
        </w:rPr>
      </w:pPr>
      <w:r w:rsidRPr="0034034E">
        <w:rPr>
          <w:rFonts w:ascii="Palatino Linotype" w:eastAsia="Calibri" w:hAnsi="Palatino Linotype" w:cs="Tahoma"/>
          <w:bCs/>
          <w:sz w:val="22"/>
          <w:szCs w:val="22"/>
          <w:lang w:val="es-ES" w:eastAsia="en-US"/>
        </w:rPr>
        <w:t xml:space="preserve">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14:paraId="3D272E83" w14:textId="77777777" w:rsidR="00716691" w:rsidRPr="0034034E" w:rsidRDefault="00716691" w:rsidP="00716691">
      <w:pPr>
        <w:spacing w:line="360" w:lineRule="auto"/>
        <w:jc w:val="both"/>
        <w:rPr>
          <w:rFonts w:ascii="Palatino Linotype" w:eastAsia="Calibri" w:hAnsi="Palatino Linotype" w:cs="Tahoma"/>
          <w:iCs/>
          <w:sz w:val="22"/>
          <w:szCs w:val="22"/>
          <w:lang w:eastAsia="es-ES_tradnl"/>
        </w:rPr>
      </w:pPr>
    </w:p>
    <w:p w14:paraId="23301F13" w14:textId="77777777" w:rsidR="00716691" w:rsidRPr="0034034E" w:rsidRDefault="00716691" w:rsidP="00716691">
      <w:pPr>
        <w:spacing w:line="360" w:lineRule="auto"/>
        <w:jc w:val="both"/>
        <w:rPr>
          <w:rFonts w:ascii="Palatino Linotype" w:hAnsi="Palatino Linotype" w:cs="Tahoma"/>
          <w:sz w:val="22"/>
          <w:szCs w:val="22"/>
          <w:lang w:eastAsia="es-ES"/>
        </w:rPr>
      </w:pPr>
      <w:r w:rsidRPr="0034034E">
        <w:rPr>
          <w:rFonts w:ascii="Palatino Linotype" w:eastAsia="Calibri" w:hAnsi="Palatino Linotype" w:cs="Tahoma"/>
          <w:iCs/>
          <w:sz w:val="22"/>
          <w:szCs w:val="22"/>
          <w:lang w:eastAsia="es-ES_tradnl"/>
        </w:rPr>
        <w:t xml:space="preserve">Ahora bien, no pasa desapercibido que la fotografía, en el presente caso, se trata de servidores públicos; por lo que, se trae a colación, por analogía, el Criterio 05/09, emitido por el pleno del </w:t>
      </w:r>
      <w:r w:rsidRPr="0034034E">
        <w:rPr>
          <w:rFonts w:ascii="Palatino Linotype" w:hAnsi="Palatino Linotype" w:cs="Tahoma"/>
          <w:sz w:val="22"/>
          <w:szCs w:val="22"/>
          <w:lang w:val="es-ES" w:eastAsia="es-ES"/>
        </w:rPr>
        <w:t xml:space="preserve">del entonces Instituto Federal de Acceso a la Información y Protección de Datos, que establece que la fotografía de servidores públicos es un dato personal confidencial, al ser la reproducción fiel de las características físicas de una persona en un momento determinado, por lo que representan un instrumento de identificación, </w:t>
      </w:r>
      <w:r w:rsidRPr="0034034E">
        <w:rPr>
          <w:rFonts w:ascii="Palatino Linotype" w:hAnsi="Palatino Linotype" w:cs="Tahoma"/>
          <w:sz w:val="22"/>
          <w:szCs w:val="22"/>
          <w:lang w:val="es-ES" w:eastAsia="es-ES"/>
        </w:rPr>
        <w:lastRenderedPageBreak/>
        <w:t>proyección exterior y factor imprescindible para su propio reconocimiento como sujeto individual.</w:t>
      </w:r>
    </w:p>
    <w:p w14:paraId="0824DA52" w14:textId="77777777" w:rsidR="00716691" w:rsidRPr="0034034E" w:rsidRDefault="00716691" w:rsidP="00716691">
      <w:pPr>
        <w:tabs>
          <w:tab w:val="left" w:pos="4962"/>
        </w:tabs>
        <w:spacing w:line="360" w:lineRule="auto"/>
        <w:jc w:val="both"/>
        <w:rPr>
          <w:rFonts w:ascii="Palatino Linotype" w:eastAsia="Calibri" w:hAnsi="Palatino Linotype" w:cs="Tahoma"/>
          <w:iCs/>
          <w:sz w:val="22"/>
          <w:szCs w:val="22"/>
          <w:lang w:eastAsia="es-ES_tradnl"/>
        </w:rPr>
      </w:pPr>
    </w:p>
    <w:p w14:paraId="08D83B08" w14:textId="77777777" w:rsidR="00716691" w:rsidRPr="0034034E" w:rsidRDefault="00716691" w:rsidP="00716691">
      <w:pPr>
        <w:tabs>
          <w:tab w:val="left" w:pos="4962"/>
        </w:tabs>
        <w:spacing w:line="360" w:lineRule="auto"/>
        <w:jc w:val="both"/>
        <w:rPr>
          <w:rFonts w:ascii="Palatino Linotype" w:eastAsia="Calibri" w:hAnsi="Palatino Linotype" w:cs="Tahoma"/>
          <w:iCs/>
          <w:sz w:val="22"/>
          <w:szCs w:val="22"/>
          <w:lang w:eastAsia="es-ES_tradnl"/>
        </w:rPr>
      </w:pPr>
      <w:r w:rsidRPr="0034034E">
        <w:rPr>
          <w:rFonts w:ascii="Palatino Linotype" w:eastAsia="Calibri" w:hAnsi="Palatino Linotype" w:cs="Tahoma"/>
          <w:iCs/>
          <w:sz w:val="22"/>
          <w:szCs w:val="22"/>
          <w:lang w:eastAsia="es-ES_tradnl"/>
        </w:rPr>
        <w:t>No obstante, lo anterior, la mayoría del Pleno de este Instituto ha sostenido, que la fotografía de los servidores públicos que tengan categoría de mando medio o superior, será de naturaleza pública, toda vez que existe un interés público de dar a conocer dichos datos, por sus atribuciones y funciones de Dirección que desarrolla.</w:t>
      </w:r>
    </w:p>
    <w:p w14:paraId="6A5D6112" w14:textId="77777777" w:rsidR="00716691" w:rsidRPr="0034034E" w:rsidRDefault="00716691" w:rsidP="00716691">
      <w:pPr>
        <w:tabs>
          <w:tab w:val="left" w:pos="4962"/>
        </w:tabs>
        <w:spacing w:line="360" w:lineRule="auto"/>
        <w:jc w:val="both"/>
        <w:rPr>
          <w:rFonts w:ascii="Palatino Linotype" w:eastAsia="Calibri" w:hAnsi="Palatino Linotype" w:cs="Tahoma"/>
          <w:iCs/>
          <w:sz w:val="22"/>
          <w:szCs w:val="22"/>
          <w:lang w:eastAsia="es-ES_tradnl"/>
        </w:rPr>
      </w:pPr>
    </w:p>
    <w:p w14:paraId="1B61CE1A" w14:textId="77777777" w:rsidR="00716691" w:rsidRPr="0034034E" w:rsidRDefault="00716691" w:rsidP="00716691">
      <w:pPr>
        <w:tabs>
          <w:tab w:val="left" w:pos="4962"/>
        </w:tabs>
        <w:spacing w:line="360" w:lineRule="auto"/>
        <w:jc w:val="both"/>
        <w:rPr>
          <w:rFonts w:ascii="Palatino Linotype" w:eastAsia="Calibri" w:hAnsi="Palatino Linotype" w:cs="Tahoma"/>
          <w:iCs/>
          <w:sz w:val="22"/>
          <w:szCs w:val="22"/>
          <w:lang w:eastAsia="es-ES_tradnl"/>
        </w:rPr>
      </w:pPr>
      <w:r w:rsidRPr="0034034E">
        <w:rPr>
          <w:rFonts w:ascii="Palatino Linotype" w:eastAsia="Calibri" w:hAnsi="Palatino Linotype" w:cs="Tahoma"/>
          <w:iCs/>
          <w:sz w:val="22"/>
          <w:szCs w:val="22"/>
          <w:lang w:eastAsia="es-ES_tradnl"/>
        </w:rPr>
        <w:t>Lo anterior, se robustece con el Criterio 03/19, emitido por el Pleno de este Instituto, que precisa lo siguiente:</w:t>
      </w:r>
    </w:p>
    <w:p w14:paraId="122C77C4" w14:textId="77777777" w:rsidR="00716691" w:rsidRPr="0034034E" w:rsidRDefault="00716691" w:rsidP="00716691">
      <w:pPr>
        <w:tabs>
          <w:tab w:val="left" w:pos="4962"/>
        </w:tabs>
        <w:spacing w:line="360" w:lineRule="auto"/>
        <w:jc w:val="both"/>
        <w:rPr>
          <w:rFonts w:ascii="Palatino Linotype" w:eastAsia="Calibri" w:hAnsi="Palatino Linotype" w:cs="Tahoma"/>
          <w:iCs/>
          <w:sz w:val="22"/>
          <w:szCs w:val="22"/>
          <w:lang w:eastAsia="es-ES_tradnl"/>
        </w:rPr>
      </w:pPr>
    </w:p>
    <w:p w14:paraId="4EFB5625" w14:textId="77777777" w:rsidR="00716691" w:rsidRPr="0034034E" w:rsidRDefault="00716691" w:rsidP="00716691">
      <w:pPr>
        <w:tabs>
          <w:tab w:val="left" w:pos="4962"/>
        </w:tabs>
        <w:spacing w:line="360" w:lineRule="auto"/>
        <w:ind w:left="567" w:right="567"/>
        <w:jc w:val="both"/>
        <w:rPr>
          <w:rFonts w:ascii="Palatino Linotype" w:eastAsia="Calibri" w:hAnsi="Palatino Linotype" w:cs="Tahoma"/>
          <w:i/>
          <w:sz w:val="20"/>
          <w:szCs w:val="20"/>
          <w:lang w:eastAsia="es-ES_tradnl"/>
        </w:rPr>
      </w:pPr>
      <w:r w:rsidRPr="0034034E">
        <w:rPr>
          <w:rFonts w:ascii="Palatino Linotype" w:eastAsia="Calibri" w:hAnsi="Palatino Linotype" w:cs="Tahoma"/>
          <w:b/>
          <w:bCs/>
          <w:i/>
          <w:sz w:val="20"/>
          <w:szCs w:val="20"/>
          <w:lang w:eastAsia="es-ES_tradnl"/>
        </w:rPr>
        <w:t xml:space="preserve">“SERVIDORES PÚBLICOS CON CATEGORÍA DE MANDO MEDIO Y SUPERIOR. LA FOTOGRAFÍA DE AQUELLOS ES DE CARÁCTER PÚBLICO. </w:t>
      </w:r>
      <w:r w:rsidRPr="0034034E">
        <w:rPr>
          <w:rFonts w:ascii="Palatino Linotype" w:eastAsia="Calibri" w:hAnsi="Palatino Linotype" w:cs="Tahoma"/>
          <w:i/>
          <w:sz w:val="20"/>
          <w:szCs w:val="20"/>
          <w:lang w:eastAsia="es-ES_tradnl"/>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w:t>
      </w:r>
      <w:r w:rsidRPr="0034034E">
        <w:rPr>
          <w:rFonts w:ascii="Palatino Linotype" w:eastAsia="Calibri" w:hAnsi="Palatino Linotype" w:cs="Tahoma"/>
          <w:i/>
          <w:sz w:val="20"/>
          <w:szCs w:val="20"/>
          <w:lang w:eastAsia="es-ES_tradnl"/>
        </w:rPr>
        <w:lastRenderedPageBreak/>
        <w:t xml:space="preserve">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w:t>
      </w:r>
      <w:proofErr w:type="spellStart"/>
      <w:r w:rsidRPr="0034034E">
        <w:rPr>
          <w:rFonts w:ascii="Palatino Linotype" w:eastAsia="Calibri" w:hAnsi="Palatino Linotype" w:cs="Tahoma"/>
          <w:i/>
          <w:sz w:val="20"/>
          <w:szCs w:val="20"/>
          <w:lang w:eastAsia="es-ES_tradnl"/>
        </w:rPr>
        <w:t>subprincipios</w:t>
      </w:r>
      <w:proofErr w:type="spellEnd"/>
      <w:r w:rsidRPr="0034034E">
        <w:rPr>
          <w:rFonts w:ascii="Palatino Linotype" w:eastAsia="Calibri" w:hAnsi="Palatino Linotype" w:cs="Tahoma"/>
          <w:i/>
          <w:sz w:val="20"/>
          <w:szCs w:val="20"/>
          <w:lang w:eastAsia="es-ES_tradnl"/>
        </w:rPr>
        <w:t>,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1B24AF46" w14:textId="77777777" w:rsidR="00716691" w:rsidRPr="0034034E" w:rsidRDefault="00716691" w:rsidP="00716691">
      <w:pPr>
        <w:tabs>
          <w:tab w:val="left" w:pos="4962"/>
        </w:tabs>
        <w:spacing w:line="360" w:lineRule="auto"/>
        <w:jc w:val="both"/>
        <w:rPr>
          <w:rFonts w:ascii="Palatino Linotype" w:eastAsia="Calibri" w:hAnsi="Palatino Linotype" w:cs="Tahoma"/>
          <w:iCs/>
          <w:sz w:val="22"/>
          <w:szCs w:val="22"/>
          <w:lang w:eastAsia="es-ES_tradnl"/>
        </w:rPr>
      </w:pPr>
    </w:p>
    <w:p w14:paraId="6964BE22" w14:textId="77777777" w:rsidR="00716691" w:rsidRPr="0034034E" w:rsidRDefault="00716691" w:rsidP="00716691">
      <w:pPr>
        <w:tabs>
          <w:tab w:val="left" w:pos="4962"/>
        </w:tabs>
        <w:spacing w:line="360" w:lineRule="auto"/>
        <w:jc w:val="both"/>
        <w:rPr>
          <w:rFonts w:ascii="Palatino Linotype" w:hAnsi="Palatino Linotype" w:cs="Tahoma"/>
          <w:sz w:val="22"/>
          <w:lang w:val="es-ES" w:eastAsia="es-ES"/>
        </w:rPr>
      </w:pPr>
      <w:r w:rsidRPr="0034034E">
        <w:rPr>
          <w:rFonts w:ascii="Palatino Linotype" w:hAnsi="Palatino Linotype" w:cs="Tahoma"/>
          <w:sz w:val="22"/>
          <w:lang w:val="es-ES" w:eastAsia="es-ES"/>
        </w:rPr>
        <w:t>Como se logra observar, la fotografía de servidores públicos que ocupan puestos de mandos medios o superiores, no actualizan la causal de clasificación prevista en el artículo 143, fracción I, de la Ley de Transparencia y Acceso a la Información Pública del Estado de México y Municipios; no obstante, el dato de aquellos trabajadores que no ostenten las categorías previamente señaladas, es confidencial.</w:t>
      </w:r>
    </w:p>
    <w:p w14:paraId="58DF16E9" w14:textId="77777777" w:rsidR="00716691" w:rsidRPr="0034034E" w:rsidRDefault="00716691" w:rsidP="00716691">
      <w:pPr>
        <w:spacing w:line="360" w:lineRule="auto"/>
        <w:jc w:val="both"/>
        <w:rPr>
          <w:rFonts w:ascii="Palatino Linotype" w:eastAsia="Calibri" w:hAnsi="Palatino Linotype" w:cs="Tahoma"/>
          <w:bCs/>
          <w:color w:val="000000"/>
          <w:sz w:val="22"/>
          <w:szCs w:val="22"/>
          <w:lang w:eastAsia="en-US"/>
        </w:rPr>
      </w:pPr>
    </w:p>
    <w:p w14:paraId="017ECC74" w14:textId="77777777" w:rsidR="00716691" w:rsidRPr="0034034E" w:rsidRDefault="00716691" w:rsidP="00716691">
      <w:pPr>
        <w:numPr>
          <w:ilvl w:val="0"/>
          <w:numId w:val="15"/>
        </w:numPr>
        <w:tabs>
          <w:tab w:val="num" w:pos="720"/>
        </w:tabs>
        <w:spacing w:after="160" w:line="360" w:lineRule="auto"/>
        <w:jc w:val="both"/>
        <w:rPr>
          <w:rFonts w:ascii="Palatino Linotype" w:eastAsia="Calibri" w:hAnsi="Palatino Linotype" w:cs="Tahoma"/>
          <w:bCs/>
          <w:color w:val="000000"/>
          <w:sz w:val="22"/>
          <w:szCs w:val="22"/>
          <w:lang w:eastAsia="en-US"/>
        </w:rPr>
      </w:pPr>
      <w:r w:rsidRPr="0034034E">
        <w:rPr>
          <w:rFonts w:ascii="Palatino Linotype" w:eastAsia="Calibri" w:hAnsi="Palatino Linotype" w:cs="Tahoma"/>
          <w:b/>
          <w:color w:val="000000"/>
          <w:sz w:val="22"/>
          <w:szCs w:val="22"/>
          <w:lang w:eastAsia="en-US"/>
        </w:rPr>
        <w:t>Firma de servidores públicos.</w:t>
      </w:r>
    </w:p>
    <w:p w14:paraId="78762F84" w14:textId="77777777" w:rsidR="00716691" w:rsidRPr="0034034E" w:rsidRDefault="00716691" w:rsidP="00716691">
      <w:pPr>
        <w:spacing w:line="360" w:lineRule="auto"/>
        <w:jc w:val="both"/>
        <w:rPr>
          <w:rFonts w:ascii="Palatino Linotype" w:eastAsia="Calibri" w:hAnsi="Palatino Linotype" w:cs="Tahoma"/>
          <w:bCs/>
          <w:color w:val="000000"/>
          <w:sz w:val="22"/>
          <w:szCs w:val="22"/>
          <w:lang w:eastAsia="en-US"/>
        </w:rPr>
      </w:pPr>
    </w:p>
    <w:p w14:paraId="6909CFB1" w14:textId="77777777" w:rsidR="00716691" w:rsidRPr="0034034E" w:rsidRDefault="00716691" w:rsidP="00716691">
      <w:pPr>
        <w:spacing w:line="360" w:lineRule="auto"/>
        <w:jc w:val="both"/>
        <w:rPr>
          <w:rFonts w:ascii="Palatino Linotype" w:eastAsia="Calibri" w:hAnsi="Palatino Linotype" w:cs="Tahoma"/>
          <w:bCs/>
          <w:sz w:val="22"/>
          <w:szCs w:val="22"/>
          <w:lang w:eastAsia="en-US"/>
        </w:rPr>
      </w:pPr>
      <w:r w:rsidRPr="0034034E">
        <w:rPr>
          <w:rFonts w:ascii="Palatino Linotype" w:eastAsia="Calibri" w:hAnsi="Palatino Linotype"/>
          <w:bCs/>
          <w:iCs/>
          <w:color w:val="000000"/>
          <w:sz w:val="22"/>
          <w:szCs w:val="22"/>
          <w:lang w:eastAsia="en-US"/>
        </w:rPr>
        <w:t>Sobre dicho dato, c</w:t>
      </w:r>
      <w:r w:rsidRPr="0034034E">
        <w:rPr>
          <w:rFonts w:ascii="Palatino Linotype" w:eastAsia="Calibri" w:hAnsi="Palatino Linotype" w:cs="Tahoma"/>
          <w:bCs/>
          <w:sz w:val="22"/>
          <w:szCs w:val="22"/>
          <w:lang w:eastAsia="en-US"/>
        </w:rPr>
        <w:t>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38719E88" w14:textId="77777777" w:rsidR="00716691" w:rsidRPr="0034034E" w:rsidRDefault="00716691" w:rsidP="00716691">
      <w:pPr>
        <w:spacing w:line="360" w:lineRule="auto"/>
        <w:jc w:val="both"/>
        <w:rPr>
          <w:rFonts w:ascii="Palatino Linotype" w:eastAsia="Calibri" w:hAnsi="Palatino Linotype" w:cs="Tahoma"/>
          <w:bCs/>
          <w:sz w:val="22"/>
          <w:szCs w:val="22"/>
          <w:lang w:eastAsia="en-US"/>
        </w:rPr>
      </w:pPr>
    </w:p>
    <w:p w14:paraId="79DB8A17" w14:textId="77777777" w:rsidR="00716691" w:rsidRPr="0034034E" w:rsidRDefault="00716691" w:rsidP="00716691">
      <w:pPr>
        <w:spacing w:line="360" w:lineRule="auto"/>
        <w:jc w:val="both"/>
        <w:rPr>
          <w:rFonts w:ascii="Palatino Linotype" w:eastAsia="Calibri" w:hAnsi="Palatino Linotype" w:cs="Tahoma"/>
          <w:bCs/>
          <w:sz w:val="22"/>
          <w:szCs w:val="22"/>
          <w:lang w:eastAsia="en-US"/>
        </w:rPr>
      </w:pPr>
      <w:r w:rsidRPr="0034034E">
        <w:rPr>
          <w:rFonts w:ascii="Palatino Linotype" w:eastAsia="Calibri" w:hAnsi="Palatino Linotype" w:cs="Tahoma"/>
          <w:bCs/>
          <w:sz w:val="22"/>
          <w:szCs w:val="22"/>
          <w:lang w:eastAsia="en-US"/>
        </w:rPr>
        <w:lastRenderedPageBreak/>
        <w:t xml:space="preserve">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764D8784" w14:textId="77777777" w:rsidR="00716691" w:rsidRPr="0034034E" w:rsidRDefault="00716691" w:rsidP="00716691">
      <w:pPr>
        <w:spacing w:line="360" w:lineRule="auto"/>
        <w:jc w:val="both"/>
        <w:rPr>
          <w:rFonts w:ascii="Palatino Linotype" w:eastAsia="Calibri" w:hAnsi="Palatino Linotype" w:cs="Tahoma"/>
          <w:bCs/>
          <w:sz w:val="22"/>
          <w:szCs w:val="22"/>
          <w:lang w:eastAsia="en-US"/>
        </w:rPr>
      </w:pPr>
    </w:p>
    <w:p w14:paraId="1754DA34" w14:textId="77777777" w:rsidR="00716691" w:rsidRPr="0034034E" w:rsidRDefault="00716691" w:rsidP="00716691">
      <w:pPr>
        <w:spacing w:line="360" w:lineRule="auto"/>
        <w:jc w:val="both"/>
        <w:rPr>
          <w:rFonts w:ascii="Palatino Linotype" w:eastAsia="Calibri" w:hAnsi="Palatino Linotype" w:cs="Tahoma"/>
          <w:bCs/>
          <w:sz w:val="22"/>
          <w:szCs w:val="22"/>
          <w:lang w:eastAsia="en-US"/>
        </w:rPr>
      </w:pPr>
      <w:r w:rsidRPr="0034034E">
        <w:rPr>
          <w:rFonts w:ascii="Palatino Linotype" w:eastAsia="Calibri" w:hAnsi="Palatino Linotype" w:cs="Tahoma"/>
          <w:bCs/>
          <w:sz w:val="22"/>
          <w:szCs w:val="22"/>
          <w:lang w:eastAsia="en-US"/>
        </w:rPr>
        <w:t>La publicidad de dichos datos, se robustece, con el criterio 02/19, emitido por el Instituto Nacional de Transparencia, Acceso a la Información y Protección de Datos Personales, que establece lo siguiente:</w:t>
      </w:r>
    </w:p>
    <w:p w14:paraId="2D43AB1F" w14:textId="77777777" w:rsidR="00716691" w:rsidRPr="0034034E" w:rsidRDefault="00716691" w:rsidP="00716691">
      <w:pPr>
        <w:spacing w:line="360" w:lineRule="auto"/>
        <w:jc w:val="both"/>
        <w:rPr>
          <w:rFonts w:ascii="Palatino Linotype" w:eastAsia="Calibri" w:hAnsi="Palatino Linotype" w:cs="Tahoma"/>
          <w:bCs/>
          <w:sz w:val="22"/>
          <w:szCs w:val="22"/>
          <w:lang w:eastAsia="en-US"/>
        </w:rPr>
      </w:pPr>
    </w:p>
    <w:p w14:paraId="1808A0E0" w14:textId="77777777" w:rsidR="00716691" w:rsidRPr="0034034E" w:rsidRDefault="00716691" w:rsidP="00716691">
      <w:pPr>
        <w:spacing w:line="360" w:lineRule="auto"/>
        <w:ind w:left="567" w:right="567"/>
        <w:jc w:val="both"/>
        <w:rPr>
          <w:rFonts w:ascii="Palatino Linotype" w:eastAsia="Calibri" w:hAnsi="Palatino Linotype" w:cs="Tahoma"/>
          <w:bCs/>
          <w:i/>
          <w:sz w:val="20"/>
          <w:szCs w:val="20"/>
          <w:lang w:eastAsia="en-US"/>
        </w:rPr>
      </w:pPr>
      <w:r w:rsidRPr="0034034E">
        <w:rPr>
          <w:rFonts w:ascii="Palatino Linotype" w:eastAsia="Calibri" w:hAnsi="Palatino Linotype" w:cs="Tahoma"/>
          <w:b/>
          <w:bCs/>
          <w:i/>
          <w:sz w:val="20"/>
          <w:szCs w:val="20"/>
          <w:lang w:eastAsia="en-US"/>
        </w:rPr>
        <w:t>“Firma y rúbrica de servidores públicos.</w:t>
      </w:r>
      <w:r w:rsidRPr="0034034E">
        <w:rPr>
          <w:rFonts w:ascii="Palatino Linotype" w:eastAsia="Calibri" w:hAnsi="Palatino Linotype" w:cs="Tahoma"/>
          <w:bCs/>
          <w:i/>
          <w:sz w:val="20"/>
          <w:szCs w:val="20"/>
          <w:lang w:eastAsia="en-U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47A983F5" w14:textId="78E52F3D" w:rsidR="00716691" w:rsidRPr="0034034E" w:rsidRDefault="00716691" w:rsidP="0096387C">
      <w:pPr>
        <w:spacing w:before="240" w:after="240" w:line="360" w:lineRule="auto"/>
        <w:jc w:val="both"/>
        <w:rPr>
          <w:rFonts w:ascii="Palatino Linotype" w:eastAsia="Calibri" w:hAnsi="Palatino Linotype" w:cs="Tahoma"/>
          <w:bCs/>
          <w:sz w:val="22"/>
          <w:szCs w:val="22"/>
          <w:lang w:val="es-ES" w:eastAsia="en-US"/>
        </w:rPr>
      </w:pPr>
      <w:r w:rsidRPr="0034034E">
        <w:rPr>
          <w:rFonts w:ascii="Palatino Linotype" w:eastAsia="Calibri" w:hAnsi="Palatino Linotype" w:cs="Tahoma"/>
          <w:bCs/>
          <w:sz w:val="22"/>
          <w:szCs w:val="22"/>
          <w:lang w:val="es-ES" w:eastAsia="en-US"/>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w:t>
      </w:r>
    </w:p>
    <w:p w14:paraId="77E7F67B" w14:textId="728247DB" w:rsidR="00716691" w:rsidRPr="0034034E" w:rsidRDefault="00716691" w:rsidP="003375E0">
      <w:pPr>
        <w:spacing w:line="360" w:lineRule="auto"/>
        <w:jc w:val="both"/>
        <w:rPr>
          <w:rFonts w:ascii="Palatino Linotype" w:eastAsia="Calibri" w:hAnsi="Palatino Linotype" w:cs="Tahoma"/>
          <w:bCs/>
          <w:color w:val="000000"/>
          <w:szCs w:val="22"/>
          <w:lang w:eastAsia="en-US"/>
        </w:rPr>
      </w:pPr>
      <w:r w:rsidRPr="0034034E">
        <w:rPr>
          <w:rFonts w:ascii="Palatino Linotype" w:eastAsia="Calibri" w:hAnsi="Palatino Linotype" w:cs="Tahoma"/>
          <w:bCs/>
          <w:color w:val="000000"/>
          <w:szCs w:val="22"/>
          <w:lang w:eastAsia="en-US"/>
        </w:rPr>
        <w:t xml:space="preserve">Conforme a lo anterior, resulta procedente ordenar la entrega de los documentos que obren en los archivos del Sujeto Obligado donde conste el último grado o nivel de estudios, en donde deberá clasificar en términos del artículo previamente referido, la Clave Única de Registro de Población, la matrícula, el número de cuenta, de expediente o de control, las calificaciones, los créditos, los promedios, la cadena original de la cédula, la firma del alumno y fotografía de aquellos servidores públicos que no ostenten cargos de mando medio o superior, los cuales se precisan de manera enunciativa, más no limitativa; además, deberá proporcionar el Acuerdo, </w:t>
      </w:r>
      <w:r w:rsidRPr="0034034E">
        <w:rPr>
          <w:rFonts w:ascii="Palatino Linotype" w:eastAsia="Calibri" w:hAnsi="Palatino Linotype" w:cs="Tahoma"/>
          <w:bCs/>
          <w:color w:val="000000"/>
          <w:szCs w:val="22"/>
          <w:lang w:eastAsia="en-US"/>
        </w:rPr>
        <w:lastRenderedPageBreak/>
        <w:t xml:space="preserve">donde el Comité de Transparencia de manera fundada y </w:t>
      </w:r>
      <w:r w:rsidR="003375E0" w:rsidRPr="0034034E">
        <w:rPr>
          <w:rFonts w:ascii="Palatino Linotype" w:eastAsia="Calibri" w:hAnsi="Palatino Linotype" w:cs="Tahoma"/>
          <w:bCs/>
          <w:color w:val="000000"/>
          <w:szCs w:val="22"/>
          <w:lang w:eastAsia="en-US"/>
        </w:rPr>
        <w:t xml:space="preserve">motivada, confirme </w:t>
      </w:r>
      <w:r w:rsidRPr="0034034E">
        <w:rPr>
          <w:rFonts w:ascii="Palatino Linotype" w:eastAsia="Calibri" w:hAnsi="Palatino Linotype" w:cs="Tahoma"/>
          <w:bCs/>
          <w:color w:val="000000"/>
          <w:szCs w:val="22"/>
          <w:lang w:eastAsia="en-US"/>
        </w:rPr>
        <w:t>la clasificación de dichos datos, en términos del diver</w:t>
      </w:r>
      <w:r w:rsidR="003375E0" w:rsidRPr="0034034E">
        <w:rPr>
          <w:rFonts w:ascii="Palatino Linotype" w:eastAsia="Calibri" w:hAnsi="Palatino Linotype" w:cs="Tahoma"/>
          <w:bCs/>
          <w:color w:val="000000"/>
          <w:szCs w:val="22"/>
          <w:lang w:eastAsia="en-US"/>
        </w:rPr>
        <w:t>so 168 de la Ley de la materia.</w:t>
      </w:r>
    </w:p>
    <w:p w14:paraId="10FFD4D4" w14:textId="77777777" w:rsidR="007D1602" w:rsidRPr="0034034E" w:rsidRDefault="007D1602" w:rsidP="007D1602">
      <w:pPr>
        <w:spacing w:before="240" w:after="240" w:line="360" w:lineRule="auto"/>
        <w:ind w:right="51"/>
        <w:jc w:val="both"/>
        <w:rPr>
          <w:rFonts w:ascii="Palatino Linotype" w:eastAsia="Palatino Linotype" w:hAnsi="Palatino Linotype" w:cs="Palatino Linotype"/>
        </w:rPr>
      </w:pPr>
      <w:r w:rsidRPr="0034034E">
        <w:rPr>
          <w:rFonts w:ascii="Palatino Linotype" w:eastAsia="Palatino Linotype" w:hAnsi="Palatino Linotype" w:cs="Palatino Linotype"/>
        </w:rPr>
        <w:t xml:space="preserve">De lo hasta aquí expuesto, se concluye que los motivos de inconformidad de la parte </w:t>
      </w:r>
      <w:r w:rsidRPr="0034034E">
        <w:rPr>
          <w:rFonts w:ascii="Palatino Linotype" w:eastAsia="Palatino Linotype" w:hAnsi="Palatino Linotype" w:cs="Palatino Linotype"/>
          <w:b/>
        </w:rPr>
        <w:t xml:space="preserve">Recurrente </w:t>
      </w:r>
      <w:r w:rsidRPr="0034034E">
        <w:rPr>
          <w:rFonts w:ascii="Palatino Linotype" w:eastAsia="Palatino Linotype" w:hAnsi="Palatino Linotype" w:cs="Palatino Linotype"/>
        </w:rPr>
        <w:t xml:space="preserve">devienen fundados, siendo procedente </w:t>
      </w:r>
      <w:r w:rsidRPr="0034034E">
        <w:rPr>
          <w:rFonts w:ascii="Palatino Linotype" w:eastAsia="Palatino Linotype" w:hAnsi="Palatino Linotype" w:cs="Palatino Linotype"/>
          <w:i/>
        </w:rPr>
        <w:t xml:space="preserve">Ordenar </w:t>
      </w:r>
      <w:r w:rsidRPr="0034034E">
        <w:rPr>
          <w:rFonts w:ascii="Palatino Linotype" w:eastAsia="Palatino Linotype" w:hAnsi="Palatino Linotype" w:cs="Palatino Linotype"/>
        </w:rPr>
        <w:t xml:space="preserve">al </w:t>
      </w:r>
      <w:r w:rsidRPr="0034034E">
        <w:rPr>
          <w:rFonts w:ascii="Palatino Linotype" w:eastAsia="Palatino Linotype" w:hAnsi="Palatino Linotype" w:cs="Palatino Linotype"/>
          <w:b/>
        </w:rPr>
        <w:t xml:space="preserve">Sujeto Obligado </w:t>
      </w:r>
      <w:r w:rsidRPr="0034034E">
        <w:rPr>
          <w:rFonts w:ascii="Palatino Linotype" w:eastAsia="Palatino Linotype" w:hAnsi="Palatino Linotype" w:cs="Palatino Linotype"/>
        </w:rPr>
        <w:t>la entrega de la información</w:t>
      </w:r>
      <w:r w:rsidRPr="0034034E">
        <w:rPr>
          <w:rFonts w:ascii="Palatino Linotype" w:eastAsia="Palatino Linotype" w:hAnsi="Palatino Linotype" w:cs="Palatino Linotype"/>
          <w:b/>
        </w:rPr>
        <w:t xml:space="preserve"> </w:t>
      </w:r>
      <w:r w:rsidRPr="0034034E">
        <w:rPr>
          <w:rFonts w:ascii="Palatino Linotype" w:eastAsia="Palatino Linotype" w:hAnsi="Palatino Linotype" w:cs="Palatino Linotype"/>
        </w:rPr>
        <w:t>en términos del artículo 186 fracción IV de la Ley de Transparencia y Acceso a la Información Pública del Estado de México y Municipios.</w:t>
      </w:r>
    </w:p>
    <w:p w14:paraId="0398FDF3" w14:textId="77777777" w:rsidR="0096387C" w:rsidRPr="0034034E" w:rsidRDefault="0096387C" w:rsidP="0096387C">
      <w:pPr>
        <w:spacing w:before="240" w:after="240" w:line="360" w:lineRule="auto"/>
        <w:ind w:right="51"/>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b/>
          <w:sz w:val="22"/>
          <w:szCs w:val="22"/>
          <w:lang w:eastAsia="en-US"/>
        </w:rPr>
        <w:t xml:space="preserve">Quinto. Versión Pública. </w:t>
      </w:r>
      <w:r w:rsidRPr="0034034E">
        <w:rPr>
          <w:rFonts w:ascii="Palatino Linotype" w:eastAsia="Palatino Linotype" w:hAnsi="Palatino Linotype" w:cs="Palatino Linotype"/>
          <w:sz w:val="22"/>
          <w:szCs w:val="22"/>
          <w:lang w:eastAsia="en-US"/>
        </w:rPr>
        <w:t>Como fue debidamente apuntado, el </w:t>
      </w:r>
      <w:r w:rsidRPr="0034034E">
        <w:rPr>
          <w:rFonts w:ascii="Palatino Linotype" w:eastAsia="Palatino Linotype" w:hAnsi="Palatino Linotype" w:cs="Palatino Linotype"/>
          <w:b/>
          <w:sz w:val="22"/>
          <w:szCs w:val="22"/>
          <w:lang w:eastAsia="en-US"/>
        </w:rPr>
        <w:t>Sujeto Obligado</w:t>
      </w:r>
      <w:r w:rsidRPr="0034034E">
        <w:rPr>
          <w:rFonts w:ascii="Palatino Linotype" w:eastAsia="Palatino Linotype" w:hAnsi="Palatino Linotype" w:cs="Palatino Linotype"/>
          <w:sz w:val="22"/>
          <w:szCs w:val="22"/>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F53076E" w14:textId="77777777" w:rsidR="0096387C" w:rsidRPr="0034034E" w:rsidRDefault="0096387C" w:rsidP="0096387C">
      <w:pPr>
        <w:spacing w:before="240" w:after="240" w:line="360" w:lineRule="auto"/>
        <w:ind w:right="49"/>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F50CA9F" w14:textId="77777777" w:rsidR="0096387C" w:rsidRPr="0034034E" w:rsidRDefault="0096387C" w:rsidP="0096387C">
      <w:pPr>
        <w:spacing w:before="240" w:after="240" w:line="360" w:lineRule="auto"/>
        <w:ind w:right="49"/>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697A106C" w14:textId="77777777" w:rsidR="0096387C" w:rsidRPr="0034034E" w:rsidRDefault="0096387C" w:rsidP="0096387C">
      <w:pPr>
        <w:spacing w:before="240" w:after="240" w:line="360" w:lineRule="auto"/>
        <w:ind w:right="49"/>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lastRenderedPageBreak/>
        <w:t xml:space="preserve">Al respecto, los artículos 3, fracciones IX, XX, XXI, XXXII, XLV; 6, 91, 137, 143 </w:t>
      </w:r>
      <w:proofErr w:type="gramStart"/>
      <w:r w:rsidRPr="0034034E">
        <w:rPr>
          <w:rFonts w:ascii="Palatino Linotype" w:eastAsia="Palatino Linotype" w:hAnsi="Palatino Linotype" w:cs="Palatino Linotype"/>
          <w:sz w:val="22"/>
          <w:szCs w:val="22"/>
          <w:lang w:eastAsia="en-US"/>
        </w:rPr>
        <w:t>fracción</w:t>
      </w:r>
      <w:proofErr w:type="gramEnd"/>
      <w:r w:rsidRPr="0034034E">
        <w:rPr>
          <w:rFonts w:ascii="Palatino Linotype" w:eastAsia="Palatino Linotype" w:hAnsi="Palatino Linotype" w:cs="Palatino Linotype"/>
          <w:sz w:val="22"/>
          <w:szCs w:val="22"/>
          <w:lang w:eastAsia="en-US"/>
        </w:rPr>
        <w:t xml:space="preserve"> I, de la Ley de Transparencia y Acceso a la Información Pública del Estado de México y Municipios vigente establecen:</w:t>
      </w:r>
    </w:p>
    <w:p w14:paraId="0AD4F733" w14:textId="77777777" w:rsidR="0096387C" w:rsidRPr="0034034E" w:rsidRDefault="0096387C" w:rsidP="0096387C">
      <w:pPr>
        <w:spacing w:before="120" w:after="120" w:line="259" w:lineRule="auto"/>
        <w:ind w:left="851"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sz w:val="22"/>
          <w:szCs w:val="22"/>
          <w:lang w:eastAsia="en-US"/>
        </w:rPr>
        <w:t> </w:t>
      </w:r>
      <w:r w:rsidRPr="0034034E">
        <w:rPr>
          <w:rFonts w:ascii="Palatino Linotype" w:eastAsia="Palatino Linotype" w:hAnsi="Palatino Linotype" w:cs="Palatino Linotype"/>
          <w:i/>
          <w:sz w:val="22"/>
          <w:szCs w:val="22"/>
          <w:lang w:eastAsia="en-US"/>
        </w:rPr>
        <w:t>“</w:t>
      </w:r>
      <w:r w:rsidRPr="0034034E">
        <w:rPr>
          <w:rFonts w:ascii="Palatino Linotype" w:eastAsia="Palatino Linotype" w:hAnsi="Palatino Linotype" w:cs="Palatino Linotype"/>
          <w:b/>
          <w:i/>
          <w:sz w:val="22"/>
          <w:szCs w:val="22"/>
          <w:lang w:eastAsia="en-US"/>
        </w:rPr>
        <w:t>Artículo 3.</w:t>
      </w:r>
      <w:r w:rsidRPr="0034034E">
        <w:rPr>
          <w:rFonts w:ascii="Palatino Linotype" w:eastAsia="Palatino Linotype" w:hAnsi="Palatino Linotype" w:cs="Palatino Linotype"/>
          <w:i/>
          <w:sz w:val="22"/>
          <w:szCs w:val="22"/>
          <w:lang w:eastAsia="en-US"/>
        </w:rPr>
        <w:t xml:space="preserve"> Para los efectos de la presente Ley se entenderá por:</w:t>
      </w:r>
    </w:p>
    <w:p w14:paraId="271C0B96" w14:textId="77777777" w:rsidR="0096387C" w:rsidRPr="0034034E" w:rsidRDefault="0096387C" w:rsidP="0096387C">
      <w:pPr>
        <w:tabs>
          <w:tab w:val="left" w:pos="1276"/>
        </w:tabs>
        <w:spacing w:before="120" w:after="120" w:line="259" w:lineRule="auto"/>
        <w:ind w:left="1134"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w:t>
      </w:r>
    </w:p>
    <w:p w14:paraId="79F54BD6" w14:textId="77777777" w:rsidR="0096387C" w:rsidRPr="0034034E" w:rsidRDefault="0096387C" w:rsidP="0096387C">
      <w:pPr>
        <w:tabs>
          <w:tab w:val="left" w:pos="1276"/>
        </w:tabs>
        <w:spacing w:before="120" w:after="120" w:line="259" w:lineRule="auto"/>
        <w:ind w:left="1134"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IX. Datos personales</w:t>
      </w:r>
      <w:r w:rsidRPr="0034034E">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526B427C" w14:textId="77777777" w:rsidR="0096387C" w:rsidRPr="0034034E" w:rsidRDefault="0096387C" w:rsidP="0096387C">
      <w:pPr>
        <w:tabs>
          <w:tab w:val="left" w:pos="1276"/>
        </w:tabs>
        <w:spacing w:before="120" w:after="120" w:line="259" w:lineRule="auto"/>
        <w:ind w:left="1134"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w:t>
      </w:r>
    </w:p>
    <w:p w14:paraId="77E25EB1" w14:textId="77777777" w:rsidR="0096387C" w:rsidRPr="0034034E" w:rsidRDefault="0096387C" w:rsidP="0096387C">
      <w:pPr>
        <w:tabs>
          <w:tab w:val="left" w:pos="1276"/>
        </w:tabs>
        <w:spacing w:before="120" w:after="120" w:line="259" w:lineRule="auto"/>
        <w:ind w:left="1134"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XX. Información clasificada</w:t>
      </w:r>
      <w:r w:rsidRPr="0034034E">
        <w:rPr>
          <w:rFonts w:ascii="Palatino Linotype" w:eastAsia="Palatino Linotype" w:hAnsi="Palatino Linotype" w:cs="Palatino Linotype"/>
          <w:i/>
          <w:sz w:val="22"/>
          <w:szCs w:val="22"/>
          <w:lang w:eastAsia="en-US"/>
        </w:rPr>
        <w:t>: Aquella considerada por la presente Ley como reservada o confidencial;</w:t>
      </w:r>
    </w:p>
    <w:p w14:paraId="4257AFBA" w14:textId="77777777" w:rsidR="0096387C" w:rsidRPr="0034034E" w:rsidRDefault="0096387C" w:rsidP="0096387C">
      <w:pPr>
        <w:tabs>
          <w:tab w:val="left" w:pos="1276"/>
        </w:tabs>
        <w:spacing w:before="120" w:after="120" w:line="259" w:lineRule="auto"/>
        <w:ind w:left="1134"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XXI. Información confidencial</w:t>
      </w:r>
      <w:r w:rsidRPr="0034034E">
        <w:rPr>
          <w:rFonts w:ascii="Palatino Linotype" w:eastAsia="Palatino Linotype" w:hAnsi="Palatino Linotype" w:cs="Palatino Linotype"/>
          <w:i/>
          <w:sz w:val="22"/>
          <w:szCs w:val="22"/>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8FD3D20" w14:textId="77777777" w:rsidR="0096387C" w:rsidRPr="0034034E" w:rsidRDefault="0096387C" w:rsidP="0096387C">
      <w:pPr>
        <w:tabs>
          <w:tab w:val="left" w:pos="1276"/>
        </w:tabs>
        <w:spacing w:before="120" w:after="120" w:line="259" w:lineRule="auto"/>
        <w:ind w:left="1134"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w:t>
      </w:r>
    </w:p>
    <w:p w14:paraId="661EC432" w14:textId="77777777" w:rsidR="0096387C" w:rsidRPr="0034034E" w:rsidRDefault="0096387C" w:rsidP="0096387C">
      <w:pPr>
        <w:tabs>
          <w:tab w:val="left" w:pos="1276"/>
        </w:tabs>
        <w:spacing w:before="120" w:after="120" w:line="259" w:lineRule="auto"/>
        <w:ind w:left="1134"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XXXII. Protección de Datos Personales</w:t>
      </w:r>
      <w:r w:rsidRPr="0034034E">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4559AE9F" w14:textId="77777777" w:rsidR="0096387C" w:rsidRPr="0034034E" w:rsidRDefault="0096387C" w:rsidP="0096387C">
      <w:pPr>
        <w:tabs>
          <w:tab w:val="left" w:pos="1276"/>
        </w:tabs>
        <w:spacing w:before="120" w:after="120" w:line="259" w:lineRule="auto"/>
        <w:ind w:left="1134"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w:t>
      </w:r>
    </w:p>
    <w:p w14:paraId="1C8CD84A" w14:textId="77777777" w:rsidR="0096387C" w:rsidRPr="0034034E" w:rsidRDefault="0096387C" w:rsidP="0096387C">
      <w:pPr>
        <w:tabs>
          <w:tab w:val="left" w:pos="1276"/>
        </w:tabs>
        <w:spacing w:before="120" w:after="120" w:line="259" w:lineRule="auto"/>
        <w:ind w:left="567"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XLV. Versión pública</w:t>
      </w:r>
      <w:r w:rsidRPr="0034034E">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62525025" w14:textId="77777777" w:rsidR="0096387C" w:rsidRPr="0034034E" w:rsidRDefault="0096387C" w:rsidP="0096387C">
      <w:pPr>
        <w:spacing w:before="120" w:after="120" w:line="259" w:lineRule="auto"/>
        <w:ind w:left="567"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 Artículo 6</w:t>
      </w:r>
      <w:r w:rsidRPr="0034034E">
        <w:rPr>
          <w:rFonts w:ascii="Palatino Linotype" w:eastAsia="Palatino Linotype" w:hAnsi="Palatino Linotype" w:cs="Palatino Linotype"/>
          <w:i/>
          <w:sz w:val="22"/>
          <w:szCs w:val="22"/>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AD97D4D" w14:textId="77777777" w:rsidR="0096387C" w:rsidRPr="0034034E" w:rsidRDefault="0096387C" w:rsidP="0096387C">
      <w:pPr>
        <w:spacing w:before="120" w:after="120" w:line="259" w:lineRule="auto"/>
        <w:ind w:left="567"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lastRenderedPageBreak/>
        <w:t> (…)</w:t>
      </w:r>
    </w:p>
    <w:p w14:paraId="54A8AEFD" w14:textId="77777777" w:rsidR="0096387C" w:rsidRPr="0034034E" w:rsidRDefault="0096387C" w:rsidP="0096387C">
      <w:pPr>
        <w:spacing w:before="120" w:after="120" w:line="259" w:lineRule="auto"/>
        <w:ind w:left="567"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Artículo 91.</w:t>
      </w:r>
      <w:r w:rsidRPr="0034034E">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p>
    <w:p w14:paraId="664E0CB4" w14:textId="77777777" w:rsidR="0096387C" w:rsidRPr="0034034E" w:rsidRDefault="0096387C" w:rsidP="0096387C">
      <w:pPr>
        <w:spacing w:before="120" w:after="120" w:line="259" w:lineRule="auto"/>
        <w:ind w:left="567"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w:t>
      </w:r>
    </w:p>
    <w:p w14:paraId="5B4A4BB3" w14:textId="77777777" w:rsidR="0096387C" w:rsidRPr="0034034E" w:rsidRDefault="0096387C" w:rsidP="0096387C">
      <w:pPr>
        <w:spacing w:before="120" w:after="120" w:line="259" w:lineRule="auto"/>
        <w:ind w:left="567"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Artículo 137.</w:t>
      </w:r>
      <w:r w:rsidRPr="0034034E">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C470AF6" w14:textId="77777777" w:rsidR="0096387C" w:rsidRPr="0034034E" w:rsidRDefault="0096387C" w:rsidP="0096387C">
      <w:pPr>
        <w:spacing w:before="120" w:after="120" w:line="259" w:lineRule="auto"/>
        <w:ind w:left="567"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 Artículo 143.</w:t>
      </w:r>
      <w:r w:rsidRPr="0034034E">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5C7C5FA6" w14:textId="77777777" w:rsidR="0096387C" w:rsidRPr="0034034E" w:rsidRDefault="0096387C" w:rsidP="0096387C">
      <w:pPr>
        <w:spacing w:before="120" w:after="120" w:line="259" w:lineRule="auto"/>
        <w:ind w:left="567"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I.</w:t>
      </w:r>
      <w:r w:rsidRPr="0034034E">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2A6E4CCE" w14:textId="77777777" w:rsidR="0096387C" w:rsidRPr="0034034E" w:rsidRDefault="0096387C" w:rsidP="0096387C">
      <w:pPr>
        <w:spacing w:before="240" w:after="240" w:line="360" w:lineRule="auto"/>
        <w:ind w:right="50"/>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4034E">
        <w:rPr>
          <w:rFonts w:ascii="Palatino Linotype" w:eastAsia="Palatino Linotype" w:hAnsi="Palatino Linotype" w:cs="Palatino Linotype"/>
          <w:b/>
          <w:sz w:val="22"/>
          <w:szCs w:val="22"/>
          <w:lang w:eastAsia="en-US"/>
        </w:rPr>
        <w:t>Sujeto Obligado</w:t>
      </w:r>
      <w:r w:rsidRPr="0034034E">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4854B15" w14:textId="77777777" w:rsidR="0096387C" w:rsidRPr="0034034E" w:rsidRDefault="0096387C" w:rsidP="0096387C">
      <w:pPr>
        <w:spacing w:before="240" w:after="240" w:line="360" w:lineRule="auto"/>
        <w:ind w:right="50"/>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 xml:space="preserve">Datos que deberá clasificar como confidenciales por tratarse precisamente de información privada, puesto que los datos personales son irrenunciables, intransferibles e indelegables </w:t>
      </w:r>
      <w:r w:rsidRPr="0034034E">
        <w:rPr>
          <w:rFonts w:ascii="Palatino Linotype" w:eastAsia="Palatino Linotype" w:hAnsi="Palatino Linotype" w:cs="Palatino Linotype"/>
          <w:sz w:val="22"/>
          <w:szCs w:val="22"/>
          <w:lang w:eastAsia="en-US"/>
        </w:rPr>
        <w:lastRenderedPageBreak/>
        <w:t>y los Sujetos Obligados no deberán hacer entrega de los mismos a personas ajenas a su titular.</w:t>
      </w:r>
    </w:p>
    <w:p w14:paraId="689E5312" w14:textId="77777777" w:rsidR="0096387C" w:rsidRPr="0034034E" w:rsidRDefault="0096387C" w:rsidP="0096387C">
      <w:pPr>
        <w:spacing w:before="240" w:after="240" w:line="360" w:lineRule="auto"/>
        <w:jc w:val="both"/>
        <w:rPr>
          <w:rFonts w:ascii="Palatino Linotype" w:eastAsia="Calibri" w:hAnsi="Palatino Linotype" w:cs="Arial"/>
          <w:sz w:val="22"/>
          <w:szCs w:val="22"/>
          <w:lang w:eastAsia="en-US"/>
        </w:rPr>
      </w:pPr>
      <w:r w:rsidRPr="0034034E">
        <w:rPr>
          <w:rFonts w:ascii="Palatino Linotype" w:eastAsia="Palatino Linotype" w:hAnsi="Palatino Linotype" w:cs="Palatino Linotype"/>
          <w:sz w:val="22"/>
          <w:szCs w:val="22"/>
          <w:lang w:eastAsia="en-US"/>
        </w:rPr>
        <w:t xml:space="preserve">En el caso específico, dada la naturaleza de la información que se ordena, si bien tiene el carácter información pública en razón de que se trata de documentos que se encuentran en posesión del </w:t>
      </w:r>
      <w:r w:rsidRPr="0034034E">
        <w:rPr>
          <w:rFonts w:ascii="Palatino Linotype" w:eastAsia="Palatino Linotype" w:hAnsi="Palatino Linotype" w:cs="Palatino Linotype"/>
          <w:b/>
          <w:sz w:val="22"/>
          <w:szCs w:val="22"/>
          <w:lang w:eastAsia="en-US"/>
        </w:rPr>
        <w:t>Sujeto Obligado</w:t>
      </w:r>
      <w:r w:rsidRPr="0034034E">
        <w:rPr>
          <w:rFonts w:ascii="Palatino Linotype" w:eastAsia="Palatino Linotype" w:hAnsi="Palatino Linotype" w:cs="Palatino Linotype"/>
          <w:sz w:val="22"/>
          <w:szCs w:val="22"/>
          <w:lang w:eastAsia="en-US"/>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34034E">
        <w:rPr>
          <w:rFonts w:ascii="Palatino Linotype" w:eastAsia="Palatino Linotype" w:hAnsi="Palatino Linotype" w:cs="Palatino Linotype"/>
          <w:b/>
          <w:sz w:val="22"/>
          <w:szCs w:val="22"/>
          <w:lang w:eastAsia="en-US"/>
        </w:rPr>
        <w:t>Registro Federal de Contribuyentes</w:t>
      </w:r>
      <w:r w:rsidRPr="0034034E">
        <w:rPr>
          <w:rFonts w:ascii="Palatino Linotype" w:eastAsia="Palatino Linotype" w:hAnsi="Palatino Linotype" w:cs="Palatino Linotype"/>
          <w:sz w:val="22"/>
          <w:szCs w:val="22"/>
          <w:lang w:eastAsia="en-US"/>
        </w:rPr>
        <w:t xml:space="preserve"> (RFC), la </w:t>
      </w:r>
      <w:r w:rsidRPr="0034034E">
        <w:rPr>
          <w:rFonts w:ascii="Palatino Linotype" w:eastAsia="Palatino Linotype" w:hAnsi="Palatino Linotype" w:cs="Palatino Linotype"/>
          <w:b/>
          <w:sz w:val="22"/>
          <w:szCs w:val="22"/>
          <w:lang w:eastAsia="en-US"/>
        </w:rPr>
        <w:t>Clave Única de Registro de Población</w:t>
      </w:r>
      <w:r w:rsidRPr="0034034E">
        <w:rPr>
          <w:rFonts w:ascii="Palatino Linotype" w:eastAsia="Palatino Linotype" w:hAnsi="Palatino Linotype" w:cs="Palatino Linotype"/>
          <w:sz w:val="22"/>
          <w:szCs w:val="22"/>
          <w:lang w:eastAsia="en-US"/>
        </w:rPr>
        <w:t xml:space="preserve"> (CURP), la </w:t>
      </w:r>
      <w:r w:rsidRPr="0034034E">
        <w:rPr>
          <w:rFonts w:ascii="Palatino Linotype" w:eastAsia="Palatino Linotype" w:hAnsi="Palatino Linotype" w:cs="Palatino Linotype"/>
          <w:b/>
          <w:sz w:val="22"/>
          <w:szCs w:val="22"/>
          <w:lang w:eastAsia="en-US"/>
        </w:rPr>
        <w:t>Clave de cualquier tipo de seguridad social</w:t>
      </w:r>
      <w:r w:rsidRPr="0034034E">
        <w:rPr>
          <w:rFonts w:ascii="Palatino Linotype" w:eastAsia="Palatino Linotype" w:hAnsi="Palatino Linotype" w:cs="Palatino Linotype"/>
          <w:sz w:val="22"/>
          <w:szCs w:val="22"/>
          <w:lang w:eastAsia="en-US"/>
        </w:rPr>
        <w:t xml:space="preserve"> (ISSEMYM, u otros), los </w:t>
      </w:r>
      <w:r w:rsidRPr="0034034E">
        <w:rPr>
          <w:rFonts w:ascii="Palatino Linotype" w:eastAsia="Palatino Linotype" w:hAnsi="Palatino Linotype" w:cs="Palatino Linotype"/>
          <w:b/>
          <w:sz w:val="22"/>
          <w:szCs w:val="22"/>
          <w:lang w:eastAsia="en-US"/>
        </w:rPr>
        <w:t>números de cuentas bancarias</w:t>
      </w:r>
      <w:r w:rsidRPr="0034034E">
        <w:rPr>
          <w:rFonts w:ascii="Palatino Linotype" w:eastAsia="Palatino Linotype" w:hAnsi="Palatino Linotype" w:cs="Palatino Linotype"/>
          <w:sz w:val="22"/>
          <w:szCs w:val="22"/>
          <w:lang w:eastAsia="en-US"/>
        </w:rPr>
        <w:t xml:space="preserve">, claves estandarizadas – interbancarias - (CLABES) y de tarjetas, los </w:t>
      </w:r>
      <w:r w:rsidRPr="0034034E">
        <w:rPr>
          <w:rFonts w:ascii="Palatino Linotype" w:eastAsia="Palatino Linotype" w:hAnsi="Palatino Linotype" w:cs="Palatino Linotype"/>
          <w:b/>
          <w:sz w:val="22"/>
          <w:szCs w:val="22"/>
          <w:lang w:eastAsia="en-US"/>
        </w:rPr>
        <w:t>préstamos o descuentos</w:t>
      </w:r>
      <w:r w:rsidRPr="0034034E">
        <w:rPr>
          <w:rFonts w:ascii="Palatino Linotype" w:eastAsia="Palatino Linotype" w:hAnsi="Palatino Linotype" w:cs="Palatino Linotype"/>
          <w:sz w:val="22"/>
          <w:szCs w:val="22"/>
          <w:lang w:eastAsia="en-US"/>
        </w:rPr>
        <w:t xml:space="preserve"> que se le hagan a la persona y que no tengan relación con los impuestos o la cuota por seguridad social, el</w:t>
      </w:r>
      <w:r w:rsidRPr="0034034E">
        <w:rPr>
          <w:rFonts w:ascii="Palatino Linotype" w:eastAsia="Palatino Linotype" w:hAnsi="Palatino Linotype" w:cs="Palatino Linotype"/>
          <w:b/>
          <w:sz w:val="22"/>
          <w:szCs w:val="22"/>
          <w:lang w:eastAsia="en-US"/>
        </w:rPr>
        <w:t xml:space="preserve"> número de empleado, </w:t>
      </w:r>
      <w:r w:rsidRPr="0034034E">
        <w:rPr>
          <w:rFonts w:ascii="Palatino Linotype" w:eastAsia="Calibri" w:hAnsi="Palatino Linotype" w:cs="Arial"/>
          <w:sz w:val="22"/>
          <w:szCs w:val="22"/>
          <w:lang w:eastAsia="en-US"/>
        </w:rPr>
        <w:t xml:space="preserve">así como de ser el caso, el </w:t>
      </w:r>
      <w:r w:rsidRPr="0034034E">
        <w:rPr>
          <w:rFonts w:ascii="Palatino Linotype" w:eastAsia="Calibri" w:hAnsi="Palatino Linotype" w:cs="Arial"/>
          <w:b/>
          <w:sz w:val="22"/>
          <w:szCs w:val="22"/>
          <w:lang w:eastAsia="en-US"/>
        </w:rPr>
        <w:t>folio fiscal</w:t>
      </w:r>
      <w:r w:rsidRPr="0034034E">
        <w:rPr>
          <w:rFonts w:ascii="Palatino Linotype" w:eastAsia="Calibri" w:hAnsi="Palatino Linotype" w:cs="Arial"/>
          <w:sz w:val="22"/>
          <w:szCs w:val="22"/>
          <w:lang w:eastAsia="en-US"/>
        </w:rPr>
        <w:t xml:space="preserve">, la  </w:t>
      </w:r>
      <w:r w:rsidRPr="0034034E">
        <w:rPr>
          <w:rFonts w:ascii="Palatino Linotype" w:eastAsia="Calibri" w:hAnsi="Palatino Linotype" w:cs="Arial"/>
          <w:b/>
          <w:sz w:val="22"/>
          <w:szCs w:val="22"/>
          <w:lang w:eastAsia="en-US"/>
        </w:rPr>
        <w:t xml:space="preserve">cadena original, </w:t>
      </w:r>
      <w:r w:rsidRPr="0034034E">
        <w:rPr>
          <w:rFonts w:ascii="Palatino Linotype" w:eastAsia="Calibri" w:hAnsi="Palatino Linotype" w:cs="Arial"/>
          <w:sz w:val="22"/>
          <w:szCs w:val="22"/>
          <w:lang w:eastAsia="en-US"/>
        </w:rPr>
        <w:t>los</w:t>
      </w:r>
      <w:r w:rsidRPr="0034034E">
        <w:rPr>
          <w:rFonts w:ascii="Palatino Linotype" w:eastAsia="Calibri" w:hAnsi="Palatino Linotype" w:cs="Arial"/>
          <w:b/>
          <w:sz w:val="22"/>
          <w:szCs w:val="22"/>
          <w:lang w:eastAsia="en-US"/>
        </w:rPr>
        <w:t xml:space="preserve"> códigos bidimensionales o códigos QR,</w:t>
      </w:r>
      <w:r w:rsidRPr="0034034E">
        <w:rPr>
          <w:rFonts w:ascii="Palatino Linotype" w:eastAsia="Calibri" w:hAnsi="Palatino Linotype" w:cs="Arial"/>
          <w:sz w:val="22"/>
          <w:szCs w:val="22"/>
          <w:lang w:eastAsia="en-US"/>
        </w:rPr>
        <w:t xml:space="preserve"> y cualquier información de carácter fiscal, bajo las siguientes consideraciones. </w:t>
      </w:r>
    </w:p>
    <w:p w14:paraId="1CE5CFB4" w14:textId="77777777" w:rsidR="0096387C" w:rsidRPr="0034034E" w:rsidRDefault="0096387C" w:rsidP="0096387C">
      <w:pPr>
        <w:spacing w:before="240" w:after="240" w:line="360" w:lineRule="auto"/>
        <w:ind w:right="50"/>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75DF107"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 xml:space="preserve">Por cuanto hace al Registro Federal de Contribuyentes de las personas físicas, constituye un dato personal, pues se genera con caracteres alfanuméricos a partir del nombre y la fecha de </w:t>
      </w:r>
      <w:r w:rsidRPr="0034034E">
        <w:rPr>
          <w:rFonts w:ascii="Palatino Linotype" w:eastAsia="Palatino Linotype" w:hAnsi="Palatino Linotype" w:cs="Palatino Linotype"/>
          <w:sz w:val="22"/>
          <w:szCs w:val="22"/>
          <w:lang w:eastAsia="en-US"/>
        </w:rPr>
        <w:lastRenderedPageBreak/>
        <w:t xml:space="preserve">nacimiento de cada persona, y finalmente la </w:t>
      </w:r>
      <w:proofErr w:type="spellStart"/>
      <w:r w:rsidRPr="0034034E">
        <w:rPr>
          <w:rFonts w:ascii="Palatino Linotype" w:eastAsia="Palatino Linotype" w:hAnsi="Palatino Linotype" w:cs="Palatino Linotype"/>
          <w:sz w:val="22"/>
          <w:szCs w:val="22"/>
          <w:lang w:eastAsia="en-US"/>
        </w:rPr>
        <w:t>homoclave</w:t>
      </w:r>
      <w:proofErr w:type="spellEnd"/>
      <w:r w:rsidRPr="0034034E">
        <w:rPr>
          <w:rFonts w:ascii="Palatino Linotype" w:eastAsia="Palatino Linotype" w:hAnsi="Palatino Linotype" w:cs="Palatino Linotype"/>
          <w:sz w:val="22"/>
          <w:szCs w:val="22"/>
          <w:lang w:eastAsia="en-US"/>
        </w:rPr>
        <w:t>, por lo que para su obtención es necesario acreditar ante la autoridad fiscal previamente la identidad de la persona, su fecha de nacimiento, entre otros aspectos.</w:t>
      </w:r>
    </w:p>
    <w:p w14:paraId="29F45BB5"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E6EF125"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Lo anterior es compartido por el Instituto Nacional de Transparencia, Acceso a la Información y Protección de Datos Personales, INAI, a través del Criterio 19/17, el cual es del tenor literal siguiente:</w:t>
      </w:r>
    </w:p>
    <w:p w14:paraId="2125C95F" w14:textId="77777777" w:rsidR="0096387C" w:rsidRPr="0034034E" w:rsidRDefault="0096387C" w:rsidP="0096387C">
      <w:pPr>
        <w:spacing w:after="160" w:line="259" w:lineRule="auto"/>
        <w:ind w:left="851" w:right="900"/>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 xml:space="preserve"> “Registro Federal de Contribuyentes (RFC) de personas físicas</w:t>
      </w:r>
      <w:r w:rsidRPr="0034034E">
        <w:rPr>
          <w:rFonts w:ascii="Palatino Linotype" w:eastAsia="Palatino Linotype" w:hAnsi="Palatino Linotype" w:cs="Palatino Linotype"/>
          <w:i/>
          <w:sz w:val="22"/>
          <w:szCs w:val="22"/>
          <w:lang w:eastAsia="en-US"/>
        </w:rPr>
        <w:t>. El RFC es una clave de carácter fiscal, única e irrepetible, que permite identificar al titular, su edad y fecha de nacimiento, por lo que es un dato personal de carácter confidencial.”</w:t>
      </w:r>
    </w:p>
    <w:p w14:paraId="41AB0C71" w14:textId="77777777" w:rsidR="0096387C" w:rsidRPr="0034034E" w:rsidRDefault="0096387C" w:rsidP="0096387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 xml:space="preserve">Así, el Registro Federal de Contribuyentes, RFC, se vincula al nombre de su titular y permite identificar la edad de la persona, su fecha de nacimiento, así como su </w:t>
      </w:r>
      <w:proofErr w:type="spellStart"/>
      <w:r w:rsidRPr="0034034E">
        <w:rPr>
          <w:rFonts w:ascii="Palatino Linotype" w:eastAsia="Palatino Linotype" w:hAnsi="Palatino Linotype" w:cs="Palatino Linotype"/>
          <w:sz w:val="22"/>
          <w:szCs w:val="22"/>
          <w:lang w:eastAsia="en-US"/>
        </w:rPr>
        <w:t>homoclave</w:t>
      </w:r>
      <w:proofErr w:type="spellEnd"/>
      <w:r w:rsidRPr="0034034E">
        <w:rPr>
          <w:rFonts w:ascii="Palatino Linotype" w:eastAsia="Palatino Linotype" w:hAnsi="Palatino Linotype" w:cs="Palatino Linotype"/>
          <w:sz w:val="22"/>
          <w:szCs w:val="22"/>
          <w:lang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A09171A" w14:textId="77777777" w:rsidR="0096387C" w:rsidRPr="0034034E" w:rsidRDefault="0096387C" w:rsidP="0096387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 xml:space="preserve">De igual manera la Clave Única de Registro de Población, CURP, constituye un dato personal, ya que tiene como finalidad registrar a cada una de las personas que integran la población del país, con datos que permitan certificar y acreditar fehacientemente su </w:t>
      </w:r>
      <w:r w:rsidRPr="0034034E">
        <w:rPr>
          <w:rFonts w:ascii="Palatino Linotype" w:eastAsia="Palatino Linotype" w:hAnsi="Palatino Linotype" w:cs="Palatino Linotype"/>
          <w:sz w:val="22"/>
          <w:szCs w:val="22"/>
          <w:lang w:eastAsia="en-US"/>
        </w:rPr>
        <w:lastRenderedPageBreak/>
        <w:t>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9C8284C" w14:textId="77777777" w:rsidR="0096387C" w:rsidRPr="0034034E" w:rsidRDefault="0096387C" w:rsidP="0096387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Argumento que es compartido por el Instituto Nacional de Transparencia, Acceso a la Información y Protección de Datos Personales, INAI, conforme al criterio 18/17, el cual refiere:</w:t>
      </w:r>
    </w:p>
    <w:p w14:paraId="7EBEBC01" w14:textId="77777777" w:rsidR="0096387C" w:rsidRPr="0034034E" w:rsidRDefault="0096387C" w:rsidP="0096387C">
      <w:pPr>
        <w:spacing w:after="160" w:line="259" w:lineRule="auto"/>
        <w:ind w:left="851" w:right="851"/>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 xml:space="preserve"> “Clave Única de Registro de Población (CURP). </w:t>
      </w:r>
      <w:r w:rsidRPr="0034034E">
        <w:rPr>
          <w:rFonts w:ascii="Palatino Linotype" w:eastAsia="Palatino Linotype" w:hAnsi="Palatino Linotype" w:cs="Palatino Linotype"/>
          <w:i/>
          <w:sz w:val="22"/>
          <w:szCs w:val="22"/>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63F6EBE"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A885CF1"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5C62755F"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83DA609"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lastRenderedPageBreak/>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00179006" w14:textId="77777777" w:rsidR="0096387C" w:rsidRPr="0034034E" w:rsidRDefault="0096387C" w:rsidP="0096387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 xml:space="preserve">En esa virtud, este Pleno determina que dicha información no puede ser del dominio público, toda vez que se podría dar un uso inadecuado a la misma o cometer algún ilícito o fraude como ya ha sido expuesto. </w:t>
      </w:r>
    </w:p>
    <w:p w14:paraId="22FCE71C"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Lo anterior no es así tratándose de las cuentas bancarias o claves interbancarias de los Sujetos Obligados ya que su publicidad cede a la rendición de cuentas al transparentar la forma en que son administrados los recursos públicos.</w:t>
      </w:r>
    </w:p>
    <w:p w14:paraId="5B3AE81A"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Lo argumentado encuentra sustento en los criterios 10/17 y 11/17 emitidos por el Instituto Nacional de Transparencia, Acceso a la Información y Protección de Datos Personales, INAI, que llevan por rubro y texto los siguientes:</w:t>
      </w:r>
    </w:p>
    <w:p w14:paraId="7DE70722" w14:textId="77777777" w:rsidR="0096387C" w:rsidRPr="0034034E" w:rsidRDefault="0096387C" w:rsidP="0096387C">
      <w:pPr>
        <w:spacing w:before="240" w:after="240" w:line="259" w:lineRule="auto"/>
        <w:ind w:left="851" w:right="900"/>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w:t>
      </w:r>
      <w:r w:rsidRPr="0034034E">
        <w:rPr>
          <w:rFonts w:ascii="Palatino Linotype" w:eastAsia="Palatino Linotype" w:hAnsi="Palatino Linotype" w:cs="Palatino Linotype"/>
          <w:b/>
          <w:i/>
          <w:sz w:val="22"/>
          <w:szCs w:val="22"/>
          <w:lang w:eastAsia="en-US"/>
        </w:rPr>
        <w:t>Cuentas bancarias y/o CLABE interbancaria de personas físicas y morales privadas.</w:t>
      </w:r>
      <w:r w:rsidRPr="0034034E">
        <w:rPr>
          <w:rFonts w:ascii="Palatino Linotype" w:eastAsia="Palatino Linotype" w:hAnsi="Palatino Linotype" w:cs="Palatino Linotype"/>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3098D74" w14:textId="77777777" w:rsidR="0096387C" w:rsidRPr="0034034E" w:rsidRDefault="0096387C" w:rsidP="0096387C">
      <w:pPr>
        <w:spacing w:before="240" w:after="240" w:line="259" w:lineRule="auto"/>
        <w:ind w:left="851" w:right="900"/>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Cuentas bancarias y/o CLABE interbancaria de sujetos obligados que reciben y/o transfieren recursos públicos, son información pública.</w:t>
      </w:r>
      <w:r w:rsidRPr="0034034E">
        <w:rPr>
          <w:rFonts w:ascii="Palatino Linotype" w:eastAsia="Palatino Linotype" w:hAnsi="Palatino Linotype" w:cs="Palatino Linotype"/>
          <w:i/>
          <w:sz w:val="22"/>
          <w:szCs w:val="22"/>
          <w:lang w:eastAsia="en-US"/>
        </w:rPr>
        <w:t xml:space="preserve"> La difusión de las cuentas bancarias y claves interbancarias pertenecientes a un sujeto obligado favorece la rendición de cuentas al transparentar la forma en que </w:t>
      </w:r>
      <w:r w:rsidRPr="0034034E">
        <w:rPr>
          <w:rFonts w:ascii="Palatino Linotype" w:eastAsia="Palatino Linotype" w:hAnsi="Palatino Linotype" w:cs="Palatino Linotype"/>
          <w:i/>
          <w:sz w:val="22"/>
          <w:szCs w:val="22"/>
          <w:lang w:eastAsia="en-US"/>
        </w:rPr>
        <w:lastRenderedPageBreak/>
        <w:t>se administran los recursos públicos, razón por la cual no pueden considerarse como información clasificada.”</w:t>
      </w:r>
    </w:p>
    <w:p w14:paraId="40845669"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 xml:space="preserve">Por cuanto hace a los </w:t>
      </w:r>
      <w:r w:rsidRPr="0034034E">
        <w:rPr>
          <w:rFonts w:ascii="Palatino Linotype" w:eastAsia="Palatino Linotype" w:hAnsi="Palatino Linotype" w:cs="Palatino Linotype"/>
          <w:b/>
          <w:sz w:val="22"/>
          <w:szCs w:val="22"/>
          <w:lang w:eastAsia="en-US"/>
        </w:rPr>
        <w:t>préstamos o descuentos de carácter personal</w:t>
      </w:r>
      <w:r w:rsidRPr="0034034E">
        <w:rPr>
          <w:rFonts w:ascii="Palatino Linotype" w:eastAsia="Palatino Linotype" w:hAnsi="Palatino Linotype" w:cs="Palatino Linotype"/>
          <w:sz w:val="22"/>
          <w:szCs w:val="22"/>
          <w:lang w:eastAsia="en-US"/>
        </w:rPr>
        <w:t>, en virtud de no tener relación con la prestación del servicio y al no involucrar instituciones públicas, se consideran datos confidenciales.</w:t>
      </w:r>
    </w:p>
    <w:p w14:paraId="2FF3C79F"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Para entender los límites y alcances de esta restricción, es oportuno recurrir al artículo 84 de la Ley del Trabajo de los Servidores Públicos del Estado y Municipios:</w:t>
      </w:r>
    </w:p>
    <w:p w14:paraId="363DF18F" w14:textId="77777777" w:rsidR="0096387C" w:rsidRPr="0034034E" w:rsidRDefault="0096387C" w:rsidP="0096387C">
      <w:pPr>
        <w:spacing w:before="240" w:after="240" w:line="259" w:lineRule="auto"/>
        <w:ind w:left="851" w:right="900"/>
        <w:jc w:val="both"/>
        <w:rPr>
          <w:rFonts w:ascii="Palatino Linotype" w:eastAsia="Palatino Linotype" w:hAnsi="Palatino Linotype" w:cs="Palatino Linotype"/>
          <w:b/>
          <w:i/>
          <w:sz w:val="22"/>
          <w:szCs w:val="22"/>
          <w:lang w:eastAsia="en-US"/>
        </w:rPr>
      </w:pPr>
      <w:r w:rsidRPr="0034034E">
        <w:rPr>
          <w:rFonts w:ascii="Palatino Linotype" w:eastAsia="Palatino Linotype" w:hAnsi="Palatino Linotype" w:cs="Palatino Linotype"/>
          <w:b/>
          <w:i/>
          <w:sz w:val="22"/>
          <w:szCs w:val="22"/>
          <w:lang w:eastAsia="en-US"/>
        </w:rPr>
        <w:t xml:space="preserve">“ARTÍCULO 84. </w:t>
      </w:r>
      <w:r w:rsidRPr="0034034E">
        <w:rPr>
          <w:rFonts w:ascii="Palatino Linotype" w:eastAsia="Palatino Linotype" w:hAnsi="Palatino Linotype" w:cs="Palatino Linotype"/>
          <w:i/>
          <w:sz w:val="22"/>
          <w:szCs w:val="22"/>
          <w:lang w:eastAsia="en-US"/>
        </w:rPr>
        <w:t>Sólo podrán hacerse retenciones, descuentos o deducciones al sueldo de los servidores públicos por concepto de:</w:t>
      </w:r>
    </w:p>
    <w:p w14:paraId="0168C9C7" w14:textId="77777777" w:rsidR="0096387C" w:rsidRPr="0034034E" w:rsidRDefault="0096387C" w:rsidP="0096387C">
      <w:pPr>
        <w:spacing w:after="160" w:line="259" w:lineRule="auto"/>
        <w:ind w:left="993"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I. Gravámenes fiscales relacionados con el sueldo;</w:t>
      </w:r>
    </w:p>
    <w:p w14:paraId="2C118E11" w14:textId="77777777" w:rsidR="0096387C" w:rsidRPr="0034034E" w:rsidRDefault="0096387C" w:rsidP="0096387C">
      <w:pPr>
        <w:spacing w:after="160" w:line="259" w:lineRule="auto"/>
        <w:ind w:left="993"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II. Deudas contraídas con las instituciones públicas o dependencias por concepto de anticipos de sueldo, pagos hechos con exceso, errores o pérdidas debidamente comprobados;</w:t>
      </w:r>
    </w:p>
    <w:p w14:paraId="3883F38D" w14:textId="77777777" w:rsidR="0096387C" w:rsidRPr="0034034E" w:rsidRDefault="0096387C" w:rsidP="0096387C">
      <w:pPr>
        <w:spacing w:after="160" w:line="259" w:lineRule="auto"/>
        <w:ind w:left="993"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III. Cuotas sindicales;</w:t>
      </w:r>
    </w:p>
    <w:p w14:paraId="3923313E" w14:textId="77777777" w:rsidR="0096387C" w:rsidRPr="0034034E" w:rsidRDefault="0096387C" w:rsidP="0096387C">
      <w:pPr>
        <w:spacing w:after="160" w:line="259" w:lineRule="auto"/>
        <w:ind w:left="993"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IV. Cuotas de aportación a fondos para la constitución de cooperativas y de cajas de ahorro, siempre que el servidor público hubiese manifestado previamente, de manera expresa, su conformidad;</w:t>
      </w:r>
    </w:p>
    <w:p w14:paraId="1624DE8F" w14:textId="77777777" w:rsidR="0096387C" w:rsidRPr="0034034E" w:rsidRDefault="0096387C" w:rsidP="0096387C">
      <w:pPr>
        <w:spacing w:after="160" w:line="259" w:lineRule="auto"/>
        <w:ind w:left="993"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V. Descuentos ordenados por el Instituto de Seguridad Social del Estado de México y Municipios, con motivo de cuotas y obligaciones contraídas con éste por los servidores públicos;</w:t>
      </w:r>
    </w:p>
    <w:p w14:paraId="1F7ACEEC" w14:textId="77777777" w:rsidR="0096387C" w:rsidRPr="0034034E" w:rsidRDefault="0096387C" w:rsidP="0096387C">
      <w:pPr>
        <w:spacing w:after="160" w:line="259" w:lineRule="auto"/>
        <w:ind w:left="993"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VI. Obligaciones a cargo del servidor público con las que haya consentido, derivadas de la adquisición o del uso de habitaciones consideradas como de interés social;</w:t>
      </w:r>
    </w:p>
    <w:p w14:paraId="4560E556" w14:textId="77777777" w:rsidR="0096387C" w:rsidRPr="0034034E" w:rsidRDefault="0096387C" w:rsidP="0096387C">
      <w:pPr>
        <w:spacing w:after="160" w:line="259" w:lineRule="auto"/>
        <w:ind w:left="993"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VII. Faltas de puntualidad o de asistencia injustificadas;</w:t>
      </w:r>
    </w:p>
    <w:p w14:paraId="314AF786" w14:textId="77777777" w:rsidR="0096387C" w:rsidRPr="0034034E" w:rsidRDefault="0096387C" w:rsidP="0096387C">
      <w:pPr>
        <w:spacing w:after="160" w:line="259" w:lineRule="auto"/>
        <w:ind w:left="993" w:right="90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VIII. Pensiones alimenticias ordenadas por la autoridad judicial;</w:t>
      </w:r>
      <w:r w:rsidRPr="0034034E">
        <w:rPr>
          <w:rFonts w:ascii="Palatino Linotype" w:eastAsia="Palatino Linotype" w:hAnsi="Palatino Linotype" w:cs="Palatino Linotype"/>
          <w:i/>
          <w:sz w:val="22"/>
          <w:szCs w:val="22"/>
          <w:lang w:eastAsia="en-US"/>
        </w:rPr>
        <w:t xml:space="preserve"> o</w:t>
      </w:r>
    </w:p>
    <w:p w14:paraId="24069D02" w14:textId="77777777" w:rsidR="0096387C" w:rsidRPr="0034034E" w:rsidRDefault="0096387C" w:rsidP="0096387C">
      <w:pPr>
        <w:spacing w:after="160" w:line="259" w:lineRule="auto"/>
        <w:ind w:left="993" w:right="902"/>
        <w:jc w:val="both"/>
        <w:rPr>
          <w:rFonts w:ascii="Palatino Linotype" w:eastAsia="Palatino Linotype" w:hAnsi="Palatino Linotype" w:cs="Palatino Linotype"/>
          <w:b/>
          <w:i/>
          <w:sz w:val="22"/>
          <w:szCs w:val="22"/>
          <w:lang w:eastAsia="en-US"/>
        </w:rPr>
      </w:pPr>
      <w:r w:rsidRPr="0034034E">
        <w:rPr>
          <w:rFonts w:ascii="Palatino Linotype" w:eastAsia="Palatino Linotype" w:hAnsi="Palatino Linotype" w:cs="Palatino Linotype"/>
          <w:b/>
          <w:i/>
          <w:sz w:val="22"/>
          <w:szCs w:val="22"/>
          <w:lang w:eastAsia="en-US"/>
        </w:rPr>
        <w:t>IX. Cualquier otro convenido con instituciones de servicios y aceptado por el servidor público.</w:t>
      </w:r>
    </w:p>
    <w:p w14:paraId="2CC21A96" w14:textId="77777777" w:rsidR="0096387C" w:rsidRPr="0034034E" w:rsidRDefault="0096387C" w:rsidP="0096387C">
      <w:pPr>
        <w:spacing w:before="240" w:after="240" w:line="259" w:lineRule="auto"/>
        <w:ind w:left="851" w:right="900"/>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2D82C38F"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0C952157"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 xml:space="preserve">Con relación al </w:t>
      </w:r>
      <w:r w:rsidRPr="0034034E">
        <w:rPr>
          <w:rFonts w:ascii="Palatino Linotype" w:eastAsia="Palatino Linotype" w:hAnsi="Palatino Linotype" w:cs="Palatino Linotype"/>
          <w:b/>
          <w:sz w:val="22"/>
          <w:szCs w:val="22"/>
          <w:lang w:eastAsia="en-US"/>
        </w:rPr>
        <w:t>número de empleado</w:t>
      </w:r>
      <w:r w:rsidRPr="0034034E">
        <w:rPr>
          <w:rFonts w:ascii="Palatino Linotype" w:eastAsia="Palatino Linotype" w:hAnsi="Palatino Linotype" w:cs="Palatino Linotype"/>
          <w:sz w:val="22"/>
          <w:szCs w:val="22"/>
          <w:lang w:eastAsia="en-US"/>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34034E">
        <w:rPr>
          <w:rFonts w:ascii="Palatino Linotype" w:eastAsia="Palatino Linotype" w:hAnsi="Palatino Linotype" w:cs="Palatino Linotype"/>
          <w:sz w:val="22"/>
          <w:szCs w:val="22"/>
          <w:vertAlign w:val="superscript"/>
          <w:lang w:eastAsia="en-US"/>
        </w:rPr>
        <w:footnoteReference w:id="5"/>
      </w:r>
      <w:r w:rsidRPr="0034034E">
        <w:rPr>
          <w:rFonts w:ascii="Palatino Linotype" w:eastAsia="Palatino Linotype" w:hAnsi="Palatino Linotype" w:cs="Palatino Linotype"/>
          <w:sz w:val="22"/>
          <w:szCs w:val="22"/>
          <w:lang w:eastAsia="en-US"/>
        </w:rPr>
        <w:t>.</w:t>
      </w:r>
    </w:p>
    <w:p w14:paraId="502CB8A8"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w:t>
      </w:r>
      <w:proofErr w:type="gramStart"/>
      <w:r w:rsidRPr="0034034E">
        <w:rPr>
          <w:rFonts w:ascii="Palatino Linotype" w:eastAsia="Palatino Linotype" w:hAnsi="Palatino Linotype" w:cs="Palatino Linotype"/>
          <w:sz w:val="22"/>
          <w:szCs w:val="22"/>
          <w:lang w:eastAsia="en-US"/>
        </w:rPr>
        <w:t>INAI  se</w:t>
      </w:r>
      <w:proofErr w:type="gramEnd"/>
      <w:r w:rsidRPr="0034034E">
        <w:rPr>
          <w:rFonts w:ascii="Palatino Linotype" w:eastAsia="Palatino Linotype" w:hAnsi="Palatino Linotype" w:cs="Palatino Linotype"/>
          <w:sz w:val="22"/>
          <w:szCs w:val="22"/>
          <w:lang w:eastAsia="en-US"/>
        </w:rPr>
        <w:t xml:space="preserve"> ha pronunciado sobre su publicidad, a través del criterio 06/19, que indica lo siguiente:</w:t>
      </w:r>
    </w:p>
    <w:p w14:paraId="5EB4EBC2" w14:textId="77777777" w:rsidR="0096387C" w:rsidRPr="0034034E" w:rsidRDefault="0096387C" w:rsidP="0096387C">
      <w:pPr>
        <w:tabs>
          <w:tab w:val="left" w:pos="7655"/>
        </w:tabs>
        <w:spacing w:before="240" w:after="240" w:line="259" w:lineRule="auto"/>
        <w:ind w:left="993" w:right="992"/>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lastRenderedPageBreak/>
        <w:t xml:space="preserve">“Número de empleado. </w:t>
      </w:r>
      <w:r w:rsidRPr="0034034E">
        <w:rPr>
          <w:rFonts w:ascii="Palatino Linotype" w:eastAsia="Palatino Linotype" w:hAnsi="Palatino Linotype" w:cs="Palatino Linotype"/>
          <w:i/>
          <w:sz w:val="22"/>
          <w:szCs w:val="22"/>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DC54C70"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34034E">
        <w:rPr>
          <w:rFonts w:ascii="Palatino Linotype" w:eastAsia="Palatino Linotype" w:hAnsi="Palatino Linotype" w:cs="Palatino Linotype"/>
          <w:b/>
          <w:sz w:val="22"/>
          <w:szCs w:val="22"/>
          <w:lang w:eastAsia="en-US"/>
        </w:rPr>
        <w:t>Sujeto Obligado</w:t>
      </w:r>
      <w:r w:rsidRPr="0034034E">
        <w:rPr>
          <w:rFonts w:ascii="Palatino Linotype" w:eastAsia="Palatino Linotype" w:hAnsi="Palatino Linotype" w:cs="Palatino Linotype"/>
          <w:sz w:val="22"/>
          <w:szCs w:val="22"/>
          <w:lang w:eastAsia="en-US"/>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75125228" w14:textId="77777777" w:rsidR="0096387C" w:rsidRPr="0034034E" w:rsidRDefault="0096387C" w:rsidP="0096387C">
      <w:pPr>
        <w:spacing w:before="240" w:after="240" w:line="360" w:lineRule="auto"/>
        <w:jc w:val="both"/>
        <w:rPr>
          <w:rFonts w:ascii="Palatino Linotype" w:eastAsia="Calibri" w:hAnsi="Palatino Linotype"/>
          <w:sz w:val="22"/>
          <w:szCs w:val="22"/>
          <w:lang w:eastAsia="en-US"/>
        </w:rPr>
      </w:pPr>
      <w:r w:rsidRPr="0034034E">
        <w:rPr>
          <w:rFonts w:ascii="Palatino Linotype" w:eastAsia="Calibri" w:hAnsi="Palatino Linotype"/>
          <w:b/>
          <w:bCs/>
          <w:sz w:val="22"/>
          <w:szCs w:val="22"/>
          <w:lang w:eastAsia="en-US"/>
        </w:rPr>
        <w:t>De la información fiscal</w:t>
      </w:r>
      <w:r w:rsidRPr="0034034E">
        <w:rPr>
          <w:rFonts w:ascii="Palatino Linotype" w:eastAsia="Calibri" w:hAnsi="Palatino Linotype"/>
          <w:sz w:val="22"/>
          <w:szCs w:val="22"/>
          <w:lang w:eastAsia="en-US"/>
        </w:rPr>
        <w:t xml:space="preserve">: </w:t>
      </w:r>
    </w:p>
    <w:p w14:paraId="5AE6B0D5" w14:textId="77777777" w:rsidR="0096387C" w:rsidRPr="0034034E" w:rsidRDefault="0096387C" w:rsidP="0096387C">
      <w:pPr>
        <w:spacing w:before="240" w:after="240" w:line="360" w:lineRule="auto"/>
        <w:jc w:val="both"/>
        <w:rPr>
          <w:rFonts w:ascii="Palatino Linotype" w:eastAsia="Calibri" w:hAnsi="Palatino Linotype"/>
          <w:sz w:val="22"/>
          <w:szCs w:val="22"/>
          <w:lang w:eastAsia="en-US"/>
        </w:rPr>
      </w:pPr>
      <w:r w:rsidRPr="0034034E">
        <w:rPr>
          <w:rFonts w:ascii="Palatino Linotype" w:eastAsia="Calibri" w:hAnsi="Palatino Linotype"/>
          <w:sz w:val="22"/>
          <w:szCs w:val="22"/>
          <w:lang w:eastAsia="en-US"/>
        </w:rPr>
        <w:t xml:space="preserve">La </w:t>
      </w:r>
      <w:r w:rsidRPr="0034034E">
        <w:rPr>
          <w:rFonts w:ascii="Palatino Linotype" w:eastAsia="Calibri" w:hAnsi="Palatino Linotype"/>
          <w:b/>
          <w:sz w:val="22"/>
          <w:szCs w:val="22"/>
          <w:lang w:eastAsia="en-US"/>
        </w:rPr>
        <w:t>Cadena Original</w:t>
      </w:r>
      <w:r w:rsidRPr="0034034E">
        <w:rPr>
          <w:rFonts w:ascii="Palatino Linotype" w:eastAsia="Calibri" w:hAnsi="Palatino Linotype"/>
          <w:sz w:val="22"/>
          <w:szCs w:val="22"/>
          <w:lang w:eastAsia="en-US"/>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34034E">
        <w:rPr>
          <w:rFonts w:ascii="Palatino Linotype" w:eastAsia="Calibri" w:hAnsi="Palatino Linotype"/>
          <w:b/>
          <w:bCs/>
          <w:sz w:val="22"/>
          <w:szCs w:val="22"/>
          <w:lang w:eastAsia="en-US"/>
        </w:rPr>
        <w:t>Sujeto Obligado</w:t>
      </w:r>
      <w:r w:rsidRPr="0034034E">
        <w:rPr>
          <w:rFonts w:ascii="Palatino Linotype" w:eastAsia="Calibri" w:hAnsi="Palatino Linotype"/>
          <w:sz w:val="22"/>
          <w:szCs w:val="22"/>
          <w:lang w:eastAsia="en-US"/>
        </w:rPr>
        <w:t xml:space="preserve"> analizar dicha circunstancia con la finalidad de proteger, de ser el caso, la información a través de su clasificación por actualizarse el supuesto de confidencialidad.</w:t>
      </w:r>
    </w:p>
    <w:p w14:paraId="5F1AAF39" w14:textId="77777777" w:rsidR="0096387C" w:rsidRPr="0034034E" w:rsidRDefault="0096387C" w:rsidP="0096387C">
      <w:pPr>
        <w:spacing w:before="240" w:after="240" w:line="360" w:lineRule="auto"/>
        <w:jc w:val="both"/>
        <w:rPr>
          <w:rFonts w:ascii="Palatino Linotype" w:eastAsia="Calibri" w:hAnsi="Palatino Linotype"/>
          <w:sz w:val="22"/>
          <w:szCs w:val="22"/>
          <w:lang w:eastAsia="en-US"/>
        </w:rPr>
      </w:pPr>
      <w:r w:rsidRPr="0034034E">
        <w:rPr>
          <w:rFonts w:ascii="Palatino Linotype" w:eastAsia="Calibri" w:hAnsi="Palatino Linotype" w:cs="Arial"/>
          <w:sz w:val="22"/>
          <w:szCs w:val="22"/>
          <w:lang w:eastAsia="en-US"/>
        </w:rPr>
        <w:t xml:space="preserve">Los </w:t>
      </w:r>
      <w:r w:rsidRPr="0034034E">
        <w:rPr>
          <w:rFonts w:ascii="Palatino Linotype" w:eastAsia="Calibri" w:hAnsi="Palatino Linotype" w:cs="Arial"/>
          <w:b/>
          <w:sz w:val="22"/>
          <w:szCs w:val="22"/>
          <w:lang w:eastAsia="en-US"/>
        </w:rPr>
        <w:t>códigos bidimensionales</w:t>
      </w:r>
      <w:r w:rsidRPr="0034034E">
        <w:rPr>
          <w:rFonts w:ascii="Palatino Linotype" w:eastAsia="Calibri" w:hAnsi="Palatino Linotype" w:cs="Arial"/>
          <w:sz w:val="22"/>
          <w:szCs w:val="22"/>
          <w:lang w:eastAsia="en-US"/>
        </w:rPr>
        <w:t xml:space="preserve"> o </w:t>
      </w:r>
      <w:r w:rsidRPr="0034034E">
        <w:rPr>
          <w:rFonts w:ascii="Palatino Linotype" w:eastAsia="Calibri" w:hAnsi="Palatino Linotype" w:cs="Arial"/>
          <w:b/>
          <w:sz w:val="22"/>
          <w:szCs w:val="22"/>
          <w:lang w:eastAsia="en-US"/>
        </w:rPr>
        <w:t xml:space="preserve">códigos QR, </w:t>
      </w:r>
      <w:r w:rsidRPr="0034034E">
        <w:rPr>
          <w:rFonts w:ascii="Palatino Linotype" w:eastAsia="Calibri" w:hAnsi="Palatino Linotype" w:cs="Arial"/>
          <w:sz w:val="22"/>
          <w:szCs w:val="22"/>
          <w:lang w:eastAsia="en-US"/>
        </w:rPr>
        <w:t xml:space="preserve">al corresponder a barras en dos dimensiones que, al igual que los códigos de barras o códigos unidimensionales, son utilizados para </w:t>
      </w:r>
      <w:r w:rsidRPr="0034034E">
        <w:rPr>
          <w:rFonts w:ascii="Palatino Linotype" w:eastAsia="Calibri" w:hAnsi="Palatino Linotype" w:cs="Arial"/>
          <w:sz w:val="22"/>
          <w:szCs w:val="22"/>
          <w:lang w:eastAsia="en-US"/>
        </w:rPr>
        <w:lastRenderedPageBreak/>
        <w:t>almacenar diversos tipos de datos de manera codificada, los cuales a través de lectores que pueden ser obtenidos por cualquier persona, pueden contener datos personales, no susceptibles de conocimiento público</w:t>
      </w:r>
      <w:r w:rsidRPr="0034034E">
        <w:rPr>
          <w:rFonts w:ascii="Palatino Linotype" w:eastAsia="Calibri" w:hAnsi="Palatino Linotype"/>
          <w:sz w:val="22"/>
          <w:szCs w:val="22"/>
          <w:lang w:eastAsia="en-US"/>
        </w:rPr>
        <w:t xml:space="preserve">, debiendo el </w:t>
      </w:r>
      <w:r w:rsidRPr="0034034E">
        <w:rPr>
          <w:rFonts w:ascii="Palatino Linotype" w:eastAsia="Calibri" w:hAnsi="Palatino Linotype"/>
          <w:b/>
          <w:bCs/>
          <w:sz w:val="22"/>
          <w:szCs w:val="22"/>
          <w:lang w:eastAsia="en-US"/>
        </w:rPr>
        <w:t xml:space="preserve">Sujeto Obligado </w:t>
      </w:r>
      <w:r w:rsidRPr="0034034E">
        <w:rPr>
          <w:rFonts w:ascii="Palatino Linotype" w:eastAsia="Calibri" w:hAnsi="Palatino Linotype"/>
          <w:sz w:val="22"/>
          <w:szCs w:val="22"/>
          <w:lang w:eastAsia="en-US"/>
        </w:rPr>
        <w:t>analizar dicha circunstancia con la finalidad de determinar si se actualiza algún supuesto de confidencialidad.</w:t>
      </w:r>
    </w:p>
    <w:p w14:paraId="1DC1015D" w14:textId="152219F7" w:rsidR="0096387C" w:rsidRPr="0034034E" w:rsidRDefault="0096387C" w:rsidP="0096387C">
      <w:pPr>
        <w:spacing w:before="240" w:after="240" w:line="360" w:lineRule="auto"/>
        <w:jc w:val="both"/>
        <w:rPr>
          <w:rFonts w:ascii="Palatino Linotype" w:eastAsia="Calibri" w:hAnsi="Palatino Linotype" w:cs="Arial"/>
          <w:sz w:val="22"/>
          <w:szCs w:val="22"/>
          <w:lang w:eastAsia="en-US"/>
        </w:rPr>
      </w:pPr>
      <w:r w:rsidRPr="0034034E">
        <w:rPr>
          <w:rFonts w:ascii="Palatino Linotype" w:eastAsia="Calibri" w:hAnsi="Palatino Linotype" w:cs="Arial"/>
          <w:sz w:val="22"/>
          <w:szCs w:val="22"/>
          <w:lang w:eastAsia="en-US"/>
        </w:rPr>
        <w:t xml:space="preserve">En tal sentido, si derivado del análisis efectuado por </w:t>
      </w:r>
      <w:r w:rsidRPr="0034034E">
        <w:rPr>
          <w:rFonts w:ascii="Palatino Linotype" w:eastAsia="Calibri" w:hAnsi="Palatino Linotype" w:cs="Arial"/>
          <w:b/>
          <w:sz w:val="22"/>
          <w:szCs w:val="22"/>
          <w:lang w:eastAsia="en-US"/>
        </w:rPr>
        <w:t xml:space="preserve">Sujeto Obligado </w:t>
      </w:r>
      <w:r w:rsidRPr="0034034E">
        <w:rPr>
          <w:rFonts w:ascii="Palatino Linotype" w:eastAsia="Calibri" w:hAnsi="Palatino Linotype" w:cs="Arial"/>
          <w:bCs/>
          <w:sz w:val="22"/>
          <w:szCs w:val="22"/>
          <w:lang w:eastAsia="en-US"/>
        </w:rPr>
        <w:t>en el presente caso,</w:t>
      </w:r>
      <w:r w:rsidRPr="0034034E">
        <w:rPr>
          <w:rFonts w:ascii="Palatino Linotype" w:eastAsia="Calibri" w:hAnsi="Palatino Linotype" w:cs="Arial"/>
          <w:sz w:val="22"/>
          <w:szCs w:val="22"/>
          <w:lang w:eastAsia="en-US"/>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w:t>
      </w:r>
      <w:r w:rsidR="00A83E13" w:rsidRPr="0034034E">
        <w:rPr>
          <w:rFonts w:ascii="Palatino Linotype" w:eastAsia="Calibri" w:hAnsi="Palatino Linotype" w:cs="Arial"/>
          <w:sz w:val="22"/>
          <w:szCs w:val="22"/>
          <w:lang w:eastAsia="en-US"/>
        </w:rPr>
        <w:t xml:space="preserve">en este sentido, en su caso, </w:t>
      </w:r>
      <w:r w:rsidRPr="0034034E">
        <w:rPr>
          <w:rFonts w:ascii="Palatino Linotype" w:eastAsia="Calibri" w:hAnsi="Palatino Linotype" w:cs="Arial"/>
          <w:sz w:val="22"/>
          <w:szCs w:val="22"/>
          <w:lang w:eastAsia="en-US"/>
        </w:rPr>
        <w:t>deberá clasificarla como confidencial, de manera fundada y motivada en términos del artículo 143, fracción I de la Ley de Transparencia y Acceso a la Información Pública del Estado de México y Municipios.</w:t>
      </w:r>
    </w:p>
    <w:p w14:paraId="7F6CAA10" w14:textId="77777777" w:rsidR="0096387C" w:rsidRPr="0034034E" w:rsidRDefault="0096387C" w:rsidP="0096387C">
      <w:pPr>
        <w:widowControl w:val="0"/>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34034E">
        <w:rPr>
          <w:rFonts w:ascii="Palatino Linotype" w:eastAsia="Palatino Linotype" w:hAnsi="Palatino Linotype" w:cs="Palatino Linotype"/>
          <w:b/>
          <w:sz w:val="22"/>
          <w:szCs w:val="22"/>
          <w:u w:val="single"/>
          <w:lang w:eastAsia="en-US"/>
        </w:rPr>
        <w:t>razones, motivos o circunstancias especiales</w:t>
      </w:r>
      <w:r w:rsidRPr="0034034E">
        <w:rPr>
          <w:rFonts w:ascii="Palatino Linotype" w:eastAsia="Palatino Linotype" w:hAnsi="Palatino Linotype" w:cs="Palatino Linotype"/>
          <w:sz w:val="22"/>
          <w:szCs w:val="22"/>
          <w:lang w:eastAsia="en-US"/>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w:t>
      </w:r>
      <w:r w:rsidRPr="0034034E">
        <w:rPr>
          <w:rFonts w:ascii="Palatino Linotype" w:eastAsia="Palatino Linotype" w:hAnsi="Palatino Linotype" w:cs="Palatino Linotype"/>
          <w:sz w:val="22"/>
          <w:szCs w:val="22"/>
          <w:lang w:eastAsia="en-US"/>
        </w:rPr>
        <w:lastRenderedPageBreak/>
        <w:t>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06C51822" w14:textId="77777777" w:rsidR="0096387C" w:rsidRPr="0034034E" w:rsidRDefault="0096387C" w:rsidP="0096387C">
      <w:pPr>
        <w:spacing w:before="240" w:after="240" w:line="360" w:lineRule="auto"/>
        <w:ind w:right="50"/>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23B8E9E" w14:textId="77777777" w:rsidR="0096387C" w:rsidRPr="0034034E" w:rsidRDefault="0096387C" w:rsidP="0096387C">
      <w:pPr>
        <w:spacing w:before="120" w:after="120" w:line="259" w:lineRule="auto"/>
        <w:ind w:left="851" w:right="900"/>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“Artículo 49.</w:t>
      </w:r>
      <w:r w:rsidRPr="0034034E">
        <w:rPr>
          <w:rFonts w:ascii="Palatino Linotype" w:eastAsia="Palatino Linotype" w:hAnsi="Palatino Linotype" w:cs="Palatino Linotype"/>
          <w:i/>
          <w:sz w:val="22"/>
          <w:szCs w:val="22"/>
          <w:lang w:eastAsia="en-US"/>
        </w:rPr>
        <w:t xml:space="preserve"> </w:t>
      </w:r>
      <w:r w:rsidRPr="0034034E">
        <w:rPr>
          <w:rFonts w:ascii="Palatino Linotype" w:eastAsia="Palatino Linotype" w:hAnsi="Palatino Linotype" w:cs="Palatino Linotype"/>
          <w:b/>
          <w:i/>
          <w:sz w:val="22"/>
          <w:szCs w:val="22"/>
          <w:lang w:eastAsia="en-US"/>
        </w:rPr>
        <w:t>Los Comités de Transparencia</w:t>
      </w:r>
      <w:r w:rsidRPr="0034034E">
        <w:rPr>
          <w:rFonts w:ascii="Palatino Linotype" w:eastAsia="Palatino Linotype" w:hAnsi="Palatino Linotype" w:cs="Palatino Linotype"/>
          <w:i/>
          <w:sz w:val="22"/>
          <w:szCs w:val="22"/>
          <w:lang w:eastAsia="en-US"/>
        </w:rPr>
        <w:t xml:space="preserve"> tendrán las siguientes atribuciones:</w:t>
      </w:r>
    </w:p>
    <w:p w14:paraId="51DB1B10" w14:textId="77777777" w:rsidR="0096387C" w:rsidRPr="0034034E" w:rsidRDefault="0096387C" w:rsidP="0096387C">
      <w:pPr>
        <w:spacing w:before="120" w:after="120" w:line="259" w:lineRule="auto"/>
        <w:ind w:left="993" w:right="900"/>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VIII. Aprobar, modificar o revocar la clasificación de la información</w:t>
      </w:r>
      <w:r w:rsidRPr="0034034E">
        <w:rPr>
          <w:rFonts w:ascii="Palatino Linotype" w:eastAsia="Palatino Linotype" w:hAnsi="Palatino Linotype" w:cs="Palatino Linotype"/>
          <w:i/>
          <w:sz w:val="22"/>
          <w:szCs w:val="22"/>
          <w:lang w:eastAsia="en-US"/>
        </w:rPr>
        <w:t>…”</w:t>
      </w:r>
    </w:p>
    <w:p w14:paraId="5DAA2295" w14:textId="77777777" w:rsidR="0096387C" w:rsidRPr="0034034E" w:rsidRDefault="0096387C" w:rsidP="0096387C">
      <w:pPr>
        <w:spacing w:before="120" w:after="120" w:line="259" w:lineRule="auto"/>
        <w:ind w:left="851" w:right="900"/>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w:t>
      </w:r>
      <w:r w:rsidRPr="0034034E">
        <w:rPr>
          <w:rFonts w:ascii="Palatino Linotype" w:eastAsia="Palatino Linotype" w:hAnsi="Palatino Linotype" w:cs="Palatino Linotype"/>
          <w:b/>
          <w:i/>
          <w:sz w:val="22"/>
          <w:szCs w:val="22"/>
          <w:lang w:eastAsia="en-US"/>
        </w:rPr>
        <w:t>Artículo 53.</w:t>
      </w:r>
      <w:r w:rsidRPr="0034034E">
        <w:rPr>
          <w:rFonts w:ascii="Palatino Linotype" w:eastAsia="Palatino Linotype" w:hAnsi="Palatino Linotype" w:cs="Palatino Linotype"/>
          <w:i/>
          <w:sz w:val="22"/>
          <w:szCs w:val="22"/>
          <w:lang w:eastAsia="en-US"/>
        </w:rPr>
        <w:t xml:space="preserve"> Las </w:t>
      </w:r>
      <w:r w:rsidRPr="0034034E">
        <w:rPr>
          <w:rFonts w:ascii="Palatino Linotype" w:eastAsia="Palatino Linotype" w:hAnsi="Palatino Linotype" w:cs="Palatino Linotype"/>
          <w:b/>
          <w:i/>
          <w:sz w:val="22"/>
          <w:szCs w:val="22"/>
          <w:lang w:eastAsia="en-US"/>
        </w:rPr>
        <w:t>Unidades de Transparencia</w:t>
      </w:r>
      <w:r w:rsidRPr="0034034E">
        <w:rPr>
          <w:rFonts w:ascii="Palatino Linotype" w:eastAsia="Palatino Linotype" w:hAnsi="Palatino Linotype" w:cs="Palatino Linotype"/>
          <w:i/>
          <w:sz w:val="22"/>
          <w:szCs w:val="22"/>
          <w:lang w:eastAsia="en-US"/>
        </w:rPr>
        <w:t xml:space="preserve"> tendrán las siguientes </w:t>
      </w:r>
      <w:r w:rsidRPr="0034034E">
        <w:rPr>
          <w:rFonts w:ascii="Palatino Linotype" w:eastAsia="Palatino Linotype" w:hAnsi="Palatino Linotype" w:cs="Palatino Linotype"/>
          <w:b/>
          <w:i/>
          <w:sz w:val="22"/>
          <w:szCs w:val="22"/>
          <w:lang w:eastAsia="en-US"/>
        </w:rPr>
        <w:t>funciones</w:t>
      </w:r>
      <w:r w:rsidRPr="0034034E">
        <w:rPr>
          <w:rFonts w:ascii="Palatino Linotype" w:eastAsia="Palatino Linotype" w:hAnsi="Palatino Linotype" w:cs="Palatino Linotype"/>
          <w:i/>
          <w:sz w:val="22"/>
          <w:szCs w:val="22"/>
          <w:lang w:eastAsia="en-US"/>
        </w:rPr>
        <w:t>:</w:t>
      </w:r>
    </w:p>
    <w:p w14:paraId="62FD8BF0" w14:textId="77777777" w:rsidR="0096387C" w:rsidRPr="0034034E" w:rsidRDefault="0096387C" w:rsidP="0096387C">
      <w:pPr>
        <w:spacing w:before="120" w:after="120" w:line="259" w:lineRule="auto"/>
        <w:ind w:left="993" w:right="900"/>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X. Presentar ante el Comité, el proyecto de clasificación de información</w:t>
      </w:r>
      <w:r w:rsidRPr="0034034E">
        <w:rPr>
          <w:rFonts w:ascii="Palatino Linotype" w:eastAsia="Palatino Linotype" w:hAnsi="Palatino Linotype" w:cs="Palatino Linotype"/>
          <w:i/>
          <w:sz w:val="22"/>
          <w:szCs w:val="22"/>
          <w:lang w:eastAsia="en-US"/>
        </w:rPr>
        <w:t xml:space="preserve">…” </w:t>
      </w:r>
    </w:p>
    <w:p w14:paraId="33EE5FEA" w14:textId="77777777" w:rsidR="0096387C" w:rsidRPr="0034034E" w:rsidRDefault="0096387C" w:rsidP="0096387C">
      <w:pPr>
        <w:spacing w:before="120" w:after="120" w:line="259" w:lineRule="auto"/>
        <w:ind w:left="851" w:right="900"/>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“Artículo 59.</w:t>
      </w:r>
      <w:r w:rsidRPr="0034034E">
        <w:rPr>
          <w:rFonts w:ascii="Palatino Linotype" w:eastAsia="Palatino Linotype" w:hAnsi="Palatino Linotype" w:cs="Palatino Linotype"/>
          <w:i/>
          <w:sz w:val="22"/>
          <w:szCs w:val="22"/>
          <w:lang w:eastAsia="en-US"/>
        </w:rPr>
        <w:t xml:space="preserve"> Los </w:t>
      </w:r>
      <w:r w:rsidRPr="0034034E">
        <w:rPr>
          <w:rFonts w:ascii="Palatino Linotype" w:eastAsia="Palatino Linotype" w:hAnsi="Palatino Linotype" w:cs="Palatino Linotype"/>
          <w:b/>
          <w:i/>
          <w:sz w:val="22"/>
          <w:szCs w:val="22"/>
          <w:lang w:eastAsia="en-US"/>
        </w:rPr>
        <w:t>servidores públicos habilitados</w:t>
      </w:r>
      <w:r w:rsidRPr="0034034E">
        <w:rPr>
          <w:rFonts w:ascii="Palatino Linotype" w:eastAsia="Palatino Linotype" w:hAnsi="Palatino Linotype" w:cs="Palatino Linotype"/>
          <w:i/>
          <w:sz w:val="22"/>
          <w:szCs w:val="22"/>
          <w:lang w:eastAsia="en-US"/>
        </w:rPr>
        <w:t xml:space="preserve"> tendrán las </w:t>
      </w:r>
      <w:r w:rsidRPr="0034034E">
        <w:rPr>
          <w:rFonts w:ascii="Palatino Linotype" w:eastAsia="Palatino Linotype" w:hAnsi="Palatino Linotype" w:cs="Palatino Linotype"/>
          <w:b/>
          <w:i/>
          <w:sz w:val="22"/>
          <w:szCs w:val="22"/>
          <w:lang w:eastAsia="en-US"/>
        </w:rPr>
        <w:t>funciones</w:t>
      </w:r>
      <w:r w:rsidRPr="0034034E">
        <w:rPr>
          <w:rFonts w:ascii="Palatino Linotype" w:eastAsia="Palatino Linotype" w:hAnsi="Palatino Linotype" w:cs="Palatino Linotype"/>
          <w:i/>
          <w:sz w:val="22"/>
          <w:szCs w:val="22"/>
          <w:lang w:eastAsia="en-US"/>
        </w:rPr>
        <w:t xml:space="preserve"> siguientes:</w:t>
      </w:r>
    </w:p>
    <w:p w14:paraId="5AE252CC" w14:textId="77777777" w:rsidR="0096387C" w:rsidRPr="0034034E" w:rsidRDefault="0096387C" w:rsidP="0096387C">
      <w:pPr>
        <w:spacing w:before="120" w:after="120" w:line="259" w:lineRule="auto"/>
        <w:ind w:left="851" w:right="900"/>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34034E">
        <w:rPr>
          <w:rFonts w:ascii="Palatino Linotype" w:eastAsia="Palatino Linotype" w:hAnsi="Palatino Linotype" w:cs="Palatino Linotype"/>
          <w:i/>
          <w:sz w:val="22"/>
          <w:szCs w:val="22"/>
          <w:lang w:eastAsia="en-US"/>
        </w:rPr>
        <w:t>, la cual tendrá los fundamentos y argumentos en que se basa dicha propuesta…”</w:t>
      </w:r>
    </w:p>
    <w:p w14:paraId="378F3E31"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w:t>
      </w:r>
      <w:r w:rsidRPr="0034034E">
        <w:rPr>
          <w:rFonts w:ascii="Palatino Linotype" w:eastAsia="Palatino Linotype" w:hAnsi="Palatino Linotype" w:cs="Palatino Linotype"/>
          <w:sz w:val="22"/>
          <w:szCs w:val="22"/>
          <w:lang w:eastAsia="en-US"/>
        </w:rPr>
        <w:lastRenderedPageBreak/>
        <w:t>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D51AEBA"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14:paraId="11A8CFA5" w14:textId="77777777" w:rsidR="0096387C" w:rsidRPr="0034034E" w:rsidRDefault="0096387C" w:rsidP="0096387C">
      <w:pPr>
        <w:spacing w:after="240" w:line="259" w:lineRule="auto"/>
        <w:ind w:left="851" w:right="900"/>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w:t>
      </w:r>
      <w:r w:rsidRPr="0034034E">
        <w:rPr>
          <w:rFonts w:ascii="Palatino Linotype" w:eastAsia="Palatino Linotype" w:hAnsi="Palatino Linotype" w:cs="Palatino Linotype"/>
          <w:b/>
          <w:i/>
          <w:sz w:val="22"/>
          <w:szCs w:val="22"/>
          <w:lang w:eastAsia="en-US"/>
        </w:rPr>
        <w:t>Artículo 149.</w:t>
      </w:r>
      <w:r w:rsidRPr="0034034E">
        <w:rPr>
          <w:rFonts w:ascii="Palatino Linotype" w:eastAsia="Palatino Linotype" w:hAnsi="Palatino Linotype" w:cs="Palatino Linotype"/>
          <w:i/>
          <w:sz w:val="22"/>
          <w:szCs w:val="22"/>
          <w:lang w:eastAsia="en-US"/>
        </w:rPr>
        <w:t xml:space="preserve"> El </w:t>
      </w:r>
      <w:r w:rsidRPr="0034034E">
        <w:rPr>
          <w:rFonts w:ascii="Palatino Linotype" w:eastAsia="Palatino Linotype" w:hAnsi="Palatino Linotype" w:cs="Palatino Linotype"/>
          <w:b/>
          <w:i/>
          <w:sz w:val="22"/>
          <w:szCs w:val="22"/>
          <w:lang w:eastAsia="en-US"/>
        </w:rPr>
        <w:t>acuerdo que clasifique la información como confidencial</w:t>
      </w:r>
      <w:r w:rsidRPr="0034034E">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(Sic)</w:t>
      </w:r>
    </w:p>
    <w:p w14:paraId="143297A7" w14:textId="77777777" w:rsidR="0096387C" w:rsidRPr="0034034E" w:rsidRDefault="0096387C" w:rsidP="0096387C">
      <w:pPr>
        <w:spacing w:before="240" w:after="240" w:line="360" w:lineRule="auto"/>
        <w:ind w:right="51"/>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 xml:space="preserve">Es decir, el </w:t>
      </w:r>
      <w:r w:rsidRPr="0034034E">
        <w:rPr>
          <w:rFonts w:ascii="Palatino Linotype" w:eastAsia="Palatino Linotype" w:hAnsi="Palatino Linotype" w:cs="Palatino Linotype"/>
          <w:b/>
          <w:sz w:val="22"/>
          <w:szCs w:val="22"/>
          <w:lang w:eastAsia="en-US"/>
        </w:rPr>
        <w:t>Sujeto Obligado</w:t>
      </w:r>
      <w:r w:rsidRPr="0034034E">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3F0A9AC" w14:textId="77777777" w:rsidR="0096387C" w:rsidRPr="0034034E" w:rsidRDefault="0096387C" w:rsidP="0096387C">
      <w:pPr>
        <w:spacing w:before="240" w:after="240" w:line="360" w:lineRule="auto"/>
        <w:ind w:right="49"/>
        <w:jc w:val="both"/>
        <w:rPr>
          <w:rFonts w:ascii="Palatino Linotype" w:eastAsia="Palatino Linotype" w:hAnsi="Palatino Linotype" w:cs="Palatino Linotype"/>
          <w:sz w:val="22"/>
          <w:szCs w:val="22"/>
          <w:lang w:eastAsia="en-US"/>
        </w:rPr>
      </w:pPr>
      <w:r w:rsidRPr="0034034E">
        <w:rPr>
          <w:rFonts w:ascii="Palatino Linotype" w:eastAsia="Palatino Linotype" w:hAnsi="Palatino Linotype" w:cs="Palatino Linotype"/>
          <w:sz w:val="22"/>
          <w:szCs w:val="22"/>
          <w:lang w:eastAsia="en-US"/>
        </w:rPr>
        <w:t xml:space="preserve">Por último, respecto a la versión pública de los documentos que contenga la información solicitada, cabe señalar que el Comité de Transparencia del </w:t>
      </w:r>
      <w:r w:rsidRPr="0034034E">
        <w:rPr>
          <w:rFonts w:ascii="Palatino Linotype" w:eastAsia="Palatino Linotype" w:hAnsi="Palatino Linotype" w:cs="Palatino Linotype"/>
          <w:b/>
          <w:sz w:val="22"/>
          <w:szCs w:val="22"/>
          <w:lang w:eastAsia="en-US"/>
        </w:rPr>
        <w:t>Sujeto Obligado</w:t>
      </w:r>
      <w:r w:rsidRPr="0034034E">
        <w:rPr>
          <w:rFonts w:ascii="Palatino Linotype" w:eastAsia="Palatino Linotype" w:hAnsi="Palatino Linotype" w:cs="Palatino Linotype"/>
          <w:sz w:val="22"/>
          <w:szCs w:val="22"/>
          <w:lang w:eastAsia="en-US"/>
        </w:rPr>
        <w:t xml:space="preserve">,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w:t>
      </w:r>
      <w:r w:rsidRPr="0034034E">
        <w:rPr>
          <w:rFonts w:ascii="Palatino Linotype" w:eastAsia="Palatino Linotype" w:hAnsi="Palatino Linotype" w:cs="Palatino Linotype"/>
          <w:sz w:val="22"/>
          <w:szCs w:val="22"/>
          <w:lang w:eastAsia="en-US"/>
        </w:rPr>
        <w:lastRenderedPageBreak/>
        <w:t>Clasificación y Desclasificación de la Información, así como para la elaboración de Versiones Públicas”, que literalmente expresan:</w:t>
      </w:r>
    </w:p>
    <w:p w14:paraId="72AA1AAD"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b/>
          <w:i/>
          <w:sz w:val="21"/>
          <w:szCs w:val="21"/>
          <w:lang w:eastAsia="en-US"/>
        </w:rPr>
      </w:pPr>
      <w:bookmarkStart w:id="5" w:name="_heading=h.1t3h5sf" w:colFirst="0" w:colLast="0"/>
      <w:bookmarkEnd w:id="5"/>
      <w:r w:rsidRPr="0034034E">
        <w:rPr>
          <w:rFonts w:ascii="Palatino Linotype" w:eastAsia="Palatino Linotype" w:hAnsi="Palatino Linotype" w:cs="Palatino Linotype"/>
          <w:i/>
          <w:sz w:val="21"/>
          <w:szCs w:val="21"/>
          <w:lang w:eastAsia="en-US"/>
        </w:rPr>
        <w:t>“</w:t>
      </w:r>
      <w:r w:rsidRPr="0034034E">
        <w:rPr>
          <w:rFonts w:ascii="Palatino Linotype" w:eastAsia="Palatino Linotype" w:hAnsi="Palatino Linotype" w:cs="Palatino Linotype"/>
          <w:b/>
          <w:i/>
          <w:sz w:val="21"/>
          <w:szCs w:val="21"/>
          <w:lang w:eastAsia="en-US"/>
        </w:rPr>
        <w:t>Artículo 132.</w:t>
      </w:r>
      <w:r w:rsidRPr="0034034E">
        <w:rPr>
          <w:rFonts w:ascii="Palatino Linotype" w:eastAsia="Palatino Linotype" w:hAnsi="Palatino Linotype" w:cs="Palatino Linotype"/>
          <w:i/>
          <w:sz w:val="21"/>
          <w:szCs w:val="21"/>
          <w:lang w:eastAsia="en-US"/>
        </w:rPr>
        <w:t xml:space="preserve"> </w:t>
      </w:r>
      <w:r w:rsidRPr="0034034E">
        <w:rPr>
          <w:rFonts w:ascii="Palatino Linotype" w:eastAsia="Palatino Linotype" w:hAnsi="Palatino Linotype" w:cs="Palatino Linotype"/>
          <w:b/>
          <w:i/>
          <w:sz w:val="21"/>
          <w:szCs w:val="21"/>
          <w:lang w:eastAsia="en-US"/>
        </w:rPr>
        <w:t>La clasificación de la información se llevará a cabo en el momento en que:</w:t>
      </w:r>
    </w:p>
    <w:p w14:paraId="02CE4DF8" w14:textId="77777777" w:rsidR="0096387C" w:rsidRPr="0034034E" w:rsidRDefault="0096387C" w:rsidP="0096387C">
      <w:pPr>
        <w:tabs>
          <w:tab w:val="left" w:pos="8222"/>
        </w:tabs>
        <w:spacing w:before="120" w:after="120" w:line="259" w:lineRule="auto"/>
        <w:ind w:left="1134"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i/>
          <w:sz w:val="21"/>
          <w:szCs w:val="21"/>
          <w:lang w:eastAsia="en-US"/>
        </w:rPr>
        <w:t>…</w:t>
      </w:r>
    </w:p>
    <w:p w14:paraId="3F91E4F5" w14:textId="77777777" w:rsidR="0096387C" w:rsidRPr="0034034E" w:rsidRDefault="0096387C" w:rsidP="0096387C">
      <w:pPr>
        <w:tabs>
          <w:tab w:val="left" w:pos="8222"/>
        </w:tabs>
        <w:spacing w:before="120" w:after="120" w:line="259" w:lineRule="auto"/>
        <w:ind w:left="1134"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b/>
          <w:i/>
          <w:sz w:val="21"/>
          <w:szCs w:val="21"/>
          <w:lang w:eastAsia="en-US"/>
        </w:rPr>
        <w:t>II.</w:t>
      </w:r>
      <w:r w:rsidRPr="0034034E">
        <w:rPr>
          <w:rFonts w:ascii="Palatino Linotype" w:eastAsia="Palatino Linotype" w:hAnsi="Palatino Linotype" w:cs="Palatino Linotype"/>
          <w:i/>
          <w:sz w:val="21"/>
          <w:szCs w:val="21"/>
          <w:lang w:eastAsia="en-US"/>
        </w:rPr>
        <w:t xml:space="preserve"> Se determine mediante resolución de autoridad competente; o</w:t>
      </w:r>
    </w:p>
    <w:p w14:paraId="5B0957E2" w14:textId="77777777" w:rsidR="0096387C" w:rsidRPr="0034034E" w:rsidRDefault="0096387C" w:rsidP="0096387C">
      <w:pPr>
        <w:tabs>
          <w:tab w:val="left" w:pos="8222"/>
        </w:tabs>
        <w:spacing w:before="120" w:after="120" w:line="259" w:lineRule="auto"/>
        <w:ind w:left="1134"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b/>
          <w:i/>
          <w:sz w:val="21"/>
          <w:szCs w:val="21"/>
          <w:lang w:eastAsia="en-US"/>
        </w:rPr>
        <w:t>III</w:t>
      </w:r>
      <w:r w:rsidRPr="0034034E">
        <w:rPr>
          <w:rFonts w:ascii="Palatino Linotype" w:eastAsia="Palatino Linotype" w:hAnsi="Palatino Linotype" w:cs="Palatino Linotype"/>
          <w:i/>
          <w:sz w:val="21"/>
          <w:szCs w:val="21"/>
          <w:lang w:eastAsia="en-US"/>
        </w:rPr>
        <w:t xml:space="preserve">. </w:t>
      </w:r>
      <w:r w:rsidRPr="0034034E">
        <w:rPr>
          <w:rFonts w:ascii="Palatino Linotype" w:eastAsia="Palatino Linotype" w:hAnsi="Palatino Linotype" w:cs="Palatino Linotype"/>
          <w:b/>
          <w:i/>
          <w:sz w:val="21"/>
          <w:szCs w:val="21"/>
          <w:lang w:eastAsia="en-US"/>
        </w:rPr>
        <w:t>Se generen versiones públicas para dar cumplimiento a las obligaciones de transparencia previstas en esta Ley</w:t>
      </w:r>
      <w:r w:rsidRPr="0034034E">
        <w:rPr>
          <w:rFonts w:ascii="Palatino Linotype" w:eastAsia="Palatino Linotype" w:hAnsi="Palatino Linotype" w:cs="Palatino Linotype"/>
          <w:i/>
          <w:sz w:val="21"/>
          <w:szCs w:val="21"/>
          <w:lang w:eastAsia="en-US"/>
        </w:rPr>
        <w:t>.”</w:t>
      </w:r>
    </w:p>
    <w:p w14:paraId="107D5185"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i/>
          <w:sz w:val="21"/>
          <w:szCs w:val="21"/>
          <w:lang w:eastAsia="en-US"/>
        </w:rPr>
        <w:t>“</w:t>
      </w:r>
      <w:r w:rsidRPr="0034034E">
        <w:rPr>
          <w:rFonts w:ascii="Palatino Linotype" w:eastAsia="Palatino Linotype" w:hAnsi="Palatino Linotype" w:cs="Palatino Linotype"/>
          <w:b/>
          <w:i/>
          <w:sz w:val="21"/>
          <w:szCs w:val="21"/>
          <w:lang w:eastAsia="en-US"/>
        </w:rPr>
        <w:t>Segundo.-</w:t>
      </w:r>
      <w:r w:rsidRPr="0034034E">
        <w:rPr>
          <w:rFonts w:ascii="Palatino Linotype" w:eastAsia="Palatino Linotype" w:hAnsi="Palatino Linotype" w:cs="Palatino Linotype"/>
          <w:i/>
          <w:sz w:val="21"/>
          <w:szCs w:val="21"/>
          <w:lang w:eastAsia="en-US"/>
        </w:rPr>
        <w:t xml:space="preserve"> Para efectos de los presentes Lineamientos Generales, se entenderá por:</w:t>
      </w:r>
    </w:p>
    <w:p w14:paraId="32AD1BAE" w14:textId="77777777" w:rsidR="0096387C" w:rsidRPr="0034034E" w:rsidRDefault="0096387C" w:rsidP="0096387C">
      <w:pPr>
        <w:tabs>
          <w:tab w:val="left" w:pos="8222"/>
        </w:tabs>
        <w:spacing w:before="120" w:after="120" w:line="259" w:lineRule="auto"/>
        <w:ind w:left="1134"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b/>
          <w:i/>
          <w:sz w:val="21"/>
          <w:szCs w:val="21"/>
          <w:lang w:eastAsia="en-US"/>
        </w:rPr>
        <w:t>XVIII.</w:t>
      </w:r>
      <w:r w:rsidRPr="0034034E">
        <w:rPr>
          <w:rFonts w:ascii="Palatino Linotype" w:eastAsia="Palatino Linotype" w:hAnsi="Palatino Linotype" w:cs="Palatino Linotype"/>
          <w:i/>
          <w:sz w:val="21"/>
          <w:szCs w:val="21"/>
          <w:lang w:eastAsia="en-US"/>
        </w:rPr>
        <w:t xml:space="preserve"> </w:t>
      </w:r>
      <w:r w:rsidRPr="0034034E">
        <w:rPr>
          <w:rFonts w:ascii="Palatino Linotype" w:eastAsia="Palatino Linotype" w:hAnsi="Palatino Linotype" w:cs="Palatino Linotype"/>
          <w:b/>
          <w:i/>
          <w:sz w:val="21"/>
          <w:szCs w:val="21"/>
          <w:lang w:eastAsia="en-US"/>
        </w:rPr>
        <w:t>Versión pública:</w:t>
      </w:r>
      <w:r w:rsidRPr="0034034E">
        <w:rPr>
          <w:rFonts w:ascii="Palatino Linotype" w:eastAsia="Palatino Linotype" w:hAnsi="Palatino Linotype" w:cs="Palatino Linotype"/>
          <w:i/>
          <w:sz w:val="21"/>
          <w:szCs w:val="21"/>
          <w:lang w:eastAsia="en-US"/>
        </w:rPr>
        <w:t xml:space="preserve"> El documento a partir del que se otorga acceso a la información, en el que se testan partes o secciones clasificadas, indicando el contenido de éstas de manera genérica, </w:t>
      </w:r>
      <w:r w:rsidRPr="0034034E">
        <w:rPr>
          <w:rFonts w:ascii="Palatino Linotype" w:eastAsia="Palatino Linotype" w:hAnsi="Palatino Linotype" w:cs="Palatino Linotype"/>
          <w:b/>
          <w:i/>
          <w:sz w:val="21"/>
          <w:szCs w:val="21"/>
          <w:lang w:eastAsia="en-US"/>
        </w:rPr>
        <w:t>fundando y motivando la</w:t>
      </w:r>
      <w:r w:rsidRPr="0034034E">
        <w:rPr>
          <w:rFonts w:ascii="Palatino Linotype" w:eastAsia="Palatino Linotype" w:hAnsi="Palatino Linotype" w:cs="Palatino Linotype"/>
          <w:i/>
          <w:sz w:val="21"/>
          <w:szCs w:val="21"/>
          <w:lang w:eastAsia="en-US"/>
        </w:rPr>
        <w:t xml:space="preserve"> reserva o </w:t>
      </w:r>
      <w:r w:rsidRPr="0034034E">
        <w:rPr>
          <w:rFonts w:ascii="Palatino Linotype" w:eastAsia="Palatino Linotype" w:hAnsi="Palatino Linotype" w:cs="Palatino Linotype"/>
          <w:b/>
          <w:i/>
          <w:sz w:val="21"/>
          <w:szCs w:val="21"/>
          <w:lang w:eastAsia="en-US"/>
        </w:rPr>
        <w:t>confidencialidad</w:t>
      </w:r>
      <w:r w:rsidRPr="0034034E">
        <w:rPr>
          <w:rFonts w:ascii="Palatino Linotype" w:eastAsia="Palatino Linotype" w:hAnsi="Palatino Linotype" w:cs="Palatino Linotype"/>
          <w:i/>
          <w:sz w:val="21"/>
          <w:szCs w:val="21"/>
          <w:lang w:eastAsia="en-US"/>
        </w:rPr>
        <w:t>, a través de la resolución que para tal efecto emita el Comité de Transparencia.</w:t>
      </w:r>
    </w:p>
    <w:p w14:paraId="360BBD2D"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b/>
          <w:i/>
          <w:sz w:val="21"/>
          <w:szCs w:val="21"/>
          <w:lang w:eastAsia="en-US"/>
        </w:rPr>
        <w:t>Cuarto.</w:t>
      </w:r>
      <w:r w:rsidRPr="0034034E">
        <w:rPr>
          <w:rFonts w:ascii="Palatino Linotype" w:eastAsia="Palatino Linotype" w:hAnsi="Palatino Linotype" w:cs="Palatino Linotype"/>
          <w:i/>
          <w:sz w:val="21"/>
          <w:szCs w:val="21"/>
          <w:lang w:eastAsia="en-US"/>
        </w:rPr>
        <w:t xml:space="preserve"> </w:t>
      </w:r>
      <w:r w:rsidRPr="0034034E">
        <w:rPr>
          <w:rFonts w:ascii="Palatino Linotype" w:eastAsia="Palatino Linotype" w:hAnsi="Palatino Linotype" w:cs="Palatino Linotype"/>
          <w:b/>
          <w:i/>
          <w:sz w:val="21"/>
          <w:szCs w:val="21"/>
          <w:lang w:eastAsia="en-US"/>
        </w:rPr>
        <w:t>Para clasificar la información como</w:t>
      </w:r>
      <w:r w:rsidRPr="0034034E">
        <w:rPr>
          <w:rFonts w:ascii="Palatino Linotype" w:eastAsia="Palatino Linotype" w:hAnsi="Palatino Linotype" w:cs="Palatino Linotype"/>
          <w:i/>
          <w:sz w:val="21"/>
          <w:szCs w:val="21"/>
          <w:lang w:eastAsia="en-US"/>
        </w:rPr>
        <w:t xml:space="preserve"> reservada o </w:t>
      </w:r>
      <w:r w:rsidRPr="0034034E">
        <w:rPr>
          <w:rFonts w:ascii="Palatino Linotype" w:eastAsia="Palatino Linotype" w:hAnsi="Palatino Linotype" w:cs="Palatino Linotype"/>
          <w:b/>
          <w:i/>
          <w:sz w:val="21"/>
          <w:szCs w:val="21"/>
          <w:lang w:eastAsia="en-US"/>
        </w:rPr>
        <w:t>confidencial, de manera total o parcial, el titular del área del sujeto obligado deberá atender lo dispuesto por el Título Sexto de la Ley General</w:t>
      </w:r>
      <w:r w:rsidRPr="0034034E">
        <w:rPr>
          <w:rFonts w:ascii="Palatino Linotype" w:eastAsia="Palatino Linotype" w:hAnsi="Palatino Linotype" w:cs="Palatino Linotype"/>
          <w:i/>
          <w:sz w:val="21"/>
          <w:szCs w:val="21"/>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B652E74"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i/>
          <w:sz w:val="21"/>
          <w:szCs w:val="21"/>
          <w:lang w:eastAsia="en-US"/>
        </w:rPr>
        <w:t>Los sujetos obligados deberán aplicar, de manera estricta, las excepciones al derecho de acceso a la información y sólo podrán invocarlas cuando acrediten su procedencia.</w:t>
      </w:r>
    </w:p>
    <w:p w14:paraId="73B40070"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b/>
          <w:i/>
          <w:sz w:val="21"/>
          <w:szCs w:val="21"/>
          <w:lang w:eastAsia="en-US"/>
        </w:rPr>
        <w:t>Quinto.</w:t>
      </w:r>
      <w:r w:rsidRPr="0034034E">
        <w:rPr>
          <w:rFonts w:ascii="Palatino Linotype" w:eastAsia="Palatino Linotype" w:hAnsi="Palatino Linotype" w:cs="Palatino Linotype"/>
          <w:i/>
          <w:sz w:val="21"/>
          <w:szCs w:val="21"/>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81C2E5"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b/>
          <w:i/>
          <w:sz w:val="21"/>
          <w:szCs w:val="21"/>
          <w:lang w:eastAsia="en-US"/>
        </w:rPr>
        <w:lastRenderedPageBreak/>
        <w:t>Sexto.</w:t>
      </w:r>
      <w:r w:rsidRPr="0034034E">
        <w:rPr>
          <w:rFonts w:ascii="Palatino Linotype" w:eastAsia="Palatino Linotype" w:hAnsi="Palatino Linotype" w:cs="Palatino Linotype"/>
          <w:i/>
          <w:sz w:val="21"/>
          <w:szCs w:val="21"/>
          <w:lang w:eastAsia="en-U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C1EAEEC"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i/>
          <w:sz w:val="21"/>
          <w:szCs w:val="21"/>
          <w:lang w:eastAsia="en-US"/>
        </w:rPr>
        <w:t>La clasificación de información se realizará conforme a un análisis caso por caso, mediante la aplicación de la prueba de daño y de interés público.</w:t>
      </w:r>
    </w:p>
    <w:p w14:paraId="60296481"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b/>
          <w:i/>
          <w:sz w:val="21"/>
          <w:szCs w:val="21"/>
          <w:lang w:eastAsia="en-US"/>
        </w:rPr>
        <w:t>Séptimo.</w:t>
      </w:r>
      <w:r w:rsidRPr="0034034E">
        <w:rPr>
          <w:rFonts w:ascii="Palatino Linotype" w:eastAsia="Palatino Linotype" w:hAnsi="Palatino Linotype" w:cs="Palatino Linotype"/>
          <w:i/>
          <w:sz w:val="21"/>
          <w:szCs w:val="21"/>
          <w:lang w:eastAsia="en-US"/>
        </w:rPr>
        <w:t xml:space="preserve"> La clasificación de la información se llevará a cabo en el momento en que:</w:t>
      </w:r>
    </w:p>
    <w:p w14:paraId="2F01A1B9" w14:textId="77777777" w:rsidR="0096387C" w:rsidRPr="0034034E" w:rsidRDefault="0096387C" w:rsidP="0096387C">
      <w:pPr>
        <w:tabs>
          <w:tab w:val="left" w:pos="8222"/>
        </w:tabs>
        <w:spacing w:before="120" w:after="120" w:line="259" w:lineRule="auto"/>
        <w:ind w:left="1134"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b/>
          <w:i/>
          <w:sz w:val="21"/>
          <w:szCs w:val="21"/>
          <w:lang w:eastAsia="en-US"/>
        </w:rPr>
        <w:t>I.</w:t>
      </w:r>
      <w:r w:rsidRPr="0034034E">
        <w:rPr>
          <w:rFonts w:ascii="Palatino Linotype" w:eastAsia="Palatino Linotype" w:hAnsi="Palatino Linotype" w:cs="Palatino Linotype"/>
          <w:i/>
          <w:sz w:val="21"/>
          <w:szCs w:val="21"/>
          <w:lang w:eastAsia="en-US"/>
        </w:rPr>
        <w:t xml:space="preserve"> Se reciba una solicitud de acceso a la información;</w:t>
      </w:r>
    </w:p>
    <w:p w14:paraId="6CA60F85" w14:textId="77777777" w:rsidR="0096387C" w:rsidRPr="0034034E" w:rsidRDefault="0096387C" w:rsidP="0096387C">
      <w:pPr>
        <w:tabs>
          <w:tab w:val="left" w:pos="8222"/>
        </w:tabs>
        <w:spacing w:before="120" w:after="120" w:line="259" w:lineRule="auto"/>
        <w:ind w:left="1134"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b/>
          <w:i/>
          <w:sz w:val="21"/>
          <w:szCs w:val="21"/>
          <w:lang w:eastAsia="en-US"/>
        </w:rPr>
        <w:t>II.</w:t>
      </w:r>
      <w:r w:rsidRPr="0034034E">
        <w:rPr>
          <w:rFonts w:ascii="Palatino Linotype" w:eastAsia="Palatino Linotype" w:hAnsi="Palatino Linotype" w:cs="Palatino Linotype"/>
          <w:i/>
          <w:sz w:val="21"/>
          <w:szCs w:val="21"/>
          <w:lang w:eastAsia="en-US"/>
        </w:rPr>
        <w:t xml:space="preserve"> Se determine mediante resolución de autoridad competente, o</w:t>
      </w:r>
    </w:p>
    <w:p w14:paraId="39AE4EF0" w14:textId="77777777" w:rsidR="0096387C" w:rsidRPr="0034034E" w:rsidRDefault="0096387C" w:rsidP="0096387C">
      <w:pPr>
        <w:tabs>
          <w:tab w:val="left" w:pos="8222"/>
        </w:tabs>
        <w:spacing w:before="120" w:after="120" w:line="259" w:lineRule="auto"/>
        <w:ind w:left="1134"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b/>
          <w:i/>
          <w:sz w:val="21"/>
          <w:szCs w:val="21"/>
          <w:lang w:eastAsia="en-US"/>
        </w:rPr>
        <w:t>III.</w:t>
      </w:r>
      <w:r w:rsidRPr="0034034E">
        <w:rPr>
          <w:rFonts w:ascii="Palatino Linotype" w:eastAsia="Palatino Linotype" w:hAnsi="Palatino Linotype" w:cs="Palatino Linotype"/>
          <w:i/>
          <w:sz w:val="21"/>
          <w:szCs w:val="21"/>
          <w:lang w:eastAsia="en-US"/>
        </w:rPr>
        <w:t xml:space="preserve"> Se generen versiones públicas para dar cumplimiento a las obligaciones de transparencia previstas en la Ley General, la Ley Federal y las correspondientes de las entidades federativas.</w:t>
      </w:r>
    </w:p>
    <w:p w14:paraId="6F171D22"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i/>
          <w:sz w:val="21"/>
          <w:szCs w:val="21"/>
          <w:lang w:eastAsia="en-US"/>
        </w:rPr>
        <w:t>Los titulares de las áreas deberán revisar la clasificación al momento de la recepción de una solicitud de acceso a la información, para verificar si encuadra en una causal de reserva o de confidencialidad.</w:t>
      </w:r>
    </w:p>
    <w:p w14:paraId="64C59A49"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b/>
          <w:i/>
          <w:sz w:val="21"/>
          <w:szCs w:val="21"/>
          <w:lang w:eastAsia="en-US"/>
        </w:rPr>
        <w:t>Octavo.</w:t>
      </w:r>
      <w:r w:rsidRPr="0034034E">
        <w:rPr>
          <w:rFonts w:ascii="Palatino Linotype" w:eastAsia="Palatino Linotype" w:hAnsi="Palatino Linotype" w:cs="Palatino Linotype"/>
          <w:i/>
          <w:sz w:val="21"/>
          <w:szCs w:val="21"/>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BBCC2F5"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i/>
          <w:sz w:val="21"/>
          <w:szCs w:val="21"/>
          <w:lang w:eastAsia="en-US"/>
        </w:rPr>
        <w:t>Para motivar la clasificación se deberán señalar las razones o circunstancias especiales que lo llevaron a concluir que el caso particular se ajusta al supuesto previsto por la norma legal invocada como fundamento.</w:t>
      </w:r>
    </w:p>
    <w:p w14:paraId="638FDBB6"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i/>
          <w:sz w:val="21"/>
          <w:szCs w:val="21"/>
          <w:lang w:eastAsia="en-US"/>
        </w:rPr>
        <w:t>En caso de referirse a información reservada, la motivación de la clasificación también deberá comprender las circunstancias que justifican el establecimiento de determinado plazo de reserva.</w:t>
      </w:r>
    </w:p>
    <w:p w14:paraId="20ECC37D"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i/>
          <w:sz w:val="21"/>
          <w:szCs w:val="21"/>
          <w:lang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14:paraId="36145B3E"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i/>
          <w:sz w:val="21"/>
          <w:szCs w:val="21"/>
          <w:lang w:eastAsia="en-US"/>
        </w:rPr>
        <w:t>Los documentos contenidos en los archivos históricos y los identificados como históricos confidenciales no serán susceptibles de clasificación como reservados.</w:t>
      </w:r>
    </w:p>
    <w:p w14:paraId="45FD2247"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b/>
          <w:i/>
          <w:sz w:val="21"/>
          <w:szCs w:val="21"/>
          <w:lang w:eastAsia="en-US"/>
        </w:rPr>
        <w:t>Noveno.</w:t>
      </w:r>
      <w:r w:rsidRPr="0034034E">
        <w:rPr>
          <w:rFonts w:ascii="Palatino Linotype" w:eastAsia="Palatino Linotype" w:hAnsi="Palatino Linotype" w:cs="Palatino Linotype"/>
          <w:i/>
          <w:sz w:val="21"/>
          <w:szCs w:val="21"/>
          <w:lang w:eastAsia="en-US"/>
        </w:rPr>
        <w:t xml:space="preserve"> En los casos en que se solicite un documento o expediente que contenga partes o secciones clasificadas, los titulares de las áreas deberán elaborar una </w:t>
      </w:r>
      <w:r w:rsidRPr="0034034E">
        <w:rPr>
          <w:rFonts w:ascii="Palatino Linotype" w:eastAsia="Palatino Linotype" w:hAnsi="Palatino Linotype" w:cs="Palatino Linotype"/>
          <w:i/>
          <w:sz w:val="21"/>
          <w:szCs w:val="21"/>
          <w:lang w:eastAsia="en-US"/>
        </w:rPr>
        <w:lastRenderedPageBreak/>
        <w:t>versión pública fundando y motivando la clasificación de las partes o secciones que se testen, siguiendo los procedimientos establecidos en el Capítulo IX de los presentes lineamientos.</w:t>
      </w:r>
    </w:p>
    <w:p w14:paraId="1B18E5F2"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b/>
          <w:i/>
          <w:sz w:val="21"/>
          <w:szCs w:val="21"/>
          <w:lang w:eastAsia="en-US"/>
        </w:rPr>
        <w:t>Décimo.</w:t>
      </w:r>
      <w:r w:rsidRPr="0034034E">
        <w:rPr>
          <w:rFonts w:ascii="Palatino Linotype" w:eastAsia="Palatino Linotype" w:hAnsi="Palatino Linotype" w:cs="Palatino Linotype"/>
          <w:i/>
          <w:sz w:val="21"/>
          <w:szCs w:val="21"/>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53A3AD3"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i/>
          <w:sz w:val="21"/>
          <w:szCs w:val="21"/>
          <w:lang w:eastAsia="en-US"/>
        </w:rPr>
        <w:t>En ausencia de los titulares de las áreas, la información será clasificada o desclasificada por la persona que lo supla, en términos de la normativa que rija la actuación del sujeto obligado.</w:t>
      </w:r>
    </w:p>
    <w:p w14:paraId="45EF7630" w14:textId="77777777" w:rsidR="0096387C" w:rsidRPr="0034034E" w:rsidRDefault="0096387C" w:rsidP="0096387C">
      <w:pPr>
        <w:tabs>
          <w:tab w:val="left" w:pos="8222"/>
        </w:tabs>
        <w:spacing w:before="120" w:after="120" w:line="259" w:lineRule="auto"/>
        <w:ind w:left="851" w:right="1134"/>
        <w:jc w:val="both"/>
        <w:rPr>
          <w:rFonts w:ascii="Palatino Linotype" w:eastAsia="Palatino Linotype" w:hAnsi="Palatino Linotype" w:cs="Palatino Linotype"/>
          <w:i/>
          <w:sz w:val="21"/>
          <w:szCs w:val="21"/>
          <w:lang w:eastAsia="en-US"/>
        </w:rPr>
      </w:pPr>
      <w:r w:rsidRPr="0034034E">
        <w:rPr>
          <w:rFonts w:ascii="Palatino Linotype" w:eastAsia="Palatino Linotype" w:hAnsi="Palatino Linotype" w:cs="Palatino Linotype"/>
          <w:b/>
          <w:i/>
          <w:sz w:val="21"/>
          <w:szCs w:val="21"/>
          <w:lang w:eastAsia="en-US"/>
        </w:rPr>
        <w:t>Décimo primero.</w:t>
      </w:r>
      <w:r w:rsidRPr="0034034E">
        <w:rPr>
          <w:rFonts w:ascii="Palatino Linotype" w:eastAsia="Palatino Linotype" w:hAnsi="Palatino Linotype" w:cs="Palatino Linotype"/>
          <w:i/>
          <w:sz w:val="21"/>
          <w:szCs w:val="21"/>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E95D87F" w14:textId="77777777" w:rsidR="0096387C" w:rsidRPr="0034034E" w:rsidRDefault="0096387C" w:rsidP="0096387C">
      <w:pPr>
        <w:spacing w:before="240" w:after="240" w:line="360" w:lineRule="auto"/>
        <w:jc w:val="both"/>
        <w:rPr>
          <w:rFonts w:ascii="Palatino Linotype" w:eastAsia="Palatino Linotype" w:hAnsi="Palatino Linotype" w:cs="Palatino Linotype"/>
          <w:sz w:val="22"/>
          <w:szCs w:val="22"/>
          <w:lang w:eastAsia="en-US"/>
        </w:rPr>
      </w:pPr>
      <w:bookmarkStart w:id="6" w:name="_heading=h.4d34og8" w:colFirst="0" w:colLast="0"/>
      <w:bookmarkEnd w:id="6"/>
      <w:r w:rsidRPr="0034034E">
        <w:rPr>
          <w:rFonts w:ascii="Palatino Linotype" w:eastAsia="Palatino Linotype" w:hAnsi="Palatino Linotype" w:cs="Palatino Linotype"/>
          <w:sz w:val="22"/>
          <w:szCs w:val="22"/>
          <w:lang w:eastAsia="en-US"/>
        </w:rPr>
        <w:t xml:space="preserve">Asimismo, deberá observar los numerales Quincuagésimo tercero y Quincuagésimo quinto de los Lineamientos Generales en Materia de Clasificación y Desclasificación de la Información </w:t>
      </w:r>
      <w:proofErr w:type="spellStart"/>
      <w:r w:rsidRPr="0034034E">
        <w:rPr>
          <w:rFonts w:ascii="Palatino Linotype" w:eastAsia="Palatino Linotype" w:hAnsi="Palatino Linotype" w:cs="Palatino Linotype"/>
          <w:sz w:val="22"/>
          <w:szCs w:val="22"/>
          <w:lang w:eastAsia="en-US"/>
        </w:rPr>
        <w:t>supraindicados</w:t>
      </w:r>
      <w:proofErr w:type="spellEnd"/>
      <w:r w:rsidRPr="0034034E">
        <w:rPr>
          <w:rFonts w:ascii="Palatino Linotype" w:eastAsia="Palatino Linotype" w:hAnsi="Palatino Linotype" w:cs="Palatino Linotype"/>
          <w:sz w:val="22"/>
          <w:szCs w:val="22"/>
          <w:lang w:eastAsia="en-US"/>
        </w:rPr>
        <w:t xml:space="preserve">, que establecen los formatos para la clasificación parcial y total de los documentos, conforme a lo siguiente: </w:t>
      </w:r>
    </w:p>
    <w:p w14:paraId="259F3770" w14:textId="77777777" w:rsidR="0096387C" w:rsidRPr="0034034E" w:rsidRDefault="0096387C" w:rsidP="0096387C">
      <w:pPr>
        <w:spacing w:after="160" w:line="259" w:lineRule="auto"/>
        <w:ind w:left="851" w:right="900"/>
        <w:jc w:val="center"/>
        <w:rPr>
          <w:rFonts w:ascii="Palatino Linotype" w:eastAsia="Palatino Linotype" w:hAnsi="Palatino Linotype" w:cs="Palatino Linotype"/>
          <w:b/>
          <w:i/>
          <w:sz w:val="22"/>
          <w:szCs w:val="22"/>
          <w:lang w:eastAsia="en-US"/>
        </w:rPr>
      </w:pPr>
      <w:r w:rsidRPr="0034034E">
        <w:rPr>
          <w:rFonts w:ascii="Palatino Linotype" w:eastAsia="Palatino Linotype" w:hAnsi="Palatino Linotype" w:cs="Palatino Linotype"/>
          <w:b/>
          <w:i/>
          <w:sz w:val="22"/>
          <w:szCs w:val="22"/>
          <w:lang w:eastAsia="en-US"/>
        </w:rPr>
        <w:t>CAPÍTULO VIII</w:t>
      </w:r>
    </w:p>
    <w:p w14:paraId="681E791C" w14:textId="77777777" w:rsidR="0096387C" w:rsidRPr="0034034E" w:rsidRDefault="0096387C" w:rsidP="0096387C">
      <w:pPr>
        <w:spacing w:after="160" w:line="259" w:lineRule="auto"/>
        <w:ind w:left="851" w:right="900"/>
        <w:jc w:val="center"/>
        <w:rPr>
          <w:rFonts w:ascii="Palatino Linotype" w:eastAsia="Palatino Linotype" w:hAnsi="Palatino Linotype" w:cs="Palatino Linotype"/>
          <w:b/>
          <w:i/>
          <w:sz w:val="22"/>
          <w:szCs w:val="22"/>
          <w:lang w:eastAsia="en-US"/>
        </w:rPr>
      </w:pPr>
      <w:r w:rsidRPr="0034034E">
        <w:rPr>
          <w:rFonts w:ascii="Palatino Linotype" w:eastAsia="Palatino Linotype" w:hAnsi="Palatino Linotype" w:cs="Palatino Linotype"/>
          <w:b/>
          <w:i/>
          <w:sz w:val="22"/>
          <w:szCs w:val="22"/>
          <w:lang w:eastAsia="en-US"/>
        </w:rPr>
        <w:t>DE LA LEYENDA DE CLASIFICACIÓN</w:t>
      </w:r>
    </w:p>
    <w:p w14:paraId="74191490" w14:textId="77777777" w:rsidR="0096387C" w:rsidRPr="0034034E" w:rsidRDefault="0096387C" w:rsidP="0096387C">
      <w:pPr>
        <w:spacing w:after="160" w:line="259" w:lineRule="auto"/>
        <w:ind w:left="851" w:right="900"/>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w:t>
      </w:r>
    </w:p>
    <w:p w14:paraId="0136E003" w14:textId="77777777" w:rsidR="0096387C" w:rsidRPr="0034034E" w:rsidRDefault="0096387C" w:rsidP="0096387C">
      <w:pPr>
        <w:spacing w:after="160" w:line="259" w:lineRule="auto"/>
        <w:ind w:left="851" w:right="900"/>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 xml:space="preserve">Quincuagésimo tercero. </w:t>
      </w:r>
      <w:r w:rsidRPr="0034034E">
        <w:rPr>
          <w:rFonts w:ascii="Palatino Linotype" w:eastAsia="Palatino Linotype" w:hAnsi="Palatino Linotype" w:cs="Palatino Linotype"/>
          <w:b/>
          <w:i/>
          <w:sz w:val="22"/>
          <w:szCs w:val="22"/>
          <w:u w:val="single"/>
          <w:lang w:eastAsia="en-US"/>
        </w:rPr>
        <w:t>El formato para señalar la clasificación parcial de un documento</w:t>
      </w:r>
      <w:r w:rsidRPr="0034034E">
        <w:rPr>
          <w:rFonts w:ascii="Palatino Linotype" w:eastAsia="Palatino Linotype" w:hAnsi="Palatino Linotype" w:cs="Palatino Linotype"/>
          <w:i/>
          <w:sz w:val="22"/>
          <w:szCs w:val="22"/>
          <w:lang w:eastAsia="en-US"/>
        </w:rPr>
        <w:t>, es el siguiente:</w:t>
      </w:r>
    </w:p>
    <w:p w14:paraId="313C84C5" w14:textId="77777777" w:rsidR="0096387C" w:rsidRPr="0034034E" w:rsidRDefault="0096387C" w:rsidP="0096387C">
      <w:pPr>
        <w:spacing w:after="160" w:line="259" w:lineRule="auto"/>
        <w:ind w:left="851" w:right="900"/>
        <w:jc w:val="both"/>
        <w:rPr>
          <w:rFonts w:ascii="Palatino Linotype" w:eastAsia="Palatino Linotype" w:hAnsi="Palatino Linotype" w:cs="Palatino Linotype"/>
          <w:b/>
          <w:i/>
          <w:sz w:val="22"/>
          <w:szCs w:val="22"/>
          <w:lang w:eastAsia="en-US"/>
        </w:rPr>
      </w:pPr>
      <w:r w:rsidRPr="0034034E">
        <w:rPr>
          <w:rFonts w:ascii="Palatino Linotype" w:eastAsia="Palatino Linotype" w:hAnsi="Palatino Linotype" w:cs="Palatino Linotype"/>
          <w:b/>
          <w:i/>
          <w:sz w:val="22"/>
          <w:szCs w:val="22"/>
          <w:lang w:eastAsia="en-US"/>
        </w:rPr>
        <w:t>...</w:t>
      </w:r>
    </w:p>
    <w:p w14:paraId="79BE3D73" w14:textId="77777777" w:rsidR="0096387C" w:rsidRPr="0034034E" w:rsidRDefault="0096387C" w:rsidP="0096387C">
      <w:pPr>
        <w:spacing w:after="160" w:line="259" w:lineRule="auto"/>
        <w:ind w:left="851" w:right="900"/>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b/>
          <w:i/>
          <w:sz w:val="22"/>
          <w:szCs w:val="22"/>
          <w:lang w:eastAsia="en-US"/>
        </w:rPr>
        <w:t>Quincuagésimo quinto</w:t>
      </w:r>
      <w:r w:rsidRPr="0034034E">
        <w:rPr>
          <w:rFonts w:ascii="Palatino Linotype" w:eastAsia="Palatino Linotype" w:hAnsi="Palatino Linotype" w:cs="Palatino Linotype"/>
          <w:i/>
          <w:sz w:val="22"/>
          <w:szCs w:val="22"/>
          <w:lang w:eastAsia="en-US"/>
        </w:rPr>
        <w:t>. Los documentos que integren un expediente reservado o confidencial en su totalidad no deberán marcarse en lo individual.</w:t>
      </w:r>
    </w:p>
    <w:p w14:paraId="12485FDA" w14:textId="77777777" w:rsidR="0096387C" w:rsidRPr="0034034E" w:rsidRDefault="0096387C" w:rsidP="0096387C">
      <w:pPr>
        <w:spacing w:after="160" w:line="259" w:lineRule="auto"/>
        <w:ind w:left="851" w:right="900"/>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t>Una vez desclasificados los expedientes, si existieren documentos que tuvieran el carácter de reservados o confidenciales, deberán ser marcados.</w:t>
      </w:r>
    </w:p>
    <w:p w14:paraId="7D91DBD3" w14:textId="77777777" w:rsidR="0096387C" w:rsidRPr="0034034E" w:rsidRDefault="0096387C" w:rsidP="0096387C">
      <w:pPr>
        <w:spacing w:after="160" w:line="259" w:lineRule="auto"/>
        <w:ind w:left="851" w:right="900"/>
        <w:jc w:val="both"/>
        <w:rPr>
          <w:rFonts w:ascii="Palatino Linotype" w:eastAsia="Palatino Linotype" w:hAnsi="Palatino Linotype" w:cs="Palatino Linotype"/>
          <w:i/>
          <w:sz w:val="22"/>
          <w:szCs w:val="22"/>
          <w:lang w:eastAsia="en-US"/>
        </w:rPr>
      </w:pPr>
      <w:r w:rsidRPr="0034034E">
        <w:rPr>
          <w:rFonts w:ascii="Palatino Linotype" w:eastAsia="Palatino Linotype" w:hAnsi="Palatino Linotype" w:cs="Palatino Linotype"/>
          <w:i/>
          <w:sz w:val="22"/>
          <w:szCs w:val="22"/>
          <w:lang w:eastAsia="en-US"/>
        </w:rPr>
        <w:lastRenderedPageBreak/>
        <w:t>El formato para señalar la clasificación de expedientes que por su naturaleza sean en su totalidad reservados o confidenciales, es el siguiente:”</w:t>
      </w:r>
    </w:p>
    <w:tbl>
      <w:tblPr>
        <w:tblStyle w:val="Tabladelista1clara-nfasis111"/>
        <w:tblW w:w="0" w:type="auto"/>
        <w:tblLayout w:type="fixed"/>
        <w:tblLook w:val="04A0" w:firstRow="1" w:lastRow="0" w:firstColumn="1" w:lastColumn="0" w:noHBand="0" w:noVBand="1"/>
      </w:tblPr>
      <w:tblGrid>
        <w:gridCol w:w="993"/>
        <w:gridCol w:w="3421"/>
        <w:gridCol w:w="968"/>
        <w:gridCol w:w="3446"/>
      </w:tblGrid>
      <w:tr w:rsidR="0096387C" w:rsidRPr="0034034E" w14:paraId="51D89425" w14:textId="77777777" w:rsidTr="00A02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FAB1F3E" w14:textId="77777777" w:rsidR="0096387C" w:rsidRPr="0034034E" w:rsidRDefault="0096387C" w:rsidP="0096387C">
            <w:pPr>
              <w:jc w:val="center"/>
              <w:rPr>
                <w:rFonts w:ascii="Palatino Linotype" w:hAnsi="Palatino Linotype"/>
                <w:sz w:val="12"/>
                <w:szCs w:val="12"/>
              </w:rPr>
            </w:pPr>
            <w:r w:rsidRPr="0034034E">
              <w:rPr>
                <w:rFonts w:ascii="Palatino Linotype" w:hAnsi="Palatino Linotype"/>
                <w:sz w:val="12"/>
                <w:szCs w:val="12"/>
              </w:rPr>
              <w:t>Parcial</w:t>
            </w:r>
          </w:p>
        </w:tc>
        <w:tc>
          <w:tcPr>
            <w:tcW w:w="4414" w:type="dxa"/>
            <w:gridSpan w:val="2"/>
          </w:tcPr>
          <w:p w14:paraId="42DA7573" w14:textId="77777777" w:rsidR="0096387C" w:rsidRPr="0034034E" w:rsidRDefault="0096387C" w:rsidP="0096387C">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Total</w:t>
            </w:r>
          </w:p>
        </w:tc>
      </w:tr>
      <w:tr w:rsidR="0096387C" w:rsidRPr="0034034E" w14:paraId="59B0CD5D" w14:textId="77777777" w:rsidTr="00A02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CB82156" w14:textId="77777777" w:rsidR="0096387C" w:rsidRPr="0034034E" w:rsidRDefault="0096387C" w:rsidP="0096387C">
            <w:pPr>
              <w:jc w:val="center"/>
              <w:rPr>
                <w:rFonts w:ascii="Palatino Linotype" w:hAnsi="Palatino Linotype"/>
                <w:sz w:val="12"/>
                <w:szCs w:val="12"/>
              </w:rPr>
            </w:pPr>
            <w:r w:rsidRPr="0034034E">
              <w:rPr>
                <w:rFonts w:ascii="Palatino Linotype" w:hAnsi="Palatino Linotype"/>
                <w:sz w:val="12"/>
                <w:szCs w:val="12"/>
              </w:rPr>
              <w:t>Concepto</w:t>
            </w:r>
          </w:p>
        </w:tc>
        <w:tc>
          <w:tcPr>
            <w:tcW w:w="3421" w:type="dxa"/>
          </w:tcPr>
          <w:p w14:paraId="3EE3CE89" w14:textId="77777777" w:rsidR="0096387C" w:rsidRPr="0034034E" w:rsidRDefault="0096387C" w:rsidP="0096387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4034E">
              <w:rPr>
                <w:rFonts w:ascii="Palatino Linotype" w:hAnsi="Palatino Linotype"/>
                <w:b/>
                <w:sz w:val="12"/>
                <w:szCs w:val="12"/>
              </w:rPr>
              <w:t>Dónde</w:t>
            </w:r>
          </w:p>
        </w:tc>
        <w:tc>
          <w:tcPr>
            <w:tcW w:w="968" w:type="dxa"/>
          </w:tcPr>
          <w:p w14:paraId="447745FF" w14:textId="77777777" w:rsidR="0096387C" w:rsidRPr="0034034E" w:rsidRDefault="0096387C" w:rsidP="0096387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4034E">
              <w:rPr>
                <w:rFonts w:ascii="Palatino Linotype" w:hAnsi="Palatino Linotype"/>
                <w:b/>
                <w:sz w:val="12"/>
                <w:szCs w:val="12"/>
              </w:rPr>
              <w:t>Concepto</w:t>
            </w:r>
          </w:p>
        </w:tc>
        <w:tc>
          <w:tcPr>
            <w:tcW w:w="3446" w:type="dxa"/>
          </w:tcPr>
          <w:p w14:paraId="2EC51484" w14:textId="77777777" w:rsidR="0096387C" w:rsidRPr="0034034E" w:rsidRDefault="0096387C" w:rsidP="0096387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4034E">
              <w:rPr>
                <w:rFonts w:ascii="Palatino Linotype" w:hAnsi="Palatino Linotype"/>
                <w:b/>
                <w:sz w:val="12"/>
                <w:szCs w:val="12"/>
              </w:rPr>
              <w:t>Dónde</w:t>
            </w:r>
          </w:p>
        </w:tc>
      </w:tr>
      <w:tr w:rsidR="0096387C" w:rsidRPr="0034034E" w14:paraId="5729FFE7" w14:textId="77777777" w:rsidTr="00A02181">
        <w:tc>
          <w:tcPr>
            <w:cnfStyle w:val="001000000000" w:firstRow="0" w:lastRow="0" w:firstColumn="1" w:lastColumn="0" w:oddVBand="0" w:evenVBand="0" w:oddHBand="0" w:evenHBand="0" w:firstRowFirstColumn="0" w:firstRowLastColumn="0" w:lastRowFirstColumn="0" w:lastRowLastColumn="0"/>
            <w:tcW w:w="8828" w:type="dxa"/>
            <w:gridSpan w:val="4"/>
          </w:tcPr>
          <w:p w14:paraId="6EC35893" w14:textId="77777777" w:rsidR="0096387C" w:rsidRPr="0034034E" w:rsidRDefault="0096387C" w:rsidP="0096387C">
            <w:pPr>
              <w:jc w:val="center"/>
              <w:rPr>
                <w:rFonts w:ascii="Palatino Linotype" w:hAnsi="Palatino Linotype"/>
                <w:sz w:val="12"/>
                <w:szCs w:val="12"/>
              </w:rPr>
            </w:pPr>
            <w:r w:rsidRPr="0034034E">
              <w:rPr>
                <w:rFonts w:ascii="Palatino Linotype" w:hAnsi="Palatino Linotype"/>
                <w:sz w:val="12"/>
                <w:szCs w:val="12"/>
              </w:rPr>
              <w:t>Sello oficial o logotipo del sujeto obligado</w:t>
            </w:r>
          </w:p>
        </w:tc>
      </w:tr>
      <w:tr w:rsidR="0096387C" w:rsidRPr="0034034E" w14:paraId="273F1AB6" w14:textId="77777777" w:rsidTr="00A02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14B2E8B" w14:textId="77777777" w:rsidR="0096387C" w:rsidRPr="0034034E" w:rsidRDefault="0096387C" w:rsidP="0096387C">
            <w:pPr>
              <w:jc w:val="both"/>
              <w:rPr>
                <w:rFonts w:ascii="Palatino Linotype" w:hAnsi="Palatino Linotype"/>
                <w:sz w:val="12"/>
                <w:szCs w:val="12"/>
              </w:rPr>
            </w:pPr>
            <w:r w:rsidRPr="0034034E">
              <w:rPr>
                <w:rFonts w:ascii="Palatino Linotype" w:hAnsi="Palatino Linotype"/>
                <w:sz w:val="12"/>
                <w:szCs w:val="12"/>
              </w:rPr>
              <w:t>Fecha de clasificación</w:t>
            </w:r>
          </w:p>
        </w:tc>
        <w:tc>
          <w:tcPr>
            <w:tcW w:w="3421" w:type="dxa"/>
          </w:tcPr>
          <w:p w14:paraId="3C453402"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Se anotará la fecha en la que el Comité de Transparencia confirmó la clasificación del documento, en su caso.</w:t>
            </w:r>
          </w:p>
        </w:tc>
        <w:tc>
          <w:tcPr>
            <w:tcW w:w="968" w:type="dxa"/>
          </w:tcPr>
          <w:p w14:paraId="45E8FC55"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4034E">
              <w:rPr>
                <w:rFonts w:ascii="Palatino Linotype" w:hAnsi="Palatino Linotype"/>
                <w:b/>
                <w:sz w:val="12"/>
                <w:szCs w:val="12"/>
              </w:rPr>
              <w:t>Fecha de clasificación</w:t>
            </w:r>
          </w:p>
        </w:tc>
        <w:tc>
          <w:tcPr>
            <w:tcW w:w="3446" w:type="dxa"/>
          </w:tcPr>
          <w:p w14:paraId="16251263"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Se anotará la fecha en la que el Comité de Transparencia confirmó la clasificación del documento, en su caso.</w:t>
            </w:r>
          </w:p>
        </w:tc>
      </w:tr>
      <w:tr w:rsidR="0096387C" w:rsidRPr="0034034E" w14:paraId="5B954A8B" w14:textId="77777777" w:rsidTr="00A02181">
        <w:tc>
          <w:tcPr>
            <w:cnfStyle w:val="001000000000" w:firstRow="0" w:lastRow="0" w:firstColumn="1" w:lastColumn="0" w:oddVBand="0" w:evenVBand="0" w:oddHBand="0" w:evenHBand="0" w:firstRowFirstColumn="0" w:firstRowLastColumn="0" w:lastRowFirstColumn="0" w:lastRowLastColumn="0"/>
            <w:tcW w:w="993" w:type="dxa"/>
          </w:tcPr>
          <w:p w14:paraId="3AF07B2E" w14:textId="77777777" w:rsidR="0096387C" w:rsidRPr="0034034E" w:rsidRDefault="0096387C" w:rsidP="0096387C">
            <w:pPr>
              <w:jc w:val="both"/>
              <w:rPr>
                <w:rFonts w:ascii="Palatino Linotype" w:hAnsi="Palatino Linotype"/>
                <w:sz w:val="12"/>
                <w:szCs w:val="12"/>
              </w:rPr>
            </w:pPr>
            <w:r w:rsidRPr="0034034E">
              <w:rPr>
                <w:rFonts w:ascii="Palatino Linotype" w:hAnsi="Palatino Linotype"/>
                <w:sz w:val="12"/>
                <w:szCs w:val="12"/>
              </w:rPr>
              <w:t>Área</w:t>
            </w:r>
          </w:p>
        </w:tc>
        <w:tc>
          <w:tcPr>
            <w:tcW w:w="3421" w:type="dxa"/>
          </w:tcPr>
          <w:p w14:paraId="36B25CFE"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Se señalará el nombre del área del cual es titular quien clasifica.</w:t>
            </w:r>
          </w:p>
        </w:tc>
        <w:tc>
          <w:tcPr>
            <w:tcW w:w="968" w:type="dxa"/>
          </w:tcPr>
          <w:p w14:paraId="73A64879"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4034E">
              <w:rPr>
                <w:rFonts w:ascii="Palatino Linotype" w:hAnsi="Palatino Linotype"/>
                <w:b/>
                <w:sz w:val="12"/>
                <w:szCs w:val="12"/>
              </w:rPr>
              <w:t>Área</w:t>
            </w:r>
          </w:p>
        </w:tc>
        <w:tc>
          <w:tcPr>
            <w:tcW w:w="3446" w:type="dxa"/>
          </w:tcPr>
          <w:p w14:paraId="4D373FBE"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Se señalará el nombre del área de la cual es el titular quien clasifica.</w:t>
            </w:r>
          </w:p>
        </w:tc>
      </w:tr>
      <w:tr w:rsidR="0096387C" w:rsidRPr="0034034E" w14:paraId="018340C9" w14:textId="77777777" w:rsidTr="00A02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9598D44" w14:textId="77777777" w:rsidR="0096387C" w:rsidRPr="0034034E" w:rsidRDefault="0096387C" w:rsidP="0096387C">
            <w:pPr>
              <w:jc w:val="both"/>
              <w:rPr>
                <w:rFonts w:ascii="Palatino Linotype" w:hAnsi="Palatino Linotype"/>
                <w:sz w:val="12"/>
                <w:szCs w:val="12"/>
              </w:rPr>
            </w:pPr>
            <w:r w:rsidRPr="0034034E">
              <w:rPr>
                <w:rFonts w:ascii="Palatino Linotype" w:hAnsi="Palatino Linotype"/>
                <w:sz w:val="12"/>
                <w:szCs w:val="12"/>
              </w:rPr>
              <w:t>Información reservada</w:t>
            </w:r>
          </w:p>
        </w:tc>
        <w:tc>
          <w:tcPr>
            <w:tcW w:w="3421" w:type="dxa"/>
          </w:tcPr>
          <w:p w14:paraId="4B8D2A37"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34034E">
              <w:rPr>
                <w:rFonts w:ascii="Palatino Linotype" w:hAnsi="Palatino Linotype"/>
                <w:sz w:val="12"/>
                <w:szCs w:val="12"/>
              </w:rPr>
              <w:t>anotarán</w:t>
            </w:r>
            <w:proofErr w:type="gramEnd"/>
            <w:r w:rsidRPr="0034034E">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019968E2"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4034E">
              <w:rPr>
                <w:rFonts w:ascii="Palatino Linotype" w:hAnsi="Palatino Linotype"/>
                <w:b/>
                <w:sz w:val="12"/>
                <w:szCs w:val="12"/>
              </w:rPr>
              <w:t>Reservado</w:t>
            </w:r>
          </w:p>
        </w:tc>
        <w:tc>
          <w:tcPr>
            <w:tcW w:w="3446" w:type="dxa"/>
          </w:tcPr>
          <w:p w14:paraId="755964F7"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Leyenda de información RESERVADA.</w:t>
            </w:r>
          </w:p>
        </w:tc>
      </w:tr>
      <w:tr w:rsidR="0096387C" w:rsidRPr="0034034E" w14:paraId="64852C37" w14:textId="77777777" w:rsidTr="00A02181">
        <w:tc>
          <w:tcPr>
            <w:cnfStyle w:val="001000000000" w:firstRow="0" w:lastRow="0" w:firstColumn="1" w:lastColumn="0" w:oddVBand="0" w:evenVBand="0" w:oddHBand="0" w:evenHBand="0" w:firstRowFirstColumn="0" w:firstRowLastColumn="0" w:lastRowFirstColumn="0" w:lastRowLastColumn="0"/>
            <w:tcW w:w="993" w:type="dxa"/>
          </w:tcPr>
          <w:p w14:paraId="23591100" w14:textId="77777777" w:rsidR="0096387C" w:rsidRPr="0034034E" w:rsidRDefault="0096387C" w:rsidP="0096387C">
            <w:pPr>
              <w:jc w:val="both"/>
              <w:rPr>
                <w:rFonts w:ascii="Palatino Linotype" w:hAnsi="Palatino Linotype"/>
                <w:sz w:val="12"/>
                <w:szCs w:val="12"/>
              </w:rPr>
            </w:pPr>
            <w:r w:rsidRPr="0034034E">
              <w:rPr>
                <w:rFonts w:ascii="Palatino Linotype" w:hAnsi="Palatino Linotype"/>
                <w:sz w:val="12"/>
                <w:szCs w:val="12"/>
              </w:rPr>
              <w:t>Fundamento legal</w:t>
            </w:r>
          </w:p>
        </w:tc>
        <w:tc>
          <w:tcPr>
            <w:tcW w:w="3421" w:type="dxa"/>
          </w:tcPr>
          <w:p w14:paraId="2AEDE666"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03AC9B48"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4034E">
              <w:rPr>
                <w:rFonts w:ascii="Palatino Linotype" w:hAnsi="Palatino Linotype"/>
                <w:b/>
                <w:sz w:val="12"/>
                <w:szCs w:val="12"/>
              </w:rPr>
              <w:t>Periodo de reserva</w:t>
            </w:r>
          </w:p>
        </w:tc>
        <w:tc>
          <w:tcPr>
            <w:tcW w:w="3446" w:type="dxa"/>
          </w:tcPr>
          <w:p w14:paraId="0FCDC82D"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96387C" w:rsidRPr="0034034E" w14:paraId="7860D2C5" w14:textId="77777777" w:rsidTr="00A02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3FE3593" w14:textId="77777777" w:rsidR="0096387C" w:rsidRPr="0034034E" w:rsidRDefault="0096387C" w:rsidP="0096387C">
            <w:pPr>
              <w:jc w:val="both"/>
              <w:rPr>
                <w:rFonts w:ascii="Palatino Linotype" w:hAnsi="Palatino Linotype"/>
                <w:sz w:val="12"/>
                <w:szCs w:val="12"/>
              </w:rPr>
            </w:pPr>
            <w:r w:rsidRPr="0034034E">
              <w:rPr>
                <w:rFonts w:ascii="Palatino Linotype" w:hAnsi="Palatino Linotype"/>
                <w:sz w:val="12"/>
                <w:szCs w:val="12"/>
              </w:rPr>
              <w:t>Ampliación del periodo de reserva</w:t>
            </w:r>
          </w:p>
        </w:tc>
        <w:tc>
          <w:tcPr>
            <w:tcW w:w="3421" w:type="dxa"/>
          </w:tcPr>
          <w:p w14:paraId="2A5A26AA"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5F8A0E90"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4034E">
              <w:rPr>
                <w:rFonts w:ascii="Palatino Linotype" w:hAnsi="Palatino Linotype"/>
                <w:b/>
                <w:sz w:val="12"/>
                <w:szCs w:val="12"/>
              </w:rPr>
              <w:t>Fundamento legal</w:t>
            </w:r>
          </w:p>
        </w:tc>
        <w:tc>
          <w:tcPr>
            <w:tcW w:w="3446" w:type="dxa"/>
          </w:tcPr>
          <w:p w14:paraId="4E5D9D1A"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Se señalará el nombre del o de los ordenamientos jurídicos, el o los artículos, fracción(es), párrafo(s) con base en los cuales se sustenta la reserva.</w:t>
            </w:r>
          </w:p>
        </w:tc>
      </w:tr>
      <w:tr w:rsidR="0096387C" w:rsidRPr="0034034E" w14:paraId="2B33F3A3" w14:textId="77777777" w:rsidTr="00A02181">
        <w:tc>
          <w:tcPr>
            <w:cnfStyle w:val="001000000000" w:firstRow="0" w:lastRow="0" w:firstColumn="1" w:lastColumn="0" w:oddVBand="0" w:evenVBand="0" w:oddHBand="0" w:evenHBand="0" w:firstRowFirstColumn="0" w:firstRowLastColumn="0" w:lastRowFirstColumn="0" w:lastRowLastColumn="0"/>
            <w:tcW w:w="993" w:type="dxa"/>
          </w:tcPr>
          <w:p w14:paraId="3582D816" w14:textId="77777777" w:rsidR="0096387C" w:rsidRPr="0034034E" w:rsidRDefault="0096387C" w:rsidP="0096387C">
            <w:pPr>
              <w:jc w:val="both"/>
              <w:rPr>
                <w:rFonts w:ascii="Palatino Linotype" w:hAnsi="Palatino Linotype"/>
                <w:sz w:val="12"/>
                <w:szCs w:val="12"/>
              </w:rPr>
            </w:pPr>
            <w:r w:rsidRPr="0034034E">
              <w:rPr>
                <w:rFonts w:ascii="Palatino Linotype" w:hAnsi="Palatino Linotype"/>
                <w:sz w:val="12"/>
                <w:szCs w:val="12"/>
              </w:rPr>
              <w:t>Confidencial</w:t>
            </w:r>
          </w:p>
        </w:tc>
        <w:tc>
          <w:tcPr>
            <w:tcW w:w="3421" w:type="dxa"/>
          </w:tcPr>
          <w:p w14:paraId="77A89C08"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1A76C928"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4034E">
              <w:rPr>
                <w:rFonts w:ascii="Palatino Linotype" w:hAnsi="Palatino Linotype"/>
                <w:b/>
                <w:sz w:val="12"/>
                <w:szCs w:val="12"/>
              </w:rPr>
              <w:t>Ampliación del periodo de reserva</w:t>
            </w:r>
          </w:p>
        </w:tc>
        <w:tc>
          <w:tcPr>
            <w:tcW w:w="3446" w:type="dxa"/>
          </w:tcPr>
          <w:p w14:paraId="5A0FCCE3"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96387C" w:rsidRPr="0034034E" w14:paraId="4F352CD7" w14:textId="77777777" w:rsidTr="00A02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3167F86" w14:textId="77777777" w:rsidR="0096387C" w:rsidRPr="0034034E" w:rsidRDefault="0096387C" w:rsidP="0096387C">
            <w:pPr>
              <w:jc w:val="both"/>
              <w:rPr>
                <w:rFonts w:ascii="Palatino Linotype" w:hAnsi="Palatino Linotype"/>
                <w:sz w:val="12"/>
                <w:szCs w:val="12"/>
              </w:rPr>
            </w:pPr>
            <w:r w:rsidRPr="0034034E">
              <w:rPr>
                <w:rFonts w:ascii="Palatino Linotype" w:hAnsi="Palatino Linotype"/>
                <w:sz w:val="12"/>
                <w:szCs w:val="12"/>
              </w:rPr>
              <w:t>Fundamento legal</w:t>
            </w:r>
          </w:p>
        </w:tc>
        <w:tc>
          <w:tcPr>
            <w:tcW w:w="3421" w:type="dxa"/>
          </w:tcPr>
          <w:p w14:paraId="1126D9DA"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1A802D15"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4034E">
              <w:rPr>
                <w:rFonts w:ascii="Palatino Linotype" w:hAnsi="Palatino Linotype"/>
                <w:b/>
                <w:sz w:val="12"/>
                <w:szCs w:val="12"/>
              </w:rPr>
              <w:t>Confidencial</w:t>
            </w:r>
          </w:p>
        </w:tc>
        <w:tc>
          <w:tcPr>
            <w:tcW w:w="3446" w:type="dxa"/>
          </w:tcPr>
          <w:p w14:paraId="424E418A"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Leyenda de información CONFIDENCIAL.</w:t>
            </w:r>
          </w:p>
        </w:tc>
      </w:tr>
      <w:tr w:rsidR="0096387C" w:rsidRPr="0034034E" w14:paraId="44E85C92" w14:textId="77777777" w:rsidTr="00A02181">
        <w:tc>
          <w:tcPr>
            <w:cnfStyle w:val="001000000000" w:firstRow="0" w:lastRow="0" w:firstColumn="1" w:lastColumn="0" w:oddVBand="0" w:evenVBand="0" w:oddHBand="0" w:evenHBand="0" w:firstRowFirstColumn="0" w:firstRowLastColumn="0" w:lastRowFirstColumn="0" w:lastRowLastColumn="0"/>
            <w:tcW w:w="993" w:type="dxa"/>
          </w:tcPr>
          <w:p w14:paraId="4606088D" w14:textId="77777777" w:rsidR="0096387C" w:rsidRPr="0034034E" w:rsidRDefault="0096387C" w:rsidP="0096387C">
            <w:pPr>
              <w:jc w:val="both"/>
              <w:rPr>
                <w:rFonts w:ascii="Palatino Linotype" w:hAnsi="Palatino Linotype"/>
                <w:sz w:val="12"/>
                <w:szCs w:val="12"/>
              </w:rPr>
            </w:pPr>
            <w:r w:rsidRPr="0034034E">
              <w:rPr>
                <w:rFonts w:ascii="Palatino Linotype" w:hAnsi="Palatino Linotype"/>
                <w:sz w:val="12"/>
                <w:szCs w:val="12"/>
              </w:rPr>
              <w:t>Rúbrica del titular del área</w:t>
            </w:r>
          </w:p>
        </w:tc>
        <w:tc>
          <w:tcPr>
            <w:tcW w:w="3421" w:type="dxa"/>
          </w:tcPr>
          <w:p w14:paraId="7082D7E5"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Rúbrica autógrafa de quien clasifica.</w:t>
            </w:r>
          </w:p>
        </w:tc>
        <w:tc>
          <w:tcPr>
            <w:tcW w:w="968" w:type="dxa"/>
          </w:tcPr>
          <w:p w14:paraId="66A161C0"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4034E">
              <w:rPr>
                <w:rFonts w:ascii="Palatino Linotype" w:hAnsi="Palatino Linotype"/>
                <w:b/>
                <w:sz w:val="12"/>
                <w:szCs w:val="12"/>
              </w:rPr>
              <w:t>Fundamento legal</w:t>
            </w:r>
          </w:p>
        </w:tc>
        <w:tc>
          <w:tcPr>
            <w:tcW w:w="3446" w:type="dxa"/>
          </w:tcPr>
          <w:p w14:paraId="583002CD"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96387C" w:rsidRPr="0034034E" w14:paraId="4D8411C4" w14:textId="77777777" w:rsidTr="00A02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1342EAC" w14:textId="77777777" w:rsidR="0096387C" w:rsidRPr="0034034E" w:rsidRDefault="0096387C" w:rsidP="0096387C">
            <w:pPr>
              <w:jc w:val="both"/>
              <w:rPr>
                <w:rFonts w:ascii="Palatino Linotype" w:hAnsi="Palatino Linotype"/>
                <w:sz w:val="12"/>
                <w:szCs w:val="12"/>
              </w:rPr>
            </w:pPr>
            <w:r w:rsidRPr="0034034E">
              <w:rPr>
                <w:rFonts w:ascii="Palatino Linotype" w:hAnsi="Palatino Linotype"/>
                <w:sz w:val="12"/>
                <w:szCs w:val="12"/>
              </w:rPr>
              <w:t>Fecha de desclasificación</w:t>
            </w:r>
          </w:p>
        </w:tc>
        <w:tc>
          <w:tcPr>
            <w:tcW w:w="3421" w:type="dxa"/>
          </w:tcPr>
          <w:p w14:paraId="69EF49F5"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Se anotará la fecha en que se desclasifica el documento.</w:t>
            </w:r>
          </w:p>
        </w:tc>
        <w:tc>
          <w:tcPr>
            <w:tcW w:w="968" w:type="dxa"/>
          </w:tcPr>
          <w:p w14:paraId="1BF5352A"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4034E">
              <w:rPr>
                <w:rFonts w:ascii="Palatino Linotype" w:hAnsi="Palatino Linotype"/>
                <w:b/>
                <w:sz w:val="12"/>
                <w:szCs w:val="12"/>
              </w:rPr>
              <w:t>Rúbrica del titular del área</w:t>
            </w:r>
          </w:p>
        </w:tc>
        <w:tc>
          <w:tcPr>
            <w:tcW w:w="3446" w:type="dxa"/>
          </w:tcPr>
          <w:p w14:paraId="29055B16"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Rúbrica autógrafa de quien clasifica.</w:t>
            </w:r>
          </w:p>
        </w:tc>
      </w:tr>
      <w:tr w:rsidR="0096387C" w:rsidRPr="0034034E" w14:paraId="5A60F9FB" w14:textId="77777777" w:rsidTr="00A02181">
        <w:tc>
          <w:tcPr>
            <w:cnfStyle w:val="001000000000" w:firstRow="0" w:lastRow="0" w:firstColumn="1" w:lastColumn="0" w:oddVBand="0" w:evenVBand="0" w:oddHBand="0" w:evenHBand="0" w:firstRowFirstColumn="0" w:firstRowLastColumn="0" w:lastRowFirstColumn="0" w:lastRowLastColumn="0"/>
            <w:tcW w:w="993" w:type="dxa"/>
          </w:tcPr>
          <w:p w14:paraId="5EAA5D93" w14:textId="77777777" w:rsidR="0096387C" w:rsidRPr="0034034E" w:rsidRDefault="0096387C" w:rsidP="0096387C">
            <w:pPr>
              <w:jc w:val="both"/>
              <w:rPr>
                <w:rFonts w:ascii="Palatino Linotype" w:hAnsi="Palatino Linotype"/>
                <w:sz w:val="12"/>
                <w:szCs w:val="12"/>
              </w:rPr>
            </w:pPr>
            <w:r w:rsidRPr="0034034E">
              <w:rPr>
                <w:rFonts w:ascii="Palatino Linotype" w:hAnsi="Palatino Linotype"/>
                <w:sz w:val="12"/>
                <w:szCs w:val="12"/>
              </w:rPr>
              <w:t>Rúbrica y cargo del servidor público</w:t>
            </w:r>
          </w:p>
        </w:tc>
        <w:tc>
          <w:tcPr>
            <w:tcW w:w="3421" w:type="dxa"/>
          </w:tcPr>
          <w:p w14:paraId="48D4B448"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Rúbrica autógrafa de quien desclasifica.</w:t>
            </w:r>
          </w:p>
        </w:tc>
        <w:tc>
          <w:tcPr>
            <w:tcW w:w="968" w:type="dxa"/>
          </w:tcPr>
          <w:p w14:paraId="23150CDE"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4034E">
              <w:rPr>
                <w:rFonts w:ascii="Palatino Linotype" w:hAnsi="Palatino Linotype"/>
                <w:b/>
                <w:sz w:val="12"/>
                <w:szCs w:val="12"/>
              </w:rPr>
              <w:t>Fecha de desclasificación</w:t>
            </w:r>
          </w:p>
        </w:tc>
        <w:tc>
          <w:tcPr>
            <w:tcW w:w="3446" w:type="dxa"/>
          </w:tcPr>
          <w:p w14:paraId="799B6AE6"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Se anotará la fecha en que se desclasifica.</w:t>
            </w:r>
          </w:p>
        </w:tc>
      </w:tr>
      <w:tr w:rsidR="0096387C" w:rsidRPr="0034034E" w14:paraId="2ADE1D11" w14:textId="77777777" w:rsidTr="00A02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562F8E9" w14:textId="77777777" w:rsidR="0096387C" w:rsidRPr="0034034E" w:rsidRDefault="0096387C" w:rsidP="0096387C">
            <w:pPr>
              <w:jc w:val="both"/>
              <w:rPr>
                <w:rFonts w:ascii="Palatino Linotype" w:hAnsi="Palatino Linotype"/>
                <w:sz w:val="12"/>
                <w:szCs w:val="12"/>
              </w:rPr>
            </w:pPr>
          </w:p>
        </w:tc>
        <w:tc>
          <w:tcPr>
            <w:tcW w:w="3421" w:type="dxa"/>
          </w:tcPr>
          <w:p w14:paraId="50F3DD9B"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368970C8"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4034E">
              <w:rPr>
                <w:rFonts w:ascii="Palatino Linotype" w:hAnsi="Palatino Linotype"/>
                <w:b/>
                <w:sz w:val="12"/>
                <w:szCs w:val="12"/>
              </w:rPr>
              <w:t>Partes o secciones reservadas o confidenciales</w:t>
            </w:r>
          </w:p>
        </w:tc>
        <w:tc>
          <w:tcPr>
            <w:tcW w:w="3446" w:type="dxa"/>
          </w:tcPr>
          <w:p w14:paraId="51B86A98" w14:textId="77777777" w:rsidR="0096387C" w:rsidRPr="0034034E" w:rsidRDefault="0096387C" w:rsidP="00963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 xml:space="preserve">En caso que una vez desclasificado el expediente, </w:t>
            </w:r>
            <w:proofErr w:type="spellStart"/>
            <w:r w:rsidRPr="0034034E">
              <w:rPr>
                <w:rFonts w:ascii="Palatino Linotype" w:hAnsi="Palatino Linotype"/>
                <w:sz w:val="12"/>
                <w:szCs w:val="12"/>
              </w:rPr>
              <w:t>subsistanpartes</w:t>
            </w:r>
            <w:proofErr w:type="spellEnd"/>
            <w:r w:rsidRPr="0034034E">
              <w:rPr>
                <w:rFonts w:ascii="Palatino Linotype" w:hAnsi="Palatino Linotype"/>
                <w:sz w:val="12"/>
                <w:szCs w:val="12"/>
              </w:rPr>
              <w:t xml:space="preserve"> o secciones del mismo reservadas o confidenciales, se señalará este hecho.</w:t>
            </w:r>
          </w:p>
        </w:tc>
      </w:tr>
      <w:tr w:rsidR="0096387C" w:rsidRPr="0034034E" w14:paraId="31FE8561" w14:textId="77777777" w:rsidTr="00A02181">
        <w:tc>
          <w:tcPr>
            <w:cnfStyle w:val="001000000000" w:firstRow="0" w:lastRow="0" w:firstColumn="1" w:lastColumn="0" w:oddVBand="0" w:evenVBand="0" w:oddHBand="0" w:evenHBand="0" w:firstRowFirstColumn="0" w:firstRowLastColumn="0" w:lastRowFirstColumn="0" w:lastRowLastColumn="0"/>
            <w:tcW w:w="993" w:type="dxa"/>
          </w:tcPr>
          <w:p w14:paraId="260DD278" w14:textId="77777777" w:rsidR="0096387C" w:rsidRPr="0034034E" w:rsidRDefault="0096387C" w:rsidP="0096387C">
            <w:pPr>
              <w:jc w:val="both"/>
              <w:rPr>
                <w:rFonts w:ascii="Palatino Linotype" w:hAnsi="Palatino Linotype"/>
                <w:sz w:val="12"/>
                <w:szCs w:val="12"/>
              </w:rPr>
            </w:pPr>
          </w:p>
        </w:tc>
        <w:tc>
          <w:tcPr>
            <w:tcW w:w="3421" w:type="dxa"/>
          </w:tcPr>
          <w:p w14:paraId="7B500F65"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496B92AC"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4034E">
              <w:rPr>
                <w:rFonts w:ascii="Palatino Linotype" w:hAnsi="Palatino Linotype"/>
                <w:b/>
                <w:sz w:val="12"/>
                <w:szCs w:val="12"/>
              </w:rPr>
              <w:t>Rúbrica y cargo del servidor público</w:t>
            </w:r>
          </w:p>
        </w:tc>
        <w:tc>
          <w:tcPr>
            <w:tcW w:w="3446" w:type="dxa"/>
          </w:tcPr>
          <w:p w14:paraId="3EE6A96D" w14:textId="77777777" w:rsidR="0096387C" w:rsidRPr="0034034E" w:rsidRDefault="0096387C" w:rsidP="00963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4034E">
              <w:rPr>
                <w:rFonts w:ascii="Palatino Linotype" w:hAnsi="Palatino Linotype"/>
                <w:sz w:val="12"/>
                <w:szCs w:val="12"/>
              </w:rPr>
              <w:t>Rúbrica autógrafa de quien desclasifica.</w:t>
            </w:r>
          </w:p>
        </w:tc>
      </w:tr>
    </w:tbl>
    <w:p w14:paraId="0C4F985B" w14:textId="77777777" w:rsidR="0096387C" w:rsidRPr="0034034E" w:rsidRDefault="0096387C" w:rsidP="0096387C">
      <w:pPr>
        <w:spacing w:after="160" w:line="259" w:lineRule="auto"/>
        <w:rPr>
          <w:rFonts w:ascii="Calibri" w:eastAsia="Calibri" w:hAnsi="Calibri"/>
          <w:sz w:val="22"/>
          <w:szCs w:val="22"/>
          <w:lang w:eastAsia="en-US"/>
        </w:rPr>
      </w:pPr>
    </w:p>
    <w:p w14:paraId="325C2A83" w14:textId="77777777" w:rsidR="00757A60" w:rsidRPr="0034034E" w:rsidRDefault="00757A60">
      <w:pPr>
        <w:rPr>
          <w:rFonts w:ascii="Palatino Linotype" w:hAnsi="Palatino Linotype"/>
        </w:rPr>
      </w:pPr>
    </w:p>
    <w:p w14:paraId="14D7BB69" w14:textId="77777777" w:rsidR="00757A60" w:rsidRPr="0034034E" w:rsidRDefault="00F059F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33D5A20" w14:textId="77777777" w:rsidR="00757A60" w:rsidRPr="0034034E" w:rsidRDefault="00F059F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4034E">
        <w:rPr>
          <w:rFonts w:ascii="Palatino Linotype" w:eastAsia="Palatino Linotype" w:hAnsi="Palatino Linotype" w:cs="Palatino Linotype"/>
          <w:b/>
        </w:rPr>
        <w:lastRenderedPageBreak/>
        <w:t>III. R E S U E L V E:</w:t>
      </w:r>
    </w:p>
    <w:p w14:paraId="53B75331" w14:textId="533117B3" w:rsidR="00757A60" w:rsidRPr="0034034E" w:rsidRDefault="00F059F1">
      <w:pPr>
        <w:spacing w:before="240" w:after="240" w:line="360" w:lineRule="auto"/>
        <w:ind w:right="49"/>
        <w:jc w:val="both"/>
        <w:rPr>
          <w:rFonts w:ascii="Palatino Linotype" w:eastAsia="Palatino Linotype" w:hAnsi="Palatino Linotype" w:cs="Palatino Linotype"/>
        </w:rPr>
      </w:pPr>
      <w:bookmarkStart w:id="7" w:name="_heading=h.3rdcrjn" w:colFirst="0" w:colLast="0"/>
      <w:bookmarkEnd w:id="7"/>
      <w:r w:rsidRPr="0034034E">
        <w:rPr>
          <w:rFonts w:ascii="Palatino Linotype" w:eastAsia="Palatino Linotype" w:hAnsi="Palatino Linotype" w:cs="Palatino Linotype"/>
          <w:b/>
        </w:rPr>
        <w:t xml:space="preserve">Primero. </w:t>
      </w:r>
      <w:r w:rsidRPr="0034034E">
        <w:rPr>
          <w:rFonts w:ascii="Palatino Linotype" w:eastAsia="Palatino Linotype" w:hAnsi="Palatino Linotype" w:cs="Palatino Linotype"/>
        </w:rPr>
        <w:t xml:space="preserve">Resultan </w:t>
      </w:r>
      <w:r w:rsidRPr="0034034E">
        <w:rPr>
          <w:rFonts w:ascii="Palatino Linotype" w:eastAsia="Palatino Linotype" w:hAnsi="Palatino Linotype" w:cs="Palatino Linotype"/>
          <w:b/>
        </w:rPr>
        <w:t>fundados</w:t>
      </w:r>
      <w:r w:rsidRPr="0034034E">
        <w:rPr>
          <w:rFonts w:ascii="Palatino Linotype" w:eastAsia="Palatino Linotype" w:hAnsi="Palatino Linotype" w:cs="Palatino Linotype"/>
        </w:rPr>
        <w:t xml:space="preserve"> los motivos de inconformidad de la parte </w:t>
      </w:r>
      <w:r w:rsidRPr="0034034E">
        <w:rPr>
          <w:rFonts w:ascii="Palatino Linotype" w:eastAsia="Palatino Linotype" w:hAnsi="Palatino Linotype" w:cs="Palatino Linotype"/>
          <w:b/>
        </w:rPr>
        <w:t>Recurrente</w:t>
      </w:r>
      <w:r w:rsidRPr="0034034E">
        <w:rPr>
          <w:rFonts w:ascii="Palatino Linotype" w:eastAsia="Palatino Linotype" w:hAnsi="Palatino Linotype" w:cs="Palatino Linotype"/>
        </w:rPr>
        <w:t xml:space="preserve">, </w:t>
      </w:r>
      <w:r w:rsidR="00EC61B8" w:rsidRPr="0034034E">
        <w:rPr>
          <w:rFonts w:ascii="Palatino Linotype" w:eastAsia="Palatino Linotype" w:hAnsi="Palatino Linotype" w:cs="Palatino Linotype"/>
        </w:rPr>
        <w:t xml:space="preserve">en el recurso de revisión </w:t>
      </w:r>
      <w:r w:rsidR="0096387C" w:rsidRPr="0034034E">
        <w:rPr>
          <w:rFonts w:ascii="Palatino Linotype" w:eastAsia="Palatino Linotype" w:hAnsi="Palatino Linotype" w:cs="Palatino Linotype"/>
          <w:b/>
        </w:rPr>
        <w:t>1760</w:t>
      </w:r>
      <w:r w:rsidR="008B69B9" w:rsidRPr="0034034E">
        <w:rPr>
          <w:rFonts w:ascii="Palatino Linotype" w:eastAsia="Palatino Linotype" w:hAnsi="Palatino Linotype" w:cs="Palatino Linotype"/>
          <w:b/>
        </w:rPr>
        <w:t>4</w:t>
      </w:r>
      <w:r w:rsidR="00EC61B8" w:rsidRPr="0034034E">
        <w:rPr>
          <w:rFonts w:ascii="Palatino Linotype" w:eastAsia="Palatino Linotype" w:hAnsi="Palatino Linotype" w:cs="Palatino Linotype"/>
          <w:b/>
        </w:rPr>
        <w:t xml:space="preserve">/INFOEM/IP/RR/2022, </w:t>
      </w:r>
      <w:r w:rsidRPr="0034034E">
        <w:rPr>
          <w:rFonts w:ascii="Palatino Linotype" w:eastAsia="Palatino Linotype" w:hAnsi="Palatino Linotype" w:cs="Palatino Linotype"/>
        </w:rPr>
        <w:t xml:space="preserve">en términos del Considerando </w:t>
      </w:r>
      <w:r w:rsidRPr="0034034E">
        <w:rPr>
          <w:rFonts w:ascii="Palatino Linotype" w:eastAsia="Palatino Linotype" w:hAnsi="Palatino Linotype" w:cs="Palatino Linotype"/>
          <w:b/>
        </w:rPr>
        <w:t>Cuarto</w:t>
      </w:r>
      <w:r w:rsidRPr="0034034E">
        <w:rPr>
          <w:rFonts w:ascii="Palatino Linotype" w:eastAsia="Palatino Linotype" w:hAnsi="Palatino Linotype" w:cs="Palatino Linotype"/>
        </w:rPr>
        <w:t xml:space="preserve"> de la presente resolución.</w:t>
      </w:r>
    </w:p>
    <w:p w14:paraId="59F4FF0D" w14:textId="6DCD055D" w:rsidR="0096387C" w:rsidRPr="0034034E" w:rsidRDefault="00F059F1" w:rsidP="0096387C">
      <w:pPr>
        <w:spacing w:before="240" w:after="240" w:line="360" w:lineRule="auto"/>
        <w:jc w:val="both"/>
        <w:rPr>
          <w:rFonts w:ascii="Palatino Linotype" w:eastAsia="Palatino Linotype" w:hAnsi="Palatino Linotype" w:cs="Palatino Linotype"/>
          <w:b/>
        </w:rPr>
      </w:pPr>
      <w:bookmarkStart w:id="8" w:name="_heading=h.3dy6vkm" w:colFirst="0" w:colLast="0"/>
      <w:bookmarkEnd w:id="8"/>
      <w:r w:rsidRPr="0034034E">
        <w:rPr>
          <w:rFonts w:ascii="Palatino Linotype" w:eastAsia="Palatino Linotype" w:hAnsi="Palatino Linotype" w:cs="Palatino Linotype"/>
          <w:b/>
        </w:rPr>
        <w:t>Segundo.</w:t>
      </w:r>
      <w:r w:rsidRPr="0034034E">
        <w:rPr>
          <w:rFonts w:ascii="Palatino Linotype" w:eastAsia="Palatino Linotype" w:hAnsi="Palatino Linotype" w:cs="Palatino Linotype"/>
        </w:rPr>
        <w:t xml:space="preserve"> Se</w:t>
      </w:r>
      <w:r w:rsidRPr="0034034E">
        <w:rPr>
          <w:rFonts w:ascii="Palatino Linotype" w:eastAsia="Palatino Linotype" w:hAnsi="Palatino Linotype" w:cs="Palatino Linotype"/>
          <w:b/>
        </w:rPr>
        <w:t xml:space="preserve"> Ordena </w:t>
      </w:r>
      <w:r w:rsidRPr="0034034E">
        <w:rPr>
          <w:rFonts w:ascii="Palatino Linotype" w:eastAsia="Palatino Linotype" w:hAnsi="Palatino Linotype" w:cs="Palatino Linotype"/>
        </w:rPr>
        <w:t xml:space="preserve">al </w:t>
      </w:r>
      <w:r w:rsidRPr="0034034E">
        <w:rPr>
          <w:rFonts w:ascii="Palatino Linotype" w:eastAsia="Palatino Linotype" w:hAnsi="Palatino Linotype" w:cs="Palatino Linotype"/>
          <w:b/>
        </w:rPr>
        <w:t xml:space="preserve">Sujeto Obligado, </w:t>
      </w:r>
      <w:r w:rsidRPr="0034034E">
        <w:rPr>
          <w:rFonts w:ascii="Palatino Linotype" w:eastAsia="Palatino Linotype" w:hAnsi="Palatino Linotype" w:cs="Palatino Linotype"/>
        </w:rPr>
        <w:t>en términos de los Considerandos</w:t>
      </w:r>
      <w:r w:rsidRPr="0034034E">
        <w:rPr>
          <w:rFonts w:ascii="Palatino Linotype" w:eastAsia="Palatino Linotype" w:hAnsi="Palatino Linotype" w:cs="Palatino Linotype"/>
          <w:b/>
        </w:rPr>
        <w:t xml:space="preserve"> Cuarto</w:t>
      </w:r>
      <w:r w:rsidRPr="0034034E">
        <w:rPr>
          <w:rFonts w:ascii="Palatino Linotype" w:eastAsia="Palatino Linotype" w:hAnsi="Palatino Linotype" w:cs="Palatino Linotype"/>
        </w:rPr>
        <w:t xml:space="preserve"> y </w:t>
      </w:r>
      <w:r w:rsidRPr="0034034E">
        <w:rPr>
          <w:rFonts w:ascii="Palatino Linotype" w:eastAsia="Palatino Linotype" w:hAnsi="Palatino Linotype" w:cs="Palatino Linotype"/>
          <w:b/>
        </w:rPr>
        <w:t>Quinto</w:t>
      </w:r>
      <w:r w:rsidRPr="0034034E">
        <w:rPr>
          <w:rFonts w:ascii="Palatino Linotype" w:eastAsia="Palatino Linotype" w:hAnsi="Palatino Linotype" w:cs="Palatino Linotype"/>
        </w:rPr>
        <w:t xml:space="preserve"> de esta resolución, y haga entrega</w:t>
      </w:r>
      <w:r w:rsidR="00AC2452" w:rsidRPr="0034034E">
        <w:rPr>
          <w:rFonts w:ascii="Palatino Linotype" w:eastAsia="Palatino Linotype" w:hAnsi="Palatino Linotype" w:cs="Palatino Linotype"/>
        </w:rPr>
        <w:t xml:space="preserve">, vía </w:t>
      </w:r>
      <w:r w:rsidR="00AC2452" w:rsidRPr="0034034E">
        <w:rPr>
          <w:rFonts w:ascii="Palatino Linotype" w:eastAsia="Palatino Linotype" w:hAnsi="Palatino Linotype" w:cs="Palatino Linotype"/>
          <w:b/>
          <w:bCs/>
        </w:rPr>
        <w:t>SAIMEX</w:t>
      </w:r>
      <w:r w:rsidR="00AC2452" w:rsidRPr="0034034E">
        <w:rPr>
          <w:rFonts w:ascii="Palatino Linotype" w:eastAsia="Palatino Linotype" w:hAnsi="Palatino Linotype" w:cs="Palatino Linotype"/>
        </w:rPr>
        <w:t xml:space="preserve">, </w:t>
      </w:r>
      <w:r w:rsidR="007D1602" w:rsidRPr="0034034E">
        <w:rPr>
          <w:rFonts w:ascii="Palatino Linotype" w:eastAsia="Palatino Linotype" w:hAnsi="Palatino Linotype" w:cs="Palatino Linotype"/>
        </w:rPr>
        <w:t>previa búsqueda exhaustiva y razonable, de ser el caso e</w:t>
      </w:r>
      <w:r w:rsidRPr="0034034E">
        <w:rPr>
          <w:rFonts w:ascii="Palatino Linotype" w:eastAsia="Palatino Linotype" w:hAnsi="Palatino Linotype" w:cs="Palatino Linotype"/>
        </w:rPr>
        <w:t xml:space="preserve">n versión pública, </w:t>
      </w:r>
      <w:r w:rsidR="0017768A" w:rsidRPr="0034034E">
        <w:rPr>
          <w:rFonts w:ascii="Palatino Linotype" w:eastAsia="Palatino Linotype" w:hAnsi="Palatino Linotype" w:cs="Palatino Linotype"/>
        </w:rPr>
        <w:t xml:space="preserve">de </w:t>
      </w:r>
      <w:r w:rsidRPr="0034034E">
        <w:rPr>
          <w:rFonts w:ascii="Palatino Linotype" w:eastAsia="Palatino Linotype" w:hAnsi="Palatino Linotype" w:cs="Palatino Linotype"/>
        </w:rPr>
        <w:t>lo siguiente</w:t>
      </w:r>
      <w:bookmarkStart w:id="9" w:name="_heading=h.3znysh7" w:colFirst="0" w:colLast="0"/>
      <w:bookmarkEnd w:id="9"/>
      <w:r w:rsidR="00CB7EEE" w:rsidRPr="0034034E">
        <w:rPr>
          <w:rFonts w:ascii="Palatino Linotype" w:eastAsia="Palatino Linotype" w:hAnsi="Palatino Linotype" w:cs="Palatino Linotype"/>
        </w:rPr>
        <w:t xml:space="preserve">: </w:t>
      </w:r>
    </w:p>
    <w:p w14:paraId="30A8680F" w14:textId="30B6349D" w:rsidR="0096387C" w:rsidRPr="0034034E" w:rsidRDefault="0096387C" w:rsidP="0096387C">
      <w:pPr>
        <w:spacing w:before="240" w:after="240" w:line="276" w:lineRule="auto"/>
        <w:ind w:left="567" w:right="900"/>
        <w:jc w:val="both"/>
        <w:rPr>
          <w:rFonts w:ascii="Palatino Linotype" w:eastAsia="Palatino Linotype" w:hAnsi="Palatino Linotype" w:cs="Palatino Linotype"/>
          <w:b/>
          <w:i/>
          <w:sz w:val="22"/>
          <w:szCs w:val="22"/>
        </w:rPr>
      </w:pPr>
      <w:r w:rsidRPr="0034034E">
        <w:rPr>
          <w:rFonts w:ascii="Palatino Linotype" w:eastAsia="Palatino Linotype" w:hAnsi="Palatino Linotype" w:cs="Palatino Linotype"/>
          <w:b/>
          <w:i/>
          <w:sz w:val="22"/>
          <w:szCs w:val="22"/>
        </w:rPr>
        <w:t xml:space="preserve">1.- </w:t>
      </w:r>
      <w:r w:rsidR="00CB7EEE" w:rsidRPr="0034034E">
        <w:rPr>
          <w:rFonts w:ascii="Palatino Linotype" w:eastAsia="Palatino Linotype" w:hAnsi="Palatino Linotype" w:cs="Palatino Linotype"/>
          <w:b/>
          <w:i/>
          <w:sz w:val="22"/>
          <w:szCs w:val="22"/>
        </w:rPr>
        <w:t xml:space="preserve">Documento que acredite el </w:t>
      </w:r>
      <w:r w:rsidRPr="0034034E">
        <w:rPr>
          <w:rFonts w:ascii="Palatino Linotype" w:eastAsia="Palatino Linotype" w:hAnsi="Palatino Linotype" w:cs="Palatino Linotype"/>
          <w:b/>
          <w:i/>
          <w:sz w:val="22"/>
          <w:szCs w:val="22"/>
        </w:rPr>
        <w:t>último grado de estudios de los servidores públicos adscritos a la Dirección de Servicios Públicos, en funciones al dieciocho de noviembre de dos mil veintidós.</w:t>
      </w:r>
    </w:p>
    <w:p w14:paraId="0B42C3C9" w14:textId="235EB4D1" w:rsidR="008B69B9" w:rsidRPr="0034034E" w:rsidRDefault="0096387C" w:rsidP="0096387C">
      <w:pPr>
        <w:spacing w:before="240" w:after="240" w:line="276" w:lineRule="auto"/>
        <w:ind w:left="567" w:right="900"/>
        <w:jc w:val="both"/>
        <w:rPr>
          <w:rFonts w:ascii="Palatino Linotype" w:hAnsi="Palatino Linotype" w:cs="Arial"/>
          <w:b/>
          <w:i/>
          <w:sz w:val="22"/>
          <w:szCs w:val="22"/>
        </w:rPr>
      </w:pPr>
      <w:r w:rsidRPr="0034034E">
        <w:rPr>
          <w:rFonts w:ascii="Palatino Linotype" w:hAnsi="Palatino Linotype" w:cs="Arial"/>
          <w:b/>
          <w:i/>
          <w:sz w:val="22"/>
          <w:szCs w:val="22"/>
        </w:rPr>
        <w:t xml:space="preserve">2.-Recibos de nómina de </w:t>
      </w:r>
      <w:r w:rsidR="0017768A" w:rsidRPr="0034034E">
        <w:rPr>
          <w:rFonts w:ascii="Palatino Linotype" w:hAnsi="Palatino Linotype" w:cs="Arial"/>
          <w:b/>
          <w:i/>
          <w:sz w:val="22"/>
          <w:szCs w:val="22"/>
        </w:rPr>
        <w:t>los servidores públicos</w:t>
      </w:r>
      <w:r w:rsidRPr="0034034E">
        <w:rPr>
          <w:rFonts w:ascii="Palatino Linotype" w:hAnsi="Palatino Linotype" w:cs="Arial"/>
          <w:b/>
          <w:i/>
          <w:sz w:val="22"/>
          <w:szCs w:val="22"/>
        </w:rPr>
        <w:t xml:space="preserve"> adscritos a la Dirección de Servicios Públicos, generados del 1 de enero al 15 de noviembre de 2022.</w:t>
      </w:r>
    </w:p>
    <w:p w14:paraId="034B69EE" w14:textId="4C533DD6" w:rsidR="0017768A" w:rsidRPr="0034034E" w:rsidRDefault="00707CC8" w:rsidP="00A0122B">
      <w:pPr>
        <w:spacing w:before="240" w:after="240"/>
        <w:ind w:left="567" w:right="900"/>
        <w:jc w:val="both"/>
        <w:rPr>
          <w:rFonts w:ascii="Palatino Linotype" w:hAnsi="Palatino Linotype" w:cs="Arial"/>
          <w:i/>
          <w:sz w:val="22"/>
          <w:szCs w:val="20"/>
        </w:rPr>
      </w:pPr>
      <w:r w:rsidRPr="0034034E">
        <w:rPr>
          <w:rFonts w:ascii="Palatino Linotype" w:hAnsi="Palatino Linotype" w:cs="Arial"/>
          <w:i/>
          <w:sz w:val="22"/>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34034E">
        <w:rPr>
          <w:rFonts w:ascii="Palatino Linotype" w:hAnsi="Palatino Linotype" w:cs="Arial"/>
          <w:b/>
          <w:bCs/>
          <w:i/>
          <w:sz w:val="22"/>
          <w:szCs w:val="20"/>
        </w:rPr>
        <w:t>Recurrente</w:t>
      </w:r>
      <w:r w:rsidRPr="0034034E">
        <w:rPr>
          <w:rFonts w:ascii="Palatino Linotype" w:hAnsi="Palatino Linotype" w:cs="Arial"/>
          <w:i/>
          <w:sz w:val="22"/>
          <w:szCs w:val="20"/>
        </w:rPr>
        <w:t>.</w:t>
      </w:r>
    </w:p>
    <w:p w14:paraId="1B45E3F5" w14:textId="77777777" w:rsidR="00757A60" w:rsidRPr="0034034E" w:rsidRDefault="00F059F1">
      <w:pPr>
        <w:spacing w:before="240" w:after="240" w:line="360" w:lineRule="auto"/>
        <w:ind w:right="49"/>
        <w:jc w:val="both"/>
        <w:rPr>
          <w:rFonts w:ascii="Palatino Linotype" w:eastAsia="Palatino Linotype" w:hAnsi="Palatino Linotype" w:cs="Palatino Linotype"/>
          <w:b/>
        </w:rPr>
      </w:pPr>
      <w:r w:rsidRPr="0034034E">
        <w:rPr>
          <w:rFonts w:ascii="Palatino Linotype" w:eastAsia="Palatino Linotype" w:hAnsi="Palatino Linotype" w:cs="Palatino Linotype"/>
          <w:b/>
        </w:rPr>
        <w:t xml:space="preserve">Tercero. Notifíquese, </w:t>
      </w:r>
      <w:r w:rsidRPr="0034034E">
        <w:rPr>
          <w:rFonts w:ascii="Palatino Linotype" w:eastAsia="Palatino Linotype" w:hAnsi="Palatino Linotype" w:cs="Palatino Linotype"/>
        </w:rPr>
        <w:t>vía</w:t>
      </w:r>
      <w:r w:rsidRPr="0034034E">
        <w:rPr>
          <w:rFonts w:ascii="Palatino Linotype" w:eastAsia="Palatino Linotype" w:hAnsi="Palatino Linotype" w:cs="Palatino Linotype"/>
          <w:b/>
        </w:rPr>
        <w:t xml:space="preserve"> SAIMEX, </w:t>
      </w:r>
      <w:r w:rsidRPr="0034034E">
        <w:rPr>
          <w:rFonts w:ascii="Palatino Linotype" w:eastAsia="Palatino Linotype" w:hAnsi="Palatino Linotype" w:cs="Palatino Linotype"/>
        </w:rPr>
        <w:t xml:space="preserve">al Responsable de la Unidad de Transparencia del </w:t>
      </w:r>
      <w:r w:rsidRPr="0034034E">
        <w:rPr>
          <w:rFonts w:ascii="Palatino Linotype" w:eastAsia="Palatino Linotype" w:hAnsi="Palatino Linotype" w:cs="Palatino Linotype"/>
          <w:b/>
        </w:rPr>
        <w:t>Sujeto Obligado</w:t>
      </w:r>
      <w:r w:rsidRPr="0034034E">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34034E">
        <w:rPr>
          <w:rFonts w:ascii="Palatino Linotype" w:eastAsia="Palatino Linotype" w:hAnsi="Palatino Linotype" w:cs="Palatino Linotype"/>
          <w:b/>
        </w:rPr>
        <w:t>.</w:t>
      </w:r>
    </w:p>
    <w:p w14:paraId="342C104B" w14:textId="77777777" w:rsidR="00A0122B" w:rsidRPr="0034034E" w:rsidRDefault="00A0122B" w:rsidP="00A0122B">
      <w:pPr>
        <w:pStyle w:val="NormalWeb"/>
        <w:spacing w:before="240" w:beforeAutospacing="0" w:after="240" w:afterAutospacing="0" w:line="360" w:lineRule="auto"/>
        <w:jc w:val="both"/>
      </w:pPr>
      <w:r w:rsidRPr="0034034E">
        <w:rPr>
          <w:rFonts w:ascii="Palatino Linotype" w:hAnsi="Palatino Linotype"/>
          <w:b/>
          <w:bCs/>
          <w:color w:val="000000"/>
        </w:rPr>
        <w:lastRenderedPageBreak/>
        <w:t xml:space="preserve">Cuarto. Notifíquese, </w:t>
      </w:r>
      <w:r w:rsidRPr="0034034E">
        <w:rPr>
          <w:rFonts w:ascii="Palatino Linotype" w:hAnsi="Palatino Linotype"/>
          <w:color w:val="000000"/>
        </w:rPr>
        <w:t xml:space="preserve">vía </w:t>
      </w:r>
      <w:r w:rsidRPr="0034034E">
        <w:rPr>
          <w:rFonts w:ascii="Palatino Linotype" w:hAnsi="Palatino Linotype"/>
          <w:b/>
          <w:bCs/>
          <w:color w:val="000000"/>
        </w:rPr>
        <w:t>SAIMEX,</w:t>
      </w:r>
      <w:r w:rsidRPr="0034034E">
        <w:rPr>
          <w:rFonts w:ascii="Palatino Linotype" w:hAnsi="Palatino Linotype"/>
          <w:color w:val="000000"/>
        </w:rPr>
        <w:t xml:space="preserve"> a la parte </w:t>
      </w:r>
      <w:r w:rsidRPr="0034034E">
        <w:rPr>
          <w:rFonts w:ascii="Palatino Linotype" w:hAnsi="Palatino Linotype"/>
          <w:b/>
          <w:bCs/>
          <w:color w:val="000000"/>
        </w:rPr>
        <w:t xml:space="preserve">Recurrente </w:t>
      </w:r>
      <w:r w:rsidRPr="0034034E">
        <w:rPr>
          <w:rFonts w:ascii="Palatino Linotype" w:hAnsi="Palatino Linotype"/>
          <w:color w:val="000000"/>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175DB28" w14:textId="7E9FCF2A" w:rsidR="00757A60" w:rsidRPr="0034034E" w:rsidRDefault="00F059F1" w:rsidP="000D04CE">
      <w:pPr>
        <w:spacing w:before="240" w:after="240" w:line="360" w:lineRule="auto"/>
        <w:jc w:val="both"/>
        <w:rPr>
          <w:rFonts w:ascii="Palatino Linotype" w:eastAsia="Palatino Linotype" w:hAnsi="Palatino Linotype" w:cs="Palatino Linotype"/>
          <w:b/>
        </w:rPr>
      </w:pPr>
      <w:r w:rsidRPr="0034034E">
        <w:rPr>
          <w:rFonts w:ascii="Palatino Linotype" w:eastAsia="Palatino Linotype" w:hAnsi="Palatino Linotype" w:cs="Palatino Linotype"/>
          <w:b/>
        </w:rPr>
        <w:t xml:space="preserve">Quinto. Notifíquese, </w:t>
      </w:r>
      <w:r w:rsidRPr="0034034E">
        <w:rPr>
          <w:rFonts w:ascii="Palatino Linotype" w:eastAsia="Palatino Linotype" w:hAnsi="Palatino Linotype" w:cs="Palatino Linotype"/>
        </w:rPr>
        <w:t xml:space="preserve">a la parte </w:t>
      </w:r>
      <w:r w:rsidRPr="0034034E">
        <w:rPr>
          <w:rFonts w:ascii="Palatino Linotype" w:eastAsia="Palatino Linotype" w:hAnsi="Palatino Linotype" w:cs="Palatino Linotype"/>
          <w:b/>
        </w:rPr>
        <w:t xml:space="preserve">Recurrente </w:t>
      </w:r>
      <w:r w:rsidRPr="0034034E">
        <w:rPr>
          <w:rFonts w:ascii="Palatino Linotype" w:eastAsia="Palatino Linotype" w:hAnsi="Palatino Linotype" w:cs="Palatino Linotype"/>
        </w:rPr>
        <w:t xml:space="preserve">que la respuesta que dé el </w:t>
      </w:r>
      <w:r w:rsidRPr="0034034E">
        <w:rPr>
          <w:rFonts w:ascii="Palatino Linotype" w:eastAsia="Palatino Linotype" w:hAnsi="Palatino Linotype" w:cs="Palatino Linotype"/>
          <w:b/>
        </w:rPr>
        <w:t>Sujeto Obligado</w:t>
      </w:r>
      <w:r w:rsidRPr="0034034E">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C14322" w14:textId="32A36FE7" w:rsidR="00EC61B8" w:rsidRPr="0034034E" w:rsidRDefault="00F059F1" w:rsidP="00EC61B8">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34034E">
        <w:rPr>
          <w:rFonts w:ascii="Palatino Linotype" w:eastAsia="Palatino Linotype" w:hAnsi="Palatino Linotype" w:cs="Palatino Linotype"/>
          <w:b/>
        </w:rPr>
        <w:t xml:space="preserve">Sexto. </w:t>
      </w:r>
      <w:r w:rsidR="00EC61B8" w:rsidRPr="0034034E">
        <w:rPr>
          <w:rFonts w:ascii="Palatino Linotype" w:eastAsia="Palatino Linotype" w:hAnsi="Palatino Linotype" w:cs="Palatino Linotype"/>
          <w:b/>
        </w:rPr>
        <w:t xml:space="preserve">Gírese </w:t>
      </w:r>
      <w:r w:rsidR="00EC61B8" w:rsidRPr="0034034E">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00EC61B8" w:rsidRPr="0034034E">
        <w:rPr>
          <w:rFonts w:ascii="Palatino Linotype" w:eastAsia="Palatino Linotype" w:hAnsi="Palatino Linotype" w:cs="Palatino Linotype"/>
          <w:b/>
        </w:rPr>
        <w:t xml:space="preserve"> Cuarto </w:t>
      </w:r>
      <w:r w:rsidR="00EC61B8" w:rsidRPr="0034034E">
        <w:rPr>
          <w:rFonts w:ascii="Palatino Linotype" w:eastAsia="Palatino Linotype" w:hAnsi="Palatino Linotype" w:cs="Palatino Linotype"/>
        </w:rPr>
        <w:t>de la presente resolución.</w:t>
      </w:r>
      <w:r w:rsidR="00EC61B8" w:rsidRPr="0034034E">
        <w:rPr>
          <w:rFonts w:ascii="Palatino Linotype" w:eastAsia="Palatino Linotype" w:hAnsi="Palatino Linotype" w:cs="Palatino Linotype"/>
          <w:b/>
        </w:rPr>
        <w:t xml:space="preserve"> </w:t>
      </w:r>
    </w:p>
    <w:p w14:paraId="41395481" w14:textId="126E1D54" w:rsidR="00EC61B8" w:rsidRPr="0034034E" w:rsidRDefault="00EC61B8" w:rsidP="00EC61B8">
      <w:pPr>
        <w:spacing w:before="240" w:after="240" w:line="360" w:lineRule="auto"/>
        <w:jc w:val="both"/>
        <w:rPr>
          <w:rFonts w:ascii="Palatino Linotype" w:eastAsia="Palatino Linotype" w:hAnsi="Palatino Linotype" w:cs="Palatino Linotype"/>
          <w:b/>
        </w:rPr>
      </w:pPr>
      <w:r w:rsidRPr="0034034E">
        <w:rPr>
          <w:rFonts w:ascii="Palatino Linotype" w:eastAsia="Palatino Linotype" w:hAnsi="Palatino Linotype" w:cs="Palatino Linotype"/>
          <w:b/>
        </w:rPr>
        <w:t xml:space="preserve">Séptimo. </w:t>
      </w:r>
      <w:r w:rsidRPr="0034034E">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34034E">
        <w:rPr>
          <w:rFonts w:ascii="Palatino Linotype" w:eastAsia="Palatino Linotype" w:hAnsi="Palatino Linotype" w:cs="Palatino Linotype"/>
          <w:b/>
        </w:rPr>
        <w:t xml:space="preserve">  </w:t>
      </w:r>
    </w:p>
    <w:p w14:paraId="7B2A0E72" w14:textId="73C7D7E3" w:rsidR="00757A60" w:rsidRPr="0034034E" w:rsidRDefault="00F059F1">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8E5FC9" w:rsidRPr="0034034E">
        <w:rPr>
          <w:rFonts w:ascii="Palatino Linotype" w:eastAsia="Palatino Linotype" w:hAnsi="Palatino Linotype" w:cs="Palatino Linotype"/>
        </w:rPr>
        <w:t>; EMITIENDO VOTO PARTICULAR</w:t>
      </w:r>
      <w:r w:rsidRPr="0034034E">
        <w:rPr>
          <w:rFonts w:ascii="Palatino Linotype" w:eastAsia="Palatino Linotype" w:hAnsi="Palatino Linotype" w:cs="Palatino Linotype"/>
        </w:rPr>
        <w:t xml:space="preserve"> Y GUADALUPE RAMÍREZ PEÑA; EN LA </w:t>
      </w:r>
      <w:r w:rsidR="009E6AEE" w:rsidRPr="0034034E">
        <w:rPr>
          <w:rFonts w:ascii="Palatino Linotype" w:eastAsia="Palatino Linotype" w:hAnsi="Palatino Linotype" w:cs="Palatino Linotype"/>
        </w:rPr>
        <w:t>SÉPTIMA</w:t>
      </w:r>
      <w:r w:rsidRPr="0034034E">
        <w:rPr>
          <w:rFonts w:ascii="Palatino Linotype" w:eastAsia="Palatino Linotype" w:hAnsi="Palatino Linotype" w:cs="Palatino Linotype"/>
        </w:rPr>
        <w:t xml:space="preserve"> SESIÓN ORDINARIA CELEBRADA EL </w:t>
      </w:r>
      <w:r w:rsidR="009E6AEE" w:rsidRPr="0034034E">
        <w:rPr>
          <w:rFonts w:ascii="Palatino Linotype" w:eastAsia="Palatino Linotype" w:hAnsi="Palatino Linotype" w:cs="Palatino Linotype"/>
        </w:rPr>
        <w:t xml:space="preserve">VEINTIDÓS DE FEBRERO </w:t>
      </w:r>
      <w:r w:rsidRPr="0034034E">
        <w:rPr>
          <w:rFonts w:ascii="Palatino Linotype" w:eastAsia="Palatino Linotype" w:hAnsi="Palatino Linotype" w:cs="Palatino Linotype"/>
        </w:rPr>
        <w:t xml:space="preserve">DE DOS MIL </w:t>
      </w:r>
      <w:r w:rsidR="00052184" w:rsidRPr="0034034E">
        <w:rPr>
          <w:rFonts w:ascii="Palatino Linotype" w:eastAsia="Palatino Linotype" w:hAnsi="Palatino Linotype" w:cs="Palatino Linotype"/>
        </w:rPr>
        <w:t>VEINTITRES</w:t>
      </w:r>
      <w:r w:rsidRPr="0034034E">
        <w:rPr>
          <w:rFonts w:ascii="Palatino Linotype" w:eastAsia="Palatino Linotype" w:hAnsi="Palatino Linotype" w:cs="Palatino Linotype"/>
        </w:rPr>
        <w:t>, ANTE EL SECRETARIO TÉCNICO DEL PLENO ALEXIS TAPIA RAMÍREZ.</w:t>
      </w:r>
    </w:p>
    <w:p w14:paraId="17792E64" w14:textId="4F33C35A" w:rsidR="00757A60" w:rsidRPr="00C5604F" w:rsidRDefault="00052184">
      <w:pPr>
        <w:spacing w:before="240" w:after="240" w:line="360" w:lineRule="auto"/>
        <w:jc w:val="both"/>
        <w:rPr>
          <w:rFonts w:ascii="Palatino Linotype" w:eastAsia="Palatino Linotype" w:hAnsi="Palatino Linotype" w:cs="Palatino Linotype"/>
        </w:rPr>
      </w:pPr>
      <w:r w:rsidRPr="0034034E">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0FDA3541" wp14:editId="3459D2A9">
                <wp:simplePos x="0" y="0"/>
                <wp:positionH relativeFrom="column">
                  <wp:posOffset>329565</wp:posOffset>
                </wp:positionH>
                <wp:positionV relativeFrom="paragraph">
                  <wp:posOffset>78740</wp:posOffset>
                </wp:positionV>
                <wp:extent cx="4991100" cy="41148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4991100" cy="41148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341BAFA"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95pt,6.2pt" to="418.95pt,3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" strokecolor="#f68c36 [3049]"/>
            </w:pict>
          </mc:Fallback>
        </mc:AlternateContent>
      </w:r>
    </w:p>
    <w:p w14:paraId="1EF5794A" w14:textId="77777777" w:rsidR="00757A60" w:rsidRPr="00C5604F" w:rsidRDefault="00757A60">
      <w:pPr>
        <w:spacing w:line="360" w:lineRule="auto"/>
        <w:jc w:val="both"/>
        <w:rPr>
          <w:rFonts w:ascii="Palatino Linotype" w:eastAsia="Palatino Linotype" w:hAnsi="Palatino Linotype" w:cs="Palatino Linotype"/>
        </w:rPr>
      </w:pPr>
    </w:p>
    <w:p w14:paraId="4A3ABFE2" w14:textId="77777777" w:rsidR="00757A60" w:rsidRPr="00C5604F" w:rsidRDefault="00757A60">
      <w:pPr>
        <w:spacing w:line="360" w:lineRule="auto"/>
        <w:jc w:val="both"/>
        <w:rPr>
          <w:rFonts w:ascii="Palatino Linotype" w:eastAsia="Palatino Linotype" w:hAnsi="Palatino Linotype" w:cs="Palatino Linotype"/>
        </w:rPr>
      </w:pPr>
    </w:p>
    <w:p w14:paraId="4AE01D30" w14:textId="77777777" w:rsidR="00757A60" w:rsidRPr="00C5604F" w:rsidRDefault="00757A60">
      <w:pPr>
        <w:rPr>
          <w:rFonts w:ascii="Palatino Linotype" w:eastAsia="Palatino Linotype" w:hAnsi="Palatino Linotype" w:cs="Palatino Linotype"/>
        </w:rPr>
      </w:pPr>
    </w:p>
    <w:p w14:paraId="12CC9D59" w14:textId="77777777" w:rsidR="00757A60" w:rsidRPr="00C5604F" w:rsidRDefault="00757A60">
      <w:pPr>
        <w:spacing w:line="360" w:lineRule="auto"/>
        <w:jc w:val="both"/>
        <w:rPr>
          <w:rFonts w:ascii="Palatino Linotype" w:eastAsia="Palatino Linotype" w:hAnsi="Palatino Linotype" w:cs="Palatino Linotype"/>
        </w:rPr>
      </w:pPr>
    </w:p>
    <w:p w14:paraId="4EBD09D1" w14:textId="77777777" w:rsidR="00757A60" w:rsidRPr="00C5604F" w:rsidRDefault="00757A60">
      <w:pPr>
        <w:spacing w:line="360" w:lineRule="auto"/>
        <w:jc w:val="both"/>
        <w:rPr>
          <w:rFonts w:ascii="Palatino Linotype" w:eastAsia="Palatino Linotype" w:hAnsi="Palatino Linotype" w:cs="Palatino Linotype"/>
        </w:rPr>
      </w:pPr>
    </w:p>
    <w:p w14:paraId="452E7064" w14:textId="77777777" w:rsidR="00757A60" w:rsidRPr="00C5604F" w:rsidRDefault="00757A60">
      <w:pPr>
        <w:spacing w:line="360" w:lineRule="auto"/>
        <w:jc w:val="both"/>
        <w:rPr>
          <w:rFonts w:ascii="Palatino Linotype" w:eastAsia="Palatino Linotype" w:hAnsi="Palatino Linotype" w:cs="Palatino Linotype"/>
        </w:rPr>
      </w:pPr>
    </w:p>
    <w:p w14:paraId="219A8186" w14:textId="77777777" w:rsidR="00757A60" w:rsidRPr="00C5604F" w:rsidRDefault="00757A60">
      <w:pPr>
        <w:spacing w:line="360" w:lineRule="auto"/>
        <w:jc w:val="both"/>
        <w:rPr>
          <w:rFonts w:ascii="Palatino Linotype" w:eastAsia="Palatino Linotype" w:hAnsi="Palatino Linotype" w:cs="Palatino Linotype"/>
        </w:rPr>
      </w:pPr>
    </w:p>
    <w:p w14:paraId="3F67B950" w14:textId="77777777" w:rsidR="00757A60" w:rsidRPr="00C5604F" w:rsidRDefault="00757A60">
      <w:pPr>
        <w:spacing w:line="360" w:lineRule="auto"/>
        <w:jc w:val="both"/>
        <w:rPr>
          <w:rFonts w:ascii="Palatino Linotype" w:eastAsia="Palatino Linotype" w:hAnsi="Palatino Linotype" w:cs="Palatino Linotype"/>
        </w:rPr>
      </w:pPr>
    </w:p>
    <w:p w14:paraId="093CFE6B" w14:textId="77777777" w:rsidR="00757A60" w:rsidRPr="00C5604F" w:rsidRDefault="00757A60">
      <w:pPr>
        <w:spacing w:line="360" w:lineRule="auto"/>
        <w:jc w:val="both"/>
        <w:rPr>
          <w:rFonts w:ascii="Palatino Linotype" w:eastAsia="Palatino Linotype" w:hAnsi="Palatino Linotype" w:cs="Palatino Linotype"/>
        </w:rPr>
      </w:pPr>
    </w:p>
    <w:p w14:paraId="03F905DF" w14:textId="77777777" w:rsidR="00757A60" w:rsidRPr="00C5604F" w:rsidRDefault="00757A60">
      <w:pPr>
        <w:spacing w:line="360" w:lineRule="auto"/>
        <w:jc w:val="both"/>
        <w:rPr>
          <w:rFonts w:ascii="Palatino Linotype" w:eastAsia="Palatino Linotype" w:hAnsi="Palatino Linotype" w:cs="Palatino Linotype"/>
        </w:rPr>
      </w:pPr>
    </w:p>
    <w:p w14:paraId="0362FBEE" w14:textId="77777777" w:rsidR="00757A60" w:rsidRPr="00C5604F" w:rsidRDefault="00757A60">
      <w:pPr>
        <w:spacing w:line="360" w:lineRule="auto"/>
        <w:jc w:val="both"/>
        <w:rPr>
          <w:rFonts w:ascii="Palatino Linotype" w:eastAsia="Palatino Linotype" w:hAnsi="Palatino Linotype" w:cs="Palatino Linotype"/>
        </w:rPr>
      </w:pPr>
    </w:p>
    <w:p w14:paraId="07678A9E" w14:textId="77777777" w:rsidR="00757A60" w:rsidRPr="00C5604F" w:rsidRDefault="00757A60">
      <w:pPr>
        <w:spacing w:line="360" w:lineRule="auto"/>
        <w:jc w:val="both"/>
        <w:rPr>
          <w:rFonts w:ascii="Palatino Linotype" w:eastAsia="Palatino Linotype" w:hAnsi="Palatino Linotype" w:cs="Palatino Linotype"/>
        </w:rPr>
      </w:pPr>
    </w:p>
    <w:p w14:paraId="2A3D88DF" w14:textId="77777777" w:rsidR="00757A60" w:rsidRPr="00C5604F" w:rsidRDefault="00757A60">
      <w:pPr>
        <w:spacing w:line="360" w:lineRule="auto"/>
        <w:jc w:val="both"/>
        <w:rPr>
          <w:rFonts w:ascii="Palatino Linotype" w:eastAsia="Palatino Linotype" w:hAnsi="Palatino Linotype" w:cs="Palatino Linotype"/>
        </w:rPr>
      </w:pPr>
    </w:p>
    <w:p w14:paraId="15B892B4" w14:textId="77777777" w:rsidR="00757A60" w:rsidRPr="00C5604F" w:rsidRDefault="00757A60">
      <w:pPr>
        <w:spacing w:line="360" w:lineRule="auto"/>
        <w:jc w:val="both"/>
        <w:rPr>
          <w:rFonts w:ascii="Palatino Linotype" w:eastAsia="Palatino Linotype" w:hAnsi="Palatino Linotype" w:cs="Palatino Linotype"/>
        </w:rPr>
      </w:pPr>
    </w:p>
    <w:p w14:paraId="64E0C600" w14:textId="77777777" w:rsidR="00757A60" w:rsidRPr="00C5604F" w:rsidRDefault="00757A60">
      <w:pPr>
        <w:spacing w:line="360" w:lineRule="auto"/>
        <w:jc w:val="both"/>
        <w:rPr>
          <w:rFonts w:ascii="Palatino Linotype" w:eastAsia="Palatino Linotype" w:hAnsi="Palatino Linotype" w:cs="Palatino Linotype"/>
        </w:rPr>
      </w:pPr>
    </w:p>
    <w:p w14:paraId="1E18DA33" w14:textId="77777777" w:rsidR="00757A60" w:rsidRPr="00C5604F" w:rsidRDefault="00757A60">
      <w:pPr>
        <w:spacing w:line="360" w:lineRule="auto"/>
        <w:jc w:val="both"/>
        <w:rPr>
          <w:rFonts w:ascii="Palatino Linotype" w:eastAsia="Palatino Linotype" w:hAnsi="Palatino Linotype" w:cs="Palatino Linotype"/>
        </w:rPr>
      </w:pPr>
    </w:p>
    <w:p w14:paraId="3A779518" w14:textId="77777777" w:rsidR="00757A60" w:rsidRPr="00C5604F" w:rsidRDefault="00757A60">
      <w:pPr>
        <w:spacing w:line="360" w:lineRule="auto"/>
        <w:jc w:val="both"/>
        <w:rPr>
          <w:rFonts w:ascii="Palatino Linotype" w:eastAsia="Palatino Linotype" w:hAnsi="Palatino Linotype" w:cs="Palatino Linotype"/>
        </w:rPr>
      </w:pPr>
    </w:p>
    <w:p w14:paraId="189F86E6" w14:textId="77777777" w:rsidR="00757A60" w:rsidRPr="00C5604F" w:rsidRDefault="00757A60">
      <w:pPr>
        <w:spacing w:line="360" w:lineRule="auto"/>
        <w:jc w:val="both"/>
        <w:rPr>
          <w:rFonts w:ascii="Palatino Linotype" w:eastAsia="Palatino Linotype" w:hAnsi="Palatino Linotype" w:cs="Palatino Linotype"/>
        </w:rPr>
      </w:pPr>
    </w:p>
    <w:p w14:paraId="3B06DC7A" w14:textId="77777777" w:rsidR="00757A60" w:rsidRPr="00C5604F" w:rsidRDefault="00757A60">
      <w:pPr>
        <w:spacing w:line="360" w:lineRule="auto"/>
        <w:jc w:val="both"/>
        <w:rPr>
          <w:rFonts w:ascii="Palatino Linotype" w:eastAsia="Palatino Linotype" w:hAnsi="Palatino Linotype" w:cs="Palatino Linotype"/>
        </w:rPr>
      </w:pPr>
    </w:p>
    <w:p w14:paraId="114513A2" w14:textId="77777777" w:rsidR="00757A60" w:rsidRPr="00C5604F" w:rsidRDefault="00757A60">
      <w:pPr>
        <w:spacing w:line="360" w:lineRule="auto"/>
        <w:jc w:val="both"/>
        <w:rPr>
          <w:rFonts w:ascii="Palatino Linotype" w:eastAsia="Palatino Linotype" w:hAnsi="Palatino Linotype" w:cs="Palatino Linotype"/>
        </w:rPr>
      </w:pPr>
    </w:p>
    <w:p w14:paraId="220EE321" w14:textId="77777777" w:rsidR="00757A60" w:rsidRPr="00C5604F" w:rsidRDefault="00757A60">
      <w:pPr>
        <w:spacing w:line="360" w:lineRule="auto"/>
        <w:jc w:val="both"/>
        <w:rPr>
          <w:rFonts w:ascii="Palatino Linotype" w:eastAsia="Palatino Linotype" w:hAnsi="Palatino Linotype" w:cs="Palatino Linotype"/>
        </w:rPr>
      </w:pPr>
    </w:p>
    <w:p w14:paraId="302C2216" w14:textId="77777777" w:rsidR="00757A60" w:rsidRPr="00C5604F" w:rsidRDefault="00757A60">
      <w:pPr>
        <w:spacing w:line="360" w:lineRule="auto"/>
        <w:jc w:val="both"/>
        <w:rPr>
          <w:rFonts w:ascii="Palatino Linotype" w:eastAsia="Palatino Linotype" w:hAnsi="Palatino Linotype" w:cs="Palatino Linotype"/>
        </w:rPr>
      </w:pPr>
    </w:p>
    <w:p w14:paraId="28246934" w14:textId="77777777" w:rsidR="00757A60" w:rsidRPr="00C5604F" w:rsidRDefault="00757A60">
      <w:pPr>
        <w:spacing w:line="360" w:lineRule="auto"/>
        <w:jc w:val="both"/>
        <w:rPr>
          <w:rFonts w:ascii="Palatino Linotype" w:eastAsia="Palatino Linotype" w:hAnsi="Palatino Linotype" w:cs="Palatino Linotype"/>
        </w:rPr>
      </w:pPr>
    </w:p>
    <w:sectPr w:rsidR="00757A60" w:rsidRPr="00C5604F">
      <w:headerReference w:type="default" r:id="rId21"/>
      <w:footerReference w:type="default" r:id="rId22"/>
      <w:headerReference w:type="first" r:id="rId23"/>
      <w:footerReference w:type="first" r:id="rId2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45F05" w14:textId="77777777" w:rsidR="005917B0" w:rsidRDefault="005917B0">
      <w:r>
        <w:separator/>
      </w:r>
    </w:p>
  </w:endnote>
  <w:endnote w:type="continuationSeparator" w:id="0">
    <w:p w14:paraId="0A323D80" w14:textId="77777777" w:rsidR="005917B0" w:rsidRDefault="0059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itka Smal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AC4C8" w14:textId="77777777" w:rsidR="00F41957" w:rsidRDefault="00F4195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A78E7">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A78E7">
      <w:rPr>
        <w:rFonts w:ascii="Palatino Linotype" w:eastAsia="Palatino Linotype" w:hAnsi="Palatino Linotype" w:cs="Palatino Linotype"/>
        <w:b/>
        <w:noProof/>
        <w:color w:val="000000"/>
        <w:sz w:val="20"/>
        <w:szCs w:val="20"/>
      </w:rPr>
      <w:t>74</w:t>
    </w:r>
    <w:r>
      <w:rPr>
        <w:rFonts w:ascii="Palatino Linotype" w:eastAsia="Palatino Linotype" w:hAnsi="Palatino Linotype" w:cs="Palatino Linotype"/>
        <w:b/>
        <w:color w:val="000000"/>
        <w:sz w:val="20"/>
        <w:szCs w:val="20"/>
      </w:rPr>
      <w:fldChar w:fldCharType="end"/>
    </w:r>
  </w:p>
  <w:p w14:paraId="398C049F" w14:textId="77777777" w:rsidR="00F41957" w:rsidRDefault="00F4195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52CE0" w14:textId="77777777" w:rsidR="00F41957" w:rsidRDefault="00F4195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A78E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A78E7">
      <w:rPr>
        <w:rFonts w:ascii="Palatino Linotype" w:eastAsia="Palatino Linotype" w:hAnsi="Palatino Linotype" w:cs="Palatino Linotype"/>
        <w:b/>
        <w:noProof/>
        <w:color w:val="000000"/>
        <w:sz w:val="20"/>
        <w:szCs w:val="20"/>
      </w:rPr>
      <w:t>74</w:t>
    </w:r>
    <w:r>
      <w:rPr>
        <w:rFonts w:ascii="Palatino Linotype" w:eastAsia="Palatino Linotype" w:hAnsi="Palatino Linotype" w:cs="Palatino Linotype"/>
        <w:b/>
        <w:color w:val="000000"/>
        <w:sz w:val="20"/>
        <w:szCs w:val="20"/>
      </w:rPr>
      <w:fldChar w:fldCharType="end"/>
    </w:r>
  </w:p>
  <w:p w14:paraId="7E374E09" w14:textId="77777777" w:rsidR="00F41957" w:rsidRDefault="00F4195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531C4" w14:textId="77777777" w:rsidR="005917B0" w:rsidRDefault="005917B0">
      <w:r>
        <w:separator/>
      </w:r>
    </w:p>
  </w:footnote>
  <w:footnote w:type="continuationSeparator" w:id="0">
    <w:p w14:paraId="0CA5FACF" w14:textId="77777777" w:rsidR="005917B0" w:rsidRDefault="005917B0">
      <w:r>
        <w:continuationSeparator/>
      </w:r>
    </w:p>
  </w:footnote>
  <w:footnote w:id="1">
    <w:p w14:paraId="6C018E59" w14:textId="77777777" w:rsidR="00F41957" w:rsidRPr="00315110" w:rsidRDefault="00F41957" w:rsidP="00A23245">
      <w:pPr>
        <w:pStyle w:val="Textonotapie"/>
        <w:jc w:val="both"/>
        <w:rPr>
          <w:rFonts w:ascii="Palatino Linotype" w:hAnsi="Palatino Linotype"/>
          <w:i/>
          <w:sz w:val="16"/>
          <w:szCs w:val="16"/>
        </w:rPr>
      </w:pPr>
      <w:r w:rsidRPr="00315110">
        <w:rPr>
          <w:rStyle w:val="Refdenotaalpie"/>
          <w:rFonts w:ascii="Palatino Linotype" w:hAnsi="Palatino Linotype"/>
          <w:i/>
          <w:sz w:val="16"/>
          <w:szCs w:val="16"/>
        </w:rPr>
        <w:footnoteRef/>
      </w:r>
      <w:r w:rsidRPr="00315110">
        <w:rPr>
          <w:rFonts w:ascii="Palatino Linotype" w:hAnsi="Palatino Linotype"/>
          <w:i/>
          <w:sz w:val="16"/>
          <w:szCs w:val="16"/>
        </w:rPr>
        <w:t xml:space="preserve"> “</w:t>
      </w:r>
      <w:r w:rsidRPr="00315110">
        <w:rPr>
          <w:rFonts w:ascii="Palatino Linotype" w:hAnsi="Palatino Linotype"/>
          <w:b/>
          <w:i/>
          <w:sz w:val="16"/>
          <w:szCs w:val="16"/>
        </w:rPr>
        <w:t>Artículo 185.</w:t>
      </w:r>
      <w:r w:rsidRPr="00315110">
        <w:rPr>
          <w:rFonts w:ascii="Palatino Linotype" w:hAnsi="Palatino Linotype"/>
          <w:i/>
          <w:sz w:val="16"/>
          <w:szCs w:val="16"/>
        </w:rPr>
        <w:t xml:space="preserve"> El Instituto resolverá el recurso de revisión conforme a lo siguiente: (…)</w:t>
      </w:r>
    </w:p>
    <w:p w14:paraId="12BED3A9" w14:textId="77777777" w:rsidR="00F41957" w:rsidRPr="00315110" w:rsidRDefault="00F41957" w:rsidP="00A23245">
      <w:pPr>
        <w:pStyle w:val="Textonotapie"/>
        <w:jc w:val="both"/>
        <w:rPr>
          <w:rFonts w:ascii="Palatino Linotype" w:hAnsi="Palatino Linotype"/>
          <w:i/>
          <w:sz w:val="16"/>
          <w:szCs w:val="16"/>
        </w:rPr>
      </w:pPr>
      <w:r w:rsidRPr="00315110">
        <w:rPr>
          <w:rFonts w:ascii="Palatino Linotype" w:hAnsi="Palatino Linotype"/>
          <w:i/>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77932C96" w14:textId="77777777" w:rsidR="00F41957" w:rsidRPr="00646A46" w:rsidRDefault="00F41957" w:rsidP="007B3145">
      <w:pPr>
        <w:jc w:val="both"/>
        <w:rPr>
          <w:rFonts w:ascii="Palatino Linotype" w:eastAsia="Palatino Linotype" w:hAnsi="Palatino Linotype" w:cs="Palatino Linotype"/>
          <w:i/>
          <w:sz w:val="16"/>
          <w:szCs w:val="16"/>
        </w:rPr>
      </w:pPr>
      <w:r w:rsidRPr="00646A46">
        <w:rPr>
          <w:rFonts w:ascii="Palatino Linotype" w:hAnsi="Palatino Linotype"/>
          <w:sz w:val="16"/>
          <w:szCs w:val="16"/>
          <w:vertAlign w:val="superscript"/>
        </w:rPr>
        <w:footnoteRef/>
      </w:r>
      <w:r w:rsidRPr="00646A46">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64225E0B" w14:textId="77777777" w:rsidR="00F41957" w:rsidRPr="00646A46" w:rsidRDefault="00F41957" w:rsidP="007B3145">
      <w:pPr>
        <w:jc w:val="both"/>
        <w:rPr>
          <w:rFonts w:ascii="Palatino Linotype" w:eastAsia="Palatino Linotype" w:hAnsi="Palatino Linotype" w:cs="Palatino Linotype"/>
          <w:i/>
          <w:sz w:val="16"/>
          <w:szCs w:val="16"/>
        </w:rPr>
      </w:pPr>
      <w:r w:rsidRPr="00646A46">
        <w:rPr>
          <w:rFonts w:ascii="Palatino Linotype" w:eastAsia="Palatino Linotype" w:hAnsi="Palatino Linotype" w:cs="Palatino Linotype"/>
          <w:i/>
          <w:sz w:val="16"/>
          <w:szCs w:val="16"/>
        </w:rPr>
        <w:t>….</w:t>
      </w:r>
    </w:p>
    <w:p w14:paraId="157EA709" w14:textId="77777777" w:rsidR="00F41957" w:rsidRPr="00646A46" w:rsidRDefault="00F41957" w:rsidP="007B3145">
      <w:pPr>
        <w:jc w:val="both"/>
        <w:rPr>
          <w:rFonts w:ascii="Palatino Linotype" w:eastAsia="Palatino Linotype" w:hAnsi="Palatino Linotype" w:cs="Palatino Linotype"/>
          <w:i/>
          <w:sz w:val="16"/>
          <w:szCs w:val="16"/>
        </w:rPr>
      </w:pPr>
      <w:r w:rsidRPr="00646A46">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3">
    <w:p w14:paraId="3CF4A988" w14:textId="77777777" w:rsidR="00F41957" w:rsidRPr="00EE3981" w:rsidRDefault="00F41957" w:rsidP="009A3B98">
      <w:pPr>
        <w:pStyle w:val="Textonotapie"/>
        <w:jc w:val="both"/>
        <w:rPr>
          <w:rFonts w:ascii="Palatino Linotype" w:hAnsi="Palatino Linotype"/>
          <w:sz w:val="16"/>
          <w:szCs w:val="16"/>
        </w:rPr>
      </w:pPr>
      <w:r w:rsidRPr="00EE3981">
        <w:rPr>
          <w:rStyle w:val="Refdenotaalpie"/>
          <w:rFonts w:ascii="Palatino Linotype" w:hAnsi="Palatino Linotype"/>
          <w:sz w:val="16"/>
          <w:szCs w:val="16"/>
        </w:rPr>
        <w:footnoteRef/>
      </w:r>
      <w:r w:rsidRPr="00EE3981">
        <w:rPr>
          <w:rFonts w:ascii="Palatino Linotype" w:hAnsi="Palatino Linotype"/>
          <w:sz w:val="16"/>
          <w:szCs w:val="16"/>
        </w:rPr>
        <w:t xml:space="preserve"> </w:t>
      </w:r>
      <w:r w:rsidRPr="00EE3981">
        <w:rPr>
          <w:rFonts w:ascii="Palatino Linotype" w:hAnsi="Palatino Linotype"/>
          <w:b/>
          <w:bCs/>
          <w:sz w:val="16"/>
          <w:szCs w:val="16"/>
        </w:rPr>
        <w:t>Artículo 161</w:t>
      </w:r>
      <w:r w:rsidRPr="00EE3981">
        <w:rPr>
          <w:rFonts w:ascii="Palatino Linotype" w:hAnsi="Palatino Linotype"/>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4">
    <w:p w14:paraId="1E891D8C" w14:textId="77777777" w:rsidR="00F41957" w:rsidRDefault="00F41957" w:rsidP="00831A5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hyperlink r:id="rId1">
        <w:r>
          <w:rPr>
            <w:rFonts w:ascii="Palatino Linotype" w:eastAsia="Palatino Linotype" w:hAnsi="Palatino Linotype" w:cs="Palatino Linotype"/>
            <w:color w:val="0000FF"/>
            <w:sz w:val="16"/>
            <w:szCs w:val="16"/>
            <w:u w:val="single"/>
          </w:rPr>
          <w:t>https://www.osfem.gob.mx/04_Iconografia/Ent_Fisc/Doc_Apoy/Doc_Apoy.html</w:t>
        </w:r>
      </w:hyperlink>
    </w:p>
  </w:footnote>
  <w:footnote w:id="5">
    <w:p w14:paraId="6494A4C9" w14:textId="77777777" w:rsidR="00F41957" w:rsidRDefault="00F41957" w:rsidP="0096387C">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2192E" w14:textId="77777777" w:rsidR="00F41957" w:rsidRPr="00C5604F" w:rsidRDefault="00F41957">
    <w:pPr>
      <w:rPr>
        <w:rFonts w:ascii="Cambria" w:eastAsia="Cambria" w:hAnsi="Cambria" w:cs="Cambria"/>
      </w:rPr>
    </w:pPr>
    <w:r w:rsidRPr="00C5604F">
      <w:rPr>
        <w:noProof/>
      </w:rPr>
      <w:drawing>
        <wp:anchor distT="0" distB="0" distL="0" distR="0" simplePos="0" relativeHeight="251658240" behindDoc="1" locked="0" layoutInCell="1" hidden="0" allowOverlap="1" wp14:anchorId="6816B349" wp14:editId="49E8DB66">
          <wp:simplePos x="0" y="0"/>
          <wp:positionH relativeFrom="column">
            <wp:posOffset>-1080124</wp:posOffset>
          </wp:positionH>
          <wp:positionV relativeFrom="paragraph">
            <wp:posOffset>-488303</wp:posOffset>
          </wp:positionV>
          <wp:extent cx="7809865" cy="1016571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24"/>
      <w:tblW w:w="5953" w:type="dxa"/>
      <w:tblInd w:w="3261" w:type="dxa"/>
      <w:tblLayout w:type="fixed"/>
      <w:tblLook w:val="0400" w:firstRow="0" w:lastRow="0" w:firstColumn="0" w:lastColumn="0" w:noHBand="0" w:noVBand="1"/>
    </w:tblPr>
    <w:tblGrid>
      <w:gridCol w:w="2489"/>
      <w:gridCol w:w="3464"/>
    </w:tblGrid>
    <w:tr w:rsidR="00F41957" w:rsidRPr="00C5604F" w14:paraId="0BA73E55" w14:textId="77777777">
      <w:tc>
        <w:tcPr>
          <w:tcW w:w="2489" w:type="dxa"/>
          <w:shd w:val="clear" w:color="auto" w:fill="auto"/>
        </w:tcPr>
        <w:p w14:paraId="0AACEE74" w14:textId="77777777" w:rsidR="00F41957" w:rsidRPr="00C5604F" w:rsidRDefault="00F41957">
          <w:pPr>
            <w:rPr>
              <w:rFonts w:ascii="Palatino Linotype" w:eastAsia="Palatino Linotype" w:hAnsi="Palatino Linotype" w:cs="Palatino Linotype"/>
              <w:b/>
              <w:sz w:val="22"/>
              <w:szCs w:val="22"/>
            </w:rPr>
          </w:pPr>
          <w:r w:rsidRPr="00C5604F">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448B78" w14:textId="27566181" w:rsidR="00F41957" w:rsidRPr="00C5604F" w:rsidRDefault="00F4195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1760</w:t>
          </w:r>
          <w:r w:rsidRPr="00C5604F">
            <w:rPr>
              <w:rFonts w:ascii="Palatino Linotype" w:eastAsia="Palatino Linotype" w:hAnsi="Palatino Linotype" w:cs="Palatino Linotype"/>
              <w:b/>
              <w:sz w:val="22"/>
              <w:szCs w:val="22"/>
            </w:rPr>
            <w:t>4/INFOEM/IP/RR/2022</w:t>
          </w:r>
        </w:p>
      </w:tc>
    </w:tr>
    <w:tr w:rsidR="00F41957" w:rsidRPr="00C5604F" w14:paraId="48F52DF4" w14:textId="77777777">
      <w:trPr>
        <w:trHeight w:val="228"/>
      </w:trPr>
      <w:tc>
        <w:tcPr>
          <w:tcW w:w="2489" w:type="dxa"/>
          <w:shd w:val="clear" w:color="auto" w:fill="auto"/>
          <w:vAlign w:val="center"/>
        </w:tcPr>
        <w:p w14:paraId="2A0EFE26" w14:textId="77777777" w:rsidR="00F41957" w:rsidRPr="00C5604F" w:rsidRDefault="00F41957">
          <w:pPr>
            <w:rPr>
              <w:rFonts w:ascii="Palatino Linotype" w:eastAsia="Palatino Linotype" w:hAnsi="Palatino Linotype" w:cs="Palatino Linotype"/>
              <w:b/>
              <w:sz w:val="22"/>
              <w:szCs w:val="22"/>
            </w:rPr>
          </w:pPr>
          <w:r w:rsidRPr="00C5604F">
            <w:rPr>
              <w:rFonts w:ascii="Palatino Linotype" w:eastAsia="Palatino Linotype" w:hAnsi="Palatino Linotype" w:cs="Palatino Linotype"/>
              <w:b/>
              <w:sz w:val="22"/>
              <w:szCs w:val="22"/>
            </w:rPr>
            <w:t>Sujeto Obligado:</w:t>
          </w:r>
        </w:p>
      </w:tc>
      <w:tc>
        <w:tcPr>
          <w:tcW w:w="3464" w:type="dxa"/>
          <w:shd w:val="clear" w:color="auto" w:fill="auto"/>
          <w:vAlign w:val="center"/>
        </w:tcPr>
        <w:p w14:paraId="1C38C548" w14:textId="51E65BEF" w:rsidR="00F41957" w:rsidRPr="00C5604F" w:rsidRDefault="00F41957">
          <w:pPr>
            <w:ind w:left="-45" w:right="176"/>
            <w:jc w:val="both"/>
            <w:rPr>
              <w:rFonts w:ascii="Palatino Linotype" w:eastAsia="Palatino Linotype" w:hAnsi="Palatino Linotype" w:cs="Palatino Linotype"/>
              <w:b/>
              <w:sz w:val="22"/>
              <w:szCs w:val="22"/>
            </w:rPr>
          </w:pPr>
          <w:r w:rsidRPr="00C5604F">
            <w:rPr>
              <w:rFonts w:ascii="Palatino Linotype" w:eastAsia="Palatino Linotype" w:hAnsi="Palatino Linotype" w:cs="Palatino Linotype"/>
              <w:b/>
              <w:sz w:val="22"/>
              <w:szCs w:val="22"/>
            </w:rPr>
            <w:t>Ayuntamiento de Zinacantepec</w:t>
          </w:r>
        </w:p>
      </w:tc>
    </w:tr>
    <w:tr w:rsidR="00F41957" w:rsidRPr="00C5604F" w14:paraId="40860986" w14:textId="77777777">
      <w:tc>
        <w:tcPr>
          <w:tcW w:w="2489" w:type="dxa"/>
          <w:shd w:val="clear" w:color="auto" w:fill="auto"/>
          <w:vAlign w:val="center"/>
        </w:tcPr>
        <w:p w14:paraId="00F0B878" w14:textId="77777777" w:rsidR="00F41957" w:rsidRPr="00C5604F" w:rsidRDefault="00F41957">
          <w:pPr>
            <w:ind w:right="-108"/>
            <w:rPr>
              <w:rFonts w:ascii="Palatino Linotype" w:eastAsia="Palatino Linotype" w:hAnsi="Palatino Linotype" w:cs="Palatino Linotype"/>
              <w:b/>
              <w:sz w:val="22"/>
              <w:szCs w:val="22"/>
            </w:rPr>
          </w:pPr>
          <w:r w:rsidRPr="00C5604F">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DE18A5E" w14:textId="77777777" w:rsidR="00F41957" w:rsidRPr="00C5604F" w:rsidRDefault="00F41957">
          <w:pPr>
            <w:ind w:right="175"/>
            <w:jc w:val="both"/>
            <w:rPr>
              <w:rFonts w:ascii="Palatino Linotype" w:eastAsia="Palatino Linotype" w:hAnsi="Palatino Linotype" w:cs="Palatino Linotype"/>
              <w:b/>
              <w:sz w:val="22"/>
              <w:szCs w:val="22"/>
            </w:rPr>
          </w:pPr>
          <w:r w:rsidRPr="00C5604F">
            <w:rPr>
              <w:rFonts w:ascii="Palatino Linotype" w:eastAsia="Palatino Linotype" w:hAnsi="Palatino Linotype" w:cs="Palatino Linotype"/>
              <w:b/>
              <w:sz w:val="22"/>
              <w:szCs w:val="22"/>
            </w:rPr>
            <w:t>Guadalupe Ramírez Peña</w:t>
          </w:r>
        </w:p>
      </w:tc>
    </w:tr>
  </w:tbl>
  <w:p w14:paraId="712822B2" w14:textId="77777777" w:rsidR="00F41957" w:rsidRPr="00C5604F" w:rsidRDefault="00F41957">
    <w:pPr>
      <w:rPr>
        <w:rFonts w:ascii="Cambria" w:eastAsia="Cambria" w:hAnsi="Cambria" w:cs="Cambria"/>
      </w:rPr>
    </w:pPr>
    <w:r w:rsidRPr="00C5604F">
      <w:rPr>
        <w:rFonts w:ascii="Cambria" w:eastAsia="Cambria" w:hAnsi="Cambria" w:cs="Cambr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21252" w14:textId="77777777" w:rsidR="00F41957" w:rsidRDefault="00F4195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25"/>
      <w:tblW w:w="5670" w:type="dxa"/>
      <w:tblInd w:w="3261" w:type="dxa"/>
      <w:tblLayout w:type="fixed"/>
      <w:tblLook w:val="0400" w:firstRow="0" w:lastRow="0" w:firstColumn="0" w:lastColumn="0" w:noHBand="0" w:noVBand="1"/>
    </w:tblPr>
    <w:tblGrid>
      <w:gridCol w:w="2551"/>
      <w:gridCol w:w="3119"/>
    </w:tblGrid>
    <w:tr w:rsidR="00F41957" w14:paraId="101B93CB" w14:textId="77777777">
      <w:tc>
        <w:tcPr>
          <w:tcW w:w="2551" w:type="dxa"/>
          <w:shd w:val="clear" w:color="auto" w:fill="auto"/>
          <w:vAlign w:val="center"/>
        </w:tcPr>
        <w:p w14:paraId="5735BF03" w14:textId="77777777" w:rsidR="00F41957" w:rsidRDefault="00F419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3EDAD3B" w14:textId="3FE634AD" w:rsidR="00F41957" w:rsidRDefault="00F41957" w:rsidP="00186828">
          <w:pPr>
            <w:tabs>
              <w:tab w:val="left" w:pos="3153"/>
            </w:tabs>
            <w:ind w:left="-4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17604/INFOEM/IP/RR/2022</w:t>
          </w:r>
        </w:p>
      </w:tc>
    </w:tr>
    <w:tr w:rsidR="00F41957" w14:paraId="0D4B68B9" w14:textId="77777777">
      <w:trPr>
        <w:trHeight w:val="130"/>
      </w:trPr>
      <w:tc>
        <w:tcPr>
          <w:tcW w:w="2551" w:type="dxa"/>
          <w:shd w:val="clear" w:color="auto" w:fill="auto"/>
          <w:vAlign w:val="center"/>
        </w:tcPr>
        <w:p w14:paraId="0D0180AE" w14:textId="77777777" w:rsidR="00F41957" w:rsidRDefault="00F419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DB253F4" w14:textId="0D61AE34" w:rsidR="00F41957" w:rsidRDefault="00F41957">
          <w:pPr>
            <w:ind w:left="-45"/>
            <w:jc w:val="both"/>
            <w:rPr>
              <w:rFonts w:ascii="Palatino Linotype" w:eastAsia="Palatino Linotype" w:hAnsi="Palatino Linotype" w:cs="Palatino Linotype"/>
              <w:b/>
              <w:sz w:val="22"/>
              <w:szCs w:val="22"/>
            </w:rPr>
          </w:pPr>
        </w:p>
      </w:tc>
    </w:tr>
    <w:tr w:rsidR="00F41957" w14:paraId="4C85BCB2" w14:textId="77777777">
      <w:trPr>
        <w:trHeight w:val="228"/>
      </w:trPr>
      <w:tc>
        <w:tcPr>
          <w:tcW w:w="2551" w:type="dxa"/>
          <w:shd w:val="clear" w:color="auto" w:fill="auto"/>
          <w:vAlign w:val="center"/>
        </w:tcPr>
        <w:p w14:paraId="20FD33B6" w14:textId="77777777" w:rsidR="00F41957" w:rsidRDefault="00F419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CB590EE" w14:textId="1B12F82C" w:rsidR="00F41957" w:rsidRDefault="00F41957">
          <w:pPr>
            <w:ind w:left="-45" w:right="176"/>
            <w:jc w:val="both"/>
            <w:rPr>
              <w:rFonts w:ascii="Palatino Linotype" w:eastAsia="Palatino Linotype" w:hAnsi="Palatino Linotype" w:cs="Palatino Linotype"/>
              <w:b/>
              <w:sz w:val="22"/>
              <w:szCs w:val="22"/>
            </w:rPr>
          </w:pPr>
          <w:r w:rsidRPr="00186828">
            <w:rPr>
              <w:rFonts w:ascii="Palatino Linotype" w:eastAsia="Palatino Linotype" w:hAnsi="Palatino Linotype" w:cs="Palatino Linotype"/>
              <w:b/>
              <w:sz w:val="22"/>
              <w:szCs w:val="22"/>
            </w:rPr>
            <w:t>Ayuntamiento de Zinacantepec</w:t>
          </w:r>
        </w:p>
      </w:tc>
    </w:tr>
    <w:tr w:rsidR="00F41957" w14:paraId="6B36D93B" w14:textId="77777777">
      <w:tc>
        <w:tcPr>
          <w:tcW w:w="2551" w:type="dxa"/>
          <w:shd w:val="clear" w:color="auto" w:fill="auto"/>
          <w:vAlign w:val="center"/>
        </w:tcPr>
        <w:p w14:paraId="41A4E862" w14:textId="77777777" w:rsidR="00F41957" w:rsidRDefault="00F4195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E73CAC5" w14:textId="77777777" w:rsidR="00F41957" w:rsidRDefault="00F4195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2389B67" w14:textId="77777777" w:rsidR="00F41957" w:rsidRDefault="00F41957">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0535B6C5" wp14:editId="78B14774">
          <wp:simplePos x="0" y="0"/>
          <wp:positionH relativeFrom="column">
            <wp:posOffset>-1089649</wp:posOffset>
          </wp:positionH>
          <wp:positionV relativeFrom="paragraph">
            <wp:posOffset>-1169659</wp:posOffset>
          </wp:positionV>
          <wp:extent cx="7809865" cy="1016571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1B1B1637"/>
    <w:multiLevelType w:val="multilevel"/>
    <w:tmpl w:val="6870184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451619B"/>
    <w:multiLevelType w:val="multilevel"/>
    <w:tmpl w:val="867A8366"/>
    <w:lvl w:ilvl="0">
      <w:start w:val="11"/>
      <w:numFmt w:val="upp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252E7FFD"/>
    <w:multiLevelType w:val="multilevel"/>
    <w:tmpl w:val="A88A47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6676542"/>
    <w:multiLevelType w:val="hybridMultilevel"/>
    <w:tmpl w:val="44E223BE"/>
    <w:lvl w:ilvl="0" w:tplc="717877E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D903DB"/>
    <w:multiLevelType w:val="multilevel"/>
    <w:tmpl w:val="30F0E8BA"/>
    <w:lvl w:ilvl="0">
      <w:start w:val="1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76F20F7"/>
    <w:multiLevelType w:val="hybridMultilevel"/>
    <w:tmpl w:val="2EB2C418"/>
    <w:lvl w:ilvl="0" w:tplc="9D2663F6">
      <w:start w:val="1"/>
      <w:numFmt w:val="decimal"/>
      <w:lvlText w:val="%1."/>
      <w:lvlJc w:val="left"/>
      <w:pPr>
        <w:ind w:left="360" w:hanging="360"/>
      </w:pPr>
      <w:rPr>
        <w:rFonts w:eastAsia="Palatino Linotype" w:cs="Palatino Linotype" w:hint="default"/>
        <w:i w:val="0"/>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49B3142C"/>
    <w:multiLevelType w:val="multilevel"/>
    <w:tmpl w:val="043E232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5BCA264C"/>
    <w:multiLevelType w:val="hybridMultilevel"/>
    <w:tmpl w:val="E5BAA9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60585588"/>
    <w:multiLevelType w:val="multilevel"/>
    <w:tmpl w:val="1A548836"/>
    <w:lvl w:ilvl="0">
      <w:start w:val="1"/>
      <w:numFmt w:val="upperRoman"/>
      <w:lvlText w:val="%1."/>
      <w:lvlJc w:val="left"/>
      <w:pPr>
        <w:ind w:left="1713" w:hanging="360"/>
      </w:pPr>
      <w:rPr>
        <w:b/>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3">
    <w:nsid w:val="63A61B57"/>
    <w:multiLevelType w:val="hybridMultilevel"/>
    <w:tmpl w:val="9E52553E"/>
    <w:lvl w:ilvl="0" w:tplc="BE0EC09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EF03215"/>
    <w:multiLevelType w:val="hybridMultilevel"/>
    <w:tmpl w:val="F9E6B6A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710807FC"/>
    <w:multiLevelType w:val="multilevel"/>
    <w:tmpl w:val="E604B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4"/>
  </w:num>
  <w:num w:numId="4">
    <w:abstractNumId w:val="8"/>
  </w:num>
  <w:num w:numId="5">
    <w:abstractNumId w:val="15"/>
  </w:num>
  <w:num w:numId="6">
    <w:abstractNumId w:val="10"/>
  </w:num>
  <w:num w:numId="7">
    <w:abstractNumId w:val="6"/>
  </w:num>
  <w:num w:numId="8">
    <w:abstractNumId w:val="7"/>
  </w:num>
  <w:num w:numId="9">
    <w:abstractNumId w:val="13"/>
  </w:num>
  <w:num w:numId="10">
    <w:abstractNumId w:val="9"/>
  </w:num>
  <w:num w:numId="11">
    <w:abstractNumId w:val="2"/>
  </w:num>
  <w:num w:numId="12">
    <w:abstractNumId w:val="11"/>
  </w:num>
  <w:num w:numId="13">
    <w:abstractNumId w:val="1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60"/>
    <w:rsid w:val="00015E38"/>
    <w:rsid w:val="00015F4F"/>
    <w:rsid w:val="00052184"/>
    <w:rsid w:val="000650EA"/>
    <w:rsid w:val="00065613"/>
    <w:rsid w:val="0006617F"/>
    <w:rsid w:val="00066382"/>
    <w:rsid w:val="00087F28"/>
    <w:rsid w:val="000A6425"/>
    <w:rsid w:val="000B5C16"/>
    <w:rsid w:val="000C43D1"/>
    <w:rsid w:val="000D04CE"/>
    <w:rsid w:val="000D40D2"/>
    <w:rsid w:val="000E4636"/>
    <w:rsid w:val="000F21E1"/>
    <w:rsid w:val="00135335"/>
    <w:rsid w:val="001406D3"/>
    <w:rsid w:val="00146F53"/>
    <w:rsid w:val="001474C6"/>
    <w:rsid w:val="00151F7A"/>
    <w:rsid w:val="0017768A"/>
    <w:rsid w:val="00186828"/>
    <w:rsid w:val="001A399D"/>
    <w:rsid w:val="001A6C1B"/>
    <w:rsid w:val="001C3177"/>
    <w:rsid w:val="001E7E2F"/>
    <w:rsid w:val="00201E94"/>
    <w:rsid w:val="0021772B"/>
    <w:rsid w:val="0022378F"/>
    <w:rsid w:val="00231171"/>
    <w:rsid w:val="00231716"/>
    <w:rsid w:val="00237011"/>
    <w:rsid w:val="00237F1B"/>
    <w:rsid w:val="00263263"/>
    <w:rsid w:val="002D2214"/>
    <w:rsid w:val="002D63FA"/>
    <w:rsid w:val="002E33A5"/>
    <w:rsid w:val="002F514F"/>
    <w:rsid w:val="002F6597"/>
    <w:rsid w:val="00300417"/>
    <w:rsid w:val="003032AF"/>
    <w:rsid w:val="0031371A"/>
    <w:rsid w:val="003149B2"/>
    <w:rsid w:val="00315C49"/>
    <w:rsid w:val="00330177"/>
    <w:rsid w:val="00333410"/>
    <w:rsid w:val="003375E0"/>
    <w:rsid w:val="0034034E"/>
    <w:rsid w:val="00345DB7"/>
    <w:rsid w:val="003A22B8"/>
    <w:rsid w:val="003B63E2"/>
    <w:rsid w:val="003B738F"/>
    <w:rsid w:val="003E263C"/>
    <w:rsid w:val="00426E4A"/>
    <w:rsid w:val="00447C86"/>
    <w:rsid w:val="004518D4"/>
    <w:rsid w:val="00470496"/>
    <w:rsid w:val="0048115B"/>
    <w:rsid w:val="004A3772"/>
    <w:rsid w:val="004A654F"/>
    <w:rsid w:val="004C349B"/>
    <w:rsid w:val="004C4342"/>
    <w:rsid w:val="004E2308"/>
    <w:rsid w:val="004F560E"/>
    <w:rsid w:val="00504D30"/>
    <w:rsid w:val="00522CCB"/>
    <w:rsid w:val="00545D70"/>
    <w:rsid w:val="0055287D"/>
    <w:rsid w:val="00573C96"/>
    <w:rsid w:val="005917B0"/>
    <w:rsid w:val="005D01DB"/>
    <w:rsid w:val="00602C14"/>
    <w:rsid w:val="006626E3"/>
    <w:rsid w:val="00673A0D"/>
    <w:rsid w:val="006841A5"/>
    <w:rsid w:val="006C1F45"/>
    <w:rsid w:val="00707CC8"/>
    <w:rsid w:val="00715C2F"/>
    <w:rsid w:val="00716691"/>
    <w:rsid w:val="007237EF"/>
    <w:rsid w:val="00757A60"/>
    <w:rsid w:val="007942F1"/>
    <w:rsid w:val="007B19E7"/>
    <w:rsid w:val="007B3145"/>
    <w:rsid w:val="007C25EC"/>
    <w:rsid w:val="007D1602"/>
    <w:rsid w:val="007E7B21"/>
    <w:rsid w:val="008008FB"/>
    <w:rsid w:val="00815302"/>
    <w:rsid w:val="00831A5E"/>
    <w:rsid w:val="00836D49"/>
    <w:rsid w:val="0084172C"/>
    <w:rsid w:val="00843156"/>
    <w:rsid w:val="00856E49"/>
    <w:rsid w:val="00860267"/>
    <w:rsid w:val="00860AD3"/>
    <w:rsid w:val="00864FD4"/>
    <w:rsid w:val="0086710B"/>
    <w:rsid w:val="00867676"/>
    <w:rsid w:val="00877CEB"/>
    <w:rsid w:val="008851F5"/>
    <w:rsid w:val="00887C3F"/>
    <w:rsid w:val="008969CF"/>
    <w:rsid w:val="008A31B4"/>
    <w:rsid w:val="008B5848"/>
    <w:rsid w:val="008B69B9"/>
    <w:rsid w:val="008E2A76"/>
    <w:rsid w:val="008E5FC9"/>
    <w:rsid w:val="0093770A"/>
    <w:rsid w:val="00944626"/>
    <w:rsid w:val="0096387C"/>
    <w:rsid w:val="00964204"/>
    <w:rsid w:val="0097343E"/>
    <w:rsid w:val="0097412C"/>
    <w:rsid w:val="009750FC"/>
    <w:rsid w:val="009A3B98"/>
    <w:rsid w:val="009A7A94"/>
    <w:rsid w:val="009B7B8A"/>
    <w:rsid w:val="009D5C87"/>
    <w:rsid w:val="009E6AEE"/>
    <w:rsid w:val="00A0122B"/>
    <w:rsid w:val="00A02181"/>
    <w:rsid w:val="00A10907"/>
    <w:rsid w:val="00A14835"/>
    <w:rsid w:val="00A200AB"/>
    <w:rsid w:val="00A23245"/>
    <w:rsid w:val="00A3130D"/>
    <w:rsid w:val="00A62C00"/>
    <w:rsid w:val="00A6342F"/>
    <w:rsid w:val="00A74E6B"/>
    <w:rsid w:val="00A754DD"/>
    <w:rsid w:val="00A80DA4"/>
    <w:rsid w:val="00A83E13"/>
    <w:rsid w:val="00A975E1"/>
    <w:rsid w:val="00AB6EA1"/>
    <w:rsid w:val="00AC0A3F"/>
    <w:rsid w:val="00AC2452"/>
    <w:rsid w:val="00AF34BC"/>
    <w:rsid w:val="00AF6D91"/>
    <w:rsid w:val="00B47758"/>
    <w:rsid w:val="00B510BE"/>
    <w:rsid w:val="00B51364"/>
    <w:rsid w:val="00BA2B38"/>
    <w:rsid w:val="00BA68EF"/>
    <w:rsid w:val="00BD3997"/>
    <w:rsid w:val="00BE20B3"/>
    <w:rsid w:val="00BF4F11"/>
    <w:rsid w:val="00C133D5"/>
    <w:rsid w:val="00C208E5"/>
    <w:rsid w:val="00C3705F"/>
    <w:rsid w:val="00C41A09"/>
    <w:rsid w:val="00C5604F"/>
    <w:rsid w:val="00C8438D"/>
    <w:rsid w:val="00C862C2"/>
    <w:rsid w:val="00C95A36"/>
    <w:rsid w:val="00C96126"/>
    <w:rsid w:val="00CA3E64"/>
    <w:rsid w:val="00CB7EEE"/>
    <w:rsid w:val="00CC002F"/>
    <w:rsid w:val="00CC5A0C"/>
    <w:rsid w:val="00CF09F7"/>
    <w:rsid w:val="00CF6192"/>
    <w:rsid w:val="00D06AFC"/>
    <w:rsid w:val="00D12B2F"/>
    <w:rsid w:val="00D13BBB"/>
    <w:rsid w:val="00D14903"/>
    <w:rsid w:val="00D24768"/>
    <w:rsid w:val="00D25E33"/>
    <w:rsid w:val="00D367B2"/>
    <w:rsid w:val="00D672BA"/>
    <w:rsid w:val="00D67BE1"/>
    <w:rsid w:val="00D71EF5"/>
    <w:rsid w:val="00D954DB"/>
    <w:rsid w:val="00DA3AA6"/>
    <w:rsid w:val="00DA4D38"/>
    <w:rsid w:val="00DC29DD"/>
    <w:rsid w:val="00DD1B86"/>
    <w:rsid w:val="00DF52BF"/>
    <w:rsid w:val="00E17E30"/>
    <w:rsid w:val="00E369D9"/>
    <w:rsid w:val="00E41507"/>
    <w:rsid w:val="00E43AEB"/>
    <w:rsid w:val="00E618F6"/>
    <w:rsid w:val="00E64A5D"/>
    <w:rsid w:val="00E70DAB"/>
    <w:rsid w:val="00E773C7"/>
    <w:rsid w:val="00E85DA7"/>
    <w:rsid w:val="00EA78E7"/>
    <w:rsid w:val="00EB3256"/>
    <w:rsid w:val="00EC1844"/>
    <w:rsid w:val="00EC61B8"/>
    <w:rsid w:val="00EE627E"/>
    <w:rsid w:val="00EE6F75"/>
    <w:rsid w:val="00EF06BD"/>
    <w:rsid w:val="00F008FF"/>
    <w:rsid w:val="00F059F1"/>
    <w:rsid w:val="00F147D1"/>
    <w:rsid w:val="00F14C75"/>
    <w:rsid w:val="00F1794A"/>
    <w:rsid w:val="00F341EE"/>
    <w:rsid w:val="00F41957"/>
    <w:rsid w:val="00F47798"/>
    <w:rsid w:val="00F5142E"/>
    <w:rsid w:val="00F56D28"/>
    <w:rsid w:val="00F60976"/>
    <w:rsid w:val="00FA0A34"/>
    <w:rsid w:val="00FB54E3"/>
    <w:rsid w:val="00FB757E"/>
    <w:rsid w:val="00FD264A"/>
    <w:rsid w:val="00FF3B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FDE6"/>
  <w15:docId w15:val="{06FE04CB-2F4F-47BB-A255-315D33B2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
    <w:name w:val="6"/>
    <w:basedOn w:val="TableNormal2"/>
    <w:tblPr>
      <w:tblStyleRowBandSize w:val="1"/>
      <w:tblStyleColBandSize w:val="1"/>
      <w:tblCellMar>
        <w:top w:w="0" w:type="dxa"/>
        <w:left w:w="115" w:type="dxa"/>
        <w:bottom w:w="0" w:type="dxa"/>
        <w:right w:w="115" w:type="dxa"/>
      </w:tblCellMar>
    </w:tblPr>
  </w:style>
  <w:style w:type="table" w:customStyle="1" w:styleId="5">
    <w:name w:val="5"/>
    <w:basedOn w:val="TableNormal2"/>
    <w:tblPr>
      <w:tblStyleRowBandSize w:val="1"/>
      <w:tblStyleColBandSize w:val="1"/>
      <w:tblCellMar>
        <w:top w:w="0" w:type="dxa"/>
        <w:left w:w="115" w:type="dxa"/>
        <w:bottom w:w="0" w:type="dxa"/>
        <w:right w:w="115" w:type="dxa"/>
      </w:tblCellMar>
    </w:tblPr>
  </w:style>
  <w:style w:type="table" w:customStyle="1" w:styleId="4">
    <w:name w:val="4"/>
    <w:basedOn w:val="TableNormal3"/>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table" w:customStyle="1" w:styleId="23">
    <w:name w:val="23"/>
    <w:basedOn w:val="TableNormal5"/>
    <w:tblPr>
      <w:tblStyleRowBandSize w:val="1"/>
      <w:tblStyleColBandSize w:val="1"/>
      <w:tblCellMar>
        <w:top w:w="0" w:type="dxa"/>
        <w:left w:w="115" w:type="dxa"/>
        <w:bottom w:w="0" w:type="dxa"/>
        <w:right w:w="115" w:type="dxa"/>
      </w:tblCellMar>
    </w:tblPr>
  </w:style>
  <w:style w:type="table" w:customStyle="1" w:styleId="22">
    <w:name w:val="22"/>
    <w:basedOn w:val="TableNormal5"/>
    <w:tblPr>
      <w:tblStyleRowBandSize w:val="1"/>
      <w:tblStyleColBandSize w:val="1"/>
      <w:tblCellMar>
        <w:top w:w="0" w:type="dxa"/>
        <w:left w:w="115" w:type="dxa"/>
        <w:bottom w:w="0" w:type="dxa"/>
        <w:right w:w="115" w:type="dxa"/>
      </w:tblCellMar>
    </w:tblPr>
  </w:style>
  <w:style w:type="table" w:customStyle="1" w:styleId="21">
    <w:name w:val="21"/>
    <w:basedOn w:val="TableNormal6"/>
    <w:tblPr>
      <w:tblStyleRowBandSize w:val="1"/>
      <w:tblStyleColBandSize w:val="1"/>
      <w:tblCellMar>
        <w:top w:w="0" w:type="dxa"/>
        <w:left w:w="115" w:type="dxa"/>
        <w:bottom w:w="0" w:type="dxa"/>
        <w:right w:w="115" w:type="dxa"/>
      </w:tblCellMar>
    </w:tblPr>
  </w:style>
  <w:style w:type="table" w:customStyle="1" w:styleId="20">
    <w:name w:val="20"/>
    <w:basedOn w:val="TableNormal6"/>
    <w:tblPr>
      <w:tblStyleRowBandSize w:val="1"/>
      <w:tblStyleColBandSize w:val="1"/>
      <w:tblCellMar>
        <w:top w:w="0" w:type="dxa"/>
        <w:left w:w="115" w:type="dxa"/>
        <w:bottom w:w="0" w:type="dxa"/>
        <w:right w:w="115" w:type="dxa"/>
      </w:tblCellMar>
    </w:tblPr>
  </w:style>
  <w:style w:type="table" w:customStyle="1" w:styleId="19">
    <w:name w:val="19"/>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top w:w="0" w:type="dxa"/>
        <w:left w:w="115" w:type="dxa"/>
        <w:bottom w:w="0" w:type="dxa"/>
        <w:right w:w="115" w:type="dxa"/>
      </w:tblCellMar>
    </w:tblPr>
  </w:style>
  <w:style w:type="table" w:customStyle="1" w:styleId="17">
    <w:name w:val="17"/>
    <w:basedOn w:val="TableNormal7"/>
    <w:tblPr>
      <w:tblStyleRowBandSize w:val="1"/>
      <w:tblStyleColBandSize w:val="1"/>
      <w:tblCellMar>
        <w:top w:w="0" w:type="dxa"/>
        <w:left w:w="115" w:type="dxa"/>
        <w:bottom w:w="0" w:type="dxa"/>
        <w:right w:w="115" w:type="dxa"/>
      </w:tblCellMar>
    </w:tblPr>
  </w:style>
  <w:style w:type="table" w:customStyle="1" w:styleId="16">
    <w:name w:val="16"/>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top w:w="0" w:type="dxa"/>
        <w:left w:w="115" w:type="dxa"/>
        <w:bottom w:w="0" w:type="dxa"/>
        <w:right w:w="115" w:type="dxa"/>
      </w:tblCellMar>
    </w:tblPr>
  </w:style>
  <w:style w:type="table" w:customStyle="1" w:styleId="14">
    <w:name w:val="14"/>
    <w:basedOn w:val="TableNormal8"/>
    <w:tblPr>
      <w:tblStyleRowBandSize w:val="1"/>
      <w:tblStyleColBandSize w:val="1"/>
      <w:tblCellMar>
        <w:top w:w="0" w:type="dxa"/>
        <w:left w:w="115" w:type="dxa"/>
        <w:bottom w:w="0" w:type="dxa"/>
        <w:right w:w="115" w:type="dxa"/>
      </w:tblCellMar>
    </w:tblPr>
  </w:style>
  <w:style w:type="table" w:customStyle="1" w:styleId="13">
    <w:name w:val="13"/>
    <w:basedOn w:val="TableNormal9"/>
    <w:tblPr>
      <w:tblStyleRowBandSize w:val="1"/>
      <w:tblStyleColBandSize w:val="1"/>
      <w:tblCellMar>
        <w:top w:w="0" w:type="dxa"/>
        <w:left w:w="115" w:type="dxa"/>
        <w:bottom w:w="0" w:type="dxa"/>
        <w:right w:w="115" w:type="dxa"/>
      </w:tblCellMar>
    </w:tblPr>
  </w:style>
  <w:style w:type="table" w:customStyle="1" w:styleId="12">
    <w:name w:val="12"/>
    <w:basedOn w:val="TableNormal9"/>
    <w:tblPr>
      <w:tblStyleRowBandSize w:val="1"/>
      <w:tblStyleColBandSize w:val="1"/>
      <w:tblCellMar>
        <w:top w:w="0" w:type="dxa"/>
        <w:left w:w="115" w:type="dxa"/>
        <w:bottom w:w="0" w:type="dxa"/>
        <w:right w:w="115" w:type="dxa"/>
      </w:tblCellMar>
    </w:tblPr>
  </w:style>
  <w:style w:type="table" w:customStyle="1" w:styleId="26">
    <w:name w:val="26"/>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top w:w="0" w:type="dxa"/>
        <w:left w:w="115" w:type="dxa"/>
        <w:bottom w:w="0" w:type="dxa"/>
        <w:right w:w="115" w:type="dxa"/>
      </w:tblCellMar>
    </w:tblPr>
  </w:style>
  <w:style w:type="table" w:customStyle="1" w:styleId="24">
    <w:name w:val="24"/>
    <w:basedOn w:val="TableNormal10"/>
    <w:tblPr>
      <w:tblStyleRowBandSize w:val="1"/>
      <w:tblStyleColBandSize w:val="1"/>
      <w:tblCellMar>
        <w:top w:w="0" w:type="dxa"/>
        <w:left w:w="115" w:type="dxa"/>
        <w:bottom w:w="0"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569326">
      <w:bodyDiv w:val="1"/>
      <w:marLeft w:val="0"/>
      <w:marRight w:val="0"/>
      <w:marTop w:val="0"/>
      <w:marBottom w:val="0"/>
      <w:divBdr>
        <w:top w:val="none" w:sz="0" w:space="0" w:color="auto"/>
        <w:left w:val="none" w:sz="0" w:space="0" w:color="auto"/>
        <w:bottom w:val="none" w:sz="0" w:space="0" w:color="auto"/>
        <w:right w:val="none" w:sz="0" w:space="0" w:color="auto"/>
      </w:divBdr>
    </w:div>
    <w:div w:id="723719436">
      <w:bodyDiv w:val="1"/>
      <w:marLeft w:val="0"/>
      <w:marRight w:val="0"/>
      <w:marTop w:val="0"/>
      <w:marBottom w:val="0"/>
      <w:divBdr>
        <w:top w:val="none" w:sz="0" w:space="0" w:color="auto"/>
        <w:left w:val="none" w:sz="0" w:space="0" w:color="auto"/>
        <w:bottom w:val="none" w:sz="0" w:space="0" w:color="auto"/>
        <w:right w:val="none" w:sz="0" w:space="0" w:color="auto"/>
      </w:divBdr>
    </w:div>
    <w:div w:id="762846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dgespe.sep.gob.mx/reforma_curricular/planes/lepree/credito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monografias.com/trabajos14/verific-servicios/verific-servicios.shtml" TargetMode="External"/><Relationship Id="rId17" Type="http://schemas.openxmlformats.org/officeDocument/2006/relationships/hyperlink" Target="https://www.gob.mx/segob/renapo/acciones-y-programas/clave-unica-de-registro-de-poblacion-curp-14222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nsultas.curp.gob.mx/CurpSP/html/informacionecurpPS.html" TargetMode="External"/><Relationship Id="rId20" Type="http://schemas.openxmlformats.org/officeDocument/2006/relationships/hyperlink" Target="http://consultatucedula.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hyperlink" Target="https://www.ipomex.org.mx/ipo3/lgt/indice/ZINACANTEPEC/art_92_xii/4.web" TargetMode="External"/><Relationship Id="rId19" Type="http://schemas.openxmlformats.org/officeDocument/2006/relationships/hyperlink" Target="http://ces.cs.buap.mx/SATCA.pdf" TargetMode="External"/><Relationship Id="rId4" Type="http://schemas.openxmlformats.org/officeDocument/2006/relationships/styles" Target="styles.xml"/><Relationship Id="rId9" Type="http://schemas.openxmlformats.org/officeDocument/2006/relationships/hyperlink" Target="https://www.ipomex.org.mx/ipo3/lgt/indice/ZINACANTEPEC/art_92_xii/4.web" TargetMode="External"/><Relationship Id="rId14" Type="http://schemas.openxmlformats.org/officeDocument/2006/relationships/image" Target="media/image3.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xAY+jB0GRyedRPmk/Yu3jCmizg==">AMUW2mW2W9SkQ8fJsk5xhnKsXFcbNBiQDYStYQQxwSxqWXY3t2DrsN7tiXMIGEAGeaX6PoZ8jqsEPP2XkVq1a2HJCWFKUcpCDW0a1FaqakstfNh0TosjVdOD3FX5yZFB8PptJ+od6lkmHwDLYScQE8J5XC6WSpW3GCDyxFP6yGRgZDI4tEeg/SxxJlPocAgh2j47QBn089XLLNuUhPW80Hg28VbS4gpUk+1dFF7MGp5DMagFVgDOJVY=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4D3CC4-7EB4-4AA3-B6D6-A05907BE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19143</Words>
  <Characters>105287</Characters>
  <Application>Microsoft Office Word</Application>
  <DocSecurity>0</DocSecurity>
  <Lines>877</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2023-02-23T20:18:00Z</cp:lastPrinted>
  <dcterms:created xsi:type="dcterms:W3CDTF">2023-02-28T20:17:00Z</dcterms:created>
  <dcterms:modified xsi:type="dcterms:W3CDTF">2023-02-28T20:17:00Z</dcterms:modified>
</cp:coreProperties>
</file>