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7627" w14:textId="7FD16A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01679E">
        <w:rPr>
          <w:rFonts w:ascii="Palatino Linotype" w:eastAsia="Palatino Linotype" w:hAnsi="Palatino Linotype" w:cs="Palatino Linotype"/>
          <w:sz w:val="24"/>
          <w:szCs w:val="24"/>
        </w:rPr>
        <w:t>seis de diciembre</w:t>
      </w:r>
      <w:r w:rsidR="00B30C44">
        <w:rPr>
          <w:rFonts w:ascii="Palatino Linotype" w:eastAsia="Palatino Linotype" w:hAnsi="Palatino Linotype" w:cs="Palatino Linotype"/>
          <w:sz w:val="24"/>
          <w:szCs w:val="24"/>
        </w:rPr>
        <w:t xml:space="preserve"> de dos mil veintitrés</w:t>
      </w:r>
      <w:r w:rsidRPr="008645E3">
        <w:rPr>
          <w:rFonts w:ascii="Palatino Linotype" w:eastAsia="Palatino Linotype" w:hAnsi="Palatino Linotype" w:cs="Palatino Linotype"/>
          <w:sz w:val="24"/>
          <w:szCs w:val="24"/>
        </w:rPr>
        <w:t xml:space="preserve">. </w:t>
      </w:r>
    </w:p>
    <w:p w14:paraId="74ED697E" w14:textId="77777777" w:rsidR="00F8557D" w:rsidRPr="008645E3" w:rsidRDefault="00F8557D">
      <w:pPr>
        <w:spacing w:after="0" w:line="360" w:lineRule="auto"/>
        <w:ind w:right="49"/>
        <w:jc w:val="center"/>
        <w:rPr>
          <w:rFonts w:ascii="Palatino Linotype" w:eastAsia="Palatino Linotype" w:hAnsi="Palatino Linotype" w:cs="Palatino Linotype"/>
          <w:sz w:val="24"/>
          <w:szCs w:val="24"/>
        </w:rPr>
      </w:pPr>
    </w:p>
    <w:p w14:paraId="52F4F0DF" w14:textId="5483BC85"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Visto el expediente relativo al recurso de revisión </w:t>
      </w:r>
      <w:r w:rsidR="003753CA">
        <w:rPr>
          <w:rFonts w:ascii="Palatino Linotype" w:eastAsia="Palatino Linotype" w:hAnsi="Palatino Linotype" w:cs="Palatino Linotype"/>
          <w:b/>
          <w:sz w:val="24"/>
          <w:szCs w:val="24"/>
        </w:rPr>
        <w:t>02974</w:t>
      </w:r>
      <w:r w:rsidR="00D7458B">
        <w:rPr>
          <w:rFonts w:ascii="Palatino Linotype" w:eastAsia="Palatino Linotype" w:hAnsi="Palatino Linotype" w:cs="Palatino Linotype"/>
          <w:b/>
          <w:sz w:val="24"/>
          <w:szCs w:val="24"/>
        </w:rPr>
        <w:t>/INFOEM/IP/RR/2023</w:t>
      </w:r>
      <w:r w:rsidRPr="008645E3">
        <w:rPr>
          <w:rFonts w:ascii="Palatino Linotype" w:eastAsia="Palatino Linotype" w:hAnsi="Palatino Linotype" w:cs="Palatino Linotype"/>
          <w:sz w:val="24"/>
          <w:szCs w:val="24"/>
        </w:rPr>
        <w:t xml:space="preserve">, interpuesto por </w:t>
      </w:r>
      <w:r w:rsidR="005408C8">
        <w:rPr>
          <w:rFonts w:ascii="Palatino Linotype" w:eastAsia="Palatino Linotype" w:hAnsi="Palatino Linotype" w:cs="Palatino Linotype"/>
          <w:b/>
          <w:sz w:val="24"/>
          <w:szCs w:val="24"/>
        </w:rPr>
        <w:t>XXXXXX XXXXXXXX XXXXXX XXXXXXX</w:t>
      </w:r>
      <w:r w:rsidRPr="008645E3">
        <w:rPr>
          <w:rFonts w:ascii="Palatino Linotype" w:eastAsia="Palatino Linotype" w:hAnsi="Palatino Linotype" w:cs="Palatino Linotype"/>
          <w:sz w:val="24"/>
          <w:szCs w:val="24"/>
        </w:rPr>
        <w:t>, al cual en</w:t>
      </w:r>
      <w:r w:rsidR="0001679E">
        <w:rPr>
          <w:rFonts w:ascii="Palatino Linotype" w:eastAsia="Palatino Linotype" w:hAnsi="Palatino Linotype" w:cs="Palatino Linotype"/>
          <w:sz w:val="24"/>
          <w:szCs w:val="24"/>
        </w:rPr>
        <w:t xml:space="preserve"> lo sucesivo se le denominará la parte</w:t>
      </w:r>
      <w:r w:rsidRPr="008645E3">
        <w:rPr>
          <w:rFonts w:ascii="Palatino Linotype" w:eastAsia="Palatino Linotype" w:hAnsi="Palatino Linotype" w:cs="Palatino Linotype"/>
          <w:sz w:val="24"/>
          <w:szCs w:val="24"/>
        </w:rPr>
        <w:t xml:space="preserve"> </w:t>
      </w:r>
      <w:r w:rsidRPr="008645E3">
        <w:rPr>
          <w:rFonts w:ascii="Palatino Linotype" w:eastAsia="Palatino Linotype" w:hAnsi="Palatino Linotype" w:cs="Palatino Linotype"/>
          <w:b/>
          <w:sz w:val="24"/>
          <w:szCs w:val="24"/>
        </w:rPr>
        <w:t>RECURRENTE</w:t>
      </w:r>
      <w:r w:rsidRPr="008645E3">
        <w:rPr>
          <w:rFonts w:ascii="Palatino Linotype" w:eastAsia="Palatino Linotype" w:hAnsi="Palatino Linotype" w:cs="Palatino Linotype"/>
          <w:sz w:val="24"/>
          <w:szCs w:val="24"/>
        </w:rPr>
        <w:t xml:space="preserve">, en contra de la respuesta a su solicitud de información identificada con número de folio </w:t>
      </w:r>
      <w:r w:rsidR="00B30C44">
        <w:rPr>
          <w:rFonts w:ascii="Palatino Linotype" w:eastAsia="Palatino Linotype" w:hAnsi="Palatino Linotype" w:cs="Palatino Linotype"/>
          <w:b/>
          <w:sz w:val="24"/>
          <w:szCs w:val="24"/>
        </w:rPr>
        <w:t>0</w:t>
      </w:r>
      <w:r w:rsidR="002D6A54">
        <w:rPr>
          <w:rFonts w:ascii="Palatino Linotype" w:eastAsia="Palatino Linotype" w:hAnsi="Palatino Linotype" w:cs="Palatino Linotype"/>
          <w:b/>
          <w:sz w:val="24"/>
          <w:szCs w:val="24"/>
        </w:rPr>
        <w:t>0</w:t>
      </w:r>
      <w:r w:rsidR="003753CA">
        <w:rPr>
          <w:rFonts w:ascii="Palatino Linotype" w:eastAsia="Palatino Linotype" w:hAnsi="Palatino Linotype" w:cs="Palatino Linotype"/>
          <w:b/>
          <w:sz w:val="24"/>
          <w:szCs w:val="24"/>
        </w:rPr>
        <w:t>057</w:t>
      </w:r>
      <w:r w:rsidRPr="008645E3">
        <w:rPr>
          <w:rFonts w:ascii="Palatino Linotype" w:eastAsia="Palatino Linotype" w:hAnsi="Palatino Linotype" w:cs="Palatino Linotype"/>
          <w:b/>
          <w:sz w:val="24"/>
          <w:szCs w:val="24"/>
        </w:rPr>
        <w:t>/</w:t>
      </w:r>
      <w:r w:rsidR="003753CA">
        <w:rPr>
          <w:rFonts w:ascii="Palatino Linotype" w:eastAsia="Palatino Linotype" w:hAnsi="Palatino Linotype" w:cs="Palatino Linotype"/>
          <w:b/>
          <w:sz w:val="24"/>
          <w:szCs w:val="24"/>
        </w:rPr>
        <w:t>TRIECA</w:t>
      </w:r>
      <w:r w:rsidRPr="008645E3">
        <w:rPr>
          <w:rFonts w:ascii="Palatino Linotype" w:eastAsia="Palatino Linotype" w:hAnsi="Palatino Linotype" w:cs="Palatino Linotype"/>
          <w:b/>
          <w:sz w:val="24"/>
          <w:szCs w:val="24"/>
        </w:rPr>
        <w:t>/IP/202</w:t>
      </w:r>
      <w:r w:rsidR="006B4A8B">
        <w:rPr>
          <w:rFonts w:ascii="Palatino Linotype" w:eastAsia="Palatino Linotype" w:hAnsi="Palatino Linotype" w:cs="Palatino Linotype"/>
          <w:b/>
          <w:sz w:val="24"/>
          <w:szCs w:val="24"/>
        </w:rPr>
        <w:t>3</w:t>
      </w:r>
      <w:r w:rsidRPr="008645E3">
        <w:rPr>
          <w:rFonts w:ascii="Palatino Linotype" w:eastAsia="Palatino Linotype" w:hAnsi="Palatino Linotype" w:cs="Palatino Linotype"/>
          <w:sz w:val="24"/>
          <w:szCs w:val="24"/>
        </w:rPr>
        <w:t xml:space="preserve"> proporcionada por parte </w:t>
      </w:r>
      <w:r w:rsidR="003753CA">
        <w:rPr>
          <w:rFonts w:ascii="Palatino Linotype" w:eastAsia="Palatino Linotype" w:hAnsi="Palatino Linotype" w:cs="Palatino Linotype"/>
          <w:sz w:val="24"/>
          <w:szCs w:val="24"/>
        </w:rPr>
        <w:t xml:space="preserve">del </w:t>
      </w:r>
      <w:r w:rsidR="003753CA">
        <w:rPr>
          <w:rFonts w:ascii="Palatino Linotype" w:eastAsia="Palatino Linotype" w:hAnsi="Palatino Linotype" w:cs="Palatino Linotype"/>
          <w:b/>
          <w:sz w:val="24"/>
          <w:szCs w:val="24"/>
        </w:rPr>
        <w:t>Tribunal Estatal de Conciliación y Arbitraje</w:t>
      </w:r>
      <w:r w:rsidR="002D6A54">
        <w:rPr>
          <w:rFonts w:ascii="Palatino Linotype" w:eastAsia="Palatino Linotype" w:hAnsi="Palatino Linotype" w:cs="Palatino Linotype"/>
          <w:sz w:val="24"/>
          <w:szCs w:val="24"/>
        </w:rPr>
        <w:t xml:space="preserve">, </w:t>
      </w:r>
      <w:r w:rsidRPr="008645E3">
        <w:rPr>
          <w:rFonts w:ascii="Palatino Linotype" w:eastAsia="Palatino Linotype" w:hAnsi="Palatino Linotype" w:cs="Palatino Linotype"/>
          <w:sz w:val="24"/>
          <w:szCs w:val="24"/>
        </w:rPr>
        <w:t xml:space="preserve">en lo sucesivo el </w:t>
      </w:r>
      <w:r w:rsidRPr="008645E3">
        <w:rPr>
          <w:rFonts w:ascii="Palatino Linotype" w:eastAsia="Palatino Linotype" w:hAnsi="Palatino Linotype" w:cs="Palatino Linotype"/>
          <w:b/>
          <w:sz w:val="24"/>
          <w:szCs w:val="24"/>
        </w:rPr>
        <w:t>SUJETO OBLIGADO</w:t>
      </w:r>
      <w:r w:rsidRPr="008645E3">
        <w:rPr>
          <w:rFonts w:ascii="Palatino Linotype" w:eastAsia="Palatino Linotype" w:hAnsi="Palatino Linotype" w:cs="Palatino Linotype"/>
          <w:sz w:val="24"/>
          <w:szCs w:val="24"/>
        </w:rPr>
        <w:t>; se procede a dictar la presente resolución, con base en los siguientes:</w:t>
      </w:r>
    </w:p>
    <w:p w14:paraId="19C97CA5"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61BF936A" w14:textId="77777777" w:rsidR="00F8557D" w:rsidRPr="008645E3" w:rsidRDefault="00646B44">
      <w:pPr>
        <w:spacing w:after="0" w:line="360" w:lineRule="auto"/>
        <w:ind w:right="49"/>
        <w:jc w:val="center"/>
        <w:rPr>
          <w:rFonts w:ascii="Palatino Linotype" w:eastAsia="Palatino Linotype" w:hAnsi="Palatino Linotype" w:cs="Palatino Linotype"/>
          <w:b/>
          <w:sz w:val="24"/>
          <w:szCs w:val="24"/>
        </w:rPr>
      </w:pPr>
      <w:r w:rsidRPr="008645E3">
        <w:rPr>
          <w:rFonts w:ascii="Palatino Linotype" w:eastAsia="Palatino Linotype" w:hAnsi="Palatino Linotype" w:cs="Palatino Linotype"/>
          <w:b/>
          <w:sz w:val="24"/>
          <w:szCs w:val="24"/>
        </w:rPr>
        <w:t>I.</w:t>
      </w:r>
      <w:r w:rsidRPr="008645E3">
        <w:rPr>
          <w:rFonts w:ascii="Palatino Linotype" w:eastAsia="Palatino Linotype" w:hAnsi="Palatino Linotype" w:cs="Palatino Linotype"/>
          <w:b/>
          <w:sz w:val="24"/>
          <w:szCs w:val="24"/>
        </w:rPr>
        <w:tab/>
        <w:t>A N T E C E D E N T E S</w:t>
      </w:r>
    </w:p>
    <w:p w14:paraId="0D8742AC"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191568F3" w14:textId="004E45F9" w:rsidR="00F8557D" w:rsidRPr="008645E3"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645E3">
        <w:rPr>
          <w:rFonts w:ascii="Palatino Linotype" w:eastAsia="Palatino Linotype" w:hAnsi="Palatino Linotype" w:cs="Palatino Linotype"/>
          <w:b/>
          <w:color w:val="000000"/>
          <w:sz w:val="24"/>
          <w:szCs w:val="24"/>
        </w:rPr>
        <w:t>Solicitud de acceso a la información.</w:t>
      </w:r>
      <w:r w:rsidRPr="008645E3">
        <w:rPr>
          <w:rFonts w:ascii="Palatino Linotype" w:eastAsia="Palatino Linotype" w:hAnsi="Palatino Linotype" w:cs="Palatino Linotype"/>
          <w:color w:val="000000"/>
          <w:sz w:val="24"/>
          <w:szCs w:val="24"/>
        </w:rPr>
        <w:t xml:space="preserve"> Con fecha </w:t>
      </w:r>
      <w:r w:rsidR="003753CA">
        <w:rPr>
          <w:rFonts w:ascii="Palatino Linotype" w:eastAsia="Palatino Linotype" w:hAnsi="Palatino Linotype" w:cs="Palatino Linotype"/>
          <w:b/>
          <w:color w:val="000000"/>
          <w:sz w:val="24"/>
          <w:szCs w:val="24"/>
        </w:rPr>
        <w:t>veinticinco de abril</w:t>
      </w:r>
      <w:r w:rsidR="004E4ADA">
        <w:rPr>
          <w:rFonts w:ascii="Palatino Linotype" w:eastAsia="Palatino Linotype" w:hAnsi="Palatino Linotype" w:cs="Palatino Linotype"/>
          <w:b/>
          <w:color w:val="000000"/>
          <w:sz w:val="24"/>
          <w:szCs w:val="24"/>
        </w:rPr>
        <w:t xml:space="preserve"> </w:t>
      </w:r>
      <w:r w:rsidR="006B4A8B">
        <w:rPr>
          <w:rFonts w:ascii="Palatino Linotype" w:eastAsia="Palatino Linotype" w:hAnsi="Palatino Linotype" w:cs="Palatino Linotype"/>
          <w:b/>
          <w:color w:val="000000"/>
          <w:sz w:val="24"/>
          <w:szCs w:val="24"/>
        </w:rPr>
        <w:t>de dos mil veintitrés</w:t>
      </w:r>
      <w:r w:rsidRPr="008645E3">
        <w:rPr>
          <w:rFonts w:ascii="Palatino Linotype" w:eastAsia="Palatino Linotype" w:hAnsi="Palatino Linotype" w:cs="Palatino Linotype"/>
          <w:color w:val="000000"/>
          <w:sz w:val="24"/>
          <w:szCs w:val="24"/>
        </w:rPr>
        <w:t xml:space="preserve">, la parte </w:t>
      </w:r>
      <w:r w:rsidRPr="008645E3">
        <w:rPr>
          <w:rFonts w:ascii="Palatino Linotype" w:eastAsia="Palatino Linotype" w:hAnsi="Palatino Linotype" w:cs="Palatino Linotype"/>
          <w:b/>
          <w:color w:val="000000"/>
          <w:sz w:val="24"/>
          <w:szCs w:val="24"/>
        </w:rPr>
        <w:t>RECURRENTE</w:t>
      </w:r>
      <w:r w:rsidRPr="008645E3">
        <w:rPr>
          <w:rFonts w:ascii="Palatino Linotype" w:eastAsia="Palatino Linotype" w:hAnsi="Palatino Linotype" w:cs="Palatino Linotype"/>
          <w:color w:val="000000"/>
          <w:sz w:val="24"/>
          <w:szCs w:val="24"/>
        </w:rPr>
        <w:t xml:space="preserve"> formuló solicitud de acceso a información pública al</w:t>
      </w:r>
      <w:r w:rsidRPr="008645E3">
        <w:rPr>
          <w:rFonts w:ascii="Palatino Linotype" w:eastAsia="Palatino Linotype" w:hAnsi="Palatino Linotype" w:cs="Palatino Linotype"/>
          <w:b/>
          <w:color w:val="000000"/>
          <w:sz w:val="24"/>
          <w:szCs w:val="24"/>
        </w:rPr>
        <w:t xml:space="preserve"> SUJETO OBLIGADO</w:t>
      </w:r>
      <w:r w:rsidRPr="008645E3">
        <w:rPr>
          <w:rFonts w:ascii="Palatino Linotype" w:eastAsia="Palatino Linotype" w:hAnsi="Palatino Linotype" w:cs="Palatino Linotype"/>
          <w:color w:val="000000"/>
          <w:sz w:val="24"/>
          <w:szCs w:val="24"/>
        </w:rPr>
        <w:t xml:space="preserve"> a través del Sistema de Acceso a la Información Mexiquense, en adelante SAIMEX, en la que requirió lo siguiente: </w:t>
      </w:r>
    </w:p>
    <w:p w14:paraId="6567E90C" w14:textId="2F12DF4C" w:rsidR="00F8557D" w:rsidRPr="008645E3" w:rsidRDefault="00B661FB" w:rsidP="00B661FB">
      <w:pPr>
        <w:tabs>
          <w:tab w:val="left" w:pos="1530"/>
        </w:tabs>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b/>
      </w:r>
    </w:p>
    <w:p w14:paraId="5E646918" w14:textId="5F159FE8" w:rsidR="00F8557D" w:rsidRPr="008645E3" w:rsidRDefault="00646B44">
      <w:pPr>
        <w:spacing w:after="0" w:line="276" w:lineRule="auto"/>
        <w:ind w:left="567" w:right="560"/>
        <w:jc w:val="both"/>
        <w:rPr>
          <w:rFonts w:ascii="Palatino Linotype" w:eastAsia="Palatino Linotype" w:hAnsi="Palatino Linotype" w:cs="Palatino Linotype"/>
          <w:i/>
        </w:rPr>
      </w:pPr>
      <w:bookmarkStart w:id="0" w:name="_heading=h.30j0zll" w:colFirst="0" w:colLast="0"/>
      <w:bookmarkEnd w:id="0"/>
      <w:r w:rsidRPr="008645E3">
        <w:rPr>
          <w:rFonts w:ascii="Palatino Linotype" w:eastAsia="Palatino Linotype" w:hAnsi="Palatino Linotype" w:cs="Palatino Linotype"/>
          <w:i/>
        </w:rPr>
        <w:t>“</w:t>
      </w:r>
      <w:r w:rsidR="003753CA" w:rsidRPr="003753CA">
        <w:rPr>
          <w:rFonts w:ascii="Palatino Linotype" w:eastAsia="Palatino Linotype" w:hAnsi="Palatino Linotype" w:cs="Palatino Linotype"/>
          <w:i/>
        </w:rPr>
        <w:t xml:space="preserve">Buen día, en términos de lo dispuesto por los artículos 1 y 6 de la Constitución Política de los Estados Unidos Mexicanos, en ejercicio de mi derecho humano de acceso a la información pública, de manera respetuosa ocurro ante esta H. Autoridad con la finalidad de solicitar se me brinde versión pública de la resolución incidental que fue determinada que tendría que emitirse en audiencia de procedimiento especial de conciliación, demanda, excepciones, pruebas y resolución de fecha 15 de junio de 2022, todo ello dentro de las </w:t>
      </w:r>
      <w:r w:rsidR="003753CA" w:rsidRPr="003753CA">
        <w:rPr>
          <w:rFonts w:ascii="Palatino Linotype" w:eastAsia="Palatino Linotype" w:hAnsi="Palatino Linotype" w:cs="Palatino Linotype"/>
          <w:i/>
        </w:rPr>
        <w:lastRenderedPageBreak/>
        <w:t>constancias que integran el Expediente: TECA/02874/2019, substanciado en el Tribunal Estatal de Conciliación y Arbitraje de Toluca, E</w:t>
      </w:r>
      <w:r w:rsidR="003753CA">
        <w:rPr>
          <w:rFonts w:ascii="Palatino Linotype" w:eastAsia="Palatino Linotype" w:hAnsi="Palatino Linotype" w:cs="Palatino Linotype"/>
          <w:i/>
        </w:rPr>
        <w:t xml:space="preserve">stado de México, bajo su Mesa 5”. </w:t>
      </w:r>
      <w:r w:rsidR="00B30C44">
        <w:rPr>
          <w:rFonts w:ascii="Palatino Linotype" w:eastAsia="Palatino Linotype" w:hAnsi="Palatino Linotype" w:cs="Palatino Linotype"/>
          <w:i/>
        </w:rPr>
        <w:t xml:space="preserve"> </w:t>
      </w:r>
    </w:p>
    <w:p w14:paraId="4D20A199" w14:textId="77777777" w:rsidR="00F8557D" w:rsidRPr="008645E3" w:rsidRDefault="00F8557D">
      <w:pPr>
        <w:spacing w:after="0" w:line="360" w:lineRule="auto"/>
        <w:ind w:left="567" w:right="560"/>
        <w:jc w:val="both"/>
        <w:rPr>
          <w:rFonts w:ascii="Palatino Linotype" w:eastAsia="Palatino Linotype" w:hAnsi="Palatino Linotype" w:cs="Palatino Linotype"/>
          <w:i/>
        </w:rPr>
      </w:pPr>
    </w:p>
    <w:p w14:paraId="39E3254B" w14:textId="10999AA9" w:rsidR="00D7458B" w:rsidRDefault="00646B44" w:rsidP="006B4A8B">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Modalidad elegida para la entrega de la información:</w:t>
      </w:r>
      <w:r w:rsidRPr="008645E3">
        <w:rPr>
          <w:rFonts w:ascii="Palatino Linotype" w:eastAsia="Palatino Linotype" w:hAnsi="Palatino Linotype" w:cs="Palatino Linotype"/>
          <w:sz w:val="24"/>
          <w:szCs w:val="24"/>
        </w:rPr>
        <w:t xml:space="preserve"> a través del Sistema de Acceso a la Información Mexiquense (SAIMEX). </w:t>
      </w:r>
    </w:p>
    <w:p w14:paraId="003F504F" w14:textId="77777777" w:rsidR="003753CA" w:rsidRPr="006B4A8B" w:rsidRDefault="003753CA" w:rsidP="006B4A8B">
      <w:pPr>
        <w:spacing w:after="0" w:line="360" w:lineRule="auto"/>
        <w:ind w:right="49"/>
        <w:jc w:val="both"/>
        <w:rPr>
          <w:rFonts w:ascii="Palatino Linotype" w:eastAsia="Palatino Linotype" w:hAnsi="Palatino Linotype" w:cs="Palatino Linotype"/>
          <w:sz w:val="24"/>
          <w:szCs w:val="24"/>
        </w:rPr>
      </w:pPr>
    </w:p>
    <w:p w14:paraId="768C055B" w14:textId="2ABB080C" w:rsidR="00F8557D" w:rsidRPr="008645E3" w:rsidRDefault="003753C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Respuesta</w:t>
      </w:r>
      <w:r w:rsidR="00646B44" w:rsidRPr="008645E3">
        <w:rPr>
          <w:rFonts w:ascii="Palatino Linotype" w:eastAsia="Palatino Linotype" w:hAnsi="Palatino Linotype" w:cs="Palatino Linotype"/>
          <w:b/>
          <w:color w:val="000000"/>
          <w:sz w:val="24"/>
          <w:szCs w:val="24"/>
        </w:rPr>
        <w:t>.</w:t>
      </w:r>
      <w:r w:rsidR="00646B44" w:rsidRPr="008645E3">
        <w:rPr>
          <w:rFonts w:ascii="Palatino Linotype" w:eastAsia="Palatino Linotype" w:hAnsi="Palatino Linotype" w:cs="Palatino Linotype"/>
          <w:color w:val="000000"/>
          <w:sz w:val="24"/>
          <w:szCs w:val="24"/>
        </w:rPr>
        <w:t xml:space="preserve"> Con fecha </w:t>
      </w:r>
      <w:r>
        <w:rPr>
          <w:rFonts w:ascii="Palatino Linotype" w:eastAsia="Palatino Linotype" w:hAnsi="Palatino Linotype" w:cs="Palatino Linotype"/>
          <w:b/>
          <w:color w:val="000000"/>
          <w:sz w:val="24"/>
          <w:szCs w:val="24"/>
        </w:rPr>
        <w:t>veintidós de mayo</w:t>
      </w:r>
      <w:r w:rsidR="00D7458B">
        <w:rPr>
          <w:rFonts w:ascii="Palatino Linotype" w:eastAsia="Palatino Linotype" w:hAnsi="Palatino Linotype" w:cs="Palatino Linotype"/>
          <w:b/>
          <w:color w:val="000000"/>
          <w:sz w:val="24"/>
          <w:szCs w:val="24"/>
        </w:rPr>
        <w:t xml:space="preserve"> dos mil veintitrés</w:t>
      </w:r>
      <w:r w:rsidR="00646B44" w:rsidRPr="008645E3">
        <w:rPr>
          <w:rFonts w:ascii="Palatino Linotype" w:eastAsia="Palatino Linotype" w:hAnsi="Palatino Linotype" w:cs="Palatino Linotype"/>
          <w:color w:val="000000"/>
          <w:sz w:val="24"/>
          <w:szCs w:val="24"/>
        </w:rPr>
        <w:t xml:space="preserve">, el </w:t>
      </w:r>
      <w:r w:rsidR="00646B44" w:rsidRPr="008645E3">
        <w:rPr>
          <w:rFonts w:ascii="Palatino Linotype" w:eastAsia="Palatino Linotype" w:hAnsi="Palatino Linotype" w:cs="Palatino Linotype"/>
          <w:b/>
          <w:color w:val="000000"/>
          <w:sz w:val="24"/>
          <w:szCs w:val="24"/>
        </w:rPr>
        <w:t>SUJETO OBLIGADO</w:t>
      </w:r>
      <w:r w:rsidR="00646B44" w:rsidRPr="008645E3">
        <w:rPr>
          <w:rFonts w:ascii="Palatino Linotype" w:eastAsia="Palatino Linotype" w:hAnsi="Palatino Linotype" w:cs="Palatino Linotype"/>
          <w:color w:val="000000"/>
          <w:sz w:val="24"/>
          <w:szCs w:val="24"/>
        </w:rPr>
        <w:t xml:space="preserve"> envió su respuesta a la solicitud de acceso a la información a través del SAIMEX, la cual versa como sigue:</w:t>
      </w:r>
    </w:p>
    <w:p w14:paraId="5C9C0EFB" w14:textId="77777777" w:rsidR="00CE6234" w:rsidRDefault="00CE6234" w:rsidP="00CB24CB">
      <w:pPr>
        <w:spacing w:after="0" w:line="360" w:lineRule="auto"/>
        <w:ind w:right="560"/>
        <w:jc w:val="both"/>
        <w:rPr>
          <w:rFonts w:ascii="Verdana" w:hAnsi="Verdana"/>
          <w:color w:val="000000"/>
          <w:sz w:val="24"/>
          <w:szCs w:val="18"/>
        </w:rPr>
      </w:pPr>
    </w:p>
    <w:p w14:paraId="5E27EAC4" w14:textId="3B79183A" w:rsidR="003753CA" w:rsidRDefault="003753CA" w:rsidP="003753CA">
      <w:pPr>
        <w:spacing w:after="0" w:line="276" w:lineRule="auto"/>
        <w:ind w:left="567" w:right="560"/>
        <w:jc w:val="both"/>
        <w:rPr>
          <w:rFonts w:ascii="Palatino Linotype" w:hAnsi="Palatino Linotype"/>
          <w:i/>
          <w:color w:val="000000"/>
          <w:szCs w:val="18"/>
        </w:rPr>
      </w:pPr>
      <w:r w:rsidRPr="003753CA">
        <w:rPr>
          <w:rFonts w:ascii="Palatino Linotype" w:hAnsi="Palatino Linotype"/>
          <w:i/>
          <w:color w:val="000000"/>
          <w:szCs w:val="18"/>
        </w:rPr>
        <w:t>En respuesta a su solicitud 00057/TRIECA/IP/2023 donde "Buen día, en términos de lo dispuesto por los artículos 1 y 6 de la Constitución Política de los Estados Unidos Mexicanos, en ejercicio de mi derecho humano de acceso a la información pública, de manera respetuosa ocurro ante esta H. Autoridad con la finalidad de solicitar se me brinde versión pública de la resolución incidental que fue determinada que tendría que emitirse en audiencia de procedimiento especial de conciliación, demanda, excepciones, pruebas y resolución de fecha 15 de junio de 2022, todo ello dentro de las constancias que integran el Expediente: TECA/02874/2019, substanciado en el Tribunal Estatal de Conciliación y Arbitraje de Toluca, Estado de México, bajo su Mesa 5</w:t>
      </w:r>
      <w:r w:rsidRPr="00E9147C">
        <w:rPr>
          <w:rFonts w:ascii="Palatino Linotype" w:hAnsi="Palatino Linotype"/>
          <w:b/>
          <w:i/>
          <w:color w:val="000000"/>
          <w:szCs w:val="18"/>
          <w:u w:val="single"/>
        </w:rPr>
        <w:t>." Con fecha de 23 de marzo del 2023 se declara esta autoridad improcedente el incidente y se señala las nueve horas con treinta minutos del día 14 de junio del dos mil veintitrés para una audiencia de Procedimiento Especial, de Conciliación, Demanda y Excepciones Pruebas y Resolución</w:t>
      </w:r>
      <w:r w:rsidRPr="003753CA">
        <w:rPr>
          <w:rFonts w:ascii="Palatino Linotype" w:hAnsi="Palatino Linotype"/>
          <w:i/>
          <w:color w:val="000000"/>
          <w:szCs w:val="18"/>
        </w:rPr>
        <w:t>.</w:t>
      </w:r>
    </w:p>
    <w:p w14:paraId="2FA34F59" w14:textId="77777777" w:rsidR="003753CA" w:rsidRPr="003753CA" w:rsidRDefault="003753CA" w:rsidP="003753CA">
      <w:pPr>
        <w:spacing w:after="0" w:line="360" w:lineRule="auto"/>
        <w:ind w:left="567" w:right="560"/>
        <w:jc w:val="both"/>
        <w:rPr>
          <w:rFonts w:ascii="Palatino Linotype" w:hAnsi="Palatino Linotype"/>
          <w:i/>
          <w:color w:val="000000"/>
          <w:sz w:val="24"/>
          <w:szCs w:val="18"/>
        </w:rPr>
      </w:pPr>
    </w:p>
    <w:p w14:paraId="759EDBF5" w14:textId="170CEEA1" w:rsidR="00F8557D" w:rsidRPr="008645E3" w:rsidRDefault="00D7458B"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Recurso de Revisión. </w:t>
      </w:r>
      <w:r>
        <w:rPr>
          <w:rFonts w:ascii="Palatino Linotype" w:eastAsia="Palatino Linotype" w:hAnsi="Palatino Linotype" w:cs="Palatino Linotype"/>
          <w:color w:val="000000"/>
          <w:sz w:val="24"/>
          <w:szCs w:val="24"/>
        </w:rPr>
        <w:t>E</w:t>
      </w:r>
      <w:r w:rsidRPr="008645E3">
        <w:rPr>
          <w:rFonts w:ascii="Palatino Linotype" w:eastAsia="Palatino Linotype" w:hAnsi="Palatino Linotype" w:cs="Palatino Linotype"/>
          <w:color w:val="000000"/>
          <w:sz w:val="24"/>
          <w:szCs w:val="24"/>
        </w:rPr>
        <w:t xml:space="preserve">n fecha </w:t>
      </w:r>
      <w:r w:rsidR="003753CA">
        <w:rPr>
          <w:rFonts w:ascii="Palatino Linotype" w:eastAsia="Palatino Linotype" w:hAnsi="Palatino Linotype" w:cs="Palatino Linotype"/>
          <w:b/>
          <w:color w:val="000000"/>
          <w:sz w:val="24"/>
          <w:szCs w:val="24"/>
        </w:rPr>
        <w:t>veintinueve de mayo</w:t>
      </w:r>
      <w:r>
        <w:rPr>
          <w:rFonts w:ascii="Palatino Linotype" w:eastAsia="Palatino Linotype" w:hAnsi="Palatino Linotype" w:cs="Palatino Linotype"/>
          <w:b/>
          <w:color w:val="000000"/>
          <w:sz w:val="24"/>
          <w:szCs w:val="24"/>
        </w:rPr>
        <w:t xml:space="preserve"> de</w:t>
      </w:r>
      <w:r w:rsidRPr="008645E3">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4"/>
          <w:szCs w:val="24"/>
        </w:rPr>
        <w:t>dos mil veintitrés</w:t>
      </w:r>
      <w:r w:rsidRPr="008645E3">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la persona Solicitante</w:t>
      </w:r>
      <w:r w:rsidR="00646B44" w:rsidRPr="008645E3">
        <w:rPr>
          <w:rFonts w:ascii="Palatino Linotype" w:eastAsia="Palatino Linotype" w:hAnsi="Palatino Linotype" w:cs="Palatino Linotype"/>
          <w:color w:val="000000"/>
          <w:sz w:val="24"/>
          <w:szCs w:val="24"/>
        </w:rPr>
        <w:t xml:space="preserve"> interpuso Recurso de Revisión a través del </w:t>
      </w:r>
      <w:r w:rsidR="00646B44" w:rsidRPr="008645E3">
        <w:rPr>
          <w:rFonts w:ascii="Palatino Linotype" w:eastAsia="Palatino Linotype" w:hAnsi="Palatino Linotype" w:cs="Palatino Linotype"/>
          <w:b/>
          <w:color w:val="000000"/>
          <w:sz w:val="24"/>
          <w:szCs w:val="24"/>
        </w:rPr>
        <w:t>SAIMEX</w:t>
      </w:r>
      <w:r w:rsidR="00646B44" w:rsidRPr="008645E3">
        <w:rPr>
          <w:rFonts w:ascii="Palatino Linotype" w:eastAsia="Palatino Linotype" w:hAnsi="Palatino Linotype" w:cs="Palatino Linotype"/>
          <w:color w:val="000000"/>
          <w:sz w:val="24"/>
          <w:szCs w:val="24"/>
        </w:rPr>
        <w:t>, a través del cual expresó lo siguiente:</w:t>
      </w:r>
    </w:p>
    <w:p w14:paraId="5C80FCA9" w14:textId="77777777" w:rsidR="003753CA" w:rsidRDefault="003753CA" w:rsidP="003753CA">
      <w:pPr>
        <w:jc w:val="both"/>
        <w:rPr>
          <w:rFonts w:ascii="Palatino Linotype" w:eastAsia="Palatino Linotype" w:hAnsi="Palatino Linotype" w:cs="Palatino Linotype"/>
          <w:color w:val="000000"/>
          <w:sz w:val="24"/>
          <w:szCs w:val="24"/>
        </w:rPr>
      </w:pPr>
    </w:p>
    <w:p w14:paraId="3CF073E1" w14:textId="376B015B" w:rsidR="00F8557D" w:rsidRPr="003753CA" w:rsidRDefault="00646B44" w:rsidP="003753CA">
      <w:pPr>
        <w:ind w:left="567"/>
        <w:jc w:val="both"/>
        <w:rPr>
          <w:rFonts w:ascii="Times New Roman" w:eastAsia="Times New Roman" w:hAnsi="Times New Roman" w:cs="Times New Roman"/>
          <w:sz w:val="24"/>
          <w:szCs w:val="24"/>
        </w:rPr>
      </w:pPr>
      <w:r w:rsidRPr="008645E3">
        <w:rPr>
          <w:rFonts w:ascii="Palatino Linotype" w:eastAsia="Palatino Linotype" w:hAnsi="Palatino Linotype" w:cs="Palatino Linotype"/>
          <w:b/>
          <w:color w:val="000000"/>
          <w:sz w:val="24"/>
          <w:szCs w:val="24"/>
        </w:rPr>
        <w:lastRenderedPageBreak/>
        <w:t>Acto impugnado</w:t>
      </w:r>
      <w:r w:rsidRPr="00B628D1">
        <w:rPr>
          <w:rFonts w:ascii="Palatino Linotype" w:eastAsia="Palatino Linotype" w:hAnsi="Palatino Linotype" w:cs="Palatino Linotype"/>
          <w:b/>
          <w:i/>
          <w:color w:val="000000"/>
          <w:sz w:val="24"/>
          <w:szCs w:val="24"/>
        </w:rPr>
        <w:t>.</w:t>
      </w:r>
      <w:r w:rsidRPr="003753CA">
        <w:rPr>
          <w:rFonts w:ascii="Palatino Linotype" w:eastAsia="Palatino Linotype" w:hAnsi="Palatino Linotype" w:cs="Palatino Linotype"/>
          <w:b/>
          <w:color w:val="000000"/>
        </w:rPr>
        <w:t xml:space="preserve"> </w:t>
      </w:r>
      <w:r w:rsidRPr="003753CA">
        <w:rPr>
          <w:rFonts w:ascii="Palatino Linotype" w:eastAsia="Palatino Linotype" w:hAnsi="Palatino Linotype" w:cs="Palatino Linotype"/>
          <w:i/>
          <w:color w:val="000000"/>
        </w:rPr>
        <w:t>“</w:t>
      </w:r>
      <w:r w:rsidR="003753CA" w:rsidRPr="003753CA">
        <w:rPr>
          <w:rFonts w:ascii="Palatino Linotype" w:eastAsia="Times New Roman" w:hAnsi="Palatino Linotype" w:cs="Times New Roman"/>
          <w:i/>
        </w:rPr>
        <w:t>La respuesta brindada a la solicitud 00057/TRIECA/IP/2023</w:t>
      </w:r>
      <w:r w:rsidRPr="003753CA">
        <w:rPr>
          <w:rFonts w:ascii="Palatino Linotype" w:eastAsia="Palatino Linotype" w:hAnsi="Palatino Linotype" w:cs="Palatino Linotype"/>
          <w:i/>
          <w:color w:val="000000"/>
        </w:rPr>
        <w:t>”.</w:t>
      </w:r>
    </w:p>
    <w:p w14:paraId="0F61B626" w14:textId="55FEF416" w:rsidR="00F8557D" w:rsidRDefault="00646B44" w:rsidP="00FF17F3">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color w:val="000000"/>
        </w:rPr>
      </w:pPr>
      <w:r w:rsidRPr="008645E3">
        <w:rPr>
          <w:rFonts w:ascii="Palatino Linotype" w:eastAsia="Palatino Linotype" w:hAnsi="Palatino Linotype" w:cs="Palatino Linotype"/>
          <w:b/>
          <w:color w:val="000000"/>
          <w:sz w:val="24"/>
          <w:szCs w:val="24"/>
        </w:rPr>
        <w:t xml:space="preserve">Razones o motivos de la inconformidad: </w:t>
      </w:r>
      <w:r w:rsidRPr="002D6A54">
        <w:rPr>
          <w:rFonts w:ascii="Palatino Linotype" w:eastAsia="Palatino Linotype" w:hAnsi="Palatino Linotype" w:cs="Palatino Linotype"/>
          <w:color w:val="000000"/>
        </w:rPr>
        <w:t>“</w:t>
      </w:r>
      <w:r w:rsidR="003753CA" w:rsidRPr="003753CA">
        <w:rPr>
          <w:rFonts w:ascii="Palatino Linotype" w:eastAsia="Palatino Linotype" w:hAnsi="Palatino Linotype" w:cs="Palatino Linotype"/>
          <w:bCs/>
          <w:i/>
          <w:color w:val="000000"/>
        </w:rPr>
        <w:t xml:space="preserve">El sujeto obligado </w:t>
      </w:r>
      <w:r w:rsidR="003753CA" w:rsidRPr="003753CA">
        <w:rPr>
          <w:rFonts w:ascii="Palatino Linotype" w:eastAsia="Palatino Linotype" w:hAnsi="Palatino Linotype" w:cs="Palatino Linotype"/>
          <w:b/>
          <w:bCs/>
          <w:i/>
          <w:color w:val="000000"/>
          <w:u w:val="single"/>
        </w:rPr>
        <w:t>omitió proporcionarme la versión pública requerida</w:t>
      </w:r>
      <w:r w:rsidR="003753CA" w:rsidRPr="003753CA">
        <w:rPr>
          <w:rFonts w:ascii="Palatino Linotype" w:eastAsia="Palatino Linotype" w:hAnsi="Palatino Linotype" w:cs="Palatino Linotype"/>
          <w:bCs/>
          <w:i/>
          <w:color w:val="000000"/>
        </w:rPr>
        <w:t xml:space="preserve">, lo anterior en atención a que el peticionario de forma clara requerí: "Buen día, en términos de lo dispuesto por los artículos 1 y 6 de la Constitución Política de los Estados Unidos Mexicanos, en ejercicio de mi derecho humano de acceso a la información pública, de manera respetuosa ocurro ante esta H. Autoridad con la finalidad de solicitar se me brinde versión pública de la resolución incidental que fue determinada que tendría que emitirse en audiencia de procedimiento especial de conciliación, demanda, excepciones, pruebas y resolución de fecha 15 de junio de 2022, todo ello dentro de las constancias que integran el Expediente: TECA/02874/2019, substanciado en el Tribunal Estatal de Conciliación y Arbitraje de Toluca, Estado de México, bajo su Mesa 5.", sin embargo, como ese H. Cuerpo Colegiado podrá advertir, </w:t>
      </w:r>
      <w:r w:rsidR="003753CA" w:rsidRPr="003753CA">
        <w:rPr>
          <w:rFonts w:ascii="Palatino Linotype" w:eastAsia="Palatino Linotype" w:hAnsi="Palatino Linotype" w:cs="Palatino Linotype"/>
          <w:b/>
          <w:bCs/>
          <w:i/>
          <w:color w:val="000000"/>
          <w:u w:val="single"/>
        </w:rPr>
        <w:t>no se me proporciona la misma, concretándose el Tribunal requerido a señalar que con fecha de 23 de marzo del 2023, se declaró improcedente el incidente y se señalaron las nueve horas con treinta minutos del día 14 de junio del dos mil veintitrés para una audiencia de Procedimiento Especial, de Conciliación, Demanda y Excepciones Pruebas y Resolución, lo cual no corresponde con la modalidad de la información requerida ya que explícitamente solicite versión pública e dicha resolución incidental</w:t>
      </w:r>
      <w:r w:rsidR="00F22AE1" w:rsidRPr="002D6A54">
        <w:rPr>
          <w:rFonts w:ascii="Palatino Linotype" w:eastAsia="Palatino Linotype" w:hAnsi="Palatino Linotype" w:cs="Palatino Linotype"/>
          <w:i/>
          <w:color w:val="000000"/>
        </w:rPr>
        <w:t>”.</w:t>
      </w:r>
    </w:p>
    <w:p w14:paraId="41301D30" w14:textId="77777777" w:rsidR="00B628D1" w:rsidRPr="00FF17F3" w:rsidRDefault="00B628D1" w:rsidP="00B628D1">
      <w:pPr>
        <w:pBdr>
          <w:top w:val="nil"/>
          <w:left w:val="nil"/>
          <w:bottom w:val="nil"/>
          <w:right w:val="nil"/>
          <w:between w:val="nil"/>
        </w:pBdr>
        <w:tabs>
          <w:tab w:val="left" w:pos="1276"/>
        </w:tabs>
        <w:spacing w:after="0" w:line="360" w:lineRule="auto"/>
        <w:ind w:left="567" w:right="701"/>
        <w:jc w:val="both"/>
        <w:rPr>
          <w:rFonts w:ascii="Palatino Linotype" w:eastAsia="Palatino Linotype" w:hAnsi="Palatino Linotype" w:cs="Palatino Linotype"/>
          <w:i/>
          <w:color w:val="000000"/>
          <w:sz w:val="24"/>
          <w:szCs w:val="24"/>
        </w:rPr>
      </w:pPr>
    </w:p>
    <w:p w14:paraId="2C5BB885" w14:textId="228EAE65" w:rsidR="00F8557D" w:rsidRDefault="00646B44" w:rsidP="00B628D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645E3">
        <w:rPr>
          <w:rFonts w:ascii="Palatino Linotype" w:eastAsia="Palatino Linotype" w:hAnsi="Palatino Linotype" w:cs="Palatino Linotype"/>
          <w:b/>
          <w:color w:val="000000"/>
          <w:sz w:val="24"/>
          <w:szCs w:val="24"/>
        </w:rPr>
        <w:t>Turno.</w:t>
      </w:r>
      <w:r w:rsidRPr="008645E3">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Municipios, el recurso de revisión número </w:t>
      </w:r>
      <w:r w:rsidR="003753CA">
        <w:rPr>
          <w:rFonts w:ascii="Palatino Linotype" w:eastAsia="Palatino Linotype" w:hAnsi="Palatino Linotype" w:cs="Palatino Linotype"/>
          <w:b/>
          <w:color w:val="000000"/>
          <w:sz w:val="24"/>
          <w:szCs w:val="24"/>
        </w:rPr>
        <w:t>02974</w:t>
      </w:r>
      <w:r w:rsidR="00D7458B">
        <w:rPr>
          <w:rFonts w:ascii="Palatino Linotype" w:eastAsia="Palatino Linotype" w:hAnsi="Palatino Linotype" w:cs="Palatino Linotype"/>
          <w:b/>
          <w:color w:val="000000"/>
          <w:sz w:val="24"/>
          <w:szCs w:val="24"/>
        </w:rPr>
        <w:t>/INFOEM/IP/RR/2023</w:t>
      </w:r>
      <w:r w:rsidRPr="008645E3">
        <w:rPr>
          <w:rFonts w:ascii="Palatino Linotype" w:eastAsia="Palatino Linotype" w:hAnsi="Palatino Linotype" w:cs="Palatino Linotype"/>
          <w:color w:val="000000"/>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09ACAD97" w14:textId="77777777" w:rsidR="00D53D49" w:rsidRPr="00B628D1" w:rsidRDefault="00D53D49" w:rsidP="00D53D4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2DFBE2EF" w14:textId="23A94DA7" w:rsidR="003753CA" w:rsidRDefault="00646B44" w:rsidP="00AC79E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645E3">
        <w:rPr>
          <w:rFonts w:ascii="Palatino Linotype" w:eastAsia="Palatino Linotype" w:hAnsi="Palatino Linotype" w:cs="Palatino Linotype"/>
          <w:b/>
          <w:color w:val="000000"/>
          <w:sz w:val="24"/>
          <w:szCs w:val="24"/>
        </w:rPr>
        <w:lastRenderedPageBreak/>
        <w:t>Admisión del recurso de revisión</w:t>
      </w:r>
      <w:r w:rsidRPr="008645E3">
        <w:rPr>
          <w:rFonts w:ascii="Palatino Linotype" w:eastAsia="Palatino Linotype" w:hAnsi="Palatino Linotype" w:cs="Palatino Linotype"/>
          <w:color w:val="000000"/>
          <w:sz w:val="24"/>
          <w:szCs w:val="24"/>
        </w:rPr>
        <w:t xml:space="preserve">: En fecha </w:t>
      </w:r>
      <w:r w:rsidR="003753CA">
        <w:rPr>
          <w:rFonts w:ascii="Palatino Linotype" w:eastAsia="Palatino Linotype" w:hAnsi="Palatino Linotype" w:cs="Palatino Linotype"/>
          <w:b/>
          <w:color w:val="000000"/>
          <w:sz w:val="24"/>
          <w:szCs w:val="24"/>
        </w:rPr>
        <w:t>uno de junio</w:t>
      </w:r>
      <w:r w:rsidR="00B628D1">
        <w:rPr>
          <w:rFonts w:ascii="Palatino Linotype" w:eastAsia="Palatino Linotype" w:hAnsi="Palatino Linotype" w:cs="Palatino Linotype"/>
          <w:b/>
          <w:color w:val="000000"/>
          <w:sz w:val="24"/>
          <w:szCs w:val="24"/>
        </w:rPr>
        <w:t xml:space="preserve"> </w:t>
      </w:r>
      <w:r w:rsidR="00D7458B">
        <w:rPr>
          <w:rFonts w:ascii="Palatino Linotype" w:eastAsia="Palatino Linotype" w:hAnsi="Palatino Linotype" w:cs="Palatino Linotype"/>
          <w:b/>
          <w:color w:val="000000"/>
          <w:sz w:val="24"/>
          <w:szCs w:val="24"/>
        </w:rPr>
        <w:t>de dos mil veintitrés</w:t>
      </w:r>
      <w:r w:rsidRPr="008645E3">
        <w:rPr>
          <w:rFonts w:ascii="Palatino Linotype" w:eastAsia="Palatino Linotype" w:hAnsi="Palatino Linotype" w:cs="Palatino Linotype"/>
          <w:color w:val="000000"/>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0229641E" w14:textId="77777777" w:rsidR="003753CA" w:rsidRDefault="003753CA" w:rsidP="003753CA">
      <w:pPr>
        <w:pStyle w:val="Prrafodelista"/>
        <w:rPr>
          <w:rFonts w:ascii="Palatino Linotype" w:eastAsia="Palatino Linotype" w:hAnsi="Palatino Linotype" w:cs="Palatino Linotype"/>
          <w:color w:val="000000"/>
          <w:sz w:val="24"/>
          <w:szCs w:val="24"/>
        </w:rPr>
      </w:pPr>
    </w:p>
    <w:p w14:paraId="3114B325" w14:textId="5EC048B1" w:rsidR="003753CA" w:rsidRDefault="003753CA" w:rsidP="003753CA">
      <w:pPr>
        <w:numPr>
          <w:ilvl w:val="0"/>
          <w:numId w:val="1"/>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Manifestaciones: </w:t>
      </w:r>
      <w:r>
        <w:rPr>
          <w:rFonts w:ascii="Palatino Linotype" w:eastAsia="Palatino Linotype" w:hAnsi="Palatino Linotype" w:cs="Palatino Linotype"/>
          <w:color w:val="000000"/>
          <w:sz w:val="24"/>
          <w:szCs w:val="24"/>
        </w:rPr>
        <w:t>Las partes fueron omisas en rendir manifestaciones:</w:t>
      </w:r>
    </w:p>
    <w:p w14:paraId="6319BABD" w14:textId="77777777" w:rsidR="003753CA" w:rsidRDefault="003753CA" w:rsidP="003753CA">
      <w:pPr>
        <w:pStyle w:val="Prrafodelista"/>
        <w:rPr>
          <w:rFonts w:ascii="Palatino Linotype" w:eastAsia="Palatino Linotype" w:hAnsi="Palatino Linotype" w:cs="Palatino Linotype"/>
          <w:color w:val="000000"/>
          <w:sz w:val="24"/>
          <w:szCs w:val="24"/>
        </w:rPr>
      </w:pPr>
    </w:p>
    <w:p w14:paraId="11B18A77" w14:textId="533333E6" w:rsidR="003753CA" w:rsidRPr="003753CA" w:rsidRDefault="003753CA" w:rsidP="003753CA">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color w:val="000000"/>
          <w:sz w:val="24"/>
          <w:szCs w:val="24"/>
        </w:rPr>
      </w:pPr>
      <w:r w:rsidRPr="003753CA">
        <w:rPr>
          <w:rFonts w:ascii="Palatino Linotype" w:eastAsia="Palatino Linotype" w:hAnsi="Palatino Linotype" w:cs="Palatino Linotype"/>
          <w:noProof/>
          <w:color w:val="000000"/>
          <w:sz w:val="24"/>
          <w:szCs w:val="24"/>
        </w:rPr>
        <w:drawing>
          <wp:inline distT="0" distB="0" distL="0" distR="0" wp14:anchorId="6E5AD4F2" wp14:editId="4BC8E92E">
            <wp:extent cx="5756275" cy="149796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497965"/>
                    </a:xfrm>
                    <a:prstGeom prst="rect">
                      <a:avLst/>
                    </a:prstGeom>
                  </pic:spPr>
                </pic:pic>
              </a:graphicData>
            </a:graphic>
          </wp:inline>
        </w:drawing>
      </w:r>
    </w:p>
    <w:p w14:paraId="6C47C748" w14:textId="77777777" w:rsidR="00933869" w:rsidRPr="00AC79ED" w:rsidRDefault="00933869" w:rsidP="00AC79E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706E515F" w14:textId="0D4592E1" w:rsidR="00933869" w:rsidRPr="008B7BCF" w:rsidRDefault="00646B44" w:rsidP="00933869">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r w:rsidRPr="008B7BCF">
        <w:rPr>
          <w:rFonts w:ascii="Palatino Linotype" w:eastAsia="Palatino Linotype" w:hAnsi="Palatino Linotype" w:cs="Palatino Linotype"/>
          <w:b/>
          <w:color w:val="000000"/>
          <w:sz w:val="24"/>
          <w:szCs w:val="24"/>
        </w:rPr>
        <w:t>Ampliación de plazo:</w:t>
      </w:r>
      <w:r w:rsidRPr="008B7BCF">
        <w:rPr>
          <w:rFonts w:ascii="Palatino Linotype" w:eastAsia="Palatino Linotype" w:hAnsi="Palatino Linotype" w:cs="Palatino Linotype"/>
          <w:color w:val="000000"/>
          <w:sz w:val="24"/>
          <w:szCs w:val="24"/>
        </w:rPr>
        <w:t xml:space="preserve"> </w:t>
      </w:r>
      <w:r w:rsidR="00933869" w:rsidRPr="008B7BCF">
        <w:rPr>
          <w:rFonts w:ascii="Palatino Linotype" w:eastAsia="Palatino Linotype" w:hAnsi="Palatino Linotype" w:cs="Palatino Linotype"/>
          <w:color w:val="000000"/>
          <w:sz w:val="24"/>
          <w:szCs w:val="24"/>
        </w:rPr>
        <w:t xml:space="preserve">En fecha </w:t>
      </w:r>
      <w:r w:rsidR="003753CA">
        <w:rPr>
          <w:rFonts w:ascii="Palatino Linotype" w:eastAsia="Palatino Linotype" w:hAnsi="Palatino Linotype" w:cs="Palatino Linotype"/>
          <w:b/>
          <w:color w:val="000000"/>
          <w:sz w:val="24"/>
          <w:szCs w:val="24"/>
        </w:rPr>
        <w:t>veintiocho de noviembre</w:t>
      </w:r>
      <w:r w:rsidR="00933869" w:rsidRPr="008B7BCF">
        <w:rPr>
          <w:rFonts w:ascii="Palatino Linotype" w:eastAsia="Palatino Linotype" w:hAnsi="Palatino Linotype" w:cs="Palatino Linotype"/>
          <w:b/>
          <w:color w:val="000000"/>
          <w:sz w:val="24"/>
          <w:szCs w:val="24"/>
        </w:rPr>
        <w:t xml:space="preserve"> de dos mil veintitrés</w:t>
      </w:r>
      <w:r w:rsidR="00933869" w:rsidRPr="008B7BCF">
        <w:rPr>
          <w:rFonts w:ascii="Palatino Linotype" w:eastAsia="Palatino Linotype" w:hAnsi="Palatino Linotype" w:cs="Palatino Linotype"/>
          <w:color w:val="000000"/>
          <w:sz w:val="24"/>
          <w:szCs w:val="24"/>
        </w:rPr>
        <w:t>, con fundamento en el artículo 181, párrafo tercero de la Ley de Transparencia y Acceso a la Información Pública del Estado de México y Municipios, se acordó la ampliación del plazo para su resolución.</w:t>
      </w:r>
    </w:p>
    <w:p w14:paraId="53348BE4" w14:textId="77777777" w:rsidR="00933869" w:rsidRPr="00933869" w:rsidRDefault="00933869" w:rsidP="00933869">
      <w:pPr>
        <w:widowControl w:val="0"/>
        <w:spacing w:after="0" w:line="360" w:lineRule="auto"/>
        <w:jc w:val="both"/>
        <w:rPr>
          <w:rFonts w:ascii="Palatino Linotype" w:eastAsia="Palatino Linotype" w:hAnsi="Palatino Linotype" w:cs="Palatino Linotype"/>
          <w:sz w:val="24"/>
        </w:rPr>
      </w:pPr>
    </w:p>
    <w:p w14:paraId="21E796B3" w14:textId="77777777" w:rsidR="00933869" w:rsidRPr="00933869" w:rsidRDefault="00933869" w:rsidP="00933869">
      <w:pPr>
        <w:spacing w:after="0" w:line="360" w:lineRule="auto"/>
        <w:jc w:val="both"/>
        <w:rPr>
          <w:rFonts w:ascii="Palatino Linotype" w:eastAsia="Palatino Linotype" w:hAnsi="Palatino Linotype" w:cs="Palatino Linotype"/>
          <w:sz w:val="24"/>
        </w:rPr>
      </w:pPr>
      <w:r w:rsidRPr="00933869">
        <w:rPr>
          <w:rFonts w:ascii="Palatino Linotype" w:eastAsia="Palatino Linotype" w:hAnsi="Palatino Linotype" w:cs="Palatino Linotype"/>
          <w:sz w:val="24"/>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w:t>
      </w:r>
      <w:r w:rsidRPr="00933869">
        <w:rPr>
          <w:rFonts w:ascii="Palatino Linotype" w:eastAsia="Palatino Linotype" w:hAnsi="Palatino Linotype" w:cs="Palatino Linotype"/>
          <w:sz w:val="24"/>
        </w:rPr>
        <w:lastRenderedPageBreak/>
        <w:t>circunstancia atípica que ha rebasado las capacidades técnicas y humanas del personal encargado de la proyección de las resoluciones a dichos medios de impugnación.</w:t>
      </w:r>
    </w:p>
    <w:p w14:paraId="4C8D27F2" w14:textId="77777777" w:rsidR="00933869" w:rsidRPr="00933869" w:rsidRDefault="00933869" w:rsidP="00933869">
      <w:pPr>
        <w:spacing w:after="0" w:line="360" w:lineRule="auto"/>
        <w:jc w:val="both"/>
        <w:rPr>
          <w:rFonts w:ascii="Palatino Linotype" w:eastAsia="Palatino Linotype" w:hAnsi="Palatino Linotype" w:cs="Palatino Linotype"/>
          <w:sz w:val="24"/>
        </w:rPr>
      </w:pPr>
    </w:p>
    <w:p w14:paraId="5E423D5D" w14:textId="77777777" w:rsidR="00933869" w:rsidRPr="00933869" w:rsidRDefault="00933869" w:rsidP="00933869">
      <w:pPr>
        <w:spacing w:after="0" w:line="360" w:lineRule="auto"/>
        <w:jc w:val="both"/>
        <w:rPr>
          <w:rFonts w:ascii="Palatino Linotype" w:eastAsia="Palatino Linotype" w:hAnsi="Palatino Linotype" w:cs="Palatino Linotype"/>
          <w:sz w:val="24"/>
        </w:rPr>
      </w:pPr>
      <w:r w:rsidRPr="00933869">
        <w:rPr>
          <w:rFonts w:ascii="Palatino Linotype" w:eastAsia="Palatino Linotype" w:hAnsi="Palatino Linotype" w:cs="Palatino Linotype"/>
          <w:sz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E38F972" w14:textId="77777777" w:rsidR="00933869" w:rsidRPr="00933869" w:rsidRDefault="00933869" w:rsidP="00933869">
      <w:pPr>
        <w:spacing w:after="0" w:line="360" w:lineRule="auto"/>
        <w:jc w:val="both"/>
        <w:rPr>
          <w:rFonts w:ascii="Palatino Linotype" w:eastAsia="Palatino Linotype" w:hAnsi="Palatino Linotype" w:cs="Palatino Linotype"/>
          <w:sz w:val="24"/>
        </w:rPr>
      </w:pPr>
    </w:p>
    <w:p w14:paraId="5AC64A07" w14:textId="77777777" w:rsidR="00933869" w:rsidRPr="00933869" w:rsidRDefault="00933869" w:rsidP="00933869">
      <w:pPr>
        <w:spacing w:after="0" w:line="360" w:lineRule="auto"/>
        <w:jc w:val="both"/>
        <w:rPr>
          <w:rFonts w:ascii="Palatino Linotype" w:eastAsia="Palatino Linotype" w:hAnsi="Palatino Linotype" w:cs="Palatino Linotype"/>
          <w:sz w:val="24"/>
        </w:rPr>
      </w:pPr>
      <w:r w:rsidRPr="00933869">
        <w:rPr>
          <w:rFonts w:ascii="Palatino Linotype" w:eastAsia="Palatino Linotype" w:hAnsi="Palatino Linotype" w:cs="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12D08E" w14:textId="77777777" w:rsidR="00933869" w:rsidRPr="00933869" w:rsidRDefault="00933869" w:rsidP="00933869">
      <w:pPr>
        <w:spacing w:after="0" w:line="360" w:lineRule="auto"/>
        <w:jc w:val="both"/>
        <w:rPr>
          <w:rFonts w:ascii="Palatino Linotype" w:eastAsia="Palatino Linotype" w:hAnsi="Palatino Linotype" w:cs="Palatino Linotype"/>
          <w:sz w:val="24"/>
        </w:rPr>
      </w:pPr>
    </w:p>
    <w:p w14:paraId="459D51E7" w14:textId="6024B3AC" w:rsidR="00933869" w:rsidRPr="00933869" w:rsidRDefault="00933869" w:rsidP="00933869">
      <w:pPr>
        <w:spacing w:after="0" w:line="360" w:lineRule="auto"/>
        <w:jc w:val="both"/>
        <w:rPr>
          <w:rFonts w:ascii="Palatino Linotype" w:eastAsia="Palatino Linotype" w:hAnsi="Palatino Linotype" w:cs="Palatino Linotype"/>
          <w:sz w:val="24"/>
        </w:rPr>
      </w:pPr>
      <w:r w:rsidRPr="00933869">
        <w:rPr>
          <w:rFonts w:ascii="Palatino Linotype" w:eastAsia="Palatino Linotype" w:hAnsi="Palatino Linotype" w:cs="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F5BDB9E" w14:textId="77777777" w:rsidR="00933869" w:rsidRPr="00933869" w:rsidRDefault="00933869" w:rsidP="00933869">
      <w:pPr>
        <w:spacing w:after="0" w:line="360" w:lineRule="auto"/>
        <w:jc w:val="both"/>
        <w:rPr>
          <w:rFonts w:ascii="Palatino Linotype" w:eastAsia="Palatino Linotype" w:hAnsi="Palatino Linotype" w:cs="Palatino Linotype"/>
          <w:strike/>
          <w:color w:val="FF0000"/>
          <w:sz w:val="24"/>
        </w:rPr>
      </w:pPr>
      <w:r w:rsidRPr="00933869">
        <w:rPr>
          <w:rFonts w:ascii="Palatino Linotype" w:eastAsia="Palatino Linotype" w:hAnsi="Palatino Linotype" w:cs="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420507ED" w14:textId="77777777" w:rsidR="00933869" w:rsidRPr="00933869" w:rsidRDefault="00933869" w:rsidP="00933869">
      <w:pPr>
        <w:spacing w:after="0" w:line="360" w:lineRule="auto"/>
        <w:jc w:val="both"/>
        <w:rPr>
          <w:rFonts w:ascii="Palatino Linotype" w:eastAsia="Palatino Linotype" w:hAnsi="Palatino Linotype" w:cs="Palatino Linotype"/>
          <w:sz w:val="24"/>
        </w:rPr>
      </w:pPr>
    </w:p>
    <w:p w14:paraId="560DEC88" w14:textId="77777777" w:rsidR="00933869" w:rsidRPr="00933869" w:rsidRDefault="00933869" w:rsidP="00933869">
      <w:pPr>
        <w:numPr>
          <w:ilvl w:val="0"/>
          <w:numId w:val="18"/>
        </w:numPr>
        <w:spacing w:after="0" w:line="360" w:lineRule="auto"/>
        <w:jc w:val="both"/>
        <w:rPr>
          <w:rFonts w:ascii="Palatino Linotype" w:eastAsia="Palatino Linotype" w:hAnsi="Palatino Linotype" w:cs="Palatino Linotype"/>
        </w:rPr>
      </w:pPr>
      <w:r w:rsidRPr="00933869">
        <w:rPr>
          <w:rFonts w:ascii="Palatino Linotype" w:eastAsia="Palatino Linotype" w:hAnsi="Palatino Linotype" w:cs="Palatino Linotype"/>
        </w:rPr>
        <w:lastRenderedPageBreak/>
        <w:t>Complejidad del Asunto: La complejidad de la prueba, la pluralidad de sujetos procesales, el tiempo transcurrido, las características y contexto del recurso.</w:t>
      </w:r>
    </w:p>
    <w:p w14:paraId="6F380AA6" w14:textId="77777777" w:rsidR="00933869" w:rsidRPr="00933869" w:rsidRDefault="00933869" w:rsidP="00933869">
      <w:pPr>
        <w:numPr>
          <w:ilvl w:val="0"/>
          <w:numId w:val="18"/>
        </w:numPr>
        <w:spacing w:after="0" w:line="360" w:lineRule="auto"/>
        <w:jc w:val="both"/>
        <w:rPr>
          <w:rFonts w:ascii="Palatino Linotype" w:eastAsia="Palatino Linotype" w:hAnsi="Palatino Linotype" w:cs="Palatino Linotype"/>
        </w:rPr>
      </w:pPr>
      <w:r w:rsidRPr="00933869">
        <w:rPr>
          <w:rFonts w:ascii="Palatino Linotype" w:eastAsia="Palatino Linotype" w:hAnsi="Palatino Linotype" w:cs="Palatino Linotype"/>
        </w:rPr>
        <w:t>Actividad Procesal del interesado. Acciones u omisiones del interesado.</w:t>
      </w:r>
    </w:p>
    <w:p w14:paraId="53FD7C10" w14:textId="77777777" w:rsidR="00933869" w:rsidRPr="00933869" w:rsidRDefault="00933869" w:rsidP="00933869">
      <w:pPr>
        <w:numPr>
          <w:ilvl w:val="0"/>
          <w:numId w:val="18"/>
        </w:numPr>
        <w:spacing w:after="0" w:line="360" w:lineRule="auto"/>
        <w:jc w:val="both"/>
        <w:rPr>
          <w:rFonts w:ascii="Palatino Linotype" w:eastAsia="Palatino Linotype" w:hAnsi="Palatino Linotype" w:cs="Palatino Linotype"/>
        </w:rPr>
      </w:pPr>
      <w:r w:rsidRPr="00933869">
        <w:rPr>
          <w:rFonts w:ascii="Palatino Linotype" w:eastAsia="Palatino Linotype" w:hAnsi="Palatino Linotype" w:cs="Palatino Linotype"/>
        </w:rPr>
        <w:t>Conducta de la Autoridad: Las Acciones u omisiones realizadas en el procedimiento. Así como si la autoridad actuó con la debida diligencia.</w:t>
      </w:r>
    </w:p>
    <w:p w14:paraId="3E8D5219" w14:textId="77777777" w:rsidR="00933869" w:rsidRPr="00933869" w:rsidRDefault="00933869" w:rsidP="00933869">
      <w:pPr>
        <w:numPr>
          <w:ilvl w:val="0"/>
          <w:numId w:val="18"/>
        </w:numPr>
        <w:spacing w:after="0" w:line="360" w:lineRule="auto"/>
        <w:jc w:val="both"/>
        <w:rPr>
          <w:rFonts w:ascii="Palatino Linotype" w:eastAsia="Palatino Linotype" w:hAnsi="Palatino Linotype" w:cs="Palatino Linotype"/>
        </w:rPr>
      </w:pPr>
      <w:r w:rsidRPr="00933869">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4E934C38" w14:textId="77777777" w:rsidR="00933869" w:rsidRPr="00933869" w:rsidRDefault="00933869" w:rsidP="00933869">
      <w:pPr>
        <w:spacing w:after="0" w:line="360" w:lineRule="auto"/>
        <w:jc w:val="both"/>
        <w:rPr>
          <w:rFonts w:ascii="Palatino Linotype" w:eastAsia="Palatino Linotype" w:hAnsi="Palatino Linotype" w:cs="Palatino Linotype"/>
          <w:sz w:val="24"/>
        </w:rPr>
      </w:pPr>
    </w:p>
    <w:p w14:paraId="03DFD099" w14:textId="77777777" w:rsidR="00933869" w:rsidRPr="00933869" w:rsidRDefault="00933869" w:rsidP="00933869">
      <w:pPr>
        <w:spacing w:after="0" w:line="360" w:lineRule="auto"/>
        <w:jc w:val="both"/>
        <w:rPr>
          <w:rFonts w:ascii="Palatino Linotype" w:eastAsia="Palatino Linotype" w:hAnsi="Palatino Linotype" w:cs="Palatino Linotype"/>
          <w:sz w:val="24"/>
        </w:rPr>
      </w:pPr>
      <w:r w:rsidRPr="00933869">
        <w:rPr>
          <w:rFonts w:ascii="Palatino Linotype" w:eastAsia="Palatino Linotype" w:hAnsi="Palatino Linotype" w:cs="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521F4D" w14:textId="77777777" w:rsidR="00933869" w:rsidRPr="00933869" w:rsidRDefault="00933869" w:rsidP="00933869">
      <w:pPr>
        <w:spacing w:after="0" w:line="360" w:lineRule="auto"/>
        <w:jc w:val="both"/>
        <w:rPr>
          <w:rFonts w:ascii="Palatino Linotype" w:eastAsia="Palatino Linotype" w:hAnsi="Palatino Linotype" w:cs="Palatino Linotype"/>
          <w:sz w:val="24"/>
        </w:rPr>
      </w:pPr>
    </w:p>
    <w:p w14:paraId="2E961C91" w14:textId="7B0DA513" w:rsidR="00933869" w:rsidRDefault="00933869" w:rsidP="00933869">
      <w:pPr>
        <w:spacing w:after="0" w:line="360" w:lineRule="auto"/>
        <w:jc w:val="both"/>
        <w:rPr>
          <w:rFonts w:ascii="Palatino Linotype" w:eastAsia="Palatino Linotype" w:hAnsi="Palatino Linotype" w:cs="Palatino Linotype"/>
          <w:sz w:val="24"/>
        </w:rPr>
      </w:pPr>
      <w:r w:rsidRPr="00933869">
        <w:rPr>
          <w:rFonts w:ascii="Palatino Linotype" w:eastAsia="Palatino Linotype" w:hAnsi="Palatino Linotype" w:cs="Palatino Linotype"/>
          <w:sz w:val="24"/>
        </w:rPr>
        <w:t xml:space="preserve">Argumento que encuentra sustento en la jurisprudencia P./J. 32/92 emitida por el Pleno de la Suprema Corte de Justicia de la Nación de rubro </w:t>
      </w:r>
      <w:r w:rsidRPr="00933869">
        <w:rPr>
          <w:rFonts w:ascii="Palatino Linotype" w:eastAsia="Palatino Linotype" w:hAnsi="Palatino Linotype" w:cs="Palatino Linotype"/>
          <w:i/>
          <w:sz w:val="24"/>
        </w:rPr>
        <w:t>“TÉRMINOS PROCESALES. PARA DETERMINAR SI UN FUNCIONARIO JUDICIAL ACTUÓ INDEBIDAMENTE POR NO RESPETARLOS SE DEBE ATENDER AL PRESUPUESTO QUE CONSIDERÓ EL LEGISLADOR AL FIJARLOS Y LAS CARACTERÍSTICAS DEL CASO.”</w:t>
      </w:r>
      <w:r w:rsidRPr="00933869">
        <w:rPr>
          <w:rFonts w:ascii="Palatino Linotype" w:eastAsia="Palatino Linotype" w:hAnsi="Palatino Linotype" w:cs="Palatino Linotype"/>
          <w:sz w:val="24"/>
        </w:rPr>
        <w:t>, visible en la Gaceta del Seminario Judicial de la Federación con el registro digital 205635.</w:t>
      </w:r>
    </w:p>
    <w:p w14:paraId="37FAAB92" w14:textId="77777777" w:rsidR="00D53D49" w:rsidRPr="003A0D42" w:rsidRDefault="00D53D49" w:rsidP="00933869">
      <w:pPr>
        <w:spacing w:after="0" w:line="360" w:lineRule="auto"/>
        <w:jc w:val="both"/>
        <w:rPr>
          <w:rFonts w:ascii="Palatino Linotype" w:eastAsia="Palatino Linotype" w:hAnsi="Palatino Linotype" w:cs="Palatino Linotype"/>
          <w:b/>
          <w:sz w:val="24"/>
        </w:rPr>
      </w:pPr>
    </w:p>
    <w:p w14:paraId="4FD2A8D6" w14:textId="77777777" w:rsidR="00933869" w:rsidRPr="00933869" w:rsidRDefault="00933869" w:rsidP="00933869">
      <w:pPr>
        <w:spacing w:after="0" w:line="360" w:lineRule="auto"/>
        <w:jc w:val="both"/>
        <w:rPr>
          <w:rFonts w:ascii="Palatino Linotype" w:eastAsia="Palatino Linotype" w:hAnsi="Palatino Linotype" w:cs="Palatino Linotype"/>
          <w:sz w:val="24"/>
        </w:rPr>
      </w:pPr>
      <w:r w:rsidRPr="00933869">
        <w:rPr>
          <w:rFonts w:ascii="Palatino Linotype" w:eastAsia="Palatino Linotype" w:hAnsi="Palatino Linotype" w:cs="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933869">
        <w:rPr>
          <w:rFonts w:ascii="Palatino Linotype" w:eastAsia="Palatino Linotype" w:hAnsi="Palatino Linotype" w:cs="Palatino Linotype"/>
          <w:sz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A4027E" w14:textId="77777777" w:rsidR="00933869" w:rsidRPr="00933869" w:rsidRDefault="00933869" w:rsidP="00933869">
      <w:pPr>
        <w:spacing w:after="0" w:line="360" w:lineRule="auto"/>
        <w:jc w:val="both"/>
        <w:rPr>
          <w:rFonts w:ascii="Palatino Linotype" w:eastAsia="Palatino Linotype" w:hAnsi="Palatino Linotype" w:cs="Palatino Linotype"/>
          <w:sz w:val="24"/>
        </w:rPr>
      </w:pPr>
    </w:p>
    <w:p w14:paraId="564B1E1A" w14:textId="4BC2A56A" w:rsidR="00933869" w:rsidRDefault="00933869" w:rsidP="00933869">
      <w:pPr>
        <w:spacing w:after="0" w:line="360" w:lineRule="auto"/>
        <w:jc w:val="both"/>
        <w:rPr>
          <w:rFonts w:ascii="Palatino Linotype" w:eastAsia="Palatino Linotype" w:hAnsi="Palatino Linotype" w:cs="Palatino Linotype"/>
          <w:sz w:val="24"/>
        </w:rPr>
      </w:pPr>
      <w:r w:rsidRPr="00933869">
        <w:rPr>
          <w:rFonts w:ascii="Palatino Linotype" w:eastAsia="Palatino Linotype" w:hAnsi="Palatino Linotype" w:cs="Palatino Linotype"/>
          <w:sz w:val="24"/>
        </w:rPr>
        <w:t>Al respecto, también son de considerar los criterios sostenidos por el Cuarto Tribunal Colegiado en Materia Administrativa del Primer Circuito, cuyos rubros y datos de identificación son los siguientes:</w:t>
      </w:r>
    </w:p>
    <w:p w14:paraId="5582B0B4" w14:textId="77777777" w:rsidR="003A0D42" w:rsidRPr="00933869" w:rsidRDefault="003A0D42" w:rsidP="00933869">
      <w:pPr>
        <w:spacing w:after="0" w:line="360" w:lineRule="auto"/>
        <w:jc w:val="both"/>
        <w:rPr>
          <w:rFonts w:ascii="Palatino Linotype" w:eastAsia="Palatino Linotype" w:hAnsi="Palatino Linotype" w:cs="Palatino Linotype"/>
          <w:sz w:val="24"/>
        </w:rPr>
      </w:pPr>
    </w:p>
    <w:p w14:paraId="1ACEBDDD" w14:textId="77777777" w:rsidR="00933869" w:rsidRPr="00933869" w:rsidRDefault="00933869" w:rsidP="00933869">
      <w:pPr>
        <w:spacing w:after="0" w:line="360" w:lineRule="auto"/>
        <w:ind w:left="567" w:right="616"/>
        <w:jc w:val="both"/>
        <w:rPr>
          <w:rFonts w:ascii="Palatino Linotype" w:eastAsia="Palatino Linotype" w:hAnsi="Palatino Linotype" w:cs="Palatino Linotype"/>
        </w:rPr>
      </w:pPr>
      <w:r w:rsidRPr="00933869">
        <w:rPr>
          <w:rFonts w:ascii="Palatino Linotype" w:eastAsia="Palatino Linotype" w:hAnsi="Palatino Linotype" w:cs="Palatino Linotype"/>
          <w:b/>
        </w:rPr>
        <w:t xml:space="preserve"> </w:t>
      </w:r>
      <w:r w:rsidRPr="00933869">
        <w:rPr>
          <w:rFonts w:ascii="Palatino Linotype" w:eastAsia="Palatino Linotype" w:hAnsi="Palatino Linotype" w:cs="Palatino Linotype"/>
          <w:b/>
          <w:i/>
        </w:rPr>
        <w:t>“PLAZO RAZONABLE PARA RESOLVER. DIMENSIÓN Y EFECTOS DE ESTE CONCEPTO CUANDO SE ADUCE EXCESIVA CARGA DE TRABAJO.”</w:t>
      </w:r>
      <w:r w:rsidRPr="00933869">
        <w:rPr>
          <w:rFonts w:ascii="Palatino Linotype" w:eastAsia="Palatino Linotype" w:hAnsi="Palatino Linotype" w:cs="Palatino Linotype"/>
        </w:rPr>
        <w:t xml:space="preserve"> consultable en el Seminario Judicial de la Federación y su gaceta, con el registro digital 2002351.</w:t>
      </w:r>
    </w:p>
    <w:p w14:paraId="085688C7" w14:textId="77777777" w:rsidR="00933869" w:rsidRPr="00933869" w:rsidRDefault="00933869" w:rsidP="00933869">
      <w:pPr>
        <w:spacing w:after="0" w:line="360" w:lineRule="auto"/>
        <w:ind w:left="567" w:right="616"/>
        <w:jc w:val="both"/>
        <w:rPr>
          <w:rFonts w:ascii="Palatino Linotype" w:eastAsia="Palatino Linotype" w:hAnsi="Palatino Linotype" w:cs="Palatino Linotype"/>
          <w:b/>
        </w:rPr>
      </w:pPr>
    </w:p>
    <w:p w14:paraId="2E494089" w14:textId="11C1CB53" w:rsidR="00933869" w:rsidRDefault="00933869" w:rsidP="003A0D42">
      <w:pPr>
        <w:spacing w:after="0" w:line="360" w:lineRule="auto"/>
        <w:ind w:left="567" w:right="616"/>
        <w:jc w:val="both"/>
        <w:rPr>
          <w:rFonts w:ascii="Palatino Linotype" w:eastAsia="Palatino Linotype" w:hAnsi="Palatino Linotype" w:cs="Palatino Linotype"/>
        </w:rPr>
      </w:pPr>
      <w:r w:rsidRPr="00933869">
        <w:rPr>
          <w:rFonts w:ascii="Palatino Linotype" w:eastAsia="Palatino Linotype" w:hAnsi="Palatino Linotype" w:cs="Palatino Linotype"/>
          <w:b/>
          <w:i/>
        </w:rPr>
        <w:t>“PLAZO RAZONABLE PARA RESOLVER. CONCEPTO Y ELEMENTOS QUE LO INTEGRAN A LA LUZ DEL DERECHO INTERNACIONAL DE LOS DERECHOS HUMANOS</w:t>
      </w:r>
      <w:r w:rsidRPr="00933869">
        <w:rPr>
          <w:rFonts w:ascii="Palatino Linotype" w:eastAsia="Palatino Linotype" w:hAnsi="Palatino Linotype" w:cs="Palatino Linotype"/>
          <w:i/>
        </w:rPr>
        <w:t>.”</w:t>
      </w:r>
      <w:r w:rsidRPr="00933869">
        <w:rPr>
          <w:rFonts w:ascii="Palatino Linotype" w:eastAsia="Palatino Linotype" w:hAnsi="Palatino Linotype" w:cs="Palatino Linotype"/>
        </w:rPr>
        <w:t>, visible en el Seminario Judicial de la Federación y su gaceta, con el registro digital 2002350.</w:t>
      </w:r>
    </w:p>
    <w:p w14:paraId="2694D862" w14:textId="77777777" w:rsidR="00D53D49" w:rsidRPr="003A0D42" w:rsidRDefault="00D53D49" w:rsidP="003A0D42">
      <w:pPr>
        <w:spacing w:after="0" w:line="360" w:lineRule="auto"/>
        <w:ind w:left="567" w:right="616"/>
        <w:jc w:val="both"/>
        <w:rPr>
          <w:rFonts w:ascii="Palatino Linotype" w:eastAsia="Palatino Linotype" w:hAnsi="Palatino Linotype" w:cs="Palatino Linotype"/>
        </w:rPr>
      </w:pPr>
    </w:p>
    <w:p w14:paraId="7F5EBC64" w14:textId="0550C2A1" w:rsidR="00933869" w:rsidRPr="00933869" w:rsidRDefault="00933869" w:rsidP="00933869">
      <w:pPr>
        <w:spacing w:after="0" w:line="360" w:lineRule="auto"/>
        <w:jc w:val="both"/>
        <w:rPr>
          <w:rFonts w:ascii="Palatino Linotype" w:eastAsia="Palatino Linotype" w:hAnsi="Palatino Linotype" w:cs="Palatino Linotype"/>
          <w:sz w:val="24"/>
        </w:rPr>
      </w:pPr>
      <w:r w:rsidRPr="00933869">
        <w:rPr>
          <w:rFonts w:ascii="Palatino Linotype" w:eastAsia="Palatino Linotype" w:hAnsi="Palatino Linotype" w:cs="Palatino Linotype"/>
          <w:sz w:val="24"/>
        </w:rPr>
        <w:lastRenderedPageBreak/>
        <w:t>Por ello, este organismo garante comprometido con la tutela de los derechos humanos confiados señala que este exceso de plazo legal para resolver el presente asunto resulta de carácter excepcional.</w:t>
      </w:r>
    </w:p>
    <w:p w14:paraId="5B61B20B" w14:textId="77777777" w:rsidR="005A3826" w:rsidRPr="00D7458B" w:rsidRDefault="005A3826" w:rsidP="005A3826">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color w:val="000000"/>
          <w:sz w:val="24"/>
          <w:szCs w:val="24"/>
        </w:rPr>
      </w:pPr>
    </w:p>
    <w:p w14:paraId="55385642" w14:textId="6A687F31" w:rsidR="0003629B" w:rsidRPr="008645E3" w:rsidRDefault="0003629B" w:rsidP="0003629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645E3">
        <w:rPr>
          <w:rFonts w:ascii="Palatino Linotype" w:eastAsia="Palatino Linotype" w:hAnsi="Palatino Linotype" w:cs="Palatino Linotype"/>
          <w:b/>
          <w:color w:val="000000"/>
          <w:sz w:val="24"/>
          <w:szCs w:val="24"/>
        </w:rPr>
        <w:t>Cierre de instrucción</w:t>
      </w:r>
      <w:r w:rsidRPr="008645E3">
        <w:rPr>
          <w:rFonts w:ascii="Palatino Linotype" w:eastAsia="Palatino Linotype" w:hAnsi="Palatino Linotype" w:cs="Palatino Linotype"/>
          <w:color w:val="000000"/>
          <w:sz w:val="24"/>
          <w:szCs w:val="24"/>
        </w:rPr>
        <w:t xml:space="preserve">. En </w:t>
      </w:r>
      <w:r w:rsidRPr="004E4ADA">
        <w:rPr>
          <w:rFonts w:ascii="Palatino Linotype" w:eastAsia="Palatino Linotype" w:hAnsi="Palatino Linotype" w:cs="Palatino Linotype"/>
          <w:color w:val="000000"/>
          <w:sz w:val="24"/>
          <w:szCs w:val="24"/>
        </w:rPr>
        <w:t xml:space="preserve">fecha </w:t>
      </w:r>
      <w:r w:rsidR="00D53D49">
        <w:rPr>
          <w:rFonts w:ascii="Palatino Linotype" w:eastAsia="Palatino Linotype" w:hAnsi="Palatino Linotype" w:cs="Palatino Linotype"/>
          <w:b/>
          <w:color w:val="000000"/>
          <w:sz w:val="24"/>
          <w:szCs w:val="24"/>
        </w:rPr>
        <w:t>v</w:t>
      </w:r>
      <w:r w:rsidR="001F2713">
        <w:rPr>
          <w:rFonts w:ascii="Palatino Linotype" w:eastAsia="Palatino Linotype" w:hAnsi="Palatino Linotype" w:cs="Palatino Linotype"/>
          <w:b/>
          <w:color w:val="000000"/>
          <w:sz w:val="24"/>
          <w:szCs w:val="24"/>
        </w:rPr>
        <w:t>e</w:t>
      </w:r>
      <w:r w:rsidR="00D53D49">
        <w:rPr>
          <w:rFonts w:ascii="Palatino Linotype" w:eastAsia="Palatino Linotype" w:hAnsi="Palatino Linotype" w:cs="Palatino Linotype"/>
          <w:b/>
          <w:color w:val="000000"/>
          <w:sz w:val="24"/>
          <w:szCs w:val="24"/>
        </w:rPr>
        <w:t>intiocho de noviembre</w:t>
      </w:r>
      <w:r>
        <w:rPr>
          <w:rFonts w:ascii="Palatino Linotype" w:eastAsia="Palatino Linotype" w:hAnsi="Palatino Linotype" w:cs="Palatino Linotype"/>
          <w:b/>
          <w:color w:val="000000"/>
          <w:sz w:val="24"/>
          <w:szCs w:val="24"/>
        </w:rPr>
        <w:t xml:space="preserve"> de dos mil veintitrés</w:t>
      </w:r>
      <w:r w:rsidRPr="008645E3">
        <w:rPr>
          <w:rFonts w:ascii="Palatino Linotype" w:eastAsia="Palatino Linotype" w:hAnsi="Palatino Linotype" w:cs="Palatino Linotype"/>
          <w:color w:val="000000"/>
          <w:sz w:val="24"/>
          <w:szCs w:val="24"/>
        </w:rPr>
        <w:t>, la Comisionada Ponente determinó el cierre de instrucción en términos de la fracción VI del artículo 185 de la Ley de Transparencia y Acceso a la Información Pública del Estado de México y Municipios.</w:t>
      </w:r>
    </w:p>
    <w:p w14:paraId="0707E712" w14:textId="77777777" w:rsidR="0003629B" w:rsidRPr="008645E3" w:rsidRDefault="0003629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16F263D8" w14:textId="78D02D37" w:rsidR="00F22AE1"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454A05D4" w14:textId="77777777" w:rsidR="00933869" w:rsidRPr="008645E3" w:rsidRDefault="00933869">
      <w:pPr>
        <w:spacing w:after="0" w:line="360" w:lineRule="auto"/>
        <w:ind w:right="49"/>
        <w:jc w:val="both"/>
        <w:rPr>
          <w:rFonts w:ascii="Palatino Linotype" w:eastAsia="Palatino Linotype" w:hAnsi="Palatino Linotype" w:cs="Palatino Linotype"/>
          <w:sz w:val="24"/>
          <w:szCs w:val="24"/>
        </w:rPr>
      </w:pPr>
    </w:p>
    <w:p w14:paraId="40DB3F56" w14:textId="77777777" w:rsidR="00F8557D" w:rsidRPr="008645E3" w:rsidRDefault="00646B44">
      <w:pPr>
        <w:spacing w:after="0" w:line="360" w:lineRule="auto"/>
        <w:ind w:right="49"/>
        <w:jc w:val="center"/>
        <w:rPr>
          <w:rFonts w:ascii="Palatino Linotype" w:eastAsia="Palatino Linotype" w:hAnsi="Palatino Linotype" w:cs="Palatino Linotype"/>
          <w:b/>
          <w:sz w:val="24"/>
          <w:szCs w:val="24"/>
        </w:rPr>
      </w:pPr>
      <w:r w:rsidRPr="008645E3">
        <w:rPr>
          <w:rFonts w:ascii="Palatino Linotype" w:eastAsia="Palatino Linotype" w:hAnsi="Palatino Linotype" w:cs="Palatino Linotype"/>
          <w:b/>
          <w:sz w:val="24"/>
          <w:szCs w:val="24"/>
        </w:rPr>
        <w:t>II.</w:t>
      </w:r>
      <w:r w:rsidRPr="008645E3">
        <w:rPr>
          <w:rFonts w:ascii="Palatino Linotype" w:eastAsia="Palatino Linotype" w:hAnsi="Palatino Linotype" w:cs="Palatino Linotype"/>
          <w:b/>
          <w:sz w:val="24"/>
          <w:szCs w:val="24"/>
        </w:rPr>
        <w:tab/>
        <w:t>C O N S I D E R A N D O:</w:t>
      </w:r>
    </w:p>
    <w:p w14:paraId="3619A913"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7101887F" w14:textId="06F6747B" w:rsidR="00933869" w:rsidRPr="00933869" w:rsidRDefault="00D7458B" w:rsidP="00D7458B">
      <w:pPr>
        <w:spacing w:after="0" w:line="360" w:lineRule="auto"/>
        <w:jc w:val="both"/>
        <w:rPr>
          <w:rFonts w:ascii="Palatino Linotype" w:eastAsia="Palatino Linotype" w:hAnsi="Palatino Linotype" w:cs="Palatino Linotype"/>
          <w:sz w:val="24"/>
        </w:rPr>
      </w:pPr>
      <w:r w:rsidRPr="00D7458B">
        <w:rPr>
          <w:rFonts w:ascii="Palatino Linotype" w:eastAsia="Palatino Linotype" w:hAnsi="Palatino Linotype" w:cs="Palatino Linotype"/>
          <w:b/>
          <w:sz w:val="24"/>
        </w:rPr>
        <w:t xml:space="preserve">Primero. Competencia. </w:t>
      </w:r>
      <w:r w:rsidR="00933869" w:rsidRPr="003D2CFE">
        <w:rPr>
          <w:rFonts w:ascii="Palatino Linotype" w:eastAsia="Palatino Linotype" w:hAnsi="Palatino Linotype" w:cs="Palatino Linotype"/>
          <w:sz w:val="24"/>
          <w:szCs w:val="24"/>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w:t>
      </w:r>
      <w:r w:rsidR="00933869" w:rsidRPr="003D2CFE">
        <w:rPr>
          <w:rFonts w:ascii="Palatino Linotype" w:eastAsia="Palatino Linotype" w:hAnsi="Palatino Linotype" w:cs="Palatino Linotype"/>
          <w:sz w:val="24"/>
          <w:szCs w:val="24"/>
        </w:rPr>
        <w:lastRenderedPageBreak/>
        <w:t>del Instituto de Transparencia, Acceso a la Información Pública y Protección de Datos Personales del Estado de México y Municipios.</w:t>
      </w:r>
    </w:p>
    <w:p w14:paraId="44CF613E"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62D25C57"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Segundo. Oportunidad y Procedibilidad del Recurso de Revisión.</w:t>
      </w:r>
      <w:r w:rsidRPr="008645E3">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3B2D671F"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0C0D0E0E" w14:textId="31339205" w:rsidR="00933869" w:rsidRPr="003753CA" w:rsidRDefault="00646B44">
      <w:pPr>
        <w:spacing w:after="0" w:line="360" w:lineRule="auto"/>
        <w:ind w:right="49"/>
        <w:jc w:val="both"/>
        <w:rPr>
          <w:rFonts w:ascii="Palatino Linotype" w:eastAsia="Palatino Linotype" w:hAnsi="Palatino Linotype" w:cs="Palatino Linotype"/>
          <w:b/>
          <w:sz w:val="24"/>
          <w:szCs w:val="24"/>
        </w:rPr>
      </w:pPr>
      <w:r w:rsidRPr="008645E3">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8645E3">
        <w:rPr>
          <w:rFonts w:ascii="Palatino Linotype" w:eastAsia="Palatino Linotype" w:hAnsi="Palatino Linotype" w:cs="Palatino Linotype"/>
          <w:b/>
          <w:sz w:val="24"/>
          <w:szCs w:val="24"/>
        </w:rPr>
        <w:t>SUJETO OBLIGADO</w:t>
      </w:r>
      <w:r w:rsidRPr="008645E3">
        <w:rPr>
          <w:rFonts w:ascii="Palatino Linotype" w:eastAsia="Palatino Linotype" w:hAnsi="Palatino Linotype" w:cs="Palatino Linotype"/>
          <w:sz w:val="24"/>
          <w:szCs w:val="24"/>
        </w:rPr>
        <w:t xml:space="preserve"> remitió la respuesta a</w:t>
      </w:r>
      <w:r w:rsidR="00864D69">
        <w:rPr>
          <w:rFonts w:ascii="Palatino Linotype" w:eastAsia="Palatino Linotype" w:hAnsi="Palatino Linotype" w:cs="Palatino Linotype"/>
          <w:sz w:val="24"/>
          <w:szCs w:val="24"/>
        </w:rPr>
        <w:t xml:space="preserve"> la solicitud de información el </w:t>
      </w:r>
      <w:r w:rsidR="003753CA">
        <w:rPr>
          <w:rFonts w:ascii="Palatino Linotype" w:eastAsia="Palatino Linotype" w:hAnsi="Palatino Linotype" w:cs="Palatino Linotype"/>
          <w:b/>
          <w:sz w:val="24"/>
          <w:szCs w:val="24"/>
        </w:rPr>
        <w:t xml:space="preserve">veintidós de mayo </w:t>
      </w:r>
      <w:r w:rsidR="00D7458B">
        <w:rPr>
          <w:rFonts w:ascii="Palatino Linotype" w:eastAsia="Palatino Linotype" w:hAnsi="Palatino Linotype" w:cs="Palatino Linotype"/>
          <w:b/>
          <w:sz w:val="24"/>
          <w:szCs w:val="24"/>
        </w:rPr>
        <w:t>de dos mil veintitrés</w:t>
      </w:r>
      <w:r w:rsidRPr="008645E3">
        <w:rPr>
          <w:rFonts w:ascii="Palatino Linotype" w:eastAsia="Palatino Linotype" w:hAnsi="Palatino Linotype" w:cs="Palatino Linotype"/>
          <w:sz w:val="24"/>
          <w:szCs w:val="24"/>
        </w:rPr>
        <w:t xml:space="preserve">, mientras que el recurso de revisión interpuesto por la parte </w:t>
      </w:r>
      <w:r w:rsidRPr="008645E3">
        <w:rPr>
          <w:rFonts w:ascii="Palatino Linotype" w:eastAsia="Palatino Linotype" w:hAnsi="Palatino Linotype" w:cs="Palatino Linotype"/>
          <w:b/>
          <w:sz w:val="24"/>
          <w:szCs w:val="24"/>
        </w:rPr>
        <w:t xml:space="preserve">RECURRENTE </w:t>
      </w:r>
      <w:r w:rsidRPr="008645E3">
        <w:rPr>
          <w:rFonts w:ascii="Palatino Linotype" w:eastAsia="Palatino Linotype" w:hAnsi="Palatino Linotype" w:cs="Palatino Linotype"/>
          <w:sz w:val="24"/>
          <w:szCs w:val="24"/>
        </w:rPr>
        <w:t xml:space="preserve">se tuvo por presentado </w:t>
      </w:r>
      <w:r w:rsidR="003753CA">
        <w:rPr>
          <w:rFonts w:ascii="Palatino Linotype" w:eastAsia="Palatino Linotype" w:hAnsi="Palatino Linotype" w:cs="Palatino Linotype"/>
          <w:sz w:val="24"/>
          <w:szCs w:val="24"/>
        </w:rPr>
        <w:t xml:space="preserve">el </w:t>
      </w:r>
      <w:r w:rsidR="003753CA">
        <w:rPr>
          <w:rFonts w:ascii="Palatino Linotype" w:eastAsia="Palatino Linotype" w:hAnsi="Palatino Linotype" w:cs="Palatino Linotype"/>
          <w:b/>
          <w:sz w:val="24"/>
          <w:szCs w:val="24"/>
        </w:rPr>
        <w:t>veintinueve de mayo de dos mil veintitrés</w:t>
      </w:r>
      <w:r w:rsidR="003753CA">
        <w:rPr>
          <w:rFonts w:ascii="Palatino Linotype" w:eastAsia="Palatino Linotype" w:hAnsi="Palatino Linotype" w:cs="Palatino Linotype"/>
          <w:sz w:val="24"/>
          <w:szCs w:val="24"/>
        </w:rPr>
        <w:t xml:space="preserve">, esto es al </w:t>
      </w:r>
      <w:r w:rsidR="003753CA">
        <w:rPr>
          <w:rFonts w:ascii="Palatino Linotype" w:eastAsia="Palatino Linotype" w:hAnsi="Palatino Linotype" w:cs="Palatino Linotype"/>
          <w:b/>
          <w:sz w:val="24"/>
          <w:szCs w:val="24"/>
        </w:rPr>
        <w:t xml:space="preserve">quinto día hábil en que se tuvo conocimiento de la respuesta. </w:t>
      </w:r>
    </w:p>
    <w:p w14:paraId="57F0A066" w14:textId="77777777" w:rsidR="00933869" w:rsidRDefault="00933869">
      <w:pPr>
        <w:spacing w:after="0" w:line="360" w:lineRule="auto"/>
        <w:ind w:right="49"/>
        <w:jc w:val="both"/>
        <w:rPr>
          <w:rFonts w:ascii="Palatino Linotype" w:eastAsia="Palatino Linotype" w:hAnsi="Palatino Linotype" w:cs="Palatino Linotype"/>
          <w:sz w:val="24"/>
          <w:szCs w:val="24"/>
        </w:rPr>
      </w:pPr>
    </w:p>
    <w:p w14:paraId="5FDF933B" w14:textId="0FBDC9D9" w:rsidR="00DB71F7"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8645E3">
        <w:rPr>
          <w:rFonts w:ascii="Palatino Linotype" w:eastAsia="Palatino Linotype" w:hAnsi="Palatino Linotype" w:cs="Palatino Linotype"/>
          <w:b/>
          <w:sz w:val="24"/>
          <w:szCs w:val="24"/>
        </w:rPr>
        <w:t>SUJETO OBLIGADO</w:t>
      </w:r>
      <w:r w:rsidRPr="00933869">
        <w:rPr>
          <w:rFonts w:ascii="Palatino Linotype" w:eastAsia="Palatino Linotype" w:hAnsi="Palatino Linotype" w:cs="Palatino Linotype"/>
          <w:sz w:val="24"/>
          <w:szCs w:val="24"/>
        </w:rPr>
        <w:t>;</w:t>
      </w:r>
      <w:r w:rsidRPr="008645E3">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52A1F223" w14:textId="77777777" w:rsidR="003A0D42" w:rsidRDefault="003A0D42">
      <w:pPr>
        <w:spacing w:after="0" w:line="360" w:lineRule="auto"/>
        <w:ind w:right="49"/>
        <w:jc w:val="both"/>
        <w:rPr>
          <w:rFonts w:ascii="Palatino Linotype" w:eastAsia="Palatino Linotype" w:hAnsi="Palatino Linotype" w:cs="Palatino Linotype"/>
          <w:sz w:val="24"/>
          <w:szCs w:val="24"/>
        </w:rPr>
      </w:pPr>
    </w:p>
    <w:p w14:paraId="52AC41E3" w14:textId="341890A9" w:rsidR="00A14DC1" w:rsidRDefault="00A14DC1" w:rsidP="001E6843">
      <w:pPr>
        <w:spacing w:after="0" w:line="360" w:lineRule="auto"/>
        <w:jc w:val="both"/>
        <w:rPr>
          <w:rFonts w:ascii="Palatino Linotype" w:eastAsia="Palatino Linotype" w:hAnsi="Palatino Linotype" w:cs="Palatino Linotype"/>
          <w:sz w:val="24"/>
        </w:rPr>
      </w:pPr>
      <w:r w:rsidRPr="00A14DC1">
        <w:rPr>
          <w:rFonts w:ascii="Palatino Linotype" w:eastAsia="Palatino Linotype" w:hAnsi="Palatino Linotype" w:cs="Palatino Linotype"/>
          <w:sz w:val="24"/>
        </w:rPr>
        <w:t xml:space="preserve">Es de suma importancia mencionar que si bien, la parte proporcionó un </w:t>
      </w:r>
      <w:r w:rsidRPr="00A14DC1">
        <w:rPr>
          <w:rFonts w:ascii="Palatino Linotype" w:eastAsia="Palatino Linotype" w:hAnsi="Palatino Linotype" w:cs="Palatino Linotype"/>
          <w:b/>
          <w:bCs/>
          <w:sz w:val="24"/>
          <w:u w:val="single"/>
        </w:rPr>
        <w:t xml:space="preserve">seudónimo </w:t>
      </w:r>
      <w:r w:rsidRPr="00A14DC1">
        <w:rPr>
          <w:rFonts w:ascii="Palatino Linotype" w:eastAsia="Palatino Linotype" w:hAnsi="Palatino Linotype" w:cs="Palatino Linotype"/>
          <w:sz w:val="24"/>
        </w:rPr>
        <w:t xml:space="preserve">para ser identificado como se advierte en el detalle de seguimiento del Sistema de </w:t>
      </w:r>
      <w:r w:rsidRPr="00A14DC1">
        <w:rPr>
          <w:rFonts w:ascii="Palatino Linotype" w:eastAsia="Palatino Linotype" w:hAnsi="Palatino Linotype" w:cs="Palatino Linotype"/>
          <w:sz w:val="24"/>
        </w:rPr>
        <w:lastRenderedPageBreak/>
        <w:t>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2758935" w14:textId="77777777" w:rsidR="003753CA" w:rsidRPr="001E6843" w:rsidRDefault="003753CA" w:rsidP="001E6843">
      <w:pPr>
        <w:spacing w:after="0" w:line="360" w:lineRule="auto"/>
        <w:jc w:val="both"/>
        <w:rPr>
          <w:rFonts w:ascii="Palatino Linotype" w:eastAsia="Palatino Linotype" w:hAnsi="Palatino Linotype" w:cs="Palatino Linotype"/>
          <w:sz w:val="24"/>
        </w:rPr>
      </w:pPr>
    </w:p>
    <w:p w14:paraId="35688CFD" w14:textId="77777777" w:rsidR="00A14DC1" w:rsidRPr="00107AF8" w:rsidRDefault="00A14DC1" w:rsidP="00A14DC1">
      <w:pPr>
        <w:spacing w:line="276" w:lineRule="auto"/>
        <w:ind w:left="567" w:right="843"/>
        <w:jc w:val="both"/>
        <w:rPr>
          <w:rFonts w:ascii="Palatino Linotype" w:eastAsia="Palatino Linotype" w:hAnsi="Palatino Linotype" w:cs="Palatino Linotype"/>
          <w:i/>
        </w:rPr>
      </w:pPr>
      <w:r w:rsidRPr="005928AD">
        <w:rPr>
          <w:rFonts w:ascii="Palatino Linotype" w:eastAsia="Palatino Linotype" w:hAnsi="Palatino Linotype" w:cs="Palatino Linotype"/>
          <w:i/>
        </w:rPr>
        <w:t xml:space="preserve">"Las </w:t>
      </w:r>
      <w:r w:rsidRPr="00617D70">
        <w:rPr>
          <w:rFonts w:ascii="Palatino Linotype" w:eastAsia="Palatino Linotype" w:hAnsi="Palatino Linotype" w:cs="Palatino Linotype"/>
          <w:i/>
        </w:rPr>
        <w:t xml:space="preserve">solicitudes </w:t>
      </w:r>
      <w:r w:rsidRPr="00617D70">
        <w:rPr>
          <w:rFonts w:ascii="Palatino Linotype" w:eastAsia="Palatino Linotype" w:hAnsi="Palatino Linotype" w:cs="Palatino Linotype"/>
          <w:bCs/>
          <w:i/>
        </w:rPr>
        <w:t>anónimas, con</w:t>
      </w:r>
      <w:r w:rsidRPr="007B2518">
        <w:rPr>
          <w:rFonts w:ascii="Palatino Linotype" w:eastAsia="Palatino Linotype" w:hAnsi="Palatino Linotype" w:cs="Palatino Linotype"/>
          <w:bCs/>
          <w:i/>
        </w:rPr>
        <w:t xml:space="preserve"> nombre incompleto o </w:t>
      </w:r>
      <w:r w:rsidRPr="007822FB">
        <w:rPr>
          <w:rFonts w:ascii="Palatino Linotype" w:eastAsia="Palatino Linotype" w:hAnsi="Palatino Linotype" w:cs="Palatino Linotype"/>
          <w:i/>
        </w:rPr>
        <w:t>seudónimo</w:t>
      </w:r>
      <w:r w:rsidRPr="007822FB">
        <w:rPr>
          <w:rFonts w:ascii="Palatino Linotype" w:eastAsia="Palatino Linotype" w:hAnsi="Palatino Linotype" w:cs="Palatino Linotype"/>
          <w:bCs/>
          <w:i/>
        </w:rPr>
        <w:t xml:space="preserve"> </w:t>
      </w:r>
      <w:r w:rsidRPr="007B2518">
        <w:rPr>
          <w:rFonts w:ascii="Palatino Linotype" w:eastAsia="Palatino Linotype" w:hAnsi="Palatino Linotype" w:cs="Palatino Linotype"/>
          <w:bCs/>
          <w:i/>
        </w:rPr>
        <w:t>serán procedentes para su trámite por parte</w:t>
      </w:r>
      <w:r w:rsidRPr="005928AD">
        <w:rPr>
          <w:rFonts w:ascii="Palatino Linotype" w:eastAsia="Palatino Linotype" w:hAnsi="Palatino Linotype" w:cs="Palatino Linotype"/>
          <w:i/>
        </w:rPr>
        <w:t xml:space="preserve"> del sujeto obligado ante quien se presente. No podrá requerirse información adicional con motivo del nombre proporcionado por el solicitante."</w:t>
      </w:r>
    </w:p>
    <w:p w14:paraId="7576F2AC" w14:textId="77777777" w:rsidR="00A14DC1" w:rsidRPr="008645E3" w:rsidRDefault="00A14DC1">
      <w:pPr>
        <w:spacing w:after="0" w:line="360" w:lineRule="auto"/>
        <w:ind w:right="49"/>
        <w:jc w:val="both"/>
        <w:rPr>
          <w:rFonts w:ascii="Palatino Linotype" w:eastAsia="Palatino Linotype" w:hAnsi="Palatino Linotype" w:cs="Palatino Linotype"/>
          <w:sz w:val="24"/>
          <w:szCs w:val="24"/>
        </w:rPr>
      </w:pPr>
    </w:p>
    <w:p w14:paraId="31B3F489" w14:textId="7D53E28E" w:rsidR="00F8557D"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8645E3">
        <w:rPr>
          <w:rFonts w:ascii="Palatino Linotype" w:eastAsia="Palatino Linotype" w:hAnsi="Palatino Linotype" w:cs="Palatino Linotype"/>
          <w:b/>
          <w:sz w:val="24"/>
          <w:szCs w:val="24"/>
        </w:rPr>
        <w:t>SAIMEX</w:t>
      </w:r>
      <w:r w:rsidRPr="008645E3">
        <w:rPr>
          <w:rFonts w:ascii="Palatino Linotype" w:eastAsia="Palatino Linotype" w:hAnsi="Palatino Linotype" w:cs="Palatino Linotype"/>
          <w:sz w:val="24"/>
          <w:szCs w:val="24"/>
        </w:rPr>
        <w:t xml:space="preserve">.  </w:t>
      </w:r>
    </w:p>
    <w:p w14:paraId="16274CBC" w14:textId="1B5B028F" w:rsidR="00895D56" w:rsidRPr="008645E3" w:rsidRDefault="00895D56" w:rsidP="00617D70">
      <w:pPr>
        <w:spacing w:after="0" w:line="360" w:lineRule="auto"/>
        <w:ind w:left="1440" w:right="49" w:hanging="1440"/>
        <w:jc w:val="both"/>
        <w:rPr>
          <w:rFonts w:ascii="Palatino Linotype" w:eastAsia="Palatino Linotype" w:hAnsi="Palatino Linotype" w:cs="Palatino Linotype"/>
          <w:sz w:val="24"/>
          <w:szCs w:val="24"/>
        </w:rPr>
      </w:pPr>
    </w:p>
    <w:p w14:paraId="5FB90515" w14:textId="2BAE11E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Finalmente, resulta procedente la interposición del recurso de revisión al rubro ano</w:t>
      </w:r>
      <w:r w:rsidR="00DB71F7">
        <w:rPr>
          <w:rFonts w:ascii="Palatino Linotype" w:eastAsia="Palatino Linotype" w:hAnsi="Palatino Linotype" w:cs="Palatino Linotype"/>
          <w:sz w:val="24"/>
          <w:szCs w:val="24"/>
        </w:rPr>
        <w:t>tado, toda vez que se actualiza</w:t>
      </w:r>
      <w:r w:rsidRPr="008645E3">
        <w:rPr>
          <w:rFonts w:ascii="Palatino Linotype" w:eastAsia="Palatino Linotype" w:hAnsi="Palatino Linotype" w:cs="Palatino Linotype"/>
          <w:sz w:val="24"/>
          <w:szCs w:val="24"/>
        </w:rPr>
        <w:t xml:space="preserve"> la h</w:t>
      </w:r>
      <w:r w:rsidR="00DB71F7">
        <w:rPr>
          <w:rFonts w:ascii="Palatino Linotype" w:eastAsia="Palatino Linotype" w:hAnsi="Palatino Linotype" w:cs="Palatino Linotype"/>
          <w:sz w:val="24"/>
          <w:szCs w:val="24"/>
        </w:rPr>
        <w:t>ipótesis de procedencia prevista</w:t>
      </w:r>
      <w:r w:rsidRPr="008645E3">
        <w:rPr>
          <w:rFonts w:ascii="Palatino Linotype" w:eastAsia="Palatino Linotype" w:hAnsi="Palatino Linotype" w:cs="Palatino Linotype"/>
          <w:sz w:val="24"/>
          <w:szCs w:val="24"/>
        </w:rPr>
        <w:t xml:space="preserve"> en e</w:t>
      </w:r>
      <w:r w:rsidR="00DB71F7">
        <w:rPr>
          <w:rFonts w:ascii="Palatino Linotype" w:eastAsia="Palatino Linotype" w:hAnsi="Palatino Linotype" w:cs="Palatino Linotype"/>
          <w:sz w:val="24"/>
          <w:szCs w:val="24"/>
        </w:rPr>
        <w:t xml:space="preserve">l artículo 179, fracción </w:t>
      </w:r>
      <w:r w:rsidR="00617D70">
        <w:rPr>
          <w:rFonts w:ascii="Palatino Linotype" w:eastAsia="Palatino Linotype" w:hAnsi="Palatino Linotype" w:cs="Palatino Linotype"/>
          <w:sz w:val="24"/>
          <w:szCs w:val="24"/>
        </w:rPr>
        <w:t xml:space="preserve">VI </w:t>
      </w:r>
      <w:r w:rsidRPr="008645E3">
        <w:rPr>
          <w:rFonts w:ascii="Palatino Linotype" w:eastAsia="Palatino Linotype" w:hAnsi="Palatino Linotype" w:cs="Palatino Linotype"/>
          <w:sz w:val="24"/>
          <w:szCs w:val="24"/>
        </w:rPr>
        <w:t>de la Ley de la materia, que a la letra dice:</w:t>
      </w:r>
    </w:p>
    <w:p w14:paraId="5804E43F"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4EB53B1F" w14:textId="77777777" w:rsidR="00DB71F7"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r w:rsidRPr="008645E3">
        <w:rPr>
          <w:rFonts w:ascii="Palatino Linotype" w:eastAsia="Palatino Linotype" w:hAnsi="Palatino Linotype" w:cs="Palatino Linotype"/>
          <w:b/>
          <w:i/>
        </w:rPr>
        <w:t>Artículo 179.</w:t>
      </w:r>
      <w:r w:rsidRPr="008645E3">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9AA063B"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p>
    <w:p w14:paraId="4D00E215" w14:textId="1AC9D849" w:rsidR="00F8557D" w:rsidRDefault="00617D70" w:rsidP="007D19E9">
      <w:pPr>
        <w:spacing w:after="0" w:line="276" w:lineRule="auto"/>
        <w:ind w:left="567" w:right="560"/>
        <w:jc w:val="both"/>
        <w:rPr>
          <w:rFonts w:ascii="Palatino Linotype" w:eastAsia="Palatino Linotype" w:hAnsi="Palatino Linotype" w:cs="Palatino Linotype"/>
          <w:i/>
        </w:rPr>
      </w:pPr>
      <w:r w:rsidRPr="00617D70">
        <w:rPr>
          <w:rFonts w:ascii="Palatino Linotype" w:hAnsi="Palatino Linotype"/>
          <w:i/>
          <w:iCs/>
        </w:rPr>
        <w:t>VI. La entrega de información que n</w:t>
      </w:r>
      <w:r>
        <w:rPr>
          <w:rFonts w:ascii="Palatino Linotype" w:hAnsi="Palatino Linotype"/>
          <w:i/>
          <w:iCs/>
        </w:rPr>
        <w:t>o corresponda con lo solicitado</w:t>
      </w:r>
      <w:r w:rsidR="007D19E9">
        <w:rPr>
          <w:rFonts w:ascii="Palatino Linotype" w:hAnsi="Palatino Linotype"/>
          <w:i/>
          <w:iCs/>
        </w:rPr>
        <w:t>;</w:t>
      </w:r>
      <w:r w:rsidR="00D7458B">
        <w:rPr>
          <w:rFonts w:ascii="Palatino Linotype" w:eastAsia="Palatino Linotype" w:hAnsi="Palatino Linotype" w:cs="Palatino Linotype"/>
          <w:i/>
        </w:rPr>
        <w:t xml:space="preserve"> </w:t>
      </w:r>
    </w:p>
    <w:p w14:paraId="7EF53224" w14:textId="77777777" w:rsidR="002E22B0" w:rsidRPr="007D19E9" w:rsidRDefault="002E22B0" w:rsidP="00617D70">
      <w:pPr>
        <w:spacing w:after="0" w:line="360" w:lineRule="auto"/>
        <w:ind w:left="567" w:right="560"/>
        <w:jc w:val="both"/>
        <w:rPr>
          <w:rFonts w:ascii="Palatino Linotype" w:hAnsi="Palatino Linotype"/>
          <w:i/>
          <w:iCs/>
        </w:rPr>
      </w:pPr>
    </w:p>
    <w:p w14:paraId="35EE1366" w14:textId="1B97BA49"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lastRenderedPageBreak/>
        <w:t>Tercero. Materia de la revisión</w:t>
      </w:r>
      <w:r w:rsidRPr="008645E3">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w:t>
      </w:r>
      <w:r w:rsidR="00DB71F7">
        <w:rPr>
          <w:rFonts w:ascii="Palatino Linotype" w:eastAsia="Palatino Linotype" w:hAnsi="Palatino Linotype" w:cs="Palatino Linotype"/>
          <w:sz w:val="24"/>
          <w:szCs w:val="24"/>
        </w:rPr>
        <w:t xml:space="preserve"> en determinar, si se actualiza la hipótesis prevista en la fracción</w:t>
      </w:r>
      <w:r w:rsidRPr="008645E3">
        <w:rPr>
          <w:rFonts w:ascii="Palatino Linotype" w:eastAsia="Palatino Linotype" w:hAnsi="Palatino Linotype" w:cs="Palatino Linotype"/>
          <w:sz w:val="24"/>
          <w:szCs w:val="24"/>
        </w:rPr>
        <w:t xml:space="preserve"> </w:t>
      </w:r>
      <w:r w:rsidR="00617D70">
        <w:rPr>
          <w:rFonts w:ascii="Palatino Linotype" w:eastAsia="Palatino Linotype" w:hAnsi="Palatino Linotype" w:cs="Palatino Linotype"/>
          <w:sz w:val="24"/>
          <w:szCs w:val="24"/>
        </w:rPr>
        <w:t>VI</w:t>
      </w:r>
      <w:r w:rsidR="00933869">
        <w:rPr>
          <w:rFonts w:ascii="Palatino Linotype" w:eastAsia="Palatino Linotype" w:hAnsi="Palatino Linotype" w:cs="Palatino Linotype"/>
          <w:sz w:val="24"/>
          <w:szCs w:val="24"/>
        </w:rPr>
        <w:t xml:space="preserve"> </w:t>
      </w:r>
      <w:r w:rsidRPr="008645E3">
        <w:rPr>
          <w:rFonts w:ascii="Palatino Linotype" w:eastAsia="Palatino Linotype" w:hAnsi="Palatino Linotype" w:cs="Palatino Linotype"/>
          <w:sz w:val="24"/>
          <w:szCs w:val="24"/>
        </w:rPr>
        <w:t xml:space="preserve">del artículo 179 de la Ley en la materia. </w:t>
      </w:r>
    </w:p>
    <w:p w14:paraId="096B0CBF"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6AD4A2F2"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Cuarto.</w:t>
      </w:r>
      <w:r w:rsidRPr="008645E3">
        <w:rPr>
          <w:rFonts w:ascii="Palatino Linotype" w:eastAsia="Palatino Linotype" w:hAnsi="Palatino Linotype" w:cs="Palatino Linotype"/>
          <w:sz w:val="24"/>
          <w:szCs w:val="24"/>
        </w:rPr>
        <w:t xml:space="preserve"> </w:t>
      </w:r>
      <w:r w:rsidRPr="008645E3">
        <w:rPr>
          <w:rFonts w:ascii="Palatino Linotype" w:eastAsia="Palatino Linotype" w:hAnsi="Palatino Linotype" w:cs="Palatino Linotype"/>
          <w:b/>
          <w:sz w:val="24"/>
          <w:szCs w:val="24"/>
        </w:rPr>
        <w:t>Estudio de fondo del asunto.</w:t>
      </w:r>
      <w:r w:rsidRPr="008645E3">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7C1A84" w14:textId="77777777" w:rsidR="00F8557D" w:rsidRPr="008645E3" w:rsidRDefault="00F8557D">
      <w:pPr>
        <w:spacing w:after="0" w:line="276" w:lineRule="auto"/>
        <w:ind w:left="567" w:right="560"/>
        <w:jc w:val="both"/>
        <w:rPr>
          <w:rFonts w:ascii="Palatino Linotype" w:eastAsia="Palatino Linotype" w:hAnsi="Palatino Linotype" w:cs="Palatino Linotype"/>
          <w:i/>
        </w:rPr>
      </w:pPr>
    </w:p>
    <w:p w14:paraId="06123CDB"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b/>
          <w:i/>
        </w:rPr>
        <w:t>Artículo 1o.</w:t>
      </w:r>
      <w:r w:rsidRPr="008645E3">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B55DA0"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CD58237"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F14F92"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lastRenderedPageBreak/>
        <w:t>[…]</w:t>
      </w:r>
    </w:p>
    <w:p w14:paraId="75867AD6" w14:textId="77777777" w:rsidR="00F8557D" w:rsidRPr="008645E3" w:rsidRDefault="00646B44">
      <w:pPr>
        <w:spacing w:after="0" w:line="276" w:lineRule="auto"/>
        <w:ind w:left="567" w:right="560"/>
        <w:jc w:val="both"/>
        <w:rPr>
          <w:rFonts w:ascii="Palatino Linotype" w:eastAsia="Palatino Linotype" w:hAnsi="Palatino Linotype" w:cs="Palatino Linotype"/>
          <w:b/>
          <w:i/>
        </w:rPr>
      </w:pPr>
      <w:r w:rsidRPr="008645E3">
        <w:rPr>
          <w:rFonts w:ascii="Palatino Linotype" w:eastAsia="Palatino Linotype" w:hAnsi="Palatino Linotype" w:cs="Palatino Linotype"/>
          <w:b/>
          <w:i/>
        </w:rPr>
        <w:t>“Artículo 6o.</w:t>
      </w:r>
    </w:p>
    <w:p w14:paraId="43236C09"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p>
    <w:p w14:paraId="40F47EB2"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EAD3BF1"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E17F1D"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23D67166"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4C9252D"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63A4285B"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AD1263"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0C67A7C8" w14:textId="57C1517C" w:rsidR="00F8557D" w:rsidRDefault="00646B44" w:rsidP="00933869">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4F485102" w14:textId="77777777" w:rsidR="00B661FB" w:rsidRPr="00933869" w:rsidRDefault="00B661FB" w:rsidP="00933869">
      <w:pPr>
        <w:spacing w:after="0" w:line="276" w:lineRule="auto"/>
        <w:ind w:left="567" w:right="560"/>
        <w:jc w:val="both"/>
        <w:rPr>
          <w:rFonts w:ascii="Palatino Linotype" w:eastAsia="Palatino Linotype" w:hAnsi="Palatino Linotype" w:cs="Palatino Linotype"/>
          <w:i/>
        </w:rPr>
      </w:pPr>
    </w:p>
    <w:p w14:paraId="2E6546E4" w14:textId="132C95E8" w:rsidR="00F8557D"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07FADBD" w14:textId="77777777" w:rsidR="003A0D42" w:rsidRPr="008645E3" w:rsidRDefault="003A0D42">
      <w:pPr>
        <w:spacing w:after="0" w:line="360" w:lineRule="auto"/>
        <w:ind w:right="49"/>
        <w:jc w:val="both"/>
        <w:rPr>
          <w:rFonts w:ascii="Palatino Linotype" w:eastAsia="Palatino Linotype" w:hAnsi="Palatino Linotype" w:cs="Palatino Linotype"/>
          <w:sz w:val="24"/>
          <w:szCs w:val="24"/>
        </w:rPr>
      </w:pPr>
    </w:p>
    <w:p w14:paraId="7E5D712A"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r w:rsidRPr="008645E3">
        <w:rPr>
          <w:rFonts w:ascii="Palatino Linotype" w:eastAsia="Palatino Linotype" w:hAnsi="Palatino Linotype" w:cs="Palatino Linotype"/>
          <w:b/>
          <w:i/>
        </w:rPr>
        <w:t>Artículo 4.</w:t>
      </w:r>
      <w:r w:rsidRPr="008645E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CB5E61"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1F08E79"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4968CA1" w14:textId="77777777" w:rsidR="00F8557D" w:rsidRPr="008645E3" w:rsidRDefault="00F8557D">
      <w:pPr>
        <w:spacing w:after="0" w:line="360" w:lineRule="auto"/>
        <w:ind w:left="567" w:right="560"/>
        <w:jc w:val="both"/>
        <w:rPr>
          <w:rFonts w:ascii="Palatino Linotype" w:eastAsia="Palatino Linotype" w:hAnsi="Palatino Linotype" w:cs="Palatino Linotype"/>
          <w:i/>
          <w:sz w:val="24"/>
          <w:szCs w:val="24"/>
        </w:rPr>
      </w:pPr>
    </w:p>
    <w:p w14:paraId="6E9DB9B4"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De lo precedente, se desprende que los Sujetos Obligados tienen la obligación o deber de atender las solicitudes de acceso a la información pública que se les hagan de su </w:t>
      </w:r>
      <w:r w:rsidRPr="008645E3">
        <w:rPr>
          <w:rFonts w:ascii="Palatino Linotype" w:eastAsia="Palatino Linotype" w:hAnsi="Palatino Linotype" w:cs="Palatino Linotype"/>
          <w:sz w:val="24"/>
          <w:szCs w:val="24"/>
        </w:rPr>
        <w:lastRenderedPageBreak/>
        <w:t>conocimiento y proporcionar la información pública que obren en su poder como así lo establece el artículo 12 de la Ley de Transparencia y Acceso a la Información Pública del Estado de México y Municipios, el cual a la letra dice:</w:t>
      </w:r>
    </w:p>
    <w:p w14:paraId="33EA1797"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3697D698"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r w:rsidRPr="008645E3">
        <w:rPr>
          <w:rFonts w:ascii="Palatino Linotype" w:eastAsia="Palatino Linotype" w:hAnsi="Palatino Linotype" w:cs="Palatino Linotype"/>
          <w:b/>
          <w:i/>
        </w:rPr>
        <w:t>Artículo 12.</w:t>
      </w:r>
      <w:r w:rsidRPr="008645E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105DC8"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EAB651"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27613A96"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8115B51"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2CE90F90" w14:textId="77777777" w:rsidR="00F8557D" w:rsidRPr="008645E3" w:rsidRDefault="00646B44">
      <w:pPr>
        <w:spacing w:after="0" w:line="276" w:lineRule="auto"/>
        <w:ind w:left="567" w:right="560"/>
        <w:jc w:val="both"/>
        <w:rPr>
          <w:rFonts w:ascii="Palatino Linotype" w:eastAsia="Palatino Linotype" w:hAnsi="Palatino Linotype" w:cs="Palatino Linotype"/>
          <w:b/>
          <w:i/>
        </w:rPr>
      </w:pPr>
      <w:r w:rsidRPr="008645E3">
        <w:rPr>
          <w:rFonts w:ascii="Palatino Linotype" w:eastAsia="Palatino Linotype" w:hAnsi="Palatino Linotype" w:cs="Palatino Linotype"/>
          <w:b/>
          <w:i/>
        </w:rPr>
        <w:t>Criterio 03/17</w:t>
      </w:r>
    </w:p>
    <w:p w14:paraId="0406D8B0"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b/>
          <w:i/>
        </w:rPr>
        <w:t xml:space="preserve">“NO EXISTE OBLIGACIÓN DE ELABORAR DOCUMENTOS AD HOC PARA ATENDER LAS SOLICITUDES DE ACCESO A LA INFORMACIÓN. </w:t>
      </w:r>
      <w:r w:rsidRPr="008645E3">
        <w:rPr>
          <w:rFonts w:ascii="Palatino Linotype" w:eastAsia="Palatino Linotype" w:hAnsi="Palatino Linotype" w:cs="Palatino Linotype"/>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w:t>
      </w:r>
      <w:r w:rsidRPr="008645E3">
        <w:rPr>
          <w:rFonts w:ascii="Palatino Linotype" w:eastAsia="Palatino Linotype" w:hAnsi="Palatino Linotype" w:cs="Palatino Linotype"/>
          <w:i/>
        </w:rPr>
        <w:lastRenderedPageBreak/>
        <w:t>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B39575" w14:textId="77777777" w:rsidR="00F8557D" w:rsidRPr="008645E3" w:rsidRDefault="00F8557D">
      <w:pPr>
        <w:spacing w:after="0" w:line="360" w:lineRule="auto"/>
        <w:ind w:left="567" w:right="560"/>
        <w:jc w:val="both"/>
        <w:rPr>
          <w:rFonts w:ascii="Palatino Linotype" w:eastAsia="Palatino Linotype" w:hAnsi="Palatino Linotype" w:cs="Palatino Linotype"/>
          <w:b/>
          <w:i/>
          <w:sz w:val="24"/>
          <w:szCs w:val="24"/>
        </w:rPr>
      </w:pPr>
    </w:p>
    <w:p w14:paraId="257961DA"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CABB273"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21E9BFD8"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7181AF"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7E905A4A" w14:textId="760562D4" w:rsidR="00F8557D" w:rsidRDefault="00646B44" w:rsidP="00A74EBA">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8645E3">
        <w:rPr>
          <w:rFonts w:ascii="Palatino Linotype" w:eastAsia="Palatino Linotype" w:hAnsi="Palatino Linotype" w:cs="Palatino Linotype"/>
          <w:sz w:val="24"/>
          <w:szCs w:val="24"/>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D9BEC3" w14:textId="77777777" w:rsidR="0003629B" w:rsidRPr="00A74EBA" w:rsidRDefault="0003629B" w:rsidP="00A74EBA">
      <w:pPr>
        <w:spacing w:after="0" w:line="360" w:lineRule="auto"/>
        <w:ind w:right="49"/>
        <w:jc w:val="both"/>
        <w:rPr>
          <w:rFonts w:ascii="Palatino Linotype" w:eastAsia="Palatino Linotype" w:hAnsi="Palatino Linotype" w:cs="Palatino Linotype"/>
          <w:sz w:val="24"/>
          <w:szCs w:val="24"/>
        </w:rPr>
      </w:pPr>
    </w:p>
    <w:p w14:paraId="02E4D6CD"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r w:rsidRPr="008645E3">
        <w:rPr>
          <w:rFonts w:ascii="Palatino Linotype" w:eastAsia="Palatino Linotype" w:hAnsi="Palatino Linotype" w:cs="Palatino Linotype"/>
          <w:b/>
          <w:i/>
        </w:rPr>
        <w:t>Artículo 3.</w:t>
      </w:r>
      <w:r w:rsidRPr="008645E3">
        <w:rPr>
          <w:rFonts w:ascii="Palatino Linotype" w:eastAsia="Palatino Linotype" w:hAnsi="Palatino Linotype" w:cs="Palatino Linotype"/>
          <w:i/>
        </w:rPr>
        <w:t xml:space="preserve"> Para los efectos de la presente Ley se entenderá por:</w:t>
      </w:r>
    </w:p>
    <w:p w14:paraId="20112B26"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p>
    <w:p w14:paraId="4DB11EE2"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b/>
          <w:i/>
        </w:rPr>
        <w:t>XI. Documento:</w:t>
      </w:r>
      <w:r w:rsidRPr="008645E3">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EFA98EC"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0EC960E4"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96C56C"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59209BB8" w14:textId="77777777" w:rsidR="00F8557D" w:rsidRPr="008645E3" w:rsidRDefault="00646B44">
      <w:pPr>
        <w:spacing w:after="0" w:line="276" w:lineRule="auto"/>
        <w:ind w:left="567" w:right="560"/>
        <w:jc w:val="both"/>
        <w:rPr>
          <w:rFonts w:ascii="Palatino Linotype" w:eastAsia="Palatino Linotype" w:hAnsi="Palatino Linotype" w:cs="Palatino Linotype"/>
          <w:b/>
          <w:i/>
        </w:rPr>
      </w:pPr>
      <w:r w:rsidRPr="008645E3">
        <w:rPr>
          <w:rFonts w:ascii="Palatino Linotype" w:eastAsia="Palatino Linotype" w:hAnsi="Palatino Linotype" w:cs="Palatino Linotype"/>
          <w:i/>
        </w:rPr>
        <w:t>“</w:t>
      </w:r>
      <w:r w:rsidRPr="008645E3">
        <w:rPr>
          <w:rFonts w:ascii="Palatino Linotype" w:eastAsia="Palatino Linotype" w:hAnsi="Palatino Linotype" w:cs="Palatino Linotype"/>
          <w:b/>
          <w:i/>
        </w:rPr>
        <w:t>CRITERIO 0002-11</w:t>
      </w:r>
    </w:p>
    <w:p w14:paraId="5302D9BA"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645E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w:t>
      </w:r>
      <w:r w:rsidRPr="008645E3">
        <w:rPr>
          <w:rFonts w:ascii="Palatino Linotype" w:eastAsia="Palatino Linotype" w:hAnsi="Palatino Linotype" w:cs="Palatino Linotype"/>
          <w:i/>
        </w:rPr>
        <w:lastRenderedPageBreak/>
        <w:t>generados o en posesión de los órganos u organismos públicos, en virtud del ejercicio de sus funciones de derecho público, sin importar su fuente, soporte o fecha de elaboración.</w:t>
      </w:r>
    </w:p>
    <w:p w14:paraId="2F67A663"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En </w:t>
      </w:r>
      <w:proofErr w:type="gramStart"/>
      <w:r w:rsidRPr="008645E3">
        <w:rPr>
          <w:rFonts w:ascii="Palatino Linotype" w:eastAsia="Palatino Linotype" w:hAnsi="Palatino Linotype" w:cs="Palatino Linotype"/>
          <w:i/>
        </w:rPr>
        <w:t>consecuencia</w:t>
      </w:r>
      <w:proofErr w:type="gramEnd"/>
      <w:r w:rsidRPr="008645E3">
        <w:rPr>
          <w:rFonts w:ascii="Palatino Linotype" w:eastAsia="Palatino Linotype" w:hAnsi="Palatino Linotype" w:cs="Palatino Linotype"/>
          <w:i/>
        </w:rPr>
        <w:t xml:space="preserve"> el acceso a la información se refiere a que se cumplan cualquiera de los siguientes tres supuestos:</w:t>
      </w:r>
    </w:p>
    <w:p w14:paraId="3666FA6F"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1)</w:t>
      </w:r>
      <w:r w:rsidRPr="008645E3">
        <w:rPr>
          <w:rFonts w:ascii="Palatino Linotype" w:eastAsia="Palatino Linotype" w:hAnsi="Palatino Linotype" w:cs="Palatino Linotype"/>
          <w:i/>
        </w:rPr>
        <w:tab/>
        <w:t xml:space="preserve">Que se trate de información registrada en cualquier soporte documental, </w:t>
      </w:r>
      <w:proofErr w:type="gramStart"/>
      <w:r w:rsidRPr="008645E3">
        <w:rPr>
          <w:rFonts w:ascii="Palatino Linotype" w:eastAsia="Palatino Linotype" w:hAnsi="Palatino Linotype" w:cs="Palatino Linotype"/>
          <w:i/>
        </w:rPr>
        <w:t>que</w:t>
      </w:r>
      <w:proofErr w:type="gramEnd"/>
      <w:r w:rsidRPr="008645E3">
        <w:rPr>
          <w:rFonts w:ascii="Palatino Linotype" w:eastAsia="Palatino Linotype" w:hAnsi="Palatino Linotype" w:cs="Palatino Linotype"/>
          <w:i/>
        </w:rPr>
        <w:t xml:space="preserve"> en ejercicio de las atribuciones conferidas, sea generada por los Sujetos Obligados;</w:t>
      </w:r>
    </w:p>
    <w:p w14:paraId="27A23F54"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2)</w:t>
      </w:r>
      <w:r w:rsidRPr="008645E3">
        <w:rPr>
          <w:rFonts w:ascii="Palatino Linotype" w:eastAsia="Palatino Linotype" w:hAnsi="Palatino Linotype" w:cs="Palatino Linotype"/>
          <w:i/>
        </w:rPr>
        <w:tab/>
        <w:t xml:space="preserve">Que se trate de información registrada en cualquier soporte documental, </w:t>
      </w:r>
      <w:proofErr w:type="gramStart"/>
      <w:r w:rsidRPr="008645E3">
        <w:rPr>
          <w:rFonts w:ascii="Palatino Linotype" w:eastAsia="Palatino Linotype" w:hAnsi="Palatino Linotype" w:cs="Palatino Linotype"/>
          <w:i/>
        </w:rPr>
        <w:t>que</w:t>
      </w:r>
      <w:proofErr w:type="gramEnd"/>
      <w:r w:rsidRPr="008645E3">
        <w:rPr>
          <w:rFonts w:ascii="Palatino Linotype" w:eastAsia="Palatino Linotype" w:hAnsi="Palatino Linotype" w:cs="Palatino Linotype"/>
          <w:i/>
        </w:rPr>
        <w:t xml:space="preserve"> en ejercicio de las atribuciones conferidas, sea administrada por los Sujetos Obligados, y</w:t>
      </w:r>
    </w:p>
    <w:p w14:paraId="16644C8A"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3) Que se trate de información registrada en cualquier soporte documental, </w:t>
      </w:r>
      <w:proofErr w:type="gramStart"/>
      <w:r w:rsidRPr="008645E3">
        <w:rPr>
          <w:rFonts w:ascii="Palatino Linotype" w:eastAsia="Palatino Linotype" w:hAnsi="Palatino Linotype" w:cs="Palatino Linotype"/>
          <w:i/>
        </w:rPr>
        <w:t>que</w:t>
      </w:r>
      <w:proofErr w:type="gramEnd"/>
      <w:r w:rsidRPr="008645E3">
        <w:rPr>
          <w:rFonts w:ascii="Palatino Linotype" w:eastAsia="Palatino Linotype" w:hAnsi="Palatino Linotype" w:cs="Palatino Linotype"/>
          <w:i/>
        </w:rPr>
        <w:t xml:space="preserve"> en ejercicio de las atribuciones conferidas, se encuentre en posesión de los Sujetos Obligados.” </w:t>
      </w:r>
    </w:p>
    <w:p w14:paraId="20D90780"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41018A46"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732271EC"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0B796A6A" w14:textId="76206230"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EE774D">
        <w:rPr>
          <w:rFonts w:ascii="Palatino Linotype" w:eastAsia="Palatino Linotype" w:hAnsi="Palatino Linotype" w:cs="Palatino Linotype"/>
          <w:sz w:val="24"/>
          <w:szCs w:val="24"/>
        </w:rPr>
        <w:t xml:space="preserve">De las actuaciones que integran el expediente electrónico, se procede al análisis de </w:t>
      </w:r>
      <w:r w:rsidR="00E9147C">
        <w:rPr>
          <w:rFonts w:ascii="Palatino Linotype" w:eastAsia="Palatino Linotype" w:hAnsi="Palatino Linotype" w:cs="Palatino Linotype"/>
          <w:sz w:val="24"/>
          <w:szCs w:val="24"/>
        </w:rPr>
        <w:t>los agravios hechos valer por la parte</w:t>
      </w:r>
      <w:r w:rsidRPr="00EE774D">
        <w:rPr>
          <w:rFonts w:ascii="Palatino Linotype" w:eastAsia="Palatino Linotype" w:hAnsi="Palatino Linotype" w:cs="Palatino Linotype"/>
          <w:sz w:val="24"/>
          <w:szCs w:val="24"/>
        </w:rPr>
        <w:t xml:space="preserve"> R</w:t>
      </w:r>
      <w:r w:rsidR="00DB71F7" w:rsidRPr="00EE774D">
        <w:rPr>
          <w:rFonts w:ascii="Palatino Linotype" w:eastAsia="Palatino Linotype" w:hAnsi="Palatino Linotype" w:cs="Palatino Linotype"/>
          <w:sz w:val="24"/>
          <w:szCs w:val="24"/>
        </w:rPr>
        <w:t xml:space="preserve">ecurrente, relativos a </w:t>
      </w:r>
      <w:r w:rsidR="00617D70">
        <w:rPr>
          <w:rFonts w:ascii="Palatino Linotype" w:eastAsia="Palatino Linotype" w:hAnsi="Palatino Linotype" w:cs="Palatino Linotype"/>
          <w:sz w:val="24"/>
          <w:szCs w:val="24"/>
        </w:rPr>
        <w:t xml:space="preserve">entrega </w:t>
      </w:r>
      <w:proofErr w:type="gramStart"/>
      <w:r w:rsidR="00617D70">
        <w:rPr>
          <w:rFonts w:ascii="Palatino Linotype" w:eastAsia="Palatino Linotype" w:hAnsi="Palatino Linotype" w:cs="Palatino Linotype"/>
          <w:sz w:val="24"/>
          <w:szCs w:val="24"/>
        </w:rPr>
        <w:t>de  información</w:t>
      </w:r>
      <w:proofErr w:type="gramEnd"/>
      <w:r w:rsidR="00617D70">
        <w:rPr>
          <w:rFonts w:ascii="Palatino Linotype" w:eastAsia="Palatino Linotype" w:hAnsi="Palatino Linotype" w:cs="Palatino Linotype"/>
          <w:sz w:val="24"/>
          <w:szCs w:val="24"/>
        </w:rPr>
        <w:t xml:space="preserve"> que no corresponde con lo solicitado</w:t>
      </w:r>
      <w:r w:rsidR="00DB71F7" w:rsidRPr="00EE774D">
        <w:rPr>
          <w:rFonts w:ascii="Palatino Linotype" w:eastAsia="Palatino Linotype" w:hAnsi="Palatino Linotype" w:cs="Palatino Linotype"/>
          <w:sz w:val="24"/>
          <w:szCs w:val="24"/>
        </w:rPr>
        <w:t xml:space="preserve">, lo que actualiza la causal de procedencia prevista en la fracción </w:t>
      </w:r>
      <w:r w:rsidR="00617D70">
        <w:rPr>
          <w:rFonts w:ascii="Palatino Linotype" w:eastAsia="Palatino Linotype" w:hAnsi="Palatino Linotype" w:cs="Palatino Linotype"/>
          <w:sz w:val="24"/>
          <w:szCs w:val="24"/>
        </w:rPr>
        <w:t>VI</w:t>
      </w:r>
      <w:r w:rsidR="001E6843">
        <w:rPr>
          <w:rFonts w:ascii="Palatino Linotype" w:eastAsia="Palatino Linotype" w:hAnsi="Palatino Linotype" w:cs="Palatino Linotype"/>
          <w:sz w:val="24"/>
          <w:szCs w:val="24"/>
        </w:rPr>
        <w:t xml:space="preserve"> </w:t>
      </w:r>
      <w:r w:rsidRPr="00EE774D">
        <w:rPr>
          <w:rFonts w:ascii="Palatino Linotype" w:eastAsia="Palatino Linotype" w:hAnsi="Palatino Linotype" w:cs="Palatino Linotype"/>
          <w:sz w:val="24"/>
          <w:szCs w:val="24"/>
        </w:rPr>
        <w:t>del artículo 179 de la Ley de Transparencia y Acceso a la Información Pública del</w:t>
      </w:r>
      <w:r w:rsidR="00933869" w:rsidRPr="00EE774D">
        <w:rPr>
          <w:rFonts w:ascii="Palatino Linotype" w:eastAsia="Palatino Linotype" w:hAnsi="Palatino Linotype" w:cs="Palatino Linotype"/>
          <w:sz w:val="24"/>
          <w:szCs w:val="24"/>
        </w:rPr>
        <w:t xml:space="preserve"> Estado de México y Municipios.</w:t>
      </w:r>
    </w:p>
    <w:p w14:paraId="4BF42BC4"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52788417" w14:textId="12EFCEE0" w:rsidR="00617D70" w:rsidRDefault="00646B44" w:rsidP="00617D70">
      <w:pPr>
        <w:spacing w:after="0" w:line="360" w:lineRule="auto"/>
        <w:ind w:right="49"/>
        <w:jc w:val="both"/>
        <w:rPr>
          <w:rFonts w:ascii="Palatino Linotype" w:eastAsia="Palatino Linotype" w:hAnsi="Palatino Linotype" w:cs="Palatino Linotype"/>
          <w:sz w:val="24"/>
          <w:szCs w:val="24"/>
        </w:rPr>
      </w:pPr>
      <w:r w:rsidRPr="001E6843">
        <w:rPr>
          <w:rFonts w:ascii="Palatino Linotype" w:eastAsia="Palatino Linotype" w:hAnsi="Palatino Linotype" w:cs="Palatino Linotype"/>
          <w:sz w:val="24"/>
          <w:szCs w:val="24"/>
        </w:rPr>
        <w:lastRenderedPageBreak/>
        <w:t>Para ello, en principio resulta</w:t>
      </w:r>
      <w:r w:rsidR="00EE774D" w:rsidRPr="001E6843">
        <w:rPr>
          <w:rFonts w:ascii="Palatino Linotype" w:eastAsia="Palatino Linotype" w:hAnsi="Palatino Linotype" w:cs="Palatino Linotype"/>
          <w:sz w:val="24"/>
          <w:szCs w:val="24"/>
        </w:rPr>
        <w:t xml:space="preserve"> recordar que la pretensión de la parte </w:t>
      </w:r>
      <w:r w:rsidRPr="001E6843">
        <w:rPr>
          <w:rFonts w:ascii="Palatino Linotype" w:eastAsia="Palatino Linotype" w:hAnsi="Palatino Linotype" w:cs="Palatino Linotype"/>
          <w:sz w:val="24"/>
          <w:szCs w:val="24"/>
        </w:rPr>
        <w:t xml:space="preserve">ahora Recurrente </w:t>
      </w:r>
      <w:r w:rsidR="00B661FB" w:rsidRPr="001E6843">
        <w:rPr>
          <w:rFonts w:ascii="Palatino Linotype" w:eastAsia="Palatino Linotype" w:hAnsi="Palatino Linotype" w:cs="Palatino Linotype"/>
          <w:sz w:val="24"/>
          <w:szCs w:val="24"/>
        </w:rPr>
        <w:t xml:space="preserve">es obtener </w:t>
      </w:r>
      <w:r w:rsidR="001E6843">
        <w:rPr>
          <w:rFonts w:ascii="Palatino Linotype" w:eastAsia="Palatino Linotype" w:hAnsi="Palatino Linotype" w:cs="Palatino Linotype"/>
          <w:sz w:val="24"/>
          <w:szCs w:val="24"/>
        </w:rPr>
        <w:t xml:space="preserve">la siguiente información: </w:t>
      </w:r>
    </w:p>
    <w:p w14:paraId="14E01575" w14:textId="77777777" w:rsidR="00617D70" w:rsidRPr="00617D70" w:rsidRDefault="00617D70" w:rsidP="00617D70">
      <w:pPr>
        <w:spacing w:after="0" w:line="360" w:lineRule="auto"/>
        <w:ind w:right="49"/>
        <w:jc w:val="both"/>
        <w:rPr>
          <w:rFonts w:ascii="Palatino Linotype" w:eastAsia="Palatino Linotype" w:hAnsi="Palatino Linotype" w:cs="Palatino Linotype"/>
          <w:sz w:val="24"/>
          <w:szCs w:val="24"/>
        </w:rPr>
      </w:pPr>
    </w:p>
    <w:p w14:paraId="1839BC65" w14:textId="0AE8623D" w:rsidR="0003629B" w:rsidRPr="001F2713" w:rsidRDefault="00617D70" w:rsidP="00617D70">
      <w:pPr>
        <w:pStyle w:val="Prrafodelista"/>
        <w:numPr>
          <w:ilvl w:val="0"/>
          <w:numId w:val="33"/>
        </w:numPr>
        <w:pBdr>
          <w:top w:val="nil"/>
          <w:left w:val="nil"/>
          <w:bottom w:val="nil"/>
          <w:right w:val="nil"/>
          <w:between w:val="nil"/>
        </w:pBdr>
        <w:tabs>
          <w:tab w:val="left" w:pos="993"/>
        </w:tabs>
        <w:spacing w:after="0" w:line="360" w:lineRule="auto"/>
        <w:ind w:left="567" w:right="49" w:firstLine="0"/>
        <w:jc w:val="both"/>
        <w:rPr>
          <w:rFonts w:ascii="Palatino Linotype" w:eastAsia="Palatino Linotype" w:hAnsi="Palatino Linotype" w:cs="Palatino Linotype"/>
          <w:b/>
          <w:color w:val="000000"/>
          <w:szCs w:val="24"/>
        </w:rPr>
      </w:pPr>
      <w:r w:rsidRPr="001F2713">
        <w:rPr>
          <w:rFonts w:ascii="Palatino Linotype" w:eastAsia="Palatino Linotype" w:hAnsi="Palatino Linotype" w:cs="Palatino Linotype"/>
          <w:b/>
          <w:color w:val="000000"/>
          <w:szCs w:val="24"/>
        </w:rPr>
        <w:t>En versión pública, la resolución incidental derivada de la audiencia especial de conciliación, demanda, excepciones, pruebas y resolución de fecha quince de junio de dos mil veintidós, la cual obra en el Expediente TECA/02874/2019, substanciado en el Tribunal Estatal de Conciliación y Arbitraje de Toluca, Estado de México, en la Mesa 5.</w:t>
      </w:r>
    </w:p>
    <w:p w14:paraId="6C1EE018" w14:textId="77777777" w:rsidR="00617D70" w:rsidRPr="00FC00A5" w:rsidRDefault="00617D70" w:rsidP="00617D70">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color w:val="000000"/>
          <w:szCs w:val="24"/>
        </w:rPr>
      </w:pPr>
    </w:p>
    <w:p w14:paraId="634F480D" w14:textId="73F1885C" w:rsidR="00617D70" w:rsidRDefault="00E2699F" w:rsidP="001E6843">
      <w:pPr>
        <w:spacing w:after="0" w:line="360" w:lineRule="auto"/>
        <w:ind w:right="49"/>
        <w:jc w:val="both"/>
        <w:rPr>
          <w:rFonts w:ascii="Palatino Linotype" w:eastAsia="Palatino Linotype" w:hAnsi="Palatino Linotype" w:cs="Palatino Linotype"/>
          <w:sz w:val="24"/>
          <w:szCs w:val="24"/>
        </w:rPr>
      </w:pPr>
      <w:r w:rsidRPr="00B661FB">
        <w:rPr>
          <w:rFonts w:ascii="Palatino Linotype" w:eastAsia="Palatino Linotype" w:hAnsi="Palatino Linotype" w:cs="Palatino Linotype"/>
          <w:sz w:val="24"/>
          <w:szCs w:val="24"/>
        </w:rPr>
        <w:t>E</w:t>
      </w:r>
      <w:r w:rsidR="00433FA3" w:rsidRPr="00B661FB">
        <w:rPr>
          <w:rFonts w:ascii="Palatino Linotype" w:eastAsia="Palatino Linotype" w:hAnsi="Palatino Linotype" w:cs="Palatino Linotype"/>
          <w:sz w:val="24"/>
          <w:szCs w:val="24"/>
        </w:rPr>
        <w:t>n respues</w:t>
      </w:r>
      <w:r w:rsidR="001E6843">
        <w:rPr>
          <w:rFonts w:ascii="Palatino Linotype" w:eastAsia="Palatino Linotype" w:hAnsi="Palatino Linotype" w:cs="Palatino Linotype"/>
          <w:sz w:val="24"/>
          <w:szCs w:val="24"/>
        </w:rPr>
        <w:t xml:space="preserve">ta, el Sujeto Obligado, a través de la </w:t>
      </w:r>
      <w:r w:rsidR="001E6843" w:rsidRPr="001E6843">
        <w:rPr>
          <w:rFonts w:ascii="Palatino Linotype" w:eastAsia="Palatino Linotype" w:hAnsi="Palatino Linotype" w:cs="Palatino Linotype"/>
          <w:sz w:val="24"/>
          <w:szCs w:val="24"/>
        </w:rPr>
        <w:t>Titula</w:t>
      </w:r>
      <w:r w:rsidR="001E6843">
        <w:rPr>
          <w:rFonts w:ascii="Palatino Linotype" w:eastAsia="Palatino Linotype" w:hAnsi="Palatino Linotype" w:cs="Palatino Linotype"/>
          <w:sz w:val="24"/>
          <w:szCs w:val="24"/>
        </w:rPr>
        <w:t>r de la Unidad de Transparencia</w:t>
      </w:r>
      <w:r w:rsidR="001E6843" w:rsidRPr="001E6843">
        <w:rPr>
          <w:rFonts w:ascii="Palatino Linotype" w:eastAsia="Palatino Linotype" w:hAnsi="Palatino Linotype" w:cs="Palatino Linotype"/>
          <w:sz w:val="24"/>
          <w:szCs w:val="24"/>
        </w:rPr>
        <w:t xml:space="preserve"> </w:t>
      </w:r>
      <w:r w:rsidR="001E6843">
        <w:rPr>
          <w:rFonts w:ascii="Palatino Linotype" w:eastAsia="Palatino Linotype" w:hAnsi="Palatino Linotype" w:cs="Palatino Linotype"/>
          <w:sz w:val="24"/>
          <w:szCs w:val="24"/>
        </w:rPr>
        <w:t xml:space="preserve">informó que </w:t>
      </w:r>
      <w:r w:rsidR="00617D70">
        <w:rPr>
          <w:rFonts w:ascii="Palatino Linotype" w:eastAsia="Palatino Linotype" w:hAnsi="Palatino Linotype" w:cs="Palatino Linotype"/>
          <w:sz w:val="24"/>
          <w:szCs w:val="24"/>
        </w:rPr>
        <w:t>con fecha de veintitrés de marzo del dos mil veintitrés se declaró</w:t>
      </w:r>
      <w:r w:rsidR="00617D70" w:rsidRPr="00617D70">
        <w:rPr>
          <w:rFonts w:ascii="Palatino Linotype" w:eastAsia="Palatino Linotype" w:hAnsi="Palatino Linotype" w:cs="Palatino Linotype"/>
          <w:sz w:val="24"/>
          <w:szCs w:val="24"/>
        </w:rPr>
        <w:t xml:space="preserve"> improcedente el incidente y se señala las nueve horas con treinta minutos del día 14 de junio del dos mil veintitrés para una audiencia de Procedimiento Especial, de Conciliación, Demanda y Excepciones Pruebas y Resolución.</w:t>
      </w:r>
    </w:p>
    <w:p w14:paraId="14091528" w14:textId="77777777" w:rsidR="00617D70" w:rsidRDefault="00617D70" w:rsidP="001E6843">
      <w:pPr>
        <w:spacing w:after="0" w:line="360" w:lineRule="auto"/>
        <w:ind w:right="49"/>
        <w:jc w:val="both"/>
        <w:rPr>
          <w:rFonts w:ascii="Palatino Linotype" w:eastAsia="Palatino Linotype" w:hAnsi="Palatino Linotype" w:cs="Palatino Linotype"/>
          <w:sz w:val="24"/>
          <w:szCs w:val="24"/>
        </w:rPr>
      </w:pPr>
    </w:p>
    <w:p w14:paraId="6D004A3E" w14:textId="74207482" w:rsidR="00346663" w:rsidRDefault="00346663" w:rsidP="001E6843">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Derivado de ello, la parte Solicitante se inconformó arguyendo </w:t>
      </w:r>
      <w:r w:rsidR="00617D70">
        <w:rPr>
          <w:rFonts w:ascii="Palatino Linotype" w:eastAsia="Palatino Linotype" w:hAnsi="Palatino Linotype" w:cs="Palatino Linotype"/>
          <w:sz w:val="24"/>
          <w:szCs w:val="24"/>
        </w:rPr>
        <w:t xml:space="preserve">que la información proporcionada no correspondía con lo solicitado, debido a que se había peticionada la versión pública de la resolución incidental, la cual no fue proporcionada. </w:t>
      </w:r>
    </w:p>
    <w:p w14:paraId="59EC4667" w14:textId="0E313FDC" w:rsidR="007D19E9" w:rsidRDefault="007D19E9" w:rsidP="00E2699F">
      <w:pPr>
        <w:spacing w:after="0" w:line="360" w:lineRule="auto"/>
        <w:ind w:right="49"/>
        <w:jc w:val="both"/>
        <w:rPr>
          <w:rFonts w:ascii="Palatino Linotype" w:eastAsia="Palatino Linotype" w:hAnsi="Palatino Linotype" w:cs="Palatino Linotype"/>
          <w:sz w:val="24"/>
          <w:szCs w:val="24"/>
        </w:rPr>
      </w:pPr>
    </w:p>
    <w:p w14:paraId="3D3C38CD" w14:textId="7C7F5D64" w:rsidR="00104192" w:rsidRDefault="00617D70" w:rsidP="00D029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Las partes fueron omisas en rendir manifestaciones. </w:t>
      </w:r>
    </w:p>
    <w:p w14:paraId="3D2EC874" w14:textId="77777777" w:rsidR="00617D70" w:rsidRDefault="00617D70" w:rsidP="00D02932">
      <w:pPr>
        <w:spacing w:after="0" w:line="360" w:lineRule="auto"/>
        <w:ind w:right="49"/>
        <w:jc w:val="both"/>
        <w:rPr>
          <w:rFonts w:ascii="Palatino Linotype" w:eastAsia="Palatino Linotype" w:hAnsi="Palatino Linotype" w:cs="Palatino Linotype"/>
          <w:sz w:val="24"/>
          <w:szCs w:val="24"/>
        </w:rPr>
      </w:pPr>
    </w:p>
    <w:p w14:paraId="329401EF" w14:textId="67103B4E" w:rsidR="007670F9" w:rsidRDefault="00C12F33" w:rsidP="00617D70">
      <w:pPr>
        <w:spacing w:after="0" w:line="360" w:lineRule="auto"/>
        <w:ind w:right="49"/>
        <w:jc w:val="both"/>
        <w:rPr>
          <w:rFonts w:ascii="Palatino Linotype" w:eastAsia="Palatino Linotype" w:hAnsi="Palatino Linotype" w:cs="Palatino Linotype"/>
          <w:sz w:val="24"/>
          <w:szCs w:val="24"/>
        </w:rPr>
      </w:pPr>
      <w:r w:rsidRPr="00C7712F">
        <w:rPr>
          <w:rFonts w:ascii="Palatino Linotype" w:eastAsia="Palatino Linotype" w:hAnsi="Palatino Linotype" w:cs="Palatino Linotype"/>
          <w:sz w:val="24"/>
          <w:szCs w:val="24"/>
        </w:rPr>
        <w:t xml:space="preserve">Dicho lo anterior, </w:t>
      </w:r>
      <w:r w:rsidR="004B4B78">
        <w:rPr>
          <w:rFonts w:ascii="Palatino Linotype" w:eastAsia="Palatino Linotype" w:hAnsi="Palatino Linotype" w:cs="Palatino Linotype"/>
          <w:sz w:val="24"/>
          <w:szCs w:val="24"/>
        </w:rPr>
        <w:t xml:space="preserve">se tiene que de conformidad con la Ley Federal del Trabajo los incidentes serán tramitados dentro del expediente principal donde se promueve y se </w:t>
      </w:r>
      <w:proofErr w:type="gramStart"/>
      <w:r w:rsidR="004B4B78">
        <w:rPr>
          <w:rFonts w:ascii="Palatino Linotype" w:eastAsia="Palatino Linotype" w:hAnsi="Palatino Linotype" w:cs="Palatino Linotype"/>
          <w:sz w:val="24"/>
          <w:szCs w:val="24"/>
        </w:rPr>
        <w:t>trataran</w:t>
      </w:r>
      <w:proofErr w:type="gramEnd"/>
      <w:r w:rsidR="004B4B78">
        <w:rPr>
          <w:rFonts w:ascii="Palatino Linotype" w:eastAsia="Palatino Linotype" w:hAnsi="Palatino Linotype" w:cs="Palatino Linotype"/>
          <w:sz w:val="24"/>
          <w:szCs w:val="24"/>
        </w:rPr>
        <w:t xml:space="preserve"> como incidentes de previo y especial pronunciamiento los de nulidad, </w:t>
      </w:r>
      <w:r w:rsidR="004B4B78">
        <w:rPr>
          <w:rFonts w:ascii="Palatino Linotype" w:eastAsia="Palatino Linotype" w:hAnsi="Palatino Linotype" w:cs="Palatino Linotype"/>
          <w:sz w:val="24"/>
          <w:szCs w:val="24"/>
        </w:rPr>
        <w:lastRenderedPageBreak/>
        <w:t xml:space="preserve">competencia, personalidad, acumulación y excusas, tal como se observa a continuación: </w:t>
      </w:r>
    </w:p>
    <w:p w14:paraId="7F0467D4" w14:textId="77777777" w:rsidR="004B4B78" w:rsidRDefault="004B4B78" w:rsidP="00617D70">
      <w:pPr>
        <w:spacing w:after="0" w:line="360" w:lineRule="auto"/>
        <w:ind w:right="49"/>
        <w:jc w:val="both"/>
        <w:rPr>
          <w:rFonts w:ascii="Palatino Linotype" w:eastAsia="Palatino Linotype" w:hAnsi="Palatino Linotype" w:cs="Palatino Linotype"/>
          <w:sz w:val="24"/>
          <w:szCs w:val="24"/>
        </w:rPr>
      </w:pPr>
    </w:p>
    <w:p w14:paraId="07CBE222" w14:textId="77777777" w:rsidR="00BB096D" w:rsidRPr="00BB096D" w:rsidRDefault="004B4B78" w:rsidP="00BB096D">
      <w:pPr>
        <w:spacing w:after="0" w:line="276" w:lineRule="auto"/>
        <w:ind w:left="567" w:right="560"/>
        <w:jc w:val="both"/>
        <w:rPr>
          <w:rFonts w:ascii="Palatino Linotype" w:hAnsi="Palatino Linotype"/>
          <w:i/>
        </w:rPr>
      </w:pPr>
      <w:r w:rsidRPr="00BB096D">
        <w:rPr>
          <w:rFonts w:ascii="Palatino Linotype" w:hAnsi="Palatino Linotype"/>
          <w:b/>
          <w:i/>
        </w:rPr>
        <w:t>Artículo 761.-</w:t>
      </w:r>
      <w:r w:rsidRPr="00BB096D">
        <w:rPr>
          <w:rFonts w:ascii="Palatino Linotype" w:hAnsi="Palatino Linotype"/>
          <w:i/>
        </w:rPr>
        <w:t xml:space="preserve"> Los incidentes se tramitarán dentro del expediente principal donde se promueve, salvo los casos previstos en esta Ley. </w:t>
      </w:r>
    </w:p>
    <w:p w14:paraId="59771362" w14:textId="77777777" w:rsidR="00BB096D" w:rsidRPr="00BB096D" w:rsidRDefault="00BB096D" w:rsidP="00BB096D">
      <w:pPr>
        <w:spacing w:after="0" w:line="276" w:lineRule="auto"/>
        <w:ind w:left="567" w:right="560"/>
        <w:jc w:val="both"/>
        <w:rPr>
          <w:rFonts w:ascii="Palatino Linotype" w:hAnsi="Palatino Linotype"/>
          <w:i/>
        </w:rPr>
      </w:pPr>
    </w:p>
    <w:p w14:paraId="1FE560C2" w14:textId="77777777" w:rsidR="00BB096D" w:rsidRPr="00BB096D" w:rsidRDefault="004B4B78" w:rsidP="00BB096D">
      <w:pPr>
        <w:spacing w:after="0" w:line="276" w:lineRule="auto"/>
        <w:ind w:left="567" w:right="560"/>
        <w:jc w:val="both"/>
        <w:rPr>
          <w:rFonts w:ascii="Palatino Linotype" w:hAnsi="Palatino Linotype"/>
          <w:i/>
        </w:rPr>
      </w:pPr>
      <w:r w:rsidRPr="00BB096D">
        <w:rPr>
          <w:rFonts w:ascii="Palatino Linotype" w:hAnsi="Palatino Linotype"/>
          <w:b/>
          <w:i/>
        </w:rPr>
        <w:t>Artículo 762.-</w:t>
      </w:r>
      <w:r w:rsidRPr="00BB096D">
        <w:rPr>
          <w:rFonts w:ascii="Palatino Linotype" w:hAnsi="Palatino Linotype"/>
          <w:i/>
        </w:rPr>
        <w:t xml:space="preserve"> Se tramitarán como incidentes de previo y especial pronunciamiento las siguientes cuestiones. </w:t>
      </w:r>
    </w:p>
    <w:p w14:paraId="2F8E9393" w14:textId="6451956C" w:rsidR="00BB096D" w:rsidRPr="00BB096D" w:rsidRDefault="00BB096D" w:rsidP="00BB096D">
      <w:pPr>
        <w:spacing w:after="0" w:line="276" w:lineRule="auto"/>
        <w:ind w:left="567" w:right="560"/>
        <w:jc w:val="both"/>
        <w:rPr>
          <w:rFonts w:ascii="Palatino Linotype" w:hAnsi="Palatino Linotype"/>
          <w:i/>
        </w:rPr>
      </w:pPr>
      <w:r w:rsidRPr="00BB096D">
        <w:rPr>
          <w:rFonts w:ascii="Palatino Linotype" w:hAnsi="Palatino Linotype"/>
          <w:i/>
        </w:rPr>
        <w:t xml:space="preserve">I. </w:t>
      </w:r>
      <w:r w:rsidR="004B4B78" w:rsidRPr="00BB096D">
        <w:rPr>
          <w:rFonts w:ascii="Palatino Linotype" w:hAnsi="Palatino Linotype"/>
          <w:i/>
        </w:rPr>
        <w:t xml:space="preserve">Nulidad; </w:t>
      </w:r>
    </w:p>
    <w:p w14:paraId="28DE4EB7" w14:textId="77777777" w:rsidR="00BB096D" w:rsidRPr="00BB096D" w:rsidRDefault="004B4B78" w:rsidP="00BB096D">
      <w:pPr>
        <w:spacing w:after="0" w:line="276" w:lineRule="auto"/>
        <w:ind w:left="567" w:right="560"/>
        <w:rPr>
          <w:rFonts w:ascii="Palatino Linotype" w:hAnsi="Palatino Linotype"/>
          <w:i/>
        </w:rPr>
      </w:pPr>
      <w:r w:rsidRPr="00BB096D">
        <w:rPr>
          <w:rFonts w:ascii="Palatino Linotype" w:hAnsi="Palatino Linotype"/>
          <w:i/>
        </w:rPr>
        <w:t xml:space="preserve">II. Competencia; </w:t>
      </w:r>
    </w:p>
    <w:p w14:paraId="5900E153" w14:textId="77777777" w:rsidR="00BB096D" w:rsidRPr="00BB096D" w:rsidRDefault="004B4B78" w:rsidP="00BB096D">
      <w:pPr>
        <w:spacing w:after="0" w:line="276" w:lineRule="auto"/>
        <w:ind w:left="567" w:right="560"/>
        <w:rPr>
          <w:rFonts w:ascii="Palatino Linotype" w:hAnsi="Palatino Linotype"/>
          <w:i/>
        </w:rPr>
      </w:pPr>
      <w:r w:rsidRPr="00BB096D">
        <w:rPr>
          <w:rFonts w:ascii="Palatino Linotype" w:hAnsi="Palatino Linotype"/>
          <w:i/>
        </w:rPr>
        <w:t xml:space="preserve">III. Personalidad; </w:t>
      </w:r>
    </w:p>
    <w:p w14:paraId="1DC37064" w14:textId="77777777" w:rsidR="00BB096D" w:rsidRPr="00BB096D" w:rsidRDefault="004B4B78" w:rsidP="00BB096D">
      <w:pPr>
        <w:spacing w:after="0" w:line="276" w:lineRule="auto"/>
        <w:ind w:left="567" w:right="560"/>
        <w:rPr>
          <w:rFonts w:ascii="Palatino Linotype" w:hAnsi="Palatino Linotype"/>
          <w:i/>
        </w:rPr>
      </w:pPr>
      <w:r w:rsidRPr="00BB096D">
        <w:rPr>
          <w:rFonts w:ascii="Palatino Linotype" w:hAnsi="Palatino Linotype"/>
          <w:i/>
        </w:rPr>
        <w:t>IV. Acumulación; y</w:t>
      </w:r>
    </w:p>
    <w:p w14:paraId="33B6B4BF" w14:textId="6DBB7D9F" w:rsidR="004B4B78" w:rsidRPr="00BB096D" w:rsidRDefault="004B4B78" w:rsidP="00BB096D">
      <w:pPr>
        <w:spacing w:after="0" w:line="276" w:lineRule="auto"/>
        <w:ind w:left="567" w:right="560"/>
        <w:rPr>
          <w:rFonts w:ascii="Palatino Linotype" w:eastAsia="Palatino Linotype" w:hAnsi="Palatino Linotype" w:cs="Palatino Linotype"/>
          <w:i/>
          <w:sz w:val="24"/>
          <w:szCs w:val="24"/>
        </w:rPr>
      </w:pPr>
      <w:r w:rsidRPr="00BB096D">
        <w:rPr>
          <w:rFonts w:ascii="Palatino Linotype" w:hAnsi="Palatino Linotype"/>
          <w:i/>
        </w:rPr>
        <w:t xml:space="preserve"> V. Excusas.</w:t>
      </w:r>
    </w:p>
    <w:p w14:paraId="74C012F3" w14:textId="77777777" w:rsidR="004B4B78" w:rsidRDefault="004B4B78" w:rsidP="00617D70">
      <w:pPr>
        <w:spacing w:after="0" w:line="360" w:lineRule="auto"/>
        <w:ind w:right="49"/>
        <w:jc w:val="both"/>
        <w:rPr>
          <w:rFonts w:ascii="Palatino Linotype" w:eastAsia="Palatino Linotype" w:hAnsi="Palatino Linotype" w:cs="Palatino Linotype"/>
          <w:sz w:val="24"/>
          <w:szCs w:val="24"/>
        </w:rPr>
      </w:pPr>
    </w:p>
    <w:p w14:paraId="3C9AEE22" w14:textId="526952E9" w:rsidR="00617D70" w:rsidRDefault="004B4B78" w:rsidP="00617D70">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en el Capítulo XIII </w:t>
      </w:r>
      <w:r w:rsidRPr="00DC1585">
        <w:rPr>
          <w:rFonts w:ascii="Palatino Linotype" w:eastAsia="Palatino Linotype" w:hAnsi="Palatino Linotype" w:cs="Palatino Linotype"/>
          <w:i/>
          <w:sz w:val="24"/>
          <w:szCs w:val="24"/>
        </w:rPr>
        <w:t>“De las Resoluciones Laborales”</w:t>
      </w:r>
      <w:r>
        <w:rPr>
          <w:rFonts w:ascii="Palatino Linotype" w:eastAsia="Palatino Linotype" w:hAnsi="Palatino Linotype" w:cs="Palatino Linotype"/>
          <w:sz w:val="24"/>
          <w:szCs w:val="24"/>
        </w:rPr>
        <w:t xml:space="preserve"> de la Ley Federal del Trabajo, se establece lo siguiente: </w:t>
      </w:r>
    </w:p>
    <w:p w14:paraId="2D9EA171" w14:textId="77777777" w:rsidR="004B4B78" w:rsidRPr="00BB096D" w:rsidRDefault="004B4B78" w:rsidP="00BB096D">
      <w:pPr>
        <w:spacing w:after="0" w:line="276" w:lineRule="auto"/>
        <w:ind w:left="567" w:right="701"/>
        <w:jc w:val="both"/>
        <w:rPr>
          <w:rFonts w:ascii="Palatino Linotype" w:eastAsia="Palatino Linotype" w:hAnsi="Palatino Linotype" w:cs="Palatino Linotype"/>
          <w:i/>
          <w:sz w:val="24"/>
          <w:szCs w:val="24"/>
        </w:rPr>
      </w:pPr>
    </w:p>
    <w:p w14:paraId="4CCF4009" w14:textId="77777777" w:rsidR="00BB096D" w:rsidRPr="00BB096D" w:rsidRDefault="004B4B78" w:rsidP="00BB096D">
      <w:pPr>
        <w:spacing w:after="0" w:line="276" w:lineRule="auto"/>
        <w:ind w:left="567" w:right="701"/>
        <w:jc w:val="both"/>
        <w:rPr>
          <w:rFonts w:ascii="Palatino Linotype" w:hAnsi="Palatino Linotype"/>
          <w:i/>
        </w:rPr>
      </w:pPr>
      <w:r w:rsidRPr="00BB096D">
        <w:rPr>
          <w:rFonts w:ascii="Palatino Linotype" w:hAnsi="Palatino Linotype"/>
          <w:b/>
          <w:i/>
        </w:rPr>
        <w:t>Artículo 837.-</w:t>
      </w:r>
      <w:r w:rsidRPr="00BB096D">
        <w:rPr>
          <w:rFonts w:ascii="Palatino Linotype" w:hAnsi="Palatino Linotype"/>
          <w:i/>
        </w:rPr>
        <w:t xml:space="preserve"> Las resoluciones de los tribunales laborales son: </w:t>
      </w:r>
    </w:p>
    <w:p w14:paraId="1D1DBB54" w14:textId="3B2A387E" w:rsidR="00BB096D" w:rsidRPr="00BB096D" w:rsidRDefault="00BB096D" w:rsidP="00BB096D">
      <w:pPr>
        <w:spacing w:after="0" w:line="276" w:lineRule="auto"/>
        <w:ind w:left="567" w:right="701"/>
        <w:jc w:val="both"/>
        <w:rPr>
          <w:rFonts w:ascii="Palatino Linotype" w:hAnsi="Palatino Linotype"/>
          <w:i/>
        </w:rPr>
      </w:pPr>
      <w:r w:rsidRPr="00BB096D">
        <w:rPr>
          <w:rFonts w:ascii="Palatino Linotype" w:hAnsi="Palatino Linotype"/>
          <w:i/>
        </w:rPr>
        <w:t xml:space="preserve">I. </w:t>
      </w:r>
      <w:r w:rsidR="004B4B78" w:rsidRPr="00BB096D">
        <w:rPr>
          <w:rFonts w:ascii="Palatino Linotype" w:hAnsi="Palatino Linotype"/>
          <w:i/>
        </w:rPr>
        <w:t xml:space="preserve">Acuerdos: si se refieren a simples determinaciones de trámite o cuando decidan cualquier cuestión dentro del negocio; </w:t>
      </w:r>
    </w:p>
    <w:p w14:paraId="143F11F8" w14:textId="77777777" w:rsidR="00BB096D" w:rsidRPr="00BB096D" w:rsidRDefault="004B4B78" w:rsidP="00BB096D">
      <w:pPr>
        <w:spacing w:after="0" w:line="276" w:lineRule="auto"/>
        <w:ind w:left="567" w:right="701"/>
        <w:jc w:val="both"/>
        <w:rPr>
          <w:rFonts w:ascii="Palatino Linotype" w:hAnsi="Palatino Linotype"/>
          <w:b/>
          <w:i/>
          <w:u w:val="single"/>
        </w:rPr>
      </w:pPr>
      <w:r w:rsidRPr="00BB096D">
        <w:rPr>
          <w:rFonts w:ascii="Palatino Linotype" w:hAnsi="Palatino Linotype"/>
          <w:b/>
          <w:i/>
          <w:u w:val="single"/>
        </w:rPr>
        <w:t xml:space="preserve">II. Autos incidentales o resoluciones interlocutorias: cuando resuelvan dentro o fuera de juicio un incidente; y </w:t>
      </w:r>
    </w:p>
    <w:p w14:paraId="14511F92" w14:textId="52A11236" w:rsidR="00BB096D" w:rsidRPr="00BB096D" w:rsidRDefault="004B4B78" w:rsidP="00BB096D">
      <w:pPr>
        <w:spacing w:after="0" w:line="276" w:lineRule="auto"/>
        <w:ind w:left="567" w:right="701"/>
        <w:jc w:val="both"/>
        <w:rPr>
          <w:rFonts w:ascii="Palatino Linotype" w:hAnsi="Palatino Linotype"/>
          <w:i/>
        </w:rPr>
      </w:pPr>
      <w:r w:rsidRPr="00BB096D">
        <w:rPr>
          <w:rFonts w:ascii="Palatino Linotype" w:hAnsi="Palatino Linotype"/>
          <w:i/>
        </w:rPr>
        <w:t xml:space="preserve">III. Sentencias: cuando decidan sobre el fondo del conflicto. </w:t>
      </w:r>
    </w:p>
    <w:p w14:paraId="4D637DF4" w14:textId="77777777" w:rsidR="00BB096D" w:rsidRDefault="00BB096D" w:rsidP="00BB096D">
      <w:pPr>
        <w:spacing w:after="0" w:line="276" w:lineRule="auto"/>
        <w:ind w:left="567" w:right="701"/>
        <w:jc w:val="both"/>
        <w:rPr>
          <w:rFonts w:ascii="Palatino Linotype" w:hAnsi="Palatino Linotype"/>
          <w:i/>
        </w:rPr>
      </w:pPr>
    </w:p>
    <w:p w14:paraId="480FD45B" w14:textId="77777777" w:rsidR="00BB096D" w:rsidRDefault="004B4B78" w:rsidP="00BB096D">
      <w:pPr>
        <w:spacing w:after="0" w:line="276" w:lineRule="auto"/>
        <w:ind w:left="567" w:right="701"/>
        <w:jc w:val="both"/>
        <w:rPr>
          <w:rFonts w:ascii="Palatino Linotype" w:hAnsi="Palatino Linotype"/>
          <w:i/>
        </w:rPr>
      </w:pPr>
      <w:r w:rsidRPr="00BB096D">
        <w:rPr>
          <w:rFonts w:ascii="Palatino Linotype" w:hAnsi="Palatino Linotype"/>
          <w:b/>
          <w:i/>
        </w:rPr>
        <w:t>Artículo 838.-</w:t>
      </w:r>
      <w:r w:rsidRPr="00BB096D">
        <w:rPr>
          <w:rFonts w:ascii="Palatino Linotype" w:hAnsi="Palatino Linotype"/>
          <w:i/>
        </w:rPr>
        <w:t xml:space="preserve"> El Tribunal dictará sus resoluciones en el acto en que concluya la diligencia respectiva o dentro de las cuarenta y ocho horas siguientes a aquellas en la que reciba promociones por escrito, salvo disposición en contrario de esta Ley. </w:t>
      </w:r>
    </w:p>
    <w:p w14:paraId="7CE3C8B0" w14:textId="77777777" w:rsidR="00BB096D" w:rsidRPr="00BB096D" w:rsidRDefault="00BB096D" w:rsidP="00BB096D">
      <w:pPr>
        <w:spacing w:after="0" w:line="276" w:lineRule="auto"/>
        <w:ind w:left="567" w:right="701"/>
        <w:jc w:val="both"/>
        <w:rPr>
          <w:rFonts w:ascii="Palatino Linotype" w:hAnsi="Palatino Linotype"/>
          <w:i/>
        </w:rPr>
      </w:pPr>
    </w:p>
    <w:p w14:paraId="443E77DA" w14:textId="4F56ADA8" w:rsidR="00C8719C" w:rsidRPr="00BB096D" w:rsidRDefault="004B4B78" w:rsidP="00C10F47">
      <w:pPr>
        <w:spacing w:after="0" w:line="276" w:lineRule="auto"/>
        <w:ind w:left="567" w:right="701"/>
        <w:jc w:val="both"/>
        <w:rPr>
          <w:rFonts w:ascii="Palatino Linotype" w:hAnsi="Palatino Linotype"/>
          <w:i/>
        </w:rPr>
      </w:pPr>
      <w:r w:rsidRPr="00C8719C">
        <w:rPr>
          <w:rFonts w:ascii="Palatino Linotype" w:hAnsi="Palatino Linotype"/>
          <w:b/>
          <w:i/>
        </w:rPr>
        <w:t>Artículo 839.-</w:t>
      </w:r>
      <w:r w:rsidRPr="00BB096D">
        <w:rPr>
          <w:rFonts w:ascii="Palatino Linotype" w:hAnsi="Palatino Linotype"/>
          <w:i/>
        </w:rPr>
        <w:t xml:space="preserve"> Las resoluciones que así lo ameriten de los Tribunales deberán ser firmadas por el juez o por el secretario instructor, según corresponda, el día en que se emitan. </w:t>
      </w:r>
    </w:p>
    <w:p w14:paraId="52666633" w14:textId="77777777" w:rsidR="00BB096D" w:rsidRPr="00BB096D" w:rsidRDefault="004B4B78" w:rsidP="00BB096D">
      <w:pPr>
        <w:spacing w:after="0" w:line="276" w:lineRule="auto"/>
        <w:ind w:left="567" w:right="701"/>
        <w:jc w:val="both"/>
        <w:rPr>
          <w:rFonts w:ascii="Palatino Linotype" w:hAnsi="Palatino Linotype"/>
          <w:i/>
        </w:rPr>
      </w:pPr>
      <w:r w:rsidRPr="00C8719C">
        <w:rPr>
          <w:rFonts w:ascii="Palatino Linotype" w:hAnsi="Palatino Linotype"/>
          <w:b/>
          <w:i/>
        </w:rPr>
        <w:lastRenderedPageBreak/>
        <w:t>Artículo 840</w:t>
      </w:r>
      <w:r w:rsidRPr="00BB096D">
        <w:rPr>
          <w:rFonts w:ascii="Palatino Linotype" w:hAnsi="Palatino Linotype"/>
          <w:i/>
        </w:rPr>
        <w:t xml:space="preserve">.- La sentencia contendrá: </w:t>
      </w:r>
    </w:p>
    <w:p w14:paraId="39B36B06" w14:textId="1FA438ED" w:rsidR="00BB096D" w:rsidRPr="00BB096D" w:rsidRDefault="00BB096D" w:rsidP="00BB096D">
      <w:pPr>
        <w:spacing w:after="0" w:line="276" w:lineRule="auto"/>
        <w:ind w:left="567" w:right="701"/>
        <w:jc w:val="both"/>
        <w:rPr>
          <w:rFonts w:ascii="Palatino Linotype" w:hAnsi="Palatino Linotype"/>
          <w:i/>
        </w:rPr>
      </w:pPr>
      <w:r w:rsidRPr="00BB096D">
        <w:rPr>
          <w:rFonts w:ascii="Palatino Linotype" w:hAnsi="Palatino Linotype"/>
          <w:i/>
        </w:rPr>
        <w:t xml:space="preserve">I. </w:t>
      </w:r>
      <w:r w:rsidR="004B4B78" w:rsidRPr="00BB096D">
        <w:rPr>
          <w:rFonts w:ascii="Palatino Linotype" w:hAnsi="Palatino Linotype"/>
          <w:i/>
        </w:rPr>
        <w:t>Lugar, fecha y Tribunal que lo pronuncie</w:t>
      </w:r>
      <w:r w:rsidRPr="00BB096D">
        <w:rPr>
          <w:rFonts w:ascii="Palatino Linotype" w:hAnsi="Palatino Linotype"/>
          <w:i/>
        </w:rPr>
        <w:t>;</w:t>
      </w:r>
    </w:p>
    <w:p w14:paraId="7A28AF31" w14:textId="77777777" w:rsidR="00BB096D" w:rsidRPr="00BB096D" w:rsidRDefault="004B4B78" w:rsidP="00BB096D">
      <w:pPr>
        <w:spacing w:after="0" w:line="276" w:lineRule="auto"/>
        <w:ind w:left="567" w:right="701"/>
        <w:jc w:val="both"/>
        <w:rPr>
          <w:rFonts w:ascii="Palatino Linotype" w:hAnsi="Palatino Linotype"/>
          <w:i/>
        </w:rPr>
      </w:pPr>
      <w:r w:rsidRPr="00BB096D">
        <w:rPr>
          <w:rFonts w:ascii="Palatino Linotype" w:hAnsi="Palatino Linotype"/>
          <w:i/>
        </w:rPr>
        <w:t xml:space="preserve">II. Nombres y domicilios de las partes y de sus representantes; </w:t>
      </w:r>
    </w:p>
    <w:p w14:paraId="1318170B" w14:textId="77777777" w:rsidR="00BB096D" w:rsidRPr="00BB096D" w:rsidRDefault="004B4B78" w:rsidP="00BB096D">
      <w:pPr>
        <w:spacing w:after="0" w:line="276" w:lineRule="auto"/>
        <w:ind w:left="567" w:right="701"/>
        <w:jc w:val="both"/>
        <w:rPr>
          <w:rFonts w:ascii="Palatino Linotype" w:hAnsi="Palatino Linotype"/>
          <w:i/>
        </w:rPr>
      </w:pPr>
      <w:r w:rsidRPr="00BB096D">
        <w:rPr>
          <w:rFonts w:ascii="Palatino Linotype" w:hAnsi="Palatino Linotype"/>
          <w:i/>
        </w:rPr>
        <w:t xml:space="preserve">III. Extracto de la demanda y su contestación; réplica y contrarréplica y, en su caso, de la reconvención y contestación a la misma, que deberá contener con claridad y concisión las peticiones de las partes y los hechos controvertidos; </w:t>
      </w:r>
    </w:p>
    <w:p w14:paraId="0A911291" w14:textId="77777777" w:rsidR="00BB096D" w:rsidRPr="00BB096D" w:rsidRDefault="004B4B78" w:rsidP="00BB096D">
      <w:pPr>
        <w:spacing w:after="0" w:line="276" w:lineRule="auto"/>
        <w:ind w:left="567" w:right="701"/>
        <w:jc w:val="both"/>
        <w:rPr>
          <w:rFonts w:ascii="Palatino Linotype" w:hAnsi="Palatino Linotype"/>
          <w:i/>
        </w:rPr>
      </w:pPr>
      <w:r w:rsidRPr="00BB096D">
        <w:rPr>
          <w:rFonts w:ascii="Palatino Linotype" w:hAnsi="Palatino Linotype"/>
          <w:i/>
        </w:rPr>
        <w:t xml:space="preserve">IV. Enumeración de las pruebas admitidas y desahogadas y su apreciación en conciencia, señalando los hechos que deban considerarse probados; </w:t>
      </w:r>
    </w:p>
    <w:p w14:paraId="6833752A" w14:textId="77777777" w:rsidR="00BB096D" w:rsidRPr="00BB096D" w:rsidRDefault="004B4B78" w:rsidP="00BB096D">
      <w:pPr>
        <w:spacing w:after="0" w:line="276" w:lineRule="auto"/>
        <w:ind w:left="567" w:right="701"/>
        <w:jc w:val="both"/>
        <w:rPr>
          <w:rFonts w:ascii="Palatino Linotype" w:hAnsi="Palatino Linotype"/>
          <w:i/>
        </w:rPr>
      </w:pPr>
      <w:r w:rsidRPr="00BB096D">
        <w:rPr>
          <w:rFonts w:ascii="Palatino Linotype" w:hAnsi="Palatino Linotype"/>
          <w:i/>
        </w:rPr>
        <w:t xml:space="preserve">V. Extracto de los alegatos; </w:t>
      </w:r>
    </w:p>
    <w:p w14:paraId="393A09B3" w14:textId="77777777" w:rsidR="00BB096D" w:rsidRPr="00BB096D" w:rsidRDefault="004B4B78" w:rsidP="00BB096D">
      <w:pPr>
        <w:spacing w:after="0" w:line="276" w:lineRule="auto"/>
        <w:ind w:left="567" w:right="701"/>
        <w:jc w:val="both"/>
        <w:rPr>
          <w:rFonts w:ascii="Palatino Linotype" w:hAnsi="Palatino Linotype"/>
          <w:i/>
        </w:rPr>
      </w:pPr>
      <w:r w:rsidRPr="00BB096D">
        <w:rPr>
          <w:rFonts w:ascii="Palatino Linotype" w:hAnsi="Palatino Linotype"/>
          <w:i/>
        </w:rPr>
        <w:t xml:space="preserve">VI. Las razones legales o de equidad, la jurisprudencia y doctrina que les sirva de fundamento; y </w:t>
      </w:r>
    </w:p>
    <w:p w14:paraId="10ADC413" w14:textId="77777777" w:rsidR="00BB096D" w:rsidRDefault="004B4B78" w:rsidP="00BB096D">
      <w:pPr>
        <w:spacing w:after="0" w:line="276" w:lineRule="auto"/>
        <w:ind w:left="567" w:right="701"/>
        <w:jc w:val="both"/>
        <w:rPr>
          <w:rFonts w:ascii="Palatino Linotype" w:hAnsi="Palatino Linotype"/>
          <w:i/>
        </w:rPr>
      </w:pPr>
      <w:r w:rsidRPr="00BB096D">
        <w:rPr>
          <w:rFonts w:ascii="Palatino Linotype" w:hAnsi="Palatino Linotype"/>
          <w:i/>
        </w:rPr>
        <w:t xml:space="preserve">VII. Los puntos resolutivos. </w:t>
      </w:r>
    </w:p>
    <w:p w14:paraId="2B88C056" w14:textId="77777777" w:rsidR="00C8719C" w:rsidRPr="00BB096D" w:rsidRDefault="00C8719C" w:rsidP="00BB096D">
      <w:pPr>
        <w:spacing w:after="0" w:line="276" w:lineRule="auto"/>
        <w:ind w:left="567" w:right="701"/>
        <w:jc w:val="both"/>
        <w:rPr>
          <w:rFonts w:ascii="Palatino Linotype" w:hAnsi="Palatino Linotype"/>
          <w:i/>
        </w:rPr>
      </w:pPr>
    </w:p>
    <w:p w14:paraId="72C026F1" w14:textId="77777777" w:rsidR="00BB096D" w:rsidRDefault="004B4B78" w:rsidP="00BB096D">
      <w:pPr>
        <w:spacing w:after="0" w:line="276" w:lineRule="auto"/>
        <w:ind w:left="567" w:right="701"/>
        <w:jc w:val="both"/>
        <w:rPr>
          <w:rFonts w:ascii="Palatino Linotype" w:hAnsi="Palatino Linotype"/>
          <w:i/>
        </w:rPr>
      </w:pPr>
      <w:r w:rsidRPr="00C8719C">
        <w:rPr>
          <w:rFonts w:ascii="Palatino Linotype" w:hAnsi="Palatino Linotype"/>
          <w:b/>
          <w:i/>
        </w:rPr>
        <w:t xml:space="preserve"> Artículo 841.-</w:t>
      </w:r>
      <w:r w:rsidRPr="00BB096D">
        <w:rPr>
          <w:rFonts w:ascii="Palatino Linotype" w:hAnsi="Palatino Linotype"/>
          <w:i/>
        </w:rPr>
        <w:t xml:space="preserve"> Las sentencias se dictarán a verdad sabida y buena fe guardada, y apreciando los hechos en conciencia, sin necesidad de sujetarse a reglas o formulismos sobre estimación de las pruebas, pero los Tribunales están obligados a estudiar pormenorizadamente las rendidas, haciendo la valoración de las mismas. Asimismo, expresarán los motivos y fundamentos legales en que se apoyan. </w:t>
      </w:r>
    </w:p>
    <w:p w14:paraId="28601286" w14:textId="77777777" w:rsidR="00C8719C" w:rsidRPr="00C8719C" w:rsidRDefault="00C8719C" w:rsidP="00BB096D">
      <w:pPr>
        <w:spacing w:after="0" w:line="276" w:lineRule="auto"/>
        <w:ind w:left="567" w:right="701"/>
        <w:jc w:val="both"/>
        <w:rPr>
          <w:rFonts w:ascii="Palatino Linotype" w:hAnsi="Palatino Linotype"/>
          <w:b/>
          <w:i/>
        </w:rPr>
      </w:pPr>
    </w:p>
    <w:p w14:paraId="6F07630F" w14:textId="467C4496" w:rsidR="00BB096D" w:rsidRDefault="004B4B78" w:rsidP="00C8719C">
      <w:pPr>
        <w:spacing w:after="0" w:line="276" w:lineRule="auto"/>
        <w:ind w:left="567" w:right="701"/>
        <w:jc w:val="both"/>
        <w:rPr>
          <w:rFonts w:ascii="Palatino Linotype" w:hAnsi="Palatino Linotype"/>
          <w:i/>
        </w:rPr>
      </w:pPr>
      <w:r w:rsidRPr="00C8719C">
        <w:rPr>
          <w:rFonts w:ascii="Palatino Linotype" w:hAnsi="Palatino Linotype"/>
          <w:b/>
          <w:i/>
        </w:rPr>
        <w:t>Artículo 842.-</w:t>
      </w:r>
      <w:r w:rsidRPr="00BB096D">
        <w:rPr>
          <w:rFonts w:ascii="Palatino Linotype" w:hAnsi="Palatino Linotype"/>
          <w:i/>
        </w:rPr>
        <w:t xml:space="preserve"> Las sentencias deben ser claras, precisas y congruentes con la demanda, contestación, y demás pretensiones deducidas en el juicio oportunamente. </w:t>
      </w:r>
    </w:p>
    <w:p w14:paraId="08B364F7" w14:textId="77777777" w:rsidR="00C8719C" w:rsidRPr="00BB096D" w:rsidRDefault="00C8719C" w:rsidP="00C8719C">
      <w:pPr>
        <w:spacing w:after="0" w:line="276" w:lineRule="auto"/>
        <w:ind w:left="567" w:right="701"/>
        <w:jc w:val="both"/>
        <w:rPr>
          <w:rFonts w:ascii="Palatino Linotype" w:hAnsi="Palatino Linotype"/>
          <w:i/>
        </w:rPr>
      </w:pPr>
    </w:p>
    <w:p w14:paraId="2E4CD4AE" w14:textId="77777777" w:rsidR="00BB096D" w:rsidRDefault="004B4B78" w:rsidP="00BB096D">
      <w:pPr>
        <w:spacing w:after="0" w:line="276" w:lineRule="auto"/>
        <w:ind w:left="567" w:right="701"/>
        <w:jc w:val="both"/>
        <w:rPr>
          <w:rFonts w:ascii="Palatino Linotype" w:hAnsi="Palatino Linotype"/>
          <w:i/>
        </w:rPr>
      </w:pPr>
      <w:r w:rsidRPr="00C8719C">
        <w:rPr>
          <w:rFonts w:ascii="Palatino Linotype" w:hAnsi="Palatino Linotype"/>
          <w:b/>
          <w:i/>
        </w:rPr>
        <w:t>Artículo 843.-</w:t>
      </w:r>
      <w:r w:rsidRPr="00BB096D">
        <w:rPr>
          <w:rFonts w:ascii="Palatino Linotype" w:hAnsi="Palatino Linotype"/>
          <w:i/>
        </w:rPr>
        <w:t xml:space="preserve"> En las sentencias, cuando se trate de prestaciones económicas, se determinará el salario que sirva de base a la condena; cuantificándose el importe de la prestación se señalarán las medidas con arreglo a las cuales deberá cumplirse con la resolución. Sólo por excepción, podrá ordenarse que se abra incidente de liquidación. </w:t>
      </w:r>
    </w:p>
    <w:p w14:paraId="653519BE" w14:textId="77777777" w:rsidR="00C8719C" w:rsidRPr="00BB096D" w:rsidRDefault="00C8719C" w:rsidP="00BB096D">
      <w:pPr>
        <w:spacing w:after="0" w:line="276" w:lineRule="auto"/>
        <w:ind w:left="567" w:right="701"/>
        <w:jc w:val="both"/>
        <w:rPr>
          <w:rFonts w:ascii="Palatino Linotype" w:hAnsi="Palatino Linotype"/>
          <w:i/>
        </w:rPr>
      </w:pPr>
    </w:p>
    <w:p w14:paraId="680AE105" w14:textId="77777777" w:rsidR="00BB096D" w:rsidRDefault="004B4B78" w:rsidP="00BB096D">
      <w:pPr>
        <w:spacing w:after="0" w:line="276" w:lineRule="auto"/>
        <w:ind w:left="567" w:right="701"/>
        <w:jc w:val="both"/>
        <w:rPr>
          <w:rFonts w:ascii="Palatino Linotype" w:hAnsi="Palatino Linotype"/>
          <w:i/>
        </w:rPr>
      </w:pPr>
      <w:r w:rsidRPr="00C8719C">
        <w:rPr>
          <w:rFonts w:ascii="Palatino Linotype" w:hAnsi="Palatino Linotype"/>
          <w:b/>
          <w:i/>
        </w:rPr>
        <w:t>Artículo 844.-</w:t>
      </w:r>
      <w:r w:rsidRPr="00BB096D">
        <w:rPr>
          <w:rFonts w:ascii="Palatino Linotype" w:hAnsi="Palatino Linotype"/>
          <w:i/>
        </w:rPr>
        <w:t xml:space="preserve"> Cuando la condena sea de cantidad líquida, se establecerán en la propia sentencia, sin necesidad de incidente, las bases con arreglo a las cuales deberá cumplimentarse. </w:t>
      </w:r>
    </w:p>
    <w:p w14:paraId="412968D6" w14:textId="77777777" w:rsidR="00C8719C" w:rsidRPr="00BB096D" w:rsidRDefault="00C8719C" w:rsidP="00BB096D">
      <w:pPr>
        <w:spacing w:after="0" w:line="276" w:lineRule="auto"/>
        <w:ind w:left="567" w:right="701"/>
        <w:jc w:val="both"/>
        <w:rPr>
          <w:rFonts w:ascii="Palatino Linotype" w:hAnsi="Palatino Linotype"/>
          <w:i/>
        </w:rPr>
      </w:pPr>
    </w:p>
    <w:p w14:paraId="54E1243E" w14:textId="77777777" w:rsidR="00BB096D" w:rsidRDefault="004B4B78" w:rsidP="00BB096D">
      <w:pPr>
        <w:spacing w:after="0" w:line="276" w:lineRule="auto"/>
        <w:ind w:left="567" w:right="701"/>
        <w:jc w:val="both"/>
        <w:rPr>
          <w:rFonts w:ascii="Palatino Linotype" w:hAnsi="Palatino Linotype"/>
          <w:i/>
        </w:rPr>
      </w:pPr>
      <w:r w:rsidRPr="00C8719C">
        <w:rPr>
          <w:rFonts w:ascii="Palatino Linotype" w:hAnsi="Palatino Linotype"/>
          <w:b/>
          <w:i/>
        </w:rPr>
        <w:t>Artículo 845.-</w:t>
      </w:r>
      <w:r w:rsidRPr="00BB096D">
        <w:rPr>
          <w:rFonts w:ascii="Palatino Linotype" w:hAnsi="Palatino Linotype"/>
          <w:i/>
        </w:rPr>
        <w:t xml:space="preserve"> Se deroga</w:t>
      </w:r>
    </w:p>
    <w:p w14:paraId="6CA7B946" w14:textId="77777777" w:rsidR="00C8719C" w:rsidRPr="00BB096D" w:rsidRDefault="00C8719C" w:rsidP="00BB096D">
      <w:pPr>
        <w:spacing w:after="0" w:line="276" w:lineRule="auto"/>
        <w:ind w:left="567" w:right="701"/>
        <w:jc w:val="both"/>
        <w:rPr>
          <w:rFonts w:ascii="Palatino Linotype" w:hAnsi="Palatino Linotype"/>
          <w:i/>
        </w:rPr>
      </w:pPr>
    </w:p>
    <w:p w14:paraId="6CD7B6E8" w14:textId="77777777" w:rsidR="00BB096D" w:rsidRDefault="004B4B78" w:rsidP="00BB096D">
      <w:pPr>
        <w:spacing w:after="0" w:line="276" w:lineRule="auto"/>
        <w:ind w:left="567" w:right="701"/>
        <w:jc w:val="both"/>
        <w:rPr>
          <w:rFonts w:ascii="Palatino Linotype" w:hAnsi="Palatino Linotype"/>
          <w:i/>
        </w:rPr>
      </w:pPr>
      <w:r w:rsidRPr="00C8719C">
        <w:rPr>
          <w:rFonts w:ascii="Palatino Linotype" w:hAnsi="Palatino Linotype"/>
          <w:b/>
          <w:i/>
        </w:rPr>
        <w:t>Artículo 846.-</w:t>
      </w:r>
      <w:r w:rsidRPr="00BB096D">
        <w:rPr>
          <w:rFonts w:ascii="Palatino Linotype" w:hAnsi="Palatino Linotype"/>
          <w:i/>
        </w:rPr>
        <w:t xml:space="preserve"> Se deroga. </w:t>
      </w:r>
    </w:p>
    <w:p w14:paraId="797BA2F8" w14:textId="77777777" w:rsidR="00C8719C" w:rsidRPr="00BB096D" w:rsidRDefault="00C8719C" w:rsidP="00BB096D">
      <w:pPr>
        <w:spacing w:after="0" w:line="276" w:lineRule="auto"/>
        <w:ind w:left="567" w:right="701"/>
        <w:jc w:val="both"/>
        <w:rPr>
          <w:rFonts w:ascii="Palatino Linotype" w:hAnsi="Palatino Linotype"/>
          <w:i/>
        </w:rPr>
      </w:pPr>
    </w:p>
    <w:p w14:paraId="4199C2E6" w14:textId="77777777" w:rsidR="00BB096D" w:rsidRDefault="004B4B78" w:rsidP="00BB096D">
      <w:pPr>
        <w:spacing w:after="0" w:line="276" w:lineRule="auto"/>
        <w:ind w:left="567" w:right="701"/>
        <w:jc w:val="both"/>
        <w:rPr>
          <w:rFonts w:ascii="Palatino Linotype" w:hAnsi="Palatino Linotype"/>
          <w:i/>
        </w:rPr>
      </w:pPr>
      <w:r w:rsidRPr="00C8719C">
        <w:rPr>
          <w:rFonts w:ascii="Palatino Linotype" w:hAnsi="Palatino Linotype"/>
          <w:b/>
          <w:i/>
        </w:rPr>
        <w:t xml:space="preserve">Artículo </w:t>
      </w:r>
      <w:r w:rsidRPr="004F169A">
        <w:rPr>
          <w:rFonts w:ascii="Palatino Linotype" w:hAnsi="Palatino Linotype"/>
          <w:b/>
          <w:i/>
          <w:u w:val="single"/>
        </w:rPr>
        <w:t>847.- Una vez notificada la sentencia, cualquiera de las partes, dentro del término de tres días, podrá solicitar al Tribunal la aclaración de la resolución</w:t>
      </w:r>
      <w:r w:rsidRPr="00BB096D">
        <w:rPr>
          <w:rFonts w:ascii="Palatino Linotype" w:hAnsi="Palatino Linotype"/>
          <w:i/>
        </w:rPr>
        <w:t xml:space="preserve">, para corregir errores o precisar algún punto. El Tribunal dentro del mismo plazo resolverá, pero por ningún motivo podrá variarse el sentido de la resolución. El error de mención de fecha, nombre, denominación o de cálculo podrá aclararse de oficio. </w:t>
      </w:r>
    </w:p>
    <w:p w14:paraId="1727FDB5" w14:textId="77777777" w:rsidR="00C8719C" w:rsidRPr="00BB096D" w:rsidRDefault="00C8719C" w:rsidP="00BB096D">
      <w:pPr>
        <w:spacing w:after="0" w:line="276" w:lineRule="auto"/>
        <w:ind w:left="567" w:right="701"/>
        <w:jc w:val="both"/>
        <w:rPr>
          <w:rFonts w:ascii="Palatino Linotype" w:hAnsi="Palatino Linotype"/>
          <w:i/>
        </w:rPr>
      </w:pPr>
    </w:p>
    <w:p w14:paraId="39A43C00" w14:textId="47A15834" w:rsidR="004B4B78" w:rsidRPr="00BB096D" w:rsidRDefault="004B4B78" w:rsidP="00BB096D">
      <w:pPr>
        <w:spacing w:after="0" w:line="276" w:lineRule="auto"/>
        <w:ind w:left="567" w:right="701"/>
        <w:jc w:val="both"/>
        <w:rPr>
          <w:rFonts w:ascii="Palatino Linotype" w:eastAsia="Palatino Linotype" w:hAnsi="Palatino Linotype" w:cs="Palatino Linotype"/>
          <w:i/>
          <w:sz w:val="24"/>
          <w:szCs w:val="24"/>
        </w:rPr>
      </w:pPr>
      <w:r w:rsidRPr="00C8719C">
        <w:rPr>
          <w:rFonts w:ascii="Palatino Linotype" w:hAnsi="Palatino Linotype"/>
          <w:b/>
          <w:i/>
        </w:rPr>
        <w:t>Artículo 848.-</w:t>
      </w:r>
      <w:r w:rsidRPr="00BB096D">
        <w:rPr>
          <w:rFonts w:ascii="Palatino Linotype" w:hAnsi="Palatino Linotype"/>
          <w:i/>
        </w:rPr>
        <w:t xml:space="preserve"> </w:t>
      </w:r>
      <w:r w:rsidRPr="00C10F47">
        <w:rPr>
          <w:rFonts w:ascii="Palatino Linotype" w:hAnsi="Palatino Linotype"/>
          <w:b/>
          <w:i/>
          <w:u w:val="single"/>
        </w:rPr>
        <w:t>Los Tribunales no pueden revocar sus propias resoluciones salvo aquellas que se combatan a través del Recurso de Reconsideración que contempla esta Ley</w:t>
      </w:r>
      <w:r w:rsidRPr="00BB096D">
        <w:rPr>
          <w:rFonts w:ascii="Palatino Linotype" w:hAnsi="Palatino Linotype"/>
          <w:i/>
        </w:rPr>
        <w:t xml:space="preserve">. Las partes pueden exigir la responsabilidad en que incurran los miembros de los Tribunales. </w:t>
      </w:r>
    </w:p>
    <w:p w14:paraId="2316BA87" w14:textId="77777777" w:rsidR="00617D70" w:rsidRDefault="00617D70" w:rsidP="00BB096D">
      <w:pPr>
        <w:spacing w:after="0" w:line="360" w:lineRule="auto"/>
        <w:ind w:right="49"/>
        <w:jc w:val="both"/>
        <w:rPr>
          <w:rFonts w:ascii="Palatino Linotype" w:eastAsia="Palatino Linotype" w:hAnsi="Palatino Linotype" w:cs="Palatino Linotype"/>
          <w:sz w:val="24"/>
          <w:szCs w:val="24"/>
        </w:rPr>
      </w:pPr>
    </w:p>
    <w:p w14:paraId="09670576" w14:textId="77777777" w:rsidR="00DC1585" w:rsidRPr="00DC1585" w:rsidRDefault="00DC1585" w:rsidP="00DC1585">
      <w:pPr>
        <w:spacing w:after="0" w:line="360" w:lineRule="auto"/>
        <w:ind w:right="49"/>
        <w:jc w:val="both"/>
        <w:rPr>
          <w:rFonts w:ascii="Palatino Linotype" w:eastAsia="Palatino Linotype" w:hAnsi="Palatino Linotype" w:cs="Palatino Linotype"/>
          <w:sz w:val="24"/>
          <w:szCs w:val="24"/>
        </w:rPr>
      </w:pPr>
      <w:r w:rsidRPr="00DC1585">
        <w:rPr>
          <w:rFonts w:ascii="Palatino Linotype" w:eastAsia="Palatino Linotype" w:hAnsi="Palatino Linotype" w:cs="Palatino Linotype"/>
          <w:sz w:val="24"/>
          <w:szCs w:val="24"/>
        </w:rPr>
        <w:t xml:space="preserve">Hasta aquí se advierte lo siguiente: </w:t>
      </w:r>
    </w:p>
    <w:p w14:paraId="504928C7" w14:textId="77777777" w:rsidR="00DC1585" w:rsidRPr="00DC1585" w:rsidRDefault="00DC1585" w:rsidP="00DC1585">
      <w:pPr>
        <w:spacing w:after="0" w:line="360" w:lineRule="auto"/>
        <w:ind w:right="49"/>
        <w:jc w:val="both"/>
        <w:rPr>
          <w:rFonts w:ascii="Palatino Linotype" w:eastAsia="Palatino Linotype" w:hAnsi="Palatino Linotype" w:cs="Palatino Linotype"/>
          <w:sz w:val="24"/>
          <w:szCs w:val="24"/>
        </w:rPr>
      </w:pPr>
    </w:p>
    <w:p w14:paraId="0BB3158F" w14:textId="77777777" w:rsidR="004F169A" w:rsidRDefault="00DC1585" w:rsidP="00264AA6">
      <w:pPr>
        <w:pStyle w:val="Prrafodelista"/>
        <w:numPr>
          <w:ilvl w:val="0"/>
          <w:numId w:val="46"/>
        </w:numPr>
        <w:tabs>
          <w:tab w:val="left" w:pos="851"/>
        </w:tabs>
        <w:spacing w:after="0" w:line="360" w:lineRule="auto"/>
        <w:ind w:left="567" w:right="560" w:firstLine="0"/>
        <w:jc w:val="both"/>
        <w:rPr>
          <w:rFonts w:ascii="Palatino Linotype" w:eastAsia="Palatino Linotype" w:hAnsi="Palatino Linotype" w:cs="Palatino Linotype"/>
          <w:szCs w:val="24"/>
        </w:rPr>
      </w:pPr>
      <w:r w:rsidRPr="004F169A">
        <w:rPr>
          <w:rFonts w:ascii="Palatino Linotype" w:eastAsia="Palatino Linotype" w:hAnsi="Palatino Linotype" w:cs="Palatino Linotype"/>
          <w:szCs w:val="24"/>
        </w:rPr>
        <w:t xml:space="preserve">Los incidentes serán tramitados dentro del expediente principal donde se promueven. </w:t>
      </w:r>
    </w:p>
    <w:p w14:paraId="0F549F18" w14:textId="77777777" w:rsidR="004F169A" w:rsidRDefault="00DC1585" w:rsidP="00264AA6">
      <w:pPr>
        <w:pStyle w:val="Prrafodelista"/>
        <w:numPr>
          <w:ilvl w:val="0"/>
          <w:numId w:val="46"/>
        </w:numPr>
        <w:tabs>
          <w:tab w:val="left" w:pos="851"/>
        </w:tabs>
        <w:spacing w:after="0" w:line="360" w:lineRule="auto"/>
        <w:ind w:left="567" w:right="560" w:firstLine="0"/>
        <w:jc w:val="both"/>
        <w:rPr>
          <w:rFonts w:ascii="Palatino Linotype" w:eastAsia="Palatino Linotype" w:hAnsi="Palatino Linotype" w:cs="Palatino Linotype"/>
          <w:szCs w:val="24"/>
        </w:rPr>
      </w:pPr>
      <w:r w:rsidRPr="004F169A">
        <w:rPr>
          <w:rFonts w:ascii="Palatino Linotype" w:eastAsia="Palatino Linotype" w:hAnsi="Palatino Linotype" w:cs="Palatino Linotype"/>
          <w:szCs w:val="24"/>
        </w:rPr>
        <w:t xml:space="preserve">Los autos incidentales o resoluciones interlocutorias son resoluciones de los tribunales laborales. </w:t>
      </w:r>
    </w:p>
    <w:p w14:paraId="7225F52F" w14:textId="77777777" w:rsidR="004F169A" w:rsidRDefault="00DC1585" w:rsidP="00264AA6">
      <w:pPr>
        <w:pStyle w:val="Prrafodelista"/>
        <w:numPr>
          <w:ilvl w:val="0"/>
          <w:numId w:val="46"/>
        </w:numPr>
        <w:tabs>
          <w:tab w:val="left" w:pos="851"/>
        </w:tabs>
        <w:spacing w:after="0" w:line="360" w:lineRule="auto"/>
        <w:ind w:left="567" w:right="560" w:firstLine="0"/>
        <w:jc w:val="both"/>
        <w:rPr>
          <w:rFonts w:ascii="Palatino Linotype" w:eastAsia="Palatino Linotype" w:hAnsi="Palatino Linotype" w:cs="Palatino Linotype"/>
          <w:szCs w:val="24"/>
        </w:rPr>
      </w:pPr>
      <w:r w:rsidRPr="004F169A">
        <w:rPr>
          <w:rFonts w:ascii="Palatino Linotype" w:eastAsia="Palatino Linotype" w:hAnsi="Palatino Linotype" w:cs="Palatino Linotype"/>
          <w:szCs w:val="24"/>
        </w:rPr>
        <w:t>El Tribunal dictará sus resoluciones en el acto en que concluya la diligencia respectiva.</w:t>
      </w:r>
    </w:p>
    <w:p w14:paraId="310CDE8C" w14:textId="353BFAAB" w:rsidR="004F169A" w:rsidRPr="004F169A" w:rsidRDefault="00DC1585" w:rsidP="00264AA6">
      <w:pPr>
        <w:pStyle w:val="Prrafodelista"/>
        <w:numPr>
          <w:ilvl w:val="0"/>
          <w:numId w:val="46"/>
        </w:numPr>
        <w:tabs>
          <w:tab w:val="left" w:pos="851"/>
        </w:tabs>
        <w:spacing w:after="0" w:line="360" w:lineRule="auto"/>
        <w:ind w:left="567" w:right="560" w:firstLine="0"/>
        <w:jc w:val="both"/>
        <w:rPr>
          <w:rFonts w:ascii="Palatino Linotype" w:eastAsia="Palatino Linotype" w:hAnsi="Palatino Linotype" w:cs="Palatino Linotype"/>
          <w:szCs w:val="24"/>
        </w:rPr>
      </w:pPr>
      <w:r w:rsidRPr="004F169A">
        <w:rPr>
          <w:rFonts w:ascii="Palatino Linotype" w:eastAsia="Palatino Linotype" w:hAnsi="Palatino Linotype" w:cs="Palatino Linotype"/>
          <w:szCs w:val="24"/>
        </w:rPr>
        <w:t>Una vez notificada la sentencia, las partes podrán solicitar la aclaración de la resolución.</w:t>
      </w:r>
    </w:p>
    <w:p w14:paraId="213D52F3" w14:textId="6A4F1037" w:rsidR="004F169A" w:rsidRDefault="00264AA6" w:rsidP="00264AA6">
      <w:pPr>
        <w:pStyle w:val="Prrafodelista"/>
        <w:numPr>
          <w:ilvl w:val="0"/>
          <w:numId w:val="33"/>
        </w:numPr>
        <w:tabs>
          <w:tab w:val="left" w:pos="851"/>
        </w:tabs>
        <w:spacing w:after="0" w:line="360" w:lineRule="auto"/>
        <w:ind w:left="567" w:right="560" w:firstLine="0"/>
        <w:jc w:val="both"/>
        <w:rPr>
          <w:rFonts w:ascii="Palatino Linotype" w:eastAsia="Palatino Linotype" w:hAnsi="Palatino Linotype" w:cs="Palatino Linotype"/>
          <w:szCs w:val="24"/>
        </w:rPr>
      </w:pPr>
      <w:r>
        <w:rPr>
          <w:rFonts w:ascii="Palatino Linotype" w:eastAsia="Palatino Linotype" w:hAnsi="Palatino Linotype" w:cs="Palatino Linotype"/>
          <w:szCs w:val="24"/>
        </w:rPr>
        <w:t xml:space="preserve">Del análisis al artículo 848 de la Ley Federal del Trabajo, se advierte que la figura de la revocación, debido a que señala, que si bien, los Tribunales no pueden revocar sus propias resoluciones, se entiende que existe otra instancia que si pudiera hacerlo. </w:t>
      </w:r>
    </w:p>
    <w:p w14:paraId="762E1047" w14:textId="1125EBEA" w:rsidR="00264AA6" w:rsidRDefault="00264AA6" w:rsidP="00264AA6">
      <w:pPr>
        <w:pStyle w:val="Prrafodelista"/>
        <w:numPr>
          <w:ilvl w:val="0"/>
          <w:numId w:val="33"/>
        </w:numPr>
        <w:tabs>
          <w:tab w:val="left" w:pos="851"/>
        </w:tabs>
        <w:spacing w:after="0" w:line="360" w:lineRule="auto"/>
        <w:ind w:left="567" w:right="560" w:firstLine="0"/>
        <w:jc w:val="both"/>
        <w:rPr>
          <w:rFonts w:ascii="Palatino Linotype" w:eastAsia="Palatino Linotype" w:hAnsi="Palatino Linotype" w:cs="Palatino Linotype"/>
          <w:szCs w:val="24"/>
        </w:rPr>
      </w:pPr>
      <w:r>
        <w:rPr>
          <w:rFonts w:ascii="Palatino Linotype" w:eastAsia="Palatino Linotype" w:hAnsi="Palatino Linotype" w:cs="Palatino Linotype"/>
          <w:szCs w:val="24"/>
        </w:rPr>
        <w:t xml:space="preserve">Asimismo, se advierte la existencia de un recurso de reconsideración. </w:t>
      </w:r>
    </w:p>
    <w:p w14:paraId="75A9E0E7" w14:textId="7DBE661E" w:rsidR="00264AA6" w:rsidRPr="00264AA6" w:rsidRDefault="00264AA6" w:rsidP="00264AA6">
      <w:pPr>
        <w:pStyle w:val="Prrafodelista"/>
        <w:numPr>
          <w:ilvl w:val="0"/>
          <w:numId w:val="33"/>
        </w:numPr>
        <w:tabs>
          <w:tab w:val="left" w:pos="851"/>
        </w:tabs>
        <w:spacing w:after="0" w:line="360" w:lineRule="auto"/>
        <w:ind w:left="567" w:right="560" w:firstLine="0"/>
        <w:jc w:val="both"/>
        <w:rPr>
          <w:rFonts w:ascii="Palatino Linotype" w:eastAsia="Palatino Linotype" w:hAnsi="Palatino Linotype" w:cs="Palatino Linotype"/>
          <w:b/>
          <w:szCs w:val="24"/>
          <w:u w:val="single"/>
        </w:rPr>
      </w:pPr>
      <w:r w:rsidRPr="00264AA6">
        <w:rPr>
          <w:rFonts w:ascii="Palatino Linotype" w:eastAsia="Palatino Linotype" w:hAnsi="Palatino Linotype" w:cs="Palatino Linotype"/>
          <w:b/>
          <w:szCs w:val="24"/>
          <w:u w:val="single"/>
        </w:rPr>
        <w:lastRenderedPageBreak/>
        <w:t xml:space="preserve">Por lo que, se considera que la resolución interlocutoria, admite recurso posterior a su emisión. </w:t>
      </w:r>
    </w:p>
    <w:p w14:paraId="76809E5C" w14:textId="77777777" w:rsidR="00617D70" w:rsidRDefault="00617D70" w:rsidP="00617D70">
      <w:pPr>
        <w:spacing w:after="0" w:line="360" w:lineRule="auto"/>
        <w:ind w:right="49"/>
        <w:jc w:val="both"/>
        <w:rPr>
          <w:rFonts w:ascii="Palatino Linotype" w:eastAsia="Palatino Linotype" w:hAnsi="Palatino Linotype" w:cs="Palatino Linotype"/>
          <w:sz w:val="24"/>
          <w:szCs w:val="24"/>
        </w:rPr>
      </w:pPr>
    </w:p>
    <w:p w14:paraId="3E92F50D" w14:textId="4F1956C9" w:rsidR="00C10F47" w:rsidRDefault="00C10F47" w:rsidP="00C10F47">
      <w:pPr>
        <w:spacing w:after="0" w:line="360" w:lineRule="auto"/>
        <w:ind w:right="49"/>
        <w:jc w:val="both"/>
        <w:rPr>
          <w:rFonts w:ascii="Palatino Linotype" w:eastAsia="Times New Roman" w:hAnsi="Palatino Linotype" w:cs="Palatino Linotype"/>
          <w:b/>
          <w:color w:val="0D0D0D"/>
          <w:sz w:val="24"/>
          <w:szCs w:val="24"/>
          <w:u w:val="single"/>
          <w:lang w:eastAsia="es-ES"/>
        </w:rPr>
      </w:pPr>
      <w:r>
        <w:rPr>
          <w:rFonts w:ascii="Palatino Linotype" w:eastAsia="Palatino Linotype" w:hAnsi="Palatino Linotype" w:cs="Palatino Linotype"/>
          <w:sz w:val="24"/>
          <w:szCs w:val="24"/>
        </w:rPr>
        <w:t xml:space="preserve">Por otro lado, es importante mencionar que, de conformidad con lo que se establece en el artículo </w:t>
      </w:r>
      <w:r w:rsidRPr="00C10F47">
        <w:rPr>
          <w:rFonts w:ascii="Palatino Linotype" w:eastAsia="Times New Roman" w:hAnsi="Palatino Linotype" w:cs="Palatino Linotype"/>
          <w:color w:val="0D0D0D"/>
          <w:sz w:val="24"/>
          <w:szCs w:val="24"/>
          <w:lang w:eastAsia="es-ES"/>
        </w:rPr>
        <w:t xml:space="preserve">140, fracción VIII, de la Ley de Transparencia y Acceso a la Información Pública del Estado de México y Municipios (homólogo al 113, fracción XI, de la Ley General de Transparencia y Acceso a la Información Pública), </w:t>
      </w:r>
      <w:r w:rsidRPr="00C10F47">
        <w:rPr>
          <w:rFonts w:ascii="Palatino Linotype" w:eastAsia="Times New Roman" w:hAnsi="Palatino Linotype" w:cs="Palatino Linotype"/>
          <w:b/>
          <w:color w:val="0D0D0D"/>
          <w:sz w:val="24"/>
          <w:szCs w:val="24"/>
          <w:u w:val="single"/>
          <w:lang w:eastAsia="es-ES"/>
        </w:rPr>
        <w:t>será información reservada, aquella que vulnere la conducción de los expedientes judiciales o de los procedimientos administrativos seguidos en forma de juicio, en tanto no hayan causado estado.</w:t>
      </w:r>
    </w:p>
    <w:p w14:paraId="6C0EC641" w14:textId="77777777" w:rsidR="0035795C" w:rsidRPr="00C10F47" w:rsidRDefault="0035795C" w:rsidP="00C10F47">
      <w:pPr>
        <w:spacing w:after="0" w:line="360" w:lineRule="auto"/>
        <w:ind w:right="49"/>
        <w:jc w:val="both"/>
        <w:rPr>
          <w:rFonts w:ascii="Palatino Linotype" w:eastAsia="Palatino Linotype" w:hAnsi="Palatino Linotype" w:cs="Palatino Linotype"/>
          <w:sz w:val="24"/>
          <w:szCs w:val="24"/>
        </w:rPr>
      </w:pPr>
    </w:p>
    <w:p w14:paraId="25DFD825" w14:textId="0781596D" w:rsidR="0035795C" w:rsidRPr="0035795C" w:rsidRDefault="0035795C" w:rsidP="0035795C">
      <w:pPr>
        <w:spacing w:after="0" w:line="360" w:lineRule="auto"/>
        <w:jc w:val="both"/>
        <w:rPr>
          <w:rFonts w:ascii="Palatino Linotype" w:eastAsia="Times New Roman" w:hAnsi="Palatino Linotype" w:cs="Palatino Linotype"/>
          <w:color w:val="0D0D0D"/>
          <w:sz w:val="24"/>
          <w:szCs w:val="24"/>
          <w:lang w:eastAsia="es-ES"/>
        </w:rPr>
      </w:pPr>
      <w:r w:rsidRPr="0035795C">
        <w:rPr>
          <w:rFonts w:ascii="Palatino Linotype" w:eastAsia="Times New Roman" w:hAnsi="Palatino Linotype" w:cs="Palatino Linotype"/>
          <w:color w:val="0D0D0D"/>
          <w:sz w:val="24"/>
          <w:szCs w:val="24"/>
          <w:lang w:eastAsia="es-ES"/>
        </w:rPr>
        <w:t>En ese sentido, los Lineamientos Generales prevé</w:t>
      </w:r>
      <w:r>
        <w:rPr>
          <w:rFonts w:ascii="Palatino Linotype" w:eastAsia="Times New Roman" w:hAnsi="Palatino Linotype" w:cs="Palatino Linotype"/>
          <w:color w:val="0D0D0D"/>
          <w:sz w:val="24"/>
          <w:szCs w:val="24"/>
          <w:lang w:eastAsia="es-ES"/>
        </w:rPr>
        <w:t>n</w:t>
      </w:r>
      <w:r w:rsidRPr="0035795C">
        <w:rPr>
          <w:rFonts w:ascii="Palatino Linotype" w:eastAsia="Times New Roman" w:hAnsi="Palatino Linotype" w:cs="Palatino Linotype"/>
          <w:color w:val="0D0D0D"/>
          <w:sz w:val="24"/>
          <w:szCs w:val="24"/>
          <w:lang w:eastAsia="es-ES"/>
        </w:rPr>
        <w:t xml:space="preserve"> lo siguiente:</w:t>
      </w:r>
    </w:p>
    <w:p w14:paraId="1773D737" w14:textId="77777777" w:rsidR="0035795C" w:rsidRPr="0035795C" w:rsidRDefault="0035795C" w:rsidP="0035795C">
      <w:pPr>
        <w:spacing w:after="0" w:line="360" w:lineRule="auto"/>
        <w:jc w:val="both"/>
        <w:rPr>
          <w:rFonts w:ascii="Palatino Linotype" w:eastAsia="Times New Roman" w:hAnsi="Palatino Linotype" w:cs="Palatino Linotype"/>
          <w:color w:val="0D0D0D"/>
          <w:sz w:val="24"/>
          <w:szCs w:val="24"/>
          <w:lang w:eastAsia="es-ES"/>
        </w:rPr>
      </w:pPr>
    </w:p>
    <w:p w14:paraId="52140F4D" w14:textId="77777777" w:rsidR="0035795C" w:rsidRPr="0035795C" w:rsidRDefault="0035795C" w:rsidP="0035795C">
      <w:pPr>
        <w:spacing w:after="0" w:line="276" w:lineRule="auto"/>
        <w:ind w:left="567" w:right="567"/>
        <w:jc w:val="both"/>
        <w:rPr>
          <w:rFonts w:ascii="Palatino Linotype" w:eastAsia="Times New Roman" w:hAnsi="Palatino Linotype" w:cs="Palatino Linotype"/>
          <w:i/>
          <w:color w:val="0D0D0D"/>
          <w:lang w:eastAsia="es-ES"/>
        </w:rPr>
      </w:pPr>
      <w:r w:rsidRPr="0035795C">
        <w:rPr>
          <w:rFonts w:ascii="Palatino Linotype" w:eastAsia="Times New Roman" w:hAnsi="Palatino Linotype" w:cs="Palatino Linotype"/>
          <w:b/>
          <w:i/>
          <w:color w:val="0D0D0D"/>
          <w:lang w:eastAsia="es-ES"/>
        </w:rPr>
        <w:t>“Trigésimo.</w:t>
      </w:r>
      <w:r w:rsidRPr="0035795C">
        <w:rPr>
          <w:rFonts w:ascii="Palatino Linotype" w:eastAsia="Times New Roman" w:hAnsi="Palatino Linotype" w:cs="Palatino Linotype"/>
          <w:i/>
          <w:color w:val="0D0D0D"/>
          <w:lang w:eastAsia="es-ES"/>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669BF142" w14:textId="77777777" w:rsidR="0035795C" w:rsidRPr="0035795C" w:rsidRDefault="0035795C" w:rsidP="0035795C">
      <w:pPr>
        <w:spacing w:after="0" w:line="276" w:lineRule="auto"/>
        <w:ind w:left="567" w:right="567"/>
        <w:jc w:val="both"/>
        <w:rPr>
          <w:rFonts w:ascii="Palatino Linotype" w:eastAsia="Times New Roman" w:hAnsi="Palatino Linotype" w:cs="Palatino Linotype"/>
          <w:b/>
          <w:i/>
          <w:color w:val="0D0D0D"/>
          <w:lang w:eastAsia="es-ES"/>
        </w:rPr>
      </w:pPr>
      <w:r w:rsidRPr="0035795C">
        <w:rPr>
          <w:rFonts w:ascii="Palatino Linotype" w:eastAsia="Times New Roman" w:hAnsi="Palatino Linotype" w:cs="Palatino Linotype"/>
          <w:b/>
          <w:i/>
          <w:color w:val="0D0D0D"/>
          <w:lang w:eastAsia="es-ES"/>
        </w:rPr>
        <w:t xml:space="preserve">I. La existencia de un juicio o procedimiento administrativo materialmente jurisdiccional, que se encuentre en trámite, y </w:t>
      </w:r>
    </w:p>
    <w:p w14:paraId="580FC997" w14:textId="085062B9" w:rsidR="0035795C" w:rsidRPr="0035795C" w:rsidRDefault="0035795C" w:rsidP="0035795C">
      <w:pPr>
        <w:spacing w:after="0" w:line="276" w:lineRule="auto"/>
        <w:ind w:left="567" w:right="567"/>
        <w:jc w:val="both"/>
        <w:rPr>
          <w:rFonts w:ascii="Palatino Linotype" w:eastAsia="Times New Roman" w:hAnsi="Palatino Linotype" w:cs="Palatino Linotype"/>
          <w:i/>
          <w:color w:val="0D0D0D"/>
          <w:lang w:eastAsia="es-ES"/>
        </w:rPr>
      </w:pPr>
      <w:r w:rsidRPr="0035795C">
        <w:rPr>
          <w:rFonts w:ascii="Palatino Linotype" w:eastAsia="Times New Roman" w:hAnsi="Palatino Linotype" w:cs="Palatino Linotype"/>
          <w:b/>
          <w:i/>
          <w:color w:val="0D0D0D"/>
          <w:lang w:eastAsia="es-ES"/>
        </w:rPr>
        <w:t>II.</w:t>
      </w:r>
      <w:r w:rsidRPr="0035795C">
        <w:rPr>
          <w:rFonts w:ascii="Palatino Linotype" w:eastAsia="Times New Roman" w:hAnsi="Palatino Linotype" w:cs="Palatino Linotype"/>
          <w:i/>
          <w:color w:val="0D0D0D"/>
          <w:lang w:eastAsia="es-ES"/>
        </w:rPr>
        <w:t xml:space="preserve"> Que la información solicitada se refiera a actuaciones, diligencias o constancias propias del procedimiento. </w:t>
      </w:r>
    </w:p>
    <w:p w14:paraId="70B5853D" w14:textId="77777777" w:rsidR="0035795C" w:rsidRPr="0035795C" w:rsidRDefault="0035795C" w:rsidP="0035795C">
      <w:pPr>
        <w:spacing w:after="0" w:line="276" w:lineRule="auto"/>
        <w:ind w:left="567" w:right="567"/>
        <w:jc w:val="both"/>
        <w:rPr>
          <w:rFonts w:ascii="Palatino Linotype" w:eastAsia="Times New Roman" w:hAnsi="Palatino Linotype" w:cs="Palatino Linotype"/>
          <w:i/>
          <w:color w:val="0D0D0D"/>
          <w:lang w:eastAsia="es-ES"/>
        </w:rPr>
      </w:pPr>
      <w:r w:rsidRPr="0035795C">
        <w:rPr>
          <w:rFonts w:ascii="Palatino Linotype" w:eastAsia="Times New Roman" w:hAnsi="Palatino Linotype" w:cs="Palatino Linotype"/>
          <w:i/>
          <w:color w:val="0D0D0D"/>
          <w:lang w:eastAsia="es-ES"/>
        </w:rPr>
        <w:t xml:space="preserve">Para los efectos del primer párrafo de este numeral, se considera procedimiento seguido en forma de juicio a aquel formalmente administrativo, pero materialmente jurisdiccional; esto es, en el que concurran los siguientes elementos: </w:t>
      </w:r>
    </w:p>
    <w:p w14:paraId="7EC557C3" w14:textId="77777777" w:rsidR="0035795C" w:rsidRPr="0035795C" w:rsidRDefault="0035795C" w:rsidP="0035795C">
      <w:pPr>
        <w:spacing w:after="0" w:line="276" w:lineRule="auto"/>
        <w:ind w:left="567" w:right="567"/>
        <w:jc w:val="both"/>
        <w:rPr>
          <w:rFonts w:ascii="Palatino Linotype" w:eastAsia="Times New Roman" w:hAnsi="Palatino Linotype" w:cs="Palatino Linotype"/>
          <w:i/>
          <w:color w:val="0D0D0D"/>
          <w:lang w:eastAsia="es-ES"/>
        </w:rPr>
      </w:pPr>
      <w:r w:rsidRPr="0035795C">
        <w:rPr>
          <w:rFonts w:ascii="Palatino Linotype" w:eastAsia="Times New Roman" w:hAnsi="Palatino Linotype" w:cs="Palatino Linotype"/>
          <w:b/>
          <w:i/>
          <w:color w:val="0D0D0D"/>
          <w:lang w:eastAsia="es-ES"/>
        </w:rPr>
        <w:t>1.</w:t>
      </w:r>
      <w:r w:rsidRPr="0035795C">
        <w:rPr>
          <w:rFonts w:ascii="Palatino Linotype" w:eastAsia="Times New Roman" w:hAnsi="Palatino Linotype" w:cs="Palatino Linotype"/>
          <w:i/>
          <w:color w:val="0D0D0D"/>
          <w:lang w:eastAsia="es-ES"/>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73C4D58A" w14:textId="77777777" w:rsidR="0035795C" w:rsidRPr="0035795C" w:rsidRDefault="0035795C" w:rsidP="0035795C">
      <w:pPr>
        <w:spacing w:after="0" w:line="276" w:lineRule="auto"/>
        <w:ind w:left="567" w:right="567"/>
        <w:jc w:val="both"/>
        <w:rPr>
          <w:rFonts w:ascii="Palatino Linotype" w:eastAsia="Times New Roman" w:hAnsi="Palatino Linotype" w:cs="Palatino Linotype"/>
          <w:i/>
          <w:color w:val="0D0D0D"/>
          <w:lang w:eastAsia="es-ES"/>
        </w:rPr>
      </w:pPr>
      <w:r w:rsidRPr="0035795C">
        <w:rPr>
          <w:rFonts w:ascii="Palatino Linotype" w:eastAsia="Times New Roman" w:hAnsi="Palatino Linotype" w:cs="Palatino Linotype"/>
          <w:b/>
          <w:i/>
          <w:color w:val="0D0D0D"/>
          <w:lang w:eastAsia="es-ES"/>
        </w:rPr>
        <w:lastRenderedPageBreak/>
        <w:t>2.</w:t>
      </w:r>
      <w:r w:rsidRPr="0035795C">
        <w:rPr>
          <w:rFonts w:ascii="Palatino Linotype" w:eastAsia="Times New Roman" w:hAnsi="Palatino Linotype" w:cs="Palatino Linotype"/>
          <w:i/>
          <w:color w:val="0D0D0D"/>
          <w:lang w:eastAsia="es-ES"/>
        </w:rPr>
        <w:t xml:space="preserve"> Que se cumplan las formalidades esenciales del procedimiento. </w:t>
      </w:r>
    </w:p>
    <w:p w14:paraId="6140F928" w14:textId="77777777" w:rsidR="0035795C" w:rsidRPr="0035795C" w:rsidRDefault="0035795C" w:rsidP="0035795C">
      <w:pPr>
        <w:spacing w:after="0" w:line="276" w:lineRule="auto"/>
        <w:ind w:left="567" w:right="567"/>
        <w:jc w:val="both"/>
        <w:rPr>
          <w:rFonts w:ascii="Palatino Linotype" w:eastAsia="Times New Roman" w:hAnsi="Palatino Linotype" w:cs="Palatino Linotype"/>
          <w:i/>
          <w:color w:val="0D0D0D"/>
          <w:lang w:eastAsia="es-ES"/>
        </w:rPr>
      </w:pPr>
      <w:r w:rsidRPr="0035795C">
        <w:rPr>
          <w:rFonts w:ascii="Palatino Linotype" w:eastAsia="Times New Roman" w:hAnsi="Palatino Linotype" w:cs="Palatino Linotype"/>
          <w:i/>
          <w:color w:val="0D0D0D"/>
          <w:lang w:eastAsia="es-ES"/>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14A34E46" w14:textId="77777777" w:rsidR="0035795C" w:rsidRPr="0035795C" w:rsidRDefault="0035795C" w:rsidP="0035795C">
      <w:pPr>
        <w:spacing w:after="0" w:line="360" w:lineRule="auto"/>
        <w:jc w:val="both"/>
        <w:rPr>
          <w:rFonts w:ascii="Palatino Linotype" w:eastAsia="Times New Roman" w:hAnsi="Palatino Linotype" w:cs="Palatino Linotype"/>
          <w:color w:val="0D0D0D"/>
          <w:sz w:val="24"/>
          <w:szCs w:val="24"/>
          <w:lang w:eastAsia="es-ES"/>
        </w:rPr>
      </w:pPr>
    </w:p>
    <w:p w14:paraId="5B71F25A" w14:textId="3CA4A60C" w:rsidR="0035795C" w:rsidRDefault="0035795C" w:rsidP="0035795C">
      <w:pPr>
        <w:spacing w:after="0" w:line="360" w:lineRule="auto"/>
        <w:jc w:val="both"/>
        <w:rPr>
          <w:rFonts w:ascii="Palatino Linotype" w:eastAsia="Times New Roman" w:hAnsi="Palatino Linotype" w:cs="Palatino Linotype"/>
          <w:color w:val="0D0D0D"/>
          <w:sz w:val="24"/>
          <w:szCs w:val="24"/>
          <w:lang w:eastAsia="es-ES"/>
        </w:rPr>
      </w:pPr>
      <w:r w:rsidRPr="0035795C">
        <w:rPr>
          <w:rFonts w:ascii="Palatino Linotype" w:eastAsia="Times New Roman" w:hAnsi="Palatino Linotype" w:cs="Palatino Linotype"/>
          <w:color w:val="0D0D0D"/>
          <w:sz w:val="24"/>
          <w:szCs w:val="24"/>
          <w:lang w:eastAsia="es-ES"/>
        </w:rPr>
        <w:t xml:space="preserve">De la normatividad citada, se desprende que </w:t>
      </w:r>
      <w:r>
        <w:rPr>
          <w:rFonts w:ascii="Palatino Linotype" w:eastAsia="Times New Roman" w:hAnsi="Palatino Linotype" w:cs="Palatino Linotype"/>
          <w:color w:val="0D0D0D"/>
          <w:sz w:val="24"/>
          <w:szCs w:val="24"/>
          <w:lang w:eastAsia="es-ES"/>
        </w:rPr>
        <w:t xml:space="preserve">cuando un procedimiento se encuentre en trámite y, por </w:t>
      </w:r>
      <w:proofErr w:type="gramStart"/>
      <w:r>
        <w:rPr>
          <w:rFonts w:ascii="Palatino Linotype" w:eastAsia="Times New Roman" w:hAnsi="Palatino Linotype" w:cs="Palatino Linotype"/>
          <w:color w:val="0D0D0D"/>
          <w:sz w:val="24"/>
          <w:szCs w:val="24"/>
          <w:lang w:eastAsia="es-ES"/>
        </w:rPr>
        <w:t>ende</w:t>
      </w:r>
      <w:proofErr w:type="gramEnd"/>
      <w:r>
        <w:rPr>
          <w:rFonts w:ascii="Palatino Linotype" w:eastAsia="Times New Roman" w:hAnsi="Palatino Linotype" w:cs="Palatino Linotype"/>
          <w:color w:val="0D0D0D"/>
          <w:sz w:val="24"/>
          <w:szCs w:val="24"/>
          <w:lang w:eastAsia="es-ES"/>
        </w:rPr>
        <w:t xml:space="preserve"> no haya causado estado, es información susceptible de ser clasificada como reservada, en términos de la fracción VIII del artículo 140 de la Ley de Transparencia y Acceso a la Información Pública del Estado de México y Municipios. </w:t>
      </w:r>
    </w:p>
    <w:p w14:paraId="1382F387" w14:textId="77777777" w:rsidR="0035795C" w:rsidRDefault="0035795C" w:rsidP="0035795C">
      <w:pPr>
        <w:spacing w:after="0" w:line="360" w:lineRule="auto"/>
        <w:jc w:val="both"/>
        <w:rPr>
          <w:rFonts w:ascii="Palatino Linotype" w:eastAsia="Times New Roman" w:hAnsi="Palatino Linotype" w:cs="Palatino Linotype"/>
          <w:color w:val="0D0D0D"/>
          <w:sz w:val="24"/>
          <w:szCs w:val="24"/>
          <w:lang w:eastAsia="es-ES"/>
        </w:rPr>
      </w:pPr>
    </w:p>
    <w:p w14:paraId="740F53A0" w14:textId="77777777" w:rsidR="0035795C" w:rsidRPr="0035795C" w:rsidRDefault="0035795C" w:rsidP="0035795C">
      <w:pPr>
        <w:spacing w:after="0" w:line="360" w:lineRule="auto"/>
        <w:jc w:val="both"/>
        <w:rPr>
          <w:rFonts w:ascii="Palatino Linotype" w:eastAsia="Times New Roman" w:hAnsi="Palatino Linotype" w:cs="Palatino Linotype"/>
          <w:b/>
          <w:color w:val="0D0D0D"/>
          <w:sz w:val="24"/>
          <w:szCs w:val="24"/>
          <w:lang w:eastAsia="es-ES"/>
        </w:rPr>
      </w:pPr>
      <w:r w:rsidRPr="0035795C">
        <w:rPr>
          <w:rFonts w:ascii="Palatino Linotype" w:eastAsia="Times New Roman" w:hAnsi="Palatino Linotype" w:cs="Palatino Linotype"/>
          <w:color w:val="0D0D0D"/>
          <w:sz w:val="24"/>
          <w:szCs w:val="24"/>
          <w:lang w:eastAsia="es-ES"/>
        </w:rPr>
        <w:t xml:space="preserve">Al respecto, cabe precisar, que conforme al artículo 20 de la Ley de Transparencia y Acceso a la Información Pública del Estado de México y Municipios, </w:t>
      </w:r>
      <w:r w:rsidRPr="0035795C">
        <w:rPr>
          <w:rFonts w:ascii="Palatino Linotype" w:eastAsia="Times New Roman" w:hAnsi="Palatino Linotype" w:cs="Palatino Linotype"/>
          <w:b/>
          <w:color w:val="0D0D0D"/>
          <w:sz w:val="24"/>
          <w:szCs w:val="24"/>
          <w:lang w:eastAsia="es-ES"/>
        </w:rPr>
        <w:t>ante la negativa de acceso a la información o su inexistencia, el sujeto obligado deberá demostrar que encuentra en alguna de las excepciones establecidas en la normatividad aplicable.</w:t>
      </w:r>
    </w:p>
    <w:p w14:paraId="0B081C50" w14:textId="77777777" w:rsidR="0035795C" w:rsidRPr="0035795C" w:rsidRDefault="0035795C" w:rsidP="0035795C">
      <w:pPr>
        <w:spacing w:after="0" w:line="360" w:lineRule="auto"/>
        <w:jc w:val="both"/>
        <w:rPr>
          <w:rFonts w:ascii="Palatino Linotype" w:eastAsia="Times New Roman" w:hAnsi="Palatino Linotype" w:cs="Palatino Linotype"/>
          <w:color w:val="0D0D0D"/>
          <w:sz w:val="24"/>
          <w:szCs w:val="24"/>
          <w:lang w:eastAsia="es-ES"/>
        </w:rPr>
      </w:pPr>
    </w:p>
    <w:p w14:paraId="5132CDDA" w14:textId="77777777" w:rsidR="0035795C" w:rsidRPr="0035795C" w:rsidRDefault="0035795C" w:rsidP="0035795C">
      <w:pPr>
        <w:spacing w:after="0" w:line="360" w:lineRule="auto"/>
        <w:jc w:val="both"/>
        <w:rPr>
          <w:rFonts w:ascii="Palatino Linotype" w:eastAsia="Times New Roman" w:hAnsi="Palatino Linotype" w:cs="Palatino Linotype"/>
          <w:color w:val="0D0D0D"/>
          <w:sz w:val="24"/>
          <w:szCs w:val="24"/>
          <w:lang w:eastAsia="es-ES"/>
        </w:rPr>
      </w:pPr>
      <w:r w:rsidRPr="0035795C">
        <w:rPr>
          <w:rFonts w:ascii="Palatino Linotype" w:eastAsia="Times New Roman" w:hAnsi="Palatino Linotype" w:cs="Palatino Linotype"/>
          <w:color w:val="0D0D0D"/>
          <w:sz w:val="24"/>
          <w:szCs w:val="24"/>
          <w:lang w:eastAsia="es-ES"/>
        </w:rPr>
        <w:t xml:space="preserve">En ese sentido, según Trujillo, Humberto (2019), en el “Diccionario de Transparencia y Acceso a la Información Pública” (p. 201), </w:t>
      </w:r>
      <w:r w:rsidRPr="0035795C">
        <w:rPr>
          <w:rFonts w:ascii="Palatino Linotype" w:eastAsia="Times New Roman" w:hAnsi="Palatino Linotype" w:cs="Palatino Linotype"/>
          <w:b/>
          <w:color w:val="0D0D0D"/>
          <w:sz w:val="24"/>
          <w:szCs w:val="24"/>
          <w:lang w:eastAsia="es-ES"/>
        </w:rPr>
        <w:t xml:space="preserve">la negativa de acceso a la información </w:t>
      </w:r>
      <w:r w:rsidRPr="0035795C">
        <w:rPr>
          <w:rFonts w:ascii="Palatino Linotype" w:eastAsia="Times New Roman" w:hAnsi="Palatino Linotype" w:cs="Palatino Linotype"/>
          <w:color w:val="0D0D0D"/>
          <w:sz w:val="24"/>
          <w:szCs w:val="24"/>
          <w:lang w:eastAsia="es-ES"/>
        </w:rPr>
        <w:t xml:space="preserve">ocurre cuanto de manera fundada y motivada, una autoridad la niega o la limita, por alguna de las siguientes razones: </w:t>
      </w:r>
    </w:p>
    <w:p w14:paraId="25100528" w14:textId="77777777" w:rsidR="0035795C" w:rsidRPr="0035795C" w:rsidRDefault="0035795C" w:rsidP="0035795C">
      <w:pPr>
        <w:spacing w:after="0" w:line="360" w:lineRule="auto"/>
        <w:jc w:val="both"/>
        <w:rPr>
          <w:rFonts w:ascii="Palatino Linotype" w:eastAsia="Times New Roman" w:hAnsi="Palatino Linotype" w:cs="Palatino Linotype"/>
          <w:color w:val="0D0D0D"/>
          <w:sz w:val="24"/>
          <w:szCs w:val="24"/>
          <w:lang w:eastAsia="es-ES"/>
        </w:rPr>
      </w:pPr>
    </w:p>
    <w:p w14:paraId="72A284A7" w14:textId="77777777" w:rsidR="0035795C" w:rsidRPr="0035795C" w:rsidRDefault="0035795C" w:rsidP="0035795C">
      <w:pPr>
        <w:numPr>
          <w:ilvl w:val="0"/>
          <w:numId w:val="41"/>
        </w:numPr>
        <w:spacing w:after="0" w:line="360" w:lineRule="auto"/>
        <w:jc w:val="both"/>
        <w:rPr>
          <w:rFonts w:ascii="Palatino Linotype" w:eastAsia="Times New Roman" w:hAnsi="Palatino Linotype" w:cs="Palatino Linotype"/>
          <w:b/>
          <w:color w:val="0D0D0D"/>
          <w:lang w:eastAsia="es-ES"/>
        </w:rPr>
      </w:pPr>
      <w:r w:rsidRPr="0035795C">
        <w:rPr>
          <w:rFonts w:ascii="Palatino Linotype" w:eastAsia="Times New Roman" w:hAnsi="Palatino Linotype" w:cs="Palatino Linotype"/>
          <w:b/>
          <w:color w:val="0D0D0D"/>
          <w:lang w:eastAsia="es-ES"/>
        </w:rPr>
        <w:t xml:space="preserve">La inexistencia de la información (p. 171): </w:t>
      </w:r>
      <w:r w:rsidRPr="0035795C">
        <w:rPr>
          <w:rFonts w:ascii="Palatino Linotype" w:eastAsia="Times New Roman" w:hAnsi="Palatino Linotype" w:cs="Palatino Linotype"/>
          <w:color w:val="0D0D0D"/>
          <w:lang w:eastAsia="es-ES"/>
        </w:rPr>
        <w:t>Sucede cuando la información solicitada no se encuentra en los archivos públicos o clasificados de los entes sujetos a las Leyes de Transparencia.</w:t>
      </w:r>
    </w:p>
    <w:p w14:paraId="5FC7F28D" w14:textId="77777777" w:rsidR="0035795C" w:rsidRPr="0035795C" w:rsidRDefault="0035795C" w:rsidP="0035795C">
      <w:pPr>
        <w:numPr>
          <w:ilvl w:val="0"/>
          <w:numId w:val="41"/>
        </w:numPr>
        <w:spacing w:after="0" w:line="360" w:lineRule="auto"/>
        <w:jc w:val="both"/>
        <w:rPr>
          <w:rFonts w:ascii="Palatino Linotype" w:eastAsia="Times New Roman" w:hAnsi="Palatino Linotype" w:cs="Palatino Linotype"/>
          <w:b/>
          <w:color w:val="0D0D0D"/>
          <w:lang w:eastAsia="es-ES"/>
        </w:rPr>
      </w:pPr>
      <w:r w:rsidRPr="0035795C">
        <w:rPr>
          <w:rFonts w:ascii="Palatino Linotype" w:eastAsia="Times New Roman" w:hAnsi="Palatino Linotype" w:cs="Palatino Linotype"/>
          <w:b/>
          <w:color w:val="0D0D0D"/>
          <w:lang w:eastAsia="es-ES"/>
        </w:rPr>
        <w:lastRenderedPageBreak/>
        <w:t xml:space="preserve">La incompetencia del Sujeto Obligado (p. 171): </w:t>
      </w:r>
      <w:r w:rsidRPr="0035795C">
        <w:rPr>
          <w:rFonts w:ascii="Palatino Linotype" w:eastAsia="Times New Roman" w:hAnsi="Palatino Linotype" w:cs="Palatino Linotype"/>
          <w:color w:val="0D0D0D"/>
          <w:lang w:eastAsia="es-ES"/>
        </w:rPr>
        <w:t>Ocurre cuando el Sujeto Obligado carece de atribuciones para poseer la información peticionada.</w:t>
      </w:r>
    </w:p>
    <w:p w14:paraId="14B0FD0B" w14:textId="77777777" w:rsidR="0035795C" w:rsidRPr="0035795C" w:rsidRDefault="0035795C" w:rsidP="0035795C">
      <w:pPr>
        <w:numPr>
          <w:ilvl w:val="0"/>
          <w:numId w:val="41"/>
        </w:numPr>
        <w:spacing w:after="0" w:line="360" w:lineRule="auto"/>
        <w:jc w:val="both"/>
        <w:rPr>
          <w:rFonts w:ascii="Palatino Linotype" w:eastAsia="Times New Roman" w:hAnsi="Palatino Linotype" w:cs="Palatino Linotype"/>
          <w:b/>
          <w:color w:val="0D0D0D"/>
          <w:sz w:val="24"/>
          <w:szCs w:val="24"/>
          <w:lang w:eastAsia="es-ES"/>
        </w:rPr>
      </w:pPr>
      <w:r w:rsidRPr="0035795C">
        <w:rPr>
          <w:rFonts w:ascii="Palatino Linotype" w:eastAsia="Times New Roman" w:hAnsi="Palatino Linotype" w:cs="Palatino Linotype"/>
          <w:b/>
          <w:color w:val="0D0D0D"/>
          <w:lang w:eastAsia="es-ES"/>
        </w:rPr>
        <w:t xml:space="preserve">La clasificación de la información (p. 70): </w:t>
      </w:r>
      <w:r w:rsidRPr="0035795C">
        <w:rPr>
          <w:rFonts w:ascii="Palatino Linotype" w:eastAsia="Times New Roman" w:hAnsi="Palatino Linotype" w:cs="Palatino Linotype"/>
          <w:color w:val="0D0D0D"/>
          <w:lang w:eastAsia="es-ES"/>
        </w:rPr>
        <w:t>Es el proceso o conjunto de acciones que realizan los sujetos obligados para establecer que determinada información se encuentra en alguno de los supuestos de reserva o confidencialidad establecidos en la legislación en materia de transparencia</w:t>
      </w:r>
      <w:r w:rsidRPr="0035795C">
        <w:rPr>
          <w:rFonts w:ascii="Palatino Linotype" w:eastAsia="Times New Roman" w:hAnsi="Palatino Linotype" w:cs="Palatino Linotype"/>
          <w:color w:val="0D0D0D"/>
          <w:sz w:val="24"/>
          <w:szCs w:val="24"/>
          <w:lang w:eastAsia="es-ES"/>
        </w:rPr>
        <w:t>.</w:t>
      </w:r>
    </w:p>
    <w:p w14:paraId="64E83F19" w14:textId="77777777" w:rsidR="0035795C" w:rsidRPr="0035795C" w:rsidRDefault="0035795C" w:rsidP="0035795C">
      <w:pPr>
        <w:spacing w:after="0" w:line="360" w:lineRule="auto"/>
        <w:jc w:val="both"/>
        <w:rPr>
          <w:rFonts w:ascii="Palatino Linotype" w:eastAsia="Times New Roman" w:hAnsi="Palatino Linotype" w:cs="Palatino Linotype"/>
          <w:color w:val="0D0D0D"/>
          <w:sz w:val="24"/>
          <w:szCs w:val="24"/>
          <w:lang w:eastAsia="es-ES"/>
        </w:rPr>
      </w:pPr>
    </w:p>
    <w:p w14:paraId="3CC99373" w14:textId="77777777" w:rsidR="0035795C" w:rsidRDefault="0035795C" w:rsidP="0035795C">
      <w:pPr>
        <w:spacing w:after="0" w:line="360" w:lineRule="auto"/>
        <w:jc w:val="both"/>
        <w:rPr>
          <w:rFonts w:ascii="Palatino Linotype" w:eastAsia="Times New Roman" w:hAnsi="Palatino Linotype" w:cs="Palatino Linotype"/>
          <w:b/>
          <w:color w:val="0D0D0D"/>
          <w:sz w:val="24"/>
          <w:szCs w:val="24"/>
          <w:lang w:eastAsia="es-ES"/>
        </w:rPr>
      </w:pPr>
      <w:r w:rsidRPr="0035795C">
        <w:rPr>
          <w:rFonts w:ascii="Palatino Linotype" w:eastAsia="Times New Roman" w:hAnsi="Palatino Linotype" w:cs="Palatino Linotype"/>
          <w:color w:val="0D0D0D"/>
          <w:sz w:val="24"/>
          <w:szCs w:val="24"/>
          <w:lang w:eastAsia="es-ES"/>
        </w:rPr>
        <w:t xml:space="preserve">En ese orden de ideas y en atención a lo anterior, es de señalar que las excepciones al derecho de acceso a la información, consisten en que la documentación sea inexistente, </w:t>
      </w:r>
      <w:r w:rsidRPr="0035795C">
        <w:rPr>
          <w:rFonts w:ascii="Palatino Linotype" w:eastAsia="Times New Roman" w:hAnsi="Palatino Linotype" w:cs="Palatino Linotype"/>
          <w:b/>
          <w:color w:val="0D0D0D"/>
          <w:sz w:val="24"/>
          <w:szCs w:val="24"/>
          <w:lang w:eastAsia="es-ES"/>
        </w:rPr>
        <w:t>se encuentre clasificada</w:t>
      </w:r>
      <w:r w:rsidRPr="0035795C">
        <w:rPr>
          <w:rFonts w:ascii="Palatino Linotype" w:eastAsia="Times New Roman" w:hAnsi="Palatino Linotype" w:cs="Palatino Linotype"/>
          <w:color w:val="0D0D0D"/>
          <w:sz w:val="24"/>
          <w:szCs w:val="24"/>
          <w:lang w:eastAsia="es-ES"/>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35795C">
        <w:rPr>
          <w:rFonts w:ascii="Palatino Linotype" w:eastAsia="Times New Roman" w:hAnsi="Palatino Linotype" w:cs="Palatino Linotype"/>
          <w:b/>
          <w:color w:val="0D0D0D"/>
          <w:sz w:val="24"/>
          <w:szCs w:val="24"/>
          <w:lang w:eastAsia="es-ES"/>
        </w:rPr>
        <w:t>confidenciales o reservados.</w:t>
      </w:r>
    </w:p>
    <w:p w14:paraId="393F92CB" w14:textId="77777777" w:rsidR="0035795C" w:rsidRPr="0035795C" w:rsidRDefault="0035795C" w:rsidP="0035795C">
      <w:pPr>
        <w:spacing w:after="0" w:line="360" w:lineRule="auto"/>
        <w:jc w:val="both"/>
        <w:rPr>
          <w:rFonts w:ascii="Palatino Linotype" w:eastAsia="Times New Roman" w:hAnsi="Palatino Linotype" w:cs="Palatino Linotype"/>
          <w:b/>
          <w:color w:val="0D0D0D"/>
          <w:sz w:val="24"/>
          <w:szCs w:val="24"/>
          <w:lang w:eastAsia="es-ES"/>
        </w:rPr>
      </w:pPr>
    </w:p>
    <w:p w14:paraId="1C2A75CD" w14:textId="77777777" w:rsidR="0035795C" w:rsidRPr="0035795C" w:rsidRDefault="0035795C" w:rsidP="0035795C">
      <w:pPr>
        <w:spacing w:after="0" w:line="360" w:lineRule="auto"/>
        <w:jc w:val="both"/>
        <w:rPr>
          <w:rFonts w:ascii="Palatino Linotype" w:eastAsia="Times New Roman" w:hAnsi="Palatino Linotype" w:cs="Palatino Linotype"/>
          <w:color w:val="0D0D0D"/>
          <w:sz w:val="24"/>
          <w:szCs w:val="24"/>
          <w:lang w:eastAsia="es-ES"/>
        </w:rPr>
      </w:pPr>
      <w:r w:rsidRPr="0035795C">
        <w:rPr>
          <w:rFonts w:ascii="Palatino Linotype" w:eastAsia="Times New Roman" w:hAnsi="Palatino Linotype" w:cs="Palatino Linotype"/>
          <w:color w:val="0D0D0D"/>
          <w:sz w:val="24"/>
          <w:szCs w:val="24"/>
          <w:lang w:eastAsia="es-ES"/>
        </w:rPr>
        <w:t xml:space="preserve">Así, en los artículos 122, 128 y 130 de la Ley Transparencia y Acceso a la Información Pública del Estado de México y Municipios, se prevé que </w:t>
      </w:r>
      <w:r w:rsidRPr="0035795C">
        <w:rPr>
          <w:rFonts w:ascii="Palatino Linotype" w:eastAsia="Times New Roman" w:hAnsi="Palatino Linotype" w:cs="Palatino Linotype"/>
          <w:b/>
          <w:color w:val="0D0D0D"/>
          <w:sz w:val="24"/>
          <w:szCs w:val="24"/>
          <w:lang w:eastAsia="es-ES"/>
        </w:rPr>
        <w:t xml:space="preserve">la clasificación </w:t>
      </w:r>
      <w:r w:rsidRPr="0035795C">
        <w:rPr>
          <w:rFonts w:ascii="Palatino Linotype" w:eastAsia="Times New Roman" w:hAnsi="Palatino Linotype" w:cs="Palatino Linotype"/>
          <w:color w:val="0D0D0D"/>
          <w:sz w:val="24"/>
          <w:szCs w:val="24"/>
          <w:lang w:eastAsia="es-ES"/>
        </w:rPr>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23F5F6D7" w14:textId="77777777" w:rsidR="0035795C" w:rsidRPr="0035795C" w:rsidRDefault="0035795C" w:rsidP="0035795C">
      <w:pPr>
        <w:spacing w:after="0" w:line="360" w:lineRule="auto"/>
        <w:jc w:val="both"/>
        <w:rPr>
          <w:rFonts w:ascii="Palatino Linotype" w:eastAsia="Times New Roman" w:hAnsi="Palatino Linotype" w:cs="Palatino Linotype"/>
          <w:color w:val="0D0D0D"/>
          <w:sz w:val="24"/>
          <w:szCs w:val="24"/>
          <w:lang w:eastAsia="es-ES"/>
        </w:rPr>
      </w:pPr>
    </w:p>
    <w:p w14:paraId="2E0B66E1" w14:textId="77777777" w:rsidR="0035795C" w:rsidRPr="0035795C" w:rsidRDefault="0035795C" w:rsidP="0035795C">
      <w:pPr>
        <w:spacing w:after="0" w:line="360" w:lineRule="auto"/>
        <w:jc w:val="both"/>
        <w:rPr>
          <w:rFonts w:ascii="Palatino Linotype" w:eastAsia="Times New Roman" w:hAnsi="Palatino Linotype" w:cs="Palatino Linotype"/>
          <w:color w:val="0D0D0D"/>
          <w:sz w:val="24"/>
          <w:szCs w:val="24"/>
          <w:lang w:eastAsia="es-ES"/>
        </w:rPr>
      </w:pPr>
      <w:r w:rsidRPr="0035795C">
        <w:rPr>
          <w:rFonts w:ascii="Palatino Linotype" w:eastAsia="Times New Roman" w:hAnsi="Palatino Linotype" w:cs="Palatino Linotype"/>
          <w:color w:val="0D0D0D"/>
          <w:sz w:val="24"/>
          <w:szCs w:val="24"/>
          <w:lang w:eastAsia="es-ES"/>
        </w:rPr>
        <w:t xml:space="preserve">Por lo cual, en los casos en que se niegue el acceso a la información, por actualizarse alguno de los supuestos de clasificación, </w:t>
      </w:r>
      <w:r w:rsidRPr="0035795C">
        <w:rPr>
          <w:rFonts w:ascii="Palatino Linotype" w:eastAsia="Times New Roman" w:hAnsi="Palatino Linotype" w:cs="Palatino Linotype"/>
          <w:b/>
          <w:color w:val="0D0D0D"/>
          <w:sz w:val="24"/>
          <w:szCs w:val="24"/>
          <w:lang w:eastAsia="es-ES"/>
        </w:rPr>
        <w:t xml:space="preserve">el Comité de Transparencia deberá confirmar, modificar o revocar la decisión; </w:t>
      </w:r>
      <w:r w:rsidRPr="0035795C">
        <w:rPr>
          <w:rFonts w:ascii="Palatino Linotype" w:eastAsia="Times New Roman" w:hAnsi="Palatino Linotype" w:cs="Palatino Linotype"/>
          <w:color w:val="0D0D0D"/>
          <w:sz w:val="24"/>
          <w:szCs w:val="24"/>
          <w:lang w:eastAsia="es-ES"/>
        </w:rPr>
        <w:t xml:space="preserve">además, deberá motivar la confirmación </w:t>
      </w:r>
      <w:r w:rsidRPr="0035795C">
        <w:rPr>
          <w:rFonts w:ascii="Palatino Linotype" w:eastAsia="Times New Roman" w:hAnsi="Palatino Linotype" w:cs="Palatino Linotype"/>
          <w:color w:val="0D0D0D"/>
          <w:sz w:val="24"/>
          <w:szCs w:val="24"/>
          <w:lang w:eastAsia="es-ES"/>
        </w:rPr>
        <w:lastRenderedPageBreak/>
        <w:t>de dicha situación, señalando las razones, motivos o circunstancias especiales que llevaron al sujeto obligado a concluir que en el caso particular se ajusta al supuesto previsto por la norma legal invocada como fundamento.</w:t>
      </w:r>
    </w:p>
    <w:p w14:paraId="0676983D" w14:textId="77777777" w:rsidR="0035795C" w:rsidRPr="0035795C" w:rsidRDefault="0035795C" w:rsidP="0035795C">
      <w:pPr>
        <w:spacing w:after="0" w:line="360" w:lineRule="auto"/>
        <w:jc w:val="both"/>
        <w:rPr>
          <w:rFonts w:ascii="Palatino Linotype" w:eastAsia="Times New Roman" w:hAnsi="Palatino Linotype" w:cs="Palatino Linotype"/>
          <w:color w:val="0D0D0D"/>
          <w:sz w:val="24"/>
          <w:szCs w:val="24"/>
          <w:lang w:eastAsia="es-ES"/>
        </w:rPr>
      </w:pPr>
    </w:p>
    <w:p w14:paraId="0EBB0F1D" w14:textId="77777777" w:rsidR="0035795C" w:rsidRPr="0035795C" w:rsidRDefault="0035795C" w:rsidP="0035795C">
      <w:pPr>
        <w:spacing w:after="0" w:line="360" w:lineRule="auto"/>
        <w:jc w:val="both"/>
        <w:rPr>
          <w:rFonts w:ascii="Palatino Linotype" w:eastAsia="Times New Roman" w:hAnsi="Palatino Linotype" w:cs="Palatino Linotype"/>
          <w:b/>
          <w:color w:val="0D0D0D"/>
          <w:sz w:val="24"/>
          <w:szCs w:val="24"/>
          <w:lang w:eastAsia="es-ES"/>
        </w:rPr>
      </w:pPr>
      <w:r w:rsidRPr="0035795C">
        <w:rPr>
          <w:rFonts w:ascii="Palatino Linotype" w:eastAsia="Times New Roman" w:hAnsi="Palatino Linotype" w:cs="Palatino Linotype"/>
          <w:color w:val="0D0D0D"/>
          <w:sz w:val="24"/>
          <w:szCs w:val="24"/>
          <w:lang w:eastAsia="es-ES"/>
        </w:rPr>
        <w:t xml:space="preserve">Por su parte, según Bonifaz, Leticia (2016), en la “Ley General de Transparencia y Acceso a la Información Pública Comentada” (p. 342), la </w:t>
      </w:r>
      <w:r w:rsidRPr="0035795C">
        <w:rPr>
          <w:rFonts w:ascii="Palatino Linotype" w:eastAsia="Times New Roman" w:hAnsi="Palatino Linotype" w:cs="Palatino Linotype"/>
          <w:b/>
          <w:color w:val="0D0D0D"/>
          <w:sz w:val="24"/>
          <w:szCs w:val="24"/>
          <w:lang w:eastAsia="es-ES"/>
        </w:rPr>
        <w:t>clasificación de la información</w:t>
      </w:r>
      <w:r w:rsidRPr="0035795C">
        <w:rPr>
          <w:rFonts w:ascii="Palatino Linotype" w:eastAsia="Times New Roman" w:hAnsi="Palatino Linotype" w:cs="Palatino Linotype"/>
          <w:color w:val="0D0D0D"/>
          <w:sz w:val="24"/>
          <w:szCs w:val="24"/>
          <w:lang w:eastAsia="es-ES"/>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35795C">
        <w:rPr>
          <w:rFonts w:ascii="Palatino Linotype" w:eastAsia="Times New Roman" w:hAnsi="Palatino Linotype" w:cs="Palatino Linotype"/>
          <w:b/>
          <w:color w:val="0D0D0D"/>
          <w:sz w:val="24"/>
          <w:szCs w:val="24"/>
          <w:lang w:eastAsia="es-ES"/>
        </w:rPr>
        <w:t>de manera adecuada la negativa de información.</w:t>
      </w:r>
    </w:p>
    <w:p w14:paraId="09B67BCC" w14:textId="77777777" w:rsidR="0035795C" w:rsidRDefault="0035795C" w:rsidP="0035795C">
      <w:pPr>
        <w:spacing w:after="0" w:line="360" w:lineRule="auto"/>
        <w:jc w:val="both"/>
        <w:rPr>
          <w:rFonts w:ascii="Palatino Linotype" w:eastAsia="Times New Roman" w:hAnsi="Palatino Linotype" w:cs="Palatino Linotype"/>
          <w:color w:val="0D0D0D"/>
          <w:sz w:val="24"/>
          <w:szCs w:val="24"/>
          <w:lang w:eastAsia="es-ES"/>
        </w:rPr>
      </w:pPr>
    </w:p>
    <w:p w14:paraId="72A1B1CA" w14:textId="582BB39B" w:rsidR="00C10F47" w:rsidRPr="0035795C" w:rsidRDefault="0035795C" w:rsidP="0035795C">
      <w:pPr>
        <w:spacing w:after="0" w:line="360" w:lineRule="auto"/>
        <w:jc w:val="both"/>
        <w:rPr>
          <w:rFonts w:ascii="Palatino Linotype" w:eastAsia="Times New Roman" w:hAnsi="Palatino Linotype" w:cs="Palatino Linotype"/>
          <w:b/>
          <w:color w:val="0D0D0D"/>
          <w:sz w:val="24"/>
          <w:szCs w:val="24"/>
          <w:u w:val="single"/>
          <w:lang w:eastAsia="es-ES"/>
        </w:rPr>
      </w:pPr>
      <w:r w:rsidRPr="0035795C">
        <w:rPr>
          <w:rFonts w:ascii="Palatino Linotype" w:eastAsia="Times New Roman" w:hAnsi="Palatino Linotype" w:cs="Palatino Linotype"/>
          <w:b/>
          <w:color w:val="0D0D0D"/>
          <w:sz w:val="24"/>
          <w:szCs w:val="24"/>
          <w:u w:val="single"/>
          <w:lang w:eastAsia="es-ES"/>
        </w:rPr>
        <w:t xml:space="preserve">En el presente caso, no pasa desapercibido mencionar que, existe la posibilidad de que la sentencia interlocutoria se encuentre en trámite debido a que, si bien es cierto, esta se emite al resolver un incidente promovido, también lo es que, admiten medio de impugnación, por lo que, se considera que, en el supuesto de que a la fecha de la solicitud no haya quedado firme, deberá ser objeto de clasificación como información reservada. </w:t>
      </w:r>
    </w:p>
    <w:p w14:paraId="55641A1E" w14:textId="77777777" w:rsidR="00C10F47" w:rsidRDefault="00C10F47" w:rsidP="00617D70">
      <w:pPr>
        <w:spacing w:after="0" w:line="360" w:lineRule="auto"/>
        <w:ind w:right="49"/>
        <w:jc w:val="both"/>
        <w:rPr>
          <w:rFonts w:ascii="Palatino Linotype" w:eastAsia="Palatino Linotype" w:hAnsi="Palatino Linotype" w:cs="Palatino Linotype"/>
          <w:sz w:val="24"/>
          <w:szCs w:val="24"/>
        </w:rPr>
      </w:pPr>
    </w:p>
    <w:p w14:paraId="1496DE4D" w14:textId="34BB4854" w:rsidR="00DC1585" w:rsidRDefault="00DC1585" w:rsidP="00FC5ED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en cuanto hace a las atribuciones del Sujeto Obligado que ahora nos ocupan, se tiene que el Reglamento Interior del Tribunal Estatal de Conciliación y Arbitraje establece en su cuerpo normativo lo siguiente: </w:t>
      </w:r>
    </w:p>
    <w:p w14:paraId="21E04B73" w14:textId="77777777" w:rsidR="00DC1585" w:rsidRPr="00FC5ED2" w:rsidRDefault="00DC1585" w:rsidP="00FC5ED2">
      <w:pPr>
        <w:spacing w:after="0" w:line="360" w:lineRule="auto"/>
        <w:ind w:left="567" w:right="560"/>
        <w:jc w:val="both"/>
        <w:rPr>
          <w:rFonts w:ascii="Palatino Linotype" w:eastAsia="Palatino Linotype" w:hAnsi="Palatino Linotype" w:cs="Palatino Linotype"/>
          <w:i/>
          <w:sz w:val="24"/>
        </w:rPr>
      </w:pPr>
    </w:p>
    <w:p w14:paraId="0FD29848" w14:textId="036026A3" w:rsidR="00DC1585" w:rsidRPr="00FC5ED2" w:rsidRDefault="00DC1585" w:rsidP="00FC5ED2">
      <w:pPr>
        <w:spacing w:after="0" w:line="276" w:lineRule="auto"/>
        <w:ind w:left="567" w:right="560"/>
        <w:jc w:val="both"/>
        <w:rPr>
          <w:rFonts w:ascii="Palatino Linotype" w:hAnsi="Palatino Linotype"/>
          <w:i/>
        </w:rPr>
      </w:pPr>
      <w:r w:rsidRPr="00FC5ED2">
        <w:rPr>
          <w:rFonts w:ascii="Palatino Linotype" w:hAnsi="Palatino Linotype"/>
          <w:b/>
          <w:i/>
        </w:rPr>
        <w:lastRenderedPageBreak/>
        <w:t>Artículo 18.-</w:t>
      </w:r>
      <w:r w:rsidRPr="00FC5ED2">
        <w:rPr>
          <w:rFonts w:ascii="Palatino Linotype" w:hAnsi="Palatino Linotype"/>
          <w:i/>
        </w:rPr>
        <w:t xml:space="preserve"> La Secretaría General Jurídica y Consultiva, estará a cargo de un </w:t>
      </w:r>
      <w:proofErr w:type="gramStart"/>
      <w:r w:rsidRPr="00FC5ED2">
        <w:rPr>
          <w:rFonts w:ascii="Palatino Linotype" w:hAnsi="Palatino Linotype"/>
          <w:i/>
        </w:rPr>
        <w:t>Secretario General</w:t>
      </w:r>
      <w:proofErr w:type="gramEnd"/>
      <w:r w:rsidRPr="00FC5ED2">
        <w:rPr>
          <w:rFonts w:ascii="Palatino Linotype" w:hAnsi="Palatino Linotype"/>
          <w:i/>
        </w:rPr>
        <w:t xml:space="preserve"> Jurídico y Consultivo y tendrá además las facultades y obligaciones siguientes:</w:t>
      </w:r>
    </w:p>
    <w:p w14:paraId="1AB6EFA1" w14:textId="375717A1" w:rsidR="00DC1585" w:rsidRPr="00FC5ED2" w:rsidRDefault="00DC1585" w:rsidP="00FC5ED2">
      <w:pPr>
        <w:spacing w:after="0" w:line="276" w:lineRule="auto"/>
        <w:ind w:left="567" w:right="560"/>
        <w:jc w:val="both"/>
        <w:rPr>
          <w:rFonts w:ascii="Palatino Linotype" w:hAnsi="Palatino Linotype"/>
          <w:i/>
        </w:rPr>
      </w:pPr>
      <w:r w:rsidRPr="00FC5ED2">
        <w:rPr>
          <w:rFonts w:ascii="Palatino Linotype" w:hAnsi="Palatino Linotype"/>
          <w:i/>
        </w:rPr>
        <w:t>…</w:t>
      </w:r>
    </w:p>
    <w:p w14:paraId="1CD3D1BD" w14:textId="50BEDA40" w:rsidR="00DC1585" w:rsidRDefault="00DC1585" w:rsidP="00FC5ED2">
      <w:pPr>
        <w:spacing w:after="0" w:line="276" w:lineRule="auto"/>
        <w:ind w:left="567" w:right="560"/>
        <w:jc w:val="both"/>
        <w:rPr>
          <w:rFonts w:ascii="Palatino Linotype" w:hAnsi="Palatino Linotype"/>
          <w:i/>
        </w:rPr>
      </w:pPr>
      <w:r w:rsidRPr="00FC5ED2">
        <w:rPr>
          <w:rFonts w:ascii="Palatino Linotype" w:hAnsi="Palatino Linotype"/>
          <w:i/>
        </w:rPr>
        <w:t>X. Vigilar que los proyectos de laudos y resoluciones presentados al Pleno del Tribunal sean congruentes e imparciales y estar a cargo de las personas que hacen los proyectos, cuidando que no tengan acceso a los usuarios;</w:t>
      </w:r>
    </w:p>
    <w:p w14:paraId="5363D4B5" w14:textId="77777777" w:rsidR="00E9147C" w:rsidRPr="00FC5ED2" w:rsidRDefault="00E9147C" w:rsidP="00FC5ED2">
      <w:pPr>
        <w:spacing w:after="0" w:line="276" w:lineRule="auto"/>
        <w:ind w:left="567" w:right="560"/>
        <w:jc w:val="both"/>
        <w:rPr>
          <w:rFonts w:ascii="Palatino Linotype" w:hAnsi="Palatino Linotype"/>
          <w:i/>
        </w:rPr>
      </w:pPr>
    </w:p>
    <w:p w14:paraId="00BE8621" w14:textId="77777777" w:rsidR="00DC1585" w:rsidRPr="00FC5ED2" w:rsidRDefault="00DC1585" w:rsidP="00FC5ED2">
      <w:pPr>
        <w:spacing w:after="0" w:line="276" w:lineRule="auto"/>
        <w:ind w:left="567" w:right="560"/>
        <w:jc w:val="both"/>
        <w:rPr>
          <w:rFonts w:ascii="Palatino Linotype" w:hAnsi="Palatino Linotype"/>
          <w:i/>
        </w:rPr>
      </w:pPr>
      <w:r w:rsidRPr="00FC5ED2">
        <w:rPr>
          <w:rFonts w:ascii="Palatino Linotype" w:hAnsi="Palatino Linotype"/>
          <w:b/>
          <w:i/>
        </w:rPr>
        <w:t>Artículo 22.-</w:t>
      </w:r>
      <w:r w:rsidRPr="00FC5ED2">
        <w:rPr>
          <w:rFonts w:ascii="Palatino Linotype" w:hAnsi="Palatino Linotype"/>
          <w:i/>
        </w:rPr>
        <w:t xml:space="preserve"> Los </w:t>
      </w:r>
      <w:proofErr w:type="gramStart"/>
      <w:r w:rsidRPr="00FC5ED2">
        <w:rPr>
          <w:rFonts w:ascii="Palatino Linotype" w:hAnsi="Palatino Linotype"/>
          <w:i/>
        </w:rPr>
        <w:t>Secretarios</w:t>
      </w:r>
      <w:proofErr w:type="gramEnd"/>
      <w:r w:rsidRPr="00FC5ED2">
        <w:rPr>
          <w:rFonts w:ascii="Palatino Linotype" w:hAnsi="Palatino Linotype"/>
          <w:i/>
        </w:rPr>
        <w:t xml:space="preserve"> Auxiliares de las Salas, además tendrán las facultades y obligaciones siguientes: </w:t>
      </w:r>
    </w:p>
    <w:p w14:paraId="3F4831DF" w14:textId="0D8A929D" w:rsidR="00617D70" w:rsidRPr="00FC5ED2" w:rsidRDefault="00DC1585" w:rsidP="00FC5ED2">
      <w:pPr>
        <w:spacing w:after="0" w:line="276" w:lineRule="auto"/>
        <w:ind w:left="567" w:right="560"/>
        <w:jc w:val="both"/>
        <w:rPr>
          <w:rFonts w:ascii="Palatino Linotype" w:hAnsi="Palatino Linotype"/>
          <w:i/>
        </w:rPr>
      </w:pPr>
      <w:r w:rsidRPr="00FC5ED2">
        <w:rPr>
          <w:rFonts w:ascii="Palatino Linotype" w:hAnsi="Palatino Linotype"/>
          <w:i/>
        </w:rPr>
        <w:t>I. Dictar, revisar y firmar las actas, los acuerdos y resoluciones que emita la Sala;</w:t>
      </w:r>
    </w:p>
    <w:p w14:paraId="48D83EE7" w14:textId="592167DD" w:rsidR="00DC1585" w:rsidRPr="00FC5ED2" w:rsidRDefault="00DC1585" w:rsidP="00FC5ED2">
      <w:pPr>
        <w:spacing w:after="0" w:line="276" w:lineRule="auto"/>
        <w:ind w:left="567" w:right="560"/>
        <w:rPr>
          <w:rFonts w:ascii="Palatino Linotype" w:eastAsia="Palatino Linotype" w:hAnsi="Palatino Linotype" w:cs="Palatino Linotype"/>
          <w:i/>
        </w:rPr>
      </w:pPr>
      <w:r w:rsidRPr="00FC5ED2">
        <w:rPr>
          <w:rFonts w:ascii="Palatino Linotype" w:eastAsia="Palatino Linotype" w:hAnsi="Palatino Linotype" w:cs="Palatino Linotype"/>
          <w:i/>
        </w:rPr>
        <w:t>…</w:t>
      </w:r>
    </w:p>
    <w:p w14:paraId="4FAE1AFE" w14:textId="77777777" w:rsidR="00617D70" w:rsidRPr="00FC5ED2" w:rsidRDefault="00617D70" w:rsidP="00FC5ED2">
      <w:pPr>
        <w:spacing w:after="0" w:line="276" w:lineRule="auto"/>
        <w:ind w:left="567" w:right="560"/>
        <w:jc w:val="both"/>
        <w:rPr>
          <w:rFonts w:ascii="Palatino Linotype" w:hAnsi="Palatino Linotype"/>
          <w:b/>
          <w:i/>
        </w:rPr>
      </w:pPr>
    </w:p>
    <w:p w14:paraId="156B08CC" w14:textId="77777777" w:rsidR="00DC1585" w:rsidRPr="00FC5ED2" w:rsidRDefault="00DC1585" w:rsidP="00FC5ED2">
      <w:pPr>
        <w:spacing w:after="0" w:line="276" w:lineRule="auto"/>
        <w:ind w:left="567" w:right="560"/>
        <w:jc w:val="both"/>
        <w:rPr>
          <w:rFonts w:ascii="Palatino Linotype" w:hAnsi="Palatino Linotype"/>
          <w:i/>
        </w:rPr>
      </w:pPr>
      <w:r w:rsidRPr="00FC5ED2">
        <w:rPr>
          <w:rFonts w:ascii="Palatino Linotype" w:hAnsi="Palatino Linotype"/>
          <w:b/>
          <w:i/>
        </w:rPr>
        <w:t>Artículo 39.-</w:t>
      </w:r>
      <w:r w:rsidRPr="00FC5ED2">
        <w:rPr>
          <w:rFonts w:ascii="Palatino Linotype" w:hAnsi="Palatino Linotype"/>
          <w:i/>
        </w:rPr>
        <w:t xml:space="preserve"> El Pleno de cada una de las Salas, tendrá las facultades y obligaciones siguientes: </w:t>
      </w:r>
    </w:p>
    <w:p w14:paraId="3558162A" w14:textId="25114A36" w:rsidR="00DC1585" w:rsidRPr="00FC5ED2" w:rsidRDefault="00DC1585" w:rsidP="00FC5ED2">
      <w:pPr>
        <w:spacing w:after="0" w:line="276" w:lineRule="auto"/>
        <w:ind w:left="567" w:right="560"/>
        <w:jc w:val="both"/>
        <w:rPr>
          <w:rFonts w:ascii="Palatino Linotype" w:hAnsi="Palatino Linotype"/>
          <w:i/>
        </w:rPr>
      </w:pPr>
      <w:r w:rsidRPr="00FC5ED2">
        <w:rPr>
          <w:rFonts w:ascii="Palatino Linotype" w:hAnsi="Palatino Linotype"/>
          <w:i/>
        </w:rPr>
        <w:t xml:space="preserve">I. Conocer y resolver los asuntos de su competencia; </w:t>
      </w:r>
    </w:p>
    <w:p w14:paraId="2358D242" w14:textId="77777777" w:rsidR="00DC1585" w:rsidRPr="00FC5ED2" w:rsidRDefault="00DC1585" w:rsidP="00FC5ED2">
      <w:pPr>
        <w:spacing w:after="0" w:line="276" w:lineRule="auto"/>
        <w:ind w:left="567" w:right="560"/>
        <w:rPr>
          <w:rFonts w:ascii="Palatino Linotype" w:hAnsi="Palatino Linotype"/>
          <w:i/>
        </w:rPr>
      </w:pPr>
      <w:r w:rsidRPr="00FC5ED2">
        <w:rPr>
          <w:rFonts w:ascii="Palatino Linotype" w:hAnsi="Palatino Linotype"/>
          <w:i/>
        </w:rPr>
        <w:t xml:space="preserve">II. Conocer de las excusas que presente alguno de los Representantes; </w:t>
      </w:r>
    </w:p>
    <w:p w14:paraId="6FFF8E50" w14:textId="77777777" w:rsidR="00DC1585" w:rsidRPr="00FC5ED2" w:rsidRDefault="00DC1585" w:rsidP="00FC5ED2">
      <w:pPr>
        <w:spacing w:after="0" w:line="276" w:lineRule="auto"/>
        <w:ind w:left="567" w:right="560"/>
        <w:rPr>
          <w:rFonts w:ascii="Palatino Linotype" w:hAnsi="Palatino Linotype"/>
          <w:b/>
          <w:i/>
        </w:rPr>
      </w:pPr>
      <w:r w:rsidRPr="00FC5ED2">
        <w:rPr>
          <w:rFonts w:ascii="Palatino Linotype" w:hAnsi="Palatino Linotype"/>
          <w:b/>
          <w:i/>
        </w:rPr>
        <w:t>III. Emitir y firmar las resoluciones en las que se haga necesaria la concurrencia del Pleno;</w:t>
      </w:r>
    </w:p>
    <w:p w14:paraId="5394567C" w14:textId="3A0375E5" w:rsidR="00DC1585" w:rsidRPr="00FC5ED2" w:rsidRDefault="00DC1585" w:rsidP="00FC5ED2">
      <w:pPr>
        <w:spacing w:after="0" w:line="276" w:lineRule="auto"/>
        <w:ind w:left="567" w:right="560"/>
        <w:rPr>
          <w:rFonts w:ascii="Palatino Linotype" w:hAnsi="Palatino Linotype"/>
          <w:i/>
        </w:rPr>
      </w:pPr>
      <w:r w:rsidRPr="00FC5ED2">
        <w:rPr>
          <w:rFonts w:ascii="Palatino Linotype" w:hAnsi="Palatino Linotype"/>
          <w:i/>
        </w:rPr>
        <w:t xml:space="preserve"> IV. Discutir, aprobar y firmar los laudos que sean sometidos a su consideración; y </w:t>
      </w:r>
    </w:p>
    <w:p w14:paraId="139148FC" w14:textId="7CC6C1A3" w:rsidR="00DC1585" w:rsidRPr="00FC5ED2" w:rsidRDefault="00DC1585" w:rsidP="00FC5ED2">
      <w:pPr>
        <w:spacing w:after="0" w:line="276" w:lineRule="auto"/>
        <w:ind w:left="567" w:right="560"/>
        <w:rPr>
          <w:rFonts w:ascii="Palatino Linotype" w:eastAsia="Palatino Linotype" w:hAnsi="Palatino Linotype" w:cs="Palatino Linotype"/>
          <w:i/>
        </w:rPr>
      </w:pPr>
      <w:r w:rsidRPr="00FC5ED2">
        <w:rPr>
          <w:rFonts w:ascii="Palatino Linotype" w:hAnsi="Palatino Linotype"/>
          <w:i/>
        </w:rPr>
        <w:t>V. Las demás que les confieran las Leyes.</w:t>
      </w:r>
    </w:p>
    <w:p w14:paraId="5EBB9BC2" w14:textId="673A4B18" w:rsidR="007670F9" w:rsidRDefault="007670F9" w:rsidP="007670F9">
      <w:pPr>
        <w:pBdr>
          <w:top w:val="nil"/>
          <w:left w:val="nil"/>
          <w:bottom w:val="nil"/>
          <w:right w:val="nil"/>
          <w:between w:val="nil"/>
        </w:pBdr>
        <w:spacing w:after="0" w:line="360" w:lineRule="auto"/>
        <w:ind w:right="-7"/>
        <w:jc w:val="both"/>
        <w:rPr>
          <w:rFonts w:ascii="Palatino Linotype" w:eastAsia="Palatino Linotype" w:hAnsi="Palatino Linotype" w:cs="Palatino Linotype"/>
          <w:b/>
          <w:color w:val="000000"/>
          <w:sz w:val="24"/>
          <w:szCs w:val="24"/>
        </w:rPr>
      </w:pPr>
    </w:p>
    <w:p w14:paraId="2B976166" w14:textId="7BB6B1C7" w:rsidR="00FC5ED2" w:rsidRDefault="00FC5ED2" w:rsidP="007670F9">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esto, se colige que, el Sujeto Obligado cuenta con atribuciones, facultades y competencia, para generar, administrar y </w:t>
      </w:r>
      <w:r w:rsidR="00FB3EE8">
        <w:rPr>
          <w:rFonts w:ascii="Palatino Linotype" w:eastAsia="Palatino Linotype" w:hAnsi="Palatino Linotype" w:cs="Palatino Linotype"/>
          <w:color w:val="000000"/>
          <w:sz w:val="24"/>
          <w:szCs w:val="24"/>
        </w:rPr>
        <w:t xml:space="preserve">posee la información requerida por la parte Solicitante, toda vez que una de sus obligaciones son conocer y resolver los asuntos de su competencia y emitir y firmar las resoluciones correspondientes. </w:t>
      </w:r>
    </w:p>
    <w:p w14:paraId="15912149" w14:textId="77777777" w:rsidR="00FB3EE8" w:rsidRDefault="00FB3EE8" w:rsidP="007670F9">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sz w:val="24"/>
          <w:szCs w:val="24"/>
        </w:rPr>
      </w:pPr>
    </w:p>
    <w:p w14:paraId="2ACF0B57" w14:textId="32C32599" w:rsidR="00FB3EE8" w:rsidRDefault="00FB3EE8" w:rsidP="007670F9">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en cuanto hace a los agravios hechos valer por la parte Recurrente, relacionados con la entrega de la información no corresponde con lo solicitado, debido a que se había solicitado la versión pública de la resolución incidental de fecha quince de junio de dos mil veintidós y, el Sujeto Obligado se limitó a señalar que en fecha </w:t>
      </w:r>
      <w:r>
        <w:rPr>
          <w:rFonts w:ascii="Palatino Linotype" w:eastAsia="Palatino Linotype" w:hAnsi="Palatino Linotype" w:cs="Palatino Linotype"/>
          <w:color w:val="000000"/>
          <w:sz w:val="24"/>
          <w:szCs w:val="24"/>
        </w:rPr>
        <w:lastRenderedPageBreak/>
        <w:t xml:space="preserve">veintitrés de marzo de dos mil veintitrés se declaró improcedente el incidente y se señaló una nueva fecha para la audiencia. </w:t>
      </w:r>
    </w:p>
    <w:p w14:paraId="5EFA6D1F" w14:textId="77777777" w:rsidR="004F169A" w:rsidRDefault="004F169A" w:rsidP="007670F9">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sz w:val="24"/>
          <w:szCs w:val="24"/>
        </w:rPr>
      </w:pPr>
    </w:p>
    <w:p w14:paraId="37E3F49A" w14:textId="402DC95B" w:rsidR="00E9147C" w:rsidRDefault="004F169A" w:rsidP="007670F9">
      <w:pPr>
        <w:pBdr>
          <w:top w:val="nil"/>
          <w:left w:val="nil"/>
          <w:bottom w:val="nil"/>
          <w:right w:val="nil"/>
          <w:between w:val="nil"/>
        </w:pBdr>
        <w:spacing w:after="0" w:line="360" w:lineRule="auto"/>
        <w:ind w:right="-7"/>
        <w:jc w:val="both"/>
        <w:rPr>
          <w:rFonts w:ascii="Palatino Linotype" w:eastAsia="Palatino Linotype" w:hAnsi="Palatino Linotype" w:cs="Palatino Linotype"/>
          <w:b/>
          <w:color w:val="000000"/>
          <w:sz w:val="24"/>
          <w:szCs w:val="24"/>
          <w:u w:val="single"/>
        </w:rPr>
      </w:pPr>
      <w:r w:rsidRPr="004F169A">
        <w:rPr>
          <w:rFonts w:ascii="Palatino Linotype" w:eastAsia="Palatino Linotype" w:hAnsi="Palatino Linotype" w:cs="Palatino Linotype"/>
          <w:b/>
          <w:color w:val="000000"/>
          <w:sz w:val="24"/>
          <w:szCs w:val="24"/>
          <w:u w:val="single"/>
        </w:rPr>
        <w:t xml:space="preserve">De lo anterior, se advierte que el Sujeto Obligado reconoce que se dictó una resolución en la que se declaró como improcedente el incidente promovido, por lo que, se tiene certeza de la existencia de la resolución solicitada por la parte Recurrente. </w:t>
      </w:r>
    </w:p>
    <w:p w14:paraId="3AB7B84D" w14:textId="77777777" w:rsidR="00264AA6" w:rsidRPr="004F169A" w:rsidRDefault="00264AA6" w:rsidP="007670F9">
      <w:pPr>
        <w:pBdr>
          <w:top w:val="nil"/>
          <w:left w:val="nil"/>
          <w:bottom w:val="nil"/>
          <w:right w:val="nil"/>
          <w:between w:val="nil"/>
        </w:pBdr>
        <w:spacing w:after="0" w:line="360" w:lineRule="auto"/>
        <w:ind w:right="-7"/>
        <w:jc w:val="both"/>
        <w:rPr>
          <w:rFonts w:ascii="Palatino Linotype" w:eastAsia="Palatino Linotype" w:hAnsi="Palatino Linotype" w:cs="Palatino Linotype"/>
          <w:b/>
          <w:color w:val="000000"/>
          <w:sz w:val="24"/>
          <w:szCs w:val="24"/>
          <w:u w:val="single"/>
        </w:rPr>
      </w:pPr>
    </w:p>
    <w:p w14:paraId="101A9923" w14:textId="58C5A30C" w:rsidR="00FB3EE8" w:rsidRPr="00FB3EE8" w:rsidRDefault="004F169A" w:rsidP="00FB3EE8">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otro lado</w:t>
      </w:r>
      <w:r w:rsidR="00FB3EE8" w:rsidRPr="00FB3EE8">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es de señalar que</w:t>
      </w:r>
      <w:r w:rsidR="00FB3EE8" w:rsidRPr="00FB3EE8">
        <w:rPr>
          <w:rFonts w:ascii="Palatino Linotype" w:eastAsia="Palatino Linotype" w:hAnsi="Palatino Linotype" w:cs="Palatino Linotype"/>
          <w:color w:val="000000"/>
          <w:sz w:val="24"/>
          <w:szCs w:val="24"/>
        </w:rPr>
        <w:t xml:space="preserve">, la solicitud de información no fue atendida por las unidades administrativas que por sus competencias, facultades y atribuciones pudieran poseer o administrar la información solicitada, esto porque no se advierte que el Sujeto Obligado haya realizado una búsqueda exhaustiva y razonable de la información requerida, por ello, </w:t>
      </w:r>
      <w:r w:rsidR="00FB3EE8" w:rsidRPr="00FB3EE8">
        <w:rPr>
          <w:rFonts w:ascii="Palatino Linotype" w:eastAsia="Palatino Linotype" w:hAnsi="Palatino Linotype" w:cs="Palatino Linotype"/>
          <w:sz w:val="24"/>
          <w:szCs w:val="24"/>
        </w:rPr>
        <w:t>es importante señalar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7719F17" w14:textId="77777777" w:rsidR="00FB3EE8" w:rsidRPr="00FB3EE8" w:rsidRDefault="00FB3EE8" w:rsidP="00FB3EE8">
      <w:pPr>
        <w:spacing w:after="0" w:line="360" w:lineRule="auto"/>
        <w:ind w:right="-7"/>
        <w:jc w:val="both"/>
        <w:rPr>
          <w:rFonts w:ascii="Palatino Linotype" w:eastAsia="Palatino Linotype" w:hAnsi="Palatino Linotype" w:cs="Palatino Linotype"/>
          <w:sz w:val="24"/>
        </w:rPr>
      </w:pPr>
    </w:p>
    <w:p w14:paraId="0CF12B39" w14:textId="77777777" w:rsidR="00FB3EE8" w:rsidRPr="00FB3EE8" w:rsidRDefault="00FB3EE8" w:rsidP="00FB3EE8">
      <w:pPr>
        <w:spacing w:after="0" w:line="360" w:lineRule="auto"/>
        <w:jc w:val="both"/>
        <w:rPr>
          <w:rFonts w:ascii="Palatino Linotype" w:eastAsia="Palatino Linotype" w:hAnsi="Palatino Linotype" w:cs="Palatino Linotype"/>
          <w:sz w:val="24"/>
        </w:rPr>
      </w:pPr>
      <w:r w:rsidRPr="00FB3EE8">
        <w:rPr>
          <w:rFonts w:ascii="Palatino Linotype" w:eastAsia="Palatino Linotype" w:hAnsi="Palatino Linotype" w:cs="Palatino Linotype"/>
          <w:sz w:val="24"/>
        </w:rPr>
        <w:t xml:space="preserve">En ese orden de ideas, para la atención de las solicitudes de acceso a la información, debe privilegiarse el </w:t>
      </w:r>
      <w:r w:rsidRPr="00FB3EE8">
        <w:rPr>
          <w:rFonts w:ascii="Palatino Linotype" w:eastAsia="Palatino Linotype" w:hAnsi="Palatino Linotype" w:cs="Palatino Linotype"/>
          <w:b/>
          <w:sz w:val="24"/>
        </w:rPr>
        <w:t>principio de máxima publicidad</w:t>
      </w:r>
      <w:r w:rsidRPr="00FB3EE8">
        <w:rPr>
          <w:rFonts w:ascii="Palatino Linotype" w:eastAsia="Palatino Linotype" w:hAnsi="Palatino Linotype" w:cs="Palatino Linotype"/>
          <w:sz w:val="24"/>
        </w:rPr>
        <w:t xml:space="preserve"> el cual dispone que toda la información en posesión de los sujetos obligados será pública, completa, oportuna y </w:t>
      </w:r>
      <w:r w:rsidRPr="00FB3EE8">
        <w:rPr>
          <w:rFonts w:ascii="Palatino Linotype" w:eastAsia="Palatino Linotype" w:hAnsi="Palatino Linotype" w:cs="Palatino Linotype"/>
          <w:sz w:val="24"/>
        </w:rPr>
        <w:lastRenderedPageBreak/>
        <w:t>accesible, sujeta a un claro régimen de excepciones que deberán estar definidas y ser legítimas y estrictamente necesarias en una sociedad democrática.</w:t>
      </w:r>
    </w:p>
    <w:p w14:paraId="1B13D278" w14:textId="77777777" w:rsidR="00FB3EE8" w:rsidRPr="00FB3EE8" w:rsidRDefault="00FB3EE8" w:rsidP="00FB3EE8">
      <w:pPr>
        <w:spacing w:after="0" w:line="360" w:lineRule="auto"/>
        <w:rPr>
          <w:rFonts w:ascii="Palatino Linotype" w:eastAsia="Palatino Linotype" w:hAnsi="Palatino Linotype" w:cs="Palatino Linotype"/>
          <w:sz w:val="24"/>
        </w:rPr>
      </w:pPr>
    </w:p>
    <w:p w14:paraId="627E183D" w14:textId="77777777" w:rsidR="00FB3EE8" w:rsidRPr="00FB3EE8" w:rsidRDefault="00FB3EE8" w:rsidP="00FB3EE8">
      <w:pPr>
        <w:spacing w:after="0" w:line="360" w:lineRule="auto"/>
        <w:jc w:val="both"/>
        <w:rPr>
          <w:rFonts w:ascii="Palatino Linotype" w:eastAsia="Palatino Linotype" w:hAnsi="Palatino Linotype" w:cs="Palatino Linotype"/>
          <w:sz w:val="24"/>
        </w:rPr>
      </w:pPr>
      <w:r w:rsidRPr="00FB3EE8">
        <w:rPr>
          <w:rFonts w:ascii="Palatino Linotype" w:eastAsia="Palatino Linotype" w:hAnsi="Palatino Linotype" w:cs="Palatino Linotype"/>
          <w:sz w:val="24"/>
        </w:rPr>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A74C36A" w14:textId="77777777" w:rsidR="00FB3EE8" w:rsidRDefault="00FB3EE8" w:rsidP="00FB3EE8">
      <w:pPr>
        <w:spacing w:after="0" w:line="360" w:lineRule="auto"/>
        <w:rPr>
          <w:rFonts w:ascii="Palatino Linotype" w:eastAsia="Palatino Linotype" w:hAnsi="Palatino Linotype" w:cs="Palatino Linotype"/>
        </w:rPr>
      </w:pPr>
    </w:p>
    <w:p w14:paraId="0C797887" w14:textId="77777777" w:rsidR="00FB3EE8" w:rsidRDefault="00FB3EE8" w:rsidP="00FB3EE8">
      <w:pPr>
        <w:numPr>
          <w:ilvl w:val="0"/>
          <w:numId w:val="39"/>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B117D4E" w14:textId="77777777" w:rsidR="00FB3EE8" w:rsidRDefault="00FB3EE8" w:rsidP="00FB3EE8">
      <w:pPr>
        <w:numPr>
          <w:ilvl w:val="0"/>
          <w:numId w:val="39"/>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5900DDE5" w14:textId="77777777" w:rsidR="00FB3EE8" w:rsidRDefault="00FB3EE8" w:rsidP="00FB3EE8">
      <w:pPr>
        <w:numPr>
          <w:ilvl w:val="0"/>
          <w:numId w:val="39"/>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Las respuestas a los requerimientos informativos deberán notificarse al interesado en el menor tiempo posible, que no podrá exceder </w:t>
      </w:r>
      <w:r>
        <w:rPr>
          <w:rFonts w:ascii="Palatino Linotype" w:eastAsia="Palatino Linotype" w:hAnsi="Palatino Linotype" w:cs="Palatino Linotype"/>
          <w:b/>
        </w:rPr>
        <w:t>quince días, contados a partir del día siguiente a la presentación de ésta.</w:t>
      </w:r>
      <w:r>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114D7BC0" w14:textId="77777777" w:rsidR="00FB3EE8" w:rsidRDefault="00FB3EE8" w:rsidP="00FB3EE8">
      <w:pPr>
        <w:numPr>
          <w:ilvl w:val="0"/>
          <w:numId w:val="39"/>
        </w:numPr>
        <w:spacing w:after="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Las Unidades de Transparencia garantizarán que las solicitudes se turnen a todas las áreas competentes que cuenten con la información o deban tenerla de acuerdo con </w:t>
      </w:r>
      <w:r>
        <w:rPr>
          <w:rFonts w:ascii="Palatino Linotype" w:eastAsia="Palatino Linotype" w:hAnsi="Palatino Linotype" w:cs="Palatino Linotype"/>
          <w:b/>
          <w:u w:val="single"/>
        </w:rPr>
        <w:lastRenderedPageBreak/>
        <w:t>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4913B41" w14:textId="77777777" w:rsidR="00FB3EE8" w:rsidRDefault="00FB3EE8" w:rsidP="00FB3EE8">
      <w:pPr>
        <w:numPr>
          <w:ilvl w:val="0"/>
          <w:numId w:val="39"/>
        </w:num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5A304A5" w14:textId="00872437" w:rsidR="00FB3EE8" w:rsidRPr="00264AA6" w:rsidRDefault="00FB3EE8" w:rsidP="00FB3EE8">
      <w:pPr>
        <w:numPr>
          <w:ilvl w:val="0"/>
          <w:numId w:val="39"/>
        </w:num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5264601" w14:textId="77777777" w:rsidR="00264AA6" w:rsidRPr="0035795C" w:rsidRDefault="00264AA6" w:rsidP="00264AA6">
      <w:pPr>
        <w:spacing w:after="0" w:line="360" w:lineRule="auto"/>
        <w:ind w:left="720"/>
        <w:jc w:val="both"/>
        <w:rPr>
          <w:rFonts w:ascii="Palatino Linotype" w:eastAsia="Palatino Linotype" w:hAnsi="Palatino Linotype" w:cs="Palatino Linotype"/>
          <w:b/>
        </w:rPr>
      </w:pPr>
    </w:p>
    <w:p w14:paraId="59F5E83C" w14:textId="13B6BD5B" w:rsidR="00FB3EE8" w:rsidRPr="00FB3EE8" w:rsidRDefault="00FB3EE8" w:rsidP="00FB3EE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u w:val="single"/>
        </w:rPr>
      </w:pPr>
      <w:r w:rsidRPr="00FB3EE8">
        <w:rPr>
          <w:rFonts w:ascii="Palatino Linotype" w:eastAsia="Palatino Linotype" w:hAnsi="Palatino Linotype" w:cs="Palatino Linotype"/>
          <w:sz w:val="24"/>
        </w:rPr>
        <w:t xml:space="preserve">De tal manera que, la Unidad de Transparencia debió de haber seguido un determinado procedimiento para atender la solicitud que ahora nos ocupa, entre este, </w:t>
      </w:r>
      <w:r w:rsidRPr="00FB3EE8">
        <w:rPr>
          <w:rFonts w:ascii="Palatino Linotype" w:eastAsia="Palatino Linotype" w:hAnsi="Palatino Linotype" w:cs="Palatino Linotype"/>
          <w:b/>
          <w:sz w:val="24"/>
          <w:u w:val="single"/>
        </w:rPr>
        <w:t xml:space="preserve">haber turnado la solicitud de información a todas las áreas competentes que cuenten con la información o deban tenerla de acuerdo con sus facultades, funciones y atribuciones, para que realicen una búsqueda exhaustiva y razonable </w:t>
      </w:r>
      <w:r>
        <w:rPr>
          <w:rFonts w:ascii="Palatino Linotype" w:eastAsia="Palatino Linotype" w:hAnsi="Palatino Linotype" w:cs="Palatino Linotype"/>
          <w:b/>
          <w:sz w:val="24"/>
          <w:u w:val="single"/>
        </w:rPr>
        <w:t>de la documentación solicitada</w:t>
      </w:r>
      <w:r>
        <w:rPr>
          <w:rFonts w:ascii="Palatino Linotype" w:eastAsia="Palatino Linotype" w:hAnsi="Palatino Linotype" w:cs="Palatino Linotype"/>
          <w:sz w:val="24"/>
          <w:u w:val="single"/>
        </w:rPr>
        <w:t xml:space="preserve">. </w:t>
      </w:r>
    </w:p>
    <w:p w14:paraId="28D31838" w14:textId="77777777" w:rsidR="00FB3EE8" w:rsidRPr="00FC5ED2" w:rsidRDefault="00FB3EE8" w:rsidP="00FB3EE8">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sz w:val="24"/>
          <w:szCs w:val="24"/>
        </w:rPr>
      </w:pPr>
    </w:p>
    <w:p w14:paraId="3D5AFF43" w14:textId="78A012B0" w:rsidR="007670F9" w:rsidRPr="007670F9" w:rsidRDefault="00FB3EE8" w:rsidP="007670F9">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mismo orden de ideas, también se advierte que, el pronunciamiento por parte del Titular de la Unidad de Transparencia</w:t>
      </w:r>
      <w:r w:rsidR="007670F9">
        <w:rPr>
          <w:rFonts w:ascii="Palatino Linotype" w:eastAsia="Palatino Linotype" w:hAnsi="Palatino Linotype" w:cs="Palatino Linotype"/>
          <w:color w:val="000000"/>
          <w:sz w:val="24"/>
          <w:szCs w:val="24"/>
        </w:rPr>
        <w:t xml:space="preserve"> no atendió el principio de congruencia y exhaustividad, </w:t>
      </w:r>
      <w:r>
        <w:rPr>
          <w:rFonts w:ascii="Palatino Linotype" w:eastAsia="Palatino Linotype" w:hAnsi="Palatino Linotype" w:cs="Palatino Linotype"/>
          <w:color w:val="000000"/>
          <w:sz w:val="24"/>
          <w:szCs w:val="24"/>
        </w:rPr>
        <w:t xml:space="preserve">en </w:t>
      </w:r>
      <w:r w:rsidR="007670F9">
        <w:rPr>
          <w:rFonts w:ascii="Palatino Linotype" w:eastAsia="Palatino Linotype" w:hAnsi="Palatino Linotype" w:cs="Palatino Linotype"/>
          <w:color w:val="000000"/>
          <w:sz w:val="24"/>
          <w:szCs w:val="24"/>
        </w:rPr>
        <w:t xml:space="preserve">el cual de acuerdo con </w:t>
      </w:r>
      <w:r w:rsidR="007670F9" w:rsidRPr="00324948">
        <w:rPr>
          <w:rFonts w:ascii="Palatino Linotype" w:eastAsia="Palatino Linotype" w:hAnsi="Palatino Linotype" w:cs="Palatino Linotype"/>
          <w:sz w:val="24"/>
          <w:szCs w:val="24"/>
        </w:rPr>
        <w:t xml:space="preserve">el Criterio 02/2017 emitido por el Instituto </w:t>
      </w:r>
      <w:r w:rsidR="007670F9" w:rsidRPr="00324948">
        <w:rPr>
          <w:rFonts w:ascii="Palatino Linotype" w:eastAsia="Palatino Linotype" w:hAnsi="Palatino Linotype" w:cs="Palatino Linotype"/>
          <w:sz w:val="24"/>
          <w:szCs w:val="24"/>
        </w:rPr>
        <w:lastRenderedPageBreak/>
        <w:t xml:space="preserve">Nacional de Transparencia, Acceso a la Información y Protección de Datos Personales se establece que: </w:t>
      </w:r>
    </w:p>
    <w:p w14:paraId="66FF6F20" w14:textId="77777777" w:rsidR="007670F9" w:rsidRPr="00475256" w:rsidRDefault="007670F9" w:rsidP="007670F9">
      <w:pPr>
        <w:pStyle w:val="Prrafodelista"/>
        <w:spacing w:after="0" w:line="360" w:lineRule="auto"/>
        <w:ind w:left="0"/>
        <w:jc w:val="both"/>
        <w:rPr>
          <w:rFonts w:ascii="Palatino Linotype" w:eastAsia="Palatino Linotype" w:hAnsi="Palatino Linotype" w:cs="Palatino Linotype"/>
          <w:bCs/>
          <w:sz w:val="24"/>
          <w:szCs w:val="24"/>
        </w:rPr>
      </w:pPr>
    </w:p>
    <w:p w14:paraId="70570AE5" w14:textId="77777777" w:rsidR="007670F9" w:rsidRPr="000503EB" w:rsidRDefault="007670F9" w:rsidP="007670F9">
      <w:pPr>
        <w:ind w:left="567" w:right="567"/>
        <w:jc w:val="both"/>
        <w:rPr>
          <w:rFonts w:ascii="Palatino Linotype" w:hAnsi="Palatino Linotype" w:cs="Arial"/>
          <w:i/>
          <w:iCs/>
          <w:color w:val="000000"/>
        </w:rPr>
      </w:pPr>
      <w:r w:rsidRPr="000503EB">
        <w:rPr>
          <w:rStyle w:val="normaltextrun"/>
          <w:rFonts w:ascii="Palatino Linotype" w:hAnsi="Palatino Linotype" w:cs="Arial"/>
          <w:b/>
          <w:bCs/>
          <w:i/>
          <w:iCs/>
          <w:color w:val="000000"/>
          <w:shd w:val="clear" w:color="auto" w:fill="FFFFFF"/>
        </w:rPr>
        <w:t xml:space="preserve">Congruencia y exhaustividad. Sus alcances para garantizar el derecho de acceso a la información. </w:t>
      </w:r>
      <w:r w:rsidRPr="000503EB">
        <w:rPr>
          <w:rStyle w:val="normaltextrun"/>
          <w:rFonts w:ascii="Palatino Linotype" w:hAnsi="Palatino Linotype" w:cs="Arial"/>
          <w:i/>
          <w:iCs/>
          <w:color w:val="000000"/>
          <w:shd w:val="clear" w:color="auto" w:fill="FFFFFF"/>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649DF16" w14:textId="77777777" w:rsidR="007670F9" w:rsidRDefault="007670F9" w:rsidP="007670F9">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3E7ED7BA" w14:textId="6F92C91D" w:rsidR="007670F9" w:rsidRDefault="007670F9" w:rsidP="007670F9">
      <w:pPr>
        <w:pBdr>
          <w:top w:val="nil"/>
          <w:left w:val="nil"/>
          <w:bottom w:val="nil"/>
          <w:right w:val="nil"/>
          <w:between w:val="nil"/>
        </w:pBdr>
        <w:spacing w:after="0" w:line="360" w:lineRule="auto"/>
        <w:ind w:right="-150"/>
        <w:jc w:val="both"/>
        <w:rPr>
          <w:rFonts w:ascii="Palatino Linotype" w:eastAsia="Palatino Linotype" w:hAnsi="Palatino Linotype" w:cs="Palatino Linotype"/>
          <w:bCs/>
          <w:sz w:val="24"/>
        </w:rPr>
      </w:pPr>
      <w:r w:rsidRPr="007670F9">
        <w:rPr>
          <w:rFonts w:ascii="Palatino Linotype" w:eastAsia="Palatino Linotype" w:hAnsi="Palatino Linotype" w:cs="Palatino Linotype"/>
          <w:sz w:val="24"/>
        </w:rPr>
        <w:t xml:space="preserve">Es así, que los sujetos obligados para garantizar el derecho de acceso a la Información, deberán cumplir con los principios de exhaustividad y congruencia, esto es, que la congruencia </w:t>
      </w:r>
      <w:r w:rsidRPr="007670F9">
        <w:rPr>
          <w:rFonts w:ascii="Palatino Linotype" w:eastAsia="Palatino Linotype" w:hAnsi="Palatino Linotype" w:cs="Palatino Linotype"/>
          <w:b/>
          <w:sz w:val="24"/>
        </w:rPr>
        <w:t>implica que exista concordancia entre el requerimiento formulado por el particular y la respuesta proporcionada por el sujeto obligado</w:t>
      </w:r>
      <w:r w:rsidRPr="007670F9">
        <w:rPr>
          <w:rFonts w:ascii="Palatino Linotype" w:eastAsia="Palatino Linotype" w:hAnsi="Palatino Linotype" w:cs="Palatino Linotype"/>
          <w:sz w:val="24"/>
        </w:rPr>
        <w:t xml:space="preserve">, mientras que la exhaustividad establece que el sujeto obligado </w:t>
      </w:r>
      <w:r w:rsidRPr="007670F9">
        <w:rPr>
          <w:rFonts w:ascii="Palatino Linotype" w:eastAsia="Palatino Linotype" w:hAnsi="Palatino Linotype" w:cs="Palatino Linotype"/>
          <w:b/>
          <w:bCs/>
          <w:sz w:val="24"/>
        </w:rPr>
        <w:t>deberá atender de manera expresa cada uno de los puntos solicitados</w:t>
      </w:r>
      <w:r w:rsidRPr="007670F9">
        <w:rPr>
          <w:rFonts w:ascii="Palatino Linotype" w:eastAsia="Palatino Linotype" w:hAnsi="Palatino Linotype" w:cs="Palatino Linotype"/>
          <w:sz w:val="24"/>
        </w:rPr>
        <w:t xml:space="preserve">, situación que en el presente caso </w:t>
      </w:r>
      <w:r w:rsidRPr="007670F9">
        <w:rPr>
          <w:rFonts w:ascii="Palatino Linotype" w:eastAsia="Palatino Linotype" w:hAnsi="Palatino Linotype" w:cs="Palatino Linotype"/>
          <w:b/>
          <w:bCs/>
          <w:sz w:val="24"/>
          <w:u w:val="single"/>
        </w:rPr>
        <w:t>no aconteció</w:t>
      </w:r>
      <w:r w:rsidRPr="007670F9">
        <w:rPr>
          <w:rFonts w:ascii="Palatino Linotype" w:eastAsia="Palatino Linotype" w:hAnsi="Palatino Linotype" w:cs="Palatino Linotype"/>
          <w:sz w:val="24"/>
        </w:rPr>
        <w:t>, pues el Sujeto Obligado</w:t>
      </w:r>
      <w:r w:rsidR="00FB3EE8">
        <w:rPr>
          <w:rFonts w:ascii="Palatino Linotype" w:eastAsia="Palatino Linotype" w:hAnsi="Palatino Linotype" w:cs="Palatino Linotype"/>
          <w:sz w:val="24"/>
        </w:rPr>
        <w:t xml:space="preserve"> se limitó a señalar que el veintitrés de marzo de dos mil veintitrés se declaró improcedente el incidente y se señaló una nueva fecha parea audiencia, no obstante, esta manifestación no guarda relación con el requerimiento </w:t>
      </w:r>
      <w:r w:rsidR="00B44E88">
        <w:rPr>
          <w:rFonts w:ascii="Palatino Linotype" w:eastAsia="Palatino Linotype" w:hAnsi="Palatino Linotype" w:cs="Palatino Linotype"/>
          <w:sz w:val="24"/>
        </w:rPr>
        <w:t>inicial</w:t>
      </w:r>
      <w:r w:rsidR="00FB3EE8">
        <w:rPr>
          <w:rFonts w:ascii="Palatino Linotype" w:eastAsia="Palatino Linotype" w:hAnsi="Palatino Linotype" w:cs="Palatino Linotype"/>
          <w:sz w:val="24"/>
        </w:rPr>
        <w:t xml:space="preserve">, el cual es obtener la versión pública de la </w:t>
      </w:r>
      <w:r w:rsidR="00B44E88">
        <w:rPr>
          <w:rFonts w:ascii="Palatino Linotype" w:eastAsia="Palatino Linotype" w:hAnsi="Palatino Linotype" w:cs="Palatino Linotype"/>
          <w:sz w:val="24"/>
        </w:rPr>
        <w:t>resolución</w:t>
      </w:r>
      <w:r w:rsidR="00FB3EE8">
        <w:rPr>
          <w:rFonts w:ascii="Palatino Linotype" w:eastAsia="Palatino Linotype" w:hAnsi="Palatino Linotype" w:cs="Palatino Linotype"/>
          <w:sz w:val="24"/>
        </w:rPr>
        <w:t xml:space="preserve"> incidental </w:t>
      </w:r>
      <w:r w:rsidR="00B44E88">
        <w:rPr>
          <w:rFonts w:ascii="Palatino Linotype" w:eastAsia="Palatino Linotype" w:hAnsi="Palatino Linotype" w:cs="Palatino Linotype"/>
          <w:sz w:val="24"/>
        </w:rPr>
        <w:t xml:space="preserve">de fecha quince de junio de dos mil veintidós. </w:t>
      </w:r>
      <w:r>
        <w:rPr>
          <w:rFonts w:ascii="Palatino Linotype" w:eastAsia="Palatino Linotype" w:hAnsi="Palatino Linotype" w:cs="Palatino Linotype"/>
          <w:bCs/>
          <w:sz w:val="24"/>
        </w:rPr>
        <w:t xml:space="preserve"> </w:t>
      </w:r>
    </w:p>
    <w:p w14:paraId="77A37D02" w14:textId="77777777" w:rsidR="00974645" w:rsidRDefault="00974645" w:rsidP="007670F9">
      <w:pPr>
        <w:pBdr>
          <w:top w:val="nil"/>
          <w:left w:val="nil"/>
          <w:bottom w:val="nil"/>
          <w:right w:val="nil"/>
          <w:between w:val="nil"/>
        </w:pBdr>
        <w:spacing w:after="0" w:line="360" w:lineRule="auto"/>
        <w:ind w:right="-150"/>
        <w:jc w:val="both"/>
        <w:rPr>
          <w:rFonts w:ascii="Palatino Linotype" w:eastAsia="Palatino Linotype" w:hAnsi="Palatino Linotype" w:cs="Palatino Linotype"/>
          <w:bCs/>
          <w:sz w:val="24"/>
        </w:rPr>
      </w:pPr>
    </w:p>
    <w:p w14:paraId="55FFA764" w14:textId="4BC5964C" w:rsidR="00974645" w:rsidRDefault="007670F9" w:rsidP="00FB4703">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r w:rsidRPr="007C32AE">
        <w:rPr>
          <w:rFonts w:ascii="Palatino Linotype" w:eastAsia="Palatino Linotype" w:hAnsi="Palatino Linotype" w:cs="Palatino Linotype"/>
          <w:bCs/>
          <w:color w:val="000000"/>
          <w:sz w:val="24"/>
          <w:szCs w:val="24"/>
        </w:rPr>
        <w:lastRenderedPageBreak/>
        <w:t xml:space="preserve">Es por lo que, </w:t>
      </w:r>
      <w:r>
        <w:rPr>
          <w:rFonts w:ascii="Palatino Linotype" w:eastAsia="Palatino Linotype" w:hAnsi="Palatino Linotype" w:cs="Palatino Linotype"/>
          <w:bCs/>
          <w:color w:val="000000"/>
          <w:sz w:val="24"/>
          <w:szCs w:val="24"/>
        </w:rPr>
        <w:t>debido a que el Sujeto Obligado</w:t>
      </w:r>
      <w:r w:rsidR="00B44E88">
        <w:rPr>
          <w:rFonts w:ascii="Palatino Linotype" w:eastAsia="Palatino Linotype" w:hAnsi="Palatino Linotype" w:cs="Palatino Linotype"/>
          <w:bCs/>
          <w:color w:val="000000"/>
          <w:sz w:val="24"/>
          <w:szCs w:val="24"/>
        </w:rPr>
        <w:t xml:space="preserve">, no siguió el procedimiento de búsqueda exhaustiva y razonable de la información y tampoco atendió lo que establece el principio de congruencia y exhaustividad, se colige que </w:t>
      </w:r>
      <w:r w:rsidR="00261385" w:rsidRPr="00261385">
        <w:rPr>
          <w:rFonts w:ascii="Palatino Linotype" w:eastAsia="Palatino Linotype" w:hAnsi="Palatino Linotype" w:cs="Palatino Linotype"/>
          <w:color w:val="000000"/>
          <w:sz w:val="24"/>
          <w:szCs w:val="24"/>
        </w:rPr>
        <w:t xml:space="preserve">los agravios hechos valer por el Particular son </w:t>
      </w:r>
      <w:r w:rsidR="00261385" w:rsidRPr="00261385">
        <w:rPr>
          <w:rFonts w:ascii="Palatino Linotype" w:eastAsia="Palatino Linotype" w:hAnsi="Palatino Linotype" w:cs="Palatino Linotype"/>
          <w:b/>
          <w:color w:val="000000"/>
          <w:sz w:val="24"/>
          <w:szCs w:val="24"/>
        </w:rPr>
        <w:t>FUNDADOS</w:t>
      </w:r>
      <w:r w:rsidR="00261385" w:rsidRPr="00261385">
        <w:rPr>
          <w:rFonts w:ascii="Palatino Linotype" w:eastAsia="Palatino Linotype" w:hAnsi="Palatino Linotype" w:cs="Palatino Linotype"/>
          <w:color w:val="000000"/>
          <w:sz w:val="24"/>
          <w:szCs w:val="24"/>
        </w:rPr>
        <w:t xml:space="preserve"> y, por ende, este Organismo Garante determina </w:t>
      </w:r>
      <w:r w:rsidR="00261385" w:rsidRPr="00261385">
        <w:rPr>
          <w:rFonts w:ascii="Palatino Linotype" w:eastAsia="Palatino Linotype" w:hAnsi="Palatino Linotype" w:cs="Palatino Linotype"/>
          <w:b/>
          <w:color w:val="000000"/>
          <w:sz w:val="24"/>
          <w:szCs w:val="24"/>
        </w:rPr>
        <w:t>REVOCAR</w:t>
      </w:r>
      <w:r w:rsidR="00261385" w:rsidRPr="00261385">
        <w:rPr>
          <w:rFonts w:ascii="Palatino Linotype" w:eastAsia="Palatino Linotype" w:hAnsi="Palatino Linotype" w:cs="Palatino Linotype"/>
          <w:color w:val="000000"/>
          <w:sz w:val="24"/>
          <w:szCs w:val="24"/>
        </w:rPr>
        <w:t xml:space="preserve"> la respuesta del Sujeto Obligado y;</w:t>
      </w:r>
      <w:r w:rsidR="00261385" w:rsidRPr="00261385">
        <w:rPr>
          <w:rFonts w:ascii="Palatino Linotype" w:eastAsia="Palatino Linotype" w:hAnsi="Palatino Linotype" w:cs="Palatino Linotype"/>
          <w:b/>
          <w:color w:val="000000"/>
          <w:sz w:val="24"/>
          <w:szCs w:val="24"/>
        </w:rPr>
        <w:t xml:space="preserve"> ORDENAR</w:t>
      </w:r>
      <w:r w:rsidR="00261385" w:rsidRPr="00261385">
        <w:rPr>
          <w:rFonts w:ascii="Palatino Linotype" w:eastAsia="Palatino Linotype" w:hAnsi="Palatino Linotype" w:cs="Palatino Linotype"/>
          <w:color w:val="000000"/>
          <w:sz w:val="24"/>
          <w:szCs w:val="24"/>
        </w:rPr>
        <w:t>,</w:t>
      </w:r>
      <w:r w:rsidR="00B44E88">
        <w:rPr>
          <w:rFonts w:ascii="Palatino Linotype" w:eastAsia="Palatino Linotype" w:hAnsi="Palatino Linotype" w:cs="Palatino Linotype"/>
          <w:color w:val="000000"/>
          <w:sz w:val="24"/>
          <w:szCs w:val="24"/>
        </w:rPr>
        <w:t xml:space="preserve"> previa búsqueda exhaustiva y razonable,</w:t>
      </w:r>
      <w:r w:rsidR="00261385" w:rsidRPr="00261385">
        <w:rPr>
          <w:rFonts w:ascii="Palatino Linotype" w:eastAsia="Palatino Linotype" w:hAnsi="Palatino Linotype" w:cs="Palatino Linotype"/>
          <w:color w:val="000000"/>
          <w:sz w:val="24"/>
          <w:szCs w:val="24"/>
        </w:rPr>
        <w:t xml:space="preserve"> en versión pública, lo siguiente:</w:t>
      </w:r>
    </w:p>
    <w:p w14:paraId="0A63839A" w14:textId="77777777" w:rsidR="00974645" w:rsidRDefault="00974645" w:rsidP="00FB4703">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p>
    <w:p w14:paraId="23D94F39" w14:textId="77777777" w:rsidR="00E9566B" w:rsidRPr="00B44E88" w:rsidRDefault="00E9566B" w:rsidP="00E9566B">
      <w:pPr>
        <w:pStyle w:val="Prrafodelista"/>
        <w:numPr>
          <w:ilvl w:val="0"/>
          <w:numId w:val="3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b/>
          <w:color w:val="000000"/>
          <w:szCs w:val="24"/>
        </w:rPr>
      </w:pPr>
      <w:r>
        <w:rPr>
          <w:rFonts w:ascii="Palatino Linotype" w:eastAsia="Palatino Linotype" w:hAnsi="Palatino Linotype" w:cs="Palatino Linotype"/>
          <w:b/>
          <w:color w:val="000000"/>
          <w:szCs w:val="24"/>
        </w:rPr>
        <w:t>Sentencia interlocutoria</w:t>
      </w:r>
      <w:r w:rsidRPr="00B44E88">
        <w:rPr>
          <w:rFonts w:ascii="Palatino Linotype" w:eastAsia="Palatino Linotype" w:hAnsi="Palatino Linotype" w:cs="Palatino Linotype"/>
          <w:b/>
          <w:color w:val="000000"/>
          <w:szCs w:val="24"/>
        </w:rPr>
        <w:t xml:space="preserve"> </w:t>
      </w:r>
      <w:r>
        <w:rPr>
          <w:rFonts w:ascii="Palatino Linotype" w:eastAsia="Palatino Linotype" w:hAnsi="Palatino Linotype" w:cs="Palatino Linotype"/>
          <w:b/>
          <w:color w:val="000000"/>
          <w:szCs w:val="24"/>
        </w:rPr>
        <w:t xml:space="preserve">que haya causado estado, emitida con motivo de la audiencia celebrada </w:t>
      </w:r>
      <w:proofErr w:type="gramStart"/>
      <w:r>
        <w:rPr>
          <w:rFonts w:ascii="Palatino Linotype" w:eastAsia="Palatino Linotype" w:hAnsi="Palatino Linotype" w:cs="Palatino Linotype"/>
          <w:b/>
          <w:color w:val="000000"/>
          <w:szCs w:val="24"/>
        </w:rPr>
        <w:t>en  fecha</w:t>
      </w:r>
      <w:proofErr w:type="gramEnd"/>
      <w:r>
        <w:rPr>
          <w:rFonts w:ascii="Palatino Linotype" w:eastAsia="Palatino Linotype" w:hAnsi="Palatino Linotype" w:cs="Palatino Linotype"/>
          <w:b/>
          <w:color w:val="000000"/>
          <w:szCs w:val="24"/>
        </w:rPr>
        <w:t xml:space="preserve"> </w:t>
      </w:r>
      <w:r w:rsidRPr="00B44E88">
        <w:rPr>
          <w:rFonts w:ascii="Palatino Linotype" w:eastAsia="Palatino Linotype" w:hAnsi="Palatino Linotype" w:cs="Palatino Linotype"/>
          <w:b/>
          <w:color w:val="000000"/>
          <w:szCs w:val="24"/>
        </w:rPr>
        <w:t>quince de junio de dos mil veintidós que obra en el expediente número TEC</w:t>
      </w:r>
      <w:r>
        <w:rPr>
          <w:rFonts w:ascii="Palatino Linotype" w:eastAsia="Palatino Linotype" w:hAnsi="Palatino Linotype" w:cs="Palatino Linotype"/>
          <w:b/>
          <w:color w:val="000000"/>
          <w:szCs w:val="24"/>
        </w:rPr>
        <w:t xml:space="preserve">A/02874/2019 bajo la mesa cinco. </w:t>
      </w:r>
    </w:p>
    <w:p w14:paraId="3F9038E1" w14:textId="77777777" w:rsidR="00FB4703" w:rsidRPr="00FB4703" w:rsidRDefault="00FB4703" w:rsidP="00FB4703">
      <w:pPr>
        <w:pStyle w:val="Prrafodelista"/>
        <w:spacing w:after="0" w:line="360" w:lineRule="auto"/>
        <w:ind w:left="780" w:right="560"/>
        <w:jc w:val="both"/>
        <w:rPr>
          <w:rFonts w:ascii="Palatino Linotype" w:eastAsia="Palatino Linotype" w:hAnsi="Palatino Linotype" w:cs="Palatino Linotype"/>
          <w:b/>
        </w:rPr>
      </w:pPr>
    </w:p>
    <w:p w14:paraId="2EA1478F" w14:textId="77777777" w:rsidR="003A0D42" w:rsidRDefault="003A0D42" w:rsidP="003A0D42">
      <w:pPr>
        <w:spacing w:line="276" w:lineRule="auto"/>
        <w:ind w:left="567" w:right="615"/>
        <w:jc w:val="both"/>
        <w:rPr>
          <w:rFonts w:ascii="Palatino Linotype" w:eastAsia="Palatino Linotype" w:hAnsi="Palatino Linotype" w:cs="Palatino Linotype"/>
          <w:i/>
        </w:rPr>
      </w:pPr>
      <w:r>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8585AA6" w14:textId="77777777" w:rsidR="00264AA6" w:rsidRDefault="00264AA6" w:rsidP="00E9566B">
      <w:pPr>
        <w:spacing w:after="0" w:line="276" w:lineRule="auto"/>
        <w:ind w:left="567" w:right="615"/>
        <w:jc w:val="both"/>
        <w:rPr>
          <w:rFonts w:ascii="Palatino Linotype" w:eastAsia="Palatino Linotype" w:hAnsi="Palatino Linotype" w:cs="Palatino Linotype"/>
          <w:i/>
        </w:rPr>
      </w:pPr>
    </w:p>
    <w:p w14:paraId="1D6877BF" w14:textId="77777777" w:rsidR="00E9566B" w:rsidRDefault="00E9566B" w:rsidP="00E9566B">
      <w:pPr>
        <w:spacing w:line="276" w:lineRule="auto"/>
        <w:ind w:left="567" w:right="615"/>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el caso de que la información que se ordena entregar no haya causado estado, el Sujeto Obligado deberá proporcionar el Acuerdo de Clasificación emitido por su Comité de Transparencia, mediante el cual confirme la clasificación de la información como reservada, en términos del artículo 140 </w:t>
      </w:r>
      <w:proofErr w:type="gramStart"/>
      <w:r>
        <w:rPr>
          <w:rFonts w:ascii="Palatino Linotype" w:eastAsia="Palatino Linotype" w:hAnsi="Palatino Linotype" w:cs="Palatino Linotype"/>
          <w:i/>
        </w:rPr>
        <w:t>fracción  VIII</w:t>
      </w:r>
      <w:proofErr w:type="gramEnd"/>
      <w:r>
        <w:rPr>
          <w:rFonts w:ascii="Palatino Linotype" w:eastAsia="Palatino Linotype" w:hAnsi="Palatino Linotype" w:cs="Palatino Linotype"/>
          <w:i/>
        </w:rPr>
        <w:t xml:space="preserve"> de la Ley de Transparencia y Acceso a la Información Pública del Estado de México y Municipios. </w:t>
      </w:r>
    </w:p>
    <w:p w14:paraId="1325C5DA" w14:textId="77777777" w:rsidR="00C2535A" w:rsidRPr="008645E3" w:rsidRDefault="00C2535A" w:rsidP="003B72BC">
      <w:pPr>
        <w:spacing w:after="0" w:line="360" w:lineRule="auto"/>
        <w:ind w:right="49"/>
        <w:jc w:val="both"/>
        <w:rPr>
          <w:rFonts w:ascii="Palatino Linotype" w:eastAsia="Palatino Linotype" w:hAnsi="Palatino Linotype" w:cs="Palatino Linotype"/>
          <w:sz w:val="24"/>
          <w:szCs w:val="24"/>
        </w:rPr>
      </w:pPr>
    </w:p>
    <w:p w14:paraId="01D095DF" w14:textId="77777777" w:rsidR="009E75B5" w:rsidRPr="009E75B5" w:rsidRDefault="009E75B5" w:rsidP="009E75B5">
      <w:pPr>
        <w:spacing w:after="0" w:line="360" w:lineRule="auto"/>
        <w:jc w:val="both"/>
        <w:rPr>
          <w:rFonts w:ascii="Palatino Linotype" w:eastAsia="Palatino Linotype" w:hAnsi="Palatino Linotype" w:cs="Palatino Linotype"/>
          <w:sz w:val="24"/>
        </w:rPr>
      </w:pPr>
      <w:r w:rsidRPr="009E75B5">
        <w:rPr>
          <w:rFonts w:ascii="Palatino Linotype" w:eastAsia="Palatino Linotype" w:hAnsi="Palatino Linotype" w:cs="Palatino Linotype"/>
          <w:b/>
          <w:sz w:val="24"/>
        </w:rPr>
        <w:t>Quinto. Versión Pública</w:t>
      </w:r>
      <w:r w:rsidRPr="009E75B5">
        <w:rPr>
          <w:rFonts w:ascii="Palatino Linotype" w:eastAsia="Palatino Linotype" w:hAnsi="Palatino Linotype" w:cs="Palatino Linotype"/>
          <w:sz w:val="24"/>
        </w:rPr>
        <w:t xml:space="preserve">.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w:t>
      </w:r>
      <w:r w:rsidRPr="009E75B5">
        <w:rPr>
          <w:rFonts w:ascii="Palatino Linotype" w:eastAsia="Palatino Linotype" w:hAnsi="Palatino Linotype" w:cs="Palatino Linotype"/>
          <w:sz w:val="24"/>
        </w:rPr>
        <w:lastRenderedPageBreak/>
        <w:t>versión pública de los documentos que vaya entregar para dar cumplimiento a esta resolución a fin de satisfacer el derecho de acceso a la información pública del recurrente sin menoscabar el derecho a la protección de los datos personales de terceros.</w:t>
      </w:r>
    </w:p>
    <w:p w14:paraId="3A12499A" w14:textId="77777777" w:rsidR="009E75B5" w:rsidRDefault="009E75B5" w:rsidP="009E75B5">
      <w:pPr>
        <w:spacing w:after="0" w:line="360" w:lineRule="auto"/>
        <w:jc w:val="both"/>
        <w:rPr>
          <w:rFonts w:ascii="Palatino Linotype" w:eastAsia="Palatino Linotype" w:hAnsi="Palatino Linotype" w:cs="Palatino Linotype"/>
        </w:rPr>
      </w:pPr>
    </w:p>
    <w:p w14:paraId="6A9E7EA0" w14:textId="77777777" w:rsidR="009E75B5" w:rsidRPr="009E75B5" w:rsidRDefault="009E75B5" w:rsidP="009E75B5">
      <w:pPr>
        <w:spacing w:after="0" w:line="360" w:lineRule="auto"/>
        <w:ind w:right="50"/>
        <w:jc w:val="both"/>
        <w:rPr>
          <w:rFonts w:ascii="Palatino Linotype" w:eastAsia="Palatino Linotype" w:hAnsi="Palatino Linotype" w:cs="Palatino Linotype"/>
          <w:sz w:val="24"/>
        </w:rPr>
      </w:pPr>
      <w:r w:rsidRPr="009E75B5">
        <w:rPr>
          <w:rFonts w:ascii="Palatino Linotype" w:eastAsia="Palatino Linotype" w:hAnsi="Palatino Linotype" w:cs="Palatino Linotype"/>
          <w:sz w:val="24"/>
        </w:rPr>
        <w:t>Lo anterior, de conformidad con lo que señalan los artículos 3 fracciones IX, XX, XXI y XLV, 91, 132 fracciones II y III, y 143 de la Ley de Transparencia y Acceso a la Información Pública del Estado de México y Municipios que establecen:</w:t>
      </w:r>
    </w:p>
    <w:p w14:paraId="5D6C9D42" w14:textId="77777777" w:rsidR="009E75B5" w:rsidRDefault="009E75B5" w:rsidP="009E75B5">
      <w:pPr>
        <w:spacing w:after="0" w:line="360" w:lineRule="auto"/>
        <w:ind w:right="50"/>
        <w:jc w:val="both"/>
        <w:rPr>
          <w:rFonts w:ascii="Palatino Linotype" w:eastAsia="Palatino Linotype" w:hAnsi="Palatino Linotype" w:cs="Palatino Linotype"/>
        </w:rPr>
      </w:pPr>
    </w:p>
    <w:p w14:paraId="2AD9E4B7"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3.</w:t>
      </w:r>
      <w:r>
        <w:rPr>
          <w:rFonts w:ascii="Palatino Linotype" w:eastAsia="Palatino Linotype" w:hAnsi="Palatino Linotype" w:cs="Palatino Linotype"/>
          <w:i/>
        </w:rPr>
        <w:t xml:space="preserve"> Para los efectos de la presente Ley se entenderá por:</w:t>
      </w:r>
    </w:p>
    <w:p w14:paraId="0427FE00"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D47FE59"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1DF56697"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XX. Información clasificada: Aquella considerada por la presente Ley como reservada o confidencial;</w:t>
      </w:r>
    </w:p>
    <w:p w14:paraId="6A6D628E"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16AC82B"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788DC048"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1167FDE"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91.</w:t>
      </w:r>
      <w:r>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7345AD1"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132.</w:t>
      </w:r>
      <w:r>
        <w:rPr>
          <w:rFonts w:ascii="Palatino Linotype" w:eastAsia="Palatino Linotype" w:hAnsi="Palatino Linotype" w:cs="Palatino Linotype"/>
          <w:i/>
        </w:rPr>
        <w:t xml:space="preserve"> La clasificación de la información se llevará a cabo en el momento en que:</w:t>
      </w:r>
    </w:p>
    <w:p w14:paraId="7E8CBE71" w14:textId="77777777" w:rsidR="009E75B5" w:rsidRDefault="009E75B5" w:rsidP="009E75B5">
      <w:pPr>
        <w:tabs>
          <w:tab w:val="left" w:pos="1134"/>
        </w:tabs>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Se reciba una solicitud de acceso a la información;</w:t>
      </w:r>
    </w:p>
    <w:p w14:paraId="7872EFEE" w14:textId="77777777" w:rsidR="009E75B5" w:rsidRDefault="009E75B5" w:rsidP="009E75B5">
      <w:pPr>
        <w:tabs>
          <w:tab w:val="left" w:pos="1134"/>
        </w:tabs>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Se determine mediante resolución de autoridad competente; o</w:t>
      </w:r>
    </w:p>
    <w:p w14:paraId="6C6B7977" w14:textId="77777777" w:rsidR="009E75B5" w:rsidRDefault="009E75B5" w:rsidP="009E75B5">
      <w:pPr>
        <w:tabs>
          <w:tab w:val="left" w:pos="1134"/>
        </w:tabs>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III. Se generen versiones públicas para dar cumplimiento a las obligaciones de transparencia previstas en esta Ley.</w:t>
      </w:r>
    </w:p>
    <w:p w14:paraId="721FBBBE"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14:paraId="46726F6B"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143</w:t>
      </w:r>
      <w:r>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F293E67"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5C4BC9C9"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2891216"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III. La que presenten los particulares a los sujetos obligados, de conformidad con lo dispuesto por las leyes o los tratados internacionales.</w:t>
      </w:r>
    </w:p>
    <w:p w14:paraId="3F87CFAD"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5836F916"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4FFEA7A5" w14:textId="77777777" w:rsidR="009E75B5" w:rsidRDefault="009E75B5" w:rsidP="009E75B5">
      <w:pPr>
        <w:spacing w:after="0" w:line="276" w:lineRule="auto"/>
        <w:ind w:left="567" w:right="616"/>
        <w:jc w:val="both"/>
        <w:rPr>
          <w:rFonts w:ascii="Palatino Linotype" w:eastAsia="Palatino Linotype" w:hAnsi="Palatino Linotype" w:cs="Palatino Linotype"/>
          <w:i/>
        </w:rPr>
      </w:pPr>
    </w:p>
    <w:p w14:paraId="777238EF" w14:textId="77777777" w:rsidR="009E75B5" w:rsidRPr="009E75B5" w:rsidRDefault="009E75B5" w:rsidP="009E75B5">
      <w:pPr>
        <w:spacing w:after="0" w:line="360" w:lineRule="auto"/>
        <w:jc w:val="both"/>
        <w:rPr>
          <w:rFonts w:ascii="Palatino Linotype" w:eastAsia="Palatino Linotype" w:hAnsi="Palatino Linotype" w:cs="Palatino Linotype"/>
          <w:sz w:val="24"/>
        </w:rPr>
      </w:pPr>
      <w:r w:rsidRPr="009E75B5">
        <w:rPr>
          <w:rFonts w:ascii="Palatino Linotype" w:eastAsia="Palatino Linotype" w:hAnsi="Palatino Linotype" w:cs="Palatino Linotype"/>
          <w:sz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3FF1A6A" w14:textId="77777777" w:rsidR="009E75B5" w:rsidRPr="00FD1858" w:rsidRDefault="009E75B5" w:rsidP="009E75B5">
      <w:pPr>
        <w:spacing w:after="0" w:line="276" w:lineRule="auto"/>
        <w:jc w:val="both"/>
        <w:rPr>
          <w:rFonts w:ascii="Palatino Linotype" w:eastAsia="Palatino Linotype" w:hAnsi="Palatino Linotype" w:cs="Palatino Linotype"/>
          <w:color w:val="000000"/>
        </w:rPr>
      </w:pPr>
    </w:p>
    <w:p w14:paraId="1CA53C70" w14:textId="77777777" w:rsidR="009E75B5" w:rsidRPr="009E75B5" w:rsidRDefault="009E75B5" w:rsidP="009E75B5">
      <w:pPr>
        <w:spacing w:after="0" w:line="360" w:lineRule="auto"/>
        <w:jc w:val="both"/>
        <w:rPr>
          <w:rFonts w:ascii="Palatino Linotype" w:eastAsia="Palatino Linotype" w:hAnsi="Palatino Linotype" w:cs="Palatino Linotype"/>
          <w:sz w:val="24"/>
        </w:rPr>
      </w:pPr>
      <w:r w:rsidRPr="009E75B5">
        <w:rPr>
          <w:rFonts w:ascii="Palatino Linotype" w:eastAsia="Palatino Linotype" w:hAnsi="Palatino Linotype" w:cs="Palatino Linotype"/>
          <w:sz w:val="24"/>
        </w:rPr>
        <w:t xml:space="preserve">Por otro lado, es de destacar que los artículos Quincuagésimo, Quincuagésimo primero, Quincuagésimo segundo, de los Lineamientos Generales en Materia de Clasificación y Desclasificación de la Información, así como para la Elaboración de </w:t>
      </w:r>
      <w:r w:rsidRPr="009E75B5">
        <w:rPr>
          <w:rFonts w:ascii="Palatino Linotype" w:eastAsia="Palatino Linotype" w:hAnsi="Palatino Linotype" w:cs="Palatino Linotype"/>
          <w:sz w:val="24"/>
        </w:rPr>
        <w:lastRenderedPageBreak/>
        <w:t>Versiones Públicas señalan las formalidades que deberá llevar el acuerdo de clasificación que deberá emitir el Sujeto Obligado, siendo estas las siguientes:</w:t>
      </w:r>
    </w:p>
    <w:p w14:paraId="0A0C45C5" w14:textId="77777777" w:rsidR="009E75B5" w:rsidRDefault="009E75B5" w:rsidP="009E75B5">
      <w:pPr>
        <w:spacing w:after="0" w:line="360" w:lineRule="auto"/>
        <w:jc w:val="both"/>
        <w:rPr>
          <w:rFonts w:ascii="Palatino Linotype" w:eastAsia="Palatino Linotype" w:hAnsi="Palatino Linotype" w:cs="Palatino Linotype"/>
        </w:rPr>
      </w:pPr>
    </w:p>
    <w:p w14:paraId="13DD4912"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Quincuagésimo</w:t>
      </w:r>
      <w:r>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B48FB5A"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Quincuagésimo primero.</w:t>
      </w:r>
      <w:r>
        <w:rPr>
          <w:rFonts w:ascii="Palatino Linotype" w:eastAsia="Palatino Linotype" w:hAnsi="Palatino Linotype" w:cs="Palatino Linotype"/>
          <w:i/>
        </w:rPr>
        <w:t xml:space="preserve"> Toda acta del Comité de Transparencia deberá contener: </w:t>
      </w:r>
    </w:p>
    <w:p w14:paraId="29DF6DEF"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 El número de sesión y fecha; </w:t>
      </w:r>
    </w:p>
    <w:p w14:paraId="7B89332D"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 El nombre del área que solicitó la clasificación de información; </w:t>
      </w:r>
    </w:p>
    <w:p w14:paraId="597D3EE1"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III. La fundamentación legal y motivación correspondiente; </w:t>
      </w:r>
    </w:p>
    <w:p w14:paraId="34E22F8E"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IV. La resolución o resoluciones aprobadas; y </w:t>
      </w:r>
    </w:p>
    <w:p w14:paraId="6447310D"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V. La rúbrica o firma digital de cada integrante del Comité de Transparencia. </w:t>
      </w:r>
    </w:p>
    <w:p w14:paraId="1A31B117"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7F63925F"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Los motivos y razonamientos que sustenten la confirmación o modificación de la prueba de daño;</w:t>
      </w:r>
    </w:p>
    <w:p w14:paraId="29F3509B"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 Descripción de las partes o secciones reservadas, en caso de clasificación parcial; </w:t>
      </w:r>
    </w:p>
    <w:p w14:paraId="76681B27"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III. El periodo por el que mantendrá su clasificación y fecha de expiración; y </w:t>
      </w:r>
    </w:p>
    <w:p w14:paraId="12E6A700"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IV. El nombre del titular y área encargada de realizar la versión pública del documento, en su caso. </w:t>
      </w:r>
    </w:p>
    <w:p w14:paraId="35A159FB"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0A05C7C1"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1ACCFB3A"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Quincuagésimo segundo.</w:t>
      </w:r>
      <w:r>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4CE97D1"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En el caso específico de la clasificación y elaboración de versiones públicas de documentos que contengan información confidencial, las áreas de los sujetos obligados deberán: </w:t>
      </w:r>
    </w:p>
    <w:p w14:paraId="44A30C29"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Fijar la fecha en que se elaboró la versión pública y la fecha en la cual el Comité de Transparencia confirmó dicha versión;</w:t>
      </w:r>
    </w:p>
    <w:p w14:paraId="3E165590"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79DD58E4"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III. Señalar las personas o instancias autorizadas a acceder a la información clasificada.</w:t>
      </w:r>
    </w:p>
    <w:p w14:paraId="3BA80C07"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8E24348" w14:textId="77777777" w:rsidR="009E75B5" w:rsidRDefault="009E75B5" w:rsidP="009E75B5">
      <w:pPr>
        <w:spacing w:after="0" w:line="276" w:lineRule="auto"/>
        <w:ind w:left="567" w:right="616"/>
        <w:jc w:val="both"/>
        <w:rPr>
          <w:rFonts w:ascii="Palatino Linotype" w:eastAsia="Palatino Linotype" w:hAnsi="Palatino Linotype" w:cs="Palatino Linotype"/>
          <w:i/>
        </w:rPr>
      </w:pPr>
    </w:p>
    <w:p w14:paraId="5B3BF9B8" w14:textId="77777777" w:rsidR="009E75B5" w:rsidRPr="009E75B5" w:rsidRDefault="009E75B5" w:rsidP="009E75B5">
      <w:pPr>
        <w:spacing w:after="0" w:line="360" w:lineRule="auto"/>
        <w:ind w:right="50"/>
        <w:jc w:val="both"/>
        <w:rPr>
          <w:rFonts w:ascii="Palatino Linotype" w:eastAsia="Palatino Linotype" w:hAnsi="Palatino Linotype" w:cs="Palatino Linotype"/>
          <w:sz w:val="24"/>
        </w:rPr>
      </w:pPr>
      <w:r w:rsidRPr="009E75B5">
        <w:rPr>
          <w:rFonts w:ascii="Palatino Linotype" w:eastAsia="Palatino Linotype" w:hAnsi="Palatino Linotype" w:cs="Palatino Linotype"/>
          <w:sz w:val="24"/>
        </w:rPr>
        <w:t xml:space="preserve">Asimismo, se deberá observar el Lineamiento Quincuagésimo tercero de los Lineamientos Generales en Materia de Clasificación y Desclasificación de la Información </w:t>
      </w:r>
      <w:proofErr w:type="spellStart"/>
      <w:r w:rsidRPr="009E75B5">
        <w:rPr>
          <w:rFonts w:ascii="Palatino Linotype" w:eastAsia="Palatino Linotype" w:hAnsi="Palatino Linotype" w:cs="Palatino Linotype"/>
          <w:sz w:val="24"/>
        </w:rPr>
        <w:t>supraindicados</w:t>
      </w:r>
      <w:proofErr w:type="spellEnd"/>
      <w:r w:rsidRPr="009E75B5">
        <w:rPr>
          <w:rFonts w:ascii="Palatino Linotype" w:eastAsia="Palatino Linotype" w:hAnsi="Palatino Linotype" w:cs="Palatino Linotype"/>
          <w:sz w:val="24"/>
        </w:rPr>
        <w:t xml:space="preserve"> el cual establece los formatos para la clasificación de los documentos, conforme a lo siguiente: </w:t>
      </w:r>
    </w:p>
    <w:p w14:paraId="26E7FC82" w14:textId="77777777" w:rsidR="009E75B5" w:rsidRDefault="009E75B5" w:rsidP="009E75B5">
      <w:pPr>
        <w:spacing w:after="0"/>
        <w:ind w:left="851" w:right="900"/>
        <w:jc w:val="center"/>
        <w:rPr>
          <w:rFonts w:ascii="Palatino Linotype" w:eastAsia="Palatino Linotype" w:hAnsi="Palatino Linotype" w:cs="Palatino Linotype"/>
          <w:b/>
          <w:i/>
        </w:rPr>
      </w:pPr>
      <w:r>
        <w:rPr>
          <w:rFonts w:ascii="Palatino Linotype" w:eastAsia="Palatino Linotype" w:hAnsi="Palatino Linotype" w:cs="Palatino Linotype"/>
          <w:b/>
          <w:i/>
        </w:rPr>
        <w:t>CAPÍTULO VIII</w:t>
      </w:r>
    </w:p>
    <w:p w14:paraId="2CCED9F3" w14:textId="77777777" w:rsidR="009E75B5" w:rsidRDefault="009E75B5" w:rsidP="009E75B5">
      <w:pPr>
        <w:spacing w:after="0"/>
        <w:ind w:left="851" w:right="900"/>
        <w:jc w:val="center"/>
        <w:rPr>
          <w:rFonts w:ascii="Palatino Linotype" w:eastAsia="Palatino Linotype" w:hAnsi="Palatino Linotype" w:cs="Palatino Linotype"/>
          <w:b/>
          <w:i/>
        </w:rPr>
      </w:pPr>
      <w:r>
        <w:rPr>
          <w:rFonts w:ascii="Palatino Linotype" w:eastAsia="Palatino Linotype" w:hAnsi="Palatino Linotype" w:cs="Palatino Linotype"/>
          <w:b/>
          <w:i/>
        </w:rPr>
        <w:t xml:space="preserve">DE LOS ELEMENTOS PARA LA CLASIFICACIÓN </w:t>
      </w:r>
    </w:p>
    <w:p w14:paraId="168C0723" w14:textId="77777777" w:rsidR="009E75B5" w:rsidRDefault="009E75B5" w:rsidP="009E75B5">
      <w:pPr>
        <w:spacing w:after="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Quincuagésimo tercero. </w:t>
      </w:r>
      <w:r>
        <w:rPr>
          <w:rFonts w:ascii="Palatino Linotype" w:eastAsia="Palatino Linotype" w:hAnsi="Palatino Linotype" w:cs="Palatino Linotype"/>
          <w:i/>
          <w:u w:val="single"/>
        </w:rPr>
        <w:t>El formato para señalar la clasificación de un documento o expediente que contenga información reservada</w:t>
      </w:r>
      <w:r>
        <w:rPr>
          <w:rFonts w:ascii="Palatino Linotype" w:eastAsia="Palatino Linotype" w:hAnsi="Palatino Linotype" w:cs="Palatino Linotype"/>
          <w:i/>
        </w:rPr>
        <w:t xml:space="preserve">, es el siguiente: </w:t>
      </w:r>
    </w:p>
    <w:p w14:paraId="14FA849D" w14:textId="77777777" w:rsidR="009E75B5" w:rsidRDefault="009E75B5" w:rsidP="009E75B5">
      <w:pPr>
        <w:spacing w:after="0"/>
        <w:ind w:left="851" w:right="902"/>
        <w:jc w:val="both"/>
        <w:rPr>
          <w:rFonts w:ascii="Palatino Linotype" w:eastAsia="Palatino Linotype" w:hAnsi="Palatino Linotype" w:cs="Palatino Linotype"/>
          <w:i/>
        </w:rPr>
      </w:pPr>
    </w:p>
    <w:tbl>
      <w:tblPr>
        <w:tblStyle w:val="Tablaconcuadrcula"/>
        <w:tblW w:w="0" w:type="auto"/>
        <w:jc w:val="center"/>
        <w:tblLook w:val="04A0" w:firstRow="1" w:lastRow="0" w:firstColumn="1" w:lastColumn="0" w:noHBand="0" w:noVBand="1"/>
      </w:tblPr>
      <w:tblGrid>
        <w:gridCol w:w="1271"/>
        <w:gridCol w:w="2693"/>
        <w:gridCol w:w="3691"/>
      </w:tblGrid>
      <w:tr w:rsidR="009E75B5" w:rsidRPr="00D00133" w14:paraId="7006843B" w14:textId="77777777" w:rsidTr="00241DE1">
        <w:trPr>
          <w:trHeight w:val="262"/>
          <w:jc w:val="center"/>
        </w:trPr>
        <w:tc>
          <w:tcPr>
            <w:tcW w:w="1271" w:type="dxa"/>
            <w:tcBorders>
              <w:top w:val="nil"/>
              <w:left w:val="nil"/>
            </w:tcBorders>
          </w:tcPr>
          <w:p w14:paraId="69BE25AB" w14:textId="77777777" w:rsidR="009E75B5" w:rsidRPr="00D00133" w:rsidRDefault="009E75B5" w:rsidP="009E75B5">
            <w:pPr>
              <w:rPr>
                <w:rFonts w:ascii="Palatino Linotype" w:hAnsi="Palatino Linotype"/>
                <w:sz w:val="20"/>
              </w:rPr>
            </w:pPr>
          </w:p>
        </w:tc>
        <w:tc>
          <w:tcPr>
            <w:tcW w:w="2693" w:type="dxa"/>
            <w:shd w:val="clear" w:color="auto" w:fill="D9D9D9" w:themeFill="background1" w:themeFillShade="D9"/>
          </w:tcPr>
          <w:p w14:paraId="3EB7F886" w14:textId="77777777" w:rsidR="009E75B5" w:rsidRPr="00D00133" w:rsidRDefault="009E75B5" w:rsidP="009E75B5">
            <w:pPr>
              <w:tabs>
                <w:tab w:val="center" w:pos="1238"/>
                <w:tab w:val="right" w:pos="2477"/>
              </w:tabs>
              <w:rPr>
                <w:rFonts w:ascii="Palatino Linotype" w:hAnsi="Palatino Linotype"/>
                <w:b/>
                <w:sz w:val="20"/>
              </w:rPr>
            </w:pPr>
            <w:r>
              <w:rPr>
                <w:rFonts w:ascii="Palatino Linotype" w:hAnsi="Palatino Linotype"/>
                <w:b/>
                <w:sz w:val="20"/>
              </w:rPr>
              <w:tab/>
            </w:r>
            <w:r w:rsidRPr="00D00133">
              <w:rPr>
                <w:rFonts w:ascii="Palatino Linotype" w:hAnsi="Palatino Linotype"/>
                <w:b/>
                <w:sz w:val="20"/>
              </w:rPr>
              <w:t>Concepto</w:t>
            </w:r>
            <w:r>
              <w:rPr>
                <w:rFonts w:ascii="Palatino Linotype" w:hAnsi="Palatino Linotype"/>
                <w:b/>
                <w:sz w:val="20"/>
              </w:rPr>
              <w:tab/>
            </w:r>
          </w:p>
        </w:tc>
        <w:tc>
          <w:tcPr>
            <w:tcW w:w="3691" w:type="dxa"/>
            <w:shd w:val="clear" w:color="auto" w:fill="D9D9D9" w:themeFill="background1" w:themeFillShade="D9"/>
          </w:tcPr>
          <w:p w14:paraId="32C5F9A2" w14:textId="77777777" w:rsidR="009E75B5" w:rsidRPr="00D00133" w:rsidRDefault="009E75B5" w:rsidP="009E75B5">
            <w:pPr>
              <w:jc w:val="center"/>
              <w:rPr>
                <w:rFonts w:ascii="Palatino Linotype" w:hAnsi="Palatino Linotype"/>
                <w:b/>
                <w:sz w:val="20"/>
              </w:rPr>
            </w:pPr>
            <w:r>
              <w:rPr>
                <w:rFonts w:ascii="Palatino Linotype" w:hAnsi="Palatino Linotype"/>
                <w:b/>
                <w:sz w:val="20"/>
              </w:rPr>
              <w:t>Dónde</w:t>
            </w:r>
          </w:p>
        </w:tc>
      </w:tr>
      <w:tr w:rsidR="009E75B5" w:rsidRPr="00D00133" w14:paraId="622696CD" w14:textId="77777777" w:rsidTr="00241DE1">
        <w:trPr>
          <w:jc w:val="center"/>
        </w:trPr>
        <w:tc>
          <w:tcPr>
            <w:tcW w:w="1271" w:type="dxa"/>
            <w:vMerge w:val="restart"/>
            <w:shd w:val="clear" w:color="auto" w:fill="D9D9D9" w:themeFill="background1" w:themeFillShade="D9"/>
          </w:tcPr>
          <w:p w14:paraId="450BB71B" w14:textId="77777777" w:rsidR="009E75B5" w:rsidRPr="00D00133" w:rsidRDefault="009E75B5" w:rsidP="009E75B5">
            <w:pPr>
              <w:jc w:val="both"/>
              <w:rPr>
                <w:rFonts w:ascii="Palatino Linotype" w:hAnsi="Palatino Linotype"/>
                <w:b/>
                <w:sz w:val="20"/>
              </w:rPr>
            </w:pPr>
          </w:p>
          <w:p w14:paraId="6D7C6165" w14:textId="77777777" w:rsidR="009E75B5" w:rsidRDefault="009E75B5" w:rsidP="009E75B5">
            <w:pPr>
              <w:jc w:val="both"/>
              <w:rPr>
                <w:rFonts w:ascii="Palatino Linotype" w:hAnsi="Palatino Linotype"/>
                <w:b/>
                <w:sz w:val="20"/>
              </w:rPr>
            </w:pPr>
          </w:p>
          <w:p w14:paraId="57B150AF" w14:textId="77777777" w:rsidR="009E75B5" w:rsidRDefault="009E75B5" w:rsidP="009E75B5">
            <w:pPr>
              <w:jc w:val="both"/>
              <w:rPr>
                <w:rFonts w:ascii="Palatino Linotype" w:hAnsi="Palatino Linotype"/>
                <w:b/>
                <w:sz w:val="20"/>
              </w:rPr>
            </w:pPr>
          </w:p>
          <w:p w14:paraId="4871201E" w14:textId="77777777" w:rsidR="009E75B5" w:rsidRDefault="009E75B5" w:rsidP="009E75B5">
            <w:pPr>
              <w:jc w:val="both"/>
              <w:rPr>
                <w:rFonts w:ascii="Palatino Linotype" w:hAnsi="Palatino Linotype"/>
                <w:b/>
                <w:sz w:val="20"/>
              </w:rPr>
            </w:pPr>
          </w:p>
          <w:p w14:paraId="36E9F0DF" w14:textId="77777777" w:rsidR="009E75B5" w:rsidRDefault="009E75B5" w:rsidP="009E75B5">
            <w:pPr>
              <w:jc w:val="both"/>
              <w:rPr>
                <w:rFonts w:ascii="Palatino Linotype" w:hAnsi="Palatino Linotype"/>
                <w:b/>
                <w:sz w:val="20"/>
              </w:rPr>
            </w:pPr>
          </w:p>
          <w:p w14:paraId="47CA69E9" w14:textId="77777777" w:rsidR="009E75B5" w:rsidRDefault="009E75B5" w:rsidP="009E75B5">
            <w:pPr>
              <w:jc w:val="both"/>
              <w:rPr>
                <w:rFonts w:ascii="Palatino Linotype" w:hAnsi="Palatino Linotype"/>
                <w:b/>
                <w:sz w:val="20"/>
              </w:rPr>
            </w:pPr>
          </w:p>
          <w:p w14:paraId="3B4DF3C0" w14:textId="77777777" w:rsidR="009E75B5" w:rsidRPr="00D00133" w:rsidRDefault="009E75B5" w:rsidP="009E75B5">
            <w:pPr>
              <w:jc w:val="both"/>
              <w:rPr>
                <w:rFonts w:ascii="Palatino Linotype" w:hAnsi="Palatino Linotype"/>
                <w:b/>
                <w:sz w:val="20"/>
              </w:rPr>
            </w:pPr>
            <w:r w:rsidRPr="00D00133">
              <w:rPr>
                <w:rFonts w:ascii="Palatino Linotype" w:hAnsi="Palatino Linotype"/>
                <w:b/>
                <w:sz w:val="20"/>
              </w:rPr>
              <w:t xml:space="preserve">Sello oficial o logotipo del sujeto obligado </w:t>
            </w:r>
          </w:p>
        </w:tc>
        <w:tc>
          <w:tcPr>
            <w:tcW w:w="2693" w:type="dxa"/>
          </w:tcPr>
          <w:p w14:paraId="388CDA00" w14:textId="77777777" w:rsidR="009E75B5" w:rsidRPr="00D00133" w:rsidRDefault="009E75B5" w:rsidP="009E75B5">
            <w:pPr>
              <w:rPr>
                <w:rFonts w:ascii="Palatino Linotype" w:hAnsi="Palatino Linotype"/>
                <w:sz w:val="20"/>
              </w:rPr>
            </w:pPr>
            <w:r w:rsidRPr="00D00133">
              <w:rPr>
                <w:rFonts w:ascii="Palatino Linotype" w:hAnsi="Palatino Linotype"/>
                <w:sz w:val="20"/>
              </w:rPr>
              <w:t>Fecha de clasificación</w:t>
            </w:r>
          </w:p>
        </w:tc>
        <w:tc>
          <w:tcPr>
            <w:tcW w:w="3691" w:type="dxa"/>
          </w:tcPr>
          <w:p w14:paraId="0E941642" w14:textId="77777777" w:rsidR="009E75B5" w:rsidRPr="00D00133" w:rsidRDefault="009E75B5" w:rsidP="009E75B5">
            <w:pPr>
              <w:jc w:val="both"/>
              <w:rPr>
                <w:rFonts w:ascii="Palatino Linotype" w:hAnsi="Palatino Linotype"/>
                <w:sz w:val="20"/>
              </w:rPr>
            </w:pPr>
            <w:r w:rsidRPr="00D00133">
              <w:rPr>
                <w:rFonts w:ascii="Palatino Linotype" w:hAnsi="Palatino Linotype"/>
                <w:sz w:val="20"/>
              </w:rPr>
              <w:t xml:space="preserve">Se anotará la fecha en la que el Comité de Transparencia confirmó la clasificación del documento o expediente, en su caso. </w:t>
            </w:r>
          </w:p>
        </w:tc>
      </w:tr>
      <w:tr w:rsidR="009E75B5" w:rsidRPr="00D00133" w14:paraId="07C802EB" w14:textId="77777777" w:rsidTr="00241DE1">
        <w:trPr>
          <w:jc w:val="center"/>
        </w:trPr>
        <w:tc>
          <w:tcPr>
            <w:tcW w:w="1271" w:type="dxa"/>
            <w:vMerge/>
            <w:shd w:val="clear" w:color="auto" w:fill="D9D9D9" w:themeFill="background1" w:themeFillShade="D9"/>
          </w:tcPr>
          <w:p w14:paraId="7D74127B" w14:textId="77777777" w:rsidR="009E75B5" w:rsidRPr="00D00133" w:rsidRDefault="009E75B5" w:rsidP="009E75B5">
            <w:pPr>
              <w:rPr>
                <w:rFonts w:ascii="Palatino Linotype" w:hAnsi="Palatino Linotype"/>
                <w:sz w:val="20"/>
              </w:rPr>
            </w:pPr>
          </w:p>
        </w:tc>
        <w:tc>
          <w:tcPr>
            <w:tcW w:w="2693" w:type="dxa"/>
          </w:tcPr>
          <w:p w14:paraId="68F5FAFB" w14:textId="77777777" w:rsidR="009E75B5" w:rsidRPr="00D00133" w:rsidRDefault="009E75B5" w:rsidP="009E75B5">
            <w:pPr>
              <w:rPr>
                <w:rFonts w:ascii="Palatino Linotype" w:hAnsi="Palatino Linotype"/>
                <w:sz w:val="20"/>
              </w:rPr>
            </w:pPr>
            <w:r w:rsidRPr="00D00133">
              <w:rPr>
                <w:rFonts w:ascii="Palatino Linotype" w:hAnsi="Palatino Linotype"/>
                <w:sz w:val="20"/>
              </w:rPr>
              <w:t xml:space="preserve">Área </w:t>
            </w:r>
          </w:p>
        </w:tc>
        <w:tc>
          <w:tcPr>
            <w:tcW w:w="3691" w:type="dxa"/>
          </w:tcPr>
          <w:p w14:paraId="3FAA6A97" w14:textId="77777777" w:rsidR="009E75B5" w:rsidRPr="00D00133" w:rsidRDefault="009E75B5" w:rsidP="009E75B5">
            <w:pPr>
              <w:jc w:val="both"/>
              <w:rPr>
                <w:rFonts w:ascii="Palatino Linotype" w:hAnsi="Palatino Linotype"/>
                <w:sz w:val="20"/>
              </w:rPr>
            </w:pPr>
            <w:r w:rsidRPr="00D00133">
              <w:rPr>
                <w:rFonts w:ascii="Palatino Linotype" w:hAnsi="Palatino Linotype"/>
                <w:sz w:val="20"/>
              </w:rPr>
              <w:t xml:space="preserve">Se señalará el nombre del área del cual es titular quien clasifica. </w:t>
            </w:r>
          </w:p>
        </w:tc>
      </w:tr>
      <w:tr w:rsidR="009E75B5" w:rsidRPr="00D00133" w14:paraId="36AB0DA5" w14:textId="77777777" w:rsidTr="00241DE1">
        <w:trPr>
          <w:jc w:val="center"/>
        </w:trPr>
        <w:tc>
          <w:tcPr>
            <w:tcW w:w="1271" w:type="dxa"/>
            <w:vMerge/>
            <w:shd w:val="clear" w:color="auto" w:fill="D9D9D9" w:themeFill="background1" w:themeFillShade="D9"/>
          </w:tcPr>
          <w:p w14:paraId="1F249F9B" w14:textId="77777777" w:rsidR="009E75B5" w:rsidRPr="00D00133" w:rsidRDefault="009E75B5" w:rsidP="009E75B5">
            <w:pPr>
              <w:rPr>
                <w:rFonts w:ascii="Palatino Linotype" w:hAnsi="Palatino Linotype"/>
                <w:sz w:val="20"/>
              </w:rPr>
            </w:pPr>
          </w:p>
        </w:tc>
        <w:tc>
          <w:tcPr>
            <w:tcW w:w="2693" w:type="dxa"/>
          </w:tcPr>
          <w:p w14:paraId="5B0BB38E" w14:textId="77777777" w:rsidR="009E75B5" w:rsidRPr="00D00133" w:rsidRDefault="009E75B5" w:rsidP="009E75B5">
            <w:pPr>
              <w:rPr>
                <w:rFonts w:ascii="Palatino Linotype" w:hAnsi="Palatino Linotype"/>
                <w:sz w:val="20"/>
              </w:rPr>
            </w:pPr>
            <w:r w:rsidRPr="00D00133">
              <w:rPr>
                <w:rFonts w:ascii="Palatino Linotype" w:hAnsi="Palatino Linotype"/>
                <w:sz w:val="20"/>
              </w:rPr>
              <w:t>Información Reservada</w:t>
            </w:r>
          </w:p>
        </w:tc>
        <w:tc>
          <w:tcPr>
            <w:tcW w:w="3691" w:type="dxa"/>
          </w:tcPr>
          <w:p w14:paraId="6AF43BE7" w14:textId="77777777" w:rsidR="009E75B5" w:rsidRPr="00D00133" w:rsidRDefault="009E75B5" w:rsidP="009E75B5">
            <w:pPr>
              <w:jc w:val="both"/>
              <w:rPr>
                <w:rFonts w:ascii="Palatino Linotype" w:hAnsi="Palatino Linotype"/>
                <w:sz w:val="20"/>
              </w:rPr>
            </w:pPr>
            <w:r w:rsidRPr="00D00133">
              <w:rPr>
                <w:rFonts w:ascii="Palatino Linotype" w:hAnsi="Palatino Linotype"/>
                <w:sz w:val="20"/>
              </w:rPr>
              <w:t>Se indicarán las partes o páginas del documento que se clasifican como reservadas, o, en su caso, se precisará que se ha reservado el documento o expediente en su totalidad.</w:t>
            </w:r>
          </w:p>
        </w:tc>
      </w:tr>
      <w:tr w:rsidR="009E75B5" w:rsidRPr="00D00133" w14:paraId="64A00211" w14:textId="77777777" w:rsidTr="00241DE1">
        <w:trPr>
          <w:jc w:val="center"/>
        </w:trPr>
        <w:tc>
          <w:tcPr>
            <w:tcW w:w="1271" w:type="dxa"/>
            <w:vMerge/>
            <w:shd w:val="clear" w:color="auto" w:fill="D9D9D9" w:themeFill="background1" w:themeFillShade="D9"/>
          </w:tcPr>
          <w:p w14:paraId="5B374F2D" w14:textId="77777777" w:rsidR="009E75B5" w:rsidRPr="00D00133" w:rsidRDefault="009E75B5" w:rsidP="009E75B5">
            <w:pPr>
              <w:rPr>
                <w:rFonts w:ascii="Palatino Linotype" w:hAnsi="Palatino Linotype"/>
                <w:sz w:val="20"/>
              </w:rPr>
            </w:pPr>
          </w:p>
        </w:tc>
        <w:tc>
          <w:tcPr>
            <w:tcW w:w="2693" w:type="dxa"/>
          </w:tcPr>
          <w:p w14:paraId="73E56230" w14:textId="77777777" w:rsidR="009E75B5" w:rsidRPr="00D00133" w:rsidRDefault="009E75B5" w:rsidP="009E75B5">
            <w:pPr>
              <w:rPr>
                <w:rFonts w:ascii="Palatino Linotype" w:hAnsi="Palatino Linotype"/>
                <w:sz w:val="20"/>
              </w:rPr>
            </w:pPr>
            <w:r w:rsidRPr="00D00133">
              <w:rPr>
                <w:rFonts w:ascii="Palatino Linotype" w:hAnsi="Palatino Linotype"/>
                <w:sz w:val="20"/>
              </w:rPr>
              <w:t xml:space="preserve">Periodo de Reserva </w:t>
            </w:r>
          </w:p>
        </w:tc>
        <w:tc>
          <w:tcPr>
            <w:tcW w:w="3691" w:type="dxa"/>
          </w:tcPr>
          <w:p w14:paraId="41F4BA68" w14:textId="77777777" w:rsidR="009E75B5" w:rsidRPr="00D00133" w:rsidRDefault="009E75B5" w:rsidP="009E75B5">
            <w:pPr>
              <w:jc w:val="both"/>
              <w:rPr>
                <w:rFonts w:ascii="Palatino Linotype" w:hAnsi="Palatino Linotype"/>
                <w:sz w:val="20"/>
              </w:rPr>
            </w:pPr>
            <w:r w:rsidRPr="00D00133">
              <w:rPr>
                <w:rFonts w:ascii="Palatino Linotype" w:hAnsi="Palatino Linotype"/>
                <w:sz w:val="20"/>
              </w:rPr>
              <w:t xml:space="preserve">Se anotará el número de años o meses por los que se mantendrá reservado el </w:t>
            </w:r>
            <w:r w:rsidRPr="00D00133">
              <w:rPr>
                <w:rFonts w:ascii="Palatino Linotype" w:hAnsi="Palatino Linotype"/>
                <w:sz w:val="20"/>
              </w:rPr>
              <w:lastRenderedPageBreak/>
              <w:t xml:space="preserve">documento, el expediente o, en su caso, las partes o secciones reservadas. </w:t>
            </w:r>
          </w:p>
        </w:tc>
      </w:tr>
      <w:tr w:rsidR="009E75B5" w:rsidRPr="00D00133" w14:paraId="3AC1A6B9" w14:textId="77777777" w:rsidTr="00241DE1">
        <w:trPr>
          <w:jc w:val="center"/>
        </w:trPr>
        <w:tc>
          <w:tcPr>
            <w:tcW w:w="1271" w:type="dxa"/>
            <w:vMerge/>
            <w:shd w:val="clear" w:color="auto" w:fill="D9D9D9" w:themeFill="background1" w:themeFillShade="D9"/>
          </w:tcPr>
          <w:p w14:paraId="697C41A8" w14:textId="77777777" w:rsidR="009E75B5" w:rsidRPr="00D00133" w:rsidRDefault="009E75B5" w:rsidP="009E75B5">
            <w:pPr>
              <w:rPr>
                <w:rFonts w:ascii="Palatino Linotype" w:hAnsi="Palatino Linotype"/>
                <w:sz w:val="20"/>
              </w:rPr>
            </w:pPr>
          </w:p>
        </w:tc>
        <w:tc>
          <w:tcPr>
            <w:tcW w:w="2693" w:type="dxa"/>
          </w:tcPr>
          <w:p w14:paraId="5EEFB10E" w14:textId="77777777" w:rsidR="009E75B5" w:rsidRPr="00D00133" w:rsidRDefault="009E75B5" w:rsidP="009E75B5">
            <w:pPr>
              <w:rPr>
                <w:rFonts w:ascii="Palatino Linotype" w:hAnsi="Palatino Linotype"/>
                <w:sz w:val="20"/>
              </w:rPr>
            </w:pPr>
            <w:r w:rsidRPr="00D00133">
              <w:rPr>
                <w:rFonts w:ascii="Palatino Linotype" w:hAnsi="Palatino Linotype"/>
                <w:sz w:val="20"/>
              </w:rPr>
              <w:t>Fundamento legal</w:t>
            </w:r>
          </w:p>
        </w:tc>
        <w:tc>
          <w:tcPr>
            <w:tcW w:w="3691" w:type="dxa"/>
          </w:tcPr>
          <w:p w14:paraId="2C685CEC" w14:textId="77777777" w:rsidR="009E75B5" w:rsidRPr="00D00133" w:rsidRDefault="009E75B5" w:rsidP="009E75B5">
            <w:pPr>
              <w:jc w:val="both"/>
              <w:rPr>
                <w:rFonts w:ascii="Palatino Linotype" w:hAnsi="Palatino Linotype"/>
                <w:sz w:val="20"/>
              </w:rPr>
            </w:pPr>
            <w:r w:rsidRPr="00D00133">
              <w:rPr>
                <w:rFonts w:ascii="Palatino Linotype" w:hAnsi="Palatino Linotype"/>
                <w:sz w:val="20"/>
              </w:rPr>
              <w:t xml:space="preserve">Se señalará el nombre del ordenamiento el o los artículos, fracciones, párrafos con base en los cuales se sustente la reserva. </w:t>
            </w:r>
          </w:p>
        </w:tc>
      </w:tr>
      <w:tr w:rsidR="009E75B5" w:rsidRPr="00D00133" w14:paraId="1B7E545C" w14:textId="77777777" w:rsidTr="00241DE1">
        <w:trPr>
          <w:jc w:val="center"/>
        </w:trPr>
        <w:tc>
          <w:tcPr>
            <w:tcW w:w="1271" w:type="dxa"/>
            <w:vMerge/>
            <w:shd w:val="clear" w:color="auto" w:fill="D9D9D9" w:themeFill="background1" w:themeFillShade="D9"/>
          </w:tcPr>
          <w:p w14:paraId="3225CAA5" w14:textId="77777777" w:rsidR="009E75B5" w:rsidRPr="00D00133" w:rsidRDefault="009E75B5" w:rsidP="009E75B5">
            <w:pPr>
              <w:rPr>
                <w:rFonts w:ascii="Palatino Linotype" w:hAnsi="Palatino Linotype"/>
                <w:sz w:val="20"/>
              </w:rPr>
            </w:pPr>
          </w:p>
        </w:tc>
        <w:tc>
          <w:tcPr>
            <w:tcW w:w="2693" w:type="dxa"/>
          </w:tcPr>
          <w:p w14:paraId="6EDBE1B2" w14:textId="77777777" w:rsidR="009E75B5" w:rsidRPr="00D00133" w:rsidRDefault="009E75B5" w:rsidP="009E75B5">
            <w:pPr>
              <w:rPr>
                <w:rFonts w:ascii="Palatino Linotype" w:hAnsi="Palatino Linotype"/>
                <w:sz w:val="20"/>
              </w:rPr>
            </w:pPr>
            <w:r w:rsidRPr="00D00133">
              <w:rPr>
                <w:rFonts w:ascii="Palatino Linotype" w:hAnsi="Palatino Linotype"/>
                <w:sz w:val="20"/>
              </w:rPr>
              <w:t>Ampliación del periodo de reserva</w:t>
            </w:r>
          </w:p>
        </w:tc>
        <w:tc>
          <w:tcPr>
            <w:tcW w:w="3691" w:type="dxa"/>
          </w:tcPr>
          <w:p w14:paraId="046E6DFE" w14:textId="77777777" w:rsidR="009E75B5" w:rsidRPr="00D00133" w:rsidRDefault="009E75B5" w:rsidP="009E75B5">
            <w:pPr>
              <w:jc w:val="both"/>
              <w:rPr>
                <w:rFonts w:ascii="Palatino Linotype" w:hAnsi="Palatino Linotype"/>
                <w:sz w:val="20"/>
              </w:rPr>
            </w:pPr>
            <w:r w:rsidRPr="00D00133">
              <w:rPr>
                <w:rFonts w:ascii="Palatino Linotype" w:hAnsi="Palatino Linotype"/>
                <w:sz w:val="20"/>
              </w:rPr>
              <w:t xml:space="preserve">En caso de haber solicitado la ampliación del periodo de reserva originalmente establecido, se deberá anotar el número de años o meses por los que se amplía la reserva. </w:t>
            </w:r>
          </w:p>
        </w:tc>
      </w:tr>
      <w:tr w:rsidR="009E75B5" w:rsidRPr="00D00133" w14:paraId="18F7F4A5" w14:textId="77777777" w:rsidTr="00241DE1">
        <w:trPr>
          <w:jc w:val="center"/>
        </w:trPr>
        <w:tc>
          <w:tcPr>
            <w:tcW w:w="3964" w:type="dxa"/>
            <w:gridSpan w:val="2"/>
            <w:shd w:val="clear" w:color="auto" w:fill="D9D9D9" w:themeFill="background1" w:themeFillShade="D9"/>
          </w:tcPr>
          <w:p w14:paraId="587711E8" w14:textId="77777777" w:rsidR="009E75B5" w:rsidRPr="00D00133" w:rsidRDefault="009E75B5" w:rsidP="009E75B5">
            <w:pPr>
              <w:rPr>
                <w:rFonts w:ascii="Palatino Linotype" w:hAnsi="Palatino Linotype"/>
                <w:sz w:val="20"/>
              </w:rPr>
            </w:pPr>
            <w:r w:rsidRPr="00D00133">
              <w:rPr>
                <w:rFonts w:ascii="Palatino Linotype" w:hAnsi="Palatino Linotype"/>
                <w:sz w:val="20"/>
              </w:rPr>
              <w:t>Rúbrica del titular del área</w:t>
            </w:r>
          </w:p>
        </w:tc>
        <w:tc>
          <w:tcPr>
            <w:tcW w:w="3691" w:type="dxa"/>
            <w:shd w:val="clear" w:color="auto" w:fill="D9D9D9" w:themeFill="background1" w:themeFillShade="D9"/>
          </w:tcPr>
          <w:p w14:paraId="6AF6CBDE" w14:textId="77777777" w:rsidR="009E75B5" w:rsidRPr="00D00133" w:rsidRDefault="009E75B5" w:rsidP="009E75B5">
            <w:pPr>
              <w:jc w:val="both"/>
              <w:rPr>
                <w:rFonts w:ascii="Palatino Linotype" w:hAnsi="Palatino Linotype"/>
                <w:sz w:val="20"/>
              </w:rPr>
            </w:pPr>
            <w:r w:rsidRPr="00D00133">
              <w:rPr>
                <w:rFonts w:ascii="Palatino Linotype" w:hAnsi="Palatino Linotype"/>
                <w:sz w:val="20"/>
              </w:rPr>
              <w:t xml:space="preserve">Rúbrica autógrafa o firma digital de quien clasifica. </w:t>
            </w:r>
          </w:p>
        </w:tc>
      </w:tr>
      <w:tr w:rsidR="009E75B5" w:rsidRPr="00D00133" w14:paraId="5D3205D8" w14:textId="77777777" w:rsidTr="00241DE1">
        <w:trPr>
          <w:jc w:val="center"/>
        </w:trPr>
        <w:tc>
          <w:tcPr>
            <w:tcW w:w="3964" w:type="dxa"/>
            <w:gridSpan w:val="2"/>
            <w:shd w:val="clear" w:color="auto" w:fill="D9D9D9" w:themeFill="background1" w:themeFillShade="D9"/>
          </w:tcPr>
          <w:p w14:paraId="7B710E1E" w14:textId="77777777" w:rsidR="009E75B5" w:rsidRPr="00D00133" w:rsidRDefault="009E75B5" w:rsidP="009E75B5">
            <w:pPr>
              <w:rPr>
                <w:rFonts w:ascii="Palatino Linotype" w:hAnsi="Palatino Linotype"/>
                <w:sz w:val="20"/>
              </w:rPr>
            </w:pPr>
            <w:r w:rsidRPr="00D00133">
              <w:rPr>
                <w:rFonts w:ascii="Palatino Linotype" w:hAnsi="Palatino Linotype"/>
                <w:sz w:val="20"/>
              </w:rPr>
              <w:t xml:space="preserve">Fecha de desclasificación </w:t>
            </w:r>
          </w:p>
        </w:tc>
        <w:tc>
          <w:tcPr>
            <w:tcW w:w="3691" w:type="dxa"/>
            <w:shd w:val="clear" w:color="auto" w:fill="D9D9D9" w:themeFill="background1" w:themeFillShade="D9"/>
          </w:tcPr>
          <w:p w14:paraId="3B378D3C" w14:textId="77777777" w:rsidR="009E75B5" w:rsidRPr="00D00133" w:rsidRDefault="009E75B5" w:rsidP="009E75B5">
            <w:pPr>
              <w:jc w:val="both"/>
              <w:rPr>
                <w:rFonts w:ascii="Palatino Linotype" w:hAnsi="Palatino Linotype"/>
                <w:sz w:val="20"/>
              </w:rPr>
            </w:pPr>
            <w:r w:rsidRPr="00D00133">
              <w:rPr>
                <w:rFonts w:ascii="Palatino Linotype" w:hAnsi="Palatino Linotype"/>
                <w:sz w:val="20"/>
              </w:rPr>
              <w:t xml:space="preserve">Se anotará la fecha en que se desclasifica el documento. </w:t>
            </w:r>
          </w:p>
        </w:tc>
      </w:tr>
      <w:tr w:rsidR="009E75B5" w:rsidRPr="00D00133" w14:paraId="4492C996" w14:textId="77777777" w:rsidTr="00241DE1">
        <w:trPr>
          <w:jc w:val="center"/>
        </w:trPr>
        <w:tc>
          <w:tcPr>
            <w:tcW w:w="3964" w:type="dxa"/>
            <w:gridSpan w:val="2"/>
            <w:shd w:val="clear" w:color="auto" w:fill="D9D9D9" w:themeFill="background1" w:themeFillShade="D9"/>
          </w:tcPr>
          <w:p w14:paraId="63172182" w14:textId="77777777" w:rsidR="009E75B5" w:rsidRPr="00D00133" w:rsidRDefault="009E75B5" w:rsidP="009E75B5">
            <w:pPr>
              <w:rPr>
                <w:rFonts w:ascii="Palatino Linotype" w:hAnsi="Palatino Linotype"/>
                <w:sz w:val="20"/>
              </w:rPr>
            </w:pPr>
            <w:r w:rsidRPr="00D00133">
              <w:rPr>
                <w:rFonts w:ascii="Palatino Linotype" w:hAnsi="Palatino Linotype"/>
                <w:sz w:val="20"/>
              </w:rPr>
              <w:t xml:space="preserve">Rúbrica y cargo del servidor público </w:t>
            </w:r>
          </w:p>
        </w:tc>
        <w:tc>
          <w:tcPr>
            <w:tcW w:w="3691" w:type="dxa"/>
            <w:shd w:val="clear" w:color="auto" w:fill="D9D9D9" w:themeFill="background1" w:themeFillShade="D9"/>
          </w:tcPr>
          <w:p w14:paraId="096D639A" w14:textId="77777777" w:rsidR="009E75B5" w:rsidRPr="00D00133" w:rsidRDefault="009E75B5" w:rsidP="009E75B5">
            <w:pPr>
              <w:jc w:val="both"/>
              <w:rPr>
                <w:rFonts w:ascii="Palatino Linotype" w:hAnsi="Palatino Linotype"/>
                <w:sz w:val="20"/>
              </w:rPr>
            </w:pPr>
            <w:r w:rsidRPr="00D00133">
              <w:rPr>
                <w:rFonts w:ascii="Palatino Linotype" w:hAnsi="Palatino Linotype"/>
                <w:sz w:val="20"/>
              </w:rPr>
              <w:t xml:space="preserve">Rúbrica autógrafa o firma digital de quien desclasifica. </w:t>
            </w:r>
          </w:p>
        </w:tc>
      </w:tr>
    </w:tbl>
    <w:p w14:paraId="4E4C53A3" w14:textId="77777777" w:rsidR="009E75B5" w:rsidRDefault="009E75B5" w:rsidP="009E75B5">
      <w:pPr>
        <w:spacing w:after="0" w:line="360" w:lineRule="auto"/>
        <w:ind w:right="902"/>
        <w:rPr>
          <w:rFonts w:ascii="Palatino Linotype" w:eastAsia="Palatino Linotype" w:hAnsi="Palatino Linotype" w:cs="Palatino Linotype"/>
          <w:i/>
        </w:rPr>
      </w:pPr>
    </w:p>
    <w:p w14:paraId="61316D61" w14:textId="77777777" w:rsidR="009E75B5" w:rsidRDefault="009E75B5" w:rsidP="009E75B5">
      <w:pP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Los documentos que integren un expediente reservado en su totalidad no deberán marcarse en lo individual.</w:t>
      </w:r>
    </w:p>
    <w:p w14:paraId="403E01EC" w14:textId="77777777" w:rsidR="009E75B5" w:rsidRDefault="009E75B5" w:rsidP="009E75B5">
      <w:pP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Una vez desclasificados los expedientes, si existieren documentos que tuvieran el carácter de reservados deberán permanecer o ser marcados.”</w:t>
      </w:r>
    </w:p>
    <w:p w14:paraId="25DC92DA" w14:textId="77777777" w:rsidR="009E75B5" w:rsidRDefault="009E75B5" w:rsidP="009E75B5">
      <w:pPr>
        <w:spacing w:after="0" w:line="360" w:lineRule="auto"/>
        <w:jc w:val="both"/>
        <w:rPr>
          <w:rFonts w:ascii="Palatino Linotype" w:eastAsia="Palatino Linotype" w:hAnsi="Palatino Linotype" w:cs="Palatino Linotype"/>
        </w:rPr>
      </w:pPr>
    </w:p>
    <w:p w14:paraId="19FA800D" w14:textId="77777777" w:rsidR="009E75B5" w:rsidRPr="009E75B5" w:rsidRDefault="009E75B5" w:rsidP="009E75B5">
      <w:pPr>
        <w:spacing w:after="0" w:line="360" w:lineRule="auto"/>
        <w:jc w:val="both"/>
        <w:rPr>
          <w:rFonts w:ascii="Palatino Linotype" w:eastAsia="Palatino Linotype" w:hAnsi="Palatino Linotype" w:cs="Palatino Linotype"/>
          <w:sz w:val="24"/>
        </w:rPr>
      </w:pPr>
      <w:r w:rsidRPr="009E75B5">
        <w:rPr>
          <w:rFonts w:ascii="Palatino Linotype" w:eastAsia="Palatino Linotype" w:hAnsi="Palatino Linotype" w:cs="Palatino Linotype"/>
          <w:sz w:val="24"/>
        </w:rPr>
        <w:t>De igual forma, deberá observar los Lineamientos Quincuagésimo cuarto, Quincuagésimo quinto, Quincuagésimo séptimo y Quincuagésimo octavo, establecen lo siguiente:</w:t>
      </w:r>
    </w:p>
    <w:p w14:paraId="3A0F37CF" w14:textId="77777777" w:rsidR="009E75B5" w:rsidRDefault="009E75B5" w:rsidP="009E75B5">
      <w:pPr>
        <w:spacing w:after="0" w:line="360" w:lineRule="auto"/>
        <w:jc w:val="both"/>
        <w:rPr>
          <w:rFonts w:ascii="Palatino Linotype" w:eastAsia="Palatino Linotype" w:hAnsi="Palatino Linotype" w:cs="Palatino Linotype"/>
        </w:rPr>
      </w:pPr>
    </w:p>
    <w:p w14:paraId="74DCC5CE"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Quincuagésimo cuarto.</w:t>
      </w:r>
      <w:r>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49D6639"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Quincuagésimo quinto.</w:t>
      </w:r>
      <w:r>
        <w:rPr>
          <w:rFonts w:ascii="Palatino Linotype" w:eastAsia="Palatino Linotype" w:hAnsi="Palatino Linotype" w:cs="Palatino Linotype"/>
          <w:i/>
        </w:rPr>
        <w:t xml:space="preserve"> Cada área del sujeto obligado podrá designar formalmente a una o más personas como responsables del </w:t>
      </w:r>
      <w:proofErr w:type="spellStart"/>
      <w:r>
        <w:rPr>
          <w:rFonts w:ascii="Palatino Linotype" w:eastAsia="Palatino Linotype" w:hAnsi="Palatino Linotype" w:cs="Palatino Linotype"/>
          <w:i/>
        </w:rPr>
        <w:t>testado</w:t>
      </w:r>
      <w:proofErr w:type="spellEnd"/>
      <w:r>
        <w:rPr>
          <w:rFonts w:ascii="Palatino Linotype" w:eastAsia="Palatino Linotype" w:hAnsi="Palatino Linotype" w:cs="Palatino Linotype"/>
          <w:i/>
        </w:rPr>
        <w:t xml:space="preserve">, que sean encargadas de la adecuada elaboración o supervisión de las versiones públicas de los documentos o expedientes, </w:t>
      </w:r>
      <w:r>
        <w:rPr>
          <w:rFonts w:ascii="Palatino Linotype" w:eastAsia="Palatino Linotype" w:hAnsi="Palatino Linotype" w:cs="Palatino Linotype"/>
          <w:i/>
        </w:rPr>
        <w:lastRenderedPageBreak/>
        <w:t>verificando que cumplan con los requisitos señalados en las Leyes Generales, los presentes Lineamientos y demás normativa aplicable antes de su confirmación por el Comité de Transparencia.</w:t>
      </w:r>
    </w:p>
    <w:p w14:paraId="3567723F"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C96B70C"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Quincuagésimo séptimo.</w:t>
      </w:r>
      <w:r>
        <w:rPr>
          <w:rFonts w:ascii="Palatino Linotype" w:eastAsia="Palatino Linotype" w:hAnsi="Palatino Linotype" w:cs="Palatino Linotype"/>
          <w:i/>
        </w:rPr>
        <w:t xml:space="preserve"> Se considera, en principio, como información pública y no podrá omitirse de las versiones públicas la siguiente: </w:t>
      </w:r>
    </w:p>
    <w:p w14:paraId="1CF9313C"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1EE29787"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75DBC984"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BCEC4FE"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1667F774"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2D8CD2F1" w14:textId="77777777" w:rsidR="009E75B5" w:rsidRDefault="009E75B5" w:rsidP="009E75B5">
      <w:pPr>
        <w:spacing w:after="0" w:line="276" w:lineRule="auto"/>
        <w:ind w:left="567" w:right="616"/>
        <w:jc w:val="both"/>
        <w:rPr>
          <w:rFonts w:ascii="Palatino Linotype" w:eastAsia="Palatino Linotype" w:hAnsi="Palatino Linotype" w:cs="Palatino Linotype"/>
          <w:i/>
        </w:rPr>
      </w:pPr>
    </w:p>
    <w:p w14:paraId="25D1D18A" w14:textId="79F54BA3" w:rsidR="009E75B5" w:rsidRDefault="009E75B5" w:rsidP="009E75B5">
      <w:pPr>
        <w:spacing w:after="0" w:line="360" w:lineRule="auto"/>
        <w:jc w:val="both"/>
        <w:rPr>
          <w:rFonts w:ascii="Palatino Linotype" w:eastAsia="Palatino Linotype" w:hAnsi="Palatino Linotype" w:cs="Palatino Linotype"/>
          <w:sz w:val="24"/>
        </w:rPr>
      </w:pPr>
      <w:r w:rsidRPr="009E75B5">
        <w:rPr>
          <w:rFonts w:ascii="Palatino Linotype" w:eastAsia="Palatino Linotype" w:hAnsi="Palatino Linotype" w:cs="Palatino Linotype"/>
          <w:sz w:val="24"/>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BA0497F" w14:textId="77777777" w:rsidR="003A0D42" w:rsidRPr="008B7BCF" w:rsidRDefault="003A0D42" w:rsidP="009E75B5">
      <w:pPr>
        <w:spacing w:after="0" w:line="360" w:lineRule="auto"/>
        <w:jc w:val="both"/>
        <w:rPr>
          <w:rFonts w:ascii="Palatino Linotype" w:eastAsia="Palatino Linotype" w:hAnsi="Palatino Linotype" w:cs="Palatino Linotype"/>
          <w:sz w:val="24"/>
        </w:rPr>
      </w:pPr>
    </w:p>
    <w:p w14:paraId="78744620" w14:textId="0868DBB4" w:rsidR="009E75B5" w:rsidRDefault="009E75B5" w:rsidP="009E75B5">
      <w:pPr>
        <w:spacing w:after="0" w:line="360" w:lineRule="auto"/>
        <w:ind w:right="49"/>
        <w:jc w:val="both"/>
        <w:rPr>
          <w:rFonts w:ascii="Palatino Linotype" w:eastAsia="Palatino Linotype" w:hAnsi="Palatino Linotype" w:cs="Palatino Linotype"/>
          <w:b/>
          <w:sz w:val="24"/>
        </w:rPr>
      </w:pPr>
      <w:r w:rsidRPr="009E75B5">
        <w:rPr>
          <w:rFonts w:ascii="Palatino Linotype" w:eastAsia="Palatino Linotype" w:hAnsi="Palatino Linotype" w:cs="Palatino Linotype"/>
          <w:sz w:val="24"/>
        </w:rPr>
        <w:t xml:space="preserve">Es así como, en mérito de lo expuesto en líneas anteriores, resultan fundadas las razones o motivos de inconformidad hechos valer por el </w:t>
      </w:r>
      <w:r w:rsidRPr="009E75B5">
        <w:rPr>
          <w:rFonts w:ascii="Palatino Linotype" w:eastAsia="Palatino Linotype" w:hAnsi="Palatino Linotype" w:cs="Palatino Linotype"/>
          <w:b/>
          <w:sz w:val="24"/>
        </w:rPr>
        <w:t>RECURRENTE</w:t>
      </w:r>
      <w:r w:rsidRPr="009E75B5">
        <w:rPr>
          <w:rFonts w:ascii="Palatino Linotype" w:eastAsia="Palatino Linotype" w:hAnsi="Palatino Linotype" w:cs="Palatino Linotype"/>
          <w:sz w:val="24"/>
        </w:rPr>
        <w:t xml:space="preserve"> dentro del recurso de revisión </w:t>
      </w:r>
      <w:r w:rsidR="00B44E88">
        <w:rPr>
          <w:rFonts w:ascii="Palatino Linotype" w:eastAsia="Palatino Linotype" w:hAnsi="Palatino Linotype" w:cs="Palatino Linotype"/>
          <w:b/>
          <w:sz w:val="24"/>
        </w:rPr>
        <w:t>02974</w:t>
      </w:r>
      <w:r w:rsidRPr="009E75B5">
        <w:rPr>
          <w:rFonts w:ascii="Palatino Linotype" w:eastAsia="Palatino Linotype" w:hAnsi="Palatino Linotype" w:cs="Palatino Linotype"/>
          <w:b/>
          <w:sz w:val="24"/>
        </w:rPr>
        <w:t>/INFOEM/IP/RR/2023</w:t>
      </w:r>
      <w:r w:rsidRPr="009E75B5">
        <w:rPr>
          <w:rFonts w:ascii="Palatino Linotype" w:eastAsia="Palatino Linotype" w:hAnsi="Palatino Linotype" w:cs="Palatino Linotype"/>
          <w:sz w:val="24"/>
        </w:rPr>
        <w:t xml:space="preserve">; por ello, y con fundamento en la fracción III del numeral 186 de la Ley de Transparencia y Acceso a la Información Pública del Estado de México y Municipios, por lo que se </w:t>
      </w:r>
      <w:r w:rsidRPr="009E75B5">
        <w:rPr>
          <w:rFonts w:ascii="Palatino Linotype" w:eastAsia="Palatino Linotype" w:hAnsi="Palatino Linotype" w:cs="Palatino Linotype"/>
          <w:b/>
          <w:sz w:val="24"/>
        </w:rPr>
        <w:t xml:space="preserve">REVOCA </w:t>
      </w:r>
      <w:r w:rsidRPr="009E75B5">
        <w:rPr>
          <w:rFonts w:ascii="Palatino Linotype" w:eastAsia="Palatino Linotype" w:hAnsi="Palatino Linotype" w:cs="Palatino Linotype"/>
          <w:sz w:val="24"/>
        </w:rPr>
        <w:t xml:space="preserve">la respuesta del </w:t>
      </w:r>
      <w:r w:rsidRPr="009E75B5">
        <w:rPr>
          <w:rFonts w:ascii="Palatino Linotype" w:eastAsia="Palatino Linotype" w:hAnsi="Palatino Linotype" w:cs="Palatino Linotype"/>
          <w:b/>
          <w:sz w:val="24"/>
        </w:rPr>
        <w:t xml:space="preserve">SUJETO OBLIGADO </w:t>
      </w:r>
      <w:r w:rsidRPr="009E75B5">
        <w:rPr>
          <w:rFonts w:ascii="Palatino Linotype" w:eastAsia="Palatino Linotype" w:hAnsi="Palatino Linotype" w:cs="Palatino Linotype"/>
          <w:sz w:val="24"/>
        </w:rPr>
        <w:t xml:space="preserve">a la solicitud de información </w:t>
      </w:r>
      <w:r w:rsidRPr="009E75B5">
        <w:rPr>
          <w:rFonts w:ascii="Palatino Linotype" w:eastAsia="Palatino Linotype" w:hAnsi="Palatino Linotype" w:cs="Palatino Linotype"/>
          <w:b/>
          <w:sz w:val="24"/>
        </w:rPr>
        <w:t>00</w:t>
      </w:r>
      <w:r w:rsidR="00B44E88">
        <w:rPr>
          <w:rFonts w:ascii="Palatino Linotype" w:eastAsia="Palatino Linotype" w:hAnsi="Palatino Linotype" w:cs="Palatino Linotype"/>
          <w:b/>
          <w:sz w:val="24"/>
        </w:rPr>
        <w:t>057</w:t>
      </w:r>
      <w:r w:rsidRPr="009E75B5">
        <w:rPr>
          <w:rFonts w:ascii="Palatino Linotype" w:eastAsia="Palatino Linotype" w:hAnsi="Palatino Linotype" w:cs="Palatino Linotype"/>
          <w:b/>
          <w:sz w:val="24"/>
        </w:rPr>
        <w:t>/</w:t>
      </w:r>
      <w:r w:rsidR="00B44E88">
        <w:rPr>
          <w:rFonts w:ascii="Palatino Linotype" w:eastAsia="Palatino Linotype" w:hAnsi="Palatino Linotype" w:cs="Palatino Linotype"/>
          <w:b/>
          <w:sz w:val="24"/>
        </w:rPr>
        <w:t>TRIECA</w:t>
      </w:r>
      <w:r w:rsidRPr="009E75B5">
        <w:rPr>
          <w:rFonts w:ascii="Palatino Linotype" w:eastAsia="Palatino Linotype" w:hAnsi="Palatino Linotype" w:cs="Palatino Linotype"/>
          <w:b/>
          <w:sz w:val="24"/>
        </w:rPr>
        <w:t>/IP/2023</w:t>
      </w:r>
      <w:r w:rsidRPr="009E75B5">
        <w:rPr>
          <w:rFonts w:ascii="Palatino Linotype" w:eastAsia="Palatino Linotype" w:hAnsi="Palatino Linotype" w:cs="Palatino Linotype"/>
          <w:sz w:val="24"/>
        </w:rPr>
        <w:t xml:space="preserve">.  </w:t>
      </w:r>
      <w:r w:rsidRPr="009E75B5">
        <w:rPr>
          <w:rFonts w:ascii="Palatino Linotype" w:eastAsia="Palatino Linotype" w:hAnsi="Palatino Linotype" w:cs="Palatino Linotype"/>
          <w:b/>
          <w:sz w:val="24"/>
        </w:rPr>
        <w:t xml:space="preserve"> </w:t>
      </w:r>
    </w:p>
    <w:p w14:paraId="686EB3D1" w14:textId="77777777" w:rsidR="008B7BCF" w:rsidRPr="00A45BB6" w:rsidRDefault="008B7BCF" w:rsidP="009E75B5">
      <w:pPr>
        <w:spacing w:after="0" w:line="360" w:lineRule="auto"/>
        <w:ind w:right="49"/>
        <w:jc w:val="both"/>
        <w:rPr>
          <w:rFonts w:ascii="Palatino Linotype" w:eastAsia="Palatino Linotype" w:hAnsi="Palatino Linotype" w:cs="Palatino Linotype"/>
          <w:b/>
          <w:sz w:val="24"/>
        </w:rPr>
      </w:pPr>
    </w:p>
    <w:p w14:paraId="1FB33988" w14:textId="77777777" w:rsidR="009E75B5" w:rsidRPr="009E75B5" w:rsidRDefault="009E75B5" w:rsidP="009E75B5">
      <w:pPr>
        <w:spacing w:after="0" w:line="360" w:lineRule="auto"/>
        <w:ind w:right="49"/>
        <w:jc w:val="both"/>
        <w:rPr>
          <w:rFonts w:ascii="Palatino Linotype" w:eastAsia="Palatino Linotype" w:hAnsi="Palatino Linotype" w:cs="Palatino Linotype"/>
          <w:sz w:val="24"/>
        </w:rPr>
      </w:pPr>
      <w:r w:rsidRPr="009E75B5">
        <w:rPr>
          <w:rFonts w:ascii="Palatino Linotype" w:eastAsia="Palatino Linotype" w:hAnsi="Palatino Linotype" w:cs="Palatino Linotype"/>
          <w:sz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0C4D68F" w14:textId="77777777" w:rsidR="00634588" w:rsidRPr="008645E3" w:rsidRDefault="00634588">
      <w:pPr>
        <w:spacing w:after="0" w:line="360" w:lineRule="auto"/>
        <w:ind w:right="49"/>
        <w:jc w:val="both"/>
        <w:rPr>
          <w:rFonts w:ascii="Palatino Linotype" w:eastAsia="Palatino Linotype" w:hAnsi="Palatino Linotype" w:cs="Palatino Linotype"/>
          <w:sz w:val="24"/>
          <w:szCs w:val="24"/>
        </w:rPr>
      </w:pPr>
    </w:p>
    <w:p w14:paraId="0A838F4F" w14:textId="77777777" w:rsidR="00F8557D" w:rsidRPr="008645E3" w:rsidRDefault="00646B44">
      <w:pPr>
        <w:spacing w:after="0" w:line="360" w:lineRule="auto"/>
        <w:ind w:right="49"/>
        <w:jc w:val="center"/>
        <w:rPr>
          <w:rFonts w:ascii="Palatino Linotype" w:eastAsia="Palatino Linotype" w:hAnsi="Palatino Linotype" w:cs="Palatino Linotype"/>
          <w:b/>
          <w:sz w:val="24"/>
          <w:szCs w:val="24"/>
        </w:rPr>
      </w:pPr>
      <w:r w:rsidRPr="008645E3">
        <w:rPr>
          <w:rFonts w:ascii="Palatino Linotype" w:eastAsia="Palatino Linotype" w:hAnsi="Palatino Linotype" w:cs="Palatino Linotype"/>
          <w:b/>
          <w:sz w:val="24"/>
          <w:szCs w:val="24"/>
        </w:rPr>
        <w:t>III.</w:t>
      </w:r>
      <w:r w:rsidRPr="008645E3">
        <w:rPr>
          <w:rFonts w:ascii="Palatino Linotype" w:eastAsia="Palatino Linotype" w:hAnsi="Palatino Linotype" w:cs="Palatino Linotype"/>
          <w:b/>
          <w:sz w:val="24"/>
          <w:szCs w:val="24"/>
        </w:rPr>
        <w:tab/>
        <w:t>R E S U E L V E:</w:t>
      </w:r>
    </w:p>
    <w:p w14:paraId="741D8D48" w14:textId="77777777" w:rsidR="00F8557D" w:rsidRPr="008645E3" w:rsidRDefault="00F8557D" w:rsidP="003A0D42">
      <w:pPr>
        <w:spacing w:after="0" w:line="360" w:lineRule="auto"/>
        <w:ind w:right="49"/>
        <w:jc w:val="both"/>
        <w:rPr>
          <w:rFonts w:ascii="Palatino Linotype" w:eastAsia="Palatino Linotype" w:hAnsi="Palatino Linotype" w:cs="Palatino Linotype"/>
          <w:sz w:val="24"/>
          <w:szCs w:val="24"/>
        </w:rPr>
      </w:pPr>
    </w:p>
    <w:p w14:paraId="2CC1FD37" w14:textId="45A3DF80"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Primero.</w:t>
      </w:r>
      <w:r w:rsidRPr="008645E3">
        <w:rPr>
          <w:rFonts w:ascii="Palatino Linotype" w:eastAsia="Palatino Linotype" w:hAnsi="Palatino Linotype" w:cs="Palatino Linotype"/>
          <w:sz w:val="24"/>
          <w:szCs w:val="24"/>
        </w:rPr>
        <w:t xml:space="preserve"> Resultan</w:t>
      </w:r>
      <w:r w:rsidRPr="008645E3">
        <w:rPr>
          <w:rFonts w:ascii="Palatino Linotype" w:eastAsia="Palatino Linotype" w:hAnsi="Palatino Linotype" w:cs="Palatino Linotype"/>
          <w:b/>
          <w:sz w:val="24"/>
          <w:szCs w:val="24"/>
        </w:rPr>
        <w:t xml:space="preserve"> FUNDADOS</w:t>
      </w:r>
      <w:r w:rsidRPr="008645E3">
        <w:rPr>
          <w:rFonts w:ascii="Palatino Linotype" w:eastAsia="Palatino Linotype" w:hAnsi="Palatino Linotype" w:cs="Palatino Linotype"/>
          <w:sz w:val="24"/>
          <w:szCs w:val="24"/>
        </w:rPr>
        <w:t xml:space="preserve"> los motivos de inconformidad hechos valer por el </w:t>
      </w:r>
      <w:r w:rsidRPr="008645E3">
        <w:rPr>
          <w:rFonts w:ascii="Palatino Linotype" w:eastAsia="Palatino Linotype" w:hAnsi="Palatino Linotype" w:cs="Palatino Linotype"/>
          <w:b/>
          <w:sz w:val="24"/>
          <w:szCs w:val="24"/>
        </w:rPr>
        <w:t>RECURRENTE</w:t>
      </w:r>
      <w:r w:rsidRPr="008645E3">
        <w:rPr>
          <w:rFonts w:ascii="Palatino Linotype" w:eastAsia="Palatino Linotype" w:hAnsi="Palatino Linotype" w:cs="Palatino Linotype"/>
          <w:sz w:val="24"/>
          <w:szCs w:val="24"/>
        </w:rPr>
        <w:t xml:space="preserve"> en el Recurso de Revisión </w:t>
      </w:r>
      <w:r w:rsidR="00B44E88">
        <w:rPr>
          <w:rFonts w:ascii="Palatino Linotype" w:eastAsia="Palatino Linotype" w:hAnsi="Palatino Linotype" w:cs="Palatino Linotype"/>
          <w:b/>
          <w:sz w:val="24"/>
          <w:szCs w:val="24"/>
        </w:rPr>
        <w:t>02974</w:t>
      </w:r>
      <w:r w:rsidRPr="008645E3">
        <w:rPr>
          <w:rFonts w:ascii="Palatino Linotype" w:eastAsia="Palatino Linotype" w:hAnsi="Palatino Linotype" w:cs="Palatino Linotype"/>
          <w:b/>
          <w:sz w:val="24"/>
          <w:szCs w:val="24"/>
        </w:rPr>
        <w:t>/INFOEM/IP/RR/202</w:t>
      </w:r>
      <w:r w:rsidR="00A45BB6">
        <w:rPr>
          <w:rFonts w:ascii="Palatino Linotype" w:eastAsia="Palatino Linotype" w:hAnsi="Palatino Linotype" w:cs="Palatino Linotype"/>
          <w:b/>
          <w:sz w:val="24"/>
          <w:szCs w:val="24"/>
        </w:rPr>
        <w:t>3</w:t>
      </w:r>
      <w:r w:rsidRPr="008645E3">
        <w:rPr>
          <w:rFonts w:ascii="Palatino Linotype" w:eastAsia="Palatino Linotype" w:hAnsi="Palatino Linotype" w:cs="Palatino Linotype"/>
          <w:sz w:val="24"/>
          <w:szCs w:val="24"/>
        </w:rPr>
        <w:t xml:space="preserve">, por lo que, en términos del </w:t>
      </w:r>
      <w:r w:rsidRPr="008645E3">
        <w:rPr>
          <w:rFonts w:ascii="Palatino Linotype" w:eastAsia="Palatino Linotype" w:hAnsi="Palatino Linotype" w:cs="Palatino Linotype"/>
          <w:b/>
          <w:sz w:val="24"/>
          <w:szCs w:val="24"/>
        </w:rPr>
        <w:t>Considerando Cuarto</w:t>
      </w:r>
      <w:r w:rsidRPr="008645E3">
        <w:rPr>
          <w:rFonts w:ascii="Palatino Linotype" w:eastAsia="Palatino Linotype" w:hAnsi="Palatino Linotype" w:cs="Palatino Linotype"/>
          <w:sz w:val="24"/>
          <w:szCs w:val="24"/>
        </w:rPr>
        <w:t xml:space="preserve"> de esta resolución, se </w:t>
      </w:r>
      <w:r w:rsidR="0002412A">
        <w:rPr>
          <w:rFonts w:ascii="Palatino Linotype" w:eastAsia="Palatino Linotype" w:hAnsi="Palatino Linotype" w:cs="Palatino Linotype"/>
          <w:b/>
          <w:sz w:val="24"/>
          <w:szCs w:val="24"/>
        </w:rPr>
        <w:t>REVOCA</w:t>
      </w:r>
      <w:r w:rsidRPr="008645E3">
        <w:rPr>
          <w:rFonts w:ascii="Palatino Linotype" w:eastAsia="Palatino Linotype" w:hAnsi="Palatino Linotype" w:cs="Palatino Linotype"/>
          <w:sz w:val="24"/>
          <w:szCs w:val="24"/>
        </w:rPr>
        <w:t xml:space="preserve"> la respuesta emitida por el </w:t>
      </w:r>
      <w:r w:rsidRPr="008645E3">
        <w:rPr>
          <w:rFonts w:ascii="Palatino Linotype" w:eastAsia="Palatino Linotype" w:hAnsi="Palatino Linotype" w:cs="Palatino Linotype"/>
          <w:b/>
          <w:sz w:val="24"/>
          <w:szCs w:val="24"/>
        </w:rPr>
        <w:t>SUJETO OBLIGADO</w:t>
      </w:r>
      <w:r w:rsidRPr="008645E3">
        <w:rPr>
          <w:rFonts w:ascii="Palatino Linotype" w:eastAsia="Palatino Linotype" w:hAnsi="Palatino Linotype" w:cs="Palatino Linotype"/>
          <w:sz w:val="24"/>
          <w:szCs w:val="24"/>
        </w:rPr>
        <w:t>.</w:t>
      </w:r>
    </w:p>
    <w:p w14:paraId="291BFCC6"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74E8D6F7" w14:textId="3AC21142" w:rsidR="00A45BB6" w:rsidRDefault="00646B44" w:rsidP="00A45BB6">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Segundo</w:t>
      </w:r>
      <w:r w:rsidRPr="008645E3">
        <w:rPr>
          <w:rFonts w:ascii="Palatino Linotype" w:eastAsia="Palatino Linotype" w:hAnsi="Palatino Linotype" w:cs="Palatino Linotype"/>
          <w:sz w:val="24"/>
          <w:szCs w:val="24"/>
        </w:rPr>
        <w:t xml:space="preserve">. Se </w:t>
      </w:r>
      <w:r w:rsidRPr="008645E3">
        <w:rPr>
          <w:rFonts w:ascii="Palatino Linotype" w:eastAsia="Palatino Linotype" w:hAnsi="Palatino Linotype" w:cs="Palatino Linotype"/>
          <w:b/>
          <w:sz w:val="24"/>
          <w:szCs w:val="24"/>
        </w:rPr>
        <w:t>ORDENA</w:t>
      </w:r>
      <w:r w:rsidRPr="008645E3">
        <w:rPr>
          <w:rFonts w:ascii="Palatino Linotype" w:eastAsia="Palatino Linotype" w:hAnsi="Palatino Linotype" w:cs="Palatino Linotype"/>
          <w:sz w:val="24"/>
          <w:szCs w:val="24"/>
        </w:rPr>
        <w:t xml:space="preserve"> al </w:t>
      </w:r>
      <w:r w:rsidRPr="008645E3">
        <w:rPr>
          <w:rFonts w:ascii="Palatino Linotype" w:eastAsia="Palatino Linotype" w:hAnsi="Palatino Linotype" w:cs="Palatino Linotype"/>
          <w:b/>
          <w:sz w:val="24"/>
          <w:szCs w:val="24"/>
        </w:rPr>
        <w:t>SUJETO OBLIGADO</w:t>
      </w:r>
      <w:r w:rsidRPr="008645E3">
        <w:rPr>
          <w:rFonts w:ascii="Palatino Linotype" w:eastAsia="Palatino Linotype" w:hAnsi="Palatino Linotype" w:cs="Palatino Linotype"/>
          <w:sz w:val="24"/>
          <w:szCs w:val="24"/>
        </w:rPr>
        <w:t xml:space="preserve"> a que, en términos del Considerando Cuarto y Quinto, haga entrega</w:t>
      </w:r>
      <w:r w:rsidR="00B16261">
        <w:rPr>
          <w:rFonts w:ascii="Palatino Linotype" w:eastAsia="Palatino Linotype" w:hAnsi="Palatino Linotype" w:cs="Palatino Linotype"/>
          <w:sz w:val="24"/>
          <w:szCs w:val="24"/>
        </w:rPr>
        <w:t xml:space="preserve"> previa búsqueda exhaustiva y razonable,</w:t>
      </w:r>
      <w:r w:rsidRPr="008645E3">
        <w:rPr>
          <w:rFonts w:ascii="Palatino Linotype" w:eastAsia="Palatino Linotype" w:hAnsi="Palatino Linotype" w:cs="Palatino Linotype"/>
          <w:sz w:val="24"/>
          <w:szCs w:val="24"/>
        </w:rPr>
        <w:t xml:space="preserve"> vía Sistema </w:t>
      </w:r>
      <w:r w:rsidRPr="008645E3">
        <w:rPr>
          <w:rFonts w:ascii="Palatino Linotype" w:eastAsia="Palatino Linotype" w:hAnsi="Palatino Linotype" w:cs="Palatino Linotype"/>
          <w:sz w:val="24"/>
          <w:szCs w:val="24"/>
        </w:rPr>
        <w:lastRenderedPageBreak/>
        <w:t>de Acceso a la Información Mexiquense, en versión pública, de la siguiente información:</w:t>
      </w:r>
      <w:bookmarkStart w:id="1" w:name="_heading=h.1fob9te" w:colFirst="0" w:colLast="0"/>
      <w:bookmarkEnd w:id="1"/>
    </w:p>
    <w:p w14:paraId="545A28AE" w14:textId="77777777" w:rsidR="00A45BB6" w:rsidRDefault="00A45BB6" w:rsidP="00A45BB6">
      <w:pPr>
        <w:spacing w:after="0" w:line="360" w:lineRule="auto"/>
        <w:ind w:right="49"/>
        <w:jc w:val="both"/>
        <w:rPr>
          <w:rFonts w:ascii="Palatino Linotype" w:eastAsia="Palatino Linotype" w:hAnsi="Palatino Linotype" w:cs="Palatino Linotype"/>
          <w:sz w:val="24"/>
          <w:szCs w:val="24"/>
        </w:rPr>
      </w:pPr>
    </w:p>
    <w:p w14:paraId="026D4DFF" w14:textId="77777777" w:rsidR="00E9566B" w:rsidRPr="00B44E88" w:rsidRDefault="00E9566B" w:rsidP="00E9566B">
      <w:pPr>
        <w:pStyle w:val="Prrafodelista"/>
        <w:numPr>
          <w:ilvl w:val="0"/>
          <w:numId w:val="3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b/>
          <w:color w:val="000000"/>
          <w:szCs w:val="24"/>
        </w:rPr>
      </w:pPr>
      <w:r>
        <w:rPr>
          <w:rFonts w:ascii="Palatino Linotype" w:eastAsia="Palatino Linotype" w:hAnsi="Palatino Linotype" w:cs="Palatino Linotype"/>
          <w:b/>
          <w:color w:val="000000"/>
          <w:szCs w:val="24"/>
        </w:rPr>
        <w:t>Sentencia interlocutoria</w:t>
      </w:r>
      <w:r w:rsidRPr="00B44E88">
        <w:rPr>
          <w:rFonts w:ascii="Palatino Linotype" w:eastAsia="Palatino Linotype" w:hAnsi="Palatino Linotype" w:cs="Palatino Linotype"/>
          <w:b/>
          <w:color w:val="000000"/>
          <w:szCs w:val="24"/>
        </w:rPr>
        <w:t xml:space="preserve"> </w:t>
      </w:r>
      <w:r>
        <w:rPr>
          <w:rFonts w:ascii="Palatino Linotype" w:eastAsia="Palatino Linotype" w:hAnsi="Palatino Linotype" w:cs="Palatino Linotype"/>
          <w:b/>
          <w:color w:val="000000"/>
          <w:szCs w:val="24"/>
        </w:rPr>
        <w:t xml:space="preserve">que haya causado estado emitida con motivo de la audiencia de fecha </w:t>
      </w:r>
      <w:r w:rsidRPr="00B44E88">
        <w:rPr>
          <w:rFonts w:ascii="Palatino Linotype" w:eastAsia="Palatino Linotype" w:hAnsi="Palatino Linotype" w:cs="Palatino Linotype"/>
          <w:b/>
          <w:color w:val="000000"/>
          <w:szCs w:val="24"/>
        </w:rPr>
        <w:t>quince de junio de dos mil veintidós que obra en el expediente número TEC</w:t>
      </w:r>
      <w:r>
        <w:rPr>
          <w:rFonts w:ascii="Palatino Linotype" w:eastAsia="Palatino Linotype" w:hAnsi="Palatino Linotype" w:cs="Palatino Linotype"/>
          <w:b/>
          <w:color w:val="000000"/>
          <w:szCs w:val="24"/>
        </w:rPr>
        <w:t xml:space="preserve">A/02874/2019 bajo la mesa cinco. </w:t>
      </w:r>
    </w:p>
    <w:p w14:paraId="3655CE35" w14:textId="77777777" w:rsidR="00E9566B" w:rsidRPr="00FB4703" w:rsidRDefault="00E9566B" w:rsidP="00E9566B">
      <w:pPr>
        <w:pStyle w:val="Prrafodelista"/>
        <w:spacing w:after="0" w:line="360" w:lineRule="auto"/>
        <w:ind w:left="780" w:right="560"/>
        <w:jc w:val="both"/>
        <w:rPr>
          <w:rFonts w:ascii="Palatino Linotype" w:eastAsia="Palatino Linotype" w:hAnsi="Palatino Linotype" w:cs="Palatino Linotype"/>
          <w:b/>
        </w:rPr>
      </w:pPr>
    </w:p>
    <w:p w14:paraId="14D4A54B" w14:textId="77777777" w:rsidR="00E9566B" w:rsidRDefault="00E9566B" w:rsidP="00E9566B">
      <w:pPr>
        <w:spacing w:line="276" w:lineRule="auto"/>
        <w:ind w:left="567" w:right="615"/>
        <w:jc w:val="both"/>
        <w:rPr>
          <w:rFonts w:ascii="Palatino Linotype" w:eastAsia="Palatino Linotype" w:hAnsi="Palatino Linotype" w:cs="Palatino Linotype"/>
          <w:i/>
        </w:rPr>
      </w:pPr>
      <w:r>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CD5F727" w14:textId="77777777" w:rsidR="00E9566B" w:rsidRDefault="00E9566B" w:rsidP="00E9566B">
      <w:pPr>
        <w:spacing w:after="0" w:line="276" w:lineRule="auto"/>
        <w:ind w:left="567" w:right="615"/>
        <w:jc w:val="both"/>
        <w:rPr>
          <w:rFonts w:ascii="Palatino Linotype" w:eastAsia="Palatino Linotype" w:hAnsi="Palatino Linotype" w:cs="Palatino Linotype"/>
          <w:i/>
        </w:rPr>
      </w:pPr>
    </w:p>
    <w:p w14:paraId="777762E3" w14:textId="77777777" w:rsidR="00E9566B" w:rsidRDefault="00E9566B" w:rsidP="00E9566B">
      <w:pPr>
        <w:spacing w:line="276" w:lineRule="auto"/>
        <w:ind w:left="567" w:right="615"/>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el caso de que la información que se ordena entregar no haya causado estado, el Sujeto Obligado deberá proporcionar el Acuerdo de Clasificación emitido por su Comité de Transparencia, mediante el cual confirme la clasificación de la información como reservada, en términos del artículo 140 </w:t>
      </w:r>
      <w:proofErr w:type="gramStart"/>
      <w:r>
        <w:rPr>
          <w:rFonts w:ascii="Palatino Linotype" w:eastAsia="Palatino Linotype" w:hAnsi="Palatino Linotype" w:cs="Palatino Linotype"/>
          <w:i/>
        </w:rPr>
        <w:t>fracción  VIII</w:t>
      </w:r>
      <w:proofErr w:type="gramEnd"/>
      <w:r>
        <w:rPr>
          <w:rFonts w:ascii="Palatino Linotype" w:eastAsia="Palatino Linotype" w:hAnsi="Palatino Linotype" w:cs="Palatino Linotype"/>
          <w:i/>
        </w:rPr>
        <w:t xml:space="preserve"> de la Ley de Transparencia y Acceso a la Información Pública del Estado de México y Municipios. </w:t>
      </w:r>
    </w:p>
    <w:p w14:paraId="3EF3346A" w14:textId="77777777" w:rsidR="00F8557D" w:rsidRPr="008645E3" w:rsidRDefault="00F8557D">
      <w:pPr>
        <w:tabs>
          <w:tab w:val="left" w:pos="993"/>
        </w:tabs>
        <w:spacing w:after="0" w:line="360" w:lineRule="auto"/>
        <w:ind w:right="-28"/>
        <w:jc w:val="both"/>
        <w:rPr>
          <w:rFonts w:ascii="Palatino Linotype" w:eastAsia="Palatino Linotype" w:hAnsi="Palatino Linotype" w:cs="Palatino Linotype"/>
          <w:b/>
          <w:sz w:val="24"/>
          <w:szCs w:val="24"/>
        </w:rPr>
      </w:pPr>
    </w:p>
    <w:p w14:paraId="3D00D746" w14:textId="77777777" w:rsidR="009E75B5" w:rsidRPr="009E75B5" w:rsidRDefault="009E75B5" w:rsidP="009E75B5">
      <w:pPr>
        <w:spacing w:line="360" w:lineRule="auto"/>
        <w:ind w:right="49"/>
        <w:jc w:val="both"/>
        <w:rPr>
          <w:rFonts w:ascii="Palatino Linotype" w:eastAsia="Palatino Linotype" w:hAnsi="Palatino Linotype" w:cs="Palatino Linotype"/>
          <w:sz w:val="24"/>
        </w:rPr>
      </w:pPr>
      <w:r w:rsidRPr="009E75B5">
        <w:rPr>
          <w:rFonts w:ascii="Palatino Linotype" w:eastAsia="Palatino Linotype" w:hAnsi="Palatino Linotype" w:cs="Palatino Linotype"/>
          <w:b/>
          <w:sz w:val="24"/>
        </w:rPr>
        <w:t>Tercero.</w:t>
      </w:r>
      <w:r w:rsidRPr="009E75B5">
        <w:rPr>
          <w:rFonts w:ascii="Palatino Linotype" w:eastAsia="Palatino Linotype" w:hAnsi="Palatino Linotype" w:cs="Palatino Linotype"/>
          <w:sz w:val="24"/>
        </w:rPr>
        <w:t xml:space="preserve"> </w:t>
      </w:r>
      <w:r w:rsidRPr="009E75B5">
        <w:rPr>
          <w:rFonts w:ascii="Palatino Linotype" w:eastAsia="Palatino Linotype" w:hAnsi="Palatino Linotype" w:cs="Palatino Linotype"/>
          <w:b/>
          <w:sz w:val="24"/>
        </w:rPr>
        <w:t xml:space="preserve">Notifíquese </w:t>
      </w:r>
      <w:r w:rsidRPr="009E75B5">
        <w:rPr>
          <w:rFonts w:ascii="Palatino Linotype" w:eastAsia="Palatino Linotype" w:hAnsi="Palatino Linotype" w:cs="Palatino Linotype"/>
          <w:sz w:val="24"/>
        </w:rPr>
        <w:t>la presente resolución al T</w:t>
      </w:r>
      <w:r w:rsidRPr="009E75B5">
        <w:rPr>
          <w:rFonts w:ascii="Palatino Linotype" w:eastAsia="Palatino Linotype" w:hAnsi="Palatino Linotype" w:cs="Palatino Linotype"/>
          <w:b/>
          <w:sz w:val="24"/>
        </w:rPr>
        <w:t xml:space="preserve">itular de la Unidad de Transparencia </w:t>
      </w:r>
      <w:r w:rsidRPr="009E75B5">
        <w:rPr>
          <w:rFonts w:ascii="Palatino Linotype" w:eastAsia="Palatino Linotype" w:hAnsi="Palatino Linotype" w:cs="Palatino Linotype"/>
          <w:sz w:val="24"/>
        </w:rPr>
        <w:t xml:space="preserve">del </w:t>
      </w:r>
      <w:r w:rsidRPr="009E75B5">
        <w:rPr>
          <w:rFonts w:ascii="Palatino Linotype" w:eastAsia="Palatino Linotype" w:hAnsi="Palatino Linotype" w:cs="Palatino Linotype"/>
          <w:b/>
          <w:sz w:val="24"/>
        </w:rPr>
        <w:t>SUJETO OBLIGADO</w:t>
      </w:r>
      <w:r w:rsidRPr="009E75B5">
        <w:rPr>
          <w:rFonts w:ascii="Palatino Linotype" w:eastAsia="Palatino Linotype" w:hAnsi="Palatino Linotype" w:cs="Palatino Linotype"/>
          <w:sz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9E75B5">
        <w:rPr>
          <w:rFonts w:ascii="Palatino Linotype" w:eastAsia="Palatino Linotype" w:hAnsi="Palatino Linotype" w:cs="Palatino Linotype"/>
          <w:sz w:val="24"/>
        </w:rPr>
        <w:lastRenderedPageBreak/>
        <w:t>fracción III; 214, 215 y 216de la Ley  de Transparencia y Acceso a la Información Pública del Estado de México y Municipios.</w:t>
      </w:r>
    </w:p>
    <w:p w14:paraId="7CC1FF69"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3970498B" w14:textId="5B8A5E5A"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Cuarto.</w:t>
      </w:r>
      <w:r w:rsidRPr="008645E3">
        <w:rPr>
          <w:rFonts w:ascii="Palatino Linotype" w:eastAsia="Palatino Linotype" w:hAnsi="Palatino Linotype" w:cs="Palatino Linotype"/>
          <w:sz w:val="24"/>
          <w:szCs w:val="24"/>
        </w:rPr>
        <w:t xml:space="preserve"> </w:t>
      </w:r>
      <w:r w:rsidRPr="008645E3">
        <w:rPr>
          <w:rFonts w:ascii="Palatino Linotype" w:eastAsia="Palatino Linotype" w:hAnsi="Palatino Linotype" w:cs="Palatino Linotype"/>
          <w:b/>
          <w:sz w:val="24"/>
          <w:szCs w:val="24"/>
        </w:rPr>
        <w:t>Notifíquese vía SAIMEX</w:t>
      </w:r>
      <w:r w:rsidRPr="008645E3">
        <w:rPr>
          <w:rFonts w:ascii="Palatino Linotype" w:eastAsia="Palatino Linotype" w:hAnsi="Palatino Linotype" w:cs="Palatino Linotype"/>
          <w:sz w:val="24"/>
          <w:szCs w:val="24"/>
        </w:rPr>
        <w:t xml:space="preserve"> a la parte </w:t>
      </w:r>
      <w:r w:rsidRPr="008645E3">
        <w:rPr>
          <w:rFonts w:ascii="Palatino Linotype" w:eastAsia="Palatino Linotype" w:hAnsi="Palatino Linotype" w:cs="Palatino Linotype"/>
          <w:b/>
          <w:sz w:val="24"/>
          <w:szCs w:val="24"/>
        </w:rPr>
        <w:t xml:space="preserve">RECURRENTE </w:t>
      </w:r>
      <w:r w:rsidRPr="008645E3">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r w:rsidR="0002412A">
        <w:rPr>
          <w:rFonts w:ascii="Palatino Linotype" w:eastAsia="Palatino Linotype" w:hAnsi="Palatino Linotype" w:cs="Palatino Linotype"/>
          <w:sz w:val="24"/>
          <w:szCs w:val="24"/>
        </w:rPr>
        <w:t xml:space="preserve">. </w:t>
      </w:r>
    </w:p>
    <w:p w14:paraId="23C230A4"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42787555" w14:textId="755207F3" w:rsidR="00F8557D"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Quinto.</w:t>
      </w:r>
      <w:r w:rsidRPr="008645E3">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8645E3">
        <w:rPr>
          <w:rFonts w:ascii="Palatino Linotype" w:eastAsia="Palatino Linotype" w:hAnsi="Palatino Linotype" w:cs="Palatino Linotype"/>
          <w:b/>
          <w:sz w:val="24"/>
          <w:szCs w:val="24"/>
        </w:rPr>
        <w:t>SUJETO OBLIGADO</w:t>
      </w:r>
      <w:r w:rsidRPr="008645E3">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3A19A8DC" w14:textId="77777777" w:rsidR="00E9566B" w:rsidRPr="008645E3" w:rsidRDefault="00E9566B">
      <w:pPr>
        <w:spacing w:after="0" w:line="360" w:lineRule="auto"/>
        <w:ind w:right="49"/>
        <w:jc w:val="both"/>
        <w:rPr>
          <w:rFonts w:ascii="Palatino Linotype" w:eastAsia="Palatino Linotype" w:hAnsi="Palatino Linotype" w:cs="Palatino Linotype"/>
          <w:sz w:val="24"/>
          <w:szCs w:val="24"/>
        </w:rPr>
      </w:pPr>
    </w:p>
    <w:p w14:paraId="223A250F" w14:textId="6844BD10" w:rsidR="00F8557D" w:rsidRPr="00634588" w:rsidRDefault="00646B44">
      <w:pPr>
        <w:spacing w:after="0" w:line="360" w:lineRule="auto"/>
        <w:ind w:right="49"/>
        <w:jc w:val="both"/>
        <w:rPr>
          <w:rFonts w:ascii="Palatino Linotype" w:eastAsia="Palatino Linotype" w:hAnsi="Palatino Linotype" w:cs="Palatino Linotype"/>
          <w:sz w:val="24"/>
          <w:szCs w:val="24"/>
        </w:rPr>
      </w:pPr>
      <w:r w:rsidRPr="00634588">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917A6A">
        <w:rPr>
          <w:rFonts w:ascii="Palatino Linotype" w:eastAsia="Palatino Linotype" w:hAnsi="Palatino Linotype" w:cs="Palatino Linotype"/>
          <w:sz w:val="24"/>
          <w:szCs w:val="24"/>
        </w:rPr>
        <w:t xml:space="preserve"> </w:t>
      </w:r>
      <w:r w:rsidR="009E75B5">
        <w:rPr>
          <w:rFonts w:ascii="Palatino Linotype" w:eastAsia="Palatino Linotype" w:hAnsi="Palatino Linotype" w:cs="Palatino Linotype"/>
          <w:sz w:val="24"/>
          <w:szCs w:val="24"/>
        </w:rPr>
        <w:t xml:space="preserve">CUADRAGÉSIMA </w:t>
      </w:r>
      <w:r w:rsidR="00FB4703">
        <w:rPr>
          <w:rFonts w:ascii="Palatino Linotype" w:eastAsia="Palatino Linotype" w:hAnsi="Palatino Linotype" w:cs="Palatino Linotype"/>
          <w:sz w:val="24"/>
          <w:szCs w:val="24"/>
        </w:rPr>
        <w:t>CUARTA</w:t>
      </w:r>
      <w:r w:rsidR="00A45BB6">
        <w:rPr>
          <w:rFonts w:ascii="Palatino Linotype" w:eastAsia="Palatino Linotype" w:hAnsi="Palatino Linotype" w:cs="Palatino Linotype"/>
          <w:sz w:val="24"/>
          <w:szCs w:val="24"/>
        </w:rPr>
        <w:t xml:space="preserve"> </w:t>
      </w:r>
      <w:r w:rsidR="00B16261" w:rsidRPr="00634588">
        <w:rPr>
          <w:rFonts w:ascii="Palatino Linotype" w:eastAsia="Palatino Linotype" w:hAnsi="Palatino Linotype" w:cs="Palatino Linotype"/>
          <w:sz w:val="24"/>
          <w:szCs w:val="24"/>
        </w:rPr>
        <w:t xml:space="preserve">SESIÓN ORDINARIA </w:t>
      </w:r>
      <w:r w:rsidRPr="00634588">
        <w:rPr>
          <w:rFonts w:ascii="Palatino Linotype" w:eastAsia="Palatino Linotype" w:hAnsi="Palatino Linotype" w:cs="Palatino Linotype"/>
          <w:sz w:val="24"/>
          <w:szCs w:val="24"/>
        </w:rPr>
        <w:t xml:space="preserve">CELEBRADA EL </w:t>
      </w:r>
      <w:r w:rsidR="00FB4703">
        <w:rPr>
          <w:rFonts w:ascii="Palatino Linotype" w:eastAsia="Palatino Linotype" w:hAnsi="Palatino Linotype" w:cs="Palatino Linotype"/>
          <w:sz w:val="24"/>
          <w:szCs w:val="24"/>
        </w:rPr>
        <w:t>SEIS DE DICIEMBRE</w:t>
      </w:r>
      <w:r w:rsidR="009E75B5">
        <w:rPr>
          <w:rFonts w:ascii="Palatino Linotype" w:eastAsia="Palatino Linotype" w:hAnsi="Palatino Linotype" w:cs="Palatino Linotype"/>
          <w:sz w:val="24"/>
          <w:szCs w:val="24"/>
        </w:rPr>
        <w:t xml:space="preserve"> </w:t>
      </w:r>
      <w:r w:rsidRPr="00634588">
        <w:rPr>
          <w:rFonts w:ascii="Palatino Linotype" w:eastAsia="Palatino Linotype" w:hAnsi="Palatino Linotype" w:cs="Palatino Linotype"/>
          <w:sz w:val="24"/>
          <w:szCs w:val="24"/>
        </w:rPr>
        <w:t>DE DOS MIL VEINTI</w:t>
      </w:r>
      <w:r w:rsidR="00B16261" w:rsidRPr="00634588">
        <w:rPr>
          <w:rFonts w:ascii="Palatino Linotype" w:eastAsia="Palatino Linotype" w:hAnsi="Palatino Linotype" w:cs="Palatino Linotype"/>
          <w:sz w:val="24"/>
          <w:szCs w:val="24"/>
        </w:rPr>
        <w:t>TRÉS</w:t>
      </w:r>
      <w:r w:rsidRPr="00634588">
        <w:rPr>
          <w:rFonts w:ascii="Palatino Linotype" w:eastAsia="Palatino Linotype" w:hAnsi="Palatino Linotype" w:cs="Palatino Linotype"/>
          <w:sz w:val="24"/>
          <w:szCs w:val="24"/>
        </w:rPr>
        <w:t xml:space="preserve">, ANTE EL SECRETARIO TÉCNICO DEL PLENO ALEXIS TAPIA RAMÍREZ. </w:t>
      </w:r>
    </w:p>
    <w:p w14:paraId="2BAC687F" w14:textId="77777777" w:rsidR="00F8557D" w:rsidRDefault="00F8557D">
      <w:pPr>
        <w:spacing w:after="0" w:line="360" w:lineRule="auto"/>
        <w:ind w:right="49"/>
        <w:jc w:val="both"/>
        <w:rPr>
          <w:rFonts w:ascii="Palatino Linotype" w:eastAsia="Palatino Linotype" w:hAnsi="Palatino Linotype" w:cs="Palatino Linotype"/>
          <w:sz w:val="24"/>
          <w:szCs w:val="24"/>
        </w:rPr>
      </w:pPr>
    </w:p>
    <w:p w14:paraId="1031A4E2" w14:textId="77777777" w:rsidR="00F8557D" w:rsidRDefault="00F8557D">
      <w:pPr>
        <w:spacing w:after="0" w:line="360" w:lineRule="auto"/>
        <w:ind w:right="49"/>
        <w:jc w:val="both"/>
        <w:rPr>
          <w:rFonts w:ascii="Palatino Linotype" w:eastAsia="Palatino Linotype" w:hAnsi="Palatino Linotype" w:cs="Palatino Linotype"/>
          <w:sz w:val="24"/>
          <w:szCs w:val="24"/>
        </w:rPr>
      </w:pPr>
    </w:p>
    <w:p w14:paraId="5B8F3649" w14:textId="77777777" w:rsidR="00F8557D" w:rsidRDefault="00F8557D">
      <w:pPr>
        <w:spacing w:after="0" w:line="360" w:lineRule="auto"/>
        <w:ind w:right="49"/>
        <w:jc w:val="both"/>
        <w:rPr>
          <w:rFonts w:ascii="Palatino Linotype" w:eastAsia="Palatino Linotype" w:hAnsi="Palatino Linotype" w:cs="Palatino Linotype"/>
          <w:sz w:val="24"/>
          <w:szCs w:val="24"/>
        </w:rPr>
      </w:pPr>
    </w:p>
    <w:p w14:paraId="2022739A" w14:textId="77777777" w:rsidR="00F8557D" w:rsidRDefault="00F8557D">
      <w:pPr>
        <w:spacing w:after="0" w:line="360" w:lineRule="auto"/>
        <w:ind w:right="49"/>
        <w:jc w:val="both"/>
        <w:rPr>
          <w:rFonts w:ascii="Palatino Linotype" w:eastAsia="Palatino Linotype" w:hAnsi="Palatino Linotype" w:cs="Palatino Linotype"/>
          <w:sz w:val="24"/>
          <w:szCs w:val="24"/>
        </w:rPr>
      </w:pPr>
    </w:p>
    <w:p w14:paraId="64B98FB1" w14:textId="77777777" w:rsidR="00F8557D" w:rsidRDefault="00F8557D">
      <w:pPr>
        <w:spacing w:after="0" w:line="360" w:lineRule="auto"/>
        <w:ind w:right="49"/>
        <w:jc w:val="both"/>
        <w:rPr>
          <w:rFonts w:ascii="Palatino Linotype" w:eastAsia="Palatino Linotype" w:hAnsi="Palatino Linotype" w:cs="Palatino Linotype"/>
          <w:sz w:val="24"/>
          <w:szCs w:val="24"/>
        </w:rPr>
      </w:pPr>
    </w:p>
    <w:p w14:paraId="3DCA74B5" w14:textId="77777777" w:rsidR="00F8557D" w:rsidRDefault="00F8557D">
      <w:pPr>
        <w:spacing w:after="0" w:line="360" w:lineRule="auto"/>
        <w:ind w:right="49"/>
        <w:jc w:val="both"/>
        <w:rPr>
          <w:rFonts w:ascii="Palatino Linotype" w:eastAsia="Palatino Linotype" w:hAnsi="Palatino Linotype" w:cs="Palatino Linotype"/>
          <w:sz w:val="24"/>
          <w:szCs w:val="24"/>
        </w:rPr>
      </w:pPr>
    </w:p>
    <w:p w14:paraId="0026736C" w14:textId="77777777" w:rsidR="00F8557D" w:rsidRDefault="00F8557D">
      <w:pPr>
        <w:spacing w:after="0" w:line="360" w:lineRule="auto"/>
        <w:ind w:right="49"/>
        <w:jc w:val="both"/>
        <w:rPr>
          <w:rFonts w:ascii="Palatino Linotype" w:eastAsia="Palatino Linotype" w:hAnsi="Palatino Linotype" w:cs="Palatino Linotype"/>
          <w:sz w:val="24"/>
          <w:szCs w:val="24"/>
        </w:rPr>
      </w:pPr>
    </w:p>
    <w:sectPr w:rsidR="00F8557D">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70BE5" w14:textId="77777777" w:rsidR="007C0BFF" w:rsidRDefault="007C0BFF">
      <w:pPr>
        <w:spacing w:after="0" w:line="240" w:lineRule="auto"/>
      </w:pPr>
      <w:r>
        <w:separator/>
      </w:r>
    </w:p>
  </w:endnote>
  <w:endnote w:type="continuationSeparator" w:id="0">
    <w:p w14:paraId="4E87D798" w14:textId="77777777" w:rsidR="007C0BFF" w:rsidRDefault="007C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1C3D" w14:textId="77777777" w:rsidR="0035795C" w:rsidRDefault="003579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921D0">
      <w:rPr>
        <w:b/>
        <w:noProof/>
        <w:color w:val="000000"/>
        <w:sz w:val="24"/>
        <w:szCs w:val="24"/>
      </w:rPr>
      <w:t>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921D0">
      <w:rPr>
        <w:b/>
        <w:noProof/>
        <w:color w:val="000000"/>
        <w:sz w:val="24"/>
        <w:szCs w:val="24"/>
      </w:rPr>
      <w:t>41</w:t>
    </w:r>
    <w:r>
      <w:rPr>
        <w:b/>
        <w:color w:val="000000"/>
        <w:sz w:val="24"/>
        <w:szCs w:val="24"/>
      </w:rPr>
      <w:fldChar w:fldCharType="end"/>
    </w:r>
  </w:p>
  <w:p w14:paraId="693219AA" w14:textId="77777777" w:rsidR="0035795C" w:rsidRDefault="0035795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6C6E" w14:textId="77777777" w:rsidR="0035795C" w:rsidRDefault="003579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921D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921D0">
      <w:rPr>
        <w:b/>
        <w:noProof/>
        <w:color w:val="000000"/>
        <w:sz w:val="24"/>
        <w:szCs w:val="24"/>
      </w:rPr>
      <w:t>41</w:t>
    </w:r>
    <w:r>
      <w:rPr>
        <w:b/>
        <w:color w:val="000000"/>
        <w:sz w:val="24"/>
        <w:szCs w:val="24"/>
      </w:rPr>
      <w:fldChar w:fldCharType="end"/>
    </w:r>
  </w:p>
  <w:p w14:paraId="54B4B9F6" w14:textId="77777777" w:rsidR="0035795C" w:rsidRDefault="0035795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2E4F0" w14:textId="77777777" w:rsidR="007C0BFF" w:rsidRDefault="007C0BFF">
      <w:pPr>
        <w:spacing w:after="0" w:line="240" w:lineRule="auto"/>
      </w:pPr>
      <w:r>
        <w:separator/>
      </w:r>
    </w:p>
  </w:footnote>
  <w:footnote w:type="continuationSeparator" w:id="0">
    <w:p w14:paraId="35ECDDE8" w14:textId="77777777" w:rsidR="007C0BFF" w:rsidRDefault="007C0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E2F0" w14:textId="77777777" w:rsidR="0035795C" w:rsidRDefault="0035795C">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F5B294A" wp14:editId="1074D7E4">
          <wp:simplePos x="0" y="0"/>
          <wp:positionH relativeFrom="column">
            <wp:posOffset>-669925</wp:posOffset>
          </wp:positionH>
          <wp:positionV relativeFrom="paragraph">
            <wp:posOffset>-402590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35795C" w14:paraId="3D10BF48" w14:textId="77777777">
      <w:tc>
        <w:tcPr>
          <w:tcW w:w="2551" w:type="dxa"/>
          <w:vAlign w:val="center"/>
        </w:tcPr>
        <w:p w14:paraId="3489D479" w14:textId="77777777" w:rsidR="0035795C" w:rsidRDefault="003579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68A2B580" w:rsidR="0035795C" w:rsidRDefault="0035795C" w:rsidP="00D745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02974/INFOEM/IP/RR/2023</w:t>
          </w:r>
        </w:p>
      </w:tc>
    </w:tr>
    <w:tr w:rsidR="0035795C" w14:paraId="537DBD70" w14:textId="77777777" w:rsidTr="00F22AE1">
      <w:trPr>
        <w:trHeight w:val="217"/>
      </w:trPr>
      <w:tc>
        <w:tcPr>
          <w:tcW w:w="2551" w:type="dxa"/>
          <w:vAlign w:val="center"/>
        </w:tcPr>
        <w:p w14:paraId="7D199168" w14:textId="77777777" w:rsidR="0035795C" w:rsidRDefault="003579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3BFC658" w14:textId="409B13F3" w:rsidR="0035795C" w:rsidRDefault="003579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F2903A6" w14:textId="5A4DA2E2" w:rsidR="0035795C" w:rsidRDefault="0035795C" w:rsidP="006B4A8B">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Tribunal Estatal de Conciliación y Arbitraje</w:t>
          </w:r>
        </w:p>
      </w:tc>
    </w:tr>
    <w:tr w:rsidR="0035795C" w14:paraId="7D1FD3FE" w14:textId="77777777">
      <w:tc>
        <w:tcPr>
          <w:tcW w:w="2551" w:type="dxa"/>
          <w:vAlign w:val="center"/>
        </w:tcPr>
        <w:p w14:paraId="19D94C21" w14:textId="77777777" w:rsidR="0035795C" w:rsidRDefault="003579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35795C" w:rsidRDefault="003579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35795C" w:rsidRDefault="0035795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5AB5" w14:textId="01B23D62" w:rsidR="0035795C" w:rsidRDefault="0035795C">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00B91A5" wp14:editId="5102F395">
          <wp:simplePos x="0" y="0"/>
          <wp:positionH relativeFrom="column">
            <wp:posOffset>-706755</wp:posOffset>
          </wp:positionH>
          <wp:positionV relativeFrom="paragraph">
            <wp:posOffset>-277495</wp:posOffset>
          </wp:positionV>
          <wp:extent cx="7809865" cy="10165715"/>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5603" w:type="dxa"/>
      <w:tblInd w:w="3611" w:type="dxa"/>
      <w:tblLayout w:type="fixed"/>
      <w:tblLook w:val="0400" w:firstRow="0" w:lastRow="0" w:firstColumn="0" w:lastColumn="0" w:noHBand="0" w:noVBand="1"/>
    </w:tblPr>
    <w:tblGrid>
      <w:gridCol w:w="2551"/>
      <w:gridCol w:w="3052"/>
    </w:tblGrid>
    <w:tr w:rsidR="0035795C" w14:paraId="7C8FDD66" w14:textId="77777777" w:rsidTr="00F22AE1">
      <w:tc>
        <w:tcPr>
          <w:tcW w:w="2551" w:type="dxa"/>
          <w:vAlign w:val="center"/>
        </w:tcPr>
        <w:p w14:paraId="63FBC165" w14:textId="77777777" w:rsidR="0035795C" w:rsidRDefault="003579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5DF849D0" w:rsidR="0035795C" w:rsidRDefault="003579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02974/INFOEM/IP/RR/2023</w:t>
          </w:r>
        </w:p>
      </w:tc>
    </w:tr>
    <w:tr w:rsidR="0035795C" w14:paraId="44EE5E5E" w14:textId="77777777" w:rsidTr="00F22AE1">
      <w:tc>
        <w:tcPr>
          <w:tcW w:w="2551" w:type="dxa"/>
          <w:vAlign w:val="center"/>
        </w:tcPr>
        <w:p w14:paraId="62F87E54" w14:textId="77777777" w:rsidR="0035795C" w:rsidRDefault="003579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p w14:paraId="362D8093" w14:textId="77777777" w:rsidR="0035795C" w:rsidRDefault="003579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AAA5E3F" w14:textId="3E038682" w:rsidR="0035795C" w:rsidRDefault="005408C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XXXXXXX XXXXXX XXXXXXX</w:t>
          </w:r>
        </w:p>
      </w:tc>
    </w:tr>
    <w:tr w:rsidR="0035795C" w14:paraId="62AB0F25" w14:textId="77777777" w:rsidTr="00F22AE1">
      <w:trPr>
        <w:trHeight w:val="152"/>
      </w:trPr>
      <w:tc>
        <w:tcPr>
          <w:tcW w:w="2551" w:type="dxa"/>
          <w:vAlign w:val="center"/>
        </w:tcPr>
        <w:p w14:paraId="521091D4" w14:textId="77777777" w:rsidR="0035795C" w:rsidRDefault="0035795C" w:rsidP="00F22AE1">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1A709B4" w14:textId="711AD27F" w:rsidR="0035795C" w:rsidRDefault="0035795C" w:rsidP="00F22AE1">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02BFD8D" w14:textId="067F05DD" w:rsidR="0035795C" w:rsidRDefault="0035795C" w:rsidP="006B4A8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Tribunal Estatal de Conciliación y Arbitraje</w:t>
          </w:r>
        </w:p>
      </w:tc>
    </w:tr>
    <w:tr w:rsidR="0035795C" w14:paraId="43D52849" w14:textId="77777777" w:rsidTr="00F22AE1">
      <w:tc>
        <w:tcPr>
          <w:tcW w:w="2551" w:type="dxa"/>
          <w:vAlign w:val="center"/>
        </w:tcPr>
        <w:p w14:paraId="5770E145" w14:textId="77777777" w:rsidR="0035795C" w:rsidRDefault="003579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35795C" w:rsidRDefault="0035795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02F0E7F4" w:rsidR="0035795C" w:rsidRDefault="0035795C">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AE8"/>
    <w:multiLevelType w:val="hybridMultilevel"/>
    <w:tmpl w:val="4C0265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5021BD"/>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337D7C"/>
    <w:multiLevelType w:val="hybridMultilevel"/>
    <w:tmpl w:val="9AE6D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B74BDA"/>
    <w:multiLevelType w:val="hybridMultilevel"/>
    <w:tmpl w:val="DDD6F79E"/>
    <w:lvl w:ilvl="0" w:tplc="E8D860B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7B263B"/>
    <w:multiLevelType w:val="multilevel"/>
    <w:tmpl w:val="A192D0DC"/>
    <w:lvl w:ilvl="0">
      <w:start w:val="1"/>
      <w:numFmt w:val="decimal"/>
      <w:lvlText w:val="%1)"/>
      <w:lvlJc w:val="left"/>
      <w:pPr>
        <w:ind w:left="720" w:hanging="360"/>
      </w:pPr>
      <w:rPr>
        <w:rFonts w:cs="Times New Roman"/>
        <w:b/>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7" w15:restartNumberingAfterBreak="0">
    <w:nsid w:val="1AA73C60"/>
    <w:multiLevelType w:val="hybridMultilevel"/>
    <w:tmpl w:val="445A8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F52D59"/>
    <w:multiLevelType w:val="hybridMultilevel"/>
    <w:tmpl w:val="E94A6EF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CF936BB"/>
    <w:multiLevelType w:val="hybridMultilevel"/>
    <w:tmpl w:val="C9820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AD3049"/>
    <w:multiLevelType w:val="hybridMultilevel"/>
    <w:tmpl w:val="5A141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A23494"/>
    <w:multiLevelType w:val="hybridMultilevel"/>
    <w:tmpl w:val="156E9C64"/>
    <w:lvl w:ilvl="0" w:tplc="1B2001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3F31C3"/>
    <w:multiLevelType w:val="hybridMultilevel"/>
    <w:tmpl w:val="98A8D118"/>
    <w:lvl w:ilvl="0" w:tplc="8C703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0420E9F"/>
    <w:multiLevelType w:val="hybridMultilevel"/>
    <w:tmpl w:val="237EF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DE0"/>
    <w:multiLevelType w:val="multilevel"/>
    <w:tmpl w:val="EE02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A45D12"/>
    <w:multiLevelType w:val="hybridMultilevel"/>
    <w:tmpl w:val="C7B4D8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1834E3"/>
    <w:multiLevelType w:val="hybridMultilevel"/>
    <w:tmpl w:val="779283CE"/>
    <w:lvl w:ilvl="0" w:tplc="AEAC9888">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9" w15:restartNumberingAfterBreak="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9B31E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B05ECA"/>
    <w:multiLevelType w:val="hybridMultilevel"/>
    <w:tmpl w:val="259E9A86"/>
    <w:lvl w:ilvl="0" w:tplc="AEAC9888">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2" w15:restartNumberingAfterBreak="0">
    <w:nsid w:val="3D007002"/>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3100032"/>
    <w:multiLevelType w:val="hybridMultilevel"/>
    <w:tmpl w:val="3B187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8B5FAD"/>
    <w:multiLevelType w:val="multilevel"/>
    <w:tmpl w:val="64B2818E"/>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6" w15:restartNumberingAfterBreak="0">
    <w:nsid w:val="440C55E3"/>
    <w:multiLevelType w:val="hybridMultilevel"/>
    <w:tmpl w:val="AD122678"/>
    <w:lvl w:ilvl="0" w:tplc="6B6C8C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635CB3"/>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B95DB4"/>
    <w:multiLevelType w:val="hybridMultilevel"/>
    <w:tmpl w:val="B568D8F0"/>
    <w:lvl w:ilvl="0" w:tplc="E760F23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8AE1072"/>
    <w:multiLevelType w:val="hybridMultilevel"/>
    <w:tmpl w:val="C79C38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394EFE"/>
    <w:multiLevelType w:val="hybridMultilevel"/>
    <w:tmpl w:val="79EAA24C"/>
    <w:lvl w:ilvl="0" w:tplc="AEAC9888">
      <w:numFmt w:val="bullet"/>
      <w:lvlText w:val="•"/>
      <w:lvlJc w:val="left"/>
      <w:pPr>
        <w:ind w:left="1287"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98506A0"/>
    <w:multiLevelType w:val="hybridMultilevel"/>
    <w:tmpl w:val="B588D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12B7AD8"/>
    <w:multiLevelType w:val="hybridMultilevel"/>
    <w:tmpl w:val="97FC215E"/>
    <w:lvl w:ilvl="0" w:tplc="A6E402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13E557F"/>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270EDE"/>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6D6501"/>
    <w:multiLevelType w:val="hybridMultilevel"/>
    <w:tmpl w:val="467C8F3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9" w15:restartNumberingAfterBreak="0">
    <w:nsid w:val="65C17643"/>
    <w:multiLevelType w:val="hybridMultilevel"/>
    <w:tmpl w:val="89DA077A"/>
    <w:lvl w:ilvl="0" w:tplc="AEAC9888">
      <w:numFmt w:val="bullet"/>
      <w:lvlText w:val="•"/>
      <w:lvlJc w:val="left"/>
      <w:pPr>
        <w:ind w:left="1494" w:hanging="360"/>
      </w:pPr>
      <w:rPr>
        <w:rFonts w:ascii="Palatino Linotype" w:eastAsia="Palatino Linotype" w:hAnsi="Palatino Linotype" w:cs="Palatino Linotype"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93E443D"/>
    <w:multiLevelType w:val="hybridMultilevel"/>
    <w:tmpl w:val="68BEB4E0"/>
    <w:lvl w:ilvl="0" w:tplc="A1223E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D650712"/>
    <w:multiLevelType w:val="hybridMultilevel"/>
    <w:tmpl w:val="557C0D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36"/>
  </w:num>
  <w:num w:numId="3">
    <w:abstractNumId w:val="2"/>
  </w:num>
  <w:num w:numId="4">
    <w:abstractNumId w:val="42"/>
  </w:num>
  <w:num w:numId="5">
    <w:abstractNumId w:val="16"/>
  </w:num>
  <w:num w:numId="6">
    <w:abstractNumId w:val="33"/>
  </w:num>
  <w:num w:numId="7">
    <w:abstractNumId w:val="23"/>
  </w:num>
  <w:num w:numId="8">
    <w:abstractNumId w:val="28"/>
  </w:num>
  <w:num w:numId="9">
    <w:abstractNumId w:val="32"/>
  </w:num>
  <w:num w:numId="10">
    <w:abstractNumId w:val="13"/>
  </w:num>
  <w:num w:numId="11">
    <w:abstractNumId w:val="45"/>
  </w:num>
  <w:num w:numId="12">
    <w:abstractNumId w:val="29"/>
  </w:num>
  <w:num w:numId="13">
    <w:abstractNumId w:val="5"/>
  </w:num>
  <w:num w:numId="14">
    <w:abstractNumId w:val="19"/>
  </w:num>
  <w:num w:numId="15">
    <w:abstractNumId w:val="9"/>
  </w:num>
  <w:num w:numId="16">
    <w:abstractNumId w:val="43"/>
  </w:num>
  <w:num w:numId="17">
    <w:abstractNumId w:val="30"/>
  </w:num>
  <w:num w:numId="18">
    <w:abstractNumId w:val="14"/>
  </w:num>
  <w:num w:numId="19">
    <w:abstractNumId w:val="22"/>
  </w:num>
  <w:num w:numId="20">
    <w:abstractNumId w:val="35"/>
  </w:num>
  <w:num w:numId="21">
    <w:abstractNumId w:val="20"/>
  </w:num>
  <w:num w:numId="22">
    <w:abstractNumId w:val="27"/>
  </w:num>
  <w:num w:numId="23">
    <w:abstractNumId w:val="37"/>
  </w:num>
  <w:num w:numId="24">
    <w:abstractNumId w:val="1"/>
  </w:num>
  <w:num w:numId="25">
    <w:abstractNumId w:val="0"/>
  </w:num>
  <w:num w:numId="26">
    <w:abstractNumId w:val="10"/>
  </w:num>
  <w:num w:numId="27">
    <w:abstractNumId w:val="7"/>
  </w:num>
  <w:num w:numId="28">
    <w:abstractNumId w:val="44"/>
  </w:num>
  <w:num w:numId="29">
    <w:abstractNumId w:val="4"/>
  </w:num>
  <w:num w:numId="30">
    <w:abstractNumId w:val="15"/>
  </w:num>
  <w:num w:numId="31">
    <w:abstractNumId w:val="24"/>
  </w:num>
  <w:num w:numId="32">
    <w:abstractNumId w:val="38"/>
  </w:num>
  <w:num w:numId="33">
    <w:abstractNumId w:val="17"/>
  </w:num>
  <w:num w:numId="34">
    <w:abstractNumId w:val="34"/>
  </w:num>
  <w:num w:numId="35">
    <w:abstractNumId w:val="41"/>
  </w:num>
  <w:num w:numId="36">
    <w:abstractNumId w:val="26"/>
  </w:num>
  <w:num w:numId="37">
    <w:abstractNumId w:val="11"/>
  </w:num>
  <w:num w:numId="38">
    <w:abstractNumId w:val="12"/>
  </w:num>
  <w:num w:numId="39">
    <w:abstractNumId w:val="40"/>
  </w:num>
  <w:num w:numId="40">
    <w:abstractNumId w:val="6"/>
  </w:num>
  <w:num w:numId="41">
    <w:abstractNumId w:val="25"/>
  </w:num>
  <w:num w:numId="42">
    <w:abstractNumId w:val="8"/>
  </w:num>
  <w:num w:numId="43">
    <w:abstractNumId w:val="21"/>
  </w:num>
  <w:num w:numId="44">
    <w:abstractNumId w:val="31"/>
  </w:num>
  <w:num w:numId="45">
    <w:abstractNumId w:val="39"/>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7D"/>
    <w:rsid w:val="00004C64"/>
    <w:rsid w:val="00010B9B"/>
    <w:rsid w:val="0001679E"/>
    <w:rsid w:val="0002412A"/>
    <w:rsid w:val="00030649"/>
    <w:rsid w:val="0003629B"/>
    <w:rsid w:val="000F210B"/>
    <w:rsid w:val="000F2B24"/>
    <w:rsid w:val="00104192"/>
    <w:rsid w:val="001217EF"/>
    <w:rsid w:val="00141C9C"/>
    <w:rsid w:val="00144A39"/>
    <w:rsid w:val="001B0960"/>
    <w:rsid w:val="001C4643"/>
    <w:rsid w:val="001D6AE2"/>
    <w:rsid w:val="001E6843"/>
    <w:rsid w:val="001F2713"/>
    <w:rsid w:val="00200D2C"/>
    <w:rsid w:val="00203460"/>
    <w:rsid w:val="0022693C"/>
    <w:rsid w:val="00241DE1"/>
    <w:rsid w:val="00261385"/>
    <w:rsid w:val="00261CF2"/>
    <w:rsid w:val="00264AA6"/>
    <w:rsid w:val="00276C2F"/>
    <w:rsid w:val="002A4A92"/>
    <w:rsid w:val="002C103C"/>
    <w:rsid w:val="002D6A54"/>
    <w:rsid w:val="002E22B0"/>
    <w:rsid w:val="002F3C2D"/>
    <w:rsid w:val="00322186"/>
    <w:rsid w:val="0032615A"/>
    <w:rsid w:val="003355E2"/>
    <w:rsid w:val="00346663"/>
    <w:rsid w:val="0035795C"/>
    <w:rsid w:val="003753CA"/>
    <w:rsid w:val="003A0D42"/>
    <w:rsid w:val="003B3C75"/>
    <w:rsid w:val="003B72BC"/>
    <w:rsid w:val="004064E8"/>
    <w:rsid w:val="00433FA3"/>
    <w:rsid w:val="00446936"/>
    <w:rsid w:val="00461EAC"/>
    <w:rsid w:val="00465E0B"/>
    <w:rsid w:val="004A69FA"/>
    <w:rsid w:val="004B220B"/>
    <w:rsid w:val="004B4B78"/>
    <w:rsid w:val="004C732F"/>
    <w:rsid w:val="004E0E51"/>
    <w:rsid w:val="004E4ADA"/>
    <w:rsid w:val="004F169A"/>
    <w:rsid w:val="0052303E"/>
    <w:rsid w:val="005408C8"/>
    <w:rsid w:val="00545BD0"/>
    <w:rsid w:val="005808BF"/>
    <w:rsid w:val="005958FC"/>
    <w:rsid w:val="005A3826"/>
    <w:rsid w:val="00602557"/>
    <w:rsid w:val="00614356"/>
    <w:rsid w:val="00617D70"/>
    <w:rsid w:val="00634588"/>
    <w:rsid w:val="00646B44"/>
    <w:rsid w:val="00680857"/>
    <w:rsid w:val="00681338"/>
    <w:rsid w:val="006921D0"/>
    <w:rsid w:val="006943D1"/>
    <w:rsid w:val="006B4A8B"/>
    <w:rsid w:val="006E7E4D"/>
    <w:rsid w:val="00720498"/>
    <w:rsid w:val="00755515"/>
    <w:rsid w:val="0075678E"/>
    <w:rsid w:val="007670F9"/>
    <w:rsid w:val="0078543E"/>
    <w:rsid w:val="007C0BFF"/>
    <w:rsid w:val="007C2B04"/>
    <w:rsid w:val="007D19E9"/>
    <w:rsid w:val="007E3BE2"/>
    <w:rsid w:val="00812D6E"/>
    <w:rsid w:val="0082150C"/>
    <w:rsid w:val="008645E3"/>
    <w:rsid w:val="00864D69"/>
    <w:rsid w:val="008755B0"/>
    <w:rsid w:val="00886D95"/>
    <w:rsid w:val="00895D56"/>
    <w:rsid w:val="008A4385"/>
    <w:rsid w:val="008B7BCF"/>
    <w:rsid w:val="008C7B3C"/>
    <w:rsid w:val="008E6C40"/>
    <w:rsid w:val="008F0CCF"/>
    <w:rsid w:val="00916D80"/>
    <w:rsid w:val="00917A6A"/>
    <w:rsid w:val="00933869"/>
    <w:rsid w:val="0093591F"/>
    <w:rsid w:val="00974645"/>
    <w:rsid w:val="00976791"/>
    <w:rsid w:val="00981970"/>
    <w:rsid w:val="0098482D"/>
    <w:rsid w:val="00991082"/>
    <w:rsid w:val="009950C9"/>
    <w:rsid w:val="00995DE0"/>
    <w:rsid w:val="009A2072"/>
    <w:rsid w:val="009D1629"/>
    <w:rsid w:val="009E23C4"/>
    <w:rsid w:val="009E285E"/>
    <w:rsid w:val="009E75B5"/>
    <w:rsid w:val="009F4C17"/>
    <w:rsid w:val="00A14DC1"/>
    <w:rsid w:val="00A23CC3"/>
    <w:rsid w:val="00A26E71"/>
    <w:rsid w:val="00A27592"/>
    <w:rsid w:val="00A45BB6"/>
    <w:rsid w:val="00A74EBA"/>
    <w:rsid w:val="00A76332"/>
    <w:rsid w:val="00AC143B"/>
    <w:rsid w:val="00AC79ED"/>
    <w:rsid w:val="00AD3815"/>
    <w:rsid w:val="00AD7D72"/>
    <w:rsid w:val="00AE4E2E"/>
    <w:rsid w:val="00AE5E7B"/>
    <w:rsid w:val="00B16261"/>
    <w:rsid w:val="00B30C44"/>
    <w:rsid w:val="00B44E88"/>
    <w:rsid w:val="00B628D1"/>
    <w:rsid w:val="00B63FC6"/>
    <w:rsid w:val="00B65B2E"/>
    <w:rsid w:val="00B661FB"/>
    <w:rsid w:val="00B7278F"/>
    <w:rsid w:val="00BB096D"/>
    <w:rsid w:val="00C074E9"/>
    <w:rsid w:val="00C10F47"/>
    <w:rsid w:val="00C12F33"/>
    <w:rsid w:val="00C166B9"/>
    <w:rsid w:val="00C2535A"/>
    <w:rsid w:val="00C52691"/>
    <w:rsid w:val="00C717A6"/>
    <w:rsid w:val="00C75C7E"/>
    <w:rsid w:val="00C7712F"/>
    <w:rsid w:val="00C810F5"/>
    <w:rsid w:val="00C84DC7"/>
    <w:rsid w:val="00C8719C"/>
    <w:rsid w:val="00CB24CB"/>
    <w:rsid w:val="00CD662A"/>
    <w:rsid w:val="00CE6234"/>
    <w:rsid w:val="00D02932"/>
    <w:rsid w:val="00D53D49"/>
    <w:rsid w:val="00D7458B"/>
    <w:rsid w:val="00D750D3"/>
    <w:rsid w:val="00D80548"/>
    <w:rsid w:val="00DA0202"/>
    <w:rsid w:val="00DB71F7"/>
    <w:rsid w:val="00DC1585"/>
    <w:rsid w:val="00DF45E4"/>
    <w:rsid w:val="00E21162"/>
    <w:rsid w:val="00E2699F"/>
    <w:rsid w:val="00E32625"/>
    <w:rsid w:val="00E9147C"/>
    <w:rsid w:val="00E9566B"/>
    <w:rsid w:val="00EE774D"/>
    <w:rsid w:val="00EF3241"/>
    <w:rsid w:val="00F200DA"/>
    <w:rsid w:val="00F22AE1"/>
    <w:rsid w:val="00F758F6"/>
    <w:rsid w:val="00F8557D"/>
    <w:rsid w:val="00FB3EE8"/>
    <w:rsid w:val="00FB4703"/>
    <w:rsid w:val="00FC00A5"/>
    <w:rsid w:val="00FC5ED2"/>
    <w:rsid w:val="00FC6671"/>
    <w:rsid w:val="00FE007A"/>
    <w:rsid w:val="00FF17F3"/>
    <w:rsid w:val="00FF6E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1FD"/>
  <w15:docId w15:val="{9F59D952-6ECE-4E76-B996-BC59277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3549">
      <w:bodyDiv w:val="1"/>
      <w:marLeft w:val="0"/>
      <w:marRight w:val="0"/>
      <w:marTop w:val="0"/>
      <w:marBottom w:val="0"/>
      <w:divBdr>
        <w:top w:val="none" w:sz="0" w:space="0" w:color="auto"/>
        <w:left w:val="none" w:sz="0" w:space="0" w:color="auto"/>
        <w:bottom w:val="none" w:sz="0" w:space="0" w:color="auto"/>
        <w:right w:val="none" w:sz="0" w:space="0" w:color="auto"/>
      </w:divBdr>
    </w:div>
    <w:div w:id="216009868">
      <w:bodyDiv w:val="1"/>
      <w:marLeft w:val="0"/>
      <w:marRight w:val="0"/>
      <w:marTop w:val="0"/>
      <w:marBottom w:val="0"/>
      <w:divBdr>
        <w:top w:val="none" w:sz="0" w:space="0" w:color="auto"/>
        <w:left w:val="none" w:sz="0" w:space="0" w:color="auto"/>
        <w:bottom w:val="none" w:sz="0" w:space="0" w:color="auto"/>
        <w:right w:val="none" w:sz="0" w:space="0" w:color="auto"/>
      </w:divBdr>
    </w:div>
    <w:div w:id="272593214">
      <w:bodyDiv w:val="1"/>
      <w:marLeft w:val="0"/>
      <w:marRight w:val="0"/>
      <w:marTop w:val="0"/>
      <w:marBottom w:val="0"/>
      <w:divBdr>
        <w:top w:val="none" w:sz="0" w:space="0" w:color="auto"/>
        <w:left w:val="none" w:sz="0" w:space="0" w:color="auto"/>
        <w:bottom w:val="none" w:sz="0" w:space="0" w:color="auto"/>
        <w:right w:val="none" w:sz="0" w:space="0" w:color="auto"/>
      </w:divBdr>
    </w:div>
    <w:div w:id="275064274">
      <w:bodyDiv w:val="1"/>
      <w:marLeft w:val="0"/>
      <w:marRight w:val="0"/>
      <w:marTop w:val="0"/>
      <w:marBottom w:val="0"/>
      <w:divBdr>
        <w:top w:val="none" w:sz="0" w:space="0" w:color="auto"/>
        <w:left w:val="none" w:sz="0" w:space="0" w:color="auto"/>
        <w:bottom w:val="none" w:sz="0" w:space="0" w:color="auto"/>
        <w:right w:val="none" w:sz="0" w:space="0" w:color="auto"/>
      </w:divBdr>
    </w:div>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419371451">
      <w:bodyDiv w:val="1"/>
      <w:marLeft w:val="0"/>
      <w:marRight w:val="0"/>
      <w:marTop w:val="0"/>
      <w:marBottom w:val="0"/>
      <w:divBdr>
        <w:top w:val="none" w:sz="0" w:space="0" w:color="auto"/>
        <w:left w:val="none" w:sz="0" w:space="0" w:color="auto"/>
        <w:bottom w:val="none" w:sz="0" w:space="0" w:color="auto"/>
        <w:right w:val="none" w:sz="0" w:space="0" w:color="auto"/>
      </w:divBdr>
    </w:div>
    <w:div w:id="442308533">
      <w:bodyDiv w:val="1"/>
      <w:marLeft w:val="0"/>
      <w:marRight w:val="0"/>
      <w:marTop w:val="0"/>
      <w:marBottom w:val="0"/>
      <w:divBdr>
        <w:top w:val="none" w:sz="0" w:space="0" w:color="auto"/>
        <w:left w:val="none" w:sz="0" w:space="0" w:color="auto"/>
        <w:bottom w:val="none" w:sz="0" w:space="0" w:color="auto"/>
        <w:right w:val="none" w:sz="0" w:space="0" w:color="auto"/>
      </w:divBdr>
    </w:div>
    <w:div w:id="447941533">
      <w:bodyDiv w:val="1"/>
      <w:marLeft w:val="0"/>
      <w:marRight w:val="0"/>
      <w:marTop w:val="0"/>
      <w:marBottom w:val="0"/>
      <w:divBdr>
        <w:top w:val="none" w:sz="0" w:space="0" w:color="auto"/>
        <w:left w:val="none" w:sz="0" w:space="0" w:color="auto"/>
        <w:bottom w:val="none" w:sz="0" w:space="0" w:color="auto"/>
        <w:right w:val="none" w:sz="0" w:space="0" w:color="auto"/>
      </w:divBdr>
    </w:div>
    <w:div w:id="466818240">
      <w:bodyDiv w:val="1"/>
      <w:marLeft w:val="0"/>
      <w:marRight w:val="0"/>
      <w:marTop w:val="0"/>
      <w:marBottom w:val="0"/>
      <w:divBdr>
        <w:top w:val="none" w:sz="0" w:space="0" w:color="auto"/>
        <w:left w:val="none" w:sz="0" w:space="0" w:color="auto"/>
        <w:bottom w:val="none" w:sz="0" w:space="0" w:color="auto"/>
        <w:right w:val="none" w:sz="0" w:space="0" w:color="auto"/>
      </w:divBdr>
    </w:div>
    <w:div w:id="505704687">
      <w:bodyDiv w:val="1"/>
      <w:marLeft w:val="0"/>
      <w:marRight w:val="0"/>
      <w:marTop w:val="0"/>
      <w:marBottom w:val="0"/>
      <w:divBdr>
        <w:top w:val="none" w:sz="0" w:space="0" w:color="auto"/>
        <w:left w:val="none" w:sz="0" w:space="0" w:color="auto"/>
        <w:bottom w:val="none" w:sz="0" w:space="0" w:color="auto"/>
        <w:right w:val="none" w:sz="0" w:space="0" w:color="auto"/>
      </w:divBdr>
    </w:div>
    <w:div w:id="550844144">
      <w:bodyDiv w:val="1"/>
      <w:marLeft w:val="0"/>
      <w:marRight w:val="0"/>
      <w:marTop w:val="0"/>
      <w:marBottom w:val="0"/>
      <w:divBdr>
        <w:top w:val="none" w:sz="0" w:space="0" w:color="auto"/>
        <w:left w:val="none" w:sz="0" w:space="0" w:color="auto"/>
        <w:bottom w:val="none" w:sz="0" w:space="0" w:color="auto"/>
        <w:right w:val="none" w:sz="0" w:space="0" w:color="auto"/>
      </w:divBdr>
    </w:div>
    <w:div w:id="589049616">
      <w:bodyDiv w:val="1"/>
      <w:marLeft w:val="0"/>
      <w:marRight w:val="0"/>
      <w:marTop w:val="0"/>
      <w:marBottom w:val="0"/>
      <w:divBdr>
        <w:top w:val="none" w:sz="0" w:space="0" w:color="auto"/>
        <w:left w:val="none" w:sz="0" w:space="0" w:color="auto"/>
        <w:bottom w:val="none" w:sz="0" w:space="0" w:color="auto"/>
        <w:right w:val="none" w:sz="0" w:space="0" w:color="auto"/>
      </w:divBdr>
    </w:div>
    <w:div w:id="639381497">
      <w:bodyDiv w:val="1"/>
      <w:marLeft w:val="0"/>
      <w:marRight w:val="0"/>
      <w:marTop w:val="0"/>
      <w:marBottom w:val="0"/>
      <w:divBdr>
        <w:top w:val="none" w:sz="0" w:space="0" w:color="auto"/>
        <w:left w:val="none" w:sz="0" w:space="0" w:color="auto"/>
        <w:bottom w:val="none" w:sz="0" w:space="0" w:color="auto"/>
        <w:right w:val="none" w:sz="0" w:space="0" w:color="auto"/>
      </w:divBdr>
    </w:div>
    <w:div w:id="670376907">
      <w:bodyDiv w:val="1"/>
      <w:marLeft w:val="0"/>
      <w:marRight w:val="0"/>
      <w:marTop w:val="0"/>
      <w:marBottom w:val="0"/>
      <w:divBdr>
        <w:top w:val="none" w:sz="0" w:space="0" w:color="auto"/>
        <w:left w:val="none" w:sz="0" w:space="0" w:color="auto"/>
        <w:bottom w:val="none" w:sz="0" w:space="0" w:color="auto"/>
        <w:right w:val="none" w:sz="0" w:space="0" w:color="auto"/>
      </w:divBdr>
    </w:div>
    <w:div w:id="1005211473">
      <w:bodyDiv w:val="1"/>
      <w:marLeft w:val="0"/>
      <w:marRight w:val="0"/>
      <w:marTop w:val="0"/>
      <w:marBottom w:val="0"/>
      <w:divBdr>
        <w:top w:val="none" w:sz="0" w:space="0" w:color="auto"/>
        <w:left w:val="none" w:sz="0" w:space="0" w:color="auto"/>
        <w:bottom w:val="none" w:sz="0" w:space="0" w:color="auto"/>
        <w:right w:val="none" w:sz="0" w:space="0" w:color="auto"/>
      </w:divBdr>
    </w:div>
    <w:div w:id="1055592708">
      <w:bodyDiv w:val="1"/>
      <w:marLeft w:val="0"/>
      <w:marRight w:val="0"/>
      <w:marTop w:val="0"/>
      <w:marBottom w:val="0"/>
      <w:divBdr>
        <w:top w:val="none" w:sz="0" w:space="0" w:color="auto"/>
        <w:left w:val="none" w:sz="0" w:space="0" w:color="auto"/>
        <w:bottom w:val="none" w:sz="0" w:space="0" w:color="auto"/>
        <w:right w:val="none" w:sz="0" w:space="0" w:color="auto"/>
      </w:divBdr>
    </w:div>
    <w:div w:id="1082023788">
      <w:bodyDiv w:val="1"/>
      <w:marLeft w:val="0"/>
      <w:marRight w:val="0"/>
      <w:marTop w:val="0"/>
      <w:marBottom w:val="0"/>
      <w:divBdr>
        <w:top w:val="none" w:sz="0" w:space="0" w:color="auto"/>
        <w:left w:val="none" w:sz="0" w:space="0" w:color="auto"/>
        <w:bottom w:val="none" w:sz="0" w:space="0" w:color="auto"/>
        <w:right w:val="none" w:sz="0" w:space="0" w:color="auto"/>
      </w:divBdr>
    </w:div>
    <w:div w:id="1099252893">
      <w:bodyDiv w:val="1"/>
      <w:marLeft w:val="0"/>
      <w:marRight w:val="0"/>
      <w:marTop w:val="0"/>
      <w:marBottom w:val="0"/>
      <w:divBdr>
        <w:top w:val="none" w:sz="0" w:space="0" w:color="auto"/>
        <w:left w:val="none" w:sz="0" w:space="0" w:color="auto"/>
        <w:bottom w:val="none" w:sz="0" w:space="0" w:color="auto"/>
        <w:right w:val="none" w:sz="0" w:space="0" w:color="auto"/>
      </w:divBdr>
    </w:div>
    <w:div w:id="1107457978">
      <w:bodyDiv w:val="1"/>
      <w:marLeft w:val="0"/>
      <w:marRight w:val="0"/>
      <w:marTop w:val="0"/>
      <w:marBottom w:val="0"/>
      <w:divBdr>
        <w:top w:val="none" w:sz="0" w:space="0" w:color="auto"/>
        <w:left w:val="none" w:sz="0" w:space="0" w:color="auto"/>
        <w:bottom w:val="none" w:sz="0" w:space="0" w:color="auto"/>
        <w:right w:val="none" w:sz="0" w:space="0" w:color="auto"/>
      </w:divBdr>
    </w:div>
    <w:div w:id="1170221872">
      <w:bodyDiv w:val="1"/>
      <w:marLeft w:val="0"/>
      <w:marRight w:val="0"/>
      <w:marTop w:val="0"/>
      <w:marBottom w:val="0"/>
      <w:divBdr>
        <w:top w:val="none" w:sz="0" w:space="0" w:color="auto"/>
        <w:left w:val="none" w:sz="0" w:space="0" w:color="auto"/>
        <w:bottom w:val="none" w:sz="0" w:space="0" w:color="auto"/>
        <w:right w:val="none" w:sz="0" w:space="0" w:color="auto"/>
      </w:divBdr>
    </w:div>
    <w:div w:id="1282305662">
      <w:bodyDiv w:val="1"/>
      <w:marLeft w:val="0"/>
      <w:marRight w:val="0"/>
      <w:marTop w:val="0"/>
      <w:marBottom w:val="0"/>
      <w:divBdr>
        <w:top w:val="none" w:sz="0" w:space="0" w:color="auto"/>
        <w:left w:val="none" w:sz="0" w:space="0" w:color="auto"/>
        <w:bottom w:val="none" w:sz="0" w:space="0" w:color="auto"/>
        <w:right w:val="none" w:sz="0" w:space="0" w:color="auto"/>
      </w:divBdr>
    </w:div>
    <w:div w:id="1304116711">
      <w:bodyDiv w:val="1"/>
      <w:marLeft w:val="0"/>
      <w:marRight w:val="0"/>
      <w:marTop w:val="0"/>
      <w:marBottom w:val="0"/>
      <w:divBdr>
        <w:top w:val="none" w:sz="0" w:space="0" w:color="auto"/>
        <w:left w:val="none" w:sz="0" w:space="0" w:color="auto"/>
        <w:bottom w:val="none" w:sz="0" w:space="0" w:color="auto"/>
        <w:right w:val="none" w:sz="0" w:space="0" w:color="auto"/>
      </w:divBdr>
    </w:div>
    <w:div w:id="1318260939">
      <w:bodyDiv w:val="1"/>
      <w:marLeft w:val="0"/>
      <w:marRight w:val="0"/>
      <w:marTop w:val="0"/>
      <w:marBottom w:val="0"/>
      <w:divBdr>
        <w:top w:val="none" w:sz="0" w:space="0" w:color="auto"/>
        <w:left w:val="none" w:sz="0" w:space="0" w:color="auto"/>
        <w:bottom w:val="none" w:sz="0" w:space="0" w:color="auto"/>
        <w:right w:val="none" w:sz="0" w:space="0" w:color="auto"/>
      </w:divBdr>
    </w:div>
    <w:div w:id="1329745232">
      <w:bodyDiv w:val="1"/>
      <w:marLeft w:val="0"/>
      <w:marRight w:val="0"/>
      <w:marTop w:val="0"/>
      <w:marBottom w:val="0"/>
      <w:divBdr>
        <w:top w:val="none" w:sz="0" w:space="0" w:color="auto"/>
        <w:left w:val="none" w:sz="0" w:space="0" w:color="auto"/>
        <w:bottom w:val="none" w:sz="0" w:space="0" w:color="auto"/>
        <w:right w:val="none" w:sz="0" w:space="0" w:color="auto"/>
      </w:divBdr>
    </w:div>
    <w:div w:id="1481851166">
      <w:bodyDiv w:val="1"/>
      <w:marLeft w:val="0"/>
      <w:marRight w:val="0"/>
      <w:marTop w:val="0"/>
      <w:marBottom w:val="0"/>
      <w:divBdr>
        <w:top w:val="none" w:sz="0" w:space="0" w:color="auto"/>
        <w:left w:val="none" w:sz="0" w:space="0" w:color="auto"/>
        <w:bottom w:val="none" w:sz="0" w:space="0" w:color="auto"/>
        <w:right w:val="none" w:sz="0" w:space="0" w:color="auto"/>
      </w:divBdr>
    </w:div>
    <w:div w:id="1511602960">
      <w:bodyDiv w:val="1"/>
      <w:marLeft w:val="0"/>
      <w:marRight w:val="0"/>
      <w:marTop w:val="0"/>
      <w:marBottom w:val="0"/>
      <w:divBdr>
        <w:top w:val="none" w:sz="0" w:space="0" w:color="auto"/>
        <w:left w:val="none" w:sz="0" w:space="0" w:color="auto"/>
        <w:bottom w:val="none" w:sz="0" w:space="0" w:color="auto"/>
        <w:right w:val="none" w:sz="0" w:space="0" w:color="auto"/>
      </w:divBdr>
    </w:div>
    <w:div w:id="1514297544">
      <w:bodyDiv w:val="1"/>
      <w:marLeft w:val="0"/>
      <w:marRight w:val="0"/>
      <w:marTop w:val="0"/>
      <w:marBottom w:val="0"/>
      <w:divBdr>
        <w:top w:val="none" w:sz="0" w:space="0" w:color="auto"/>
        <w:left w:val="none" w:sz="0" w:space="0" w:color="auto"/>
        <w:bottom w:val="none" w:sz="0" w:space="0" w:color="auto"/>
        <w:right w:val="none" w:sz="0" w:space="0" w:color="auto"/>
      </w:divBdr>
    </w:div>
    <w:div w:id="1631546801">
      <w:bodyDiv w:val="1"/>
      <w:marLeft w:val="0"/>
      <w:marRight w:val="0"/>
      <w:marTop w:val="0"/>
      <w:marBottom w:val="0"/>
      <w:divBdr>
        <w:top w:val="none" w:sz="0" w:space="0" w:color="auto"/>
        <w:left w:val="none" w:sz="0" w:space="0" w:color="auto"/>
        <w:bottom w:val="none" w:sz="0" w:space="0" w:color="auto"/>
        <w:right w:val="none" w:sz="0" w:space="0" w:color="auto"/>
      </w:divBdr>
    </w:div>
    <w:div w:id="1642222504">
      <w:bodyDiv w:val="1"/>
      <w:marLeft w:val="0"/>
      <w:marRight w:val="0"/>
      <w:marTop w:val="0"/>
      <w:marBottom w:val="0"/>
      <w:divBdr>
        <w:top w:val="none" w:sz="0" w:space="0" w:color="auto"/>
        <w:left w:val="none" w:sz="0" w:space="0" w:color="auto"/>
        <w:bottom w:val="none" w:sz="0" w:space="0" w:color="auto"/>
        <w:right w:val="none" w:sz="0" w:space="0" w:color="auto"/>
      </w:divBdr>
    </w:div>
    <w:div w:id="1667636904">
      <w:bodyDiv w:val="1"/>
      <w:marLeft w:val="0"/>
      <w:marRight w:val="0"/>
      <w:marTop w:val="0"/>
      <w:marBottom w:val="0"/>
      <w:divBdr>
        <w:top w:val="none" w:sz="0" w:space="0" w:color="auto"/>
        <w:left w:val="none" w:sz="0" w:space="0" w:color="auto"/>
        <w:bottom w:val="none" w:sz="0" w:space="0" w:color="auto"/>
        <w:right w:val="none" w:sz="0" w:space="0" w:color="auto"/>
      </w:divBdr>
    </w:div>
    <w:div w:id="1765229354">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 w:id="2071465789">
      <w:bodyDiv w:val="1"/>
      <w:marLeft w:val="0"/>
      <w:marRight w:val="0"/>
      <w:marTop w:val="0"/>
      <w:marBottom w:val="0"/>
      <w:divBdr>
        <w:top w:val="none" w:sz="0" w:space="0" w:color="auto"/>
        <w:left w:val="none" w:sz="0" w:space="0" w:color="auto"/>
        <w:bottom w:val="none" w:sz="0" w:space="0" w:color="auto"/>
        <w:right w:val="none" w:sz="0" w:space="0" w:color="auto"/>
      </w:divBdr>
    </w:div>
    <w:div w:id="2099328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4C7A48-0B24-46E1-B4D0-4E5B755A4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10358</Words>
  <Characters>56969</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2023-12-08T16:56:00Z</cp:lastPrinted>
  <dcterms:created xsi:type="dcterms:W3CDTF">2023-12-19T23:52:00Z</dcterms:created>
  <dcterms:modified xsi:type="dcterms:W3CDTF">2023-12-19T23:52:00Z</dcterms:modified>
</cp:coreProperties>
</file>