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001E68B9" w:rsidP="00855D7E" w:rsidRDefault="001E68B9" w14:paraId="4CCA1A4D" w14:textId="77777777">
      <w:pPr>
        <w:spacing w:line="360" w:lineRule="auto"/>
        <w:contextualSpacing/>
        <w:jc w:val="both"/>
        <w:rPr>
          <w:rFonts w:ascii="Palatino Linotype" w:hAnsi="Palatino Linotype" w:cs="Tahoma"/>
          <w:bCs/>
          <w:sz w:val="22"/>
          <w:szCs w:val="22"/>
        </w:rPr>
      </w:pPr>
    </w:p>
    <w:p w:rsidRPr="007C325C" w:rsidR="00B31222" w:rsidP="00855D7E" w:rsidRDefault="004B1DB5" w14:paraId="7F080AC1" w14:textId="77777777">
      <w:pPr>
        <w:spacing w:line="360" w:lineRule="auto"/>
        <w:contextualSpacing/>
        <w:jc w:val="both"/>
        <w:rPr>
          <w:rFonts w:ascii="Palatino Linotype" w:hAnsi="Palatino Linotype" w:cs="Tahoma"/>
          <w:sz w:val="22"/>
          <w:szCs w:val="22"/>
        </w:rPr>
      </w:pPr>
      <w:r w:rsidRPr="007C325C">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Pr="007C325C" w:rsidR="00747156">
        <w:rPr>
          <w:rFonts w:ascii="Palatino Linotype" w:hAnsi="Palatino Linotype" w:cs="Tahoma"/>
          <w:bCs/>
          <w:sz w:val="22"/>
          <w:szCs w:val="22"/>
        </w:rPr>
        <w:t xml:space="preserve">treinta y uno de mayo </w:t>
      </w:r>
      <w:r w:rsidRPr="007C325C" w:rsidR="0023474A">
        <w:rPr>
          <w:rFonts w:ascii="Palatino Linotype" w:hAnsi="Palatino Linotype" w:cs="Tahoma"/>
          <w:bCs/>
          <w:sz w:val="22"/>
          <w:szCs w:val="22"/>
        </w:rPr>
        <w:t xml:space="preserve">de dos mil </w:t>
      </w:r>
      <w:r w:rsidRPr="007C325C" w:rsidR="00747156">
        <w:rPr>
          <w:rFonts w:ascii="Palatino Linotype" w:hAnsi="Palatino Linotype" w:cs="Tahoma"/>
          <w:bCs/>
          <w:sz w:val="22"/>
          <w:szCs w:val="22"/>
        </w:rPr>
        <w:t>veintitrés</w:t>
      </w:r>
      <w:r w:rsidRPr="007C325C">
        <w:rPr>
          <w:rFonts w:ascii="Palatino Linotype" w:hAnsi="Palatino Linotype" w:cs="Tahoma"/>
          <w:bCs/>
          <w:sz w:val="22"/>
          <w:szCs w:val="22"/>
        </w:rPr>
        <w:t>.</w:t>
      </w:r>
    </w:p>
    <w:p w:rsidRPr="007C325C" w:rsidR="00B31222" w:rsidP="00855D7E" w:rsidRDefault="00B31222" w14:paraId="72917B81" w14:textId="77777777">
      <w:pPr>
        <w:spacing w:line="360" w:lineRule="auto"/>
        <w:contextualSpacing/>
        <w:rPr>
          <w:rFonts w:ascii="Palatino Linotype" w:hAnsi="Palatino Linotype" w:cs="Tahoma"/>
          <w:bCs/>
          <w:sz w:val="12"/>
          <w:szCs w:val="22"/>
        </w:rPr>
      </w:pPr>
    </w:p>
    <w:p w:rsidRPr="007C325C" w:rsidR="00747156" w:rsidP="00855D7E" w:rsidRDefault="00940887" w14:paraId="523C0B8F" w14:textId="45AE1F4A">
      <w:pPr>
        <w:tabs>
          <w:tab w:val="left" w:pos="567"/>
        </w:tabs>
        <w:spacing w:line="360" w:lineRule="auto"/>
        <w:contextualSpacing/>
        <w:jc w:val="both"/>
        <w:rPr>
          <w:rFonts w:ascii="Palatino Linotype" w:hAnsi="Palatino Linotype" w:cs="Tahoma"/>
          <w:sz w:val="22"/>
          <w:szCs w:val="22"/>
        </w:rPr>
      </w:pPr>
      <w:r w:rsidRPr="2A830837" w:rsidR="2A830837">
        <w:rPr>
          <w:rFonts w:ascii="Palatino Linotype" w:hAnsi="Palatino Linotype" w:cs="Tahoma"/>
          <w:b w:val="1"/>
          <w:bCs w:val="1"/>
          <w:color w:val="0D0D0D" w:themeColor="text1" w:themeTint="F2" w:themeShade="FF"/>
          <w:sz w:val="22"/>
          <w:szCs w:val="22"/>
        </w:rPr>
        <w:t>VISTO</w:t>
      </w:r>
      <w:r w:rsidRPr="2A830837" w:rsidR="2A830837">
        <w:rPr>
          <w:rFonts w:ascii="Palatino Linotype" w:hAnsi="Palatino Linotype" w:cs="Tahoma"/>
          <w:color w:val="0D0D0D" w:themeColor="text1" w:themeTint="F2" w:themeShade="FF"/>
          <w:sz w:val="22"/>
          <w:szCs w:val="22"/>
        </w:rPr>
        <w:t xml:space="preserve"> el expediente conformado con motivo del Recurso de Revisión </w:t>
      </w:r>
      <w:r w:rsidRPr="2A830837" w:rsidR="2A830837">
        <w:rPr>
          <w:rFonts w:ascii="Palatino Linotype" w:hAnsi="Palatino Linotype" w:eastAsia="Calibri" w:cs="Tahoma"/>
          <w:b w:val="1"/>
          <w:bCs w:val="1"/>
          <w:sz w:val="22"/>
          <w:szCs w:val="22"/>
          <w:lang w:eastAsia="en-US"/>
        </w:rPr>
        <w:t xml:space="preserve">17626/INFOEM/IP/RR/2022, </w:t>
      </w:r>
      <w:r w:rsidRPr="2A830837" w:rsidR="2A830837">
        <w:rPr>
          <w:rFonts w:ascii="Palatino Linotype" w:hAnsi="Palatino Linotype" w:cs="Tahoma"/>
          <w:color w:val="0D0D0D" w:themeColor="text1" w:themeTint="F2" w:themeShade="FF"/>
          <w:sz w:val="22"/>
          <w:szCs w:val="22"/>
        </w:rPr>
        <w:t xml:space="preserve">interpuesto por </w:t>
      </w:r>
      <w:r w:rsidRPr="2A830837" w:rsidR="2A830837">
        <w:rPr>
          <w:rFonts w:ascii="Palatino Linotype" w:hAnsi="Palatino Linotype" w:cs="Tahoma"/>
          <w:b w:val="1"/>
          <w:bCs w:val="1"/>
          <w:color w:val="0D0D0D" w:themeColor="text1" w:themeTint="F2" w:themeShade="FF"/>
          <w:sz w:val="22"/>
          <w:szCs w:val="22"/>
          <w:highlight w:val="black"/>
        </w:rPr>
        <w:t>XXXXXXXXXXX</w:t>
      </w:r>
      <w:r w:rsidRPr="2A830837" w:rsidR="2A830837">
        <w:rPr>
          <w:rFonts w:ascii="Palatino Linotype" w:hAnsi="Palatino Linotype" w:cs="Tahoma"/>
          <w:b w:val="1"/>
          <w:bCs w:val="1"/>
          <w:color w:val="0D0D0D" w:themeColor="text1" w:themeTint="F2" w:themeShade="FF"/>
          <w:sz w:val="22"/>
          <w:szCs w:val="22"/>
        </w:rPr>
        <w:t xml:space="preserve"> </w:t>
      </w:r>
      <w:r w:rsidRPr="2A830837" w:rsidR="2A830837">
        <w:rPr>
          <w:rFonts w:ascii="Palatino Linotype" w:hAnsi="Palatino Linotype" w:cs="Tahoma"/>
          <w:color w:val="0D0D0D" w:themeColor="text1" w:themeTint="F2" w:themeShade="FF"/>
          <w:sz w:val="22"/>
          <w:szCs w:val="22"/>
        </w:rPr>
        <w:t xml:space="preserve">en lo sucesivo Recurrente y/o Particular, en contra de la respuesta del Sujeto Obligado Hospital Regional de Alta Especialidad de Zumpango, </w:t>
      </w:r>
      <w:r w:rsidRPr="2A830837" w:rsidR="2A830837">
        <w:rPr>
          <w:rFonts w:ascii="Palatino Linotype" w:hAnsi="Palatino Linotype" w:cs="Tahoma"/>
          <w:sz w:val="22"/>
          <w:szCs w:val="22"/>
        </w:rPr>
        <w:t xml:space="preserve">misma que fue registrada con el número de folio </w:t>
      </w:r>
      <w:r w:rsidRPr="2A830837" w:rsidR="2A830837">
        <w:rPr>
          <w:rFonts w:ascii="Palatino Linotype" w:hAnsi="Palatino Linotype" w:cs="Tahoma"/>
          <w:b w:val="1"/>
          <w:bCs w:val="1"/>
          <w:sz w:val="22"/>
          <w:szCs w:val="22"/>
        </w:rPr>
        <w:t xml:space="preserve">00156/HRZUM/IP/2022, </w:t>
      </w:r>
      <w:r w:rsidRPr="2A830837" w:rsidR="2A830837">
        <w:rPr>
          <w:rFonts w:ascii="Palatino Linotype" w:hAnsi="Palatino Linotype" w:cs="Tahoma"/>
          <w:sz w:val="22"/>
          <w:szCs w:val="22"/>
        </w:rPr>
        <w:t>se emite la presente Resolución, con base en los Antecedentes y Considerandos que se exponen a continuación:</w:t>
      </w:r>
    </w:p>
    <w:p w:rsidRPr="007C325C" w:rsidR="00F5525E" w:rsidP="00855D7E" w:rsidRDefault="00F5525E" w14:paraId="649444FD" w14:textId="77777777">
      <w:pPr>
        <w:tabs>
          <w:tab w:val="left" w:pos="567"/>
        </w:tabs>
        <w:spacing w:line="360" w:lineRule="auto"/>
        <w:contextualSpacing/>
        <w:jc w:val="both"/>
        <w:rPr>
          <w:rFonts w:ascii="Palatino Linotype" w:hAnsi="Palatino Linotype" w:cs="Tahoma"/>
          <w:sz w:val="22"/>
          <w:szCs w:val="22"/>
        </w:rPr>
      </w:pPr>
    </w:p>
    <w:p w:rsidRPr="007C325C" w:rsidR="00F5525E" w:rsidP="00855D7E" w:rsidRDefault="00F5525E" w14:paraId="27278829" w14:textId="77777777">
      <w:pPr>
        <w:tabs>
          <w:tab w:val="left" w:pos="567"/>
        </w:tabs>
        <w:spacing w:line="360" w:lineRule="auto"/>
        <w:contextualSpacing/>
        <w:jc w:val="center"/>
        <w:rPr>
          <w:rFonts w:ascii="Palatino Linotype" w:hAnsi="Palatino Linotype" w:cs="Tahoma"/>
          <w:b/>
          <w:bCs/>
          <w:sz w:val="22"/>
          <w:szCs w:val="22"/>
        </w:rPr>
      </w:pPr>
      <w:r w:rsidRPr="007C325C">
        <w:rPr>
          <w:rFonts w:ascii="Palatino Linotype" w:hAnsi="Palatino Linotype" w:cs="Tahoma"/>
          <w:b/>
          <w:bCs/>
          <w:sz w:val="22"/>
          <w:szCs w:val="22"/>
        </w:rPr>
        <w:t>A N T E C E D E N T E S:</w:t>
      </w:r>
    </w:p>
    <w:p w:rsidRPr="007C325C" w:rsidR="00F5525E" w:rsidP="00855D7E" w:rsidRDefault="00F5525E" w14:paraId="329F561A" w14:textId="77777777">
      <w:pPr>
        <w:tabs>
          <w:tab w:val="left" w:pos="567"/>
        </w:tabs>
        <w:spacing w:line="360" w:lineRule="auto"/>
        <w:contextualSpacing/>
        <w:jc w:val="both"/>
        <w:rPr>
          <w:rFonts w:ascii="Palatino Linotype" w:hAnsi="Palatino Linotype" w:cs="Tahoma"/>
          <w:sz w:val="22"/>
        </w:rPr>
      </w:pPr>
    </w:p>
    <w:p w:rsidRPr="007C325C" w:rsidR="00F5525E" w:rsidP="00855D7E" w:rsidRDefault="00F5525E" w14:paraId="25B6E8AE" w14:textId="77777777">
      <w:pPr>
        <w:tabs>
          <w:tab w:val="left" w:pos="567"/>
        </w:tabs>
        <w:spacing w:line="360" w:lineRule="auto"/>
        <w:contextualSpacing/>
        <w:jc w:val="both"/>
        <w:rPr>
          <w:rFonts w:ascii="Palatino Linotype" w:hAnsi="Palatino Linotype" w:cs="Tahoma"/>
          <w:b/>
          <w:sz w:val="22"/>
          <w:szCs w:val="22"/>
        </w:rPr>
      </w:pPr>
      <w:r w:rsidRPr="007C325C">
        <w:rPr>
          <w:rFonts w:ascii="Palatino Linotype" w:hAnsi="Palatino Linotype" w:cs="Tahoma"/>
          <w:b/>
          <w:sz w:val="22"/>
          <w:szCs w:val="22"/>
        </w:rPr>
        <w:t>I. Presentación de la solicitud de información:</w:t>
      </w:r>
    </w:p>
    <w:p w:rsidRPr="007C325C" w:rsidR="00F5525E" w:rsidP="00855D7E" w:rsidRDefault="00F5525E" w14:paraId="75092EC1" w14:textId="77777777">
      <w:pPr>
        <w:tabs>
          <w:tab w:val="left" w:pos="567"/>
        </w:tabs>
        <w:spacing w:line="360" w:lineRule="auto"/>
        <w:contextualSpacing/>
        <w:jc w:val="both"/>
        <w:rPr>
          <w:rFonts w:ascii="Palatino Linotype" w:hAnsi="Palatino Linotype" w:cs="Tahoma"/>
          <w:sz w:val="22"/>
          <w:szCs w:val="22"/>
        </w:rPr>
      </w:pPr>
    </w:p>
    <w:p w:rsidRPr="007C325C" w:rsidR="00F5525E" w:rsidP="00855D7E" w:rsidRDefault="00F5525E" w14:paraId="7C539041" w14:textId="77777777">
      <w:pPr>
        <w:spacing w:line="360" w:lineRule="auto"/>
        <w:contextualSpacing/>
        <w:jc w:val="both"/>
        <w:rPr>
          <w:rFonts w:ascii="Palatino Linotype" w:hAnsi="Palatino Linotype" w:cs="Tahoma"/>
          <w:sz w:val="22"/>
          <w:szCs w:val="22"/>
        </w:rPr>
      </w:pPr>
      <w:r w:rsidRPr="007C325C">
        <w:rPr>
          <w:rFonts w:ascii="Palatino Linotype" w:hAnsi="Palatino Linotype" w:cs="Tahoma"/>
          <w:sz w:val="22"/>
          <w:szCs w:val="22"/>
        </w:rPr>
        <w:t>El dieciocho de noviembre de dos mil veintidós, el Particular presentó una solicitud de acceso a la información pública, a través del Sistema de Acceso a la Información Mexiquense (SAIMEX), ante el Hospital Regional de Alta Especialidad de Zumpango</w:t>
      </w:r>
      <w:r w:rsidRPr="007C325C">
        <w:rPr>
          <w:rFonts w:ascii="Palatino Linotype" w:hAnsi="Palatino Linotype" w:eastAsia="Calibri" w:cs="Tahoma"/>
          <w:color w:val="000000" w:themeColor="text1"/>
          <w:sz w:val="22"/>
          <w:szCs w:val="22"/>
          <w:lang w:eastAsia="en-US"/>
        </w:rPr>
        <w:t xml:space="preserve">, en los siguientes términos: </w:t>
      </w:r>
    </w:p>
    <w:p w:rsidRPr="007C325C" w:rsidR="00F5525E" w:rsidP="00855D7E" w:rsidRDefault="00F5525E" w14:paraId="2CD20E6B" w14:textId="77777777">
      <w:pPr>
        <w:spacing w:line="360" w:lineRule="auto"/>
        <w:contextualSpacing/>
        <w:jc w:val="both"/>
        <w:rPr>
          <w:rFonts w:ascii="Palatino Linotype" w:hAnsi="Palatino Linotype" w:eastAsia="Calibri" w:cs="Tahoma"/>
          <w:color w:val="000000" w:themeColor="text1"/>
          <w:sz w:val="22"/>
          <w:szCs w:val="22"/>
          <w:lang w:eastAsia="en-US"/>
        </w:rPr>
      </w:pPr>
    </w:p>
    <w:p w:rsidRPr="007C325C" w:rsidR="00747156" w:rsidP="00855D7E" w:rsidRDefault="00747156" w14:paraId="117FDBA4" w14:textId="77777777">
      <w:pPr>
        <w:tabs>
          <w:tab w:val="left" w:pos="567"/>
        </w:tabs>
        <w:spacing w:line="360" w:lineRule="auto"/>
        <w:ind w:left="567" w:right="539"/>
        <w:contextualSpacing/>
        <w:jc w:val="both"/>
        <w:rPr>
          <w:rFonts w:ascii="Palatino Linotype" w:hAnsi="Palatino Linotype" w:cs="Tahoma"/>
          <w:b/>
          <w:bCs/>
          <w:sz w:val="22"/>
          <w:szCs w:val="22"/>
        </w:rPr>
      </w:pPr>
      <w:r w:rsidRPr="007C325C">
        <w:rPr>
          <w:rFonts w:ascii="Palatino Linotype" w:hAnsi="Palatino Linotype" w:cs="Tahoma"/>
          <w:b/>
          <w:bCs/>
        </w:rPr>
        <w:t>DESCRIPCIÓN CLARA Y PRECISA DE LA INFORMACIÓN SOLICITADA</w:t>
      </w:r>
      <w:r w:rsidRPr="007C325C">
        <w:rPr>
          <w:rFonts w:ascii="Palatino Linotype" w:hAnsi="Palatino Linotype" w:cs="Tahoma"/>
          <w:b/>
          <w:bCs/>
          <w:sz w:val="22"/>
          <w:szCs w:val="22"/>
        </w:rPr>
        <w:t>:</w:t>
      </w:r>
    </w:p>
    <w:p w:rsidRPr="007C325C" w:rsidR="00747156" w:rsidP="00855D7E" w:rsidRDefault="00747156" w14:paraId="7119E1F7" w14:textId="005FCB7A">
      <w:pPr>
        <w:pStyle w:val="Prrafodelista"/>
        <w:tabs>
          <w:tab w:val="left" w:pos="567"/>
        </w:tabs>
        <w:spacing w:line="360" w:lineRule="auto"/>
        <w:ind w:left="567" w:right="539"/>
        <w:jc w:val="both"/>
        <w:rPr>
          <w:rFonts w:ascii="Palatino Linotype" w:hAnsi="Palatino Linotype"/>
          <w:i/>
          <w:iCs/>
          <w:color w:val="000000"/>
          <w:sz w:val="20"/>
          <w:szCs w:val="20"/>
        </w:rPr>
      </w:pPr>
      <w:r w:rsidRPr="007C325C">
        <w:rPr>
          <w:rFonts w:ascii="Palatino Linotype" w:hAnsi="Palatino Linotype"/>
          <w:i/>
          <w:iCs/>
          <w:color w:val="000000"/>
          <w:sz w:val="20"/>
          <w:szCs w:val="20"/>
        </w:rPr>
        <w:t>“Solicito toda la documentación que se encuentra en los expedientes de personal, que laboran en la dirección general incluyendo áreas a su cargo, dirección médica, incluyendo las subdirecciones a su cargo." (Sic)</w:t>
      </w:r>
      <w:r w:rsidRPr="007C325C" w:rsidR="001E68B9">
        <w:rPr>
          <w:rFonts w:ascii="Palatino Linotype" w:hAnsi="Palatino Linotype"/>
          <w:i/>
          <w:iCs/>
          <w:color w:val="000000"/>
          <w:sz w:val="20"/>
          <w:szCs w:val="20"/>
        </w:rPr>
        <w:t>.</w:t>
      </w:r>
    </w:p>
    <w:p w:rsidRPr="007C325C" w:rsidR="00747156" w:rsidP="00855D7E" w:rsidRDefault="00747156" w14:paraId="08FEB433" w14:textId="77777777">
      <w:pPr>
        <w:pStyle w:val="Prrafodelista"/>
        <w:tabs>
          <w:tab w:val="left" w:pos="567"/>
        </w:tabs>
        <w:spacing w:line="360" w:lineRule="auto"/>
        <w:ind w:left="567" w:right="539"/>
        <w:jc w:val="both"/>
        <w:rPr>
          <w:rFonts w:ascii="Palatino Linotype" w:hAnsi="Palatino Linotype"/>
          <w:i/>
          <w:iCs/>
          <w:color w:val="000000"/>
          <w:sz w:val="20"/>
          <w:szCs w:val="20"/>
        </w:rPr>
      </w:pPr>
    </w:p>
    <w:p w:rsidRPr="007C325C" w:rsidR="00747156" w:rsidP="00855D7E" w:rsidRDefault="00747156" w14:paraId="2E53B88F" w14:textId="77777777">
      <w:pPr>
        <w:pStyle w:val="Prrafodelista"/>
        <w:tabs>
          <w:tab w:val="left" w:pos="567"/>
        </w:tabs>
        <w:spacing w:line="360" w:lineRule="auto"/>
        <w:ind w:left="567" w:right="539"/>
        <w:jc w:val="both"/>
        <w:rPr>
          <w:rFonts w:ascii="Palatino Linotype" w:hAnsi="Palatino Linotype" w:cs="Tahoma"/>
          <w:b/>
          <w:sz w:val="20"/>
          <w:szCs w:val="22"/>
        </w:rPr>
      </w:pPr>
      <w:r w:rsidRPr="007C325C">
        <w:rPr>
          <w:rFonts w:ascii="Palatino Linotype" w:hAnsi="Palatino Linotype" w:cs="Tahoma"/>
          <w:b/>
          <w:sz w:val="20"/>
          <w:szCs w:val="22"/>
        </w:rPr>
        <w:t>MODALIDAD DE ENTREGA</w:t>
      </w:r>
    </w:p>
    <w:p w:rsidRPr="007C325C" w:rsidR="00747156" w:rsidP="00855D7E" w:rsidRDefault="00747156" w14:paraId="5CDC09FC" w14:textId="77777777">
      <w:pPr>
        <w:pStyle w:val="Prrafodelista"/>
        <w:tabs>
          <w:tab w:val="left" w:pos="567"/>
        </w:tabs>
        <w:spacing w:line="360" w:lineRule="auto"/>
        <w:ind w:left="567" w:right="539"/>
        <w:jc w:val="both"/>
        <w:rPr>
          <w:rFonts w:ascii="Palatino Linotype" w:hAnsi="Palatino Linotype" w:cs="Tahoma"/>
          <w:i/>
          <w:sz w:val="20"/>
          <w:szCs w:val="22"/>
        </w:rPr>
      </w:pPr>
      <w:r w:rsidRPr="007C325C">
        <w:rPr>
          <w:rFonts w:ascii="Palatino Linotype" w:hAnsi="Palatino Linotype" w:cs="Tahoma"/>
          <w:i/>
          <w:sz w:val="20"/>
          <w:szCs w:val="22"/>
        </w:rPr>
        <w:t>“A través del SAIMEX”</w:t>
      </w:r>
    </w:p>
    <w:p w:rsidRPr="007C325C" w:rsidR="00747156" w:rsidP="00855D7E" w:rsidRDefault="00747156" w14:paraId="11CD464C" w14:textId="77777777">
      <w:pPr>
        <w:pStyle w:val="Prrafodelista"/>
        <w:tabs>
          <w:tab w:val="left" w:pos="567"/>
        </w:tabs>
        <w:spacing w:line="360" w:lineRule="auto"/>
        <w:ind w:left="0"/>
        <w:jc w:val="both"/>
        <w:rPr>
          <w:rFonts w:ascii="Palatino Linotype" w:hAnsi="Palatino Linotype" w:cs="Tahoma"/>
          <w:b/>
        </w:rPr>
      </w:pPr>
      <w:r w:rsidRPr="007C325C">
        <w:rPr>
          <w:rFonts w:ascii="Palatino Linotype" w:hAnsi="Palatino Linotype" w:cs="Tahoma"/>
          <w:b/>
          <w:szCs w:val="20"/>
        </w:rPr>
        <w:lastRenderedPageBreak/>
        <w:t>II</w:t>
      </w:r>
      <w:r w:rsidRPr="007C325C">
        <w:rPr>
          <w:rFonts w:ascii="Palatino Linotype" w:hAnsi="Palatino Linotype" w:cs="Tahoma"/>
          <w:b/>
          <w:szCs w:val="22"/>
        </w:rPr>
        <w:t>.</w:t>
      </w:r>
      <w:r w:rsidRPr="007C325C">
        <w:rPr>
          <w:rFonts w:ascii="Palatino Linotype" w:hAnsi="Palatino Linotype" w:cs="Tahoma"/>
          <w:b/>
        </w:rPr>
        <w:t xml:space="preserve"> Prórroga </w:t>
      </w:r>
    </w:p>
    <w:p w:rsidRPr="007C325C" w:rsidR="00747156" w:rsidP="00855D7E" w:rsidRDefault="00747156" w14:paraId="0B0E7F8C" w14:textId="77777777">
      <w:pPr>
        <w:pStyle w:val="Prrafodelista"/>
        <w:tabs>
          <w:tab w:val="left" w:pos="567"/>
        </w:tabs>
        <w:spacing w:line="360" w:lineRule="auto"/>
        <w:ind w:left="0"/>
        <w:jc w:val="both"/>
        <w:rPr>
          <w:rFonts w:ascii="Palatino Linotype" w:hAnsi="Palatino Linotype" w:cs="Tahoma"/>
          <w:b/>
        </w:rPr>
      </w:pPr>
    </w:p>
    <w:p w:rsidRPr="007C325C" w:rsidR="00747156" w:rsidP="00855D7E" w:rsidRDefault="00747156" w14:paraId="463FC3BC" w14:textId="77777777">
      <w:pPr>
        <w:pStyle w:val="Prrafodelista"/>
        <w:tabs>
          <w:tab w:val="left" w:pos="567"/>
        </w:tabs>
        <w:spacing w:line="360" w:lineRule="auto"/>
        <w:ind w:left="0"/>
        <w:jc w:val="both"/>
        <w:rPr>
          <w:rFonts w:ascii="Palatino Linotype" w:hAnsi="Palatino Linotype" w:cs="Tahoma"/>
          <w:b/>
        </w:rPr>
      </w:pPr>
      <w:r w:rsidRPr="007C325C">
        <w:rPr>
          <w:rFonts w:ascii="Palatino Linotype" w:hAnsi="Palatino Linotype" w:cs="Tahoma"/>
          <w:bCs/>
          <w:szCs w:val="22"/>
        </w:rPr>
        <w:t xml:space="preserve">Con fecha doce de diciembre de dos mil veintidós, a través del Sistema de Acceso a la Información Mexiquense (SAIMEX), </w:t>
      </w:r>
      <w:r w:rsidRPr="007C325C">
        <w:rPr>
          <w:rFonts w:ascii="Palatino Linotype" w:hAnsi="Palatino Linotype" w:eastAsia="Calibri" w:cs="Tahoma"/>
          <w:bCs/>
          <w:szCs w:val="22"/>
          <w:lang w:val="es-ES" w:eastAsia="en-US"/>
        </w:rPr>
        <w:t>la Unidad de Transparencia del Sujeto Obligado notificó al Particular la prórroga para atender la solicitud en los siguientes términos:</w:t>
      </w:r>
    </w:p>
    <w:p w:rsidRPr="007C325C" w:rsidR="00747156" w:rsidP="00855D7E" w:rsidRDefault="00747156" w14:paraId="1744E964" w14:textId="77777777">
      <w:pPr>
        <w:pStyle w:val="Prrafodelista"/>
        <w:tabs>
          <w:tab w:val="left" w:pos="567"/>
        </w:tabs>
        <w:spacing w:line="360" w:lineRule="auto"/>
        <w:ind w:left="567" w:right="539"/>
        <w:jc w:val="both"/>
        <w:rPr>
          <w:rFonts w:ascii="Palatino Linotype" w:hAnsi="Palatino Linotype" w:cs="Tahoma"/>
          <w:i/>
          <w:sz w:val="20"/>
        </w:rPr>
      </w:pPr>
    </w:p>
    <w:p w:rsidRPr="007C325C" w:rsidR="00747156" w:rsidP="00855D7E" w:rsidRDefault="00747156" w14:paraId="49BA5447" w14:textId="77777777">
      <w:pPr>
        <w:pStyle w:val="Prrafodelista"/>
        <w:tabs>
          <w:tab w:val="left" w:pos="567"/>
        </w:tabs>
        <w:spacing w:line="360" w:lineRule="auto"/>
        <w:ind w:left="567" w:right="539"/>
        <w:jc w:val="both"/>
        <w:rPr>
          <w:rFonts w:ascii="Palatino Linotype" w:hAnsi="Palatino Linotype" w:cs="Tahoma"/>
          <w:i/>
          <w:sz w:val="20"/>
        </w:rPr>
      </w:pPr>
      <w:r w:rsidRPr="007C325C">
        <w:rPr>
          <w:rFonts w:ascii="Palatino Linotype" w:hAnsi="Palatino Linotype" w:cs="Tahoma"/>
          <w:i/>
          <w:sz w:val="20"/>
        </w:rPr>
        <w:t>“…</w:t>
      </w:r>
    </w:p>
    <w:p w:rsidRPr="007C325C" w:rsidR="00747156" w:rsidP="00855D7E" w:rsidRDefault="00747156" w14:paraId="0C40156B" w14:textId="77777777">
      <w:pPr>
        <w:pStyle w:val="Prrafodelista"/>
        <w:tabs>
          <w:tab w:val="left" w:pos="567"/>
        </w:tabs>
        <w:spacing w:line="360" w:lineRule="auto"/>
        <w:ind w:left="567" w:right="539"/>
        <w:jc w:val="both"/>
        <w:rPr>
          <w:rFonts w:ascii="Palatino Linotype" w:hAnsi="Palatino Linotype" w:cs="Tahoma"/>
          <w:i/>
          <w:sz w:val="20"/>
        </w:rPr>
      </w:pPr>
      <w:r w:rsidRPr="007C325C">
        <w:rPr>
          <w:rFonts w:ascii="Palatino Linotype" w:hAnsi="Palatino Linotype" w:cs="Tahoma"/>
          <w:i/>
          <w:sz w:val="20"/>
        </w:rPr>
        <w:t>Como resultado de la solicitud remitida a esta Unidad de Transparencia y a su posterior análisis en el Comité y con fundamento en el artículo 163 fracción segunda de la Ley de Transparencia y Acceso a la Información Pública del Estado de México y Municipios, la solicitud de prórroga de hasta por siete días es APROBADA.”</w:t>
      </w:r>
    </w:p>
    <w:p w:rsidRPr="007C325C" w:rsidR="00747156" w:rsidP="00855D7E" w:rsidRDefault="00747156" w14:paraId="11825362" w14:textId="77777777">
      <w:pPr>
        <w:pStyle w:val="Prrafodelista"/>
        <w:tabs>
          <w:tab w:val="left" w:pos="567"/>
        </w:tabs>
        <w:spacing w:line="360" w:lineRule="auto"/>
        <w:ind w:left="0"/>
        <w:jc w:val="both"/>
        <w:rPr>
          <w:rFonts w:ascii="Palatino Linotype" w:hAnsi="Palatino Linotype" w:cs="Tahoma"/>
        </w:rPr>
      </w:pPr>
    </w:p>
    <w:p w:rsidRPr="007C325C" w:rsidR="00747156" w:rsidP="00855D7E" w:rsidRDefault="00747156" w14:paraId="4FC5A234" w14:textId="77777777">
      <w:pPr>
        <w:pStyle w:val="Prrafodelista"/>
        <w:tabs>
          <w:tab w:val="left" w:pos="567"/>
        </w:tabs>
        <w:spacing w:line="360" w:lineRule="auto"/>
        <w:ind w:left="0"/>
        <w:jc w:val="both"/>
        <w:rPr>
          <w:rFonts w:ascii="Palatino Linotype" w:hAnsi="Palatino Linotype" w:cs="Tahoma"/>
          <w:b/>
        </w:rPr>
      </w:pPr>
      <w:r w:rsidRPr="007C325C">
        <w:rPr>
          <w:rFonts w:ascii="Palatino Linotype" w:hAnsi="Palatino Linotype" w:cs="Tahoma"/>
        </w:rPr>
        <w:t>Es necesario señalar que el Sujeto Obligado, no adjunto el Acta de su Comité por la cual amplía el periodo para otorgar respuesta en términos de lo establecido de la Ley de Transparencia y Acceso a la Información Pública del Estado de México y Municipios.</w:t>
      </w:r>
      <w:r w:rsidRPr="007C325C">
        <w:rPr>
          <w:rFonts w:ascii="Palatino Linotype" w:hAnsi="Palatino Linotype" w:cs="Tahoma"/>
          <w:b/>
        </w:rPr>
        <w:t xml:space="preserve"> </w:t>
      </w:r>
    </w:p>
    <w:p w:rsidRPr="007C325C" w:rsidR="00747156" w:rsidP="00855D7E" w:rsidRDefault="00747156" w14:paraId="6BEC894B" w14:textId="77777777">
      <w:pPr>
        <w:pStyle w:val="Prrafodelista"/>
        <w:tabs>
          <w:tab w:val="left" w:pos="567"/>
        </w:tabs>
        <w:spacing w:line="360" w:lineRule="auto"/>
        <w:ind w:left="0"/>
        <w:jc w:val="both"/>
        <w:rPr>
          <w:rFonts w:ascii="Palatino Linotype" w:hAnsi="Palatino Linotype" w:cs="Tahoma"/>
          <w:b/>
          <w:szCs w:val="20"/>
        </w:rPr>
      </w:pPr>
    </w:p>
    <w:p w:rsidRPr="007C325C" w:rsidR="00747156" w:rsidP="00855D7E" w:rsidRDefault="00747156" w14:paraId="6C5BEB5E" w14:textId="77777777">
      <w:pPr>
        <w:pStyle w:val="Prrafodelista"/>
        <w:tabs>
          <w:tab w:val="left" w:pos="567"/>
        </w:tabs>
        <w:spacing w:line="360" w:lineRule="auto"/>
        <w:ind w:left="0"/>
        <w:jc w:val="both"/>
        <w:rPr>
          <w:rFonts w:ascii="Palatino Linotype" w:hAnsi="Palatino Linotype" w:cs="Tahoma"/>
          <w:b/>
          <w:szCs w:val="22"/>
        </w:rPr>
      </w:pPr>
      <w:r w:rsidRPr="007C325C">
        <w:rPr>
          <w:rFonts w:ascii="Palatino Linotype" w:hAnsi="Palatino Linotype" w:cs="Tahoma"/>
          <w:b/>
          <w:szCs w:val="20"/>
        </w:rPr>
        <w:t>III</w:t>
      </w:r>
      <w:r w:rsidRPr="007C325C">
        <w:rPr>
          <w:rFonts w:ascii="Palatino Linotype" w:hAnsi="Palatino Linotype" w:cs="Tahoma"/>
          <w:b/>
          <w:szCs w:val="22"/>
        </w:rPr>
        <w:t>. Respuesta del Sujeto Obligado.</w:t>
      </w:r>
    </w:p>
    <w:p w:rsidRPr="007C325C" w:rsidR="00747156" w:rsidP="00855D7E" w:rsidRDefault="00747156" w14:paraId="1D616F5C" w14:textId="77777777">
      <w:pPr>
        <w:pStyle w:val="Prrafodelista"/>
        <w:tabs>
          <w:tab w:val="left" w:pos="567"/>
        </w:tabs>
        <w:spacing w:line="360" w:lineRule="auto"/>
        <w:ind w:left="0"/>
        <w:jc w:val="both"/>
        <w:rPr>
          <w:rFonts w:ascii="Palatino Linotype" w:hAnsi="Palatino Linotype" w:cs="Tahoma"/>
          <w:b/>
          <w:sz w:val="20"/>
          <w:szCs w:val="22"/>
        </w:rPr>
      </w:pPr>
    </w:p>
    <w:p w:rsidRPr="007C325C" w:rsidR="00747156" w:rsidP="00855D7E" w:rsidRDefault="00747156" w14:paraId="3DF9D9CA" w14:textId="77777777">
      <w:pPr>
        <w:autoSpaceDE w:val="0"/>
        <w:autoSpaceDN w:val="0"/>
        <w:adjustRightInd w:val="0"/>
        <w:spacing w:line="360" w:lineRule="auto"/>
        <w:contextualSpacing/>
        <w:jc w:val="both"/>
        <w:rPr>
          <w:rFonts w:ascii="Palatino Linotype" w:hAnsi="Palatino Linotype" w:cs="Tahoma"/>
          <w:sz w:val="22"/>
          <w:szCs w:val="22"/>
        </w:rPr>
      </w:pPr>
      <w:r w:rsidRPr="007C325C">
        <w:rPr>
          <w:rFonts w:ascii="Palatino Linotype" w:hAnsi="Palatino Linotype" w:cs="Tahoma"/>
          <w:sz w:val="22"/>
          <w:szCs w:val="22"/>
        </w:rPr>
        <w:t>Con fecha veintiuno de diciembre de dos mil veintidós, el Sujeto Obligado a través del Sistema de Acceso a la Información Mexiquense (SAIMEX) señaló lo siguiente:</w:t>
      </w:r>
    </w:p>
    <w:p w:rsidRPr="007C325C" w:rsidR="00747156" w:rsidP="00855D7E" w:rsidRDefault="00747156" w14:paraId="3524EB28" w14:textId="77777777">
      <w:pPr>
        <w:autoSpaceDE w:val="0"/>
        <w:autoSpaceDN w:val="0"/>
        <w:adjustRightInd w:val="0"/>
        <w:spacing w:line="360" w:lineRule="auto"/>
        <w:contextualSpacing/>
        <w:jc w:val="both"/>
        <w:rPr>
          <w:rFonts w:ascii="Palatino Linotype" w:hAnsi="Palatino Linotype" w:cs="Tahoma"/>
          <w:sz w:val="22"/>
          <w:szCs w:val="22"/>
        </w:rPr>
      </w:pPr>
    </w:p>
    <w:p w:rsidRPr="007C325C" w:rsidR="00747156" w:rsidP="00855D7E" w:rsidRDefault="00747156" w14:paraId="645E3007" w14:textId="77777777">
      <w:pPr>
        <w:autoSpaceDE w:val="0"/>
        <w:autoSpaceDN w:val="0"/>
        <w:adjustRightInd w:val="0"/>
        <w:spacing w:line="360" w:lineRule="auto"/>
        <w:ind w:left="567" w:right="539"/>
        <w:contextualSpacing/>
        <w:jc w:val="both"/>
        <w:rPr>
          <w:rFonts w:ascii="Palatino Linotype" w:hAnsi="Palatino Linotype" w:cs="Tahoma"/>
          <w:i/>
          <w:iCs/>
        </w:rPr>
      </w:pPr>
      <w:r w:rsidRPr="007C325C">
        <w:rPr>
          <w:rFonts w:ascii="Palatino Linotype" w:hAnsi="Palatino Linotype" w:cs="Tahoma"/>
          <w:i/>
          <w:iCs/>
        </w:rPr>
        <w:t>“Con fundamento en lo previsto por los artículos 2 fracción II y VII, 4 párrafo tercero, 7, 11, 12, 15, 16, 17, 19, 22, 23, fracción I, 24, fracción XI y último párrafo, 50, 51, 52, 53 fracciones II, IV, V y VI, todos de la Ley de Transparencia y Acceso a la Información Pública del Estado de México y Municipios (LTAIPEMyM); en atención a la solicitud de acceso a la información pública, recibida por este Sujeto Obligado, con número de folio 00156HRZUM/IP/2022; sírvase encontrar adjunto los archivos que detallan de forma precisa el requerimiento recibido. Con el acto, se cumple en tiempo y forma asegurándose así el derecho de acceso a la información pública de la persona solicitante.”</w:t>
      </w:r>
    </w:p>
    <w:p w:rsidRPr="007C325C" w:rsidR="00747156" w:rsidP="00855D7E" w:rsidRDefault="00747156" w14:paraId="0C6555DC" w14:textId="77777777">
      <w:pPr>
        <w:autoSpaceDE w:val="0"/>
        <w:autoSpaceDN w:val="0"/>
        <w:adjustRightInd w:val="0"/>
        <w:spacing w:line="360" w:lineRule="auto"/>
        <w:contextualSpacing/>
        <w:jc w:val="both"/>
        <w:rPr>
          <w:rFonts w:ascii="Palatino Linotype" w:hAnsi="Palatino Linotype" w:cs="Tahoma"/>
          <w:sz w:val="22"/>
          <w:szCs w:val="22"/>
        </w:rPr>
      </w:pPr>
      <w:r w:rsidRPr="007C325C">
        <w:rPr>
          <w:rFonts w:ascii="Palatino Linotype" w:hAnsi="Palatino Linotype" w:cs="Tahoma"/>
          <w:sz w:val="22"/>
          <w:szCs w:val="22"/>
        </w:rPr>
        <w:lastRenderedPageBreak/>
        <w:t xml:space="preserve">El Sujeto Obligado adjuntó un archivo de nombre </w:t>
      </w:r>
      <w:r w:rsidRPr="007C325C">
        <w:rPr>
          <w:rFonts w:ascii="Palatino Linotype" w:hAnsi="Palatino Linotype" w:cs="Tahoma"/>
          <w:b/>
          <w:i/>
          <w:sz w:val="22"/>
          <w:szCs w:val="22"/>
        </w:rPr>
        <w:t xml:space="preserve">Resp SPH s00156.pdf </w:t>
      </w:r>
      <w:r w:rsidRPr="007C325C">
        <w:rPr>
          <w:rFonts w:ascii="Palatino Linotype" w:hAnsi="Palatino Linotype" w:cs="Tahoma"/>
          <w:sz w:val="22"/>
          <w:szCs w:val="22"/>
        </w:rPr>
        <w:t xml:space="preserve">el cual consiste en un oficio suscrito por la </w:t>
      </w:r>
      <w:r w:rsidRPr="007C325C" w:rsidR="00142626">
        <w:rPr>
          <w:rFonts w:ascii="Palatino Linotype" w:hAnsi="Palatino Linotype" w:cs="Tahoma"/>
          <w:sz w:val="22"/>
          <w:szCs w:val="22"/>
        </w:rPr>
        <w:t xml:space="preserve">Subdirectora </w:t>
      </w:r>
      <w:r w:rsidRPr="007C325C">
        <w:rPr>
          <w:rFonts w:ascii="Palatino Linotype" w:hAnsi="Palatino Linotype" w:cs="Tahoma"/>
          <w:sz w:val="22"/>
          <w:szCs w:val="22"/>
        </w:rPr>
        <w:t>de personal en el que señaló lo siguiente:</w:t>
      </w:r>
    </w:p>
    <w:p w:rsidRPr="007C325C" w:rsidR="00747156" w:rsidP="00855D7E" w:rsidRDefault="00747156" w14:paraId="269BA02E" w14:textId="77777777">
      <w:pPr>
        <w:autoSpaceDE w:val="0"/>
        <w:autoSpaceDN w:val="0"/>
        <w:adjustRightInd w:val="0"/>
        <w:spacing w:line="360" w:lineRule="auto"/>
        <w:contextualSpacing/>
        <w:jc w:val="both"/>
        <w:rPr>
          <w:rFonts w:ascii="Palatino Linotype" w:hAnsi="Palatino Linotype" w:cs="Tahoma"/>
          <w:b/>
          <w:sz w:val="22"/>
          <w:szCs w:val="22"/>
        </w:rPr>
      </w:pPr>
    </w:p>
    <w:p w:rsidRPr="007C325C" w:rsidR="00747156" w:rsidP="00855D7E" w:rsidRDefault="00747156" w14:paraId="3B5CD496" w14:textId="77777777">
      <w:pPr>
        <w:autoSpaceDE w:val="0"/>
        <w:autoSpaceDN w:val="0"/>
        <w:adjustRightInd w:val="0"/>
        <w:spacing w:line="360" w:lineRule="auto"/>
        <w:ind w:left="567" w:right="539"/>
        <w:contextualSpacing/>
        <w:jc w:val="both"/>
        <w:rPr>
          <w:rFonts w:ascii="Palatino Linotype" w:hAnsi="Palatino Linotype" w:cs="Tahoma"/>
          <w:i/>
          <w:iCs/>
        </w:rPr>
      </w:pPr>
      <w:r w:rsidRPr="007C325C">
        <w:rPr>
          <w:rFonts w:ascii="Palatino Linotype" w:hAnsi="Palatino Linotype" w:cs="Tahoma"/>
          <w:i/>
          <w:iCs/>
        </w:rPr>
        <w:t xml:space="preserve">“… en ese sentido con fundamento en el artículo 158 de la Ley de Transparencia y Acceso a la Información Pública del Estado de México y Municipios, toda vez que, la información solicitada sobrepasa las capacidades técnicas administrativas y humanas para su procesamiento y entrega, aunado a que este Organismo, bajo protesta de decir verdad, se encuentra atravesando de forma fortuita una contingencia técnica informática, no disponiendo de equipos de cómputo, escáner, fotocopiado y acceso a servicios de internet y redes sociales, esto por tiempo indefinido, razón por la cual se pone a disposición del solicitante os documentos </w:t>
      </w:r>
      <w:r w:rsidRPr="007C325C" w:rsidR="009C1ED5">
        <w:rPr>
          <w:rFonts w:ascii="Palatino Linotype" w:hAnsi="Palatino Linotype" w:cs="Tahoma"/>
          <w:i/>
          <w:iCs/>
        </w:rPr>
        <w:t>en consulta directa, salvo, la información clasificada.</w:t>
      </w:r>
    </w:p>
    <w:p w:rsidRPr="007C325C" w:rsidR="009C1ED5" w:rsidP="00855D7E" w:rsidRDefault="009C1ED5" w14:paraId="73544A18" w14:textId="77777777">
      <w:pPr>
        <w:autoSpaceDE w:val="0"/>
        <w:autoSpaceDN w:val="0"/>
        <w:adjustRightInd w:val="0"/>
        <w:spacing w:line="360" w:lineRule="auto"/>
        <w:ind w:left="567" w:right="539"/>
        <w:contextualSpacing/>
        <w:jc w:val="both"/>
        <w:rPr>
          <w:rFonts w:ascii="Palatino Linotype" w:hAnsi="Palatino Linotype" w:cs="Tahoma"/>
          <w:b/>
          <w:sz w:val="22"/>
          <w:szCs w:val="22"/>
        </w:rPr>
      </w:pPr>
      <w:r w:rsidRPr="007C325C">
        <w:rPr>
          <w:rFonts w:ascii="Palatino Linotype" w:hAnsi="Palatino Linotype" w:cs="Tahoma"/>
          <w:i/>
          <w:iCs/>
        </w:rPr>
        <w:t>…”</w:t>
      </w:r>
    </w:p>
    <w:p w:rsidRPr="007C325C" w:rsidR="00747156" w:rsidP="00855D7E" w:rsidRDefault="00747156" w14:paraId="03AB5F20" w14:textId="77777777">
      <w:pPr>
        <w:autoSpaceDE w:val="0"/>
        <w:autoSpaceDN w:val="0"/>
        <w:adjustRightInd w:val="0"/>
        <w:spacing w:line="360" w:lineRule="auto"/>
        <w:contextualSpacing/>
        <w:jc w:val="both"/>
        <w:rPr>
          <w:rFonts w:ascii="Palatino Linotype" w:hAnsi="Palatino Linotype" w:cs="Tahoma"/>
          <w:b/>
          <w:sz w:val="22"/>
          <w:szCs w:val="22"/>
        </w:rPr>
      </w:pPr>
    </w:p>
    <w:p w:rsidRPr="007C325C" w:rsidR="00747156" w:rsidP="00855D7E" w:rsidRDefault="00747156" w14:paraId="606D1162" w14:textId="77777777">
      <w:pPr>
        <w:autoSpaceDE w:val="0"/>
        <w:autoSpaceDN w:val="0"/>
        <w:adjustRightInd w:val="0"/>
        <w:spacing w:line="360" w:lineRule="auto"/>
        <w:contextualSpacing/>
        <w:jc w:val="both"/>
        <w:rPr>
          <w:rFonts w:ascii="Palatino Linotype" w:hAnsi="Palatino Linotype" w:cs="Tahoma"/>
          <w:b/>
          <w:sz w:val="22"/>
          <w:szCs w:val="22"/>
        </w:rPr>
      </w:pPr>
      <w:r w:rsidRPr="007C325C">
        <w:rPr>
          <w:rFonts w:ascii="Palatino Linotype" w:hAnsi="Palatino Linotype" w:cs="Tahoma"/>
          <w:b/>
          <w:sz w:val="22"/>
          <w:szCs w:val="22"/>
        </w:rPr>
        <w:t>I</w:t>
      </w:r>
      <w:r w:rsidRPr="007C325C" w:rsidR="009C1ED5">
        <w:rPr>
          <w:rFonts w:ascii="Palatino Linotype" w:hAnsi="Palatino Linotype" w:cs="Tahoma"/>
          <w:b/>
          <w:sz w:val="22"/>
          <w:szCs w:val="22"/>
        </w:rPr>
        <w:t>V</w:t>
      </w:r>
      <w:r w:rsidRPr="007C325C">
        <w:rPr>
          <w:rFonts w:ascii="Palatino Linotype" w:hAnsi="Palatino Linotype" w:cs="Tahoma"/>
          <w:b/>
          <w:sz w:val="22"/>
          <w:szCs w:val="22"/>
        </w:rPr>
        <w:t xml:space="preserve">. Interposición del Recurso de Revisión. </w:t>
      </w:r>
    </w:p>
    <w:p w:rsidRPr="007C325C" w:rsidR="00954D24" w:rsidP="00855D7E" w:rsidRDefault="00954D24" w14:paraId="28E909EA" w14:textId="77777777">
      <w:pPr>
        <w:autoSpaceDE w:val="0"/>
        <w:autoSpaceDN w:val="0"/>
        <w:adjustRightInd w:val="0"/>
        <w:spacing w:line="360" w:lineRule="auto"/>
        <w:contextualSpacing/>
        <w:jc w:val="both"/>
        <w:rPr>
          <w:rFonts w:ascii="Palatino Linotype" w:hAnsi="Palatino Linotype" w:cs="Tahoma"/>
          <w:b/>
          <w:sz w:val="22"/>
          <w:szCs w:val="22"/>
        </w:rPr>
      </w:pPr>
    </w:p>
    <w:p w:rsidRPr="007C325C" w:rsidR="00747156" w:rsidP="00855D7E" w:rsidRDefault="00747156" w14:paraId="5340D6BC" w14:textId="77777777">
      <w:pPr>
        <w:tabs>
          <w:tab w:val="left" w:pos="3122"/>
        </w:tabs>
        <w:spacing w:line="360" w:lineRule="auto"/>
        <w:contextualSpacing/>
        <w:jc w:val="both"/>
        <w:rPr>
          <w:rFonts w:ascii="Palatino Linotype" w:hAnsi="Palatino Linotype" w:cs="Tahoma"/>
          <w:sz w:val="22"/>
          <w:szCs w:val="22"/>
        </w:rPr>
      </w:pPr>
      <w:r w:rsidRPr="007C325C">
        <w:rPr>
          <w:rFonts w:ascii="Palatino Linotype" w:hAnsi="Palatino Linotype" w:cs="Tahoma"/>
          <w:sz w:val="22"/>
          <w:szCs w:val="22"/>
        </w:rPr>
        <w:t xml:space="preserve">Con fecha </w:t>
      </w:r>
      <w:r w:rsidRPr="007C325C" w:rsidR="009C1ED5">
        <w:rPr>
          <w:rFonts w:ascii="Palatino Linotype" w:hAnsi="Palatino Linotype" w:cs="Tahoma"/>
          <w:sz w:val="22"/>
          <w:szCs w:val="22"/>
        </w:rPr>
        <w:t xml:space="preserve">veintiuno de diciembre </w:t>
      </w:r>
      <w:r w:rsidRPr="007C325C">
        <w:rPr>
          <w:rFonts w:ascii="Palatino Linotype" w:hAnsi="Palatino Linotype" w:cs="Tahoma"/>
          <w:sz w:val="22"/>
          <w:szCs w:val="22"/>
        </w:rPr>
        <w:t xml:space="preserve">de dos mil veintidós, a través del </w:t>
      </w:r>
      <w:r w:rsidRPr="007C325C">
        <w:rPr>
          <w:rFonts w:ascii="Palatino Linotype" w:hAnsi="Palatino Linotype" w:cs="Tahoma"/>
          <w:sz w:val="22"/>
          <w:szCs w:val="22"/>
          <w:lang w:val="es-ES"/>
        </w:rPr>
        <w:t>Sistema de Acceso a la Información Mexiquense (SAIMEX)</w:t>
      </w:r>
      <w:r w:rsidRPr="007C325C">
        <w:rPr>
          <w:rFonts w:ascii="Palatino Linotype" w:hAnsi="Palatino Linotype" w:cs="Tahoma"/>
          <w:sz w:val="22"/>
          <w:szCs w:val="22"/>
        </w:rPr>
        <w:t>, se interpuso el presente Recurso de Revisión por el Recurrente, en contra de la respuesta emitida por el Sujeto Obligado a la solicitud de información, en los siguientes términos:</w:t>
      </w:r>
    </w:p>
    <w:p w:rsidRPr="007C325C" w:rsidR="00747156" w:rsidP="00855D7E" w:rsidRDefault="00747156" w14:paraId="797AC6FB" w14:textId="77777777">
      <w:pPr>
        <w:tabs>
          <w:tab w:val="left" w:pos="3122"/>
        </w:tabs>
        <w:spacing w:line="360" w:lineRule="auto"/>
        <w:contextualSpacing/>
        <w:jc w:val="both"/>
        <w:rPr>
          <w:rFonts w:ascii="Palatino Linotype" w:hAnsi="Palatino Linotype" w:cs="Tahoma"/>
          <w:sz w:val="22"/>
          <w:szCs w:val="22"/>
        </w:rPr>
      </w:pPr>
    </w:p>
    <w:p w:rsidRPr="007C325C" w:rsidR="00747156" w:rsidP="00855D7E" w:rsidRDefault="00747156" w14:paraId="76307F78" w14:textId="77777777">
      <w:pPr>
        <w:spacing w:line="360" w:lineRule="auto"/>
        <w:ind w:left="567" w:right="539"/>
        <w:contextualSpacing/>
        <w:jc w:val="both"/>
        <w:rPr>
          <w:rFonts w:ascii="Palatino Linotype" w:hAnsi="Palatino Linotype" w:cs="Tahoma"/>
          <w:b/>
          <w:bCs/>
          <w:szCs w:val="22"/>
        </w:rPr>
      </w:pPr>
      <w:r w:rsidRPr="007C325C">
        <w:rPr>
          <w:rFonts w:ascii="Palatino Linotype" w:hAnsi="Palatino Linotype" w:cs="Tahoma"/>
          <w:b/>
          <w:bCs/>
          <w:szCs w:val="22"/>
        </w:rPr>
        <w:t>ACTO IMPUGNADO:</w:t>
      </w:r>
    </w:p>
    <w:p w:rsidRPr="007C325C" w:rsidR="00747156" w:rsidP="00855D7E" w:rsidRDefault="00747156" w14:paraId="3D971B33" w14:textId="77777777">
      <w:pPr>
        <w:spacing w:line="360" w:lineRule="auto"/>
        <w:ind w:left="567" w:right="539"/>
        <w:contextualSpacing/>
        <w:jc w:val="both"/>
        <w:rPr>
          <w:rFonts w:ascii="Palatino Linotype" w:hAnsi="Palatino Linotype" w:cs="Tahoma"/>
          <w:bCs/>
          <w:i/>
          <w:szCs w:val="22"/>
        </w:rPr>
      </w:pPr>
      <w:r w:rsidRPr="007C325C">
        <w:rPr>
          <w:rFonts w:ascii="Palatino Linotype" w:hAnsi="Palatino Linotype" w:cs="Tahoma"/>
          <w:bCs/>
          <w:i/>
          <w:szCs w:val="22"/>
        </w:rPr>
        <w:t>“</w:t>
      </w:r>
      <w:r w:rsidRPr="007C325C" w:rsidR="009C1ED5">
        <w:rPr>
          <w:rFonts w:ascii="Palatino Linotype" w:hAnsi="Palatino Linotype" w:cs="Tahoma"/>
          <w:bCs/>
          <w:i/>
          <w:szCs w:val="22"/>
        </w:rPr>
        <w:t>Pone a disposición información</w:t>
      </w:r>
      <w:r w:rsidRPr="007C325C">
        <w:rPr>
          <w:rFonts w:ascii="Palatino Linotype" w:hAnsi="Palatino Linotype" w:cs="Tahoma"/>
          <w:bCs/>
          <w:i/>
          <w:szCs w:val="22"/>
        </w:rPr>
        <w:t>" (Sic)</w:t>
      </w:r>
    </w:p>
    <w:p w:rsidRPr="007C325C" w:rsidR="009C1ED5" w:rsidP="00855D7E" w:rsidRDefault="009C1ED5" w14:paraId="68FB5010" w14:textId="77777777">
      <w:pPr>
        <w:spacing w:line="360" w:lineRule="auto"/>
        <w:ind w:left="567" w:right="539"/>
        <w:contextualSpacing/>
        <w:jc w:val="both"/>
        <w:rPr>
          <w:rFonts w:ascii="Palatino Linotype" w:hAnsi="Palatino Linotype" w:cs="Tahoma"/>
          <w:bCs/>
          <w:i/>
          <w:szCs w:val="22"/>
        </w:rPr>
      </w:pPr>
    </w:p>
    <w:p w:rsidRPr="007C325C" w:rsidR="009C1ED5" w:rsidP="00855D7E" w:rsidRDefault="009C1ED5" w14:paraId="0C3B5C2B" w14:textId="77777777">
      <w:pPr>
        <w:spacing w:line="360" w:lineRule="auto"/>
        <w:ind w:left="567" w:right="539"/>
        <w:contextualSpacing/>
        <w:jc w:val="both"/>
        <w:rPr>
          <w:rFonts w:ascii="Palatino Linotype" w:hAnsi="Palatino Linotype" w:cs="Tahoma"/>
          <w:b/>
          <w:bCs/>
          <w:szCs w:val="22"/>
        </w:rPr>
      </w:pPr>
      <w:r w:rsidRPr="007C325C">
        <w:rPr>
          <w:rFonts w:ascii="Palatino Linotype" w:hAnsi="Palatino Linotype" w:cs="Tahoma"/>
          <w:b/>
          <w:bCs/>
          <w:szCs w:val="22"/>
        </w:rPr>
        <w:t>RAZONES O MOTIVOS DE LA INCONFORMIDAD</w:t>
      </w:r>
    </w:p>
    <w:p w:rsidRPr="007C325C" w:rsidR="009C1ED5" w:rsidP="00855D7E" w:rsidRDefault="009C1ED5" w14:paraId="5C4B95BE" w14:textId="77777777">
      <w:pPr>
        <w:spacing w:line="360" w:lineRule="auto"/>
        <w:ind w:left="567" w:right="539"/>
        <w:contextualSpacing/>
        <w:jc w:val="both"/>
        <w:rPr>
          <w:rFonts w:ascii="Palatino Linotype" w:hAnsi="Palatino Linotype" w:cs="Tahoma"/>
          <w:bCs/>
          <w:i/>
          <w:szCs w:val="22"/>
        </w:rPr>
      </w:pPr>
      <w:r w:rsidRPr="007C325C">
        <w:rPr>
          <w:rFonts w:ascii="Palatino Linotype" w:hAnsi="Palatino Linotype" w:cs="Tahoma"/>
          <w:bCs/>
          <w:i/>
          <w:szCs w:val="22"/>
        </w:rPr>
        <w:t>“Información con láminas que ya se debe de contar de acuerdo con la Ley de Archivos”</w:t>
      </w:r>
    </w:p>
    <w:p w:rsidRPr="007C325C" w:rsidR="00747156" w:rsidP="00855D7E" w:rsidRDefault="00747156" w14:paraId="5ABC75BC" w14:textId="77777777">
      <w:pPr>
        <w:spacing w:line="360" w:lineRule="auto"/>
        <w:ind w:left="567" w:right="539"/>
        <w:contextualSpacing/>
        <w:jc w:val="both"/>
        <w:rPr>
          <w:rFonts w:ascii="Palatino Linotype" w:hAnsi="Palatino Linotype" w:cs="Tahoma"/>
          <w:bCs/>
          <w:i/>
          <w:szCs w:val="22"/>
        </w:rPr>
      </w:pPr>
    </w:p>
    <w:p w:rsidRPr="007C325C" w:rsidR="00747156" w:rsidP="00855D7E" w:rsidRDefault="00747156" w14:paraId="0AFD93BA" w14:textId="77777777">
      <w:pPr>
        <w:spacing w:line="360" w:lineRule="auto"/>
        <w:contextualSpacing/>
        <w:jc w:val="both"/>
        <w:rPr>
          <w:rFonts w:ascii="Palatino Linotype" w:hAnsi="Palatino Linotype" w:eastAsia="Batang" w:cs="Tahoma"/>
          <w:b/>
          <w:bCs/>
          <w:sz w:val="22"/>
          <w:szCs w:val="22"/>
        </w:rPr>
      </w:pPr>
      <w:r w:rsidRPr="007C325C">
        <w:rPr>
          <w:rFonts w:ascii="Palatino Linotype" w:hAnsi="Palatino Linotype" w:cs="Tahoma"/>
          <w:b/>
          <w:sz w:val="22"/>
          <w:szCs w:val="22"/>
        </w:rPr>
        <w:t xml:space="preserve">V. </w:t>
      </w:r>
      <w:r w:rsidRPr="007C325C">
        <w:rPr>
          <w:rFonts w:ascii="Palatino Linotype" w:hAnsi="Palatino Linotype" w:eastAsia="Batang" w:cs="Tahoma"/>
          <w:b/>
          <w:bCs/>
          <w:sz w:val="22"/>
          <w:szCs w:val="22"/>
        </w:rPr>
        <w:t xml:space="preserve">Trámite del </w:t>
      </w:r>
      <w:r w:rsidRPr="007C325C">
        <w:rPr>
          <w:rFonts w:ascii="Palatino Linotype" w:hAnsi="Palatino Linotype" w:cs="Tahoma"/>
          <w:b/>
          <w:sz w:val="22"/>
          <w:szCs w:val="22"/>
        </w:rPr>
        <w:t xml:space="preserve">Recurso de Revisión </w:t>
      </w:r>
      <w:r w:rsidRPr="007C325C">
        <w:rPr>
          <w:rFonts w:ascii="Palatino Linotype" w:hAnsi="Palatino Linotype" w:eastAsia="Batang" w:cs="Tahoma"/>
          <w:b/>
          <w:bCs/>
          <w:sz w:val="22"/>
          <w:szCs w:val="22"/>
        </w:rPr>
        <w:t>ante el Instituto.</w:t>
      </w:r>
    </w:p>
    <w:p w:rsidRPr="007C325C" w:rsidR="00FE086A" w:rsidP="00855D7E" w:rsidRDefault="00FE086A" w14:paraId="02C6636A" w14:textId="77777777">
      <w:pPr>
        <w:spacing w:line="360" w:lineRule="auto"/>
        <w:contextualSpacing/>
        <w:jc w:val="both"/>
        <w:rPr>
          <w:rFonts w:ascii="Palatino Linotype" w:hAnsi="Palatino Linotype" w:eastAsia="Batang" w:cs="Tahoma"/>
          <w:b/>
          <w:bCs/>
          <w:sz w:val="22"/>
          <w:szCs w:val="22"/>
        </w:rPr>
      </w:pPr>
    </w:p>
    <w:p w:rsidRPr="007C325C" w:rsidR="00747156" w:rsidP="00855D7E" w:rsidRDefault="00747156" w14:paraId="3D1905A9" w14:textId="77777777">
      <w:pPr>
        <w:spacing w:line="360" w:lineRule="auto"/>
        <w:contextualSpacing/>
        <w:jc w:val="both"/>
        <w:rPr>
          <w:rFonts w:ascii="Palatino Linotype" w:hAnsi="Palatino Linotype" w:eastAsia="Batang" w:cs="Tahoma"/>
          <w:bCs/>
          <w:sz w:val="22"/>
          <w:szCs w:val="22"/>
        </w:rPr>
      </w:pPr>
      <w:r w:rsidRPr="007C325C">
        <w:rPr>
          <w:rFonts w:ascii="Palatino Linotype" w:hAnsi="Palatino Linotype" w:eastAsia="Batang" w:cs="Tahoma"/>
          <w:b/>
          <w:bCs/>
          <w:sz w:val="22"/>
          <w:szCs w:val="22"/>
        </w:rPr>
        <w:lastRenderedPageBreak/>
        <w:t xml:space="preserve">a) Turno del </w:t>
      </w:r>
      <w:r w:rsidRPr="007C325C">
        <w:rPr>
          <w:rFonts w:ascii="Palatino Linotype" w:hAnsi="Palatino Linotype" w:cs="Tahoma"/>
          <w:b/>
          <w:sz w:val="22"/>
          <w:szCs w:val="22"/>
        </w:rPr>
        <w:t>Recurso de Revisión</w:t>
      </w:r>
      <w:r w:rsidRPr="007C325C">
        <w:rPr>
          <w:rFonts w:ascii="Palatino Linotype" w:hAnsi="Palatino Linotype" w:eastAsia="Batang" w:cs="Tahoma"/>
          <w:b/>
          <w:bCs/>
          <w:sz w:val="22"/>
          <w:szCs w:val="22"/>
        </w:rPr>
        <w:t xml:space="preserve">. </w:t>
      </w:r>
      <w:r w:rsidRPr="007C325C">
        <w:rPr>
          <w:rFonts w:ascii="Palatino Linotype" w:hAnsi="Palatino Linotype" w:eastAsia="Batang" w:cs="Tahoma"/>
          <w:bCs/>
          <w:sz w:val="22"/>
          <w:szCs w:val="22"/>
        </w:rPr>
        <w:t xml:space="preserve">El </w:t>
      </w:r>
      <w:r w:rsidRPr="007C325C" w:rsidR="009C1ED5">
        <w:rPr>
          <w:rFonts w:ascii="Palatino Linotype" w:hAnsi="Palatino Linotype" w:eastAsia="Batang" w:cs="Tahoma"/>
          <w:bCs/>
          <w:sz w:val="22"/>
          <w:szCs w:val="22"/>
        </w:rPr>
        <w:t xml:space="preserve">veintiuno de diciembre </w:t>
      </w:r>
      <w:r w:rsidRPr="007C325C">
        <w:rPr>
          <w:rFonts w:ascii="Palatino Linotype" w:hAnsi="Palatino Linotype" w:eastAsia="Batang" w:cs="Tahoma"/>
          <w:bCs/>
          <w:sz w:val="22"/>
          <w:szCs w:val="22"/>
        </w:rPr>
        <w:t xml:space="preserve">de dos mil veintidós, el Sistema de Acceso a la Información Mexiquense (SAIMEX), asignó el número de expediente </w:t>
      </w:r>
      <w:r w:rsidRPr="007C325C" w:rsidR="009C1ED5">
        <w:rPr>
          <w:rFonts w:ascii="Palatino Linotype" w:hAnsi="Palatino Linotype" w:eastAsia="Batang" w:cs="Tahoma"/>
          <w:b/>
          <w:bCs/>
          <w:sz w:val="22"/>
          <w:szCs w:val="22"/>
        </w:rPr>
        <w:t>17626</w:t>
      </w:r>
      <w:r w:rsidRPr="007C325C">
        <w:rPr>
          <w:rFonts w:ascii="Palatino Linotype" w:hAnsi="Palatino Linotype" w:eastAsia="Batang" w:cs="Tahoma"/>
          <w:b/>
          <w:bCs/>
          <w:sz w:val="22"/>
          <w:szCs w:val="22"/>
        </w:rPr>
        <w:t>/INFOEM/IP/RR/2022</w:t>
      </w:r>
      <w:r w:rsidRPr="007C325C">
        <w:rPr>
          <w:rFonts w:ascii="Palatino Linotype" w:hAnsi="Palatino Linotype" w:eastAsia="Batang" w:cs="Tahoma"/>
          <w:bCs/>
          <w:sz w:val="22"/>
          <w:szCs w:val="22"/>
        </w:rPr>
        <w:t xml:space="preserve">, al medio de impugnación que nos ocupa, con base en el sistema aprobado por el Pleno de este Órgano Garante y lo turnó al </w:t>
      </w:r>
      <w:r w:rsidRPr="007C325C">
        <w:rPr>
          <w:rFonts w:ascii="Palatino Linotype" w:hAnsi="Palatino Linotype" w:eastAsia="Batang" w:cs="Tahoma"/>
          <w:b/>
          <w:bCs/>
          <w:sz w:val="22"/>
          <w:szCs w:val="22"/>
        </w:rPr>
        <w:t>Comisionado Ponente Luis Gustavo Parra Noriega</w:t>
      </w:r>
      <w:r w:rsidRPr="007C325C">
        <w:rPr>
          <w:rFonts w:ascii="Palatino Linotype" w:hAnsi="Palatino Linotype" w:eastAsia="Batang" w:cs="Tahoma"/>
          <w:bCs/>
          <w:sz w:val="22"/>
          <w:szCs w:val="22"/>
        </w:rPr>
        <w:t>, para los efectos del artículo 185, fracción I de la Ley de Transparencia y Acceso a la Información Pública del Estado de México y Municipios.</w:t>
      </w:r>
    </w:p>
    <w:p w:rsidRPr="007C325C" w:rsidR="00747156" w:rsidP="00855D7E" w:rsidRDefault="00747156" w14:paraId="03FAFBFD" w14:textId="77777777">
      <w:pPr>
        <w:spacing w:line="360" w:lineRule="auto"/>
        <w:contextualSpacing/>
        <w:jc w:val="both"/>
        <w:rPr>
          <w:rFonts w:ascii="Palatino Linotype" w:hAnsi="Palatino Linotype" w:eastAsia="Batang" w:cs="Tahoma"/>
          <w:b/>
          <w:bCs/>
          <w:sz w:val="22"/>
          <w:szCs w:val="22"/>
        </w:rPr>
      </w:pPr>
    </w:p>
    <w:p w:rsidRPr="007C325C" w:rsidR="00747156" w:rsidP="00855D7E" w:rsidRDefault="00747156" w14:paraId="4EA1D959" w14:textId="77777777">
      <w:pPr>
        <w:spacing w:line="360" w:lineRule="auto"/>
        <w:contextualSpacing/>
        <w:jc w:val="both"/>
        <w:rPr>
          <w:rFonts w:ascii="Palatino Linotype" w:hAnsi="Palatino Linotype" w:cs="Tahoma"/>
          <w:bCs/>
          <w:sz w:val="22"/>
          <w:szCs w:val="22"/>
          <w:lang w:val="es-ES_tradnl"/>
        </w:rPr>
      </w:pPr>
      <w:r w:rsidRPr="007C325C">
        <w:rPr>
          <w:rFonts w:ascii="Palatino Linotype" w:hAnsi="Palatino Linotype" w:eastAsia="Batang" w:cs="Tahoma"/>
          <w:b/>
          <w:bCs/>
          <w:sz w:val="22"/>
          <w:szCs w:val="22"/>
        </w:rPr>
        <w:t xml:space="preserve">b) Admisión del </w:t>
      </w:r>
      <w:r w:rsidRPr="007C325C">
        <w:rPr>
          <w:rFonts w:ascii="Palatino Linotype" w:hAnsi="Palatino Linotype" w:cs="Tahoma"/>
          <w:b/>
          <w:sz w:val="22"/>
          <w:szCs w:val="22"/>
        </w:rPr>
        <w:t>Recurso de Revisión</w:t>
      </w:r>
      <w:r w:rsidRPr="007C325C">
        <w:rPr>
          <w:rFonts w:ascii="Palatino Linotype" w:hAnsi="Palatino Linotype" w:eastAsia="Batang" w:cs="Tahoma"/>
          <w:b/>
          <w:bCs/>
          <w:sz w:val="22"/>
          <w:szCs w:val="22"/>
          <w:lang w:val="es-ES_tradnl"/>
        </w:rPr>
        <w:t xml:space="preserve">. </w:t>
      </w:r>
      <w:r w:rsidRPr="007C325C">
        <w:rPr>
          <w:rFonts w:ascii="Palatino Linotype" w:hAnsi="Palatino Linotype" w:cs="Tahoma"/>
          <w:bCs/>
          <w:sz w:val="22"/>
          <w:szCs w:val="22"/>
        </w:rPr>
        <w:t xml:space="preserve">El </w:t>
      </w:r>
      <w:r w:rsidRPr="007C325C" w:rsidR="009C1ED5">
        <w:rPr>
          <w:rFonts w:ascii="Palatino Linotype" w:hAnsi="Palatino Linotype" w:cs="Tahoma"/>
          <w:bCs/>
          <w:sz w:val="22"/>
          <w:szCs w:val="22"/>
        </w:rPr>
        <w:t xml:space="preserve">doce de enero </w:t>
      </w:r>
      <w:r w:rsidRPr="007C325C">
        <w:rPr>
          <w:rFonts w:ascii="Palatino Linotype" w:hAnsi="Palatino Linotype" w:cs="Tahoma"/>
          <w:bCs/>
          <w:sz w:val="22"/>
          <w:szCs w:val="22"/>
        </w:rPr>
        <w:t>de dos mil veinti</w:t>
      </w:r>
      <w:r w:rsidRPr="007C325C" w:rsidR="009C1ED5">
        <w:rPr>
          <w:rFonts w:ascii="Palatino Linotype" w:hAnsi="Palatino Linotype" w:cs="Tahoma"/>
          <w:bCs/>
          <w:sz w:val="22"/>
          <w:szCs w:val="22"/>
        </w:rPr>
        <w:t>trés</w:t>
      </w:r>
      <w:r w:rsidRPr="007C325C">
        <w:rPr>
          <w:rFonts w:ascii="Palatino Linotype" w:hAnsi="Palatino Linotype" w:cs="Tahoma"/>
          <w:bCs/>
          <w:sz w:val="22"/>
          <w:szCs w:val="22"/>
        </w:rPr>
        <w:t xml:space="preserve">, se acordó la admisión del </w:t>
      </w:r>
      <w:r w:rsidRPr="007C325C">
        <w:rPr>
          <w:rFonts w:ascii="Palatino Linotype" w:hAnsi="Palatino Linotype" w:cs="Tahoma"/>
          <w:bCs/>
          <w:sz w:val="22"/>
          <w:szCs w:val="22"/>
          <w:lang w:val="es-ES_tradnl"/>
        </w:rPr>
        <w:t xml:space="preserve">Recurso de Revisión interpuesto por el Recurrente en contra del </w:t>
      </w:r>
      <w:r w:rsidRPr="007C325C">
        <w:rPr>
          <w:rFonts w:ascii="Palatino Linotype" w:hAnsi="Palatino Linotype" w:cs="Tahoma"/>
          <w:b/>
          <w:bCs/>
          <w:sz w:val="22"/>
          <w:szCs w:val="22"/>
          <w:lang w:val="es-ES_tradnl"/>
        </w:rPr>
        <w:t>Sujeto Obligado</w:t>
      </w:r>
      <w:r w:rsidRPr="007C325C">
        <w:rPr>
          <w:rFonts w:ascii="Palatino Linotype" w:hAnsi="Palatino Linotype" w:cs="Tahoma"/>
          <w:bCs/>
          <w:sz w:val="22"/>
          <w:szCs w:val="22"/>
          <w:lang w:val="es-ES_tradnl"/>
        </w:rPr>
        <w:t>, en términos del artículo 185, fracciones I, II y IV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rsidRPr="007C325C" w:rsidR="00747156" w:rsidP="00855D7E" w:rsidRDefault="00747156" w14:paraId="321C0D44" w14:textId="77777777">
      <w:pPr>
        <w:spacing w:line="360" w:lineRule="auto"/>
        <w:contextualSpacing/>
        <w:jc w:val="both"/>
        <w:rPr>
          <w:rFonts w:ascii="Palatino Linotype" w:hAnsi="Palatino Linotype" w:cs="Tahoma"/>
          <w:bCs/>
          <w:sz w:val="22"/>
          <w:szCs w:val="22"/>
          <w:lang w:val="es-ES_tradnl"/>
        </w:rPr>
      </w:pPr>
    </w:p>
    <w:p w:rsidRPr="007C325C" w:rsidR="00747156" w:rsidP="00855D7E" w:rsidRDefault="00747156" w14:paraId="7935ACB0" w14:textId="77777777">
      <w:pPr>
        <w:spacing w:line="360" w:lineRule="auto"/>
        <w:contextualSpacing/>
        <w:jc w:val="both"/>
        <w:rPr>
          <w:rFonts w:ascii="Palatino Linotype" w:hAnsi="Palatino Linotype" w:cs="Tahoma"/>
          <w:sz w:val="22"/>
          <w:szCs w:val="22"/>
        </w:rPr>
      </w:pPr>
      <w:r w:rsidRPr="007C325C">
        <w:rPr>
          <w:rFonts w:ascii="Palatino Linotype" w:hAnsi="Palatino Linotype" w:eastAsia="Batang" w:cs="Tahoma"/>
          <w:b/>
          <w:bCs/>
          <w:sz w:val="22"/>
          <w:szCs w:val="22"/>
          <w:lang w:val="es-ES_tradnl"/>
        </w:rPr>
        <w:t xml:space="preserve">c) Informe Justificado. </w:t>
      </w:r>
      <w:r w:rsidRPr="007C325C">
        <w:rPr>
          <w:rFonts w:ascii="Palatino Linotype" w:hAnsi="Palatino Linotype" w:eastAsia="Batang" w:cs="Tahoma"/>
          <w:bCs/>
          <w:sz w:val="22"/>
          <w:szCs w:val="22"/>
          <w:lang w:val="es-ES_tradnl"/>
        </w:rPr>
        <w:t xml:space="preserve">El Sujeto Obligado fue omiso en realzar manifestación alguna que a su derecho asistiera. </w:t>
      </w:r>
    </w:p>
    <w:p w:rsidRPr="007C325C" w:rsidR="00747156" w:rsidP="00855D7E" w:rsidRDefault="00747156" w14:paraId="1B2EC49D" w14:textId="77777777">
      <w:pPr>
        <w:spacing w:line="360" w:lineRule="auto"/>
        <w:contextualSpacing/>
        <w:jc w:val="both"/>
        <w:rPr>
          <w:rFonts w:ascii="Palatino Linotype" w:hAnsi="Palatino Linotype" w:eastAsia="Batang" w:cs="Tahoma"/>
          <w:bCs/>
          <w:sz w:val="22"/>
          <w:szCs w:val="22"/>
          <w:lang w:val="es-ES_tradnl"/>
        </w:rPr>
      </w:pPr>
    </w:p>
    <w:p w:rsidRPr="007C325C" w:rsidR="00747156" w:rsidP="00855D7E" w:rsidRDefault="00747156" w14:paraId="6C398B6E" w14:textId="77777777">
      <w:pPr>
        <w:spacing w:line="360" w:lineRule="auto"/>
        <w:contextualSpacing/>
        <w:jc w:val="both"/>
        <w:rPr>
          <w:rFonts w:ascii="Palatino Linotype" w:hAnsi="Palatino Linotype" w:cs="Tahoma"/>
          <w:sz w:val="22"/>
          <w:szCs w:val="24"/>
        </w:rPr>
      </w:pPr>
      <w:r w:rsidRPr="007C325C">
        <w:rPr>
          <w:rFonts w:ascii="Palatino Linotype" w:hAnsi="Palatino Linotype" w:cs="Tahoma"/>
          <w:b/>
          <w:sz w:val="22"/>
          <w:szCs w:val="22"/>
        </w:rPr>
        <w:t xml:space="preserve">d) </w:t>
      </w:r>
      <w:r w:rsidRPr="007C325C">
        <w:rPr>
          <w:rFonts w:ascii="Palatino Linotype" w:hAnsi="Palatino Linotype" w:cs="Tahoma"/>
          <w:b/>
          <w:bCs/>
          <w:sz w:val="22"/>
          <w:szCs w:val="24"/>
        </w:rPr>
        <w:t xml:space="preserve">Ampliación del plazo para resolver: </w:t>
      </w:r>
      <w:r w:rsidRPr="007C325C">
        <w:rPr>
          <w:rFonts w:ascii="Palatino Linotype" w:hAnsi="Palatino Linotype" w:cs="Tahoma"/>
          <w:sz w:val="22"/>
          <w:szCs w:val="24"/>
        </w:rPr>
        <w:t xml:space="preserve">El </w:t>
      </w:r>
      <w:r w:rsidRPr="007C325C" w:rsidR="009C1ED5">
        <w:rPr>
          <w:rFonts w:ascii="Palatino Linotype" w:hAnsi="Palatino Linotype" w:cs="Tahoma"/>
          <w:sz w:val="22"/>
          <w:szCs w:val="24"/>
        </w:rPr>
        <w:t xml:space="preserve">diez de abril </w:t>
      </w:r>
      <w:r w:rsidRPr="007C325C">
        <w:rPr>
          <w:rFonts w:ascii="Palatino Linotype" w:hAnsi="Palatino Linotype" w:cs="Tahoma"/>
          <w:sz w:val="22"/>
          <w:szCs w:val="24"/>
        </w:rPr>
        <w:t>de dos mil veinti</w:t>
      </w:r>
      <w:r w:rsidRPr="007C325C" w:rsidR="009C1ED5">
        <w:rPr>
          <w:rFonts w:ascii="Palatino Linotype" w:hAnsi="Palatino Linotype" w:cs="Tahoma"/>
          <w:sz w:val="22"/>
          <w:szCs w:val="24"/>
        </w:rPr>
        <w:t>trés</w:t>
      </w:r>
      <w:r w:rsidRPr="007C325C">
        <w:rPr>
          <w:rFonts w:ascii="Palatino Linotype" w:hAnsi="Palatino Linotype" w:cs="Tahoma"/>
          <w:sz w:val="22"/>
          <w:szCs w:val="24"/>
        </w:rPr>
        <w:t>, el Comisionado Ponente, con fundamento en lo dispuesto por el artículo 181, párrafo tercero, de la Ley de Transparencia y Acceso a la Información Pública del Estado de México y Municipios, acordó ampliar el plazo para resolver el Recurso de Revisión que nos ocupa; acto que fue notificado a las partes, mediante el Sistema de Acceso a la Información Mexiquense (SAIMEX).</w:t>
      </w:r>
    </w:p>
    <w:p w:rsidRPr="007C325C" w:rsidR="00747156" w:rsidP="00855D7E" w:rsidRDefault="00747156" w14:paraId="76A6F757" w14:textId="77777777">
      <w:pPr>
        <w:widowControl w:val="0"/>
        <w:spacing w:line="360" w:lineRule="auto"/>
        <w:contextualSpacing/>
        <w:jc w:val="both"/>
        <w:rPr>
          <w:rFonts w:ascii="Palatino Linotype" w:hAnsi="Palatino Linotype" w:cs="Tahoma"/>
          <w:sz w:val="16"/>
          <w:szCs w:val="22"/>
        </w:rPr>
      </w:pPr>
    </w:p>
    <w:p w:rsidRPr="007C325C" w:rsidR="00747156" w:rsidP="00855D7E" w:rsidRDefault="00747156" w14:paraId="7E6BB286" w14:textId="77777777">
      <w:pPr>
        <w:spacing w:line="360" w:lineRule="auto"/>
        <w:contextualSpacing/>
        <w:jc w:val="both"/>
        <w:rPr>
          <w:rFonts w:ascii="Palatino Linotype" w:hAnsi="Palatino Linotype" w:eastAsia="Batang" w:cs="Tahoma"/>
          <w:bCs/>
          <w:sz w:val="22"/>
          <w:szCs w:val="22"/>
          <w:lang w:val="es-ES_tradnl"/>
        </w:rPr>
      </w:pPr>
      <w:r w:rsidRPr="007C325C">
        <w:rPr>
          <w:rFonts w:ascii="Palatino Linotype" w:hAnsi="Palatino Linotype" w:eastAsia="Batang" w:cs="Tahoma"/>
          <w:bCs/>
          <w:sz w:val="22"/>
          <w:szCs w:val="22"/>
          <w:lang w:val="es-ES_tradnl"/>
        </w:rPr>
        <w:t xml:space="preserve">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w:t>
      </w:r>
      <w:r w:rsidRPr="007C325C">
        <w:rPr>
          <w:rFonts w:ascii="Palatino Linotype" w:hAnsi="Palatino Linotype" w:eastAsia="Batang" w:cs="Tahoma"/>
          <w:bCs/>
          <w:sz w:val="22"/>
          <w:szCs w:val="22"/>
          <w:lang w:val="es-ES_tradnl"/>
        </w:rPr>
        <w:lastRenderedPageBreak/>
        <w:t>el año pasado dentro del mismo periodo, se ha incrementado aproximadamente un 400%, circunstancia atípica que ha rebasado las capacidades técnicas y humanas del personal encargado de la proyección de las resoluciones a dichos medios de impugnación.</w:t>
      </w:r>
    </w:p>
    <w:p w:rsidRPr="007C325C" w:rsidR="00747156" w:rsidP="00855D7E" w:rsidRDefault="00747156" w14:paraId="04ACAA81" w14:textId="77777777">
      <w:pPr>
        <w:spacing w:line="360" w:lineRule="auto"/>
        <w:contextualSpacing/>
        <w:jc w:val="both"/>
        <w:rPr>
          <w:rFonts w:ascii="Palatino Linotype" w:hAnsi="Palatino Linotype" w:eastAsia="Batang" w:cs="Tahoma"/>
          <w:bCs/>
          <w:sz w:val="22"/>
          <w:szCs w:val="22"/>
          <w:lang w:val="es-ES_tradnl"/>
        </w:rPr>
      </w:pPr>
      <w:r w:rsidRPr="007C325C">
        <w:rPr>
          <w:rFonts w:ascii="Palatino Linotype" w:hAnsi="Palatino Linotype" w:eastAsia="Batang" w:cs="Tahoma"/>
          <w:bCs/>
          <w:sz w:val="22"/>
          <w:szCs w:val="22"/>
          <w:lang w:val="es-ES_tradnl"/>
        </w:rPr>
        <w:t xml:space="preserve"> </w:t>
      </w:r>
    </w:p>
    <w:p w:rsidRPr="007C325C" w:rsidR="00747156" w:rsidP="00855D7E" w:rsidRDefault="00747156" w14:paraId="6F15D906" w14:textId="77777777">
      <w:pPr>
        <w:spacing w:line="360" w:lineRule="auto"/>
        <w:contextualSpacing/>
        <w:jc w:val="both"/>
        <w:rPr>
          <w:rFonts w:ascii="Palatino Linotype" w:hAnsi="Palatino Linotype" w:eastAsia="Batang" w:cs="Tahoma"/>
          <w:bCs/>
          <w:sz w:val="22"/>
          <w:szCs w:val="22"/>
          <w:lang w:val="es-ES_tradnl"/>
        </w:rPr>
      </w:pPr>
      <w:r w:rsidRPr="007C325C">
        <w:rPr>
          <w:rFonts w:ascii="Palatino Linotype" w:hAnsi="Palatino Linotype" w:eastAsia="Batang" w:cs="Tahoma"/>
          <w:bCs/>
          <w:sz w:val="22"/>
          <w:szCs w:val="22"/>
          <w:lang w:val="es-ES_tradnl"/>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rsidRPr="007C325C" w:rsidR="00747156" w:rsidP="00855D7E" w:rsidRDefault="00747156" w14:paraId="3433A3EE" w14:textId="77777777">
      <w:pPr>
        <w:spacing w:line="360" w:lineRule="auto"/>
        <w:contextualSpacing/>
        <w:jc w:val="both"/>
        <w:rPr>
          <w:rFonts w:ascii="Palatino Linotype" w:hAnsi="Palatino Linotype" w:eastAsia="Batang" w:cs="Tahoma"/>
          <w:bCs/>
          <w:sz w:val="22"/>
          <w:szCs w:val="22"/>
          <w:lang w:val="es-ES_tradnl"/>
        </w:rPr>
      </w:pPr>
      <w:r w:rsidRPr="007C325C">
        <w:rPr>
          <w:rFonts w:ascii="Palatino Linotype" w:hAnsi="Palatino Linotype" w:eastAsia="Batang" w:cs="Tahoma"/>
          <w:bCs/>
          <w:sz w:val="22"/>
          <w:szCs w:val="22"/>
          <w:lang w:val="es-ES_tradnl"/>
        </w:rPr>
        <w:t xml:space="preserve"> </w:t>
      </w:r>
    </w:p>
    <w:p w:rsidRPr="007C325C" w:rsidR="00747156" w:rsidP="00855D7E" w:rsidRDefault="00747156" w14:paraId="3C24B8E7" w14:textId="77777777">
      <w:pPr>
        <w:spacing w:line="360" w:lineRule="auto"/>
        <w:contextualSpacing/>
        <w:jc w:val="both"/>
        <w:rPr>
          <w:rFonts w:ascii="Palatino Linotype" w:hAnsi="Palatino Linotype" w:eastAsia="Batang" w:cs="Tahoma"/>
          <w:bCs/>
          <w:sz w:val="22"/>
          <w:szCs w:val="22"/>
          <w:lang w:val="es-ES_tradnl"/>
        </w:rPr>
      </w:pPr>
      <w:r w:rsidRPr="007C325C">
        <w:rPr>
          <w:rFonts w:ascii="Palatino Linotype" w:hAnsi="Palatino Linotype" w:eastAsia="Batang" w:cs="Tahoma"/>
          <w:bCs/>
          <w:sz w:val="22"/>
          <w:szCs w:val="22"/>
          <w:lang w:val="es-ES_tradnl"/>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Pr="007C325C" w:rsidR="00747156" w:rsidP="00855D7E" w:rsidRDefault="00747156" w14:paraId="67D64EC8" w14:textId="77777777">
      <w:pPr>
        <w:spacing w:line="360" w:lineRule="auto"/>
        <w:contextualSpacing/>
        <w:jc w:val="both"/>
        <w:rPr>
          <w:rFonts w:ascii="Palatino Linotype" w:hAnsi="Palatino Linotype" w:eastAsia="Batang" w:cs="Tahoma"/>
          <w:bCs/>
          <w:sz w:val="22"/>
          <w:szCs w:val="22"/>
          <w:lang w:val="es-ES_tradnl"/>
        </w:rPr>
      </w:pPr>
      <w:r w:rsidRPr="007C325C">
        <w:rPr>
          <w:rFonts w:ascii="Palatino Linotype" w:hAnsi="Palatino Linotype" w:eastAsia="Batang" w:cs="Tahoma"/>
          <w:bCs/>
          <w:sz w:val="22"/>
          <w:szCs w:val="22"/>
          <w:lang w:val="es-ES_tradnl"/>
        </w:rPr>
        <w:t xml:space="preserve"> </w:t>
      </w:r>
    </w:p>
    <w:p w:rsidRPr="007C325C" w:rsidR="00747156" w:rsidP="00855D7E" w:rsidRDefault="00747156" w14:paraId="239938D5" w14:textId="77777777">
      <w:pPr>
        <w:spacing w:line="360" w:lineRule="auto"/>
        <w:contextualSpacing/>
        <w:jc w:val="both"/>
        <w:rPr>
          <w:rFonts w:ascii="Palatino Linotype" w:hAnsi="Palatino Linotype" w:eastAsia="Batang" w:cs="Tahoma"/>
          <w:bCs/>
          <w:sz w:val="22"/>
          <w:szCs w:val="22"/>
          <w:lang w:val="es-ES_tradnl"/>
        </w:rPr>
      </w:pPr>
      <w:r w:rsidRPr="007C325C">
        <w:rPr>
          <w:rFonts w:ascii="Palatino Linotype" w:hAnsi="Palatino Linotype" w:eastAsia="Batang" w:cs="Tahoma"/>
          <w:bCs/>
          <w:sz w:val="22"/>
          <w:szCs w:val="22"/>
          <w:lang w:val="es-ES_tradnl"/>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Pr="007C325C" w:rsidR="00747156" w:rsidP="00855D7E" w:rsidRDefault="00747156" w14:paraId="4826059E" w14:textId="77777777">
      <w:pPr>
        <w:spacing w:line="360" w:lineRule="auto"/>
        <w:contextualSpacing/>
        <w:jc w:val="both"/>
        <w:rPr>
          <w:rFonts w:ascii="Palatino Linotype" w:hAnsi="Palatino Linotype" w:eastAsia="Batang" w:cs="Tahoma"/>
          <w:bCs/>
          <w:sz w:val="22"/>
          <w:szCs w:val="22"/>
          <w:lang w:val="es-ES_tradnl"/>
        </w:rPr>
      </w:pPr>
      <w:r w:rsidRPr="007C325C">
        <w:rPr>
          <w:rFonts w:ascii="Palatino Linotype" w:hAnsi="Palatino Linotype" w:eastAsia="Batang" w:cs="Tahoma"/>
          <w:bCs/>
          <w:sz w:val="22"/>
          <w:szCs w:val="22"/>
          <w:lang w:val="es-ES_tradnl"/>
        </w:rPr>
        <w:t xml:space="preserve"> </w:t>
      </w:r>
    </w:p>
    <w:p w:rsidRPr="007C325C" w:rsidR="00747156" w:rsidP="00855D7E" w:rsidRDefault="00747156" w14:paraId="75B247C0" w14:textId="77777777">
      <w:pPr>
        <w:spacing w:line="360" w:lineRule="auto"/>
        <w:contextualSpacing/>
        <w:jc w:val="both"/>
        <w:rPr>
          <w:rFonts w:ascii="Palatino Linotype" w:hAnsi="Palatino Linotype" w:eastAsia="Batang" w:cs="Tahoma"/>
          <w:bCs/>
          <w:sz w:val="22"/>
          <w:szCs w:val="22"/>
          <w:lang w:val="es-ES_tradnl"/>
        </w:rPr>
      </w:pPr>
      <w:r w:rsidRPr="007C325C">
        <w:rPr>
          <w:rFonts w:ascii="Palatino Linotype" w:hAnsi="Palatino Linotype" w:eastAsia="Batang" w:cs="Tahoma"/>
          <w:bCs/>
          <w:sz w:val="22"/>
          <w:szCs w:val="22"/>
          <w:lang w:val="es-ES_tradnl"/>
        </w:rPr>
        <w:t xml:space="preserve">Por ello, excepcionalmente, si un asunto es resuelto con posterioridad a los plazos señalados por la norma debe analizarse la razonabilidad del tiempo necesario para su resolución, atentos a los siguientes criterios:  </w:t>
      </w:r>
    </w:p>
    <w:p w:rsidRPr="007C325C" w:rsidR="00747156" w:rsidP="00855D7E" w:rsidRDefault="00747156" w14:paraId="53778A48" w14:textId="77777777">
      <w:pPr>
        <w:spacing w:line="360" w:lineRule="auto"/>
        <w:contextualSpacing/>
        <w:jc w:val="both"/>
        <w:rPr>
          <w:rFonts w:ascii="Palatino Linotype" w:hAnsi="Palatino Linotype" w:eastAsia="Batang" w:cs="Tahoma"/>
          <w:bCs/>
          <w:sz w:val="22"/>
          <w:szCs w:val="22"/>
          <w:lang w:val="es-ES_tradnl"/>
        </w:rPr>
      </w:pPr>
      <w:r w:rsidRPr="007C325C">
        <w:rPr>
          <w:rFonts w:ascii="Palatino Linotype" w:hAnsi="Palatino Linotype" w:eastAsia="Batang" w:cs="Tahoma"/>
          <w:bCs/>
          <w:sz w:val="22"/>
          <w:szCs w:val="22"/>
          <w:lang w:val="es-ES_tradnl"/>
        </w:rPr>
        <w:t xml:space="preserve"> </w:t>
      </w:r>
    </w:p>
    <w:p w:rsidRPr="007C325C" w:rsidR="00747156" w:rsidP="00855D7E" w:rsidRDefault="00747156" w14:paraId="2C00DDF9" w14:textId="77777777">
      <w:pPr>
        <w:spacing w:line="360" w:lineRule="auto"/>
        <w:contextualSpacing/>
        <w:jc w:val="both"/>
        <w:rPr>
          <w:rFonts w:ascii="Palatino Linotype" w:hAnsi="Palatino Linotype" w:eastAsia="Batang" w:cs="Tahoma"/>
          <w:bCs/>
          <w:sz w:val="22"/>
          <w:szCs w:val="22"/>
          <w:lang w:val="es-ES_tradnl"/>
        </w:rPr>
      </w:pPr>
      <w:r w:rsidRPr="007C325C">
        <w:rPr>
          <w:rFonts w:ascii="Palatino Linotype" w:hAnsi="Palatino Linotype" w:eastAsia="Batang" w:cs="Tahoma"/>
          <w:bCs/>
          <w:sz w:val="22"/>
          <w:szCs w:val="22"/>
          <w:lang w:val="es-ES_tradnl"/>
        </w:rPr>
        <w:t>a) Complejidad del asunto: La complejidad de la prueba, la pluralidad de sujetos procesales, el tiempo transcurrido, las características y contexto del recurso.</w:t>
      </w:r>
    </w:p>
    <w:p w:rsidRPr="007C325C" w:rsidR="00747156" w:rsidP="00855D7E" w:rsidRDefault="00747156" w14:paraId="38506FED" w14:textId="77777777">
      <w:pPr>
        <w:spacing w:line="360" w:lineRule="auto"/>
        <w:contextualSpacing/>
        <w:jc w:val="both"/>
        <w:rPr>
          <w:rFonts w:ascii="Palatino Linotype" w:hAnsi="Palatino Linotype" w:eastAsia="Batang" w:cs="Tahoma"/>
          <w:bCs/>
          <w:sz w:val="22"/>
          <w:szCs w:val="22"/>
          <w:lang w:val="es-ES_tradnl"/>
        </w:rPr>
      </w:pPr>
      <w:r w:rsidRPr="007C325C">
        <w:rPr>
          <w:rFonts w:ascii="Palatino Linotype" w:hAnsi="Palatino Linotype" w:eastAsia="Batang" w:cs="Tahoma"/>
          <w:bCs/>
          <w:sz w:val="22"/>
          <w:szCs w:val="22"/>
          <w:lang w:val="es-ES_tradnl"/>
        </w:rPr>
        <w:t>b) Actividad Procesal del interesado: Acciones u omisiones del interesado.</w:t>
      </w:r>
    </w:p>
    <w:p w:rsidRPr="007C325C" w:rsidR="00747156" w:rsidP="00855D7E" w:rsidRDefault="00747156" w14:paraId="00E2A21B" w14:textId="77777777">
      <w:pPr>
        <w:spacing w:line="360" w:lineRule="auto"/>
        <w:contextualSpacing/>
        <w:jc w:val="both"/>
        <w:rPr>
          <w:rFonts w:ascii="Palatino Linotype" w:hAnsi="Palatino Linotype" w:eastAsia="Batang" w:cs="Tahoma"/>
          <w:bCs/>
          <w:sz w:val="22"/>
          <w:szCs w:val="22"/>
          <w:lang w:val="es-ES_tradnl"/>
        </w:rPr>
      </w:pPr>
      <w:r w:rsidRPr="007C325C">
        <w:rPr>
          <w:rFonts w:ascii="Palatino Linotype" w:hAnsi="Palatino Linotype" w:eastAsia="Batang" w:cs="Tahoma"/>
          <w:bCs/>
          <w:sz w:val="22"/>
          <w:szCs w:val="22"/>
          <w:lang w:val="es-ES_tradnl"/>
        </w:rPr>
        <w:lastRenderedPageBreak/>
        <w:t>c) Conducta de la Autoridad: Las Acciones u omisiones realizadas en el procedimiento. Así como si la autoridad actuó con la debida diligencia.</w:t>
      </w:r>
    </w:p>
    <w:p w:rsidRPr="007C325C" w:rsidR="00747156" w:rsidP="00855D7E" w:rsidRDefault="00747156" w14:paraId="11719278" w14:textId="77777777">
      <w:pPr>
        <w:spacing w:line="360" w:lineRule="auto"/>
        <w:contextualSpacing/>
        <w:jc w:val="both"/>
        <w:rPr>
          <w:rFonts w:ascii="Palatino Linotype" w:hAnsi="Palatino Linotype" w:eastAsia="Batang" w:cs="Tahoma"/>
          <w:bCs/>
          <w:sz w:val="22"/>
          <w:szCs w:val="22"/>
          <w:lang w:val="es-ES_tradnl"/>
        </w:rPr>
      </w:pPr>
      <w:r w:rsidRPr="007C325C">
        <w:rPr>
          <w:rFonts w:ascii="Palatino Linotype" w:hAnsi="Palatino Linotype" w:eastAsia="Batang" w:cs="Tahoma"/>
          <w:bCs/>
          <w:sz w:val="22"/>
          <w:szCs w:val="22"/>
          <w:lang w:val="es-ES_tradnl"/>
        </w:rPr>
        <w:t>d) La afectación generada en la situación jurídica de la persona involucrada en el proceso: Violación a sus derechos humanos.</w:t>
      </w:r>
    </w:p>
    <w:p w:rsidRPr="007C325C" w:rsidR="00747156" w:rsidP="00855D7E" w:rsidRDefault="00747156" w14:paraId="4D0CC2F6" w14:textId="77777777">
      <w:pPr>
        <w:spacing w:line="360" w:lineRule="auto"/>
        <w:contextualSpacing/>
        <w:jc w:val="both"/>
        <w:rPr>
          <w:rFonts w:ascii="Palatino Linotype" w:hAnsi="Palatino Linotype" w:eastAsia="Batang" w:cs="Tahoma"/>
          <w:bCs/>
          <w:sz w:val="22"/>
          <w:szCs w:val="22"/>
          <w:lang w:val="es-ES_tradnl"/>
        </w:rPr>
      </w:pPr>
    </w:p>
    <w:p w:rsidRPr="007C325C" w:rsidR="00747156" w:rsidP="00855D7E" w:rsidRDefault="00747156" w14:paraId="7DA033A3" w14:textId="77777777">
      <w:pPr>
        <w:spacing w:line="360" w:lineRule="auto"/>
        <w:contextualSpacing/>
        <w:jc w:val="both"/>
        <w:rPr>
          <w:rFonts w:ascii="Palatino Linotype" w:hAnsi="Palatino Linotype" w:eastAsia="Batang" w:cs="Tahoma"/>
          <w:bCs/>
          <w:sz w:val="22"/>
          <w:szCs w:val="22"/>
          <w:lang w:val="es-ES_tradnl"/>
        </w:rPr>
      </w:pPr>
      <w:r w:rsidRPr="007C325C">
        <w:rPr>
          <w:rFonts w:ascii="Palatino Linotype" w:hAnsi="Palatino Linotype" w:eastAsia="Batang" w:cs="Tahoma"/>
          <w:bCs/>
          <w:sz w:val="22"/>
          <w:szCs w:val="22"/>
          <w:lang w:val="es-ES_tradnl"/>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Pr="007C325C" w:rsidR="00747156" w:rsidP="00855D7E" w:rsidRDefault="00747156" w14:paraId="05E9FBB0" w14:textId="77777777">
      <w:pPr>
        <w:spacing w:line="360" w:lineRule="auto"/>
        <w:contextualSpacing/>
        <w:jc w:val="both"/>
        <w:rPr>
          <w:rFonts w:ascii="Palatino Linotype" w:hAnsi="Palatino Linotype" w:eastAsia="Batang" w:cs="Tahoma"/>
          <w:bCs/>
          <w:sz w:val="22"/>
          <w:szCs w:val="22"/>
          <w:lang w:val="es-ES_tradnl"/>
        </w:rPr>
      </w:pPr>
      <w:r w:rsidRPr="007C325C">
        <w:rPr>
          <w:rFonts w:ascii="Palatino Linotype" w:hAnsi="Palatino Linotype" w:eastAsia="Batang" w:cs="Tahoma"/>
          <w:bCs/>
          <w:sz w:val="22"/>
          <w:szCs w:val="22"/>
          <w:lang w:val="es-ES_tradnl"/>
        </w:rPr>
        <w:t xml:space="preserve"> </w:t>
      </w:r>
    </w:p>
    <w:p w:rsidRPr="007C325C" w:rsidR="00747156" w:rsidP="00855D7E" w:rsidRDefault="00747156" w14:paraId="7C6951FF" w14:textId="77777777">
      <w:pPr>
        <w:spacing w:line="360" w:lineRule="auto"/>
        <w:contextualSpacing/>
        <w:jc w:val="both"/>
        <w:rPr>
          <w:rFonts w:ascii="Palatino Linotype" w:hAnsi="Palatino Linotype" w:eastAsia="Batang" w:cs="Tahoma"/>
          <w:bCs/>
          <w:sz w:val="22"/>
          <w:szCs w:val="22"/>
          <w:lang w:val="es-ES_tradnl"/>
        </w:rPr>
      </w:pPr>
      <w:r w:rsidRPr="007C325C">
        <w:rPr>
          <w:rFonts w:ascii="Palatino Linotype" w:hAnsi="Palatino Linotype" w:eastAsia="Batang" w:cs="Tahoma"/>
          <w:bCs/>
          <w:sz w:val="22"/>
          <w:szCs w:val="22"/>
          <w:lang w:val="es-ES_tradnl"/>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rsidRPr="007C325C" w:rsidR="00747156" w:rsidP="00855D7E" w:rsidRDefault="00747156" w14:paraId="6F7B9347" w14:textId="77777777">
      <w:pPr>
        <w:spacing w:line="360" w:lineRule="auto"/>
        <w:contextualSpacing/>
        <w:jc w:val="both"/>
        <w:rPr>
          <w:rFonts w:ascii="Palatino Linotype" w:hAnsi="Palatino Linotype" w:eastAsia="Batang" w:cs="Tahoma"/>
          <w:bCs/>
          <w:sz w:val="22"/>
          <w:szCs w:val="22"/>
          <w:lang w:val="es-ES_tradnl"/>
        </w:rPr>
      </w:pPr>
      <w:r w:rsidRPr="007C325C">
        <w:rPr>
          <w:rFonts w:ascii="Palatino Linotype" w:hAnsi="Palatino Linotype" w:eastAsia="Batang" w:cs="Tahoma"/>
          <w:bCs/>
          <w:sz w:val="22"/>
          <w:szCs w:val="22"/>
          <w:lang w:val="es-ES_tradnl"/>
        </w:rPr>
        <w:t xml:space="preserve"> </w:t>
      </w:r>
    </w:p>
    <w:p w:rsidRPr="007C325C" w:rsidR="00747156" w:rsidP="00855D7E" w:rsidRDefault="00747156" w14:paraId="72CDFD81" w14:textId="77777777">
      <w:pPr>
        <w:spacing w:line="360" w:lineRule="auto"/>
        <w:contextualSpacing/>
        <w:jc w:val="both"/>
        <w:rPr>
          <w:rFonts w:ascii="Palatino Linotype" w:hAnsi="Palatino Linotype" w:eastAsia="Batang" w:cs="Tahoma"/>
          <w:bCs/>
          <w:sz w:val="22"/>
          <w:szCs w:val="22"/>
          <w:lang w:val="es-ES_tradnl"/>
        </w:rPr>
      </w:pPr>
      <w:r w:rsidRPr="007C325C">
        <w:rPr>
          <w:rFonts w:ascii="Palatino Linotype" w:hAnsi="Palatino Linotype" w:eastAsia="Batang" w:cs="Tahoma"/>
          <w:bCs/>
          <w:sz w:val="22"/>
          <w:szCs w:val="22"/>
          <w:lang w:val="es-ES_tradnl"/>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w:t>
      </w:r>
      <w:r w:rsidRPr="007C325C">
        <w:rPr>
          <w:rFonts w:ascii="Palatino Linotype" w:hAnsi="Palatino Linotype" w:eastAsia="Batang" w:cs="Tahoma"/>
          <w:bCs/>
          <w:sz w:val="22"/>
          <w:szCs w:val="22"/>
          <w:lang w:val="es-ES_tradnl"/>
        </w:rPr>
        <w:lastRenderedPageBreak/>
        <w:t>de los términos legales previamente establecidos por la Ley, por tratarse de causas de fuerza mayor.</w:t>
      </w:r>
    </w:p>
    <w:p w:rsidRPr="007C325C" w:rsidR="00747156" w:rsidP="00855D7E" w:rsidRDefault="00747156" w14:paraId="638341A9" w14:textId="77777777">
      <w:pPr>
        <w:spacing w:line="360" w:lineRule="auto"/>
        <w:contextualSpacing/>
        <w:jc w:val="both"/>
        <w:rPr>
          <w:rFonts w:ascii="Palatino Linotype" w:hAnsi="Palatino Linotype" w:eastAsia="Batang" w:cs="Tahoma"/>
          <w:bCs/>
          <w:sz w:val="22"/>
          <w:szCs w:val="22"/>
          <w:lang w:val="es-ES_tradnl"/>
        </w:rPr>
      </w:pPr>
    </w:p>
    <w:p w:rsidRPr="007C325C" w:rsidR="00747156" w:rsidP="00855D7E" w:rsidRDefault="00747156" w14:paraId="3D7ADDB7" w14:textId="77777777">
      <w:pPr>
        <w:spacing w:line="360" w:lineRule="auto"/>
        <w:contextualSpacing/>
        <w:jc w:val="both"/>
        <w:rPr>
          <w:rFonts w:ascii="Palatino Linotype" w:hAnsi="Palatino Linotype" w:eastAsia="Batang" w:cs="Tahoma"/>
          <w:bCs/>
          <w:sz w:val="22"/>
          <w:szCs w:val="22"/>
          <w:lang w:val="es-ES_tradnl"/>
        </w:rPr>
      </w:pPr>
      <w:r w:rsidRPr="007C325C">
        <w:rPr>
          <w:rFonts w:ascii="Palatino Linotype" w:hAnsi="Palatino Linotype" w:eastAsia="Batang" w:cs="Tahoma"/>
          <w:bCs/>
          <w:sz w:val="22"/>
          <w:szCs w:val="22"/>
          <w:lang w:val="es-ES_tradnl"/>
        </w:rPr>
        <w:t>Al respecto, también son de considerar los criterios sostenidos por el Cuarto Tribunal Colegiado en Materia Administrativa del Primer Circuito, cuyos rubros y datos de identificación son los siguientes:</w:t>
      </w:r>
    </w:p>
    <w:p w:rsidRPr="007C325C" w:rsidR="00747156" w:rsidP="00855D7E" w:rsidRDefault="00747156" w14:paraId="2D988FD8" w14:textId="77777777">
      <w:pPr>
        <w:spacing w:line="360" w:lineRule="auto"/>
        <w:contextualSpacing/>
        <w:jc w:val="both"/>
        <w:rPr>
          <w:rFonts w:ascii="Palatino Linotype" w:hAnsi="Palatino Linotype" w:eastAsia="Batang" w:cs="Tahoma"/>
          <w:bCs/>
          <w:sz w:val="22"/>
          <w:szCs w:val="22"/>
          <w:lang w:val="es-ES_tradnl"/>
        </w:rPr>
      </w:pPr>
    </w:p>
    <w:p w:rsidRPr="007C325C" w:rsidR="00747156" w:rsidP="00855D7E" w:rsidRDefault="00747156" w14:paraId="50D32D8E" w14:textId="77777777">
      <w:pPr>
        <w:spacing w:line="360" w:lineRule="auto"/>
        <w:contextualSpacing/>
        <w:jc w:val="both"/>
        <w:rPr>
          <w:rFonts w:ascii="Palatino Linotype" w:hAnsi="Palatino Linotype" w:eastAsia="Batang" w:cs="Tahoma"/>
          <w:bCs/>
          <w:sz w:val="22"/>
          <w:szCs w:val="22"/>
          <w:lang w:val="es-ES_tradnl"/>
        </w:rPr>
      </w:pPr>
      <w:r w:rsidRPr="007C325C">
        <w:rPr>
          <w:rFonts w:ascii="Palatino Linotype" w:hAnsi="Palatino Linotype" w:eastAsia="Batang" w:cs="Tahoma"/>
          <w:bCs/>
          <w:sz w:val="22"/>
          <w:szCs w:val="22"/>
          <w:lang w:val="es-ES_tradnl"/>
        </w:rPr>
        <w:t>“PLAZO RAZONABLE PARA RESOLVER. DIMENSIÓN Y EFECTOS DE ESTE CONCEPTO CUANDO SE ADUCE EXCESIVA CARGA DE TRABAJO.” consultable en el Seminario Judicial de la Federación y su gaceta, con el registro digital 2002351.</w:t>
      </w:r>
    </w:p>
    <w:p w:rsidRPr="007C325C" w:rsidR="00747156" w:rsidP="00855D7E" w:rsidRDefault="00747156" w14:paraId="5087837E" w14:textId="77777777">
      <w:pPr>
        <w:spacing w:line="360" w:lineRule="auto"/>
        <w:contextualSpacing/>
        <w:jc w:val="both"/>
        <w:rPr>
          <w:rFonts w:ascii="Palatino Linotype" w:hAnsi="Palatino Linotype" w:eastAsia="Batang" w:cs="Tahoma"/>
          <w:bCs/>
          <w:sz w:val="22"/>
          <w:szCs w:val="22"/>
          <w:lang w:val="es-ES_tradnl"/>
        </w:rPr>
      </w:pPr>
    </w:p>
    <w:p w:rsidRPr="007C325C" w:rsidR="00747156" w:rsidP="00855D7E" w:rsidRDefault="00747156" w14:paraId="79CC499E" w14:textId="77777777">
      <w:pPr>
        <w:spacing w:line="360" w:lineRule="auto"/>
        <w:contextualSpacing/>
        <w:jc w:val="both"/>
        <w:rPr>
          <w:rFonts w:ascii="Palatino Linotype" w:hAnsi="Palatino Linotype" w:eastAsia="Batang" w:cs="Tahoma"/>
          <w:bCs/>
          <w:sz w:val="22"/>
          <w:szCs w:val="22"/>
          <w:lang w:val="es-ES_tradnl"/>
        </w:rPr>
      </w:pPr>
      <w:r w:rsidRPr="007C325C">
        <w:rPr>
          <w:rFonts w:ascii="Palatino Linotype" w:hAnsi="Palatino Linotype" w:eastAsia="Batang" w:cs="Tahoma"/>
          <w:bCs/>
          <w:sz w:val="22"/>
          <w:szCs w:val="22"/>
          <w:lang w:val="es-ES_tradnl"/>
        </w:rPr>
        <w:t>“PLAZO RAZONABLE PARA RESOLVER. CONCEPTO Y ELEMENTOS QUE LO INTEGRAN A LA LUZ DEL DERECHO INTERNACIONAL DE LOS DERECHOS HUMANOS.”, visible en el Seminario Judicial de la Federación y su gaceta, con el registro digital 2002350.</w:t>
      </w:r>
    </w:p>
    <w:p w:rsidRPr="007C325C" w:rsidR="00747156" w:rsidP="00855D7E" w:rsidRDefault="00747156" w14:paraId="2D31323A" w14:textId="77777777">
      <w:pPr>
        <w:spacing w:line="360" w:lineRule="auto"/>
        <w:contextualSpacing/>
        <w:jc w:val="both"/>
        <w:rPr>
          <w:rFonts w:ascii="Palatino Linotype" w:hAnsi="Palatino Linotype" w:eastAsia="Batang" w:cs="Tahoma"/>
          <w:bCs/>
          <w:sz w:val="22"/>
          <w:szCs w:val="22"/>
          <w:lang w:val="es-ES_tradnl"/>
        </w:rPr>
      </w:pPr>
    </w:p>
    <w:p w:rsidRPr="007C325C" w:rsidR="00747156" w:rsidP="00855D7E" w:rsidRDefault="00747156" w14:paraId="5360B06A" w14:textId="77777777">
      <w:pPr>
        <w:spacing w:line="360" w:lineRule="auto"/>
        <w:contextualSpacing/>
        <w:jc w:val="both"/>
        <w:rPr>
          <w:rFonts w:ascii="Palatino Linotype" w:hAnsi="Palatino Linotype" w:eastAsia="Batang" w:cs="Tahoma"/>
          <w:bCs/>
          <w:sz w:val="22"/>
          <w:szCs w:val="22"/>
          <w:lang w:val="es-ES_tradnl"/>
        </w:rPr>
      </w:pPr>
      <w:r w:rsidRPr="007C325C">
        <w:rPr>
          <w:rFonts w:ascii="Palatino Linotype" w:hAnsi="Palatino Linotype" w:eastAsia="Batang" w:cs="Tahoma"/>
          <w:bCs/>
          <w:sz w:val="22"/>
          <w:szCs w:val="22"/>
          <w:lang w:val="es-ES_tradnl"/>
        </w:rPr>
        <w:t>Por ello, este organismo garante comprometido con la tutela de los derechos humanos confiados, señala que este exceso del plazo legal para resolver el presente asunto, resulta de carácter excepcional.</w:t>
      </w:r>
    </w:p>
    <w:p w:rsidRPr="007C325C" w:rsidR="00747156" w:rsidP="00855D7E" w:rsidRDefault="00747156" w14:paraId="3F5CA814" w14:textId="77777777">
      <w:pPr>
        <w:spacing w:line="360" w:lineRule="auto"/>
        <w:contextualSpacing/>
        <w:jc w:val="both"/>
        <w:rPr>
          <w:rFonts w:ascii="Palatino Linotype" w:hAnsi="Palatino Linotype" w:eastAsia="Batang" w:cs="Tahoma"/>
          <w:b/>
          <w:bCs/>
          <w:sz w:val="22"/>
          <w:szCs w:val="22"/>
          <w:lang w:val="es-ES_tradnl"/>
        </w:rPr>
      </w:pPr>
    </w:p>
    <w:p w:rsidRPr="007C325C" w:rsidR="00747156" w:rsidP="00855D7E" w:rsidRDefault="00747156" w14:paraId="60A8CB60" w14:textId="77777777">
      <w:pPr>
        <w:spacing w:line="360" w:lineRule="auto"/>
        <w:contextualSpacing/>
        <w:jc w:val="both"/>
        <w:rPr>
          <w:rFonts w:ascii="Palatino Linotype" w:hAnsi="Palatino Linotype" w:eastAsia="Batang" w:cs="Tahoma"/>
          <w:bCs/>
          <w:sz w:val="22"/>
          <w:szCs w:val="22"/>
          <w:lang w:val="es-ES_tradnl"/>
        </w:rPr>
      </w:pPr>
      <w:r w:rsidRPr="007C325C">
        <w:rPr>
          <w:rFonts w:ascii="Palatino Linotype" w:hAnsi="Palatino Linotype" w:cs="Tahoma"/>
          <w:b/>
          <w:sz w:val="22"/>
          <w:szCs w:val="22"/>
        </w:rPr>
        <w:t xml:space="preserve">e) Requerimiento de información adicional. </w:t>
      </w:r>
      <w:r w:rsidRPr="007C325C">
        <w:rPr>
          <w:rFonts w:ascii="Palatino Linotype" w:hAnsi="Palatino Linotype" w:eastAsia="Batang" w:cs="Tahoma"/>
          <w:bCs/>
          <w:sz w:val="22"/>
          <w:szCs w:val="22"/>
          <w:lang w:val="es-ES_tradnl"/>
        </w:rPr>
        <w:t xml:space="preserve">El </w:t>
      </w:r>
      <w:r w:rsidRPr="007C325C" w:rsidR="009C1ED5">
        <w:rPr>
          <w:rFonts w:ascii="Palatino Linotype" w:hAnsi="Palatino Linotype" w:eastAsia="Batang" w:cs="Tahoma"/>
          <w:bCs/>
          <w:sz w:val="22"/>
          <w:szCs w:val="22"/>
          <w:lang w:val="es-ES_tradnl"/>
        </w:rPr>
        <w:t xml:space="preserve">once de mayo </w:t>
      </w:r>
      <w:r w:rsidRPr="007C325C">
        <w:rPr>
          <w:rFonts w:ascii="Palatino Linotype" w:hAnsi="Palatino Linotype" w:eastAsia="Batang" w:cs="Tahoma"/>
          <w:bCs/>
          <w:sz w:val="22"/>
          <w:szCs w:val="22"/>
          <w:lang w:val="es-ES_tradnl"/>
        </w:rPr>
        <w:t>de dos mil veintitrés, se realizó un requerimiento de información adicional al Sujeto Obligado a efecto de que especificara, lo siguiente:</w:t>
      </w:r>
    </w:p>
    <w:p w:rsidRPr="007C325C" w:rsidR="00747156" w:rsidP="00855D7E" w:rsidRDefault="00747156" w14:paraId="468EFFFC" w14:textId="77777777">
      <w:pPr>
        <w:spacing w:line="360" w:lineRule="auto"/>
        <w:contextualSpacing/>
        <w:jc w:val="both"/>
        <w:rPr>
          <w:rFonts w:ascii="Palatino Linotype" w:hAnsi="Palatino Linotype" w:eastAsia="Batang" w:cs="Tahoma"/>
          <w:bCs/>
          <w:sz w:val="16"/>
          <w:szCs w:val="22"/>
          <w:lang w:val="es-ES_tradnl"/>
        </w:rPr>
      </w:pPr>
    </w:p>
    <w:p w:rsidRPr="007C325C" w:rsidR="009C1ED5" w:rsidP="00855D7E" w:rsidRDefault="009C1ED5" w14:paraId="76FF45C7" w14:textId="77777777">
      <w:pPr>
        <w:pStyle w:val="Prrafodelista"/>
        <w:numPr>
          <w:ilvl w:val="0"/>
          <w:numId w:val="38"/>
        </w:numPr>
        <w:spacing w:line="360" w:lineRule="auto"/>
        <w:jc w:val="both"/>
        <w:rPr>
          <w:rFonts w:ascii="Palatino Linotype" w:hAnsi="Palatino Linotype" w:cs="Tahoma"/>
          <w:i/>
          <w:sz w:val="20"/>
        </w:rPr>
      </w:pPr>
      <w:r w:rsidRPr="007C325C">
        <w:rPr>
          <w:rFonts w:ascii="Palatino Linotype" w:hAnsi="Palatino Linotype" w:cs="Tahoma"/>
          <w:i/>
          <w:sz w:val="20"/>
        </w:rPr>
        <w:t>Cuáles son los documentos que conforman los expedientes de personal, requeridos por el Particular.</w:t>
      </w:r>
    </w:p>
    <w:p w:rsidRPr="007C325C" w:rsidR="009C1ED5" w:rsidP="00855D7E" w:rsidRDefault="009C1ED5" w14:paraId="3A24DE53" w14:textId="77777777">
      <w:pPr>
        <w:pStyle w:val="Prrafodelista"/>
        <w:numPr>
          <w:ilvl w:val="0"/>
          <w:numId w:val="38"/>
        </w:numPr>
        <w:spacing w:line="360" w:lineRule="auto"/>
        <w:jc w:val="both"/>
        <w:rPr>
          <w:rFonts w:ascii="Palatino Linotype" w:hAnsi="Palatino Linotype" w:cs="Tahoma"/>
          <w:i/>
          <w:sz w:val="20"/>
        </w:rPr>
      </w:pPr>
      <w:r w:rsidRPr="007C325C">
        <w:rPr>
          <w:rFonts w:ascii="Palatino Linotype" w:hAnsi="Palatino Linotype" w:cs="Tahoma"/>
          <w:i/>
          <w:sz w:val="20"/>
        </w:rPr>
        <w:t>El formato en que se encuentran, esto es en físico o electrónico;</w:t>
      </w:r>
    </w:p>
    <w:p w:rsidRPr="007C325C" w:rsidR="009C1ED5" w:rsidP="00855D7E" w:rsidRDefault="009C1ED5" w14:paraId="3371F9E2" w14:textId="77777777">
      <w:pPr>
        <w:pStyle w:val="Prrafodelista"/>
        <w:numPr>
          <w:ilvl w:val="0"/>
          <w:numId w:val="38"/>
        </w:numPr>
        <w:spacing w:line="360" w:lineRule="auto"/>
        <w:jc w:val="both"/>
        <w:rPr>
          <w:rFonts w:ascii="Palatino Linotype" w:hAnsi="Palatino Linotype" w:cs="Tahoma"/>
          <w:i/>
          <w:sz w:val="20"/>
        </w:rPr>
      </w:pPr>
      <w:r w:rsidRPr="007C325C">
        <w:rPr>
          <w:rFonts w:ascii="Palatino Linotype" w:hAnsi="Palatino Linotype" w:cs="Tahoma"/>
          <w:i/>
          <w:sz w:val="20"/>
        </w:rPr>
        <w:t>Cantidad de hojas o peso aproximado de la información;</w:t>
      </w:r>
    </w:p>
    <w:p w:rsidRPr="007C325C" w:rsidR="009C1ED5" w:rsidP="00855D7E" w:rsidRDefault="009C1ED5" w14:paraId="368C23E0" w14:textId="77777777">
      <w:pPr>
        <w:pStyle w:val="Prrafodelista"/>
        <w:numPr>
          <w:ilvl w:val="0"/>
          <w:numId w:val="38"/>
        </w:numPr>
        <w:spacing w:line="360" w:lineRule="auto"/>
        <w:jc w:val="both"/>
        <w:rPr>
          <w:rFonts w:ascii="Palatino Linotype" w:hAnsi="Palatino Linotype" w:cs="Tahoma"/>
          <w:i/>
          <w:sz w:val="20"/>
        </w:rPr>
      </w:pPr>
      <w:r w:rsidRPr="007C325C">
        <w:rPr>
          <w:rFonts w:ascii="Palatino Linotype" w:hAnsi="Palatino Linotype" w:cs="Tahoma"/>
          <w:i/>
          <w:sz w:val="20"/>
        </w:rPr>
        <w:lastRenderedPageBreak/>
        <w:t>Si, presentó la incidencia ante la Dirección General Informática de este Instituto.</w:t>
      </w:r>
    </w:p>
    <w:p w:rsidRPr="007C325C" w:rsidR="009C1ED5" w:rsidP="00855D7E" w:rsidRDefault="009C1ED5" w14:paraId="39491ADF" w14:textId="77777777">
      <w:pPr>
        <w:spacing w:line="360" w:lineRule="auto"/>
        <w:contextualSpacing/>
        <w:jc w:val="both"/>
        <w:rPr>
          <w:rFonts w:ascii="Palatino Linotype" w:hAnsi="Palatino Linotype" w:eastAsia="Batang" w:cs="Tahoma"/>
          <w:bCs/>
          <w:sz w:val="22"/>
          <w:szCs w:val="22"/>
          <w:lang w:val="es-ES_tradnl"/>
        </w:rPr>
      </w:pPr>
    </w:p>
    <w:p w:rsidRPr="007C325C" w:rsidR="00622698" w:rsidP="00855D7E" w:rsidRDefault="00622698" w14:paraId="4952B83E" w14:textId="74805AD6">
      <w:pPr>
        <w:spacing w:line="360" w:lineRule="auto"/>
        <w:contextualSpacing/>
        <w:jc w:val="both"/>
        <w:rPr>
          <w:rFonts w:ascii="Palatino Linotype" w:hAnsi="Palatino Linotype" w:eastAsia="Batang" w:cs="Tahoma"/>
          <w:bCs/>
          <w:sz w:val="22"/>
          <w:szCs w:val="22"/>
          <w:lang w:val="es-ES_tradnl"/>
        </w:rPr>
      </w:pPr>
      <w:r w:rsidRPr="007C325C">
        <w:rPr>
          <w:rFonts w:ascii="Palatino Linotype" w:hAnsi="Palatino Linotype" w:eastAsia="Batang" w:cs="Tahoma"/>
          <w:bCs/>
          <w:sz w:val="22"/>
          <w:szCs w:val="22"/>
          <w:lang w:val="es-ES_tradnl"/>
        </w:rPr>
        <w:t>En atención al requerimiento, el Sujeto Obligado vía correo electrónico de fecha veintitrés de mayo señaló lo siguiente:</w:t>
      </w:r>
    </w:p>
    <w:p w:rsidRPr="007C325C" w:rsidR="00622698" w:rsidP="00855D7E" w:rsidRDefault="00622698" w14:paraId="7B29BB40" w14:textId="49D45C05">
      <w:pPr>
        <w:spacing w:line="360" w:lineRule="auto"/>
        <w:ind w:left="567"/>
        <w:contextualSpacing/>
        <w:jc w:val="both"/>
        <w:rPr>
          <w:rFonts w:ascii="Palatino Linotype" w:hAnsi="Palatino Linotype" w:eastAsia="Batang" w:cs="Tahoma"/>
          <w:bCs/>
          <w:sz w:val="22"/>
          <w:szCs w:val="22"/>
          <w:lang w:val="es-ES_tradnl"/>
        </w:rPr>
      </w:pPr>
      <w:r w:rsidRPr="007C325C">
        <w:rPr>
          <w:rFonts w:ascii="Palatino Linotype" w:hAnsi="Palatino Linotype" w:eastAsia="Batang" w:cs="Tahoma"/>
          <w:bCs/>
          <w:sz w:val="22"/>
          <w:szCs w:val="22"/>
          <w:lang w:val="es-ES_tradnl"/>
        </w:rPr>
        <w:t>“…</w:t>
      </w:r>
    </w:p>
    <w:p w:rsidRPr="007C325C" w:rsidR="00622698" w:rsidP="00855D7E" w:rsidRDefault="00622698" w14:paraId="2892DE96" w14:textId="65CE7277">
      <w:pPr>
        <w:spacing w:line="360" w:lineRule="auto"/>
        <w:contextualSpacing/>
        <w:jc w:val="center"/>
        <w:rPr>
          <w:rFonts w:ascii="Palatino Linotype" w:hAnsi="Palatino Linotype" w:eastAsia="Batang" w:cs="Tahoma"/>
          <w:bCs/>
          <w:sz w:val="22"/>
          <w:szCs w:val="22"/>
          <w:lang w:val="es-ES_tradnl"/>
        </w:rPr>
      </w:pPr>
      <w:r w:rsidRPr="007C325C">
        <w:rPr>
          <w:noProof/>
          <w:lang w:eastAsia="es-MX"/>
        </w:rPr>
        <w:drawing>
          <wp:inline distT="0" distB="0" distL="0" distR="0" wp14:anchorId="5A749AC8" wp14:editId="1255526E">
            <wp:extent cx="5694681" cy="2895600"/>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975" t="46590" r="55883" b="18026"/>
                    <a:stretch/>
                  </pic:blipFill>
                  <pic:spPr bwMode="auto">
                    <a:xfrm>
                      <a:off x="0" y="0"/>
                      <a:ext cx="5718821" cy="2907875"/>
                    </a:xfrm>
                    <a:prstGeom prst="rect">
                      <a:avLst/>
                    </a:prstGeom>
                    <a:ln>
                      <a:noFill/>
                    </a:ln>
                    <a:extLst>
                      <a:ext uri="{53640926-AAD7-44D8-BBD7-CCE9431645EC}">
                        <a14:shadowObscured xmlns:a14="http://schemas.microsoft.com/office/drawing/2010/main"/>
                      </a:ext>
                    </a:extLst>
                  </pic:spPr>
                </pic:pic>
              </a:graphicData>
            </a:graphic>
          </wp:inline>
        </w:drawing>
      </w:r>
    </w:p>
    <w:p w:rsidRPr="007C325C" w:rsidR="00622698" w:rsidP="00855D7E" w:rsidRDefault="00622698" w14:paraId="3C0A206A" w14:textId="6EAE3DBE">
      <w:pPr>
        <w:spacing w:line="360" w:lineRule="auto"/>
        <w:contextualSpacing/>
        <w:jc w:val="center"/>
        <w:rPr>
          <w:rFonts w:ascii="Palatino Linotype" w:hAnsi="Palatino Linotype" w:eastAsia="Batang" w:cs="Tahoma"/>
          <w:bCs/>
          <w:sz w:val="22"/>
          <w:szCs w:val="22"/>
          <w:lang w:val="es-ES_tradnl"/>
        </w:rPr>
      </w:pPr>
      <w:r w:rsidRPr="007C325C">
        <w:rPr>
          <w:noProof/>
          <w:lang w:eastAsia="es-MX"/>
        </w:rPr>
        <w:drawing>
          <wp:inline distT="0" distB="0" distL="0" distR="0" wp14:anchorId="2D839EC8" wp14:editId="1AEDDFBC">
            <wp:extent cx="5720931" cy="24955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809" t="33320" r="54888" b="35424"/>
                    <a:stretch/>
                  </pic:blipFill>
                  <pic:spPr bwMode="auto">
                    <a:xfrm>
                      <a:off x="0" y="0"/>
                      <a:ext cx="5734500" cy="2501469"/>
                    </a:xfrm>
                    <a:prstGeom prst="rect">
                      <a:avLst/>
                    </a:prstGeom>
                    <a:ln>
                      <a:noFill/>
                    </a:ln>
                    <a:extLst>
                      <a:ext uri="{53640926-AAD7-44D8-BBD7-CCE9431645EC}">
                        <a14:shadowObscured xmlns:a14="http://schemas.microsoft.com/office/drawing/2010/main"/>
                      </a:ext>
                    </a:extLst>
                  </pic:spPr>
                </pic:pic>
              </a:graphicData>
            </a:graphic>
          </wp:inline>
        </w:drawing>
      </w:r>
    </w:p>
    <w:p w:rsidRPr="007C325C" w:rsidR="00622698" w:rsidP="00855D7E" w:rsidRDefault="00622698" w14:paraId="1E83D8BD" w14:textId="77777777">
      <w:pPr>
        <w:spacing w:line="360" w:lineRule="auto"/>
        <w:contextualSpacing/>
        <w:jc w:val="both"/>
        <w:rPr>
          <w:rFonts w:ascii="Palatino Linotype" w:hAnsi="Palatino Linotype" w:eastAsia="Batang" w:cs="Tahoma"/>
          <w:bCs/>
          <w:sz w:val="22"/>
          <w:szCs w:val="22"/>
          <w:lang w:val="es-ES_tradnl"/>
        </w:rPr>
      </w:pPr>
    </w:p>
    <w:p w:rsidRPr="007C325C" w:rsidR="00747156" w:rsidP="00855D7E" w:rsidRDefault="00747156" w14:paraId="1B742ACE" w14:textId="77777777">
      <w:pPr>
        <w:spacing w:line="360" w:lineRule="auto"/>
        <w:contextualSpacing/>
        <w:jc w:val="both"/>
        <w:rPr>
          <w:rFonts w:ascii="Palatino Linotype" w:hAnsi="Palatino Linotype" w:cs="Tahoma"/>
          <w:sz w:val="22"/>
          <w:szCs w:val="22"/>
        </w:rPr>
      </w:pPr>
      <w:r w:rsidRPr="007C325C">
        <w:rPr>
          <w:rFonts w:ascii="Palatino Linotype" w:hAnsi="Palatino Linotype" w:eastAsia="Batang" w:cs="Tahoma"/>
          <w:b/>
          <w:bCs/>
          <w:sz w:val="22"/>
          <w:szCs w:val="22"/>
          <w:lang w:val="es-ES_tradnl"/>
        </w:rPr>
        <w:lastRenderedPageBreak/>
        <w:t xml:space="preserve">f) </w:t>
      </w:r>
      <w:r w:rsidRPr="007C325C">
        <w:rPr>
          <w:rFonts w:ascii="Palatino Linotype" w:hAnsi="Palatino Linotype" w:cs="Tahoma"/>
          <w:b/>
          <w:bCs/>
          <w:sz w:val="22"/>
          <w:szCs w:val="22"/>
        </w:rPr>
        <w:t xml:space="preserve">Cierre de instrucción. </w:t>
      </w:r>
      <w:r w:rsidRPr="007C325C">
        <w:rPr>
          <w:rFonts w:ascii="Palatino Linotype" w:hAnsi="Palatino Linotype" w:cs="Tahoma"/>
          <w:sz w:val="22"/>
          <w:szCs w:val="22"/>
        </w:rPr>
        <w:t xml:space="preserve">El </w:t>
      </w:r>
      <w:r w:rsidRPr="007C325C" w:rsidR="00142626">
        <w:rPr>
          <w:rFonts w:ascii="Palatino Linotype" w:hAnsi="Palatino Linotype" w:cs="Tahoma"/>
          <w:sz w:val="22"/>
          <w:szCs w:val="22"/>
        </w:rPr>
        <w:t xml:space="preserve">diecisiete </w:t>
      </w:r>
      <w:r w:rsidRPr="007C325C" w:rsidR="009C1ED5">
        <w:rPr>
          <w:rFonts w:ascii="Palatino Linotype" w:hAnsi="Palatino Linotype" w:cs="Tahoma"/>
          <w:sz w:val="22"/>
          <w:szCs w:val="22"/>
        </w:rPr>
        <w:t xml:space="preserve">de mayo </w:t>
      </w:r>
      <w:r w:rsidRPr="007C325C">
        <w:rPr>
          <w:rFonts w:ascii="Palatino Linotype" w:hAnsi="Palatino Linotype" w:cs="Tahoma"/>
          <w:sz w:val="22"/>
          <w:szCs w:val="22"/>
        </w:rPr>
        <w:t xml:space="preserve">de dos mil veintitrés,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a las partes el mismo día, a través del </w:t>
      </w:r>
      <w:r w:rsidRPr="007C325C">
        <w:rPr>
          <w:rFonts w:ascii="Palatino Linotype" w:hAnsi="Palatino Linotype" w:cs="Tahoma"/>
          <w:sz w:val="22"/>
          <w:szCs w:val="22"/>
          <w:lang w:val="es-ES"/>
        </w:rPr>
        <w:t>Sistema de Acceso a la Información Mexiquense (SAIMEX)</w:t>
      </w:r>
      <w:r w:rsidRPr="007C325C">
        <w:rPr>
          <w:rFonts w:ascii="Palatino Linotype" w:hAnsi="Palatino Linotype" w:cs="Tahoma"/>
          <w:sz w:val="22"/>
          <w:szCs w:val="22"/>
        </w:rPr>
        <w:t>.</w:t>
      </w:r>
    </w:p>
    <w:p w:rsidRPr="007C325C" w:rsidR="00747156" w:rsidP="00855D7E" w:rsidRDefault="00747156" w14:paraId="529AEC70" w14:textId="77777777">
      <w:pPr>
        <w:spacing w:line="360" w:lineRule="auto"/>
        <w:contextualSpacing/>
        <w:jc w:val="both"/>
        <w:rPr>
          <w:rFonts w:ascii="Palatino Linotype" w:hAnsi="Palatino Linotype" w:cs="Tahoma"/>
          <w:color w:val="000000"/>
          <w:sz w:val="22"/>
          <w:szCs w:val="22"/>
        </w:rPr>
      </w:pPr>
    </w:p>
    <w:p w:rsidRPr="007C325C" w:rsidR="00747156" w:rsidP="00855D7E" w:rsidRDefault="00747156" w14:paraId="1C6D6918" w14:textId="77777777">
      <w:pPr>
        <w:spacing w:line="360" w:lineRule="auto"/>
        <w:contextualSpacing/>
        <w:jc w:val="both"/>
        <w:rPr>
          <w:rFonts w:ascii="Palatino Linotype" w:hAnsi="Palatino Linotype" w:cs="Tahoma"/>
          <w:color w:val="000000"/>
          <w:sz w:val="22"/>
          <w:szCs w:val="22"/>
        </w:rPr>
      </w:pPr>
      <w:r w:rsidRPr="007C325C">
        <w:rPr>
          <w:rFonts w:ascii="Palatino Linotype" w:hAnsi="Palatino Linotype" w:cs="Tahoma"/>
          <w:color w:val="000000"/>
          <w:sz w:val="22"/>
          <w:szCs w:val="22"/>
        </w:rPr>
        <w:t xml:space="preserve">En razón de que fue debidamente sustanciado el expediente electrónico y no existe diligencia pendiente de desahogo, se emite la resolución que conforme a Derecho proceda, de acuerdo a los siguientes: </w:t>
      </w:r>
    </w:p>
    <w:p w:rsidRPr="007C325C" w:rsidR="00747156" w:rsidP="00855D7E" w:rsidRDefault="00747156" w14:paraId="2C65807B" w14:textId="77777777">
      <w:pPr>
        <w:spacing w:line="360" w:lineRule="auto"/>
        <w:contextualSpacing/>
        <w:jc w:val="both"/>
        <w:rPr>
          <w:rFonts w:ascii="Palatino Linotype" w:hAnsi="Palatino Linotype" w:cs="Tahoma"/>
          <w:bCs/>
          <w:color w:val="0D0D0D" w:themeColor="text1" w:themeTint="F2"/>
          <w:sz w:val="22"/>
          <w:szCs w:val="22"/>
        </w:rPr>
      </w:pPr>
    </w:p>
    <w:p w:rsidRPr="007C325C" w:rsidR="004F2D88" w:rsidP="00855D7E" w:rsidRDefault="009A620E" w14:paraId="4CFEC274" w14:textId="7A5CB3FA">
      <w:pPr>
        <w:spacing w:line="360" w:lineRule="auto"/>
        <w:contextualSpacing/>
        <w:jc w:val="center"/>
        <w:rPr>
          <w:rFonts w:ascii="Palatino Linotype" w:hAnsi="Palatino Linotype" w:cs="Tahoma"/>
          <w:b/>
          <w:sz w:val="22"/>
          <w:szCs w:val="22"/>
          <w:lang w:val="es-ES"/>
        </w:rPr>
      </w:pPr>
      <w:r w:rsidRPr="007C325C">
        <w:rPr>
          <w:rFonts w:ascii="Palatino Linotype" w:hAnsi="Palatino Linotype" w:cs="Tahoma"/>
          <w:b/>
          <w:sz w:val="22"/>
          <w:szCs w:val="22"/>
          <w:lang w:val="es-ES"/>
        </w:rPr>
        <w:t>C</w:t>
      </w:r>
      <w:r w:rsidRPr="007C325C" w:rsidR="00FF2401">
        <w:rPr>
          <w:rFonts w:ascii="Palatino Linotype" w:hAnsi="Palatino Linotype" w:cs="Tahoma"/>
          <w:b/>
          <w:sz w:val="22"/>
          <w:szCs w:val="22"/>
          <w:lang w:val="es-ES"/>
        </w:rPr>
        <w:t xml:space="preserve"> </w:t>
      </w:r>
      <w:r w:rsidRPr="007C325C">
        <w:rPr>
          <w:rFonts w:ascii="Palatino Linotype" w:hAnsi="Palatino Linotype" w:cs="Tahoma"/>
          <w:b/>
          <w:sz w:val="22"/>
          <w:szCs w:val="22"/>
          <w:lang w:val="es-ES"/>
        </w:rPr>
        <w:t>O</w:t>
      </w:r>
      <w:r w:rsidRPr="007C325C" w:rsidR="00FF2401">
        <w:rPr>
          <w:rFonts w:ascii="Palatino Linotype" w:hAnsi="Palatino Linotype" w:cs="Tahoma"/>
          <w:b/>
          <w:sz w:val="22"/>
          <w:szCs w:val="22"/>
          <w:lang w:val="es-ES"/>
        </w:rPr>
        <w:t xml:space="preserve"> </w:t>
      </w:r>
      <w:r w:rsidRPr="007C325C">
        <w:rPr>
          <w:rFonts w:ascii="Palatino Linotype" w:hAnsi="Palatino Linotype" w:cs="Tahoma"/>
          <w:b/>
          <w:sz w:val="22"/>
          <w:szCs w:val="22"/>
          <w:lang w:val="es-ES"/>
        </w:rPr>
        <w:t>N</w:t>
      </w:r>
      <w:r w:rsidRPr="007C325C" w:rsidR="00FF2401">
        <w:rPr>
          <w:rFonts w:ascii="Palatino Linotype" w:hAnsi="Palatino Linotype" w:cs="Tahoma"/>
          <w:b/>
          <w:sz w:val="22"/>
          <w:szCs w:val="22"/>
          <w:lang w:val="es-ES"/>
        </w:rPr>
        <w:t xml:space="preserve"> </w:t>
      </w:r>
      <w:r w:rsidRPr="007C325C">
        <w:rPr>
          <w:rFonts w:ascii="Palatino Linotype" w:hAnsi="Palatino Linotype" w:cs="Tahoma"/>
          <w:b/>
          <w:sz w:val="22"/>
          <w:szCs w:val="22"/>
          <w:lang w:val="es-ES"/>
        </w:rPr>
        <w:t>S</w:t>
      </w:r>
      <w:r w:rsidRPr="007C325C" w:rsidR="00FF2401">
        <w:rPr>
          <w:rFonts w:ascii="Palatino Linotype" w:hAnsi="Palatino Linotype" w:cs="Tahoma"/>
          <w:b/>
          <w:sz w:val="22"/>
          <w:szCs w:val="22"/>
          <w:lang w:val="es-ES"/>
        </w:rPr>
        <w:t xml:space="preserve"> </w:t>
      </w:r>
      <w:r w:rsidRPr="007C325C">
        <w:rPr>
          <w:rFonts w:ascii="Palatino Linotype" w:hAnsi="Palatino Linotype" w:cs="Tahoma"/>
          <w:b/>
          <w:sz w:val="22"/>
          <w:szCs w:val="22"/>
          <w:lang w:val="es-ES"/>
        </w:rPr>
        <w:t>I</w:t>
      </w:r>
      <w:r w:rsidRPr="007C325C" w:rsidR="00FF2401">
        <w:rPr>
          <w:rFonts w:ascii="Palatino Linotype" w:hAnsi="Palatino Linotype" w:cs="Tahoma"/>
          <w:b/>
          <w:sz w:val="22"/>
          <w:szCs w:val="22"/>
          <w:lang w:val="es-ES"/>
        </w:rPr>
        <w:t xml:space="preserve"> </w:t>
      </w:r>
      <w:r w:rsidRPr="007C325C">
        <w:rPr>
          <w:rFonts w:ascii="Palatino Linotype" w:hAnsi="Palatino Linotype" w:cs="Tahoma"/>
          <w:b/>
          <w:sz w:val="22"/>
          <w:szCs w:val="22"/>
          <w:lang w:val="es-ES"/>
        </w:rPr>
        <w:t>D</w:t>
      </w:r>
      <w:r w:rsidRPr="007C325C" w:rsidR="00FF2401">
        <w:rPr>
          <w:rFonts w:ascii="Palatino Linotype" w:hAnsi="Palatino Linotype" w:cs="Tahoma"/>
          <w:b/>
          <w:sz w:val="22"/>
          <w:szCs w:val="22"/>
          <w:lang w:val="es-ES"/>
        </w:rPr>
        <w:t xml:space="preserve"> </w:t>
      </w:r>
      <w:r w:rsidRPr="007C325C">
        <w:rPr>
          <w:rFonts w:ascii="Palatino Linotype" w:hAnsi="Palatino Linotype" w:cs="Tahoma"/>
          <w:b/>
          <w:sz w:val="22"/>
          <w:szCs w:val="22"/>
          <w:lang w:val="es-ES"/>
        </w:rPr>
        <w:t>E</w:t>
      </w:r>
      <w:r w:rsidRPr="007C325C" w:rsidR="00FF2401">
        <w:rPr>
          <w:rFonts w:ascii="Palatino Linotype" w:hAnsi="Palatino Linotype" w:cs="Tahoma"/>
          <w:b/>
          <w:sz w:val="22"/>
          <w:szCs w:val="22"/>
          <w:lang w:val="es-ES"/>
        </w:rPr>
        <w:t xml:space="preserve"> </w:t>
      </w:r>
      <w:r w:rsidRPr="007C325C">
        <w:rPr>
          <w:rFonts w:ascii="Palatino Linotype" w:hAnsi="Palatino Linotype" w:cs="Tahoma"/>
          <w:b/>
          <w:sz w:val="22"/>
          <w:szCs w:val="22"/>
          <w:lang w:val="es-ES"/>
        </w:rPr>
        <w:t>R</w:t>
      </w:r>
      <w:r w:rsidRPr="007C325C" w:rsidR="00FF2401">
        <w:rPr>
          <w:rFonts w:ascii="Palatino Linotype" w:hAnsi="Palatino Linotype" w:cs="Tahoma"/>
          <w:b/>
          <w:sz w:val="22"/>
          <w:szCs w:val="22"/>
          <w:lang w:val="es-ES"/>
        </w:rPr>
        <w:t xml:space="preserve"> </w:t>
      </w:r>
      <w:r w:rsidRPr="007C325C">
        <w:rPr>
          <w:rFonts w:ascii="Palatino Linotype" w:hAnsi="Palatino Linotype" w:cs="Tahoma"/>
          <w:b/>
          <w:sz w:val="22"/>
          <w:szCs w:val="22"/>
          <w:lang w:val="es-ES"/>
        </w:rPr>
        <w:t>A</w:t>
      </w:r>
      <w:r w:rsidRPr="007C325C" w:rsidR="00FF2401">
        <w:rPr>
          <w:rFonts w:ascii="Palatino Linotype" w:hAnsi="Palatino Linotype" w:cs="Tahoma"/>
          <w:b/>
          <w:sz w:val="22"/>
          <w:szCs w:val="22"/>
          <w:lang w:val="es-ES"/>
        </w:rPr>
        <w:t xml:space="preserve"> </w:t>
      </w:r>
      <w:r w:rsidRPr="007C325C">
        <w:rPr>
          <w:rFonts w:ascii="Palatino Linotype" w:hAnsi="Palatino Linotype" w:cs="Tahoma"/>
          <w:b/>
          <w:sz w:val="22"/>
          <w:szCs w:val="22"/>
          <w:lang w:val="es-ES"/>
        </w:rPr>
        <w:t>N</w:t>
      </w:r>
      <w:r w:rsidRPr="007C325C" w:rsidR="00FF2401">
        <w:rPr>
          <w:rFonts w:ascii="Palatino Linotype" w:hAnsi="Palatino Linotype" w:cs="Tahoma"/>
          <w:b/>
          <w:sz w:val="22"/>
          <w:szCs w:val="22"/>
          <w:lang w:val="es-ES"/>
        </w:rPr>
        <w:t xml:space="preserve"> </w:t>
      </w:r>
      <w:r w:rsidRPr="007C325C">
        <w:rPr>
          <w:rFonts w:ascii="Palatino Linotype" w:hAnsi="Palatino Linotype" w:cs="Tahoma"/>
          <w:b/>
          <w:sz w:val="22"/>
          <w:szCs w:val="22"/>
          <w:lang w:val="es-ES"/>
        </w:rPr>
        <w:t>D</w:t>
      </w:r>
      <w:r w:rsidRPr="007C325C" w:rsidR="00FF2401">
        <w:rPr>
          <w:rFonts w:ascii="Palatino Linotype" w:hAnsi="Palatino Linotype" w:cs="Tahoma"/>
          <w:b/>
          <w:sz w:val="22"/>
          <w:szCs w:val="22"/>
          <w:lang w:val="es-ES"/>
        </w:rPr>
        <w:t xml:space="preserve"> </w:t>
      </w:r>
      <w:r w:rsidRPr="007C325C">
        <w:rPr>
          <w:rFonts w:ascii="Palatino Linotype" w:hAnsi="Palatino Linotype" w:cs="Tahoma"/>
          <w:b/>
          <w:sz w:val="22"/>
          <w:szCs w:val="22"/>
          <w:lang w:val="es-ES"/>
        </w:rPr>
        <w:t>O</w:t>
      </w:r>
      <w:r w:rsidRPr="007C325C" w:rsidR="00FF2401">
        <w:rPr>
          <w:rFonts w:ascii="Palatino Linotype" w:hAnsi="Palatino Linotype" w:cs="Tahoma"/>
          <w:b/>
          <w:sz w:val="22"/>
          <w:szCs w:val="22"/>
          <w:lang w:val="es-ES"/>
        </w:rPr>
        <w:t xml:space="preserve"> </w:t>
      </w:r>
      <w:r w:rsidRPr="007C325C">
        <w:rPr>
          <w:rFonts w:ascii="Palatino Linotype" w:hAnsi="Palatino Linotype" w:cs="Tahoma"/>
          <w:b/>
          <w:sz w:val="22"/>
          <w:szCs w:val="22"/>
          <w:lang w:val="es-ES"/>
        </w:rPr>
        <w:t>S</w:t>
      </w:r>
    </w:p>
    <w:p w:rsidRPr="007C325C" w:rsidR="00622698" w:rsidP="00855D7E" w:rsidRDefault="00622698" w14:paraId="51717927" w14:textId="77777777">
      <w:pPr>
        <w:spacing w:line="360" w:lineRule="auto"/>
        <w:contextualSpacing/>
        <w:jc w:val="center"/>
        <w:rPr>
          <w:rFonts w:ascii="Palatino Linotype" w:hAnsi="Palatino Linotype" w:cs="Tahoma"/>
          <w:b/>
          <w:sz w:val="22"/>
          <w:szCs w:val="22"/>
          <w:lang w:val="es-ES"/>
        </w:rPr>
      </w:pPr>
    </w:p>
    <w:p w:rsidRPr="007C325C" w:rsidR="00B64641" w:rsidP="00855D7E" w:rsidRDefault="009C569C" w14:paraId="6476B8D3" w14:textId="51251B54">
      <w:pPr>
        <w:autoSpaceDE w:val="0"/>
        <w:autoSpaceDN w:val="0"/>
        <w:adjustRightInd w:val="0"/>
        <w:spacing w:line="360" w:lineRule="auto"/>
        <w:contextualSpacing/>
        <w:jc w:val="both"/>
        <w:rPr>
          <w:rFonts w:ascii="Palatino Linotype" w:hAnsi="Palatino Linotype" w:cs="Tahoma"/>
          <w:b/>
          <w:sz w:val="22"/>
          <w:szCs w:val="24"/>
          <w:lang w:val="es-ES"/>
        </w:rPr>
      </w:pPr>
      <w:r w:rsidRPr="007C325C">
        <w:rPr>
          <w:rFonts w:ascii="Palatino Linotype" w:hAnsi="Palatino Linotype" w:eastAsia="Calibri" w:cs="Tahoma"/>
          <w:b/>
          <w:color w:val="000000"/>
          <w:sz w:val="22"/>
          <w:szCs w:val="24"/>
          <w:lang w:val="es-ES" w:eastAsia="es-MX"/>
        </w:rPr>
        <w:t>PRIMERO</w:t>
      </w:r>
      <w:r w:rsidRPr="007C325C" w:rsidR="00B64641">
        <w:rPr>
          <w:rFonts w:ascii="Palatino Linotype" w:hAnsi="Palatino Linotype" w:eastAsia="Calibri" w:cs="Tahoma"/>
          <w:color w:val="000000"/>
          <w:sz w:val="22"/>
          <w:szCs w:val="24"/>
          <w:lang w:val="es-ES" w:eastAsia="es-MX"/>
        </w:rPr>
        <w:t xml:space="preserve">. </w:t>
      </w:r>
      <w:r w:rsidRPr="007C325C" w:rsidR="00B64641">
        <w:rPr>
          <w:rFonts w:ascii="Palatino Linotype" w:hAnsi="Palatino Linotype" w:cs="Tahoma"/>
          <w:b/>
          <w:sz w:val="22"/>
          <w:szCs w:val="24"/>
          <w:lang w:val="es-ES"/>
        </w:rPr>
        <w:t>Competencia.</w:t>
      </w:r>
    </w:p>
    <w:p w:rsidRPr="007C325C" w:rsidR="00622698" w:rsidP="00855D7E" w:rsidRDefault="00622698" w14:paraId="17964188" w14:textId="77777777">
      <w:pPr>
        <w:autoSpaceDE w:val="0"/>
        <w:autoSpaceDN w:val="0"/>
        <w:adjustRightInd w:val="0"/>
        <w:spacing w:line="360" w:lineRule="auto"/>
        <w:contextualSpacing/>
        <w:jc w:val="both"/>
        <w:rPr>
          <w:rFonts w:ascii="Palatino Linotype" w:hAnsi="Palatino Linotype" w:cs="Tahoma"/>
          <w:b/>
          <w:sz w:val="22"/>
          <w:szCs w:val="24"/>
          <w:lang w:val="es-ES"/>
        </w:rPr>
      </w:pPr>
    </w:p>
    <w:p w:rsidRPr="007C325C" w:rsidR="00E949DF" w:rsidP="00855D7E" w:rsidRDefault="00E949DF" w14:paraId="399D6AF1" w14:textId="77777777">
      <w:pPr>
        <w:spacing w:line="360" w:lineRule="auto"/>
        <w:contextualSpacing/>
        <w:jc w:val="both"/>
        <w:rPr>
          <w:rFonts w:ascii="Palatino Linotype" w:hAnsi="Palatino Linotype" w:cs="Tahoma"/>
          <w:sz w:val="22"/>
          <w:szCs w:val="22"/>
        </w:rPr>
      </w:pPr>
      <w:r w:rsidRPr="007C325C">
        <w:rPr>
          <w:rFonts w:ascii="Palatino Linotype" w:hAnsi="Palatino Linotype" w:cs="Tahoma"/>
          <w:sz w:val="22"/>
          <w:szCs w:val="22"/>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7C325C">
        <w:t xml:space="preserve"> 7°, </w:t>
      </w:r>
      <w:r w:rsidRPr="007C325C">
        <w:rPr>
          <w:rFonts w:ascii="Palatino Linotype" w:hAnsi="Palatino Linotype" w:cs="Tahoma"/>
          <w:sz w:val="22"/>
          <w:szCs w:val="22"/>
        </w:rPr>
        <w:t xml:space="preserve">9°, fracciones I y XXIV y 11 del Reglamento Interior del Instituto de </w:t>
      </w:r>
      <w:r w:rsidRPr="007C325C">
        <w:rPr>
          <w:rFonts w:ascii="Palatino Linotype" w:hAnsi="Palatino Linotype" w:cs="Tahoma"/>
          <w:sz w:val="22"/>
          <w:szCs w:val="22"/>
        </w:rPr>
        <w:lastRenderedPageBreak/>
        <w:t>Transparencia, Acceso a la Información Pública y Protección de Datos Personales del Estado de México y Municipios.</w:t>
      </w:r>
    </w:p>
    <w:p w:rsidRPr="007C325C" w:rsidR="005A12EA" w:rsidP="00855D7E" w:rsidRDefault="005A12EA" w14:paraId="671C75CB" w14:textId="77777777">
      <w:pPr>
        <w:autoSpaceDE w:val="0"/>
        <w:autoSpaceDN w:val="0"/>
        <w:adjustRightInd w:val="0"/>
        <w:spacing w:line="360" w:lineRule="auto"/>
        <w:contextualSpacing/>
        <w:jc w:val="both"/>
        <w:rPr>
          <w:rFonts w:ascii="Palatino Linotype" w:hAnsi="Palatino Linotype" w:eastAsia="Calibri" w:cs="Tahoma"/>
          <w:b/>
          <w:color w:val="000000"/>
          <w:sz w:val="22"/>
          <w:szCs w:val="24"/>
          <w:lang w:val="es-ES" w:eastAsia="es-MX"/>
        </w:rPr>
      </w:pPr>
    </w:p>
    <w:p w:rsidRPr="007C325C" w:rsidR="00C10DCD" w:rsidP="00855D7E" w:rsidRDefault="00C10DCD" w14:paraId="49DFC935" w14:textId="0941A669">
      <w:pPr>
        <w:autoSpaceDE w:val="0"/>
        <w:autoSpaceDN w:val="0"/>
        <w:adjustRightInd w:val="0"/>
        <w:spacing w:line="360" w:lineRule="auto"/>
        <w:contextualSpacing/>
        <w:jc w:val="both"/>
        <w:rPr>
          <w:rFonts w:ascii="Palatino Linotype" w:hAnsi="Palatino Linotype" w:eastAsia="Calibri" w:cs="Tahoma"/>
          <w:color w:val="000000"/>
          <w:sz w:val="22"/>
          <w:szCs w:val="22"/>
          <w:lang w:eastAsia="es-MX"/>
        </w:rPr>
      </w:pPr>
      <w:r w:rsidRPr="007C325C">
        <w:rPr>
          <w:rFonts w:ascii="Palatino Linotype" w:hAnsi="Palatino Linotype" w:eastAsia="Calibri" w:cs="Tahoma"/>
          <w:b/>
          <w:color w:val="000000"/>
          <w:sz w:val="22"/>
          <w:szCs w:val="22"/>
          <w:lang w:eastAsia="es-MX"/>
        </w:rPr>
        <w:t>SEGUNDO</w:t>
      </w:r>
      <w:r w:rsidRPr="007C325C">
        <w:rPr>
          <w:rFonts w:ascii="Palatino Linotype" w:hAnsi="Palatino Linotype" w:eastAsia="Calibri" w:cs="Tahoma"/>
          <w:color w:val="000000"/>
          <w:sz w:val="22"/>
          <w:szCs w:val="22"/>
          <w:lang w:eastAsia="es-MX"/>
        </w:rPr>
        <w:t xml:space="preserve">. </w:t>
      </w:r>
      <w:r w:rsidRPr="007C325C">
        <w:rPr>
          <w:rFonts w:ascii="Palatino Linotype" w:hAnsi="Palatino Linotype" w:eastAsia="Calibri" w:cs="Tahoma"/>
          <w:b/>
          <w:color w:val="000000"/>
          <w:sz w:val="22"/>
          <w:szCs w:val="22"/>
          <w:lang w:eastAsia="es-MX"/>
        </w:rPr>
        <w:t>Causales de improcedencia y sobreseimiento.</w:t>
      </w:r>
      <w:r w:rsidRPr="007C325C">
        <w:rPr>
          <w:rFonts w:ascii="Palatino Linotype" w:hAnsi="Palatino Linotype" w:eastAsia="Calibri" w:cs="Tahoma"/>
          <w:color w:val="000000"/>
          <w:sz w:val="22"/>
          <w:szCs w:val="22"/>
          <w:lang w:eastAsia="es-MX"/>
        </w:rPr>
        <w:t xml:space="preserve"> </w:t>
      </w:r>
    </w:p>
    <w:p w:rsidRPr="007C325C" w:rsidR="00622698" w:rsidP="00855D7E" w:rsidRDefault="00622698" w14:paraId="3699CA6F" w14:textId="77777777">
      <w:pPr>
        <w:autoSpaceDE w:val="0"/>
        <w:autoSpaceDN w:val="0"/>
        <w:adjustRightInd w:val="0"/>
        <w:spacing w:line="360" w:lineRule="auto"/>
        <w:contextualSpacing/>
        <w:jc w:val="both"/>
        <w:rPr>
          <w:rFonts w:ascii="Palatino Linotype" w:hAnsi="Palatino Linotype" w:eastAsia="Calibri" w:cs="Tahoma"/>
          <w:color w:val="000000"/>
          <w:sz w:val="22"/>
          <w:szCs w:val="22"/>
          <w:lang w:eastAsia="es-MX"/>
        </w:rPr>
      </w:pPr>
    </w:p>
    <w:p w:rsidRPr="007C325C" w:rsidR="00C10DCD" w:rsidP="00855D7E" w:rsidRDefault="00C10DCD" w14:paraId="2936D5A4" w14:textId="77777777">
      <w:pPr>
        <w:autoSpaceDE w:val="0"/>
        <w:autoSpaceDN w:val="0"/>
        <w:adjustRightInd w:val="0"/>
        <w:spacing w:line="360" w:lineRule="auto"/>
        <w:contextualSpacing/>
        <w:jc w:val="both"/>
        <w:rPr>
          <w:rFonts w:ascii="Palatino Linotype" w:hAnsi="Palatino Linotype" w:eastAsia="Calibri" w:cs="Tahoma"/>
          <w:color w:val="000000"/>
          <w:sz w:val="22"/>
          <w:szCs w:val="22"/>
          <w:lang w:eastAsia="es-MX"/>
        </w:rPr>
      </w:pPr>
      <w:r w:rsidRPr="007C325C">
        <w:rPr>
          <w:rFonts w:ascii="Palatino Linotype" w:hAnsi="Palatino Linotype" w:eastAsia="Calibri" w:cs="Tahoma"/>
          <w:color w:val="000000"/>
          <w:sz w:val="22"/>
          <w:szCs w:val="22"/>
          <w:lang w:eastAsia="es-MX"/>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Pr="007C325C" w:rsidR="00C10DCD" w:rsidP="00855D7E" w:rsidRDefault="00C10DCD" w14:paraId="37AEB0D2" w14:textId="77777777">
      <w:pPr>
        <w:autoSpaceDE w:val="0"/>
        <w:autoSpaceDN w:val="0"/>
        <w:adjustRightInd w:val="0"/>
        <w:spacing w:line="360" w:lineRule="auto"/>
        <w:contextualSpacing/>
        <w:jc w:val="both"/>
        <w:rPr>
          <w:rFonts w:ascii="Palatino Linotype" w:hAnsi="Palatino Linotype" w:eastAsia="Calibri" w:cs="Tahoma"/>
          <w:color w:val="000000"/>
          <w:sz w:val="22"/>
          <w:szCs w:val="22"/>
          <w:lang w:eastAsia="es-MX"/>
        </w:rPr>
      </w:pPr>
    </w:p>
    <w:p w:rsidRPr="007C325C" w:rsidR="00C10DCD" w:rsidP="00855D7E" w:rsidRDefault="00C10DCD" w14:paraId="43C243A0" w14:textId="77777777">
      <w:pPr>
        <w:autoSpaceDE w:val="0"/>
        <w:autoSpaceDN w:val="0"/>
        <w:adjustRightInd w:val="0"/>
        <w:spacing w:line="360" w:lineRule="auto"/>
        <w:contextualSpacing/>
        <w:jc w:val="both"/>
        <w:rPr>
          <w:rFonts w:ascii="Palatino Linotype" w:hAnsi="Palatino Linotype" w:eastAsia="Calibri" w:cs="Tahoma"/>
          <w:color w:val="000000"/>
          <w:sz w:val="22"/>
          <w:szCs w:val="22"/>
          <w:lang w:eastAsia="es-MX"/>
        </w:rPr>
      </w:pPr>
      <w:r w:rsidRPr="007C325C">
        <w:rPr>
          <w:rFonts w:ascii="Palatino Linotype" w:hAnsi="Palatino Linotype" w:eastAsia="Calibri" w:cs="Tahoma"/>
          <w:color w:val="000000"/>
          <w:sz w:val="22"/>
          <w:szCs w:val="22"/>
          <w:lang w:eastAsia="es-MX"/>
        </w:rPr>
        <w:t>En el presente caso, no se actualiza ninguna de las causales de improcedencia establecidas en el ordenamiento jurídico previamente señalado, toda vez que: el recurso fue presentado dentro del plazo establecido en el artículo 178 de la Ley de Transparencia y Acceso a la Información Pública del Estado de México y Municipios;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rsidRPr="007C325C" w:rsidR="00C10DCD" w:rsidP="00855D7E" w:rsidRDefault="00C10DCD" w14:paraId="0EA93B14" w14:textId="77777777">
      <w:pPr>
        <w:spacing w:line="360" w:lineRule="auto"/>
        <w:contextualSpacing/>
        <w:jc w:val="both"/>
        <w:rPr>
          <w:rFonts w:ascii="Palatino Linotype" w:hAnsi="Palatino Linotype" w:eastAsia="Calibri" w:cs="Tahoma"/>
          <w:b/>
          <w:sz w:val="22"/>
          <w:szCs w:val="22"/>
          <w:lang w:eastAsia="es-ES_tradnl"/>
        </w:rPr>
      </w:pPr>
    </w:p>
    <w:p w:rsidRPr="007C325C" w:rsidR="00C10DCD" w:rsidP="00855D7E" w:rsidRDefault="00C10DCD" w14:paraId="0D4C1B9A" w14:textId="37BBF1CF">
      <w:pPr>
        <w:spacing w:line="360" w:lineRule="auto"/>
        <w:contextualSpacing/>
        <w:jc w:val="both"/>
        <w:rPr>
          <w:rFonts w:ascii="Palatino Linotype" w:hAnsi="Palatino Linotype" w:eastAsia="Calibri" w:cs="Tahoma"/>
          <w:b/>
          <w:sz w:val="22"/>
          <w:szCs w:val="22"/>
          <w:lang w:eastAsia="es-ES_tradnl"/>
        </w:rPr>
      </w:pPr>
      <w:r w:rsidRPr="007C325C">
        <w:rPr>
          <w:rFonts w:ascii="Palatino Linotype" w:hAnsi="Palatino Linotype" w:eastAsia="Calibri" w:cs="Tahoma"/>
          <w:b/>
          <w:sz w:val="22"/>
          <w:szCs w:val="22"/>
          <w:lang w:eastAsia="es-ES_tradnl"/>
        </w:rPr>
        <w:t>Causales de sobreseimiento.</w:t>
      </w:r>
    </w:p>
    <w:p w:rsidRPr="007C325C" w:rsidR="00622698" w:rsidP="00855D7E" w:rsidRDefault="00622698" w14:paraId="40387674" w14:textId="77777777">
      <w:pPr>
        <w:spacing w:line="360" w:lineRule="auto"/>
        <w:contextualSpacing/>
        <w:jc w:val="both"/>
        <w:rPr>
          <w:rFonts w:ascii="Palatino Linotype" w:hAnsi="Palatino Linotype" w:eastAsia="Calibri" w:cs="Tahoma"/>
          <w:b/>
          <w:sz w:val="22"/>
          <w:szCs w:val="22"/>
          <w:lang w:eastAsia="es-ES_tradnl"/>
        </w:rPr>
      </w:pPr>
    </w:p>
    <w:p w:rsidRPr="007C325C" w:rsidR="002F7D70" w:rsidP="00855D7E" w:rsidRDefault="002F7D70" w14:paraId="3BCB924D" w14:textId="77777777">
      <w:pPr>
        <w:spacing w:line="360" w:lineRule="auto"/>
        <w:contextualSpacing/>
        <w:jc w:val="both"/>
        <w:rPr>
          <w:rFonts w:ascii="Palatino Linotype" w:hAnsi="Palatino Linotype" w:eastAsia="Calibri" w:cs="Tahoma"/>
          <w:sz w:val="22"/>
          <w:szCs w:val="22"/>
          <w:lang w:eastAsia="es-ES_tradnl"/>
        </w:rPr>
      </w:pPr>
      <w:r w:rsidRPr="007C325C">
        <w:rPr>
          <w:rFonts w:ascii="Palatino Linotype" w:hAnsi="Palatino Linotype" w:eastAsia="Calibri" w:cs="Tahoma"/>
          <w:sz w:val="22"/>
          <w:szCs w:val="22"/>
          <w:lang w:eastAsia="es-ES_tradnl"/>
        </w:rPr>
        <w:t>Por lo que hace a las causales de sobreseimiento, del análisis realizado por este Instituto, se advierte que</w:t>
      </w:r>
      <w:r w:rsidRPr="007C325C">
        <w:rPr>
          <w:rFonts w:ascii="Palatino Linotype" w:hAnsi="Palatino Linotype" w:eastAsia="Calibri" w:cs="Tahoma"/>
          <w:b/>
          <w:sz w:val="22"/>
          <w:szCs w:val="22"/>
          <w:lang w:eastAsia="es-ES_tradnl"/>
        </w:rPr>
        <w:t xml:space="preserve"> no se actualiza ninguna de las previstas por el artículo 192 de la Ley de </w:t>
      </w:r>
      <w:r w:rsidRPr="007C325C">
        <w:rPr>
          <w:rFonts w:ascii="Palatino Linotype" w:hAnsi="Palatino Linotype" w:eastAsia="Calibri" w:cs="Tahoma"/>
          <w:b/>
          <w:sz w:val="22"/>
          <w:szCs w:val="22"/>
          <w:lang w:eastAsia="es-ES_tradnl"/>
        </w:rPr>
        <w:lastRenderedPageBreak/>
        <w:t xml:space="preserve">Transparencia y Acceso a la Información Pública del Estado de México y Municipios; </w:t>
      </w:r>
      <w:r w:rsidRPr="007C325C">
        <w:rPr>
          <w:rFonts w:ascii="Palatino Linotype" w:hAnsi="Palatino Linotype" w:cs="Tahoma"/>
          <w:sz w:val="22"/>
          <w:szCs w:val="22"/>
        </w:rPr>
        <w:t xml:space="preserve">lo anterior, en virtud de que no existe constancia en el expediente en que se actúa, de que la recurrente se hubiera desistido del recurso, hubiera fallecido, que sobreviniera alguna causal de improcedencia, que el Sujeto Obligado hubiese modificado o revocado el acto impugnado, o bien que el recurso de revisión hubiera quedado sin materia. </w:t>
      </w:r>
      <w:r w:rsidRPr="007C325C">
        <w:rPr>
          <w:rFonts w:ascii="Palatino Linotype" w:hAnsi="Palatino Linotype" w:eastAsia="Calibri" w:cs="Tahoma"/>
          <w:bCs/>
          <w:sz w:val="22"/>
          <w:szCs w:val="22"/>
          <w:lang w:eastAsia="es-ES_tradnl"/>
        </w:rPr>
        <w:t xml:space="preserve">Por tales motivos, </w:t>
      </w:r>
      <w:r w:rsidRPr="007C325C">
        <w:rPr>
          <w:rFonts w:ascii="Palatino Linotype" w:hAnsi="Palatino Linotype" w:eastAsia="Calibri" w:cs="Tahoma"/>
          <w:sz w:val="22"/>
          <w:szCs w:val="22"/>
          <w:lang w:eastAsia="es-ES_tradnl"/>
        </w:rPr>
        <w:t xml:space="preserve">se considera procedente entrar al fondo del presente asunto. </w:t>
      </w:r>
    </w:p>
    <w:p w:rsidRPr="007C325C" w:rsidR="00BE19A8" w:rsidP="00855D7E" w:rsidRDefault="00BE19A8" w14:paraId="0BB86606" w14:textId="77777777">
      <w:pPr>
        <w:tabs>
          <w:tab w:val="left" w:pos="4962"/>
        </w:tabs>
        <w:spacing w:line="360" w:lineRule="auto"/>
        <w:contextualSpacing/>
        <w:jc w:val="both"/>
        <w:rPr>
          <w:rFonts w:ascii="Palatino Linotype" w:hAnsi="Palatino Linotype" w:eastAsia="Calibri" w:cs="Tahoma"/>
          <w:b/>
          <w:iCs/>
          <w:sz w:val="22"/>
          <w:szCs w:val="24"/>
          <w:lang w:val="es-ES" w:eastAsia="es-ES_tradnl"/>
        </w:rPr>
      </w:pPr>
    </w:p>
    <w:p w:rsidRPr="007C325C" w:rsidR="00C10DCD" w:rsidP="00855D7E" w:rsidRDefault="00C10DCD" w14:paraId="3C2EA3AF" w14:textId="7FDB8DD0">
      <w:pPr>
        <w:tabs>
          <w:tab w:val="left" w:pos="4962"/>
        </w:tabs>
        <w:spacing w:line="360" w:lineRule="auto"/>
        <w:contextualSpacing/>
        <w:jc w:val="both"/>
        <w:rPr>
          <w:rFonts w:ascii="Palatino Linotype" w:hAnsi="Palatino Linotype" w:eastAsia="Calibri" w:cs="Tahoma"/>
          <w:b/>
          <w:iCs/>
          <w:sz w:val="22"/>
          <w:szCs w:val="24"/>
          <w:lang w:val="es-ES" w:eastAsia="es-ES_tradnl"/>
        </w:rPr>
      </w:pPr>
      <w:r w:rsidRPr="007C325C">
        <w:rPr>
          <w:rFonts w:ascii="Palatino Linotype" w:hAnsi="Palatino Linotype" w:eastAsia="Calibri" w:cs="Tahoma"/>
          <w:b/>
          <w:iCs/>
          <w:sz w:val="22"/>
          <w:szCs w:val="24"/>
          <w:lang w:val="es-ES" w:eastAsia="es-ES_tradnl"/>
        </w:rPr>
        <w:t xml:space="preserve">TERCERO. Determinación de la Controversia. </w:t>
      </w:r>
    </w:p>
    <w:p w:rsidRPr="007C325C" w:rsidR="00622698" w:rsidP="00855D7E" w:rsidRDefault="00622698" w14:paraId="24DC6FDB" w14:textId="77777777">
      <w:pPr>
        <w:tabs>
          <w:tab w:val="left" w:pos="4962"/>
        </w:tabs>
        <w:spacing w:line="360" w:lineRule="auto"/>
        <w:contextualSpacing/>
        <w:jc w:val="both"/>
        <w:rPr>
          <w:rFonts w:ascii="Palatino Linotype" w:hAnsi="Palatino Linotype" w:eastAsia="Calibri" w:cs="Tahoma"/>
          <w:b/>
          <w:iCs/>
          <w:sz w:val="22"/>
          <w:szCs w:val="24"/>
          <w:lang w:val="es-ES" w:eastAsia="es-ES_tradnl"/>
        </w:rPr>
      </w:pPr>
    </w:p>
    <w:p w:rsidRPr="007C325C" w:rsidR="009C1ED5" w:rsidP="00855D7E" w:rsidRDefault="00C10DCD" w14:paraId="644A508E" w14:textId="77777777">
      <w:pPr>
        <w:tabs>
          <w:tab w:val="left" w:pos="4962"/>
        </w:tabs>
        <w:spacing w:line="360" w:lineRule="auto"/>
        <w:contextualSpacing/>
        <w:jc w:val="both"/>
        <w:rPr>
          <w:rFonts w:ascii="Palatino Linotype" w:hAnsi="Palatino Linotype" w:eastAsia="Calibri" w:cs="Tahoma"/>
          <w:sz w:val="22"/>
          <w:szCs w:val="22"/>
          <w:lang w:eastAsia="en-US"/>
        </w:rPr>
      </w:pPr>
      <w:r w:rsidRPr="007C325C">
        <w:rPr>
          <w:rFonts w:ascii="Palatino Linotype" w:hAnsi="Palatino Linotype" w:eastAsia="Calibri" w:cs="Tahoma"/>
          <w:iCs/>
          <w:sz w:val="22"/>
          <w:szCs w:val="22"/>
          <w:lang w:eastAsia="es-ES_tradnl"/>
        </w:rPr>
        <w:t xml:space="preserve">Con el objeto de ilustrar la controversia planteada, en </w:t>
      </w:r>
      <w:r w:rsidRPr="007C325C" w:rsidR="009C1ED5">
        <w:rPr>
          <w:rFonts w:ascii="Palatino Linotype" w:hAnsi="Palatino Linotype" w:eastAsia="Calibri" w:cs="Tahoma"/>
          <w:iCs/>
          <w:sz w:val="22"/>
          <w:szCs w:val="22"/>
          <w:lang w:eastAsia="es-ES_tradnl"/>
        </w:rPr>
        <w:t>e</w:t>
      </w:r>
      <w:r w:rsidRPr="007C325C">
        <w:rPr>
          <w:rFonts w:ascii="Palatino Linotype" w:hAnsi="Palatino Linotype" w:eastAsia="Calibri" w:cs="Tahoma"/>
          <w:iCs/>
          <w:sz w:val="22"/>
          <w:szCs w:val="22"/>
          <w:lang w:eastAsia="es-ES_tradnl"/>
        </w:rPr>
        <w:t>l</w:t>
      </w:r>
      <w:r w:rsidRPr="007C325C" w:rsidR="009C1ED5">
        <w:rPr>
          <w:rFonts w:ascii="Palatino Linotype" w:hAnsi="Palatino Linotype" w:eastAsia="Calibri" w:cs="Tahoma"/>
          <w:iCs/>
          <w:sz w:val="22"/>
          <w:szCs w:val="22"/>
          <w:lang w:eastAsia="es-ES_tradnl"/>
        </w:rPr>
        <w:t xml:space="preserve"> </w:t>
      </w:r>
      <w:r w:rsidRPr="007C325C">
        <w:rPr>
          <w:rFonts w:ascii="Palatino Linotype" w:hAnsi="Palatino Linotype" w:eastAsia="Calibri" w:cs="Tahoma"/>
          <w:iCs/>
          <w:sz w:val="22"/>
          <w:szCs w:val="22"/>
          <w:lang w:eastAsia="es-ES_tradnl"/>
        </w:rPr>
        <w:t xml:space="preserve">Recurso de Revisión resulta conveniente precisar lo que el Particular solicitó al </w:t>
      </w:r>
      <w:r w:rsidRPr="007C325C" w:rsidR="00747156">
        <w:rPr>
          <w:rFonts w:ascii="Palatino Linotype" w:hAnsi="Palatino Linotype" w:eastAsia="Calibri" w:cs="Tahoma"/>
          <w:sz w:val="22"/>
          <w:szCs w:val="22"/>
          <w:lang w:eastAsia="en-US"/>
        </w:rPr>
        <w:t>Hospital Regional de Alta Especialidad de Zumpango</w:t>
      </w:r>
      <w:r w:rsidRPr="007C325C">
        <w:rPr>
          <w:rFonts w:ascii="Palatino Linotype" w:hAnsi="Palatino Linotype" w:eastAsia="Calibri" w:cs="Tahoma"/>
          <w:sz w:val="22"/>
          <w:szCs w:val="22"/>
          <w:lang w:eastAsia="en-US"/>
        </w:rPr>
        <w:t xml:space="preserve">, </w:t>
      </w:r>
      <w:r w:rsidRPr="007C325C" w:rsidR="00FB1E2A">
        <w:rPr>
          <w:rFonts w:ascii="Palatino Linotype" w:hAnsi="Palatino Linotype" w:eastAsia="Calibri" w:cs="Tahoma"/>
          <w:sz w:val="22"/>
          <w:szCs w:val="22"/>
          <w:lang w:eastAsia="en-US"/>
        </w:rPr>
        <w:t>es decir</w:t>
      </w:r>
      <w:r w:rsidRPr="007C325C" w:rsidR="00D52162">
        <w:rPr>
          <w:rFonts w:ascii="Palatino Linotype" w:hAnsi="Palatino Linotype" w:eastAsia="Calibri" w:cs="Tahoma"/>
          <w:sz w:val="22"/>
          <w:szCs w:val="22"/>
          <w:lang w:eastAsia="en-US"/>
        </w:rPr>
        <w:t xml:space="preserve"> </w:t>
      </w:r>
      <w:r w:rsidRPr="007C325C" w:rsidR="009C1ED5">
        <w:rPr>
          <w:rFonts w:ascii="Palatino Linotype" w:hAnsi="Palatino Linotype" w:eastAsia="Calibri" w:cs="Tahoma"/>
          <w:sz w:val="22"/>
          <w:szCs w:val="22"/>
          <w:lang w:eastAsia="en-US"/>
        </w:rPr>
        <w:t>los expedientes del personal que se encuentra adscrito a la Dirección General junto con sus áreas.</w:t>
      </w:r>
    </w:p>
    <w:p w:rsidRPr="007C325C" w:rsidR="009C1ED5" w:rsidP="00855D7E" w:rsidRDefault="009C1ED5" w14:paraId="12014B94" w14:textId="77777777">
      <w:pPr>
        <w:tabs>
          <w:tab w:val="left" w:pos="4962"/>
        </w:tabs>
        <w:spacing w:line="360" w:lineRule="auto"/>
        <w:contextualSpacing/>
        <w:jc w:val="both"/>
        <w:rPr>
          <w:rFonts w:ascii="Palatino Linotype" w:hAnsi="Palatino Linotype" w:eastAsia="Calibri" w:cs="Tahoma"/>
          <w:sz w:val="22"/>
          <w:szCs w:val="22"/>
          <w:lang w:eastAsia="en-US"/>
        </w:rPr>
      </w:pPr>
    </w:p>
    <w:p w:rsidRPr="007C325C" w:rsidR="00C10DCD" w:rsidP="00855D7E" w:rsidRDefault="00E3675A" w14:paraId="56BD2722" w14:textId="77777777">
      <w:pPr>
        <w:tabs>
          <w:tab w:val="left" w:pos="4962"/>
        </w:tabs>
        <w:spacing w:line="360" w:lineRule="auto"/>
        <w:contextualSpacing/>
        <w:jc w:val="both"/>
        <w:rPr>
          <w:rFonts w:ascii="Palatino Linotype" w:hAnsi="Palatino Linotype" w:eastAsia="Calibri" w:cs="Tahoma"/>
          <w:b/>
          <w:sz w:val="22"/>
          <w:szCs w:val="22"/>
          <w:lang w:eastAsia="es-ES_tradnl"/>
        </w:rPr>
      </w:pPr>
      <w:r w:rsidRPr="007C325C">
        <w:rPr>
          <w:rFonts w:ascii="Palatino Linotype" w:hAnsi="Palatino Linotype" w:eastAsia="Calibri" w:cs="Tahoma"/>
          <w:iCs/>
          <w:sz w:val="22"/>
          <w:szCs w:val="22"/>
          <w:lang w:eastAsia="es-ES_tradnl"/>
        </w:rPr>
        <w:t>En respuesta</w:t>
      </w:r>
      <w:r w:rsidRPr="007C325C" w:rsidR="00C10DCD">
        <w:rPr>
          <w:rFonts w:ascii="Palatino Linotype" w:hAnsi="Palatino Linotype" w:eastAsia="Calibri" w:cs="Tahoma"/>
          <w:iCs/>
          <w:sz w:val="22"/>
          <w:szCs w:val="22"/>
          <w:lang w:val="es-ES" w:eastAsia="es-ES_tradnl"/>
        </w:rPr>
        <w:t xml:space="preserve">, el Sujeto Obligado, </w:t>
      </w:r>
      <w:r w:rsidRPr="007C325C" w:rsidR="00D10120">
        <w:rPr>
          <w:rFonts w:ascii="Palatino Linotype" w:hAnsi="Palatino Linotype" w:eastAsia="Calibri" w:cs="Tahoma"/>
          <w:iCs/>
          <w:sz w:val="22"/>
          <w:szCs w:val="22"/>
          <w:lang w:val="es-ES" w:eastAsia="es-ES_tradnl"/>
        </w:rPr>
        <w:t xml:space="preserve">puso </w:t>
      </w:r>
      <w:r w:rsidRPr="007C325C" w:rsidR="00D52162">
        <w:rPr>
          <w:rFonts w:ascii="Palatino Linotype" w:hAnsi="Palatino Linotype" w:eastAsia="Calibri" w:cs="Tahoma"/>
          <w:iCs/>
          <w:sz w:val="22"/>
          <w:szCs w:val="22"/>
          <w:lang w:val="es-ES" w:eastAsia="es-ES_tradnl"/>
        </w:rPr>
        <w:t xml:space="preserve">la información </w:t>
      </w:r>
      <w:r w:rsidRPr="007C325C" w:rsidR="00D10120">
        <w:rPr>
          <w:rFonts w:ascii="Palatino Linotype" w:hAnsi="Palatino Linotype" w:eastAsia="Calibri" w:cs="Tahoma"/>
          <w:iCs/>
          <w:sz w:val="22"/>
          <w:szCs w:val="22"/>
          <w:lang w:val="es-ES" w:eastAsia="es-ES_tradnl"/>
        </w:rPr>
        <w:t xml:space="preserve">a disposición </w:t>
      </w:r>
      <w:r w:rsidRPr="007C325C" w:rsidR="00D52162">
        <w:rPr>
          <w:rFonts w:ascii="Palatino Linotype" w:hAnsi="Palatino Linotype" w:eastAsia="Calibri" w:cs="Tahoma"/>
          <w:iCs/>
          <w:sz w:val="22"/>
          <w:szCs w:val="22"/>
          <w:lang w:val="es-ES" w:eastAsia="es-ES_tradnl"/>
        </w:rPr>
        <w:t xml:space="preserve">del Particular </w:t>
      </w:r>
      <w:r w:rsidRPr="007C325C" w:rsidR="00D10120">
        <w:rPr>
          <w:rFonts w:ascii="Palatino Linotype" w:hAnsi="Palatino Linotype" w:eastAsia="Calibri" w:cs="Tahoma"/>
          <w:iCs/>
          <w:sz w:val="22"/>
          <w:szCs w:val="22"/>
          <w:lang w:val="es-ES" w:eastAsia="es-ES_tradnl"/>
        </w:rPr>
        <w:t>en consulta directa</w:t>
      </w:r>
      <w:r w:rsidRPr="007C325C" w:rsidR="00C10DCD">
        <w:rPr>
          <w:rFonts w:ascii="Palatino Linotype" w:hAnsi="Palatino Linotype" w:eastAsia="Calibri" w:cs="Tahoma"/>
          <w:iCs/>
          <w:sz w:val="22"/>
          <w:szCs w:val="22"/>
          <w:lang w:val="es-ES" w:eastAsia="es-ES_tradnl"/>
        </w:rPr>
        <w:t xml:space="preserve">, </w:t>
      </w:r>
      <w:r w:rsidRPr="007C325C" w:rsidR="00C10DCD">
        <w:rPr>
          <w:rFonts w:ascii="Palatino Linotype" w:hAnsi="Palatino Linotype" w:eastAsia="Calibri" w:cs="Tahoma"/>
          <w:iCs/>
          <w:sz w:val="22"/>
          <w:szCs w:val="22"/>
          <w:lang w:eastAsia="es-ES_tradnl"/>
        </w:rPr>
        <w:t>razón por la cual el Recurrente se inconformó por</w:t>
      </w:r>
      <w:r w:rsidRPr="007C325C" w:rsidR="00D10120">
        <w:rPr>
          <w:rFonts w:ascii="Palatino Linotype" w:hAnsi="Palatino Linotype" w:eastAsia="Calibri" w:cs="Tahoma"/>
          <w:iCs/>
          <w:sz w:val="22"/>
          <w:szCs w:val="22"/>
          <w:lang w:eastAsia="es-ES_tradnl"/>
        </w:rPr>
        <w:t xml:space="preserve"> </w:t>
      </w:r>
      <w:r w:rsidRPr="007C325C">
        <w:rPr>
          <w:rFonts w:ascii="Palatino Linotype" w:hAnsi="Palatino Linotype" w:eastAsia="Calibri" w:cs="Tahoma"/>
          <w:iCs/>
          <w:sz w:val="22"/>
          <w:szCs w:val="22"/>
          <w:lang w:eastAsia="es-ES_tradnl"/>
        </w:rPr>
        <w:t>el cambio de modalidad propuesto para consultar la información</w:t>
      </w:r>
      <w:r w:rsidRPr="007C325C" w:rsidR="00C10DCD">
        <w:rPr>
          <w:rFonts w:ascii="Palatino Linotype" w:hAnsi="Palatino Linotype" w:eastAsia="Calibri" w:cs="Tahoma"/>
          <w:iCs/>
          <w:sz w:val="22"/>
          <w:szCs w:val="22"/>
          <w:lang w:eastAsia="es-ES_tradnl"/>
        </w:rPr>
        <w:t xml:space="preserve">, </w:t>
      </w:r>
      <w:r w:rsidRPr="007C325C" w:rsidR="00C10DCD">
        <w:rPr>
          <w:rFonts w:ascii="Palatino Linotype" w:hAnsi="Palatino Linotype" w:eastAsia="Calibri" w:cs="Tahoma"/>
          <w:sz w:val="22"/>
          <w:szCs w:val="22"/>
          <w:lang w:eastAsia="es-ES_tradnl"/>
        </w:rPr>
        <w:t xml:space="preserve">por lo que se entrará al estudio del asunto por el supuesto previsto en el artículo 179, </w:t>
      </w:r>
      <w:r w:rsidRPr="007C325C" w:rsidR="00C03CD5">
        <w:rPr>
          <w:rFonts w:ascii="Palatino Linotype" w:hAnsi="Palatino Linotype" w:eastAsia="Calibri" w:cs="Tahoma"/>
          <w:sz w:val="22"/>
          <w:szCs w:val="22"/>
          <w:lang w:eastAsia="es-ES_tradnl"/>
        </w:rPr>
        <w:t>fracción</w:t>
      </w:r>
      <w:r w:rsidRPr="007C325C" w:rsidR="004B648E">
        <w:rPr>
          <w:rFonts w:ascii="Palatino Linotype" w:hAnsi="Palatino Linotype" w:eastAsia="Calibri" w:cs="Tahoma"/>
          <w:sz w:val="22"/>
          <w:szCs w:val="22"/>
          <w:lang w:eastAsia="es-ES_tradnl"/>
        </w:rPr>
        <w:t xml:space="preserve"> </w:t>
      </w:r>
      <w:r w:rsidRPr="007C325C">
        <w:rPr>
          <w:rFonts w:ascii="Palatino Linotype" w:hAnsi="Palatino Linotype" w:eastAsia="Calibri" w:cs="Tahoma"/>
          <w:sz w:val="22"/>
          <w:szCs w:val="22"/>
          <w:lang w:eastAsia="es-ES_tradnl"/>
        </w:rPr>
        <w:t>VII</w:t>
      </w:r>
      <w:r w:rsidRPr="007C325C" w:rsidR="004B648E">
        <w:rPr>
          <w:rFonts w:ascii="Palatino Linotype" w:hAnsi="Palatino Linotype" w:eastAsia="Calibri" w:cs="Tahoma"/>
          <w:sz w:val="22"/>
          <w:szCs w:val="22"/>
          <w:lang w:eastAsia="es-ES_tradnl"/>
        </w:rPr>
        <w:t>I</w:t>
      </w:r>
      <w:r w:rsidRPr="007C325C" w:rsidR="00C10DCD">
        <w:rPr>
          <w:rFonts w:ascii="Palatino Linotype" w:hAnsi="Palatino Linotype" w:eastAsia="Calibri" w:cs="Tahoma"/>
          <w:sz w:val="22"/>
          <w:szCs w:val="22"/>
          <w:lang w:eastAsia="es-ES_tradnl"/>
        </w:rPr>
        <w:t>, de la Ley de Transparencia y Acceso a la Información Pública del Estado de México y Municipios</w:t>
      </w:r>
      <w:r w:rsidRPr="007C325C" w:rsidR="00C10DCD">
        <w:rPr>
          <w:rFonts w:ascii="Palatino Linotype" w:hAnsi="Palatino Linotype" w:eastAsia="Calibri" w:cs="Tahoma"/>
          <w:b/>
          <w:sz w:val="22"/>
          <w:szCs w:val="22"/>
          <w:lang w:eastAsia="es-ES_tradnl"/>
        </w:rPr>
        <w:t>.</w:t>
      </w:r>
    </w:p>
    <w:p w:rsidRPr="007C325C" w:rsidR="00E3675A" w:rsidP="00855D7E" w:rsidRDefault="00E3675A" w14:paraId="3193304C" w14:textId="77777777">
      <w:pPr>
        <w:tabs>
          <w:tab w:val="left" w:pos="4962"/>
        </w:tabs>
        <w:spacing w:line="360" w:lineRule="auto"/>
        <w:contextualSpacing/>
        <w:jc w:val="both"/>
        <w:rPr>
          <w:rFonts w:ascii="Palatino Linotype" w:hAnsi="Palatino Linotype" w:eastAsia="Calibri" w:cs="Tahoma"/>
          <w:sz w:val="22"/>
          <w:szCs w:val="22"/>
          <w:lang w:eastAsia="es-ES_tradnl"/>
        </w:rPr>
      </w:pPr>
    </w:p>
    <w:p w:rsidRPr="007C325C" w:rsidR="00C10DCD" w:rsidP="00855D7E" w:rsidRDefault="00C10DCD" w14:paraId="76B0B17E" w14:textId="77777777">
      <w:pPr>
        <w:tabs>
          <w:tab w:val="left" w:pos="4962"/>
        </w:tabs>
        <w:spacing w:line="360" w:lineRule="auto"/>
        <w:contextualSpacing/>
        <w:jc w:val="both"/>
        <w:rPr>
          <w:rFonts w:ascii="Palatino Linotype" w:hAnsi="Palatino Linotype" w:eastAsia="Calibri" w:cs="Tahoma"/>
          <w:iCs/>
          <w:sz w:val="22"/>
          <w:szCs w:val="22"/>
          <w:lang w:eastAsia="es-ES_tradnl"/>
        </w:rPr>
      </w:pPr>
      <w:r w:rsidRPr="007C325C">
        <w:rPr>
          <w:rFonts w:ascii="Palatino Linotype" w:hAnsi="Palatino Linotype" w:eastAsia="Calibri" w:cs="Tahoma"/>
          <w:iCs/>
          <w:sz w:val="22"/>
          <w:szCs w:val="22"/>
          <w:lang w:eastAsia="es-ES_tradnl"/>
        </w:rPr>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 que se resuelve.</w:t>
      </w:r>
    </w:p>
    <w:p w:rsidRPr="007C325C" w:rsidR="00C10DCD" w:rsidP="00855D7E" w:rsidRDefault="00C10DCD" w14:paraId="73961F76" w14:textId="77777777">
      <w:pPr>
        <w:tabs>
          <w:tab w:val="left" w:pos="4962"/>
        </w:tabs>
        <w:spacing w:line="360" w:lineRule="auto"/>
        <w:contextualSpacing/>
        <w:jc w:val="both"/>
        <w:rPr>
          <w:rFonts w:ascii="Palatino Linotype" w:hAnsi="Palatino Linotype" w:eastAsia="Calibri" w:cs="Tahoma"/>
          <w:iCs/>
          <w:sz w:val="22"/>
          <w:szCs w:val="24"/>
          <w:lang w:val="es-ES" w:eastAsia="es-ES_tradnl"/>
        </w:rPr>
      </w:pPr>
    </w:p>
    <w:p w:rsidRPr="007C325C" w:rsidR="00C10DCD" w:rsidP="00855D7E" w:rsidRDefault="00C10DCD" w14:paraId="6141F943" w14:textId="1F7C0CDB">
      <w:pPr>
        <w:spacing w:line="360" w:lineRule="auto"/>
        <w:ind w:right="-93"/>
        <w:contextualSpacing/>
        <w:jc w:val="both"/>
        <w:rPr>
          <w:rFonts w:ascii="Palatino Linotype" w:hAnsi="Palatino Linotype" w:cs="Tahoma"/>
          <w:b/>
          <w:sz w:val="22"/>
          <w:szCs w:val="24"/>
        </w:rPr>
      </w:pPr>
      <w:r w:rsidRPr="007C325C">
        <w:rPr>
          <w:rFonts w:ascii="Palatino Linotype" w:hAnsi="Palatino Linotype" w:cs="Tahoma"/>
          <w:b/>
          <w:sz w:val="22"/>
          <w:szCs w:val="24"/>
          <w:lang w:val="es-ES"/>
        </w:rPr>
        <w:lastRenderedPageBreak/>
        <w:t xml:space="preserve">CUARTO. </w:t>
      </w:r>
      <w:r w:rsidRPr="007C325C">
        <w:rPr>
          <w:rFonts w:ascii="Palatino Linotype" w:hAnsi="Palatino Linotype" w:cs="Tahoma"/>
          <w:b/>
          <w:sz w:val="22"/>
          <w:szCs w:val="24"/>
        </w:rPr>
        <w:t>Marco normativo aplicable en materia de transparencia y acceso a la información pública.</w:t>
      </w:r>
    </w:p>
    <w:p w:rsidRPr="007C325C" w:rsidR="00622698" w:rsidP="00855D7E" w:rsidRDefault="00622698" w14:paraId="7505F02B" w14:textId="77777777">
      <w:pPr>
        <w:spacing w:line="360" w:lineRule="auto"/>
        <w:ind w:right="-93"/>
        <w:contextualSpacing/>
        <w:jc w:val="both"/>
        <w:rPr>
          <w:rFonts w:ascii="Palatino Linotype" w:hAnsi="Palatino Linotype" w:cs="Tahoma"/>
          <w:b/>
          <w:sz w:val="22"/>
          <w:szCs w:val="24"/>
        </w:rPr>
      </w:pPr>
    </w:p>
    <w:p w:rsidRPr="007C325C" w:rsidR="00C10DCD" w:rsidP="00855D7E" w:rsidRDefault="00C10DCD" w14:paraId="3B0461DF" w14:textId="77777777">
      <w:pPr>
        <w:spacing w:line="360" w:lineRule="auto"/>
        <w:contextualSpacing/>
        <w:jc w:val="both"/>
        <w:rPr>
          <w:rFonts w:ascii="Palatino Linotype" w:hAnsi="Palatino Linotype" w:cs="Tahoma"/>
          <w:sz w:val="22"/>
          <w:szCs w:val="24"/>
        </w:rPr>
      </w:pPr>
      <w:r w:rsidRPr="007C325C">
        <w:rPr>
          <w:rFonts w:ascii="Palatino Linotype" w:hAnsi="Palatino Linotype" w:cs="Tahoma"/>
          <w:sz w:val="22"/>
          <w:szCs w:val="24"/>
        </w:rPr>
        <w:t>El artículo 6°, Apartado A), fracción I de la Constitución Política de los Estados Unidos Mexicanos, establece que toda la información en posesión de cualquier autoridad, es pública y sólo podrá ser reservada temporalmente por razones de interés público.</w:t>
      </w:r>
    </w:p>
    <w:p w:rsidRPr="007C325C" w:rsidR="00273348" w:rsidP="00855D7E" w:rsidRDefault="00273348" w14:paraId="322B7C62" w14:textId="77777777">
      <w:pPr>
        <w:spacing w:line="360" w:lineRule="auto"/>
        <w:contextualSpacing/>
        <w:jc w:val="both"/>
        <w:rPr>
          <w:rFonts w:ascii="Palatino Linotype" w:hAnsi="Palatino Linotype" w:cs="Tahoma"/>
          <w:sz w:val="22"/>
          <w:szCs w:val="24"/>
        </w:rPr>
      </w:pPr>
    </w:p>
    <w:p w:rsidRPr="007C325C" w:rsidR="00C10DCD" w:rsidP="00855D7E" w:rsidRDefault="00C10DCD" w14:paraId="494F834F" w14:textId="77777777">
      <w:pPr>
        <w:spacing w:line="360" w:lineRule="auto"/>
        <w:contextualSpacing/>
        <w:jc w:val="both"/>
        <w:rPr>
          <w:rFonts w:ascii="Palatino Linotype" w:hAnsi="Palatino Linotype" w:cs="Tahoma"/>
          <w:sz w:val="22"/>
          <w:szCs w:val="24"/>
        </w:rPr>
      </w:pPr>
      <w:r w:rsidRPr="007C325C">
        <w:rPr>
          <w:rFonts w:ascii="Palatino Linotype" w:hAnsi="Palatino Linotype" w:cs="Tahoma"/>
          <w:sz w:val="22"/>
          <w:szCs w:val="24"/>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rsidRPr="007C325C" w:rsidR="00C10DCD" w:rsidP="00855D7E" w:rsidRDefault="00C10DCD" w14:paraId="0A6D4106" w14:textId="77777777">
      <w:pPr>
        <w:spacing w:line="360" w:lineRule="auto"/>
        <w:contextualSpacing/>
        <w:jc w:val="both"/>
        <w:rPr>
          <w:rFonts w:ascii="Palatino Linotype" w:hAnsi="Palatino Linotype" w:cs="Tahoma"/>
          <w:sz w:val="22"/>
          <w:szCs w:val="24"/>
        </w:rPr>
      </w:pPr>
    </w:p>
    <w:p w:rsidRPr="007C325C" w:rsidR="00C10DCD" w:rsidP="00855D7E" w:rsidRDefault="00C10DCD" w14:paraId="1C64360F" w14:textId="77777777">
      <w:pPr>
        <w:spacing w:line="360" w:lineRule="auto"/>
        <w:contextualSpacing/>
        <w:jc w:val="both"/>
        <w:rPr>
          <w:rFonts w:ascii="Palatino Linotype" w:hAnsi="Palatino Linotype" w:cs="Tahoma"/>
          <w:sz w:val="22"/>
          <w:szCs w:val="24"/>
        </w:rPr>
      </w:pPr>
      <w:r w:rsidRPr="007C325C">
        <w:rPr>
          <w:rFonts w:ascii="Palatino Linotype" w:hAnsi="Palatino Linotype" w:cs="Tahoma"/>
          <w:sz w:val="22"/>
          <w:szCs w:val="24"/>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Pr="007C325C" w:rsidR="00C10DCD" w:rsidP="00855D7E" w:rsidRDefault="00C10DCD" w14:paraId="4B7A9DBD" w14:textId="77777777">
      <w:pPr>
        <w:spacing w:line="360" w:lineRule="auto"/>
        <w:contextualSpacing/>
        <w:jc w:val="both"/>
        <w:rPr>
          <w:rFonts w:ascii="Palatino Linotype" w:hAnsi="Palatino Linotype" w:cs="Tahoma"/>
          <w:sz w:val="22"/>
          <w:szCs w:val="24"/>
        </w:rPr>
      </w:pPr>
    </w:p>
    <w:p w:rsidRPr="007C325C" w:rsidR="00C10DCD" w:rsidP="00855D7E" w:rsidRDefault="00C10DCD" w14:paraId="3A022FA8" w14:textId="77777777">
      <w:pPr>
        <w:spacing w:line="360" w:lineRule="auto"/>
        <w:contextualSpacing/>
        <w:jc w:val="both"/>
        <w:rPr>
          <w:rFonts w:ascii="Palatino Linotype" w:hAnsi="Palatino Linotype" w:cs="Tahoma"/>
          <w:sz w:val="22"/>
          <w:szCs w:val="24"/>
        </w:rPr>
      </w:pPr>
      <w:r w:rsidRPr="007C325C">
        <w:rPr>
          <w:rFonts w:ascii="Palatino Linotype" w:hAnsi="Palatino Linotype" w:cs="Tahoma"/>
          <w:sz w:val="22"/>
          <w:szCs w:val="24"/>
        </w:rPr>
        <w:t>Por su parte, la Ley de Transparencia y Acceso a la Información Pública del Estado de México y Municipios (Reglamentaria del artículo 5° de la Constitución Local), establece lo siguiente:</w:t>
      </w:r>
    </w:p>
    <w:p w:rsidRPr="007C325C" w:rsidR="00C10DCD" w:rsidP="00855D7E" w:rsidRDefault="00C10DCD" w14:paraId="00EB0B43" w14:textId="77777777">
      <w:pPr>
        <w:spacing w:line="360" w:lineRule="auto"/>
        <w:contextualSpacing/>
        <w:jc w:val="both"/>
        <w:rPr>
          <w:rFonts w:ascii="Palatino Linotype" w:hAnsi="Palatino Linotype" w:cs="Tahoma"/>
          <w:sz w:val="22"/>
          <w:szCs w:val="24"/>
        </w:rPr>
      </w:pPr>
    </w:p>
    <w:p w:rsidRPr="007C325C" w:rsidR="00C10DCD" w:rsidP="00855D7E" w:rsidRDefault="00C10DCD" w14:paraId="541BCAE7" w14:textId="77777777">
      <w:pPr>
        <w:spacing w:line="360" w:lineRule="auto"/>
        <w:contextualSpacing/>
        <w:jc w:val="both"/>
        <w:rPr>
          <w:rFonts w:ascii="Palatino Linotype" w:hAnsi="Palatino Linotype" w:cs="Tahoma"/>
          <w:sz w:val="22"/>
          <w:szCs w:val="24"/>
        </w:rPr>
      </w:pPr>
      <w:r w:rsidRPr="007C325C">
        <w:rPr>
          <w:rFonts w:ascii="Palatino Linotype" w:hAnsi="Palatino Linotype" w:cs="Tahoma"/>
          <w:sz w:val="22"/>
          <w:szCs w:val="24"/>
        </w:rPr>
        <w:t>El artículo 12, que, quienes generen, recopilen, administren, manejen, procesen, archiven o conserven información pública serán responsables de la misma.</w:t>
      </w:r>
      <w:r w:rsidRPr="007C325C" w:rsidR="00FA3C9F">
        <w:rPr>
          <w:rFonts w:ascii="Palatino Linotype" w:hAnsi="Palatino Linotype" w:cs="Tahoma"/>
          <w:sz w:val="22"/>
          <w:szCs w:val="24"/>
        </w:rPr>
        <w:t xml:space="preserve"> </w:t>
      </w:r>
      <w:r w:rsidRPr="007C325C">
        <w:rPr>
          <w:rFonts w:ascii="Palatino Linotype" w:hAnsi="Palatino Linotype" w:cs="Tahoma"/>
          <w:sz w:val="22"/>
          <w:szCs w:val="24"/>
        </w:rPr>
        <w:t>El artículo 18, que, los Sujetos Obligados deberán documentar todo acto que derive del ejercicio de sus facultades, competencias o funciones, considerando desde su origen la eventual publicidad y reutilización de la información que generen.</w:t>
      </w:r>
    </w:p>
    <w:p w:rsidRPr="007C325C" w:rsidR="00C10DCD" w:rsidP="00855D7E" w:rsidRDefault="00C10DCD" w14:paraId="4AA6E8E1" w14:textId="77777777">
      <w:pPr>
        <w:spacing w:line="360" w:lineRule="auto"/>
        <w:contextualSpacing/>
        <w:jc w:val="both"/>
        <w:rPr>
          <w:rFonts w:ascii="Palatino Linotype" w:hAnsi="Palatino Linotype" w:cs="Tahoma"/>
          <w:sz w:val="22"/>
          <w:szCs w:val="24"/>
        </w:rPr>
      </w:pPr>
      <w:r w:rsidRPr="007C325C">
        <w:rPr>
          <w:rFonts w:ascii="Palatino Linotype" w:hAnsi="Palatino Linotype" w:cs="Tahoma"/>
          <w:sz w:val="22"/>
          <w:szCs w:val="24"/>
        </w:rPr>
        <w:lastRenderedPageBreak/>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Pr="007C325C" w:rsidR="002919DB" w:rsidP="00855D7E" w:rsidRDefault="002919DB" w14:paraId="0040E605" w14:textId="77777777">
      <w:pPr>
        <w:spacing w:line="360" w:lineRule="auto"/>
        <w:contextualSpacing/>
        <w:jc w:val="both"/>
        <w:rPr>
          <w:rFonts w:ascii="Palatino Linotype" w:hAnsi="Palatino Linotype" w:cs="Tahoma"/>
          <w:sz w:val="22"/>
          <w:szCs w:val="24"/>
        </w:rPr>
      </w:pPr>
    </w:p>
    <w:p w:rsidRPr="007C325C" w:rsidR="00C10DCD" w:rsidP="00855D7E" w:rsidRDefault="00C10DCD" w14:paraId="54C4FEF8" w14:textId="125E3B0D">
      <w:pPr>
        <w:spacing w:line="360" w:lineRule="auto"/>
        <w:contextualSpacing/>
        <w:jc w:val="both"/>
        <w:rPr>
          <w:rFonts w:ascii="Palatino Linotype" w:hAnsi="Palatino Linotype" w:cs="Tahoma"/>
          <w:b/>
          <w:sz w:val="22"/>
          <w:szCs w:val="24"/>
          <w:lang w:val="es-ES"/>
        </w:rPr>
      </w:pPr>
      <w:r w:rsidRPr="007C325C">
        <w:rPr>
          <w:rFonts w:ascii="Palatino Linotype" w:hAnsi="Palatino Linotype" w:cs="Tahoma"/>
          <w:b/>
          <w:caps/>
          <w:sz w:val="22"/>
          <w:szCs w:val="24"/>
          <w:lang w:val="es-ES"/>
        </w:rPr>
        <w:t>Quinto</w:t>
      </w:r>
      <w:r w:rsidRPr="007C325C">
        <w:rPr>
          <w:rFonts w:ascii="Palatino Linotype" w:hAnsi="Palatino Linotype" w:cs="Tahoma"/>
          <w:b/>
          <w:sz w:val="22"/>
          <w:szCs w:val="24"/>
          <w:lang w:val="es-ES"/>
        </w:rPr>
        <w:t>. Estudio de Fondo.</w:t>
      </w:r>
    </w:p>
    <w:p w:rsidRPr="007C325C" w:rsidR="00622698" w:rsidP="00855D7E" w:rsidRDefault="00622698" w14:paraId="440C1B31" w14:textId="77777777">
      <w:pPr>
        <w:spacing w:line="360" w:lineRule="auto"/>
        <w:contextualSpacing/>
        <w:jc w:val="both"/>
        <w:rPr>
          <w:rFonts w:ascii="Palatino Linotype" w:hAnsi="Palatino Linotype" w:cs="Tahoma"/>
          <w:b/>
          <w:sz w:val="22"/>
          <w:szCs w:val="24"/>
          <w:lang w:val="es-ES"/>
        </w:rPr>
      </w:pPr>
    </w:p>
    <w:p w:rsidRPr="007C325C" w:rsidR="00C10DCD" w:rsidP="00855D7E" w:rsidRDefault="00C10DCD" w14:paraId="24764FEE" w14:textId="77777777">
      <w:pPr>
        <w:spacing w:line="360" w:lineRule="auto"/>
        <w:contextualSpacing/>
        <w:jc w:val="both"/>
        <w:rPr>
          <w:rFonts w:ascii="Palatino Linotype" w:hAnsi="Palatino Linotype" w:cs="Tahoma"/>
          <w:sz w:val="22"/>
          <w:szCs w:val="22"/>
        </w:rPr>
      </w:pPr>
      <w:r w:rsidRPr="007C325C">
        <w:rPr>
          <w:rFonts w:ascii="Palatino Linotype" w:hAnsi="Palatino Linotype" w:cs="Tahoma"/>
          <w:sz w:val="22"/>
          <w:szCs w:val="22"/>
        </w:rPr>
        <w:t>Una vez determinada la vía sobre la que versará la presente Resolución y previa revisión del expediente electrónico formado en el Sistema de Acceso a la Información Mexiquense (SAIMEX), con motivo de las solicitudes de información y de los recursos a que dan origen, es conveniente analizar si la respuesta del Sujeto Obligado cumple con los requisitos y procedimientos del derecho de acceso a la información pública.</w:t>
      </w:r>
    </w:p>
    <w:p w:rsidRPr="007C325C" w:rsidR="00C10DCD" w:rsidP="00855D7E" w:rsidRDefault="00C10DCD" w14:paraId="69E52B89" w14:textId="77777777">
      <w:pPr>
        <w:spacing w:line="360" w:lineRule="auto"/>
        <w:contextualSpacing/>
        <w:jc w:val="both"/>
        <w:rPr>
          <w:rFonts w:ascii="Palatino Linotype" w:hAnsi="Palatino Linotype" w:cs="Tahoma"/>
          <w:sz w:val="22"/>
          <w:szCs w:val="22"/>
        </w:rPr>
      </w:pPr>
    </w:p>
    <w:p w:rsidRPr="007C325C" w:rsidR="00C10DCD" w:rsidP="00855D7E" w:rsidRDefault="00C10DCD" w14:paraId="17C40AF4" w14:textId="6A63BB24">
      <w:pPr>
        <w:spacing w:line="360" w:lineRule="auto"/>
        <w:contextualSpacing/>
        <w:jc w:val="both"/>
        <w:rPr>
          <w:rFonts w:ascii="Palatino Linotype" w:hAnsi="Palatino Linotype" w:cs="Tahoma"/>
          <w:sz w:val="22"/>
          <w:szCs w:val="22"/>
        </w:rPr>
      </w:pPr>
      <w:r w:rsidRPr="007C325C">
        <w:rPr>
          <w:rFonts w:ascii="Palatino Linotype" w:hAnsi="Palatino Linotype" w:cs="Tahoma"/>
          <w:sz w:val="22"/>
          <w:szCs w:val="22"/>
          <w:lang w:val="es-ES_tradnl"/>
        </w:rPr>
        <w:t xml:space="preserve">En ese orden de ideas, </w:t>
      </w:r>
      <w:r w:rsidRPr="007C325C">
        <w:rPr>
          <w:rFonts w:ascii="Palatino Linotype" w:hAnsi="Palatino Linotype" w:cs="Tahoma"/>
          <w:sz w:val="22"/>
          <w:szCs w:val="22"/>
        </w:rPr>
        <w:t xml:space="preserve">es importante señalar que, el artículo 4°, párrafo segundo, de la Ley de Transparencia y Acceso a la Información Pública del Estado de México y Municipios, señala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de Transparencia, Acceso a la Información  Pública, la presente Ley y demás disposiciones de la materia, privilegiando el principio de máxima </w:t>
      </w:r>
      <w:r w:rsidRPr="007C325C" w:rsidR="001E68B9">
        <w:rPr>
          <w:rFonts w:ascii="Palatino Linotype" w:hAnsi="Palatino Linotype" w:cs="Tahoma"/>
          <w:sz w:val="22"/>
          <w:szCs w:val="22"/>
        </w:rPr>
        <w:t>publicidad de la información. Só</w:t>
      </w:r>
      <w:r w:rsidRPr="007C325C">
        <w:rPr>
          <w:rFonts w:ascii="Palatino Linotype" w:hAnsi="Palatino Linotype" w:cs="Tahoma"/>
          <w:sz w:val="22"/>
          <w:szCs w:val="22"/>
        </w:rPr>
        <w:t xml:space="preserve">lo podrá ser clasificada excepcionalmente como reservada temporalmente por razones de interés público, en los términos de las causas legítimas y estrictamente necesarias previstas por esta Ley.  </w:t>
      </w:r>
    </w:p>
    <w:p w:rsidRPr="007C325C" w:rsidR="00C10DCD" w:rsidP="00855D7E" w:rsidRDefault="00C10DCD" w14:paraId="56E4E07F" w14:textId="77777777">
      <w:pPr>
        <w:tabs>
          <w:tab w:val="left" w:pos="1562"/>
        </w:tabs>
        <w:spacing w:line="360" w:lineRule="auto"/>
        <w:contextualSpacing/>
        <w:jc w:val="both"/>
        <w:rPr>
          <w:rFonts w:ascii="Palatino Linotype" w:hAnsi="Palatino Linotype" w:cs="Tahoma"/>
          <w:sz w:val="22"/>
          <w:szCs w:val="22"/>
        </w:rPr>
      </w:pPr>
    </w:p>
    <w:p w:rsidRPr="007C325C" w:rsidR="00C10DCD" w:rsidP="00855D7E" w:rsidRDefault="00C10DCD" w14:paraId="25854846" w14:textId="77777777">
      <w:pPr>
        <w:spacing w:line="360" w:lineRule="auto"/>
        <w:contextualSpacing/>
        <w:jc w:val="both"/>
        <w:rPr>
          <w:rFonts w:ascii="Palatino Linotype" w:hAnsi="Palatino Linotype" w:cs="Tahoma"/>
          <w:sz w:val="22"/>
          <w:szCs w:val="22"/>
        </w:rPr>
      </w:pPr>
      <w:r w:rsidRPr="007C325C">
        <w:rPr>
          <w:rFonts w:ascii="Palatino Linotype" w:hAnsi="Palatino Linotype" w:cs="Tahoma"/>
          <w:sz w:val="22"/>
          <w:szCs w:val="22"/>
        </w:rPr>
        <w:t xml:space="preserve">De lo anterior, se deduce que la información generada, obtenida, adquirida, transmitida, administrada o en posesión de los Sujetos Obligados, será accesible a cualquier persona, </w:t>
      </w:r>
      <w:r w:rsidRPr="007C325C">
        <w:rPr>
          <w:rFonts w:ascii="Palatino Linotype" w:hAnsi="Palatino Linotype" w:cs="Tahoma"/>
          <w:sz w:val="22"/>
          <w:szCs w:val="22"/>
        </w:rPr>
        <w:lastRenderedPageBreak/>
        <w:t>privilegiando el principio de máxima publicidad de la información.</w:t>
      </w:r>
      <w:r w:rsidRPr="007C325C" w:rsidR="00FD0537">
        <w:rPr>
          <w:rFonts w:ascii="Palatino Linotype" w:hAnsi="Palatino Linotype" w:cs="Tahoma"/>
          <w:sz w:val="22"/>
          <w:szCs w:val="22"/>
        </w:rPr>
        <w:t xml:space="preserve"> </w:t>
      </w:r>
      <w:r w:rsidRPr="007C325C">
        <w:rPr>
          <w:rFonts w:ascii="Palatino Linotype" w:hAnsi="Palatino Linotype" w:cs="Tahoma"/>
          <w:sz w:val="22"/>
          <w:szCs w:val="22"/>
        </w:rPr>
        <w:t xml:space="preserve">En síntesis, el derecho de acceso a la información pública se satisface en aquellos casos en que se entregue el soporte documental en que conste la información pública, sin la necesidad de elaborar documentos </w:t>
      </w:r>
      <w:r w:rsidRPr="007C325C">
        <w:rPr>
          <w:rFonts w:ascii="Palatino Linotype" w:hAnsi="Palatino Linotype" w:cs="Tahoma"/>
          <w:i/>
          <w:sz w:val="22"/>
          <w:szCs w:val="22"/>
        </w:rPr>
        <w:t>ad hoc</w:t>
      </w:r>
      <w:r w:rsidRPr="007C325C">
        <w:rPr>
          <w:rFonts w:ascii="Palatino Linotype" w:hAnsi="Palatino Linotype" w:cs="Tahoma"/>
          <w:sz w:val="22"/>
          <w:szCs w:val="22"/>
        </w:rPr>
        <w:t>; lo cual, toma sustento en el artículo 160 de la Ley de Transparencia y Acceso a la Información Pública del Estado de México y Municipios, el cual refiere que los sujetos obligados deberán entregar la información que obre en sus archivos.</w:t>
      </w:r>
    </w:p>
    <w:p w:rsidRPr="007C325C" w:rsidR="00D57892" w:rsidP="00855D7E" w:rsidRDefault="00D57892" w14:paraId="05325AA2" w14:textId="77777777">
      <w:pPr>
        <w:spacing w:line="360" w:lineRule="auto"/>
        <w:contextualSpacing/>
        <w:jc w:val="both"/>
        <w:rPr>
          <w:rFonts w:ascii="Palatino Linotype" w:hAnsi="Palatino Linotype" w:cs="Tahoma"/>
          <w:sz w:val="22"/>
          <w:szCs w:val="22"/>
        </w:rPr>
      </w:pPr>
    </w:p>
    <w:p w:rsidRPr="007C325C" w:rsidR="00C10DCD" w:rsidP="00855D7E" w:rsidRDefault="00C10DCD" w14:paraId="77CBAAFA" w14:textId="77777777">
      <w:pPr>
        <w:spacing w:line="360" w:lineRule="auto"/>
        <w:contextualSpacing/>
        <w:jc w:val="both"/>
        <w:rPr>
          <w:rFonts w:ascii="Palatino Linotype" w:hAnsi="Palatino Linotype" w:cs="Tahoma"/>
          <w:sz w:val="22"/>
          <w:szCs w:val="22"/>
        </w:rPr>
      </w:pPr>
      <w:r w:rsidRPr="007C325C">
        <w:rPr>
          <w:rFonts w:ascii="Palatino Linotype" w:hAnsi="Palatino Linotype" w:cs="Tahoma"/>
          <w:sz w:val="22"/>
          <w:szCs w:val="22"/>
        </w:rPr>
        <w:t>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Pr="007C325C" w:rsidR="00C10DCD" w:rsidP="00855D7E" w:rsidRDefault="00C10DCD" w14:paraId="5B6B2684" w14:textId="77777777">
      <w:pPr>
        <w:spacing w:line="360" w:lineRule="auto"/>
        <w:contextualSpacing/>
        <w:jc w:val="both"/>
        <w:rPr>
          <w:rFonts w:ascii="Palatino Linotype" w:hAnsi="Palatino Linotype" w:cs="Tahoma"/>
          <w:sz w:val="22"/>
          <w:szCs w:val="22"/>
        </w:rPr>
      </w:pPr>
    </w:p>
    <w:p w:rsidRPr="007C325C" w:rsidR="005E1D20" w:rsidP="00855D7E" w:rsidRDefault="00FA29F4" w14:paraId="38B16CCC" w14:textId="77777777">
      <w:pPr>
        <w:spacing w:line="360" w:lineRule="auto"/>
        <w:contextualSpacing/>
        <w:jc w:val="both"/>
        <w:rPr>
          <w:rFonts w:ascii="Palatino Linotype" w:hAnsi="Palatino Linotype" w:eastAsia="Calibri" w:cs="Tahoma"/>
          <w:iCs/>
          <w:sz w:val="22"/>
          <w:szCs w:val="22"/>
          <w:lang w:val="es-ES" w:eastAsia="es-ES_tradnl"/>
        </w:rPr>
      </w:pPr>
      <w:r w:rsidRPr="007C325C">
        <w:rPr>
          <w:rFonts w:ascii="Palatino Linotype" w:hAnsi="Palatino Linotype" w:eastAsia="Calibri" w:cs="Tahoma"/>
          <w:iCs/>
          <w:sz w:val="22"/>
          <w:szCs w:val="22"/>
          <w:lang w:val="es-ES" w:eastAsia="es-ES_tradnl"/>
        </w:rPr>
        <w:t>Establecido lo anterior,</w:t>
      </w:r>
      <w:r w:rsidRPr="007C325C" w:rsidR="005E1D20">
        <w:t xml:space="preserve"> </w:t>
      </w:r>
      <w:r w:rsidRPr="007C325C" w:rsidR="005E1D20">
        <w:rPr>
          <w:rFonts w:ascii="Palatino Linotype" w:hAnsi="Palatino Linotype" w:eastAsia="Calibri" w:cs="Tahoma"/>
          <w:iCs/>
          <w:sz w:val="22"/>
          <w:szCs w:val="22"/>
          <w:lang w:val="es-ES" w:eastAsia="es-ES_tradnl"/>
        </w:rPr>
        <w:t>en principio es necesario contextualizar la información de interés del Recurrente; para lo cual, el artículo 108 de la Constitución Política de los Estados Unidos Mexicanos, con relación al diverso 130 de la Constitución Política del Estado Libre y Soberano de México, establecen que se considera como servidor público a toda persona que desempeñe un empleo, cargo o comisión en alguno de los poderes del Estado, organismos autónomos, en los municipios y organismos auxiliares, así como los titulares o quienes hagan sus veces en empresas de participación estatal o municipal, sociedades o asociaciones asimiladas a éstas y en los fideicomisos públicos.</w:t>
      </w:r>
    </w:p>
    <w:p w:rsidRPr="007C325C" w:rsidR="005E1D20" w:rsidP="00855D7E" w:rsidRDefault="005E1D20" w14:paraId="09A79598" w14:textId="77777777">
      <w:pPr>
        <w:spacing w:line="360" w:lineRule="auto"/>
        <w:contextualSpacing/>
        <w:jc w:val="both"/>
        <w:rPr>
          <w:rFonts w:ascii="Palatino Linotype" w:hAnsi="Palatino Linotype" w:eastAsia="Calibri" w:cs="Tahoma"/>
          <w:iCs/>
          <w:sz w:val="22"/>
          <w:szCs w:val="22"/>
          <w:lang w:val="es-ES" w:eastAsia="es-ES_tradnl"/>
        </w:rPr>
      </w:pPr>
    </w:p>
    <w:p w:rsidRPr="007C325C" w:rsidR="005E1D20" w:rsidP="00855D7E" w:rsidRDefault="005E1D20" w14:paraId="7D22A6A1" w14:textId="77777777">
      <w:pPr>
        <w:spacing w:line="360" w:lineRule="auto"/>
        <w:contextualSpacing/>
        <w:jc w:val="both"/>
        <w:rPr>
          <w:rFonts w:ascii="Palatino Linotype" w:hAnsi="Palatino Linotype" w:eastAsia="Calibri" w:cs="Tahoma"/>
          <w:iCs/>
          <w:sz w:val="22"/>
          <w:szCs w:val="22"/>
          <w:lang w:val="es-ES" w:eastAsia="es-ES_tradnl"/>
        </w:rPr>
      </w:pPr>
      <w:r w:rsidRPr="007C325C">
        <w:rPr>
          <w:rFonts w:ascii="Palatino Linotype" w:hAnsi="Palatino Linotype" w:eastAsia="Calibri" w:cs="Tahoma"/>
          <w:iCs/>
          <w:sz w:val="22"/>
          <w:szCs w:val="22"/>
          <w:lang w:val="es-ES" w:eastAsia="es-ES_tradnl"/>
        </w:rPr>
        <w:t xml:space="preserve">En ese orden de ideas, el 47 de la Ley de Trabajo de los Servidores Públicos del Estado de México y Municipios, establece que las personas que quieran ingresar al servicio público deben cumplir diversos requisitos, tales como, presentar una solicitud en el formato oficial, ser de nacionalidad mexicana, estar en ejercicio de derechos civiles y políticos, no haber sido </w:t>
      </w:r>
      <w:r w:rsidRPr="007C325C">
        <w:rPr>
          <w:rFonts w:ascii="Palatino Linotype" w:hAnsi="Palatino Linotype" w:eastAsia="Calibri" w:cs="Tahoma"/>
          <w:iCs/>
          <w:sz w:val="22"/>
          <w:szCs w:val="22"/>
          <w:lang w:val="es-ES" w:eastAsia="es-ES_tradnl"/>
        </w:rPr>
        <w:lastRenderedPageBreak/>
        <w:t xml:space="preserve">separado del servicio, tener buena salud, acreditar los exámenes de conocimientos correspondientes, entre otros. </w:t>
      </w:r>
    </w:p>
    <w:p w:rsidRPr="007C325C" w:rsidR="005E1D20" w:rsidP="00855D7E" w:rsidRDefault="005E1D20" w14:paraId="355F7A75" w14:textId="77777777">
      <w:pPr>
        <w:spacing w:line="360" w:lineRule="auto"/>
        <w:contextualSpacing/>
        <w:jc w:val="both"/>
        <w:rPr>
          <w:rFonts w:ascii="Palatino Linotype" w:hAnsi="Palatino Linotype" w:eastAsia="Calibri" w:cs="Tahoma"/>
          <w:iCs/>
          <w:sz w:val="22"/>
          <w:szCs w:val="22"/>
          <w:lang w:val="es-ES" w:eastAsia="es-ES_tradnl"/>
        </w:rPr>
      </w:pPr>
    </w:p>
    <w:p w:rsidRPr="007C325C" w:rsidR="005E1D20" w:rsidP="00855D7E" w:rsidRDefault="005E1D20" w14:paraId="2AE999AC" w14:textId="77777777">
      <w:pPr>
        <w:spacing w:line="360" w:lineRule="auto"/>
        <w:contextualSpacing/>
        <w:jc w:val="both"/>
        <w:rPr>
          <w:rFonts w:ascii="Palatino Linotype" w:hAnsi="Palatino Linotype" w:eastAsia="Calibri" w:cs="Tahoma"/>
          <w:iCs/>
          <w:sz w:val="22"/>
          <w:szCs w:val="22"/>
          <w:lang w:val="es-ES" w:eastAsia="es-ES_tradnl"/>
        </w:rPr>
      </w:pPr>
      <w:r w:rsidRPr="007C325C">
        <w:rPr>
          <w:rFonts w:ascii="Palatino Linotype" w:hAnsi="Palatino Linotype" w:eastAsia="Calibri" w:cs="Tahoma"/>
          <w:iCs/>
          <w:sz w:val="22"/>
          <w:szCs w:val="22"/>
          <w:lang w:val="es-ES" w:eastAsia="es-ES_tradnl"/>
        </w:rPr>
        <w:t>Además, el Manual de Normas y Procedimientos de Desarrollo y Administración de Personal, establece el procedimiento denominado Expediente de Personal, que establece que su objetivo es mantener actualizada la documentación personal y la histórica-laboral de los servidores públicos, a fin de que el expediente de cada uno de ellos contenga todas las incidencias que ocurren desde su alta hasta su baja; por lo que, los órganos desconcentrados serán los responsables de conformar y mantener actualizados los expedientes de los trabajadores gubernamentales.</w:t>
      </w:r>
    </w:p>
    <w:p w:rsidRPr="007C325C" w:rsidR="005E1D20" w:rsidP="00855D7E" w:rsidRDefault="005E1D20" w14:paraId="5EB913AE" w14:textId="77777777">
      <w:pPr>
        <w:spacing w:line="360" w:lineRule="auto"/>
        <w:contextualSpacing/>
        <w:jc w:val="both"/>
        <w:rPr>
          <w:rFonts w:ascii="Palatino Linotype" w:hAnsi="Palatino Linotype" w:eastAsia="Calibri" w:cs="Tahoma"/>
          <w:iCs/>
          <w:sz w:val="22"/>
          <w:szCs w:val="22"/>
          <w:lang w:val="es-ES" w:eastAsia="es-ES_tradnl"/>
        </w:rPr>
      </w:pPr>
    </w:p>
    <w:p w:rsidRPr="007C325C" w:rsidR="005E1D20" w:rsidP="00855D7E" w:rsidRDefault="005E1D20" w14:paraId="7D34DCE3" w14:textId="77777777">
      <w:pPr>
        <w:spacing w:line="360" w:lineRule="auto"/>
        <w:contextualSpacing/>
        <w:jc w:val="both"/>
        <w:rPr>
          <w:rFonts w:ascii="Palatino Linotype" w:hAnsi="Palatino Linotype" w:eastAsia="Calibri" w:cs="Tahoma"/>
          <w:iCs/>
          <w:sz w:val="22"/>
          <w:szCs w:val="22"/>
          <w:lang w:val="es-ES" w:eastAsia="es-ES_tradnl"/>
        </w:rPr>
      </w:pPr>
      <w:r w:rsidRPr="007C325C">
        <w:rPr>
          <w:rFonts w:ascii="Palatino Linotype" w:hAnsi="Palatino Linotype" w:eastAsia="Calibri" w:cs="Tahoma"/>
          <w:iCs/>
          <w:sz w:val="22"/>
          <w:szCs w:val="22"/>
          <w:lang w:val="es-ES" w:eastAsia="es-ES_tradnl"/>
        </w:rPr>
        <w:t xml:space="preserve">Asimismo, precisa que los expedientes se conformaran por los documentos que los servidores públicos entreguen para ingresar al cargo y se necesiten para causa alta, así como, todos aquellos que se procesen dentro de la dependencia pública, sus reconocimientos y sanciones, los movimientos que les afecten </w:t>
      </w:r>
    </w:p>
    <w:p w:rsidRPr="007C325C" w:rsidR="005E1D20" w:rsidP="00855D7E" w:rsidRDefault="005E1D20" w14:paraId="700AF922" w14:textId="77777777">
      <w:pPr>
        <w:spacing w:line="360" w:lineRule="auto"/>
        <w:contextualSpacing/>
        <w:jc w:val="both"/>
        <w:rPr>
          <w:rFonts w:ascii="Palatino Linotype" w:hAnsi="Palatino Linotype" w:eastAsia="Calibri" w:cs="Tahoma"/>
          <w:iCs/>
          <w:sz w:val="22"/>
          <w:szCs w:val="22"/>
          <w:lang w:val="es-ES" w:eastAsia="es-ES_tradnl"/>
        </w:rPr>
      </w:pPr>
    </w:p>
    <w:p w:rsidRPr="007C325C" w:rsidR="005E1D20" w:rsidP="00855D7E" w:rsidRDefault="005E1D20" w14:paraId="7004732D" w14:textId="77777777">
      <w:pPr>
        <w:spacing w:line="360" w:lineRule="auto"/>
        <w:contextualSpacing/>
        <w:jc w:val="both"/>
        <w:rPr>
          <w:rFonts w:ascii="Palatino Linotype" w:hAnsi="Palatino Linotype" w:eastAsia="Calibri" w:cs="Tahoma"/>
          <w:iCs/>
          <w:sz w:val="22"/>
          <w:szCs w:val="22"/>
          <w:lang w:val="es-ES" w:eastAsia="es-ES_tradnl"/>
        </w:rPr>
      </w:pPr>
      <w:r w:rsidRPr="007C325C">
        <w:rPr>
          <w:rFonts w:ascii="Palatino Linotype" w:hAnsi="Palatino Linotype" w:eastAsia="Calibri" w:cs="Tahoma"/>
          <w:iCs/>
          <w:sz w:val="22"/>
          <w:szCs w:val="22"/>
          <w:lang w:val="es-ES" w:eastAsia="es-ES_tradnl"/>
        </w:rPr>
        <w:t>En ese contexto, el artículo 98, fracción XVII, de la Ley del Trabajo de los Servidores Públicos del Estado de México y Municipios, establece que es obligación de las instituciones públicas el integrar los expedientes de los servidores públicos y proporcionar las constancias que éstos soliciten para el trámite de los asuntos de su interés.</w:t>
      </w:r>
    </w:p>
    <w:p w:rsidRPr="007C325C" w:rsidR="00465CF8" w:rsidP="00855D7E" w:rsidRDefault="00465CF8" w14:paraId="75C37FDA" w14:textId="77777777">
      <w:pPr>
        <w:spacing w:line="360" w:lineRule="auto"/>
        <w:contextualSpacing/>
        <w:jc w:val="both"/>
        <w:rPr>
          <w:rFonts w:ascii="Palatino Linotype" w:hAnsi="Palatino Linotype" w:eastAsia="Calibri" w:cs="Tahoma"/>
          <w:iCs/>
          <w:sz w:val="22"/>
          <w:szCs w:val="22"/>
          <w:lang w:val="es-ES" w:eastAsia="es-ES_tradnl"/>
        </w:rPr>
      </w:pPr>
    </w:p>
    <w:p w:rsidRPr="007C325C" w:rsidR="005E1D20" w:rsidP="00855D7E" w:rsidRDefault="009D7DC7" w14:paraId="680CCDCC" w14:textId="77777777">
      <w:pPr>
        <w:spacing w:line="360" w:lineRule="auto"/>
        <w:contextualSpacing/>
        <w:jc w:val="both"/>
        <w:rPr>
          <w:rFonts w:ascii="Palatino Linotype" w:hAnsi="Palatino Linotype" w:eastAsia="Calibri" w:cs="Tahoma"/>
          <w:iCs/>
          <w:sz w:val="22"/>
          <w:szCs w:val="22"/>
          <w:lang w:val="es-ES" w:eastAsia="es-ES_tradnl"/>
        </w:rPr>
      </w:pPr>
      <w:r w:rsidRPr="007C325C">
        <w:rPr>
          <w:rFonts w:ascii="Palatino Linotype" w:hAnsi="Palatino Linotype" w:eastAsia="Calibri" w:cs="Tahoma"/>
          <w:iCs/>
          <w:sz w:val="22"/>
          <w:szCs w:val="22"/>
          <w:lang w:val="es-ES" w:eastAsia="es-ES_tradnl"/>
        </w:rPr>
        <w:t>Aunado a lo anterior</w:t>
      </w:r>
      <w:r w:rsidRPr="007C325C" w:rsidR="005E1D20">
        <w:rPr>
          <w:rFonts w:ascii="Palatino Linotype" w:hAnsi="Palatino Linotype" w:eastAsia="Calibri" w:cs="Tahoma"/>
          <w:iCs/>
          <w:sz w:val="22"/>
          <w:szCs w:val="22"/>
          <w:lang w:val="es-ES" w:eastAsia="es-ES_tradnl"/>
        </w:rPr>
        <w:t xml:space="preserve">, conforme al artículo 18 de la Ley de Transparencia y Acceso a la Información Pública del Estado de México y Municipios, el cual establece que los sujetos obligados deberán documentar todo acto que derive de sus facultades, competencias y funciones, lo cual, en concordancia con lo señalado en párrafos anteriores, el ingreso al servicio público debe ser documentado. </w:t>
      </w:r>
    </w:p>
    <w:p w:rsidRPr="007C325C" w:rsidR="00591F53" w:rsidP="00855D7E" w:rsidRDefault="00591F53" w14:paraId="062D79B6" w14:textId="77777777">
      <w:pPr>
        <w:spacing w:line="360" w:lineRule="auto"/>
        <w:contextualSpacing/>
        <w:jc w:val="both"/>
        <w:rPr>
          <w:rFonts w:ascii="Palatino Linotype" w:hAnsi="Palatino Linotype" w:eastAsia="Calibri" w:cs="Tahoma"/>
          <w:iCs/>
          <w:sz w:val="22"/>
          <w:szCs w:val="22"/>
          <w:lang w:val="es-ES" w:eastAsia="es-ES_tradnl"/>
        </w:rPr>
      </w:pPr>
      <w:r w:rsidRPr="007C325C">
        <w:rPr>
          <w:rFonts w:ascii="Palatino Linotype" w:hAnsi="Palatino Linotype" w:eastAsia="Calibri" w:cs="Tahoma"/>
          <w:iCs/>
          <w:sz w:val="22"/>
          <w:szCs w:val="22"/>
          <w:lang w:val="es-ES" w:eastAsia="es-ES_tradnl"/>
        </w:rPr>
        <w:lastRenderedPageBreak/>
        <w:t xml:space="preserve">De lo señalado,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w:t>
      </w:r>
      <w:r w:rsidRPr="007C325C" w:rsidR="00BE76DE">
        <w:rPr>
          <w:rFonts w:ascii="Palatino Linotype" w:hAnsi="Palatino Linotype" w:eastAsia="Calibri" w:cs="Tahoma"/>
          <w:iCs/>
          <w:sz w:val="22"/>
          <w:szCs w:val="22"/>
          <w:lang w:val="es-ES" w:eastAsia="es-ES_tradnl"/>
        </w:rPr>
        <w:t>instituciones</w:t>
      </w:r>
      <w:r w:rsidRPr="007C325C">
        <w:rPr>
          <w:rFonts w:ascii="Palatino Linotype" w:hAnsi="Palatino Linotype" w:eastAsia="Calibri" w:cs="Tahoma"/>
          <w:iCs/>
          <w:sz w:val="22"/>
          <w:szCs w:val="22"/>
          <w:lang w:val="es-ES" w:eastAsia="es-ES_tradnl"/>
        </w:rPr>
        <w:t>.</w:t>
      </w:r>
    </w:p>
    <w:p w:rsidRPr="007C325C" w:rsidR="00591F53" w:rsidP="00855D7E" w:rsidRDefault="00591F53" w14:paraId="19A2DBDD" w14:textId="77777777">
      <w:pPr>
        <w:spacing w:line="360" w:lineRule="auto"/>
        <w:contextualSpacing/>
        <w:jc w:val="both"/>
        <w:rPr>
          <w:rFonts w:ascii="Palatino Linotype" w:hAnsi="Palatino Linotype" w:eastAsia="Calibri" w:cs="Tahoma"/>
          <w:iCs/>
          <w:sz w:val="22"/>
          <w:szCs w:val="22"/>
          <w:lang w:val="es-ES" w:eastAsia="es-ES_tradnl"/>
        </w:rPr>
      </w:pPr>
    </w:p>
    <w:p w:rsidRPr="007C325C" w:rsidR="006D7B44" w:rsidP="00855D7E" w:rsidRDefault="00E015EF" w14:paraId="17D96F3A" w14:textId="23F2E337">
      <w:pPr>
        <w:spacing w:line="360" w:lineRule="auto"/>
        <w:contextualSpacing/>
        <w:jc w:val="both"/>
        <w:rPr>
          <w:rFonts w:ascii="Palatino Linotype" w:hAnsi="Palatino Linotype" w:eastAsia="Calibri" w:cs="Tahoma"/>
          <w:iCs/>
          <w:sz w:val="22"/>
          <w:szCs w:val="22"/>
          <w:lang w:val="es-ES" w:eastAsia="es-ES_tradnl"/>
        </w:rPr>
      </w:pPr>
      <w:r w:rsidRPr="007C325C">
        <w:rPr>
          <w:rFonts w:ascii="Palatino Linotype" w:hAnsi="Palatino Linotype" w:eastAsia="Calibri" w:cs="Tahoma"/>
          <w:iCs/>
          <w:sz w:val="22"/>
          <w:szCs w:val="22"/>
          <w:lang w:val="es-ES" w:eastAsia="es-ES_tradnl"/>
        </w:rPr>
        <w:t>Establecido lo anterior, se advierte que el Sujeto Obligado debe contar con la información solicitada, es decir, los expedientes del personal a</w:t>
      </w:r>
      <w:r w:rsidRPr="007C325C" w:rsidR="00DF31BC">
        <w:rPr>
          <w:rFonts w:ascii="Palatino Linotype" w:hAnsi="Palatino Linotype" w:eastAsia="Calibri" w:cs="Tahoma"/>
          <w:iCs/>
          <w:sz w:val="22"/>
          <w:szCs w:val="22"/>
          <w:lang w:val="es-ES" w:eastAsia="es-ES_tradnl"/>
        </w:rPr>
        <w:t>dscrito a la Dirección General,</w:t>
      </w:r>
      <w:r w:rsidRPr="007C325C">
        <w:rPr>
          <w:rFonts w:ascii="Palatino Linotype" w:hAnsi="Palatino Linotype" w:eastAsia="Calibri" w:cs="Tahoma"/>
          <w:iCs/>
          <w:sz w:val="22"/>
          <w:szCs w:val="22"/>
          <w:lang w:val="es-ES" w:eastAsia="es-ES_tradnl"/>
        </w:rPr>
        <w:t xml:space="preserve"> sus áreas</w:t>
      </w:r>
      <w:r w:rsidRPr="007C325C" w:rsidR="00DF31BC">
        <w:rPr>
          <w:rFonts w:ascii="Palatino Linotype" w:hAnsi="Palatino Linotype" w:eastAsia="Calibri" w:cs="Tahoma"/>
          <w:iCs/>
          <w:sz w:val="22"/>
          <w:szCs w:val="22"/>
          <w:lang w:val="es-ES" w:eastAsia="es-ES_tradnl"/>
        </w:rPr>
        <w:t xml:space="preserve"> y la dirección médica con sus subdirecciones</w:t>
      </w:r>
      <w:r w:rsidRPr="007C325C">
        <w:rPr>
          <w:rFonts w:ascii="Palatino Linotype" w:hAnsi="Palatino Linotype" w:eastAsia="Calibri" w:cs="Tahoma"/>
          <w:iCs/>
          <w:sz w:val="22"/>
          <w:szCs w:val="22"/>
          <w:lang w:val="es-ES" w:eastAsia="es-ES_tradnl"/>
        </w:rPr>
        <w:t>, en ese orden de ideas</w:t>
      </w:r>
      <w:r w:rsidRPr="007C325C" w:rsidR="00622698">
        <w:rPr>
          <w:rFonts w:ascii="Palatino Linotype" w:hAnsi="Palatino Linotype" w:eastAsia="Calibri" w:cs="Tahoma"/>
          <w:iCs/>
          <w:sz w:val="22"/>
          <w:szCs w:val="22"/>
          <w:lang w:val="es-ES" w:eastAsia="es-ES_tradnl"/>
        </w:rPr>
        <w:t xml:space="preserve"> tan es así que en atención al requerimiento de información señaló el número total de fojas que conforman la información solicitada, no obstante, se trae a colación</w:t>
      </w:r>
      <w:r w:rsidRPr="007C325C">
        <w:rPr>
          <w:rFonts w:ascii="Palatino Linotype" w:hAnsi="Palatino Linotype" w:eastAsia="Calibri" w:cs="Tahoma"/>
          <w:iCs/>
          <w:sz w:val="22"/>
          <w:szCs w:val="22"/>
          <w:lang w:val="es-ES" w:eastAsia="es-ES_tradnl"/>
        </w:rPr>
        <w:t xml:space="preserve"> el Manual General de Organiz</w:t>
      </w:r>
      <w:r w:rsidRPr="007C325C" w:rsidR="001923FE">
        <w:rPr>
          <w:rFonts w:ascii="Palatino Linotype" w:hAnsi="Palatino Linotype" w:eastAsia="Calibri" w:cs="Tahoma"/>
          <w:iCs/>
          <w:sz w:val="22"/>
          <w:szCs w:val="22"/>
          <w:lang w:val="es-ES" w:eastAsia="es-ES_tradnl"/>
        </w:rPr>
        <w:t xml:space="preserve">ación </w:t>
      </w:r>
      <w:r w:rsidRPr="007C325C">
        <w:rPr>
          <w:rFonts w:ascii="Palatino Linotype" w:hAnsi="Palatino Linotype" w:eastAsia="Calibri" w:cs="Tahoma"/>
          <w:iCs/>
          <w:sz w:val="22"/>
          <w:szCs w:val="22"/>
          <w:lang w:val="es-ES" w:eastAsia="es-ES_tradnl"/>
        </w:rPr>
        <w:t xml:space="preserve">del Hospital Regional de Alta Especialidad de Zumpango, establece </w:t>
      </w:r>
      <w:r w:rsidRPr="007C325C" w:rsidR="001923FE">
        <w:rPr>
          <w:rFonts w:ascii="Palatino Linotype" w:hAnsi="Palatino Linotype" w:eastAsia="Calibri" w:cs="Tahoma"/>
          <w:iCs/>
          <w:sz w:val="22"/>
          <w:szCs w:val="22"/>
          <w:lang w:val="es-ES" w:eastAsia="es-ES_tradnl"/>
        </w:rPr>
        <w:t>su Estructura Orgánica en la que se</w:t>
      </w:r>
      <w:r w:rsidRPr="007C325C" w:rsidR="00DF31BC">
        <w:rPr>
          <w:rFonts w:ascii="Palatino Linotype" w:hAnsi="Palatino Linotype" w:eastAsia="Calibri" w:cs="Tahoma"/>
          <w:iCs/>
          <w:sz w:val="22"/>
          <w:szCs w:val="22"/>
          <w:lang w:val="es-ES" w:eastAsia="es-ES_tradnl"/>
        </w:rPr>
        <w:t xml:space="preserve"> observa a la Dirección General</w:t>
      </w:r>
      <w:r w:rsidRPr="007C325C" w:rsidR="00E2000A">
        <w:rPr>
          <w:rFonts w:ascii="Palatino Linotype" w:hAnsi="Palatino Linotype" w:eastAsia="Calibri" w:cs="Tahoma"/>
          <w:iCs/>
          <w:sz w:val="22"/>
          <w:szCs w:val="22"/>
          <w:lang w:val="es-ES" w:eastAsia="es-ES_tradnl"/>
        </w:rPr>
        <w:t xml:space="preserve"> y todas las áreas dependientes de esta como se advierte en el organigrama</w:t>
      </w:r>
      <w:r w:rsidRPr="007C325C" w:rsidR="00DF31BC">
        <w:rPr>
          <w:rFonts w:ascii="Palatino Linotype" w:hAnsi="Palatino Linotype" w:eastAsia="Calibri" w:cs="Tahoma"/>
          <w:iCs/>
          <w:sz w:val="22"/>
          <w:szCs w:val="22"/>
          <w:lang w:val="es-ES" w:eastAsia="es-ES_tradnl"/>
        </w:rPr>
        <w:t>:</w:t>
      </w:r>
    </w:p>
    <w:p w:rsidRPr="007C325C" w:rsidR="006D7B44" w:rsidP="00855D7E" w:rsidRDefault="00E2000A" w14:paraId="2F8451E1" w14:textId="7888829E">
      <w:pPr>
        <w:spacing w:line="360" w:lineRule="auto"/>
        <w:contextualSpacing/>
        <w:jc w:val="both"/>
        <w:rPr>
          <w:rFonts w:ascii="Palatino Linotype" w:hAnsi="Palatino Linotype" w:eastAsia="Calibri" w:cs="Tahoma"/>
          <w:iCs/>
          <w:sz w:val="22"/>
          <w:szCs w:val="22"/>
          <w:lang w:val="es-ES" w:eastAsia="es-ES_tradnl"/>
        </w:rPr>
      </w:pPr>
      <w:r w:rsidRPr="007C325C">
        <w:rPr>
          <w:rFonts w:ascii="Palatino Linotype" w:hAnsi="Palatino Linotype" w:eastAsia="Calibri" w:cs="Tahoma"/>
          <w:iCs/>
          <w:noProof/>
          <w:sz w:val="22"/>
          <w:szCs w:val="22"/>
          <w:lang w:eastAsia="es-MX"/>
        </w:rPr>
        <mc:AlternateContent>
          <mc:Choice Requires="wps">
            <w:drawing>
              <wp:anchor distT="0" distB="0" distL="114300" distR="114300" simplePos="0" relativeHeight="251662336" behindDoc="0" locked="0" layoutInCell="1" allowOverlap="1" wp14:anchorId="2807DF10" wp14:editId="29C9C022">
                <wp:simplePos x="0" y="0"/>
                <wp:positionH relativeFrom="column">
                  <wp:posOffset>172719</wp:posOffset>
                </wp:positionH>
                <wp:positionV relativeFrom="paragraph">
                  <wp:posOffset>189229</wp:posOffset>
                </wp:positionV>
                <wp:extent cx="5191125" cy="2219325"/>
                <wp:effectExtent l="19050" t="19050" r="28575" b="28575"/>
                <wp:wrapNone/>
                <wp:docPr id="5" name="Conector recto 5"/>
                <wp:cNvGraphicFramePr/>
                <a:graphic xmlns:a="http://schemas.openxmlformats.org/drawingml/2006/main">
                  <a:graphicData uri="http://schemas.microsoft.com/office/word/2010/wordprocessingShape">
                    <wps:wsp>
                      <wps:cNvCnPr/>
                      <wps:spPr>
                        <a:xfrm>
                          <a:off x="0" y="0"/>
                          <a:ext cx="5191125" cy="221932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id="Conector recto 5" style="position:absolute;z-index:251662336;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3pt" from="13.6pt,14.9pt" to="422.35pt,189.65pt" w14:anchorId="77BFDF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iH5vwEAAOQDAAAOAAAAZHJzL2Uyb0RvYy54bWysU01v1DAQvSPxHyzf2cSpitposz20KhcE&#10;FdAf4DrjjSV/yTab7L9n7GSTChASiItje+a9efM82d9NRpMThKic7Sjb1ZSAFa5X9tjR52+P724o&#10;iYnbnmtnoaNniPTu8PbNfvQtNG5wuodAkMTGdvQdHVLybVVFMYDhcec8WAxKFwxPeAzHqg98RHaj&#10;q6au31ejC70PTkCMePswB+mh8EsJIn2WMkIiuqOoLZU1lPUlr9Vhz9tj4H5QYpHB/0GF4cpi0ZXq&#10;gSdOvgf1C5VRIrjoZNoJZyonpRJQesBuWP1TN18H7qH0guZEv9oU/x+t+HS6t08BbRh9bKN/CrmL&#10;SQaTv6iPTMWs82oWTIkIvLxmt4w115QIjDUNu73CA/JUG9yHmD6AMyRvOqqVzd3wlp8+xjSnXlLy&#10;tbZk7OjVDavrkhadVv2j0joHy0TAvQ7kxPEt08SWYq+ysLS2qGBrpezSWcPM/wUkUT2KZ3OBPGUb&#10;JxcCbLrwaovZGSZRwQpclP0JuORnKJQJ/BvwiiiVnU0r2Cjrwu9kb1bIOf/iwNx3tuDF9efyyMUa&#10;HKXyTMvY51l9fS7w7ec8/AAAAP//AwBQSwMEFAAGAAgAAAAhAAE5Ds/eAAAACQEAAA8AAABkcnMv&#10;ZG93bnJldi54bWxMj0FPg0AQhe8m/ofNmHizi7QpLbI0tYknL7Vq0uMWRiBlZ5EdKP57x5M9TWbe&#10;y5vvZZvJtWrEPjSeDDzOIlBIhS8bqgx8vL88rEAFtlTa1hMa+MEAm/z2JrNp6S/0huOBKyUhFFJr&#10;oGbuUq1DUaOzYeY7JNG+fO8sy9pXuuztRcJdq+MoWmpnG5IPte1wV2NxPgzOwLD93u33x894fH5l&#10;uU98Xh7ZmPu7afsEinHifzP84Qs65MJ08gOVQbUG4iQWp8y1NBB9tVgkoE4G5sl6DjrP9HWD/BcA&#10;AP//AwBQSwECLQAUAAYACAAAACEAtoM4kv4AAADhAQAAEwAAAAAAAAAAAAAAAAAAAAAAW0NvbnRl&#10;bnRfVHlwZXNdLnhtbFBLAQItABQABgAIAAAAIQA4/SH/1gAAAJQBAAALAAAAAAAAAAAAAAAAAC8B&#10;AABfcmVscy8ucmVsc1BLAQItABQABgAIAAAAIQAjgiH5vwEAAOQDAAAOAAAAAAAAAAAAAAAAAC4C&#10;AABkcnMvZTJvRG9jLnhtbFBLAQItABQABgAIAAAAIQABOQ7P3gAAAAkBAAAPAAAAAAAAAAAAAAAA&#10;ABkEAABkcnMvZG93bnJldi54bWxQSwUGAAAAAAQABADzAAAAJAUAAAAA&#10;">
                <v:stroke joinstyle="miter"/>
              </v:line>
            </w:pict>
          </mc:Fallback>
        </mc:AlternateContent>
      </w:r>
    </w:p>
    <w:p w:rsidRPr="007C325C" w:rsidR="006D7B44" w:rsidP="00855D7E" w:rsidRDefault="00DF31BC" w14:paraId="0245EE8C" w14:textId="3BDCAED2">
      <w:pPr>
        <w:spacing w:line="360" w:lineRule="auto"/>
        <w:contextualSpacing/>
        <w:jc w:val="center"/>
        <w:rPr>
          <w:rFonts w:ascii="Palatino Linotype" w:hAnsi="Palatino Linotype" w:eastAsia="Calibri" w:cs="Tahoma"/>
          <w:iCs/>
          <w:sz w:val="22"/>
          <w:szCs w:val="22"/>
          <w:lang w:val="es-ES" w:eastAsia="es-ES_tradnl"/>
        </w:rPr>
      </w:pPr>
      <w:r w:rsidRPr="007C325C">
        <w:rPr>
          <w:noProof/>
          <w:lang w:eastAsia="es-MX"/>
        </w:rPr>
        <w:lastRenderedPageBreak/>
        <mc:AlternateContent>
          <mc:Choice Requires="wps">
            <w:drawing>
              <wp:anchor distT="0" distB="0" distL="114300" distR="114300" simplePos="0" relativeHeight="251659264" behindDoc="0" locked="0" layoutInCell="1" allowOverlap="1" wp14:anchorId="7FCD7810" wp14:editId="20D4ACFA">
                <wp:simplePos x="0" y="0"/>
                <wp:positionH relativeFrom="column">
                  <wp:posOffset>1096645</wp:posOffset>
                </wp:positionH>
                <wp:positionV relativeFrom="paragraph">
                  <wp:posOffset>1273810</wp:posOffset>
                </wp:positionV>
                <wp:extent cx="3562350" cy="5991225"/>
                <wp:effectExtent l="19050" t="19050" r="19050" b="28575"/>
                <wp:wrapNone/>
                <wp:docPr id="8" name="Rectángulo 8"/>
                <wp:cNvGraphicFramePr/>
                <a:graphic xmlns:a="http://schemas.openxmlformats.org/drawingml/2006/main">
                  <a:graphicData uri="http://schemas.microsoft.com/office/word/2010/wordprocessingShape">
                    <wps:wsp>
                      <wps:cNvSpPr/>
                      <wps:spPr>
                        <a:xfrm>
                          <a:off x="0" y="0"/>
                          <a:ext cx="3562350" cy="59912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id="Rectángulo 8" style="position:absolute;margin-left:86.35pt;margin-top:100.3pt;width:280.5pt;height:47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w14:anchorId="7EF12A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VchAIAAGoFAAAOAAAAZHJzL2Uyb0RvYy54bWysVEtvGyEQvlfqf0Dcm30kThMr68hK5KpS&#10;lEZNqpwxC14klqGAvXZ/fQf2YSuNeqjqA4admW9mvnnc3O5bTXbCeQWmosVZTokwHGplNhX98bL6&#10;dEWJD8zUTIMRFT0IT28XHz/cdHYuSmhA18IRBDF+3tmKNiHYeZZ53oiW+TOwwqBQgmtZwKfbZLVj&#10;HaK3Oivz/DLrwNXWARfe49f7XkgXCV9KwcM3Kb0IRFcUYwvpdOlcxzNb3LD5xjHbKD6Ewf4hipYp&#10;g04nqHsWGNk69QdUq7gDDzKccWgzkFJxkXLAbIr8TTbPDbMi5YLkeDvR5P8fLH/cPdsnhzR01s89&#10;XmMWe+na+I/xkX0i6zCRJfaBcPx4Prssz2fIKUfZ7Pq6KMtZpDM7mlvnwxcBLYmXijqsRiKJ7R58&#10;6FVHlejNwEppnSqiDenQxVWR58nCg1Z1lEY97zbrO+3IjmFRV6scf4PjEzUMQxuM5phWuoWDFhFD&#10;m+9CElVjImXvIXacmGAZ58KEohc1rBa9t9mps9Ei5ZwAI7LEKCfsAWDU7EFG7J6BQT+aitSwk/GQ&#10;+t+MJ4vkGUyYjFtlwL2XmcasBs+9/khST01kaQ314ckRB/24eMtXCiv4wHx4Yg7nA6uOMx++4SE1&#10;YKVguFHSgPv13veoj22LUko6nLeK+p9b5gQl+qvBhr4uLi7igKbHxexziQ93KlmfSsy2vQOsfoHb&#10;xfJ0jfpBj1fpoH3F1bCMXlHEDEffFeXBjY+70O8BXC5cLJdJDYfSsvBgni2P4JHV2KEv+1fm7NDG&#10;ASfgEcbZZPM33dzrRksDy20AqVKrH3kd+MaBTo0zLJ+4MU7fSeu4Ihe/AQAA//8DAFBLAwQUAAYA&#10;CAAAACEA2LU3Hd0AAAAMAQAADwAAAGRycy9kb3ducmV2LnhtbEyPzU6EQBCE7ya+w6RNvLkDLBFF&#10;ho0xUaM3UeO1l2mBMD+EmV3w7e096bG6KlVfV7vVGnGkOQzeKUg3CQhyrdeD6xR8vD9e3YAIEZ1G&#10;4x0p+KEAu/r8rMJS+8W90bGJneASF0pU0Mc4lVKGtieLYeMncux9+9liZDl3Us+4cLk1MkuSa2lx&#10;cLzQ40QPPbVjc7AKXpbMDF8dvj43Y/M5+vwpLW6tUpcX6/0diEhr/AvDCZ/RoWamvT84HYRhXWQF&#10;RxWcZkBwothu+bJnK83zFGRdyf9P1L8AAAD//wMAUEsBAi0AFAAGAAgAAAAhALaDOJL+AAAA4QEA&#10;ABMAAAAAAAAAAAAAAAAAAAAAAFtDb250ZW50X1R5cGVzXS54bWxQSwECLQAUAAYACAAAACEAOP0h&#10;/9YAAACUAQAACwAAAAAAAAAAAAAAAAAvAQAAX3JlbHMvLnJlbHNQSwECLQAUAAYACAAAACEA/9x1&#10;XIQCAABqBQAADgAAAAAAAAAAAAAAAAAuAgAAZHJzL2Uyb0RvYy54bWxQSwECLQAUAAYACAAAACEA&#10;2LU3Hd0AAAAMAQAADwAAAAAAAAAAAAAAAADeBAAAZHJzL2Rvd25yZXYueG1sUEsFBgAAAAAEAAQA&#10;8wAAAOgFAAAAAA==&#10;"/>
            </w:pict>
          </mc:Fallback>
        </mc:AlternateContent>
      </w:r>
      <w:r w:rsidRPr="007C325C">
        <w:rPr>
          <w:noProof/>
          <w:lang w:eastAsia="es-MX"/>
        </w:rPr>
        <w:drawing>
          <wp:inline distT="0" distB="0" distL="0" distR="0" wp14:anchorId="485ECC19" wp14:editId="77C8C8A0">
            <wp:extent cx="3547229" cy="722791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8498" t="14787" r="39397" b="5135"/>
                    <a:stretch/>
                  </pic:blipFill>
                  <pic:spPr bwMode="auto">
                    <a:xfrm>
                      <a:off x="0" y="0"/>
                      <a:ext cx="3579698" cy="7294073"/>
                    </a:xfrm>
                    <a:prstGeom prst="rect">
                      <a:avLst/>
                    </a:prstGeom>
                    <a:ln>
                      <a:noFill/>
                    </a:ln>
                    <a:extLst>
                      <a:ext uri="{53640926-AAD7-44D8-BBD7-CCE9431645EC}">
                        <a14:shadowObscured xmlns:a14="http://schemas.microsoft.com/office/drawing/2010/main"/>
                      </a:ext>
                    </a:extLst>
                  </pic:spPr>
                </pic:pic>
              </a:graphicData>
            </a:graphic>
          </wp:inline>
        </w:drawing>
      </w:r>
    </w:p>
    <w:p w:rsidRPr="007C325C" w:rsidR="006D7B44" w:rsidP="00855D7E" w:rsidRDefault="006D7B44" w14:paraId="4FDD211D" w14:textId="77777777">
      <w:pPr>
        <w:spacing w:line="360" w:lineRule="auto"/>
        <w:contextualSpacing/>
        <w:jc w:val="both"/>
        <w:rPr>
          <w:rFonts w:ascii="Palatino Linotype" w:hAnsi="Palatino Linotype" w:eastAsia="Calibri" w:cs="Tahoma"/>
          <w:iCs/>
          <w:sz w:val="22"/>
          <w:szCs w:val="22"/>
          <w:lang w:val="es-ES" w:eastAsia="es-ES_tradnl"/>
        </w:rPr>
      </w:pPr>
    </w:p>
    <w:p w:rsidRPr="007C325C" w:rsidR="00E75E29" w:rsidP="00855D7E" w:rsidRDefault="00C41A52" w14:paraId="714C2E7A" w14:textId="6DE99794">
      <w:pPr>
        <w:spacing w:line="360" w:lineRule="auto"/>
        <w:contextualSpacing/>
        <w:jc w:val="both"/>
        <w:rPr>
          <w:rFonts w:ascii="Palatino Linotype" w:hAnsi="Palatino Linotype" w:eastAsia="Calibri" w:cs="Tahoma"/>
          <w:bCs/>
          <w:sz w:val="22"/>
          <w:szCs w:val="22"/>
          <w:lang w:eastAsia="en-US"/>
        </w:rPr>
      </w:pPr>
      <w:r w:rsidRPr="007C325C">
        <w:rPr>
          <w:rFonts w:ascii="Palatino Linotype" w:hAnsi="Palatino Linotype" w:eastAsia="Calibri" w:cs="Tahoma"/>
          <w:iCs/>
          <w:sz w:val="22"/>
          <w:szCs w:val="22"/>
          <w:lang w:val="es-ES" w:eastAsia="es-ES_tradnl"/>
        </w:rPr>
        <w:lastRenderedPageBreak/>
        <w:t xml:space="preserve">De lo plasmado, se desprende que de los servidores públicos que </w:t>
      </w:r>
      <w:r w:rsidRPr="007C325C" w:rsidR="00C70282">
        <w:rPr>
          <w:rFonts w:ascii="Palatino Linotype" w:hAnsi="Palatino Linotype" w:eastAsia="Calibri" w:cs="Tahoma"/>
          <w:iCs/>
          <w:sz w:val="22"/>
          <w:szCs w:val="22"/>
          <w:lang w:val="es-ES" w:eastAsia="es-ES_tradnl"/>
        </w:rPr>
        <w:t>solicitó</w:t>
      </w:r>
      <w:r w:rsidRPr="007C325C">
        <w:rPr>
          <w:rFonts w:ascii="Palatino Linotype" w:hAnsi="Palatino Linotype" w:eastAsia="Calibri" w:cs="Tahoma"/>
          <w:iCs/>
          <w:sz w:val="22"/>
          <w:szCs w:val="22"/>
          <w:lang w:val="es-ES" w:eastAsia="es-ES_tradnl"/>
        </w:rPr>
        <w:t xml:space="preserve"> los expedientes el Particular son de estas unidades administrativas, </w:t>
      </w:r>
      <w:r w:rsidRPr="007C325C" w:rsidR="00E2000A">
        <w:rPr>
          <w:rFonts w:ascii="Palatino Linotype" w:hAnsi="Palatino Linotype" w:eastAsia="Calibri" w:cs="Tahoma"/>
          <w:iCs/>
          <w:sz w:val="22"/>
          <w:szCs w:val="22"/>
          <w:lang w:val="es-ES" w:eastAsia="es-ES_tradnl"/>
        </w:rPr>
        <w:t xml:space="preserve">al todas estar subordinadas a la Dirección General, </w:t>
      </w:r>
      <w:r w:rsidRPr="007C325C">
        <w:rPr>
          <w:rFonts w:ascii="Palatino Linotype" w:hAnsi="Palatino Linotype" w:eastAsia="Calibri" w:cs="Tahoma"/>
          <w:iCs/>
          <w:sz w:val="22"/>
          <w:szCs w:val="22"/>
          <w:lang w:val="es-ES" w:eastAsia="es-ES_tradnl"/>
        </w:rPr>
        <w:t>a</w:t>
      </w:r>
      <w:r w:rsidRPr="007C325C" w:rsidR="00E75E29">
        <w:rPr>
          <w:rFonts w:ascii="Palatino Linotype" w:hAnsi="Palatino Linotype" w:eastAsia="Calibri" w:cs="Tahoma"/>
          <w:bCs/>
          <w:sz w:val="22"/>
          <w:szCs w:val="22"/>
          <w:lang w:val="es-ES" w:eastAsia="en-US"/>
        </w:rPr>
        <w:t xml:space="preserve">hora bien, </w:t>
      </w:r>
      <w:r w:rsidRPr="007C325C" w:rsidR="00591F53">
        <w:rPr>
          <w:rFonts w:ascii="Palatino Linotype" w:hAnsi="Palatino Linotype" w:eastAsia="Calibri" w:cs="Tahoma"/>
          <w:bCs/>
          <w:sz w:val="22"/>
          <w:szCs w:val="22"/>
          <w:lang w:val="es-ES" w:eastAsia="en-US"/>
        </w:rPr>
        <w:t xml:space="preserve">es de recordar que </w:t>
      </w:r>
      <w:r w:rsidRPr="007C325C" w:rsidR="002E4994">
        <w:rPr>
          <w:rFonts w:ascii="Palatino Linotype" w:hAnsi="Palatino Linotype" w:eastAsia="Calibri" w:cs="Tahoma"/>
          <w:sz w:val="22"/>
          <w:szCs w:val="22"/>
          <w:lang w:eastAsia="en-US"/>
        </w:rPr>
        <w:t xml:space="preserve">el Sujeto Obligado </w:t>
      </w:r>
      <w:r w:rsidRPr="007C325C" w:rsidR="00E75E29">
        <w:rPr>
          <w:rFonts w:ascii="Palatino Linotype" w:hAnsi="Palatino Linotype" w:eastAsia="Calibri" w:cs="Tahoma"/>
          <w:bCs/>
          <w:sz w:val="22"/>
          <w:szCs w:val="22"/>
          <w:lang w:val="es-ES" w:eastAsia="en-US"/>
        </w:rPr>
        <w:t>puso a disposición la información en consulta directa,</w:t>
      </w:r>
      <w:r w:rsidRPr="007C325C" w:rsidR="00440BCA">
        <w:rPr>
          <w:rFonts w:ascii="Palatino Linotype" w:hAnsi="Palatino Linotype" w:eastAsia="Calibri" w:cs="Tahoma"/>
          <w:bCs/>
          <w:sz w:val="22"/>
          <w:szCs w:val="22"/>
          <w:lang w:val="es-ES" w:eastAsia="en-US"/>
        </w:rPr>
        <w:t xml:space="preserve"> </w:t>
      </w:r>
      <w:r w:rsidRPr="007C325C">
        <w:rPr>
          <w:rFonts w:ascii="Palatino Linotype" w:hAnsi="Palatino Linotype" w:eastAsia="Calibri" w:cs="Tahoma"/>
          <w:bCs/>
          <w:sz w:val="22"/>
          <w:szCs w:val="22"/>
          <w:lang w:val="es-ES" w:eastAsia="en-US"/>
        </w:rPr>
        <w:t>así</w:t>
      </w:r>
      <w:r w:rsidRPr="007C325C" w:rsidR="00440BCA">
        <w:rPr>
          <w:rFonts w:ascii="Palatino Linotype" w:hAnsi="Palatino Linotype" w:eastAsia="Calibri" w:cs="Tahoma"/>
          <w:bCs/>
          <w:sz w:val="22"/>
          <w:szCs w:val="22"/>
          <w:lang w:val="es-ES" w:eastAsia="en-US"/>
        </w:rPr>
        <w:t xml:space="preserve"> </w:t>
      </w:r>
      <w:r w:rsidRPr="007C325C" w:rsidR="00E75E29">
        <w:rPr>
          <w:rFonts w:ascii="Palatino Linotype" w:hAnsi="Palatino Linotype" w:eastAsia="Calibri" w:cs="Tahoma"/>
          <w:bCs/>
          <w:sz w:val="22"/>
          <w:szCs w:val="22"/>
          <w:lang w:val="es-ES" w:eastAsia="en-US"/>
        </w:rPr>
        <w:t xml:space="preserve">sobre el cambio de modalidad manifestado el artículo 155, fracción V, de la Ley de Transparencia y Acceso a la Información Pública del Estado de México y Municipios, precisa que </w:t>
      </w:r>
      <w:r w:rsidRPr="007C325C" w:rsidR="00E75E29">
        <w:rPr>
          <w:rFonts w:ascii="Palatino Linotype" w:hAnsi="Palatino Linotype" w:eastAsia="Calibri" w:cs="Tahoma"/>
          <w:bCs/>
          <w:sz w:val="22"/>
          <w:szCs w:val="22"/>
          <w:lang w:eastAsia="en-US"/>
        </w:rPr>
        <w:t xml:space="preserve">para presentar una solicitud, la particular podrá señalar </w:t>
      </w:r>
      <w:r w:rsidRPr="007C325C" w:rsidR="00E75E29">
        <w:rPr>
          <w:rFonts w:ascii="Palatino Linotype" w:hAnsi="Palatino Linotype" w:eastAsia="Calibri" w:cs="Tahoma"/>
          <w:b/>
          <w:bCs/>
          <w:sz w:val="22"/>
          <w:szCs w:val="22"/>
          <w:lang w:eastAsia="en-US"/>
        </w:rPr>
        <w:t>la modalidad en la que prefiere se otorgue el acceso a la información</w:t>
      </w:r>
      <w:r w:rsidRPr="007C325C" w:rsidR="00E75E29">
        <w:rPr>
          <w:rFonts w:ascii="Palatino Linotype" w:hAnsi="Palatino Linotype" w:eastAsia="Calibri" w:cs="Tahoma"/>
          <w:bCs/>
          <w:sz w:val="22"/>
          <w:szCs w:val="22"/>
          <w:lang w:eastAsia="en-US"/>
        </w:rPr>
        <w:t>, la cual podrá ser verbal, siempre y cuando sea para fines de orientación, mediante consulta directa, mediante la expedición de copias simples o certificadas o la reproducción en cualquier otro medio, incluidos los electrónicos.</w:t>
      </w:r>
    </w:p>
    <w:p w:rsidRPr="007C325C" w:rsidR="00E75E29" w:rsidP="00855D7E" w:rsidRDefault="00E75E29" w14:paraId="129FE01B" w14:textId="77777777">
      <w:pPr>
        <w:spacing w:line="360" w:lineRule="auto"/>
        <w:contextualSpacing/>
        <w:jc w:val="both"/>
        <w:rPr>
          <w:rFonts w:ascii="Palatino Linotype" w:hAnsi="Palatino Linotype" w:eastAsia="Calibri" w:cs="Tahoma"/>
          <w:bCs/>
          <w:sz w:val="22"/>
          <w:szCs w:val="22"/>
          <w:lang w:val="es-ES" w:eastAsia="en-US"/>
        </w:rPr>
      </w:pPr>
    </w:p>
    <w:p w:rsidRPr="007C325C" w:rsidR="00CF6AFB" w:rsidP="00855D7E" w:rsidRDefault="00E75E29" w14:paraId="1A6520EF" w14:textId="77777777">
      <w:pPr>
        <w:spacing w:line="360" w:lineRule="auto"/>
        <w:contextualSpacing/>
        <w:jc w:val="both"/>
        <w:rPr>
          <w:rFonts w:ascii="Palatino Linotype" w:hAnsi="Palatino Linotype" w:eastAsia="Calibri" w:cs="Tahoma"/>
          <w:b/>
          <w:bCs/>
          <w:sz w:val="22"/>
          <w:szCs w:val="22"/>
          <w:lang w:val="es-ES" w:eastAsia="en-US"/>
        </w:rPr>
      </w:pPr>
      <w:r w:rsidRPr="007C325C">
        <w:rPr>
          <w:rFonts w:ascii="Palatino Linotype" w:hAnsi="Palatino Linotype" w:eastAsia="Calibri" w:cs="Tahoma"/>
          <w:bCs/>
          <w:sz w:val="22"/>
          <w:szCs w:val="22"/>
          <w:lang w:val="es-ES" w:eastAsia="en-US"/>
        </w:rPr>
        <w:t xml:space="preserve">El artículo 158, dispone que, de manera excepcional, cuando de manera fundada y motivada lo determine el Sujeto Obligado, </w:t>
      </w:r>
      <w:r w:rsidRPr="007C325C">
        <w:rPr>
          <w:rFonts w:ascii="Palatino Linotype" w:hAnsi="Palatino Linotype" w:eastAsia="Calibri" w:cs="Tahoma"/>
          <w:b/>
          <w:bCs/>
          <w:sz w:val="22"/>
          <w:szCs w:val="22"/>
          <w:lang w:val="es-ES" w:eastAsia="en-US"/>
        </w:rPr>
        <w:t>en los casos en que la entrega de la información que se encuentre a su disposición sobrepase las capacidades técnicas, administrativas y humanas del Sujeto Obligado para cumplir con la solicitud, se podrá poner a disposición del solicitante la información en consulta directa.</w:t>
      </w:r>
    </w:p>
    <w:p w:rsidRPr="007C325C" w:rsidR="00CF6AFB" w:rsidP="00855D7E" w:rsidRDefault="00CF6AFB" w14:paraId="34AD4259" w14:textId="77777777">
      <w:pPr>
        <w:spacing w:line="360" w:lineRule="auto"/>
        <w:contextualSpacing/>
        <w:jc w:val="both"/>
        <w:rPr>
          <w:rFonts w:ascii="Palatino Linotype" w:hAnsi="Palatino Linotype" w:eastAsia="Calibri" w:cs="Tahoma"/>
          <w:b/>
          <w:bCs/>
          <w:sz w:val="22"/>
          <w:szCs w:val="22"/>
          <w:lang w:val="es-ES" w:eastAsia="en-US"/>
        </w:rPr>
      </w:pPr>
    </w:p>
    <w:p w:rsidRPr="007C325C" w:rsidR="00C41A52" w:rsidP="00855D7E" w:rsidRDefault="00C41A52" w14:paraId="75D71BC8" w14:textId="0F553F69">
      <w:pPr>
        <w:spacing w:line="360" w:lineRule="auto"/>
        <w:contextualSpacing/>
        <w:jc w:val="both"/>
        <w:rPr>
          <w:rFonts w:ascii="Palatino Linotype" w:hAnsi="Palatino Linotype" w:eastAsia="Calibri" w:cs="Tahoma"/>
          <w:bCs/>
          <w:sz w:val="22"/>
          <w:szCs w:val="22"/>
          <w:lang w:val="es-ES" w:eastAsia="en-US"/>
        </w:rPr>
      </w:pPr>
      <w:r w:rsidRPr="007C325C">
        <w:rPr>
          <w:rFonts w:ascii="Palatino Linotype" w:hAnsi="Palatino Linotype" w:eastAsia="Calibri" w:cs="Tahoma"/>
          <w:bCs/>
          <w:sz w:val="22"/>
          <w:szCs w:val="22"/>
          <w:lang w:val="es-ES" w:eastAsia="en-US"/>
        </w:rPr>
        <w:t>Por</w:t>
      </w:r>
      <w:r w:rsidRPr="007C325C" w:rsidR="008419CA">
        <w:rPr>
          <w:rFonts w:ascii="Palatino Linotype" w:hAnsi="Palatino Linotype" w:eastAsia="Calibri" w:cs="Tahoma"/>
          <w:bCs/>
          <w:sz w:val="22"/>
          <w:szCs w:val="22"/>
          <w:lang w:val="es-ES" w:eastAsia="en-US"/>
        </w:rPr>
        <w:t xml:space="preserve"> lo anterior, </w:t>
      </w:r>
      <w:r w:rsidRPr="007C325C">
        <w:rPr>
          <w:rFonts w:ascii="Palatino Linotype" w:hAnsi="Palatino Linotype" w:eastAsia="Calibri" w:cs="Tahoma"/>
          <w:bCs/>
          <w:sz w:val="22"/>
          <w:szCs w:val="22"/>
          <w:lang w:val="es-ES" w:eastAsia="en-US"/>
        </w:rPr>
        <w:t>como ya se señaló en antecedentes,</w:t>
      </w:r>
      <w:r w:rsidRPr="007C325C" w:rsidR="008419CA">
        <w:rPr>
          <w:rFonts w:ascii="Palatino Linotype" w:hAnsi="Palatino Linotype" w:eastAsia="Calibri" w:cs="Tahoma"/>
          <w:bCs/>
          <w:sz w:val="22"/>
          <w:szCs w:val="22"/>
          <w:lang w:val="es-ES" w:eastAsia="en-US"/>
        </w:rPr>
        <w:t xml:space="preserve"> se </w:t>
      </w:r>
      <w:r w:rsidRPr="007C325C">
        <w:rPr>
          <w:rFonts w:ascii="Palatino Linotype" w:hAnsi="Palatino Linotype" w:eastAsia="Calibri" w:cs="Tahoma"/>
          <w:bCs/>
          <w:sz w:val="22"/>
          <w:szCs w:val="22"/>
          <w:lang w:val="es-ES" w:eastAsia="en-US"/>
        </w:rPr>
        <w:t xml:space="preserve">requirió </w:t>
      </w:r>
      <w:r w:rsidRPr="007C325C" w:rsidR="008419CA">
        <w:rPr>
          <w:rFonts w:ascii="Palatino Linotype" w:hAnsi="Palatino Linotype" w:eastAsia="Calibri" w:cs="Tahoma"/>
          <w:bCs/>
          <w:sz w:val="22"/>
          <w:szCs w:val="22"/>
          <w:lang w:val="es-ES" w:eastAsia="en-US"/>
        </w:rPr>
        <w:t xml:space="preserve">al Sujeto Obligado a efecto de que </w:t>
      </w:r>
      <w:r w:rsidRPr="007C325C">
        <w:rPr>
          <w:rFonts w:ascii="Palatino Linotype" w:hAnsi="Palatino Linotype" w:eastAsia="Calibri" w:cs="Tahoma"/>
          <w:bCs/>
          <w:sz w:val="22"/>
          <w:szCs w:val="22"/>
          <w:lang w:val="es-ES" w:eastAsia="en-US"/>
        </w:rPr>
        <w:t xml:space="preserve">especificara </w:t>
      </w:r>
      <w:r w:rsidRPr="007C325C" w:rsidR="008419CA">
        <w:rPr>
          <w:rFonts w:ascii="Palatino Linotype" w:hAnsi="Palatino Linotype" w:eastAsia="Calibri" w:cs="Tahoma"/>
          <w:bCs/>
          <w:sz w:val="22"/>
          <w:szCs w:val="22"/>
          <w:lang w:val="es-ES" w:eastAsia="en-US"/>
        </w:rPr>
        <w:t xml:space="preserve">la cantidad de información </w:t>
      </w:r>
      <w:r w:rsidRPr="007C325C">
        <w:rPr>
          <w:rFonts w:ascii="Palatino Linotype" w:hAnsi="Palatino Linotype" w:eastAsia="Calibri" w:cs="Tahoma"/>
          <w:bCs/>
          <w:sz w:val="22"/>
          <w:szCs w:val="22"/>
          <w:lang w:val="es-ES" w:eastAsia="en-US"/>
        </w:rPr>
        <w:t xml:space="preserve">y saber si </w:t>
      </w:r>
      <w:r w:rsidRPr="007C325C" w:rsidR="008419CA">
        <w:rPr>
          <w:rFonts w:ascii="Palatino Linotype" w:hAnsi="Palatino Linotype" w:eastAsia="Calibri" w:cs="Tahoma"/>
          <w:bCs/>
          <w:sz w:val="22"/>
          <w:szCs w:val="22"/>
          <w:lang w:val="es-ES" w:eastAsia="en-US"/>
        </w:rPr>
        <w:t>realiz</w:t>
      </w:r>
      <w:r w:rsidRPr="007C325C">
        <w:rPr>
          <w:rFonts w:ascii="Palatino Linotype" w:hAnsi="Palatino Linotype" w:eastAsia="Calibri" w:cs="Tahoma"/>
          <w:bCs/>
          <w:sz w:val="22"/>
          <w:szCs w:val="22"/>
          <w:lang w:val="es-ES" w:eastAsia="en-US"/>
        </w:rPr>
        <w:t>ó</w:t>
      </w:r>
      <w:r w:rsidRPr="007C325C" w:rsidR="008419CA">
        <w:rPr>
          <w:rFonts w:ascii="Palatino Linotype" w:hAnsi="Palatino Linotype" w:eastAsia="Calibri" w:cs="Tahoma"/>
          <w:bCs/>
          <w:sz w:val="22"/>
          <w:szCs w:val="22"/>
          <w:lang w:val="es-ES" w:eastAsia="en-US"/>
        </w:rPr>
        <w:t xml:space="preserve"> el registro de la incidencia a efecto de contar con argumentos que sustentaran la imposibilidad para atender la modalidad requerida por el Particular;</w:t>
      </w:r>
      <w:r w:rsidRPr="007C325C" w:rsidR="00CB43CD">
        <w:rPr>
          <w:rFonts w:ascii="Palatino Linotype" w:hAnsi="Palatino Linotype" w:eastAsia="Calibri" w:cs="Tahoma"/>
          <w:bCs/>
          <w:sz w:val="22"/>
          <w:szCs w:val="22"/>
          <w:lang w:val="es-ES" w:eastAsia="en-US"/>
        </w:rPr>
        <w:t xml:space="preserve"> </w:t>
      </w:r>
      <w:r w:rsidRPr="007C325C">
        <w:rPr>
          <w:rFonts w:ascii="Palatino Linotype" w:hAnsi="Palatino Linotype" w:eastAsia="Calibri" w:cs="Tahoma"/>
          <w:bCs/>
          <w:sz w:val="22"/>
          <w:szCs w:val="22"/>
          <w:lang w:val="es-ES" w:eastAsia="en-US"/>
        </w:rPr>
        <w:t xml:space="preserve">o bien especificara el formato, cantidad y/o peso de la información, </w:t>
      </w:r>
      <w:r w:rsidRPr="007C325C" w:rsidR="00622698">
        <w:rPr>
          <w:rFonts w:ascii="Palatino Linotype" w:hAnsi="Palatino Linotype" w:eastAsia="Calibri" w:cs="Tahoma"/>
          <w:bCs/>
          <w:sz w:val="22"/>
          <w:szCs w:val="22"/>
          <w:lang w:val="es-ES" w:eastAsia="en-US"/>
        </w:rPr>
        <w:t>a lo que señaló el número total de fojas.</w:t>
      </w:r>
      <w:r w:rsidRPr="007C325C">
        <w:rPr>
          <w:rFonts w:ascii="Palatino Linotype" w:hAnsi="Palatino Linotype" w:eastAsia="Calibri" w:cs="Tahoma"/>
          <w:bCs/>
          <w:sz w:val="22"/>
          <w:szCs w:val="22"/>
          <w:lang w:val="es-ES" w:eastAsia="en-US"/>
        </w:rPr>
        <w:t xml:space="preserve"> </w:t>
      </w:r>
    </w:p>
    <w:p w:rsidRPr="007C325C" w:rsidR="00C41A52" w:rsidP="00855D7E" w:rsidRDefault="00C41A52" w14:paraId="5851C47C" w14:textId="77777777">
      <w:pPr>
        <w:spacing w:line="360" w:lineRule="auto"/>
        <w:contextualSpacing/>
        <w:jc w:val="both"/>
        <w:rPr>
          <w:rFonts w:ascii="Palatino Linotype" w:hAnsi="Palatino Linotype" w:eastAsia="Calibri" w:cs="Tahoma"/>
          <w:bCs/>
          <w:sz w:val="22"/>
          <w:szCs w:val="22"/>
          <w:lang w:val="es-ES" w:eastAsia="en-US"/>
        </w:rPr>
      </w:pPr>
    </w:p>
    <w:p w:rsidRPr="007C325C" w:rsidR="00E75E29" w:rsidP="00855D7E" w:rsidRDefault="00E75E29" w14:paraId="53EBBA90" w14:textId="77777777">
      <w:pPr>
        <w:spacing w:line="360" w:lineRule="auto"/>
        <w:contextualSpacing/>
        <w:jc w:val="both"/>
        <w:rPr>
          <w:rFonts w:ascii="Palatino Linotype" w:hAnsi="Palatino Linotype" w:eastAsia="Calibri" w:cs="Tahoma"/>
          <w:bCs/>
          <w:sz w:val="22"/>
          <w:szCs w:val="22"/>
          <w:lang w:eastAsia="en-US"/>
        </w:rPr>
      </w:pPr>
      <w:r w:rsidRPr="007C325C">
        <w:rPr>
          <w:rFonts w:ascii="Palatino Linotype" w:hAnsi="Palatino Linotype" w:eastAsia="Calibri" w:cs="Tahoma"/>
          <w:bCs/>
          <w:sz w:val="22"/>
          <w:szCs w:val="22"/>
          <w:lang w:val="es-ES" w:eastAsia="en-US"/>
        </w:rPr>
        <w:t xml:space="preserve">En ese orden de ideas, el artículo 164 de </w:t>
      </w:r>
      <w:r w:rsidRPr="007C325C" w:rsidR="00C41A52">
        <w:rPr>
          <w:rFonts w:ascii="Palatino Linotype" w:hAnsi="Palatino Linotype" w:eastAsia="Calibri" w:cs="Tahoma"/>
          <w:bCs/>
          <w:sz w:val="22"/>
          <w:szCs w:val="22"/>
          <w:lang w:val="es-ES" w:eastAsia="en-US"/>
        </w:rPr>
        <w:t>la Ley de la materia</w:t>
      </w:r>
      <w:r w:rsidRPr="007C325C">
        <w:rPr>
          <w:rFonts w:ascii="Palatino Linotype" w:hAnsi="Palatino Linotype" w:eastAsia="Calibri" w:cs="Tahoma"/>
          <w:bCs/>
          <w:sz w:val="22"/>
          <w:szCs w:val="22"/>
          <w:lang w:val="es-ES" w:eastAsia="en-US"/>
        </w:rPr>
        <w:t xml:space="preserve">, prevé que </w:t>
      </w:r>
      <w:r w:rsidRPr="007C325C">
        <w:rPr>
          <w:rFonts w:ascii="Palatino Linotype" w:hAnsi="Palatino Linotype" w:eastAsia="Calibri" w:cs="Tahoma"/>
          <w:bCs/>
          <w:sz w:val="22"/>
          <w:szCs w:val="22"/>
          <w:lang w:eastAsia="en-US"/>
        </w:rPr>
        <w:t xml:space="preserve">el acceso se dará en la modalidad de entrega y, en su caso, de envío elegidos por al solicitante. </w:t>
      </w:r>
      <w:r w:rsidRPr="007C325C">
        <w:rPr>
          <w:rFonts w:ascii="Palatino Linotype" w:hAnsi="Palatino Linotype" w:eastAsia="Calibri" w:cs="Tahoma"/>
          <w:b/>
          <w:bCs/>
          <w:sz w:val="22"/>
          <w:szCs w:val="22"/>
          <w:lang w:eastAsia="en-US"/>
        </w:rPr>
        <w:t xml:space="preserve">Cuando la información no pueda entregarse o enviarse en la modalidad elegida, el sujeto obligado </w:t>
      </w:r>
      <w:r w:rsidRPr="007C325C">
        <w:rPr>
          <w:rFonts w:ascii="Palatino Linotype" w:hAnsi="Palatino Linotype" w:eastAsia="Calibri" w:cs="Tahoma"/>
          <w:b/>
          <w:bCs/>
          <w:sz w:val="22"/>
          <w:szCs w:val="22"/>
          <w:lang w:eastAsia="en-US"/>
        </w:rPr>
        <w:lastRenderedPageBreak/>
        <w:t>deberá ofrecer otra u otras modalidades de entrega.</w:t>
      </w:r>
      <w:r w:rsidRPr="007C325C">
        <w:rPr>
          <w:rFonts w:ascii="Palatino Linotype" w:hAnsi="Palatino Linotype" w:eastAsia="Calibri" w:cs="Tahoma"/>
          <w:bCs/>
          <w:sz w:val="22"/>
          <w:szCs w:val="22"/>
          <w:lang w:eastAsia="en-US"/>
        </w:rPr>
        <w:t xml:space="preserve"> En cualquier caso, </w:t>
      </w:r>
      <w:r w:rsidRPr="007C325C">
        <w:rPr>
          <w:rFonts w:ascii="Palatino Linotype" w:hAnsi="Palatino Linotype" w:eastAsia="Calibri" w:cs="Tahoma"/>
          <w:b/>
          <w:bCs/>
          <w:sz w:val="22"/>
          <w:szCs w:val="22"/>
          <w:lang w:eastAsia="en-US"/>
        </w:rPr>
        <w:t>se deberá fundar y motivar</w:t>
      </w:r>
      <w:r w:rsidRPr="007C325C">
        <w:rPr>
          <w:rFonts w:ascii="Palatino Linotype" w:hAnsi="Palatino Linotype" w:eastAsia="Calibri" w:cs="Tahoma"/>
          <w:bCs/>
          <w:sz w:val="22"/>
          <w:szCs w:val="22"/>
          <w:lang w:eastAsia="en-US"/>
        </w:rPr>
        <w:t xml:space="preserve"> la necesidad de ofrecer otras modalidades.</w:t>
      </w:r>
    </w:p>
    <w:p w:rsidRPr="007C325C" w:rsidR="00FC64E9" w:rsidP="00855D7E" w:rsidRDefault="00FC64E9" w14:paraId="15610746" w14:textId="77777777">
      <w:pPr>
        <w:spacing w:line="360" w:lineRule="auto"/>
        <w:contextualSpacing/>
        <w:jc w:val="both"/>
        <w:rPr>
          <w:rFonts w:ascii="Palatino Linotype" w:hAnsi="Palatino Linotype" w:eastAsia="Calibri" w:cs="Tahoma"/>
          <w:bCs/>
          <w:sz w:val="22"/>
          <w:szCs w:val="22"/>
          <w:lang w:eastAsia="en-US"/>
        </w:rPr>
      </w:pPr>
    </w:p>
    <w:p w:rsidRPr="007C325C" w:rsidR="00E75E29" w:rsidP="00855D7E" w:rsidRDefault="00E75E29" w14:paraId="4660BD8E" w14:textId="77777777">
      <w:pPr>
        <w:spacing w:line="360" w:lineRule="auto"/>
        <w:contextualSpacing/>
        <w:jc w:val="both"/>
        <w:rPr>
          <w:rFonts w:ascii="Palatino Linotype" w:hAnsi="Palatino Linotype" w:eastAsia="Calibri" w:cs="Tahoma"/>
          <w:bCs/>
          <w:sz w:val="22"/>
          <w:szCs w:val="22"/>
          <w:lang w:val="es-ES" w:eastAsia="en-US"/>
        </w:rPr>
      </w:pPr>
      <w:r w:rsidRPr="007C325C">
        <w:rPr>
          <w:rFonts w:ascii="Palatino Linotype" w:hAnsi="Palatino Linotype" w:eastAsia="Calibri" w:cs="Tahoma"/>
          <w:bCs/>
          <w:sz w:val="22"/>
          <w:szCs w:val="22"/>
          <w:lang w:val="es-ES" w:eastAsia="en-US"/>
        </w:rPr>
        <w:t xml:space="preserve">Para lo cual, conforme al artículo 174 de la Ley de la materia, indica que los costos de reproducción y, en su caso, de envío para la obtención de la información deberán ser cubiertos por el solicitante de manera previa a la entrega por parte del Sujeto Obligado. En tales consideraciones, la entrega deberá hacerse, </w:t>
      </w:r>
      <w:r w:rsidRPr="007C325C">
        <w:rPr>
          <w:rFonts w:ascii="Palatino Linotype" w:hAnsi="Palatino Linotype" w:eastAsia="Calibri" w:cs="Tahoma"/>
          <w:b/>
          <w:bCs/>
          <w:sz w:val="22"/>
          <w:szCs w:val="22"/>
          <w:lang w:val="es-ES" w:eastAsia="en-US"/>
        </w:rPr>
        <w:t>en la medida de lo posible, en la forma solicitada por el interesado, salvo que exista un impedimento justificado para atenderla</w:t>
      </w:r>
      <w:r w:rsidRPr="007C325C">
        <w:rPr>
          <w:rFonts w:ascii="Palatino Linotype" w:hAnsi="Palatino Linotype" w:eastAsia="Calibri" w:cs="Tahoma"/>
          <w:bCs/>
          <w:sz w:val="22"/>
          <w:szCs w:val="22"/>
          <w:lang w:val="es-ES" w:eastAsia="en-US"/>
        </w:rPr>
        <w:t xml:space="preserve">, en cuyo caso, deberán exponerse las razones por las cuales no es posible utilizar el medio de reproducción solicitado; en este sentido, la entrega de la información en una modalidad distinta a la elegida por la particular </w:t>
      </w:r>
      <w:r w:rsidRPr="007C325C">
        <w:rPr>
          <w:rFonts w:ascii="Palatino Linotype" w:hAnsi="Palatino Linotype" w:eastAsia="Calibri" w:cs="Tahoma"/>
          <w:b/>
          <w:bCs/>
          <w:sz w:val="22"/>
          <w:szCs w:val="22"/>
          <w:lang w:val="es-ES" w:eastAsia="en-US"/>
        </w:rPr>
        <w:t>sólo procede, en caso de que se acredite la imposibilidad de atenderla.</w:t>
      </w:r>
      <w:r w:rsidRPr="007C325C">
        <w:rPr>
          <w:rFonts w:ascii="Palatino Linotype" w:hAnsi="Palatino Linotype" w:eastAsia="Calibri" w:cs="Tahoma"/>
          <w:bCs/>
          <w:sz w:val="22"/>
          <w:szCs w:val="22"/>
          <w:lang w:val="es-ES" w:eastAsia="en-US"/>
        </w:rPr>
        <w:t xml:space="preserve"> </w:t>
      </w:r>
    </w:p>
    <w:p w:rsidRPr="007C325C" w:rsidR="00E75E29" w:rsidP="00855D7E" w:rsidRDefault="00E75E29" w14:paraId="0854C21D" w14:textId="77777777">
      <w:pPr>
        <w:spacing w:line="360" w:lineRule="auto"/>
        <w:contextualSpacing/>
        <w:jc w:val="both"/>
        <w:rPr>
          <w:rFonts w:ascii="Palatino Linotype" w:hAnsi="Palatino Linotype" w:eastAsia="Calibri" w:cs="Tahoma"/>
          <w:bCs/>
          <w:sz w:val="22"/>
          <w:szCs w:val="22"/>
          <w:lang w:val="es-ES" w:eastAsia="en-US"/>
        </w:rPr>
      </w:pPr>
    </w:p>
    <w:p w:rsidRPr="007C325C" w:rsidR="00E75E29" w:rsidP="00855D7E" w:rsidRDefault="00E75E29" w14:paraId="36A777A0" w14:textId="77777777">
      <w:pPr>
        <w:spacing w:line="360" w:lineRule="auto"/>
        <w:contextualSpacing/>
        <w:jc w:val="both"/>
        <w:rPr>
          <w:rFonts w:ascii="Palatino Linotype" w:hAnsi="Palatino Linotype" w:eastAsia="Calibri" w:cs="Tahoma"/>
          <w:bCs/>
          <w:sz w:val="22"/>
          <w:szCs w:val="22"/>
          <w:lang w:val="es-ES" w:eastAsia="en-US"/>
        </w:rPr>
      </w:pPr>
      <w:r w:rsidRPr="007C325C">
        <w:rPr>
          <w:rFonts w:ascii="Palatino Linotype" w:hAnsi="Palatino Linotype" w:eastAsia="Calibri" w:cs="Tahoma"/>
          <w:bCs/>
          <w:sz w:val="22"/>
          <w:szCs w:val="22"/>
          <w:lang w:val="es-ES" w:eastAsia="en-US"/>
        </w:rPr>
        <w:t xml:space="preserve">Así, cuando se justifique el impedimento, </w:t>
      </w:r>
      <w:r w:rsidRPr="007C325C">
        <w:rPr>
          <w:rFonts w:ascii="Palatino Linotype" w:hAnsi="Palatino Linotype" w:eastAsia="Calibri" w:cs="Tahoma"/>
          <w:b/>
          <w:bCs/>
          <w:sz w:val="22"/>
          <w:szCs w:val="22"/>
          <w:lang w:val="es-ES" w:eastAsia="en-US"/>
        </w:rPr>
        <w:t>los Sujetos Obligados deberán ofrecer al particular otras modalidades de entrega que permita la información</w:t>
      </w:r>
      <w:r w:rsidRPr="007C325C">
        <w:rPr>
          <w:rFonts w:ascii="Palatino Linotype" w:hAnsi="Palatino Linotype" w:eastAsia="Calibri" w:cs="Tahoma"/>
          <w:bCs/>
          <w:sz w:val="22"/>
          <w:szCs w:val="22"/>
          <w:lang w:val="es-ES" w:eastAsia="en-US"/>
        </w:rPr>
        <w:t>, como consulta directa en las oficinas de la Unidad de Transparencia; lo anterior, es robustecido con el Criterio 08/17, emitido por el Pleno del Instituto Nacional de Transparencia, Acceso a la Información y Protección de Datos Personales, el cual establece lo siguiente:</w:t>
      </w:r>
    </w:p>
    <w:p w:rsidRPr="007C325C" w:rsidR="00E75E29" w:rsidP="00855D7E" w:rsidRDefault="00E75E29" w14:paraId="51A50B97" w14:textId="77777777">
      <w:pPr>
        <w:spacing w:line="360" w:lineRule="auto"/>
        <w:contextualSpacing/>
        <w:jc w:val="both"/>
        <w:rPr>
          <w:rFonts w:ascii="Palatino Linotype" w:hAnsi="Palatino Linotype" w:eastAsia="Calibri" w:cs="Tahoma"/>
          <w:bCs/>
          <w:lang w:val="es-ES" w:eastAsia="en-US"/>
        </w:rPr>
      </w:pPr>
    </w:p>
    <w:p w:rsidRPr="007C325C" w:rsidR="00E75E29" w:rsidP="00855D7E" w:rsidRDefault="00E75E29" w14:paraId="43BA9139" w14:textId="77777777">
      <w:pPr>
        <w:spacing w:line="360" w:lineRule="auto"/>
        <w:ind w:left="567" w:right="616"/>
        <w:contextualSpacing/>
        <w:jc w:val="both"/>
        <w:rPr>
          <w:rFonts w:ascii="Palatino Linotype" w:hAnsi="Palatino Linotype" w:eastAsia="Calibri" w:cs="Tahoma"/>
          <w:bCs/>
          <w:i/>
          <w:lang w:val="es-ES" w:eastAsia="en-US"/>
        </w:rPr>
      </w:pPr>
      <w:r w:rsidRPr="007C325C">
        <w:rPr>
          <w:rFonts w:ascii="Palatino Linotype" w:hAnsi="Palatino Linotype" w:eastAsia="Calibri" w:cs="Tahoma"/>
          <w:b/>
          <w:bCs/>
          <w:i/>
          <w:lang w:val="es-ES" w:eastAsia="en-US"/>
        </w:rPr>
        <w:t>Modalidad de entrega. Procedencia de proporcionar la información solicitada en una diversa a la elegida por el solicitante.</w:t>
      </w:r>
      <w:r w:rsidRPr="007C325C">
        <w:rPr>
          <w:rFonts w:ascii="Palatino Linotype" w:hAnsi="Palatino Linotype" w:eastAsia="Calibri" w:cs="Tahoma"/>
          <w:bCs/>
          <w:i/>
          <w:lang w:val="es-ES" w:eastAsia="en-US"/>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p>
    <w:p w:rsidRPr="007C325C" w:rsidR="0062161A" w:rsidP="00855D7E" w:rsidRDefault="0062161A" w14:paraId="67620ABA" w14:textId="77777777">
      <w:pPr>
        <w:spacing w:line="360" w:lineRule="auto"/>
        <w:ind w:left="567" w:right="616"/>
        <w:contextualSpacing/>
        <w:jc w:val="both"/>
        <w:rPr>
          <w:rFonts w:ascii="Palatino Linotype" w:hAnsi="Palatino Linotype" w:eastAsia="Calibri" w:cs="Tahoma"/>
          <w:bCs/>
          <w:i/>
          <w:lang w:val="es-ES" w:eastAsia="en-US"/>
        </w:rPr>
      </w:pPr>
    </w:p>
    <w:p w:rsidRPr="007C325C" w:rsidR="00E75E29" w:rsidP="00855D7E" w:rsidRDefault="00E75E29" w14:paraId="3742654D" w14:textId="77777777">
      <w:pPr>
        <w:spacing w:line="360" w:lineRule="auto"/>
        <w:contextualSpacing/>
        <w:jc w:val="both"/>
        <w:rPr>
          <w:rFonts w:ascii="Palatino Linotype" w:hAnsi="Palatino Linotype" w:eastAsia="Calibri" w:cs="Tahoma"/>
          <w:bCs/>
          <w:sz w:val="22"/>
          <w:szCs w:val="22"/>
          <w:lang w:val="es-ES" w:eastAsia="en-US"/>
        </w:rPr>
      </w:pPr>
      <w:r w:rsidRPr="007C325C">
        <w:rPr>
          <w:rFonts w:ascii="Palatino Linotype" w:hAnsi="Palatino Linotype" w:eastAsia="Calibri" w:cs="Tahoma"/>
          <w:bCs/>
          <w:sz w:val="22"/>
          <w:szCs w:val="22"/>
          <w:lang w:val="es-ES" w:eastAsia="en-US"/>
        </w:rPr>
        <w:lastRenderedPageBreak/>
        <w:t xml:space="preserve">Del citado criterio, se desprende que cuando no sea posible atener la modalidad elegida por los solicitantes, la obligación de acceso a la información se tendrá por cumplida cuando el Sujeto Obligado justifique el impedimento para atender la misma y se notifique al particular la puesta a disposición de la </w:t>
      </w:r>
      <w:r w:rsidRPr="007C325C">
        <w:rPr>
          <w:rFonts w:ascii="Palatino Linotype" w:hAnsi="Palatino Linotype" w:eastAsia="Calibri" w:cs="Tahoma"/>
          <w:b/>
          <w:sz w:val="22"/>
          <w:szCs w:val="22"/>
          <w:lang w:val="es-ES" w:eastAsia="en-US"/>
        </w:rPr>
        <w:t>información en todas las modalidades que lo permitan, procurando reducir los costos de entrega.</w:t>
      </w:r>
      <w:r w:rsidRPr="007C325C" w:rsidR="0062161A">
        <w:rPr>
          <w:rFonts w:ascii="Palatino Linotype" w:hAnsi="Palatino Linotype" w:eastAsia="Calibri" w:cs="Tahoma"/>
          <w:b/>
          <w:sz w:val="22"/>
          <w:szCs w:val="22"/>
          <w:lang w:val="es-ES" w:eastAsia="en-US"/>
        </w:rPr>
        <w:t xml:space="preserve"> </w:t>
      </w:r>
      <w:r w:rsidRPr="007C325C">
        <w:rPr>
          <w:rFonts w:ascii="Palatino Linotype" w:hAnsi="Palatino Linotype" w:eastAsia="Calibri" w:cs="Tahoma"/>
          <w:bCs/>
          <w:sz w:val="22"/>
          <w:szCs w:val="22"/>
          <w:lang w:val="es-ES" w:eastAsia="en-US"/>
        </w:rPr>
        <w:t xml:space="preserve">Además, según Calero, Natalia (2016), en la </w:t>
      </w:r>
      <w:r w:rsidRPr="007C325C">
        <w:rPr>
          <w:rFonts w:ascii="Palatino Linotype" w:hAnsi="Palatino Linotype" w:eastAsia="Calibri" w:cs="Tahoma"/>
          <w:bCs/>
          <w:i/>
          <w:sz w:val="22"/>
          <w:szCs w:val="22"/>
          <w:lang w:val="es-ES" w:eastAsia="en-US"/>
        </w:rPr>
        <w:t xml:space="preserve">Ley General de Transparencia y Acceso a la Información Pública Comentada, </w:t>
      </w:r>
      <w:r w:rsidRPr="007C325C">
        <w:rPr>
          <w:rFonts w:ascii="Palatino Linotype" w:hAnsi="Palatino Linotype" w:eastAsia="Calibri" w:cs="Tahoma"/>
          <w:bCs/>
          <w:sz w:val="22"/>
          <w:szCs w:val="22"/>
          <w:lang w:val="es-ES" w:eastAsia="en-US"/>
        </w:rPr>
        <w:t>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rsidRPr="007C325C" w:rsidR="00E75E29" w:rsidP="00855D7E" w:rsidRDefault="00E75E29" w14:paraId="09350BC0" w14:textId="77777777">
      <w:pPr>
        <w:spacing w:line="360" w:lineRule="auto"/>
        <w:contextualSpacing/>
        <w:jc w:val="both"/>
        <w:rPr>
          <w:rFonts w:ascii="Palatino Linotype" w:hAnsi="Palatino Linotype" w:eastAsia="Calibri" w:cs="Tahoma"/>
          <w:bCs/>
          <w:sz w:val="22"/>
          <w:szCs w:val="22"/>
          <w:lang w:val="es-ES" w:eastAsia="en-US"/>
        </w:rPr>
      </w:pPr>
    </w:p>
    <w:p w:rsidRPr="007C325C" w:rsidR="00E75E29" w:rsidP="00855D7E" w:rsidRDefault="00E75E29" w14:paraId="531070E2" w14:textId="77777777">
      <w:pPr>
        <w:numPr>
          <w:ilvl w:val="0"/>
          <w:numId w:val="25"/>
        </w:numPr>
        <w:spacing w:line="360" w:lineRule="auto"/>
        <w:contextualSpacing/>
        <w:jc w:val="both"/>
        <w:rPr>
          <w:rFonts w:ascii="Palatino Linotype" w:hAnsi="Palatino Linotype" w:eastAsia="Calibri" w:cs="Tahoma"/>
          <w:bCs/>
          <w:sz w:val="22"/>
          <w:lang w:val="es-ES"/>
        </w:rPr>
      </w:pPr>
      <w:r w:rsidRPr="007C325C">
        <w:rPr>
          <w:rFonts w:ascii="Palatino Linotype" w:hAnsi="Palatino Linotype" w:eastAsia="Calibri" w:cs="Tahoma"/>
          <w:bCs/>
          <w:sz w:val="22"/>
          <w:lang w:val="es-ES"/>
        </w:rPr>
        <w:t>Las razones por las cuales la información implicaba un análisis, estudio o procesamiento de datos;</w:t>
      </w:r>
    </w:p>
    <w:p w:rsidRPr="007C325C" w:rsidR="00E75E29" w:rsidP="00855D7E" w:rsidRDefault="00E75E29" w14:paraId="38C7676B" w14:textId="77777777">
      <w:pPr>
        <w:numPr>
          <w:ilvl w:val="0"/>
          <w:numId w:val="25"/>
        </w:numPr>
        <w:spacing w:line="360" w:lineRule="auto"/>
        <w:contextualSpacing/>
        <w:jc w:val="both"/>
        <w:rPr>
          <w:rFonts w:ascii="Palatino Linotype" w:hAnsi="Palatino Linotype" w:eastAsia="Calibri" w:cs="Tahoma"/>
          <w:bCs/>
          <w:sz w:val="22"/>
          <w:lang w:val="es-ES"/>
        </w:rPr>
      </w:pPr>
      <w:r w:rsidRPr="007C325C">
        <w:rPr>
          <w:rFonts w:ascii="Palatino Linotype" w:hAnsi="Palatino Linotype" w:eastAsia="Calibri" w:cs="Tahoma"/>
          <w:bCs/>
          <w:sz w:val="22"/>
          <w:lang w:val="es-ES"/>
        </w:rPr>
        <w:t>El tiempo no es suficiente para atender la solicitud en la modalidad elegida, y</w:t>
      </w:r>
    </w:p>
    <w:p w:rsidRPr="007C325C" w:rsidR="00E75E29" w:rsidP="00855D7E" w:rsidRDefault="00E75E29" w14:paraId="54D73B21" w14:textId="77777777">
      <w:pPr>
        <w:numPr>
          <w:ilvl w:val="0"/>
          <w:numId w:val="25"/>
        </w:numPr>
        <w:spacing w:line="360" w:lineRule="auto"/>
        <w:contextualSpacing/>
        <w:jc w:val="both"/>
        <w:rPr>
          <w:rFonts w:ascii="Palatino Linotype" w:hAnsi="Palatino Linotype" w:eastAsia="Calibri" w:cs="Tahoma"/>
          <w:bCs/>
          <w:sz w:val="22"/>
          <w:lang w:val="es-ES"/>
        </w:rPr>
      </w:pPr>
      <w:r w:rsidRPr="007C325C">
        <w:rPr>
          <w:rFonts w:ascii="Palatino Linotype" w:hAnsi="Palatino Linotype" w:eastAsia="Calibri" w:cs="Tahoma"/>
          <w:bCs/>
          <w:sz w:val="22"/>
          <w:lang w:val="es-ES"/>
        </w:rPr>
        <w:t>La cantidad de recursos humanos y materiales con los que cuenta el Sujeto Obligado son insuficientes.</w:t>
      </w:r>
    </w:p>
    <w:p w:rsidRPr="007C325C" w:rsidR="00E75E29" w:rsidP="00855D7E" w:rsidRDefault="00E75E29" w14:paraId="600430DC" w14:textId="77777777">
      <w:pPr>
        <w:spacing w:line="360" w:lineRule="auto"/>
        <w:contextualSpacing/>
        <w:jc w:val="both"/>
        <w:rPr>
          <w:rFonts w:ascii="Palatino Linotype" w:hAnsi="Palatino Linotype" w:eastAsia="Calibri" w:cs="Tahoma"/>
          <w:bCs/>
          <w:sz w:val="22"/>
          <w:szCs w:val="22"/>
          <w:lang w:eastAsia="en-US"/>
        </w:rPr>
      </w:pPr>
    </w:p>
    <w:p w:rsidRPr="007C325C" w:rsidR="00E75E29" w:rsidP="00855D7E" w:rsidRDefault="00E75E29" w14:paraId="1BD359E4" w14:textId="125E96E6">
      <w:pPr>
        <w:spacing w:line="360" w:lineRule="auto"/>
        <w:contextualSpacing/>
        <w:jc w:val="both"/>
        <w:rPr>
          <w:rFonts w:ascii="Palatino Linotype" w:hAnsi="Palatino Linotype"/>
          <w:noProof/>
          <w:sz w:val="22"/>
          <w:szCs w:val="22"/>
          <w:lang w:eastAsia="es-MX"/>
        </w:rPr>
      </w:pPr>
      <w:r w:rsidRPr="007C325C">
        <w:rPr>
          <w:rFonts w:ascii="Palatino Linotype" w:hAnsi="Palatino Linotype" w:cs="Tahoma"/>
          <w:bCs/>
          <w:sz w:val="22"/>
        </w:rPr>
        <w:t xml:space="preserve">Expuesto lo anterior, es de señalar por parte de este Instituto, que durante el procedimiento de acceso a la información, el Ente Recurrente </w:t>
      </w:r>
      <w:r w:rsidRPr="007C325C">
        <w:rPr>
          <w:rFonts w:ascii="Palatino Linotype" w:hAnsi="Palatino Linotype" w:cs="Tahoma"/>
          <w:b/>
          <w:sz w:val="22"/>
          <w:u w:val="single"/>
        </w:rPr>
        <w:t>no fundó ni motivó de manera óptima el cambio de modalidad aludido</w:t>
      </w:r>
      <w:r w:rsidRPr="007C325C">
        <w:rPr>
          <w:rFonts w:ascii="Palatino Linotype" w:hAnsi="Palatino Linotype" w:cs="Tahoma"/>
          <w:bCs/>
          <w:sz w:val="22"/>
        </w:rPr>
        <w:t xml:space="preserve">. </w:t>
      </w:r>
      <w:r w:rsidRPr="007C325C" w:rsidR="00622698">
        <w:rPr>
          <w:rFonts w:ascii="Palatino Linotype" w:hAnsi="Palatino Linotype" w:cs="Tahoma"/>
          <w:bCs/>
          <w:sz w:val="22"/>
        </w:rPr>
        <w:t>A</w:t>
      </w:r>
      <w:r w:rsidRPr="007C325C">
        <w:rPr>
          <w:rFonts w:ascii="Palatino Linotype" w:hAnsi="Palatino Linotype"/>
          <w:noProof/>
          <w:sz w:val="22"/>
          <w:szCs w:val="22"/>
          <w:lang w:eastAsia="es-MX"/>
        </w:rPr>
        <w:t xml:space="preserve">sí de la respuesta proporcionada, no se encuentra debidamente fundamentado el cambio de modalidad, ya que en un principio no proporciona un número de fojas, </w:t>
      </w:r>
      <w:r w:rsidRPr="007C325C" w:rsidR="00591F53">
        <w:rPr>
          <w:rFonts w:ascii="Palatino Linotype" w:hAnsi="Palatino Linotype"/>
          <w:noProof/>
          <w:sz w:val="22"/>
          <w:szCs w:val="22"/>
          <w:lang w:eastAsia="es-MX"/>
        </w:rPr>
        <w:t>ni especifica la</w:t>
      </w:r>
      <w:r w:rsidRPr="007C325C">
        <w:rPr>
          <w:rFonts w:ascii="Palatino Linotype" w:hAnsi="Palatino Linotype"/>
          <w:noProof/>
          <w:sz w:val="22"/>
          <w:szCs w:val="22"/>
          <w:lang w:eastAsia="es-MX"/>
        </w:rPr>
        <w:t xml:space="preserve"> imposibilidad</w:t>
      </w:r>
      <w:r w:rsidRPr="007C325C" w:rsidR="00591F53">
        <w:rPr>
          <w:rFonts w:ascii="Palatino Linotype" w:hAnsi="Palatino Linotype"/>
          <w:noProof/>
          <w:sz w:val="22"/>
          <w:szCs w:val="22"/>
          <w:lang w:eastAsia="es-MX"/>
        </w:rPr>
        <w:t xml:space="preserve"> para proporcionar la información por la vía escogida por el Particular</w:t>
      </w:r>
      <w:r w:rsidRPr="007C325C" w:rsidR="00E7030E">
        <w:rPr>
          <w:rFonts w:ascii="Palatino Linotype" w:hAnsi="Palatino Linotype"/>
          <w:noProof/>
          <w:sz w:val="22"/>
          <w:szCs w:val="22"/>
          <w:lang w:eastAsia="es-MX"/>
        </w:rPr>
        <w:t xml:space="preserve"> y al argumentar que no contaba con los medios tecnológicos no especifico el formato en el cual obra la información</w:t>
      </w:r>
    </w:p>
    <w:p w:rsidRPr="007C325C" w:rsidR="00E75E29" w:rsidP="00855D7E" w:rsidRDefault="00E75E29" w14:paraId="162C3DDF" w14:textId="77777777">
      <w:pPr>
        <w:spacing w:line="360" w:lineRule="auto"/>
        <w:ind w:right="-93"/>
        <w:contextualSpacing/>
        <w:jc w:val="both"/>
        <w:rPr>
          <w:rFonts w:ascii="Palatino Linotype" w:hAnsi="Palatino Linotype"/>
          <w:noProof/>
          <w:sz w:val="22"/>
          <w:szCs w:val="22"/>
          <w:lang w:eastAsia="es-MX"/>
        </w:rPr>
      </w:pPr>
    </w:p>
    <w:p w:rsidRPr="007C325C" w:rsidR="00E75E29" w:rsidP="00855D7E" w:rsidRDefault="00E75E29" w14:paraId="3A4E56C6" w14:textId="4AF40EC3">
      <w:pPr>
        <w:spacing w:line="360" w:lineRule="auto"/>
        <w:ind w:right="-93"/>
        <w:contextualSpacing/>
        <w:jc w:val="both"/>
        <w:rPr>
          <w:rFonts w:ascii="Palatino Linotype" w:hAnsi="Palatino Linotype"/>
          <w:noProof/>
          <w:sz w:val="22"/>
          <w:szCs w:val="22"/>
          <w:lang w:eastAsia="es-MX"/>
        </w:rPr>
      </w:pPr>
      <w:r w:rsidRPr="007C325C">
        <w:rPr>
          <w:rFonts w:ascii="Palatino Linotype" w:hAnsi="Palatino Linotype"/>
          <w:noProof/>
          <w:sz w:val="22"/>
          <w:szCs w:val="22"/>
          <w:lang w:eastAsia="es-MX"/>
        </w:rPr>
        <w:t>Aunado a lo anterior, el Sujeto Obligado no acredit</w:t>
      </w:r>
      <w:r w:rsidRPr="007C325C" w:rsidR="00AE042B">
        <w:rPr>
          <w:rFonts w:ascii="Palatino Linotype" w:hAnsi="Palatino Linotype"/>
          <w:noProof/>
          <w:sz w:val="22"/>
          <w:szCs w:val="22"/>
          <w:lang w:eastAsia="es-MX"/>
        </w:rPr>
        <w:t>ó</w:t>
      </w:r>
      <w:r w:rsidRPr="007C325C">
        <w:rPr>
          <w:rFonts w:ascii="Palatino Linotype" w:hAnsi="Palatino Linotype"/>
          <w:noProof/>
          <w:sz w:val="22"/>
          <w:szCs w:val="22"/>
          <w:lang w:eastAsia="es-MX"/>
        </w:rPr>
        <w:t xml:space="preserve"> los impedimentos para proporcionar la información a través del Sistema de Acceso a la Información Mexiquense (SAIMEX)</w:t>
      </w:r>
      <w:r w:rsidRPr="007C325C" w:rsidR="00440BCA">
        <w:rPr>
          <w:rFonts w:ascii="Palatino Linotype" w:hAnsi="Palatino Linotype"/>
          <w:noProof/>
          <w:sz w:val="22"/>
          <w:szCs w:val="22"/>
          <w:lang w:eastAsia="es-MX"/>
        </w:rPr>
        <w:t xml:space="preserve">, ya que </w:t>
      </w:r>
      <w:r w:rsidRPr="007C325C" w:rsidR="00E7030E">
        <w:rPr>
          <w:rFonts w:ascii="Palatino Linotype" w:hAnsi="Palatino Linotype"/>
          <w:noProof/>
          <w:sz w:val="22"/>
          <w:szCs w:val="22"/>
          <w:lang w:eastAsia="es-MX"/>
        </w:rPr>
        <w:t xml:space="preserve">no </w:t>
      </w:r>
      <w:r w:rsidRPr="007C325C" w:rsidR="00E7030E">
        <w:rPr>
          <w:rFonts w:ascii="Palatino Linotype" w:hAnsi="Palatino Linotype"/>
          <w:noProof/>
          <w:sz w:val="22"/>
          <w:szCs w:val="22"/>
          <w:lang w:eastAsia="es-MX"/>
        </w:rPr>
        <w:lastRenderedPageBreak/>
        <w:t xml:space="preserve">remitió </w:t>
      </w:r>
      <w:r w:rsidRPr="007C325C" w:rsidR="00440BCA">
        <w:rPr>
          <w:rFonts w:ascii="Palatino Linotype" w:hAnsi="Palatino Linotype"/>
          <w:noProof/>
          <w:sz w:val="22"/>
          <w:szCs w:val="22"/>
          <w:lang w:eastAsia="es-MX"/>
        </w:rPr>
        <w:t xml:space="preserve">Acta </w:t>
      </w:r>
      <w:r w:rsidRPr="007C325C" w:rsidR="00E7030E">
        <w:rPr>
          <w:rFonts w:ascii="Palatino Linotype" w:hAnsi="Palatino Linotype"/>
          <w:noProof/>
          <w:sz w:val="22"/>
          <w:szCs w:val="22"/>
          <w:lang w:eastAsia="es-MX"/>
        </w:rPr>
        <w:t>de su Comité de Transparencia</w:t>
      </w:r>
      <w:r w:rsidRPr="007C325C" w:rsidR="00622698">
        <w:rPr>
          <w:rFonts w:ascii="Palatino Linotype" w:hAnsi="Palatino Linotype"/>
          <w:noProof/>
          <w:sz w:val="22"/>
          <w:szCs w:val="22"/>
          <w:lang w:eastAsia="es-MX"/>
        </w:rPr>
        <w:t xml:space="preserve"> o bien el registro de incidencia ante este Instituto</w:t>
      </w:r>
      <w:r w:rsidRPr="007C325C">
        <w:rPr>
          <w:rFonts w:ascii="Palatino Linotype" w:hAnsi="Palatino Linotype"/>
          <w:noProof/>
          <w:sz w:val="22"/>
          <w:szCs w:val="22"/>
          <w:lang w:eastAsia="es-MX"/>
        </w:rPr>
        <w:t>. En este sentido, es de traer a colación las siguientes Tesis de Jurisprudencia:</w:t>
      </w:r>
    </w:p>
    <w:p w:rsidRPr="007C325C" w:rsidR="00E75E29" w:rsidP="00855D7E" w:rsidRDefault="00E75E29" w14:paraId="6A63BDB2" w14:textId="77777777">
      <w:pPr>
        <w:spacing w:line="360" w:lineRule="auto"/>
        <w:contextualSpacing/>
        <w:jc w:val="both"/>
        <w:rPr>
          <w:rFonts w:ascii="Palatino Linotype" w:hAnsi="Palatino Linotype"/>
          <w:noProof/>
          <w:sz w:val="22"/>
          <w:szCs w:val="22"/>
          <w:lang w:eastAsia="es-MX"/>
        </w:rPr>
      </w:pPr>
    </w:p>
    <w:p w:rsidRPr="007C325C" w:rsidR="00E75E29" w:rsidP="00855D7E" w:rsidRDefault="00E75E29" w14:paraId="0F7158B8" w14:textId="77777777">
      <w:pPr>
        <w:spacing w:line="360" w:lineRule="auto"/>
        <w:ind w:left="567" w:right="567"/>
        <w:contextualSpacing/>
        <w:jc w:val="both"/>
        <w:rPr>
          <w:rFonts w:ascii="Palatino Linotype" w:hAnsi="Palatino Linotype"/>
          <w:i/>
          <w:noProof/>
          <w:lang w:eastAsia="es-MX"/>
        </w:rPr>
      </w:pPr>
      <w:r w:rsidRPr="007C325C">
        <w:rPr>
          <w:rFonts w:ascii="Palatino Linotype" w:hAnsi="Palatino Linotype"/>
          <w:i/>
          <w:noProof/>
          <w:lang w:eastAsia="es-MX"/>
        </w:rPr>
        <w:t xml:space="preserve">Jurisprudencia I.3o.C. J/47, de Tribunales Colegiados de Circuito, visible en la página 1964 del Semanario Judicial de la Federación y su Gaceta, Tomo XXVII, febrero de 2008, Novena Época, de rubro: </w:t>
      </w:r>
      <w:r w:rsidRPr="007C325C">
        <w:rPr>
          <w:rFonts w:ascii="Palatino Linotype" w:hAnsi="Palatino Linotype"/>
          <w:b/>
          <w:i/>
          <w:noProof/>
          <w:lang w:eastAsia="es-MX"/>
        </w:rPr>
        <w:t>FUNDAMENTACIÓN Y MOTIVACIÓN. LA DIFERENCIA ENTRE LA FALTA Y LA INDEBIDA SATISFACCIÓN DE AMBOS REQUISITOS CONSTITUCIONALES TRASCIENDE AL ORDEN EN QUE DEBEN ESTUDIARSE LOS CONCEPTOS DE VIOLACIÓN Y A LOS EFECTOS DEL FALLO PROTECTOR</w:t>
      </w:r>
      <w:r w:rsidRPr="007C325C">
        <w:rPr>
          <w:rFonts w:ascii="Palatino Linotype" w:hAnsi="Palatino Linotype"/>
          <w:i/>
          <w:noProof/>
          <w:lang w:eastAsia="es-MX"/>
        </w:rPr>
        <w:t>. Misma que, en la parte que nos interesa, señala …Se produce la falta de fundamentación y motivación, cuando se omite expresar el dispositivo legal aplicable al asunto y las razones que se hayan considerado para estimar que el caso puede subsumirse en la hipótesis prevista en esa norma jurídica.</w:t>
      </w:r>
    </w:p>
    <w:p w:rsidRPr="007C325C" w:rsidR="00E75E29" w:rsidP="00855D7E" w:rsidRDefault="00E75E29" w14:paraId="0A653269" w14:textId="77777777">
      <w:pPr>
        <w:spacing w:line="360" w:lineRule="auto"/>
        <w:ind w:left="567" w:right="567"/>
        <w:contextualSpacing/>
        <w:jc w:val="both"/>
        <w:rPr>
          <w:rFonts w:ascii="Palatino Linotype" w:hAnsi="Palatino Linotype"/>
          <w:i/>
          <w:noProof/>
          <w:lang w:eastAsia="es-MX"/>
        </w:rPr>
      </w:pPr>
    </w:p>
    <w:p w:rsidRPr="007C325C" w:rsidR="00E75E29" w:rsidP="00855D7E" w:rsidRDefault="00E75E29" w14:paraId="674B9606" w14:textId="77777777">
      <w:pPr>
        <w:spacing w:line="360" w:lineRule="auto"/>
        <w:ind w:left="567" w:right="567"/>
        <w:contextualSpacing/>
        <w:jc w:val="both"/>
        <w:rPr>
          <w:rFonts w:ascii="Palatino Linotype" w:hAnsi="Palatino Linotype"/>
          <w:i/>
          <w:noProof/>
          <w:lang w:eastAsia="es-MX"/>
        </w:rPr>
      </w:pPr>
      <w:r w:rsidRPr="007C325C">
        <w:rPr>
          <w:rFonts w:ascii="Palatino Linotype" w:hAnsi="Palatino Linotype"/>
          <w:i/>
          <w:noProof/>
          <w:lang w:eastAsia="es-MX"/>
        </w:rPr>
        <w:t>Jurisprudencia IV.2o.C. J/12, de Tribunales Colegiados de Circuito, visible en la página 2053 del Semanario Judicial de la Federación y su Gaceta, Tomo XXXIII, febrero de 2011, Novena Época, de rubro y texto siguientes:</w:t>
      </w:r>
    </w:p>
    <w:p w:rsidRPr="007C325C" w:rsidR="00E75E29" w:rsidP="00855D7E" w:rsidRDefault="00E75E29" w14:paraId="59C740A4" w14:textId="77777777">
      <w:pPr>
        <w:spacing w:line="360" w:lineRule="auto"/>
        <w:ind w:left="567" w:right="567"/>
        <w:contextualSpacing/>
        <w:jc w:val="both"/>
        <w:rPr>
          <w:rFonts w:ascii="Palatino Linotype" w:hAnsi="Palatino Linotype"/>
          <w:i/>
          <w:noProof/>
          <w:lang w:eastAsia="es-MX"/>
        </w:rPr>
      </w:pPr>
    </w:p>
    <w:p w:rsidRPr="007C325C" w:rsidR="00E75E29" w:rsidP="00855D7E" w:rsidRDefault="00E75E29" w14:paraId="4C07B2F6" w14:textId="77777777">
      <w:pPr>
        <w:spacing w:line="360" w:lineRule="auto"/>
        <w:ind w:left="567" w:right="567"/>
        <w:contextualSpacing/>
        <w:jc w:val="both"/>
        <w:rPr>
          <w:rFonts w:ascii="Palatino Linotype" w:hAnsi="Palatino Linotype"/>
          <w:i/>
          <w:noProof/>
          <w:lang w:eastAsia="es-MX"/>
        </w:rPr>
      </w:pPr>
      <w:r w:rsidRPr="007C325C">
        <w:rPr>
          <w:rFonts w:ascii="Palatino Linotype" w:hAnsi="Palatino Linotype"/>
          <w:b/>
          <w:i/>
          <w:noProof/>
          <w:lang w:eastAsia="es-MX"/>
        </w:rPr>
        <w:t>FUNDAMENTACIÓN Y MOTIVACIÓN. ARGUMENTOS QUE DEBEN EXAMINARSE PARA DETERMINAR LO FUNDADO O INFUNDADO DE UNA INCONFORMIDAD CUANDO SE ALEGA LA AUSENCIA DE AQUÉLLA O SE TACHA DE INDEBIDA.</w:t>
      </w:r>
      <w:r w:rsidRPr="007C325C">
        <w:rPr>
          <w:rFonts w:ascii="Palatino Linotype" w:hAnsi="Palatino Linotype"/>
          <w:i/>
          <w:noProof/>
          <w:lang w:eastAsia="es-MX"/>
        </w:rPr>
        <w:t xml:space="preserve"> Al atender un motivo de desacuerdo relacionado con la fundamentación y motivación, para producir una respuesta congruente debe, del contexto integral de la argumentación del inconforme, advertirse si lo que imputa es ausencia de aquélla, o solamente la tacha de indebida, pues en la primer hipótesis bastará observar si la resolución contiene o no argumentos apoyados en la cita de preceptos legales para quedar en aptitud de declarar fundado o infundado el atinente motivo de desacuerdo. En cambio, en el segundo supuesto, cuando la fundamentación y motivación se tachan de indebidas, es menester apreciar los argumentos del motivo de desacuerdo, expresados para explicar por qué la invocación de preceptos legales se estima errónea, o por qué la motivación es incorrecta o </w:t>
      </w:r>
      <w:r w:rsidRPr="007C325C">
        <w:rPr>
          <w:rFonts w:ascii="Palatino Linotype" w:hAnsi="Palatino Linotype"/>
          <w:i/>
          <w:noProof/>
          <w:lang w:eastAsia="es-MX"/>
        </w:rPr>
        <w:lastRenderedPageBreak/>
        <w:t>insuficiente, pues será a la luz de tales razones que pueda establecerse lo fundado o infundado de la inconformidad.</w:t>
      </w:r>
    </w:p>
    <w:p w:rsidRPr="007C325C" w:rsidR="00E75E29" w:rsidP="00855D7E" w:rsidRDefault="00E75E29" w14:paraId="5E6969F9" w14:textId="77777777">
      <w:pPr>
        <w:spacing w:line="360" w:lineRule="auto"/>
        <w:contextualSpacing/>
        <w:jc w:val="both"/>
        <w:rPr>
          <w:rFonts w:ascii="Palatino Linotype" w:hAnsi="Palatino Linotype"/>
          <w:noProof/>
          <w:sz w:val="22"/>
          <w:szCs w:val="22"/>
          <w:lang w:eastAsia="es-MX"/>
        </w:rPr>
      </w:pPr>
    </w:p>
    <w:p w:rsidRPr="007C325C" w:rsidR="00E75E29" w:rsidP="00855D7E" w:rsidRDefault="00E75E29" w14:paraId="0D1350CC" w14:textId="77777777">
      <w:pPr>
        <w:spacing w:line="360" w:lineRule="auto"/>
        <w:contextualSpacing/>
        <w:jc w:val="both"/>
        <w:rPr>
          <w:rFonts w:ascii="Palatino Linotype" w:hAnsi="Palatino Linotype" w:cs="Tahoma"/>
          <w:b/>
          <w:iCs/>
          <w:sz w:val="22"/>
          <w:szCs w:val="22"/>
          <w:u w:val="single"/>
        </w:rPr>
      </w:pPr>
      <w:r w:rsidRPr="007C325C">
        <w:rPr>
          <w:rFonts w:ascii="Palatino Linotype" w:hAnsi="Palatino Linotype" w:eastAsia="Calibri" w:cs="Tahoma"/>
          <w:bCs/>
          <w:iCs/>
          <w:sz w:val="22"/>
          <w:szCs w:val="22"/>
          <w:lang w:eastAsia="en-US"/>
        </w:rPr>
        <w:t xml:space="preserve">Es de hacer hincapié, que en todo momento se debe privilegiar la modalidad escogida por el Particular, dicha manifestación además encuentra sustento dentro diversas resoluciones </w:t>
      </w:r>
      <w:r w:rsidRPr="007C325C">
        <w:rPr>
          <w:rFonts w:ascii="Palatino Linotype" w:hAnsi="Palatino Linotype" w:cs="Tahoma"/>
          <w:iCs/>
          <w:sz w:val="22"/>
          <w:szCs w:val="22"/>
        </w:rPr>
        <w:t>de los Recursos de Inconformidad</w:t>
      </w:r>
      <w:r w:rsidRPr="007C325C">
        <w:rPr>
          <w:rFonts w:ascii="Palatino Linotype" w:hAnsi="Palatino Linotype" w:eastAsia="Calibri" w:cs="Tahoma"/>
          <w:bCs/>
          <w:iCs/>
          <w:sz w:val="22"/>
          <w:szCs w:val="22"/>
          <w:lang w:eastAsia="en-US"/>
        </w:rPr>
        <w:t xml:space="preserve"> emitidas por el </w:t>
      </w:r>
      <w:r w:rsidRPr="007C325C">
        <w:rPr>
          <w:rFonts w:ascii="Palatino Linotype" w:hAnsi="Palatino Linotype" w:cs="Tahoma"/>
          <w:iCs/>
          <w:sz w:val="22"/>
          <w:szCs w:val="22"/>
        </w:rPr>
        <w:t xml:space="preserve">Órgano Garante Nacional, por enunciar algunas, RIA 136/20, RIA 140/20, RIA 153/20 RIA 237/20, RIA 257/20, RIA 258/20, entre otros, en los que ha considerado que no resulta suficiente argumentar una imposibilidad técnica para acreditar un cambio de modalidad, sino que es necesario demostrar otros impedimentos, </w:t>
      </w:r>
      <w:r w:rsidRPr="007C325C">
        <w:rPr>
          <w:rFonts w:ascii="Palatino Linotype" w:hAnsi="Palatino Linotype" w:cs="Tahoma"/>
          <w:bCs/>
          <w:iCs/>
          <w:sz w:val="22"/>
          <w:szCs w:val="22"/>
        </w:rPr>
        <w:t>que fuera de imposible reproducción en el medio elegido por el Solicitante</w:t>
      </w:r>
      <w:r w:rsidRPr="007C325C">
        <w:rPr>
          <w:rFonts w:ascii="Palatino Linotype" w:hAnsi="Palatino Linotype" w:cs="Tahoma"/>
          <w:iCs/>
          <w:sz w:val="22"/>
          <w:szCs w:val="22"/>
        </w:rPr>
        <w:t xml:space="preserve">, que la información ameritara el cruce de información en los sistemas de datos, entre otros, </w:t>
      </w:r>
      <w:r w:rsidRPr="007C325C">
        <w:rPr>
          <w:rFonts w:ascii="Palatino Linotype" w:hAnsi="Palatino Linotype" w:eastAsia="Calibri" w:cs="Tahoma"/>
          <w:bCs/>
          <w:iCs/>
          <w:sz w:val="22"/>
          <w:szCs w:val="22"/>
          <w:lang w:eastAsia="en-US"/>
        </w:rPr>
        <w:t xml:space="preserve">ello con el fin de privilegiar el Principio de Gratuidad y Máxima Publicidad, </w:t>
      </w:r>
      <w:r w:rsidRPr="007C325C">
        <w:rPr>
          <w:rFonts w:ascii="Palatino Linotype" w:hAnsi="Palatino Linotype" w:eastAsia="Calibri" w:cs="Tahoma"/>
          <w:b/>
          <w:iCs/>
          <w:sz w:val="22"/>
          <w:szCs w:val="22"/>
          <w:u w:val="single"/>
          <w:lang w:eastAsia="en-US"/>
        </w:rPr>
        <w:t xml:space="preserve">sin embargo, el Sujeto Obligado puede proporcionar otras modalidades para de la entrega de la información, a través del Sistema de Acceso a la Información Mexiquense (SAIMEX); tales como </w:t>
      </w:r>
      <w:r w:rsidRPr="007C325C">
        <w:rPr>
          <w:rFonts w:ascii="Palatino Linotype" w:hAnsi="Palatino Linotype" w:cs="Tahoma"/>
          <w:b/>
          <w:iCs/>
          <w:sz w:val="22"/>
          <w:szCs w:val="22"/>
          <w:u w:val="single"/>
        </w:rPr>
        <w:t>copia simple o certificada; o bien a través de disco compacto, medios de almacenamiento (USB), e incluso su envió a través de correo certificado previo pago de los costos de reproducción correspondientes.</w:t>
      </w:r>
    </w:p>
    <w:p w:rsidRPr="007C325C" w:rsidR="00E75E29" w:rsidP="00855D7E" w:rsidRDefault="00E75E29" w14:paraId="390F65B2" w14:textId="77777777">
      <w:pPr>
        <w:spacing w:line="360" w:lineRule="auto"/>
        <w:contextualSpacing/>
        <w:jc w:val="both"/>
        <w:rPr>
          <w:rFonts w:ascii="Palatino Linotype" w:hAnsi="Palatino Linotype" w:cs="Tahoma"/>
          <w:iCs/>
          <w:sz w:val="22"/>
          <w:szCs w:val="22"/>
        </w:rPr>
      </w:pPr>
    </w:p>
    <w:p w:rsidRPr="007C325C" w:rsidR="00D128B2" w:rsidP="00855D7E" w:rsidRDefault="00D128B2" w14:paraId="1EBD315C" w14:textId="77777777">
      <w:pPr>
        <w:autoSpaceDE w:val="0"/>
        <w:autoSpaceDN w:val="0"/>
        <w:adjustRightInd w:val="0"/>
        <w:spacing w:line="360" w:lineRule="auto"/>
        <w:contextualSpacing/>
        <w:jc w:val="both"/>
        <w:rPr>
          <w:rFonts w:ascii="Palatino Linotype" w:hAnsi="Palatino Linotype" w:cs="Tahoma"/>
          <w:bCs/>
          <w:iCs/>
          <w:sz w:val="22"/>
          <w:szCs w:val="22"/>
          <w:lang w:val="es-ES"/>
        </w:rPr>
      </w:pPr>
      <w:r w:rsidRPr="007C325C">
        <w:rPr>
          <w:rFonts w:ascii="Palatino Linotype" w:hAnsi="Palatino Linotype" w:cs="Tahoma"/>
          <w:sz w:val="22"/>
          <w:szCs w:val="22"/>
        </w:rPr>
        <w:t xml:space="preserve">Por lo tanto, se precisa que </w:t>
      </w:r>
      <w:r w:rsidRPr="007C325C">
        <w:rPr>
          <w:rFonts w:ascii="Palatino Linotype" w:hAnsi="Palatino Linotype" w:cs="Tahoma"/>
          <w:bCs/>
          <w:sz w:val="22"/>
          <w:szCs w:val="22"/>
          <w:lang w:val="es-ES"/>
        </w:rPr>
        <w:t xml:space="preserve">el derecho de acceso a la información pública se satisface en aquellos casos en que se entregue el soporte documental en el que conste la información solicitada sin necesidad de elaborar documentos </w:t>
      </w:r>
      <w:r w:rsidRPr="007C325C">
        <w:rPr>
          <w:rFonts w:ascii="Palatino Linotype" w:hAnsi="Palatino Linotype" w:cs="Tahoma"/>
          <w:bCs/>
          <w:i/>
          <w:sz w:val="22"/>
          <w:szCs w:val="22"/>
        </w:rPr>
        <w:t>ad hoc</w:t>
      </w:r>
      <w:r w:rsidRPr="007C325C">
        <w:rPr>
          <w:rFonts w:ascii="Palatino Linotype" w:hAnsi="Palatino Linotype" w:cs="Tahoma"/>
          <w:bCs/>
          <w:sz w:val="22"/>
          <w:szCs w:val="22"/>
        </w:rPr>
        <w:t xml:space="preserve">, de conformidad con en el artículo 160 de la Ley de Transparencia y Acceso a la Información Pública del Estado de México y Municipios, el cual refiere que los sujetos obligados deberán entregar la información que obre en sus archivos, así, se considera viable ordenar al Sujeto Obligado </w:t>
      </w:r>
      <w:r w:rsidRPr="007C325C">
        <w:rPr>
          <w:rFonts w:ascii="Palatino Linotype" w:hAnsi="Palatino Linotype" w:cs="Tahoma"/>
          <w:bCs/>
          <w:iCs/>
          <w:sz w:val="22"/>
          <w:szCs w:val="22"/>
          <w:lang w:val="es-ES"/>
        </w:rPr>
        <w:t xml:space="preserve">para dar cumplimiento a los artículos 12, 160 y 162 de la Ley en cita, haga entrega de la información requerida, a través de algún medio electrónico que permita su reproducción, o bien, a través del Sistema de Acceso a la Información Mexiquense (SAIMEX), de manera fundada y motivada, de cuenta al </w:t>
      </w:r>
      <w:r w:rsidRPr="007C325C">
        <w:rPr>
          <w:rFonts w:ascii="Palatino Linotype" w:hAnsi="Palatino Linotype" w:cs="Tahoma"/>
          <w:bCs/>
          <w:iCs/>
          <w:sz w:val="22"/>
          <w:szCs w:val="22"/>
          <w:lang w:val="es-ES"/>
        </w:rPr>
        <w:lastRenderedPageBreak/>
        <w:t>Particular de las razones o motivos para hacer entrega de la información por otra vía a la solicitada, una vez agotados todos los medios electrónicos posibles para la reproducción de la misma.</w:t>
      </w:r>
    </w:p>
    <w:p w:rsidRPr="007C325C" w:rsidR="00D128B2" w:rsidP="00855D7E" w:rsidRDefault="00D128B2" w14:paraId="5B1B6C23" w14:textId="77777777">
      <w:pPr>
        <w:spacing w:line="360" w:lineRule="auto"/>
        <w:contextualSpacing/>
        <w:jc w:val="both"/>
        <w:rPr>
          <w:rFonts w:ascii="Palatino Linotype" w:hAnsi="Palatino Linotype" w:eastAsia="Calibri" w:cs="Tahoma"/>
          <w:bCs/>
          <w:iCs/>
          <w:sz w:val="22"/>
          <w:szCs w:val="22"/>
          <w:lang w:eastAsia="en-US"/>
        </w:rPr>
      </w:pPr>
    </w:p>
    <w:p w:rsidRPr="007C325C" w:rsidR="00321C87" w:rsidP="00855D7E" w:rsidRDefault="00321C87" w14:paraId="46107320" w14:textId="77777777">
      <w:pPr>
        <w:spacing w:line="360" w:lineRule="auto"/>
        <w:contextualSpacing/>
        <w:jc w:val="both"/>
        <w:rPr>
          <w:rFonts w:ascii="Palatino Linotype" w:hAnsi="Palatino Linotype" w:eastAsia="Calibri" w:cs="Tahoma"/>
          <w:b/>
          <w:bCs/>
          <w:iCs/>
          <w:sz w:val="22"/>
          <w:szCs w:val="22"/>
          <w:lang w:eastAsia="en-US"/>
        </w:rPr>
      </w:pPr>
      <w:r w:rsidRPr="007C325C">
        <w:rPr>
          <w:rFonts w:ascii="Palatino Linotype" w:hAnsi="Palatino Linotype" w:eastAsia="Calibri" w:cs="Tahoma"/>
          <w:b/>
          <w:bCs/>
          <w:iCs/>
          <w:sz w:val="22"/>
          <w:szCs w:val="22"/>
          <w:lang w:eastAsia="en-US"/>
        </w:rPr>
        <w:t>Versión Pública</w:t>
      </w:r>
    </w:p>
    <w:p w:rsidRPr="007C325C" w:rsidR="00DF31BC" w:rsidP="00855D7E" w:rsidRDefault="00DF31BC" w14:paraId="001D687F" w14:textId="77777777">
      <w:pPr>
        <w:spacing w:line="360" w:lineRule="auto"/>
        <w:contextualSpacing/>
        <w:jc w:val="both"/>
        <w:rPr>
          <w:rFonts w:ascii="Palatino Linotype" w:hAnsi="Palatino Linotype" w:eastAsia="Calibri" w:cs="Tahoma"/>
          <w:b/>
          <w:bCs/>
          <w:iCs/>
          <w:sz w:val="22"/>
          <w:szCs w:val="22"/>
          <w:lang w:eastAsia="en-US"/>
        </w:rPr>
      </w:pPr>
    </w:p>
    <w:p w:rsidRPr="007C325C" w:rsidR="00321C87" w:rsidP="00855D7E" w:rsidRDefault="00321C87" w14:paraId="033E89C3" w14:textId="77777777">
      <w:pPr>
        <w:spacing w:line="360" w:lineRule="auto"/>
        <w:contextualSpacing/>
        <w:jc w:val="both"/>
        <w:rPr>
          <w:rFonts w:ascii="Palatino Linotype" w:hAnsi="Palatino Linotype" w:eastAsia="Calibri" w:cs="Tahoma"/>
          <w:bCs/>
          <w:color w:val="000000" w:themeColor="text1"/>
          <w:sz w:val="22"/>
          <w:szCs w:val="22"/>
          <w:lang w:eastAsia="en-US"/>
        </w:rPr>
      </w:pPr>
      <w:r w:rsidRPr="007C325C">
        <w:rPr>
          <w:rFonts w:ascii="Palatino Linotype" w:hAnsi="Palatino Linotype" w:cs="Tahoma"/>
          <w:bCs/>
          <w:iCs/>
          <w:sz w:val="22"/>
          <w:szCs w:val="22"/>
        </w:rPr>
        <w:t>Ahora bien, sin menoscabar lo anterior, se procede analizar si procede la clasificación de la documentación que conforman los expedientes laborales; para lo cual</w:t>
      </w:r>
      <w:r w:rsidRPr="007C325C">
        <w:rPr>
          <w:rFonts w:ascii="Palatino Linotype" w:hAnsi="Palatino Linotype" w:eastAsia="Calibri" w:cs="Tahoma"/>
          <w:bCs/>
          <w:color w:val="000000" w:themeColor="text1"/>
          <w:sz w:val="22"/>
          <w:szCs w:val="22"/>
          <w:lang w:eastAsia="en-US"/>
        </w:rPr>
        <w:t>,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dicho ordenamiento,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rsidRPr="007C325C" w:rsidR="00321C87" w:rsidP="00855D7E" w:rsidRDefault="00321C87" w14:paraId="1137A51B" w14:textId="77777777">
      <w:pPr>
        <w:spacing w:line="360" w:lineRule="auto"/>
        <w:contextualSpacing/>
        <w:jc w:val="both"/>
        <w:rPr>
          <w:rFonts w:ascii="Palatino Linotype" w:hAnsi="Palatino Linotype" w:eastAsia="Calibri" w:cs="Tahoma"/>
          <w:bCs/>
          <w:sz w:val="22"/>
          <w:szCs w:val="22"/>
          <w:lang w:eastAsia="en-US"/>
        </w:rPr>
      </w:pPr>
    </w:p>
    <w:p w:rsidRPr="007C325C" w:rsidR="00321C87" w:rsidP="00855D7E" w:rsidRDefault="00321C87" w14:paraId="1EC5C58E" w14:textId="77777777">
      <w:pPr>
        <w:spacing w:line="360" w:lineRule="auto"/>
        <w:contextualSpacing/>
        <w:jc w:val="both"/>
        <w:rPr>
          <w:rFonts w:ascii="Palatino Linotype" w:hAnsi="Palatino Linotype" w:eastAsia="Calibri" w:cs="Tahoma"/>
          <w:bCs/>
          <w:sz w:val="22"/>
          <w:szCs w:val="22"/>
          <w:lang w:eastAsia="en-US"/>
        </w:rPr>
      </w:pPr>
      <w:r w:rsidRPr="007C325C">
        <w:rPr>
          <w:rFonts w:ascii="Palatino Linotype" w:hAnsi="Palatino Linotype" w:eastAsia="Calibri" w:cs="Tahoma"/>
          <w:bCs/>
          <w:sz w:val="22"/>
          <w:szCs w:val="22"/>
          <w:lang w:eastAsia="en-US"/>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rsidRPr="007C325C" w:rsidR="00321C87" w:rsidP="00855D7E" w:rsidRDefault="00321C87" w14:paraId="24389A7D" w14:textId="77777777">
      <w:pPr>
        <w:spacing w:line="360" w:lineRule="auto"/>
        <w:contextualSpacing/>
        <w:jc w:val="both"/>
        <w:rPr>
          <w:rFonts w:ascii="Palatino Linotype" w:hAnsi="Palatino Linotype" w:eastAsia="Calibri" w:cs="Tahoma"/>
          <w:bCs/>
          <w:sz w:val="22"/>
          <w:szCs w:val="22"/>
          <w:lang w:eastAsia="en-US"/>
        </w:rPr>
      </w:pPr>
    </w:p>
    <w:p w:rsidRPr="007C325C" w:rsidR="00321C87" w:rsidP="00855D7E" w:rsidRDefault="00321C87" w14:paraId="2A8B6A97" w14:textId="77777777">
      <w:pPr>
        <w:spacing w:line="360" w:lineRule="auto"/>
        <w:contextualSpacing/>
        <w:jc w:val="both"/>
        <w:rPr>
          <w:rFonts w:ascii="Palatino Linotype" w:hAnsi="Palatino Linotype" w:eastAsia="Calibri" w:cs="Tahoma"/>
          <w:bCs/>
          <w:sz w:val="22"/>
          <w:szCs w:val="22"/>
          <w:lang w:eastAsia="en-US"/>
        </w:rPr>
      </w:pPr>
      <w:r w:rsidRPr="007C325C">
        <w:rPr>
          <w:rFonts w:ascii="Palatino Linotype" w:hAnsi="Palatino Linotype" w:eastAsia="Calibri" w:cs="Tahoma"/>
          <w:bCs/>
          <w:sz w:val="22"/>
          <w:szCs w:val="22"/>
          <w:lang w:eastAsia="en-US"/>
        </w:rPr>
        <w:t xml:space="preserve">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w:t>
      </w:r>
      <w:r w:rsidRPr="007C325C">
        <w:rPr>
          <w:rFonts w:ascii="Palatino Linotype" w:hAnsi="Palatino Linotype" w:eastAsia="Calibri" w:cs="Tahoma"/>
          <w:bCs/>
          <w:sz w:val="22"/>
          <w:szCs w:val="22"/>
          <w:lang w:eastAsia="en-US"/>
        </w:rPr>
        <w:lastRenderedPageBreak/>
        <w:t>las personas, será protegida a través de un marco jurídico rígido, de tratamiento y manejo de datos personales.</w:t>
      </w:r>
    </w:p>
    <w:p w:rsidRPr="007C325C" w:rsidR="00321C87" w:rsidP="00855D7E" w:rsidRDefault="00321C87" w14:paraId="4184F564" w14:textId="77777777">
      <w:pPr>
        <w:spacing w:line="360" w:lineRule="auto"/>
        <w:contextualSpacing/>
        <w:jc w:val="both"/>
        <w:rPr>
          <w:rFonts w:ascii="Palatino Linotype" w:hAnsi="Palatino Linotype" w:eastAsia="Calibri" w:cs="Tahoma"/>
          <w:bCs/>
          <w:sz w:val="22"/>
          <w:szCs w:val="22"/>
          <w:lang w:eastAsia="en-US"/>
        </w:rPr>
      </w:pPr>
    </w:p>
    <w:p w:rsidRPr="007C325C" w:rsidR="00321C87" w:rsidP="00855D7E" w:rsidRDefault="00321C87" w14:paraId="24C6C6F2" w14:textId="77777777">
      <w:pPr>
        <w:spacing w:line="360" w:lineRule="auto"/>
        <w:contextualSpacing/>
        <w:jc w:val="both"/>
        <w:rPr>
          <w:rFonts w:ascii="Palatino Linotype" w:hAnsi="Palatino Linotype" w:eastAsia="Calibri" w:cs="Tahoma"/>
          <w:bCs/>
          <w:sz w:val="22"/>
          <w:szCs w:val="22"/>
          <w:lang w:eastAsia="en-US"/>
        </w:rPr>
      </w:pPr>
      <w:r w:rsidRPr="007C325C">
        <w:rPr>
          <w:rFonts w:ascii="Palatino Linotype" w:hAnsi="Palatino Linotype" w:eastAsia="Calibri" w:cs="Tahoma"/>
          <w:bCs/>
          <w:sz w:val="22"/>
          <w:szCs w:val="22"/>
          <w:lang w:eastAsia="en-US"/>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rsidRPr="007C325C" w:rsidR="00321C87" w:rsidP="00855D7E" w:rsidRDefault="00321C87" w14:paraId="78CB0A54" w14:textId="77777777">
      <w:pPr>
        <w:spacing w:line="360" w:lineRule="auto"/>
        <w:contextualSpacing/>
        <w:jc w:val="both"/>
        <w:rPr>
          <w:rFonts w:ascii="Palatino Linotype" w:hAnsi="Palatino Linotype" w:eastAsia="Calibri" w:cs="Tahoma"/>
          <w:bCs/>
          <w:sz w:val="22"/>
          <w:szCs w:val="22"/>
          <w:lang w:eastAsia="en-US"/>
        </w:rPr>
      </w:pPr>
    </w:p>
    <w:p w:rsidRPr="007C325C" w:rsidR="00321C87" w:rsidP="00855D7E" w:rsidRDefault="00321C87" w14:paraId="20581F3F" w14:textId="77777777">
      <w:pPr>
        <w:spacing w:line="360" w:lineRule="auto"/>
        <w:contextualSpacing/>
        <w:jc w:val="both"/>
        <w:rPr>
          <w:rFonts w:ascii="Palatino Linotype" w:hAnsi="Palatino Linotype" w:eastAsia="Calibri" w:cs="Tahoma"/>
          <w:bCs/>
          <w:sz w:val="22"/>
          <w:szCs w:val="22"/>
          <w:lang w:eastAsia="en-US"/>
        </w:rPr>
      </w:pPr>
      <w:r w:rsidRPr="007C325C">
        <w:rPr>
          <w:rFonts w:ascii="Palatino Linotype" w:hAnsi="Palatino Linotype" w:eastAsia="Calibri" w:cs="Tahoma"/>
          <w:bCs/>
          <w:sz w:val="22"/>
          <w:szCs w:val="22"/>
          <w:lang w:eastAsia="en-US"/>
        </w:rPr>
        <w:t>En concordancia con lo previo, el artículo 143, fracción I, de la Ley previamente citada, establece que la información privada y los datos personales, concernientes a una persona física o jurídica colectiva identificada o identificable son confidenciales.</w:t>
      </w:r>
    </w:p>
    <w:p w:rsidRPr="007C325C" w:rsidR="00321C87" w:rsidP="00855D7E" w:rsidRDefault="00321C87" w14:paraId="6FB3688F" w14:textId="77777777">
      <w:pPr>
        <w:spacing w:line="360" w:lineRule="auto"/>
        <w:contextualSpacing/>
        <w:jc w:val="both"/>
        <w:rPr>
          <w:rFonts w:ascii="Palatino Linotype" w:hAnsi="Palatino Linotype" w:eastAsia="Calibri" w:cs="Tahoma"/>
          <w:bCs/>
          <w:sz w:val="22"/>
          <w:szCs w:val="22"/>
          <w:lang w:eastAsia="en-US"/>
        </w:rPr>
      </w:pPr>
    </w:p>
    <w:p w:rsidRPr="007C325C" w:rsidR="00321C87" w:rsidP="00855D7E" w:rsidRDefault="00321C87" w14:paraId="50BF2A63" w14:textId="77777777">
      <w:pPr>
        <w:spacing w:line="360" w:lineRule="auto"/>
        <w:contextualSpacing/>
        <w:jc w:val="both"/>
        <w:rPr>
          <w:rFonts w:ascii="Palatino Linotype" w:hAnsi="Palatino Linotype" w:eastAsia="Calibri" w:cs="Tahoma"/>
          <w:bCs/>
          <w:sz w:val="22"/>
          <w:szCs w:val="22"/>
          <w:lang w:eastAsia="en-US"/>
        </w:rPr>
      </w:pPr>
      <w:r w:rsidRPr="007C325C">
        <w:rPr>
          <w:rFonts w:ascii="Palatino Linotype" w:hAnsi="Palatino Linotype" w:eastAsia="Calibri" w:cs="Tahoma"/>
          <w:bCs/>
          <w:sz w:val="22"/>
          <w:szCs w:val="22"/>
          <w:lang w:eastAsia="en-US"/>
        </w:rPr>
        <w:t>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rsidRPr="007C325C" w:rsidR="00321C87" w:rsidP="00855D7E" w:rsidRDefault="00321C87" w14:paraId="50C9FC4B" w14:textId="77777777">
      <w:pPr>
        <w:spacing w:line="360" w:lineRule="auto"/>
        <w:contextualSpacing/>
        <w:jc w:val="both"/>
        <w:rPr>
          <w:rFonts w:ascii="Palatino Linotype" w:hAnsi="Palatino Linotype" w:eastAsia="Calibri" w:cs="Tahoma"/>
          <w:bCs/>
          <w:sz w:val="22"/>
          <w:szCs w:val="22"/>
          <w:lang w:eastAsia="en-US"/>
        </w:rPr>
      </w:pPr>
    </w:p>
    <w:p w:rsidRPr="007C325C" w:rsidR="00321C87" w:rsidP="00855D7E" w:rsidRDefault="00321C87" w14:paraId="6FE0AB66" w14:textId="77777777">
      <w:pPr>
        <w:spacing w:line="360" w:lineRule="auto"/>
        <w:contextualSpacing/>
        <w:jc w:val="both"/>
        <w:rPr>
          <w:rFonts w:ascii="Palatino Linotype" w:hAnsi="Palatino Linotype" w:eastAsia="Calibri" w:cs="Tahoma"/>
          <w:bCs/>
          <w:sz w:val="22"/>
          <w:szCs w:val="22"/>
          <w:lang w:eastAsia="en-US"/>
        </w:rPr>
      </w:pPr>
      <w:r w:rsidRPr="007C325C">
        <w:rPr>
          <w:rFonts w:ascii="Palatino Linotype" w:hAnsi="Palatino Linotype" w:eastAsia="Calibri" w:cs="Tahoma"/>
          <w:bCs/>
          <w:sz w:val="22"/>
          <w:szCs w:val="22"/>
          <w:lang w:eastAsia="en-US"/>
        </w:rPr>
        <w:t>En términos de lo expuesto, la documentación y aquellos datos que se consideren confidenciales, serán una limitante del derecho de acceso a la información, siempre y cuando:</w:t>
      </w:r>
    </w:p>
    <w:p w:rsidRPr="007C325C" w:rsidR="00321C87" w:rsidP="00855D7E" w:rsidRDefault="00321C87" w14:paraId="191C6650" w14:textId="77777777">
      <w:pPr>
        <w:spacing w:line="360" w:lineRule="auto"/>
        <w:contextualSpacing/>
        <w:jc w:val="both"/>
        <w:rPr>
          <w:rFonts w:ascii="Palatino Linotype" w:hAnsi="Palatino Linotype" w:eastAsia="Calibri" w:cs="Tahoma"/>
          <w:bCs/>
          <w:sz w:val="22"/>
          <w:szCs w:val="22"/>
          <w:lang w:eastAsia="en-US"/>
        </w:rPr>
      </w:pPr>
    </w:p>
    <w:p w:rsidRPr="007C325C" w:rsidR="00321C87" w:rsidP="00855D7E" w:rsidRDefault="00321C87" w14:paraId="718DC115" w14:textId="77777777">
      <w:pPr>
        <w:numPr>
          <w:ilvl w:val="0"/>
          <w:numId w:val="39"/>
        </w:numPr>
        <w:spacing w:after="160" w:line="360" w:lineRule="auto"/>
        <w:contextualSpacing/>
        <w:jc w:val="both"/>
        <w:rPr>
          <w:rFonts w:ascii="Palatino Linotype" w:hAnsi="Palatino Linotype" w:eastAsia="Calibri" w:cs="Tahoma"/>
          <w:bCs/>
          <w:sz w:val="22"/>
          <w:szCs w:val="22"/>
          <w:lang w:eastAsia="en-US"/>
        </w:rPr>
      </w:pPr>
      <w:r w:rsidRPr="007C325C">
        <w:rPr>
          <w:rFonts w:ascii="Palatino Linotype" w:hAnsi="Palatino Linotype" w:eastAsia="Calibri" w:cs="Tahoma"/>
          <w:bCs/>
          <w:sz w:val="22"/>
          <w:szCs w:val="22"/>
          <w:lang w:eastAsia="en-US"/>
        </w:rPr>
        <w:t xml:space="preserve">Se trate de datos personales o información privada; esto es, información concerniente a una persona física o jurídico colectiva y que esta sea identificada o identificable. </w:t>
      </w:r>
    </w:p>
    <w:p w:rsidRPr="007C325C" w:rsidR="00321C87" w:rsidP="00855D7E" w:rsidRDefault="00321C87" w14:paraId="66354168" w14:textId="77777777">
      <w:pPr>
        <w:spacing w:line="360" w:lineRule="auto"/>
        <w:ind w:left="720"/>
        <w:contextualSpacing/>
        <w:jc w:val="both"/>
        <w:rPr>
          <w:rFonts w:ascii="Palatino Linotype" w:hAnsi="Palatino Linotype" w:eastAsia="Calibri" w:cs="Tahoma"/>
          <w:bCs/>
          <w:sz w:val="22"/>
          <w:szCs w:val="22"/>
          <w:lang w:eastAsia="en-US"/>
        </w:rPr>
      </w:pPr>
    </w:p>
    <w:p w:rsidRPr="007C325C" w:rsidR="00321C87" w:rsidP="00855D7E" w:rsidRDefault="00321C87" w14:paraId="241B1983" w14:textId="77777777">
      <w:pPr>
        <w:numPr>
          <w:ilvl w:val="0"/>
          <w:numId w:val="39"/>
        </w:numPr>
        <w:spacing w:after="160" w:line="360" w:lineRule="auto"/>
        <w:contextualSpacing/>
        <w:jc w:val="both"/>
        <w:rPr>
          <w:rFonts w:ascii="Palatino Linotype" w:hAnsi="Palatino Linotype" w:eastAsia="Calibri" w:cs="Tahoma"/>
          <w:bCs/>
          <w:sz w:val="22"/>
          <w:szCs w:val="22"/>
          <w:lang w:eastAsia="en-US"/>
        </w:rPr>
      </w:pPr>
      <w:r w:rsidRPr="007C325C">
        <w:rPr>
          <w:rFonts w:ascii="Palatino Linotype" w:hAnsi="Palatino Linotype" w:eastAsia="Calibri" w:cs="Tahoma"/>
          <w:bCs/>
          <w:sz w:val="22"/>
          <w:szCs w:val="22"/>
          <w:lang w:eastAsia="en-US"/>
        </w:rPr>
        <w:t xml:space="preserve">Para la difusión de los datos, se requiera el consentimiento del titular. </w:t>
      </w:r>
    </w:p>
    <w:p w:rsidRPr="007C325C" w:rsidR="00321C87" w:rsidP="00855D7E" w:rsidRDefault="00321C87" w14:paraId="3EAE6B31" w14:textId="77777777">
      <w:pPr>
        <w:spacing w:line="360" w:lineRule="auto"/>
        <w:contextualSpacing/>
        <w:jc w:val="both"/>
        <w:rPr>
          <w:rFonts w:ascii="Palatino Linotype" w:hAnsi="Palatino Linotype" w:eastAsia="Calibri" w:cs="Tahoma"/>
          <w:bCs/>
          <w:sz w:val="22"/>
          <w:szCs w:val="22"/>
          <w:lang w:eastAsia="en-US"/>
        </w:rPr>
      </w:pPr>
    </w:p>
    <w:p w:rsidRPr="007C325C" w:rsidR="00321C87" w:rsidP="00855D7E" w:rsidRDefault="00321C87" w14:paraId="4452FDE8" w14:textId="77777777">
      <w:pPr>
        <w:spacing w:line="360" w:lineRule="auto"/>
        <w:contextualSpacing/>
        <w:jc w:val="both"/>
        <w:rPr>
          <w:rFonts w:ascii="Palatino Linotype" w:hAnsi="Palatino Linotype" w:eastAsia="Calibri" w:cs="Tahoma"/>
          <w:bCs/>
          <w:sz w:val="22"/>
          <w:szCs w:val="22"/>
          <w:lang w:eastAsia="en-US"/>
        </w:rPr>
      </w:pPr>
      <w:r w:rsidRPr="007C325C">
        <w:rPr>
          <w:rFonts w:ascii="Palatino Linotype" w:hAnsi="Palatino Linotype" w:eastAsia="Calibri" w:cs="Tahoma"/>
          <w:bCs/>
          <w:sz w:val="22"/>
          <w:szCs w:val="22"/>
          <w:lang w:eastAsia="en-US"/>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rsidRPr="007C325C" w:rsidR="00321C87" w:rsidP="00855D7E" w:rsidRDefault="00321C87" w14:paraId="3EE39595" w14:textId="77777777">
      <w:pPr>
        <w:spacing w:line="360" w:lineRule="auto"/>
        <w:contextualSpacing/>
        <w:jc w:val="both"/>
        <w:rPr>
          <w:rFonts w:ascii="Palatino Linotype" w:hAnsi="Palatino Linotype" w:eastAsia="Calibri" w:cs="Tahoma"/>
          <w:bCs/>
          <w:sz w:val="22"/>
          <w:szCs w:val="22"/>
          <w:lang w:eastAsia="en-US"/>
        </w:rPr>
      </w:pPr>
    </w:p>
    <w:p w:rsidRPr="007C325C" w:rsidR="00321C87" w:rsidP="00855D7E" w:rsidRDefault="00321C87" w14:paraId="3BEE48F9" w14:textId="77777777">
      <w:pPr>
        <w:spacing w:line="360" w:lineRule="auto"/>
        <w:contextualSpacing/>
        <w:jc w:val="both"/>
        <w:rPr>
          <w:rFonts w:ascii="Palatino Linotype" w:hAnsi="Palatino Linotype" w:eastAsia="Calibri" w:cs="Tahoma"/>
          <w:bCs/>
          <w:sz w:val="22"/>
          <w:szCs w:val="22"/>
          <w:lang w:eastAsia="en-US"/>
        </w:rPr>
      </w:pPr>
      <w:r w:rsidRPr="007C325C">
        <w:rPr>
          <w:rFonts w:ascii="Palatino Linotype" w:hAnsi="Palatino Linotype" w:eastAsia="Calibri" w:cs="Tahoma"/>
          <w:bCs/>
          <w:sz w:val="22"/>
          <w:szCs w:val="22"/>
          <w:lang w:eastAsia="en-US"/>
        </w:rPr>
        <w:t>Además, en el artículo 5° de dicho ordenamiento jurídico, establece que es la Ley aplicable para todo tratamiento de datos personales.</w:t>
      </w:r>
    </w:p>
    <w:p w:rsidRPr="007C325C" w:rsidR="00321C87" w:rsidP="00855D7E" w:rsidRDefault="00321C87" w14:paraId="3F725C1D" w14:textId="77777777">
      <w:pPr>
        <w:spacing w:line="360" w:lineRule="auto"/>
        <w:contextualSpacing/>
        <w:jc w:val="both"/>
        <w:rPr>
          <w:rFonts w:ascii="Palatino Linotype" w:hAnsi="Palatino Linotype" w:eastAsia="Calibri" w:cs="Tahoma"/>
          <w:bCs/>
          <w:sz w:val="22"/>
          <w:szCs w:val="22"/>
          <w:lang w:eastAsia="en-US"/>
        </w:rPr>
      </w:pPr>
    </w:p>
    <w:p w:rsidRPr="007C325C" w:rsidR="00321C87" w:rsidP="00855D7E" w:rsidRDefault="00321C87" w14:paraId="21448E57" w14:textId="77777777">
      <w:pPr>
        <w:spacing w:line="360" w:lineRule="auto"/>
        <w:contextualSpacing/>
        <w:jc w:val="both"/>
        <w:rPr>
          <w:rFonts w:ascii="Palatino Linotype" w:hAnsi="Palatino Linotype" w:eastAsia="Calibri" w:cs="Tahoma"/>
          <w:bCs/>
          <w:sz w:val="22"/>
          <w:szCs w:val="22"/>
          <w:lang w:eastAsia="en-US"/>
        </w:rPr>
      </w:pPr>
      <w:r w:rsidRPr="007C325C">
        <w:rPr>
          <w:rFonts w:ascii="Palatino Linotype" w:hAnsi="Palatino Linotype" w:eastAsia="Calibri" w:cs="Tahoma"/>
          <w:bCs/>
          <w:sz w:val="22"/>
          <w:szCs w:val="22"/>
          <w:lang w:eastAsia="en-US"/>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rsidRPr="007C325C" w:rsidR="00321C87" w:rsidP="00855D7E" w:rsidRDefault="00321C87" w14:paraId="5E157639" w14:textId="77777777">
      <w:pPr>
        <w:spacing w:line="360" w:lineRule="auto"/>
        <w:contextualSpacing/>
        <w:jc w:val="both"/>
        <w:rPr>
          <w:rFonts w:ascii="Palatino Linotype" w:hAnsi="Palatino Linotype" w:eastAsia="Calibri" w:cs="Tahoma"/>
          <w:bCs/>
          <w:sz w:val="22"/>
          <w:szCs w:val="22"/>
          <w:lang w:eastAsia="en-US"/>
        </w:rPr>
      </w:pPr>
    </w:p>
    <w:p w:rsidRPr="007C325C" w:rsidR="00321C87" w:rsidP="00855D7E" w:rsidRDefault="00321C87" w14:paraId="786541A5" w14:textId="77777777">
      <w:pPr>
        <w:spacing w:line="360" w:lineRule="auto"/>
        <w:contextualSpacing/>
        <w:jc w:val="both"/>
        <w:rPr>
          <w:rFonts w:ascii="Palatino Linotype" w:hAnsi="Palatino Linotype" w:eastAsia="Calibri" w:cs="Tahoma"/>
          <w:bCs/>
          <w:sz w:val="22"/>
          <w:szCs w:val="22"/>
          <w:lang w:eastAsia="en-US"/>
        </w:rPr>
      </w:pPr>
      <w:r w:rsidRPr="007C325C">
        <w:rPr>
          <w:rFonts w:ascii="Palatino Linotype" w:hAnsi="Palatino Linotype" w:eastAsia="Calibri" w:cs="Tahoma"/>
          <w:bCs/>
          <w:sz w:val="22"/>
          <w:szCs w:val="22"/>
          <w:lang w:eastAsia="en-US"/>
        </w:rPr>
        <w:t xml:space="preserve">En este sentido, un dato personal es cualquier información que pueda hacer a una persona física o jurídica colectiva identificada e identificable. Asimismo, la doctrina desarrollada a nivel internacional, respecto del tema de datos personales, establece que también las </w:t>
      </w:r>
      <w:r w:rsidRPr="007C325C">
        <w:rPr>
          <w:rFonts w:ascii="Palatino Linotype" w:hAnsi="Palatino Linotype" w:eastAsia="Calibri" w:cs="Tahoma"/>
          <w:bCs/>
          <w:sz w:val="22"/>
          <w:szCs w:val="22"/>
          <w:lang w:eastAsia="en-US"/>
        </w:rPr>
        <w:lastRenderedPageBreak/>
        <w:t>preferencias, gustos, cualidades, opiniones y creencias, constituyen datos personales. En este sentido, cualquier información que por sí sola o relacionada con otra permita hacer identificable a una persona, es un dato personal, susceptible de ser clasificado.</w:t>
      </w:r>
    </w:p>
    <w:p w:rsidRPr="007C325C" w:rsidR="00321C87" w:rsidP="00855D7E" w:rsidRDefault="00321C87" w14:paraId="5F944815" w14:textId="77777777">
      <w:pPr>
        <w:spacing w:line="360" w:lineRule="auto"/>
        <w:contextualSpacing/>
        <w:jc w:val="both"/>
        <w:rPr>
          <w:rFonts w:ascii="Palatino Linotype" w:hAnsi="Palatino Linotype" w:eastAsia="Calibri" w:cs="Tahoma"/>
          <w:bCs/>
          <w:sz w:val="22"/>
          <w:szCs w:val="22"/>
          <w:lang w:eastAsia="en-US"/>
        </w:rPr>
      </w:pPr>
    </w:p>
    <w:p w:rsidRPr="007C325C" w:rsidR="00321C87" w:rsidP="00855D7E" w:rsidRDefault="00321C87" w14:paraId="569E3242" w14:textId="77777777">
      <w:pPr>
        <w:spacing w:line="360" w:lineRule="auto"/>
        <w:contextualSpacing/>
        <w:jc w:val="both"/>
        <w:rPr>
          <w:rFonts w:ascii="Palatino Linotype" w:hAnsi="Palatino Linotype" w:eastAsia="Calibri" w:cs="Tahoma"/>
          <w:bCs/>
          <w:sz w:val="22"/>
          <w:szCs w:val="22"/>
          <w:lang w:eastAsia="en-US"/>
        </w:rPr>
      </w:pPr>
      <w:r w:rsidRPr="007C325C">
        <w:rPr>
          <w:rFonts w:ascii="Palatino Linotype" w:hAnsi="Palatino Linotype" w:eastAsia="Calibri" w:cs="Tahoma"/>
          <w:bCs/>
          <w:sz w:val="22"/>
          <w:szCs w:val="22"/>
          <w:lang w:eastAsia="en-US"/>
        </w:rPr>
        <w:t>Por lo cual,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rsidRPr="007C325C" w:rsidR="00321C87" w:rsidP="00855D7E" w:rsidRDefault="00321C87" w14:paraId="0DFAE5A5" w14:textId="77777777">
      <w:pPr>
        <w:spacing w:line="360" w:lineRule="auto"/>
        <w:contextualSpacing/>
        <w:jc w:val="both"/>
        <w:rPr>
          <w:rFonts w:ascii="Palatino Linotype" w:hAnsi="Palatino Linotype" w:eastAsia="Calibri" w:cs="Tahoma"/>
          <w:bCs/>
          <w:sz w:val="22"/>
          <w:szCs w:val="22"/>
          <w:lang w:eastAsia="en-US"/>
        </w:rPr>
      </w:pPr>
    </w:p>
    <w:p w:rsidRPr="007C325C" w:rsidR="00321C87" w:rsidP="00855D7E" w:rsidRDefault="00321C87" w14:paraId="6D48B258" w14:textId="77777777">
      <w:pPr>
        <w:spacing w:line="360" w:lineRule="auto"/>
        <w:contextualSpacing/>
        <w:jc w:val="both"/>
        <w:rPr>
          <w:rFonts w:ascii="Palatino Linotype" w:hAnsi="Palatino Linotype" w:eastAsia="Calibri" w:cs="Tahoma"/>
          <w:bCs/>
          <w:sz w:val="22"/>
          <w:szCs w:val="22"/>
          <w:lang w:eastAsia="en-US"/>
        </w:rPr>
      </w:pPr>
      <w:r w:rsidRPr="007C325C">
        <w:rPr>
          <w:rFonts w:ascii="Palatino Linotype" w:hAnsi="Palatino Linotype" w:eastAsia="Calibri" w:cs="Tahoma"/>
          <w:bCs/>
          <w:sz w:val="22"/>
          <w:szCs w:val="22"/>
          <w:lang w:eastAsia="en-US"/>
        </w:rPr>
        <w:t>De tal suerte, las instituciones públicas tienen la doble responsabilidad, por un lado, de proteger los datos personales y por otro, darles publicidad cuando la relevancia de esos datos sea de interés público.</w:t>
      </w:r>
    </w:p>
    <w:p w:rsidRPr="007C325C" w:rsidR="00321C87" w:rsidP="00855D7E" w:rsidRDefault="00321C87" w14:paraId="18EEDE25" w14:textId="77777777">
      <w:pPr>
        <w:spacing w:line="360" w:lineRule="auto"/>
        <w:contextualSpacing/>
        <w:jc w:val="both"/>
        <w:rPr>
          <w:rFonts w:ascii="Palatino Linotype" w:hAnsi="Palatino Linotype" w:eastAsia="Calibri" w:cs="Tahoma"/>
          <w:bCs/>
          <w:sz w:val="22"/>
          <w:szCs w:val="22"/>
          <w:lang w:eastAsia="en-US"/>
        </w:rPr>
      </w:pPr>
    </w:p>
    <w:p w:rsidRPr="007C325C" w:rsidR="00321C87" w:rsidP="00855D7E" w:rsidRDefault="00321C87" w14:paraId="1ECCF4CE" w14:textId="77777777">
      <w:pPr>
        <w:spacing w:line="360" w:lineRule="auto"/>
        <w:contextualSpacing/>
        <w:jc w:val="both"/>
        <w:rPr>
          <w:rFonts w:ascii="Palatino Linotype" w:hAnsi="Palatino Linotype" w:eastAsia="Calibri" w:cs="Tahoma"/>
          <w:bCs/>
          <w:sz w:val="22"/>
          <w:szCs w:val="22"/>
          <w:lang w:eastAsia="en-US"/>
        </w:rPr>
      </w:pPr>
      <w:r w:rsidRPr="007C325C">
        <w:rPr>
          <w:rFonts w:ascii="Palatino Linotype" w:hAnsi="Palatino Linotype" w:eastAsia="Calibri" w:cs="Tahoma"/>
          <w:bCs/>
          <w:sz w:val="22"/>
          <w:szCs w:val="22"/>
          <w:lang w:eastAsia="en-US"/>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cumplimiento de atribuciones, entre otros; información que necesariamente está vinculada con datos personales, que pierden la protección en beneficio del interés público (no por eso dejan de ser datos personales, sólo que no están protegidos en la confidencialidad).</w:t>
      </w:r>
    </w:p>
    <w:p w:rsidRPr="007C325C" w:rsidR="00321C87" w:rsidP="00855D7E" w:rsidRDefault="00321C87" w14:paraId="37D841A0" w14:textId="77777777">
      <w:pPr>
        <w:spacing w:line="360" w:lineRule="auto"/>
        <w:contextualSpacing/>
        <w:jc w:val="both"/>
        <w:rPr>
          <w:rFonts w:ascii="Palatino Linotype" w:hAnsi="Palatino Linotype" w:eastAsia="Calibri" w:cs="Tahoma"/>
          <w:bCs/>
          <w:sz w:val="22"/>
          <w:szCs w:val="22"/>
          <w:lang w:eastAsia="en-US"/>
        </w:rPr>
      </w:pPr>
    </w:p>
    <w:p w:rsidRPr="007C325C" w:rsidR="00321C87" w:rsidP="00855D7E" w:rsidRDefault="00321C87" w14:paraId="7E5A7934" w14:textId="77777777">
      <w:pPr>
        <w:spacing w:line="360" w:lineRule="auto"/>
        <w:contextualSpacing/>
        <w:jc w:val="both"/>
        <w:rPr>
          <w:rFonts w:ascii="Palatino Linotype" w:hAnsi="Palatino Linotype" w:eastAsia="Calibri" w:cs="Tahoma"/>
          <w:bCs/>
          <w:sz w:val="22"/>
          <w:szCs w:val="22"/>
          <w:lang w:eastAsia="en-US"/>
        </w:rPr>
      </w:pPr>
      <w:r w:rsidRPr="007C325C">
        <w:rPr>
          <w:rFonts w:ascii="Palatino Linotype" w:hAnsi="Palatino Linotype" w:eastAsia="Calibri" w:cs="Tahoma"/>
          <w:bCs/>
          <w:sz w:val="22"/>
          <w:szCs w:val="22"/>
          <w:lang w:eastAsia="en-US"/>
        </w:rPr>
        <w:t xml:space="preserve">Dada la complejidad de la información cuando involucra datos personales, pudiera pensarse que se trata de dos derechos en colisión; por un lado, la garantía individual de conocer sobre </w:t>
      </w:r>
      <w:r w:rsidRPr="007C325C">
        <w:rPr>
          <w:rFonts w:ascii="Palatino Linotype" w:hAnsi="Palatino Linotype" w:eastAsia="Calibri" w:cs="Tahoma"/>
          <w:bCs/>
          <w:sz w:val="22"/>
          <w:szCs w:val="22"/>
          <w:lang w:eastAsia="en-US"/>
        </w:rPr>
        <w:lastRenderedPageBreak/>
        <w:t>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rsidRPr="007C325C" w:rsidR="00321C87" w:rsidP="00855D7E" w:rsidRDefault="00321C87" w14:paraId="6FE8B72D" w14:textId="77777777">
      <w:pPr>
        <w:spacing w:line="360" w:lineRule="auto"/>
        <w:contextualSpacing/>
        <w:jc w:val="both"/>
        <w:rPr>
          <w:rFonts w:ascii="Palatino Linotype" w:hAnsi="Palatino Linotype" w:eastAsia="Calibri" w:cs="Tahoma"/>
          <w:bCs/>
          <w:sz w:val="22"/>
          <w:szCs w:val="22"/>
          <w:lang w:eastAsia="en-US"/>
        </w:rPr>
      </w:pPr>
    </w:p>
    <w:p w:rsidRPr="007C325C" w:rsidR="00321C87" w:rsidP="00855D7E" w:rsidRDefault="00321C87" w14:paraId="4DC819C8" w14:textId="77777777">
      <w:pPr>
        <w:spacing w:line="360" w:lineRule="auto"/>
        <w:contextualSpacing/>
        <w:jc w:val="both"/>
        <w:rPr>
          <w:rFonts w:ascii="Palatino Linotype" w:hAnsi="Palatino Linotype" w:eastAsia="Calibri" w:cs="Tahoma"/>
          <w:bCs/>
          <w:sz w:val="22"/>
          <w:szCs w:val="22"/>
          <w:lang w:eastAsia="en-US"/>
        </w:rPr>
      </w:pPr>
      <w:r w:rsidRPr="007C325C">
        <w:rPr>
          <w:rFonts w:ascii="Palatino Linotype" w:hAnsi="Palatino Linotype" w:eastAsia="Calibri" w:cs="Tahoma"/>
          <w:bCs/>
          <w:sz w:val="22"/>
          <w:szCs w:val="22"/>
          <w:lang w:eastAsia="en-US"/>
        </w:rPr>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rsidRPr="007C325C" w:rsidR="00321C87" w:rsidP="00855D7E" w:rsidRDefault="00321C87" w14:paraId="1091DECF" w14:textId="77777777">
      <w:pPr>
        <w:spacing w:line="360" w:lineRule="auto"/>
        <w:contextualSpacing/>
        <w:jc w:val="both"/>
        <w:rPr>
          <w:rFonts w:ascii="Palatino Linotype" w:hAnsi="Palatino Linotype" w:cs="Tahoma"/>
          <w:sz w:val="22"/>
          <w:szCs w:val="22"/>
        </w:rPr>
      </w:pPr>
    </w:p>
    <w:p w:rsidRPr="007C325C" w:rsidR="00321C87" w:rsidP="00855D7E" w:rsidRDefault="00321C87" w14:paraId="471D53CF" w14:textId="77777777">
      <w:pPr>
        <w:spacing w:line="360" w:lineRule="auto"/>
        <w:contextualSpacing/>
        <w:jc w:val="both"/>
        <w:rPr>
          <w:rFonts w:ascii="Palatino Linotype" w:hAnsi="Palatino Linotype" w:cs="Tahoma"/>
          <w:sz w:val="22"/>
          <w:szCs w:val="22"/>
        </w:rPr>
      </w:pPr>
      <w:r w:rsidRPr="007C325C">
        <w:rPr>
          <w:rFonts w:ascii="Palatino Linotype" w:hAnsi="Palatino Linotype" w:cs="Tahoma"/>
          <w:sz w:val="22"/>
          <w:szCs w:val="22"/>
        </w:rPr>
        <w:t>Bajo ese contexto, se analizarán si los documentos contenidos en el expediente laboral de los servidores públicos actualizan la causal de clasificación, establecida en el artículo 143, fracción I, de la Ley de Transparencia y Acceso a la Información Pública del Estado de México y Municipios, mismos que se precisan de manera enunciativa, mas no limitativa.</w:t>
      </w:r>
    </w:p>
    <w:p w:rsidRPr="007C325C" w:rsidR="00321C87" w:rsidP="00855D7E" w:rsidRDefault="00321C87" w14:paraId="4B251745" w14:textId="77777777">
      <w:pPr>
        <w:spacing w:line="360" w:lineRule="auto"/>
        <w:contextualSpacing/>
        <w:jc w:val="both"/>
        <w:rPr>
          <w:rFonts w:ascii="Palatino Linotype" w:hAnsi="Palatino Linotype" w:cs="Tahoma"/>
          <w:sz w:val="22"/>
          <w:szCs w:val="22"/>
        </w:rPr>
      </w:pPr>
    </w:p>
    <w:p w:rsidRPr="007C325C" w:rsidR="00321C87" w:rsidP="00855D7E" w:rsidRDefault="00321C87" w14:paraId="68FAA18F" w14:textId="77777777">
      <w:pPr>
        <w:widowControl w:val="0"/>
        <w:numPr>
          <w:ilvl w:val="0"/>
          <w:numId w:val="44"/>
        </w:numPr>
        <w:autoSpaceDE w:val="0"/>
        <w:autoSpaceDN w:val="0"/>
        <w:adjustRightInd w:val="0"/>
        <w:spacing w:after="160" w:line="360" w:lineRule="auto"/>
        <w:contextualSpacing/>
        <w:jc w:val="both"/>
        <w:rPr>
          <w:rFonts w:ascii="Palatino Linotype" w:hAnsi="Palatino Linotype" w:eastAsia="Calibri" w:cs="Tahoma"/>
          <w:bCs/>
          <w:color w:val="000000" w:themeColor="text1"/>
          <w:sz w:val="22"/>
          <w:szCs w:val="24"/>
        </w:rPr>
      </w:pPr>
      <w:r w:rsidRPr="007C325C">
        <w:rPr>
          <w:rFonts w:ascii="Palatino Linotype" w:hAnsi="Palatino Linotype" w:eastAsia="Calibri" w:cs="Tahoma"/>
          <w:b/>
          <w:color w:val="000000" w:themeColor="text1"/>
          <w:sz w:val="22"/>
          <w:szCs w:val="24"/>
        </w:rPr>
        <w:t xml:space="preserve">Solicitud de empleo. </w:t>
      </w:r>
    </w:p>
    <w:p w:rsidRPr="007C325C" w:rsidR="00321C87" w:rsidP="00855D7E" w:rsidRDefault="00321C87" w14:paraId="7214CF93" w14:textId="77777777">
      <w:pPr>
        <w:widowControl w:val="0"/>
        <w:autoSpaceDE w:val="0"/>
        <w:autoSpaceDN w:val="0"/>
        <w:adjustRightInd w:val="0"/>
        <w:spacing w:line="360" w:lineRule="auto"/>
        <w:contextualSpacing/>
        <w:jc w:val="both"/>
        <w:rPr>
          <w:rFonts w:ascii="Palatino Linotype" w:hAnsi="Palatino Linotype" w:eastAsia="Calibri" w:cs="Tahoma"/>
          <w:bCs/>
          <w:color w:val="000000" w:themeColor="text1"/>
          <w:sz w:val="22"/>
          <w:szCs w:val="22"/>
          <w:lang w:eastAsia="en-US"/>
        </w:rPr>
      </w:pPr>
    </w:p>
    <w:p w:rsidRPr="007C325C" w:rsidR="00321C87" w:rsidP="00855D7E" w:rsidRDefault="00321C87" w14:paraId="236C386F" w14:textId="77777777">
      <w:pPr>
        <w:widowControl w:val="0"/>
        <w:autoSpaceDE w:val="0"/>
        <w:autoSpaceDN w:val="0"/>
        <w:adjustRightInd w:val="0"/>
        <w:spacing w:line="360" w:lineRule="auto"/>
        <w:contextualSpacing/>
        <w:jc w:val="both"/>
        <w:rPr>
          <w:rFonts w:ascii="Palatino Linotype" w:hAnsi="Palatino Linotype" w:eastAsia="Calibri" w:cs="Tahoma"/>
          <w:bCs/>
          <w:color w:val="000000" w:themeColor="text1"/>
          <w:sz w:val="22"/>
          <w:szCs w:val="22"/>
          <w:lang w:eastAsia="en-US"/>
        </w:rPr>
      </w:pPr>
      <w:r w:rsidRPr="007C325C">
        <w:rPr>
          <w:rFonts w:ascii="Palatino Linotype" w:hAnsi="Palatino Linotype" w:eastAsia="Calibri" w:cs="Tahoma"/>
          <w:bCs/>
          <w:color w:val="000000" w:themeColor="text1"/>
          <w:sz w:val="22"/>
          <w:szCs w:val="22"/>
          <w:lang w:eastAsia="en-US"/>
        </w:rPr>
        <w:t xml:space="preserve">La solicitud de empleo es un documento físico o digital, que se estructura a modo de formulario y tiene como finalidad recoger información que el empleador requiere conocer del </w:t>
      </w:r>
      <w:r w:rsidRPr="007C325C">
        <w:rPr>
          <w:rFonts w:ascii="Palatino Linotype" w:hAnsi="Palatino Linotype" w:eastAsia="Calibri" w:cs="Tahoma"/>
          <w:bCs/>
          <w:color w:val="000000" w:themeColor="text1"/>
          <w:sz w:val="22"/>
          <w:szCs w:val="22"/>
          <w:lang w:eastAsia="en-US"/>
        </w:rPr>
        <w:lastRenderedPageBreak/>
        <w:t xml:space="preserve">aspirante. En ese sentido, es importante mencionar que este documento se constituye por diversos datos personales como: nombre, domicilio particular, correo electrónico y número de teléfono particular e incluso, en ciertos formatos, información de estado de salud, hábitos personales o de consanguíneos, sin embargo, también da cuenta de información que en el presente caso resulta ser de interés público, como experiencia laboral y grados de estudio. </w:t>
      </w:r>
    </w:p>
    <w:p w:rsidRPr="007C325C" w:rsidR="00321C87" w:rsidP="00855D7E" w:rsidRDefault="00321C87" w14:paraId="09BDC1E2" w14:textId="77777777">
      <w:pPr>
        <w:widowControl w:val="0"/>
        <w:autoSpaceDE w:val="0"/>
        <w:autoSpaceDN w:val="0"/>
        <w:adjustRightInd w:val="0"/>
        <w:spacing w:line="360" w:lineRule="auto"/>
        <w:contextualSpacing/>
        <w:jc w:val="both"/>
        <w:rPr>
          <w:rFonts w:ascii="Palatino Linotype" w:hAnsi="Palatino Linotype" w:eastAsia="Calibri" w:cs="Tahoma"/>
          <w:bCs/>
          <w:color w:val="000000" w:themeColor="text1"/>
          <w:sz w:val="22"/>
          <w:szCs w:val="22"/>
          <w:lang w:eastAsia="en-US"/>
        </w:rPr>
      </w:pPr>
    </w:p>
    <w:p w:rsidRPr="007C325C" w:rsidR="00321C87" w:rsidP="00855D7E" w:rsidRDefault="00321C87" w14:paraId="4FC3C07C" w14:textId="77777777">
      <w:pPr>
        <w:widowControl w:val="0"/>
        <w:autoSpaceDE w:val="0"/>
        <w:autoSpaceDN w:val="0"/>
        <w:adjustRightInd w:val="0"/>
        <w:spacing w:line="360" w:lineRule="auto"/>
        <w:contextualSpacing/>
        <w:jc w:val="both"/>
        <w:rPr>
          <w:rFonts w:ascii="Palatino Linotype" w:hAnsi="Palatino Linotype" w:eastAsia="Calibri" w:cs="Tahoma"/>
          <w:bCs/>
          <w:color w:val="000000" w:themeColor="text1"/>
          <w:sz w:val="22"/>
          <w:szCs w:val="22"/>
          <w:lang w:eastAsia="en-US"/>
        </w:rPr>
      </w:pPr>
      <w:r w:rsidRPr="007C325C">
        <w:rPr>
          <w:rFonts w:ascii="Palatino Linotype" w:hAnsi="Palatino Linotype" w:eastAsia="Calibri" w:cs="Tahoma"/>
          <w:bCs/>
          <w:color w:val="000000" w:themeColor="text1"/>
          <w:sz w:val="22"/>
          <w:szCs w:val="22"/>
          <w:lang w:eastAsia="en-US"/>
        </w:rPr>
        <w:t xml:space="preserve">Por otro lado, es necesario referir que de acuerdo con el artículo 47 de la Ley de Trabajo de los Servidores Públicos del Estado de México, para ingresar al servicio público se requiere presentar una solicitud por escrito, es decir, la entrega de este documento resulta ser un requisito indispensable para poder prestar servicios dentro de la Administración Pública. </w:t>
      </w:r>
    </w:p>
    <w:p w:rsidRPr="007C325C" w:rsidR="00A364B9" w:rsidP="00855D7E" w:rsidRDefault="00A364B9" w14:paraId="23BC3688" w14:textId="77777777">
      <w:pPr>
        <w:widowControl w:val="0"/>
        <w:autoSpaceDE w:val="0"/>
        <w:autoSpaceDN w:val="0"/>
        <w:adjustRightInd w:val="0"/>
        <w:spacing w:line="360" w:lineRule="auto"/>
        <w:contextualSpacing/>
        <w:jc w:val="both"/>
        <w:rPr>
          <w:rFonts w:ascii="Palatino Linotype" w:hAnsi="Palatino Linotype" w:eastAsia="Calibri" w:cs="Tahoma"/>
          <w:bCs/>
          <w:color w:val="000000" w:themeColor="text1"/>
          <w:sz w:val="22"/>
          <w:szCs w:val="22"/>
          <w:lang w:eastAsia="en-US"/>
        </w:rPr>
      </w:pPr>
    </w:p>
    <w:p w:rsidRPr="007C325C" w:rsidR="00321C87" w:rsidP="00855D7E" w:rsidRDefault="00321C87" w14:paraId="0684BEF3" w14:textId="77777777">
      <w:pPr>
        <w:spacing w:line="360" w:lineRule="auto"/>
        <w:contextualSpacing/>
        <w:jc w:val="both"/>
        <w:rPr>
          <w:rFonts w:ascii="Palatino Linotype" w:hAnsi="Palatino Linotype" w:eastAsia="Calibri" w:cs="Arial"/>
          <w:color w:val="000000" w:themeColor="text1"/>
          <w:sz w:val="22"/>
          <w:szCs w:val="24"/>
        </w:rPr>
      </w:pPr>
      <w:r w:rsidRPr="007C325C">
        <w:rPr>
          <w:rFonts w:ascii="Palatino Linotype" w:hAnsi="Palatino Linotype" w:cs="Arial"/>
          <w:color w:val="000000" w:themeColor="text1"/>
          <w:sz w:val="22"/>
          <w:szCs w:val="24"/>
        </w:rPr>
        <w:t xml:space="preserve">Bajo este orden de ideas, este documento si bien, cuenta con datos personales que en nada abonan a la transparencia y rendición de cuentas, ya que atañen únicamente a la esfera privada del servidor público, también lo es que además de contener información que acredita el nivel académico o preparación de los servidores públicos, es un requisito indispensable de ingreso al servicio público, por lo que, su acceso toma relevancia al guardar relación directa con la contratación del servidor público y con el ejercicio de sus atribuciones. </w:t>
      </w:r>
    </w:p>
    <w:p w:rsidRPr="007C325C" w:rsidR="00321C87" w:rsidP="00855D7E" w:rsidRDefault="00321C87" w14:paraId="2D9E24F4" w14:textId="77777777">
      <w:pPr>
        <w:spacing w:line="360" w:lineRule="auto"/>
        <w:contextualSpacing/>
        <w:jc w:val="both"/>
        <w:rPr>
          <w:rFonts w:ascii="Palatino Linotype" w:hAnsi="Palatino Linotype" w:cs="Arial"/>
          <w:color w:val="000000" w:themeColor="text1"/>
          <w:sz w:val="22"/>
          <w:szCs w:val="24"/>
        </w:rPr>
      </w:pPr>
    </w:p>
    <w:p w:rsidRPr="007C325C" w:rsidR="00321C87" w:rsidP="00855D7E" w:rsidRDefault="00321C87" w14:paraId="26FC72B8" w14:textId="297329D9">
      <w:pPr>
        <w:spacing w:line="360" w:lineRule="auto"/>
        <w:contextualSpacing/>
        <w:jc w:val="both"/>
        <w:rPr>
          <w:rFonts w:ascii="Palatino Linotype" w:hAnsi="Palatino Linotype" w:eastAsia="Calibri" w:cs="Tahoma"/>
          <w:bCs/>
          <w:color w:val="000000" w:themeColor="text1"/>
          <w:sz w:val="22"/>
          <w:szCs w:val="22"/>
          <w:lang w:eastAsia="en-US"/>
        </w:rPr>
      </w:pPr>
      <w:r w:rsidRPr="007C325C">
        <w:rPr>
          <w:rFonts w:ascii="Palatino Linotype" w:hAnsi="Palatino Linotype" w:eastAsia="Calibri" w:cs="Tahoma"/>
          <w:bCs/>
          <w:color w:val="000000" w:themeColor="text1"/>
          <w:sz w:val="22"/>
          <w:szCs w:val="22"/>
          <w:lang w:eastAsia="en-US"/>
        </w:rPr>
        <w:t xml:space="preserve">De esta manera, se trata de un documento de interés público, que contiene datos que actualizan la causal de clasificación establecida en el artículo 143, fracción I, de la Ley de Transparencia y Acceso a la Información Pública del Estado de México y Municipios, por lo tanto, deben proporcionarse en versión pública. </w:t>
      </w:r>
    </w:p>
    <w:p w:rsidRPr="007C325C" w:rsidR="00622698" w:rsidP="00855D7E" w:rsidRDefault="00622698" w14:paraId="4219282C" w14:textId="77777777">
      <w:pPr>
        <w:spacing w:line="360" w:lineRule="auto"/>
        <w:contextualSpacing/>
        <w:jc w:val="both"/>
        <w:rPr>
          <w:rFonts w:ascii="Palatino Linotype" w:hAnsi="Palatino Linotype" w:eastAsia="Calibri" w:cs="Tahoma"/>
          <w:bCs/>
          <w:color w:val="000000" w:themeColor="text1"/>
          <w:sz w:val="22"/>
          <w:szCs w:val="22"/>
          <w:lang w:eastAsia="en-US"/>
        </w:rPr>
      </w:pPr>
    </w:p>
    <w:p w:rsidRPr="007C325C" w:rsidR="00622698" w:rsidP="00855D7E" w:rsidRDefault="00622698" w14:paraId="7C83E754" w14:textId="77777777">
      <w:pPr>
        <w:pStyle w:val="Prrafodelista"/>
        <w:numPr>
          <w:ilvl w:val="0"/>
          <w:numId w:val="46"/>
        </w:numPr>
        <w:spacing w:line="360" w:lineRule="auto"/>
        <w:ind w:right="-93"/>
        <w:jc w:val="both"/>
        <w:rPr>
          <w:rFonts w:ascii="Palatino Linotype" w:hAnsi="Palatino Linotype" w:eastAsia="Calibri" w:cs="Tahoma"/>
          <w:b/>
          <w:bCs/>
          <w:szCs w:val="22"/>
          <w:lang w:eastAsia="en-US"/>
        </w:rPr>
      </w:pPr>
      <w:r w:rsidRPr="007C325C">
        <w:rPr>
          <w:rFonts w:ascii="Palatino Linotype" w:hAnsi="Palatino Linotype" w:eastAsia="Calibri" w:cs="Tahoma"/>
          <w:b/>
          <w:bCs/>
          <w:szCs w:val="22"/>
          <w:lang w:eastAsia="en-US"/>
        </w:rPr>
        <w:t xml:space="preserve">Fotografía </w:t>
      </w:r>
    </w:p>
    <w:p w:rsidRPr="007C325C" w:rsidR="00622698" w:rsidP="00855D7E" w:rsidRDefault="00622698" w14:paraId="6B4E737B" w14:textId="77777777">
      <w:pPr>
        <w:spacing w:line="360" w:lineRule="auto"/>
        <w:ind w:right="-93"/>
        <w:contextualSpacing/>
        <w:jc w:val="both"/>
        <w:rPr>
          <w:rFonts w:ascii="Palatino Linotype" w:hAnsi="Palatino Linotype"/>
          <w:sz w:val="22"/>
          <w:szCs w:val="22"/>
          <w:lang w:val="es-ES"/>
        </w:rPr>
      </w:pPr>
    </w:p>
    <w:p w:rsidRPr="007C325C" w:rsidR="00622698" w:rsidP="00855D7E" w:rsidRDefault="00622698" w14:paraId="3BB11A2A" w14:textId="77777777">
      <w:pPr>
        <w:spacing w:line="360" w:lineRule="auto"/>
        <w:ind w:right="-93"/>
        <w:contextualSpacing/>
        <w:jc w:val="both"/>
        <w:rPr>
          <w:rFonts w:ascii="Palatino Linotype" w:hAnsi="Palatino Linotype"/>
          <w:sz w:val="22"/>
          <w:szCs w:val="22"/>
          <w:lang w:val="es-ES"/>
        </w:rPr>
      </w:pPr>
      <w:r w:rsidRPr="007C325C">
        <w:rPr>
          <w:rFonts w:ascii="Palatino Linotype" w:hAnsi="Palatino Linotype"/>
          <w:sz w:val="22"/>
          <w:szCs w:val="22"/>
          <w:lang w:val="es-ES"/>
        </w:rPr>
        <w:lastRenderedPageBreak/>
        <w:t>Por lo que hace las fotografías de todos los servidores públicos de mandos medios y superiores, estas deben ser públicas; al respecto se vierten las siguientes consideraciones:</w:t>
      </w:r>
    </w:p>
    <w:p w:rsidRPr="007C325C" w:rsidR="00622698" w:rsidP="00855D7E" w:rsidRDefault="00622698" w14:paraId="14458711" w14:textId="77777777">
      <w:pPr>
        <w:spacing w:line="360" w:lineRule="auto"/>
        <w:ind w:right="-93"/>
        <w:contextualSpacing/>
        <w:jc w:val="both"/>
        <w:rPr>
          <w:rFonts w:ascii="Palatino Linotype" w:hAnsi="Palatino Linotype"/>
          <w:sz w:val="22"/>
          <w:szCs w:val="22"/>
          <w:lang w:val="es-ES"/>
        </w:rPr>
      </w:pPr>
    </w:p>
    <w:p w:rsidRPr="007C325C" w:rsidR="00622698" w:rsidP="00855D7E" w:rsidRDefault="00622698" w14:paraId="4A5B476E" w14:textId="77777777">
      <w:pPr>
        <w:spacing w:line="360" w:lineRule="auto"/>
        <w:ind w:right="-93"/>
        <w:contextualSpacing/>
        <w:jc w:val="both"/>
        <w:rPr>
          <w:rFonts w:ascii="Palatino Linotype" w:hAnsi="Palatino Linotype"/>
          <w:sz w:val="22"/>
          <w:szCs w:val="22"/>
          <w:lang w:val="es-ES"/>
        </w:rPr>
      </w:pPr>
      <w:r w:rsidRPr="007C325C">
        <w:rPr>
          <w:rFonts w:ascii="Palatino Linotype" w:hAnsi="Palatino Linotype"/>
          <w:sz w:val="22"/>
          <w:szCs w:val="22"/>
          <w:lang w:val="es-ES"/>
        </w:rPr>
        <w:t>En este sentido, los Criterios del INAI 15/17 y 1/13, esgrimen argumentos del Instituto Nacional de Transparencia y Acceso a la Información Pública y Protección de Datos Personales, que si bien no refieren de manera específica a fotografías de servidores públicos, sí establecen un criterio para que este dato personal, pueda ser considera como pública que es “el interés público que existe de conocer que la persona que se ostenta con una calidad profesional determinada es la misma que aparece en dichos documentos oficiales. “</w:t>
      </w:r>
    </w:p>
    <w:p w:rsidRPr="007C325C" w:rsidR="00622698" w:rsidP="00855D7E" w:rsidRDefault="00622698" w14:paraId="2AD01FE7" w14:textId="77777777">
      <w:pPr>
        <w:spacing w:line="360" w:lineRule="auto"/>
        <w:ind w:right="-93"/>
        <w:contextualSpacing/>
        <w:jc w:val="both"/>
        <w:rPr>
          <w:rFonts w:ascii="Palatino Linotype" w:hAnsi="Palatino Linotype"/>
          <w:sz w:val="22"/>
          <w:szCs w:val="22"/>
          <w:lang w:val="es-ES"/>
        </w:rPr>
      </w:pPr>
    </w:p>
    <w:p w:rsidRPr="007C325C" w:rsidR="00622698" w:rsidP="00855D7E" w:rsidRDefault="00622698" w14:paraId="0D64ABB3" w14:textId="77777777">
      <w:pPr>
        <w:spacing w:line="360" w:lineRule="auto"/>
        <w:ind w:left="851" w:right="616"/>
        <w:contextualSpacing/>
        <w:jc w:val="both"/>
        <w:rPr>
          <w:rFonts w:ascii="Palatino Linotype" w:hAnsi="Palatino Linotype"/>
          <w:i/>
        </w:rPr>
      </w:pPr>
      <w:r w:rsidRPr="007C325C">
        <w:rPr>
          <w:rFonts w:ascii="Palatino Linotype" w:hAnsi="Palatino Linotype"/>
          <w:b/>
          <w:i/>
        </w:rPr>
        <w:t>“Fotografía en título o cédula profesional es de acceso público.</w:t>
      </w:r>
      <w:r w:rsidRPr="007C325C">
        <w:rPr>
          <w:rFonts w:ascii="Palatino Linotype" w:hAnsi="Palatino Linotype"/>
          <w:i/>
        </w:rPr>
        <w:t xml:space="preserve"> Si bien la fotografía de una persona física es un dato personal, cuando se encuentra en un título o cédula profesional no es susceptible de clasificarse como confidencial, en virtud </w:t>
      </w:r>
      <w:r w:rsidRPr="007C325C">
        <w:rPr>
          <w:rFonts w:ascii="Palatino Linotype" w:hAnsi="Palatino Linotype"/>
          <w:b/>
          <w:bCs/>
          <w:i/>
        </w:rPr>
        <w:t>del interés público que existe de conocer que la persona que se ostenta con una calidad profesional</w:t>
      </w:r>
      <w:r w:rsidRPr="007C325C">
        <w:rPr>
          <w:rFonts w:ascii="Palatino Linotype" w:hAnsi="Palatino Linotype"/>
          <w:i/>
        </w:rPr>
        <w:t xml:space="preserve"> determinada es la misma que aparece en dichos documentos oficiales. De esta manera, la fotografía contenida en el título o cédula profesional es pública y susceptible de divulgación.”</w:t>
      </w:r>
    </w:p>
    <w:p w:rsidRPr="007C325C" w:rsidR="00622698" w:rsidP="00855D7E" w:rsidRDefault="00622698" w14:paraId="6A1BB024" w14:textId="77777777">
      <w:pPr>
        <w:spacing w:line="360" w:lineRule="auto"/>
        <w:ind w:left="851" w:right="616"/>
        <w:contextualSpacing/>
        <w:jc w:val="both"/>
        <w:rPr>
          <w:rFonts w:ascii="Palatino Linotype" w:hAnsi="Palatino Linotype"/>
          <w:i/>
        </w:rPr>
      </w:pPr>
    </w:p>
    <w:p w:rsidRPr="007C325C" w:rsidR="00622698" w:rsidP="00855D7E" w:rsidRDefault="00622698" w14:paraId="4341452C" w14:textId="77777777">
      <w:pPr>
        <w:spacing w:line="360" w:lineRule="auto"/>
        <w:ind w:left="851" w:right="616"/>
        <w:contextualSpacing/>
        <w:jc w:val="both"/>
        <w:rPr>
          <w:rFonts w:ascii="Palatino Linotype" w:hAnsi="Palatino Linotype"/>
          <w:i/>
        </w:rPr>
      </w:pPr>
      <w:r w:rsidRPr="007C325C">
        <w:rPr>
          <w:rFonts w:ascii="Palatino Linotype" w:hAnsi="Palatino Linotype"/>
          <w:b/>
          <w:i/>
        </w:rPr>
        <w:t>“Fotografía de una persona física que conste en su título o cédula profesional no es susceptible de clasificarse con carácter de confidencial.</w:t>
      </w:r>
      <w:r w:rsidRPr="007C325C">
        <w:rPr>
          <w:rFonts w:ascii="Palatino Linotype" w:hAnsi="Palatino Linotype"/>
          <w:i/>
        </w:rPr>
        <w:t xml:space="preserve"> La fotografía contenida en un título o cédula profesional no es susceptible de clasificarse con el carácter de confidencial, en términos de lo dispuesto en el artículo 18, fracción II de la Ley Federal de Transparencia y Acceso a la información Pública Gubernamental, no obstante ser un dato personal, en virtud del interés público que existe de conocer que la persona que se ostenta con una calidad profesional determinada es la misma que aparece en los documentos oficiales de referencia. Lo anterior es así, ya que en el momento en que una persona se somete a un registro fotográfico con el objetivo de recibir una identificación oficial que lo avala como profesionista, consiente que tanto la imagen de su rostro como su nombre y profesión, sean elementos de acreditación e identificación frente a terceros.”</w:t>
      </w:r>
    </w:p>
    <w:p w:rsidRPr="007C325C" w:rsidR="00622698" w:rsidP="00855D7E" w:rsidRDefault="00622698" w14:paraId="3A0778A2" w14:textId="77777777">
      <w:pPr>
        <w:spacing w:line="360" w:lineRule="auto"/>
        <w:ind w:right="-93"/>
        <w:contextualSpacing/>
        <w:jc w:val="both"/>
        <w:rPr>
          <w:rFonts w:ascii="Palatino Linotype" w:hAnsi="Palatino Linotype"/>
          <w:sz w:val="22"/>
          <w:szCs w:val="22"/>
          <w:lang w:val="es-ES"/>
        </w:rPr>
      </w:pPr>
    </w:p>
    <w:p w:rsidRPr="007C325C" w:rsidR="00622698" w:rsidP="00855D7E" w:rsidRDefault="00622698" w14:paraId="4BABBBEA" w14:textId="77777777">
      <w:pPr>
        <w:spacing w:line="360" w:lineRule="auto"/>
        <w:ind w:right="-93"/>
        <w:contextualSpacing/>
        <w:jc w:val="both"/>
        <w:rPr>
          <w:rFonts w:ascii="Palatino Linotype" w:hAnsi="Palatino Linotype"/>
          <w:sz w:val="22"/>
          <w:szCs w:val="22"/>
          <w:lang w:val="es-ES"/>
        </w:rPr>
      </w:pPr>
      <w:r w:rsidRPr="007C325C">
        <w:rPr>
          <w:rFonts w:ascii="Palatino Linotype" w:hAnsi="Palatino Linotype"/>
          <w:sz w:val="22"/>
          <w:szCs w:val="22"/>
          <w:lang w:val="es-ES"/>
        </w:rPr>
        <w:t>En el caso de Servidores Públicos de mandos medios y superiores, por su nivel de jerarquía y grado de responsabilidad, además de que posiblemente su actuar incide de manera específica en los derechos de los particulares, pues el acto de un servidor público en ejercicio de sus funciones, de manera directa engendra derechos y obligaciones pues se considera un acto administrativo.</w:t>
      </w:r>
    </w:p>
    <w:p w:rsidRPr="007C325C" w:rsidR="00622698" w:rsidP="00855D7E" w:rsidRDefault="00622698" w14:paraId="1654CA6A" w14:textId="77777777">
      <w:pPr>
        <w:spacing w:line="360" w:lineRule="auto"/>
        <w:ind w:right="-93"/>
        <w:contextualSpacing/>
        <w:jc w:val="both"/>
        <w:rPr>
          <w:rFonts w:ascii="Palatino Linotype" w:hAnsi="Palatino Linotype"/>
          <w:sz w:val="22"/>
          <w:szCs w:val="22"/>
          <w:lang w:val="es-ES"/>
        </w:rPr>
      </w:pPr>
    </w:p>
    <w:p w:rsidRPr="007C325C" w:rsidR="00622698" w:rsidP="00855D7E" w:rsidRDefault="00622698" w14:paraId="4DE60625" w14:textId="77777777">
      <w:pPr>
        <w:spacing w:line="360" w:lineRule="auto"/>
        <w:ind w:right="-93"/>
        <w:contextualSpacing/>
        <w:jc w:val="both"/>
        <w:rPr>
          <w:rFonts w:ascii="Palatino Linotype" w:hAnsi="Palatino Linotype"/>
          <w:sz w:val="22"/>
          <w:szCs w:val="22"/>
          <w:lang w:val="es-ES"/>
        </w:rPr>
      </w:pPr>
      <w:r w:rsidRPr="007C325C">
        <w:rPr>
          <w:rFonts w:ascii="Palatino Linotype" w:hAnsi="Palatino Linotype"/>
          <w:sz w:val="22"/>
          <w:szCs w:val="22"/>
          <w:lang w:val="es-ES"/>
        </w:rPr>
        <w:t>Por lo anterior, las fotografías de los servidores públicos con nivel de mando medio o superior, es considerado un dato personal, que no puede ser clasificado como confidencial, pues en este caso, es superado por el interés público de conocer si en realidad, la persona que se ostenta en carácter de Servidor Público, se encuentra en ese encargo; sin que se considere como factor diferenciador el cargo o nivel jerárquico en el que se desempeñe el servidor público, esto de acuerdo con el criterio mayoritario del Pleno, por lo que sí procede la clasificación como información confidencial de los servidores públicos que no sean medio o superior.</w:t>
      </w:r>
    </w:p>
    <w:p w:rsidRPr="007C325C" w:rsidR="00321C87" w:rsidP="00855D7E" w:rsidRDefault="00321C87" w14:paraId="3DC9BAA9" w14:textId="77777777">
      <w:pPr>
        <w:spacing w:line="360" w:lineRule="auto"/>
        <w:contextualSpacing/>
        <w:jc w:val="both"/>
        <w:rPr>
          <w:rFonts w:ascii="Palatino Linotype" w:hAnsi="Palatino Linotype" w:cs="Tahoma"/>
          <w:sz w:val="22"/>
          <w:szCs w:val="22"/>
        </w:rPr>
      </w:pPr>
    </w:p>
    <w:p w:rsidRPr="007C325C" w:rsidR="00321C87" w:rsidP="00855D7E" w:rsidRDefault="00321C87" w14:paraId="7F0AB99C" w14:textId="77777777">
      <w:pPr>
        <w:widowControl w:val="0"/>
        <w:numPr>
          <w:ilvl w:val="0"/>
          <w:numId w:val="44"/>
        </w:numPr>
        <w:autoSpaceDE w:val="0"/>
        <w:autoSpaceDN w:val="0"/>
        <w:adjustRightInd w:val="0"/>
        <w:spacing w:after="160" w:line="360" w:lineRule="auto"/>
        <w:contextualSpacing/>
        <w:jc w:val="both"/>
        <w:rPr>
          <w:rFonts w:ascii="Palatino Linotype" w:hAnsi="Palatino Linotype" w:cs="Tahoma" w:eastAsiaTheme="minorHAnsi"/>
          <w:b/>
          <w:color w:val="000000" w:themeColor="text1"/>
          <w:sz w:val="22"/>
          <w:szCs w:val="24"/>
        </w:rPr>
      </w:pPr>
      <w:r w:rsidRPr="007C325C">
        <w:rPr>
          <w:rFonts w:ascii="Palatino Linotype" w:hAnsi="Palatino Linotype" w:eastAsia="Calibri" w:cs="Tahoma"/>
          <w:b/>
          <w:i/>
          <w:iCs/>
          <w:color w:val="000000" w:themeColor="text1"/>
          <w:sz w:val="22"/>
          <w:szCs w:val="24"/>
        </w:rPr>
        <w:t>Currículum Vitae</w:t>
      </w:r>
      <w:r w:rsidRPr="007C325C">
        <w:rPr>
          <w:rFonts w:ascii="Palatino Linotype" w:hAnsi="Palatino Linotype" w:eastAsia="Calibri" w:cs="Tahoma"/>
          <w:b/>
          <w:color w:val="000000" w:themeColor="text1"/>
          <w:sz w:val="22"/>
          <w:szCs w:val="24"/>
        </w:rPr>
        <w:t xml:space="preserve">, información curricular y constancia de grado máximo de estudios. </w:t>
      </w:r>
    </w:p>
    <w:p w:rsidRPr="007C325C" w:rsidR="00321C87" w:rsidP="00855D7E" w:rsidRDefault="00321C87" w14:paraId="597F9C2B" w14:textId="77777777">
      <w:pPr>
        <w:widowControl w:val="0"/>
        <w:autoSpaceDE w:val="0"/>
        <w:autoSpaceDN w:val="0"/>
        <w:adjustRightInd w:val="0"/>
        <w:spacing w:line="360" w:lineRule="auto"/>
        <w:contextualSpacing/>
        <w:jc w:val="both"/>
        <w:rPr>
          <w:rFonts w:ascii="Palatino Linotype" w:hAnsi="Palatino Linotype" w:cs="Tahoma" w:eastAsiaTheme="minorHAnsi"/>
          <w:b/>
          <w:color w:val="000000" w:themeColor="text1"/>
          <w:sz w:val="22"/>
          <w:szCs w:val="22"/>
          <w:lang w:eastAsia="en-US"/>
        </w:rPr>
      </w:pPr>
    </w:p>
    <w:p w:rsidRPr="007C325C" w:rsidR="00321C87" w:rsidP="00855D7E" w:rsidRDefault="00321C87" w14:paraId="0F96F943" w14:textId="77777777">
      <w:pPr>
        <w:spacing w:line="360" w:lineRule="auto"/>
        <w:contextualSpacing/>
        <w:jc w:val="both"/>
        <w:rPr>
          <w:rFonts w:ascii="Palatino Linotype" w:hAnsi="Palatino Linotype" w:eastAsia="Calibri" w:cs="Tahoma"/>
          <w:bCs/>
          <w:sz w:val="22"/>
          <w:szCs w:val="22"/>
          <w:lang w:eastAsia="en-US"/>
        </w:rPr>
      </w:pPr>
      <w:r w:rsidRPr="007C325C">
        <w:rPr>
          <w:rFonts w:ascii="Palatino Linotype" w:hAnsi="Palatino Linotype" w:cs="Tahoma"/>
          <w:iCs/>
          <w:sz w:val="22"/>
          <w:szCs w:val="22"/>
        </w:rPr>
        <w:t xml:space="preserve">Al respecto, el </w:t>
      </w:r>
      <w:r w:rsidRPr="007C325C">
        <w:rPr>
          <w:rFonts w:ascii="Palatino Linotype" w:hAnsi="Palatino Linotype" w:cs="Tahoma"/>
          <w:i/>
          <w:sz w:val="22"/>
          <w:szCs w:val="22"/>
        </w:rPr>
        <w:t>Currículum Vitae</w:t>
      </w:r>
      <w:r w:rsidRPr="007C325C">
        <w:rPr>
          <w:rFonts w:ascii="Palatino Linotype" w:hAnsi="Palatino Linotype" w:cs="Tahoma"/>
          <w:iCs/>
          <w:sz w:val="22"/>
          <w:szCs w:val="22"/>
        </w:rPr>
        <w:t xml:space="preserve">, </w:t>
      </w:r>
      <w:r w:rsidRPr="007C325C">
        <w:rPr>
          <w:rFonts w:ascii="Palatino Linotype" w:hAnsi="Palatino Linotype" w:eastAsia="Calibri" w:cs="Arial"/>
          <w:sz w:val="22"/>
          <w:szCs w:val="22"/>
          <w:lang w:val="es-ES" w:eastAsia="en-US"/>
        </w:rPr>
        <w:t xml:space="preserve">es aquel documento que las personas elaboran con los datos de identificación y contacto, preparación académica y experiencia profesional, para presentarse ante un posible empleador. </w:t>
      </w:r>
      <w:r w:rsidRPr="007C325C">
        <w:rPr>
          <w:rFonts w:ascii="Palatino Linotype" w:hAnsi="Palatino Linotype" w:eastAsia="Calibri" w:cs="Tahoma"/>
          <w:bCs/>
          <w:sz w:val="22"/>
          <w:szCs w:val="22"/>
          <w:lang w:eastAsia="en-US"/>
        </w:rPr>
        <w:t>Por lo que, dicho documento da cuenta de la preparación académica y la experiencia laboral, lo cual permite identificar el nivel de conocimientos de su titular, así como, su perfil profesional o laboral.</w:t>
      </w:r>
    </w:p>
    <w:p w:rsidRPr="007C325C" w:rsidR="00321C87" w:rsidP="00855D7E" w:rsidRDefault="00321C87" w14:paraId="2DE53870" w14:textId="77777777">
      <w:pPr>
        <w:spacing w:line="360" w:lineRule="auto"/>
        <w:contextualSpacing/>
        <w:jc w:val="both"/>
        <w:rPr>
          <w:rFonts w:ascii="Palatino Linotype" w:hAnsi="Palatino Linotype" w:cs="Tahoma"/>
          <w:bCs/>
          <w:sz w:val="22"/>
          <w:szCs w:val="22"/>
        </w:rPr>
      </w:pPr>
    </w:p>
    <w:p w:rsidRPr="007C325C" w:rsidR="00321C87" w:rsidP="00855D7E" w:rsidRDefault="00321C87" w14:paraId="4DB2E3E6" w14:textId="77777777">
      <w:pPr>
        <w:spacing w:line="360" w:lineRule="auto"/>
        <w:contextualSpacing/>
        <w:jc w:val="both"/>
        <w:rPr>
          <w:rFonts w:ascii="Palatino Linotype" w:hAnsi="Palatino Linotype" w:eastAsia="Calibri" w:cs="Arial"/>
          <w:sz w:val="22"/>
          <w:szCs w:val="22"/>
          <w:lang w:val="es-ES" w:eastAsia="en-US"/>
        </w:rPr>
      </w:pPr>
      <w:r w:rsidRPr="007C325C">
        <w:rPr>
          <w:rFonts w:ascii="Palatino Linotype" w:hAnsi="Palatino Linotype" w:eastAsia="Calibri" w:cs="Tahoma"/>
          <w:bCs/>
          <w:sz w:val="22"/>
          <w:szCs w:val="22"/>
          <w:lang w:eastAsia="en-US"/>
        </w:rPr>
        <w:t>En ese orden de ideas, el documento en comento</w:t>
      </w:r>
      <w:r w:rsidRPr="007C325C">
        <w:rPr>
          <w:rFonts w:ascii="Palatino Linotype" w:hAnsi="Palatino Linotype" w:eastAsia="Calibri" w:cs="Arial"/>
          <w:sz w:val="22"/>
          <w:szCs w:val="22"/>
          <w:lang w:val="es-ES" w:eastAsia="en-US"/>
        </w:rPr>
        <w:t xml:space="preserve">, si bien, se trata de aquel elaborado por cada persona, sin ninguna validez oficial, también lo es, que tiene por objetivo que las personas puedan conocer la trayectoria de quién lo presenta; por lo que, existe un interés público para </w:t>
      </w:r>
      <w:r w:rsidRPr="007C325C">
        <w:rPr>
          <w:rFonts w:ascii="Palatino Linotype" w:hAnsi="Palatino Linotype" w:eastAsia="Calibri" w:cs="Arial"/>
          <w:sz w:val="22"/>
          <w:szCs w:val="22"/>
          <w:lang w:val="es-ES" w:eastAsia="en-US"/>
        </w:rPr>
        <w:lastRenderedPageBreak/>
        <w:t>dar a conocer dicha información, pues transparenta que el personal que labora para el Sujeto Obligado cuenta con las capacidades, conocimientos y experiencia necesaria para cumplir con sus funciones.</w:t>
      </w:r>
    </w:p>
    <w:p w:rsidRPr="007C325C" w:rsidR="00321C87" w:rsidP="00855D7E" w:rsidRDefault="00321C87" w14:paraId="62DDC5C5" w14:textId="77777777">
      <w:pPr>
        <w:spacing w:line="360" w:lineRule="auto"/>
        <w:contextualSpacing/>
        <w:jc w:val="both"/>
        <w:rPr>
          <w:rFonts w:ascii="Palatino Linotype" w:hAnsi="Palatino Linotype" w:eastAsia="Calibri" w:cs="Tahoma"/>
          <w:bCs/>
          <w:sz w:val="22"/>
          <w:szCs w:val="22"/>
          <w:lang w:eastAsia="en-US"/>
        </w:rPr>
      </w:pPr>
    </w:p>
    <w:p w:rsidRPr="007C325C" w:rsidR="00321C87" w:rsidP="00855D7E" w:rsidRDefault="00321C87" w14:paraId="70F900E3" w14:textId="77777777">
      <w:pPr>
        <w:spacing w:line="360" w:lineRule="auto"/>
        <w:contextualSpacing/>
        <w:jc w:val="both"/>
        <w:rPr>
          <w:rFonts w:ascii="Palatino Linotype" w:hAnsi="Palatino Linotype" w:eastAsia="Calibri" w:cs="Tahoma"/>
          <w:bCs/>
          <w:sz w:val="22"/>
          <w:szCs w:val="22"/>
          <w:lang w:val="es-ES" w:eastAsia="en-US"/>
        </w:rPr>
      </w:pPr>
      <w:r w:rsidRPr="007C325C">
        <w:rPr>
          <w:rFonts w:ascii="Palatino Linotype" w:hAnsi="Palatino Linotype" w:eastAsia="Calibri" w:cs="Tahoma"/>
          <w:bCs/>
          <w:sz w:val="22"/>
          <w:szCs w:val="22"/>
          <w:lang w:val="es-ES" w:eastAsia="en-US"/>
        </w:rPr>
        <w:t xml:space="preserve">Lo anterior, se robustece con la fracción </w:t>
      </w:r>
      <w:r w:rsidRPr="007C325C">
        <w:rPr>
          <w:rFonts w:ascii="Palatino Linotype" w:hAnsi="Palatino Linotype" w:eastAsia="Calibri" w:cs="Tahoma"/>
          <w:b/>
          <w:sz w:val="22"/>
          <w:szCs w:val="22"/>
          <w:lang w:val="es-ES" w:eastAsia="en-US"/>
        </w:rPr>
        <w:t>XXI</w:t>
      </w:r>
      <w:r w:rsidRPr="007C325C">
        <w:rPr>
          <w:rFonts w:ascii="Palatino Linotype" w:hAnsi="Palatino Linotype" w:eastAsia="Calibri" w:cs="Tahoma"/>
          <w:bCs/>
          <w:sz w:val="22"/>
          <w:szCs w:val="22"/>
          <w:lang w:val="es-ES" w:eastAsia="en-US"/>
        </w:rPr>
        <w:t>, del a</w:t>
      </w:r>
      <w:r w:rsidRPr="007C325C">
        <w:rPr>
          <w:rFonts w:ascii="Palatino Linotype" w:hAnsi="Palatino Linotype" w:eastAsia="Calibri" w:cs="Tahoma"/>
          <w:b/>
          <w:sz w:val="22"/>
          <w:szCs w:val="22"/>
          <w:lang w:val="es-ES" w:eastAsia="en-US"/>
        </w:rPr>
        <w:t>rtículo 92</w:t>
      </w:r>
      <w:r w:rsidRPr="007C325C">
        <w:rPr>
          <w:rFonts w:ascii="Palatino Linotype" w:hAnsi="Palatino Linotype" w:eastAsia="Calibri" w:cs="Tahoma"/>
          <w:bCs/>
          <w:sz w:val="22"/>
          <w:szCs w:val="22"/>
          <w:lang w:val="es-ES" w:eastAsia="en-US"/>
        </w:rPr>
        <w:t xml:space="preserve"> de la </w:t>
      </w:r>
      <w:r w:rsidRPr="007C325C">
        <w:rPr>
          <w:rFonts w:ascii="Palatino Linotype" w:hAnsi="Palatino Linotype" w:eastAsia="Calibri" w:cs="Tahoma"/>
          <w:b/>
          <w:sz w:val="22"/>
          <w:szCs w:val="22"/>
          <w:lang w:val="es-ES" w:eastAsia="en-US"/>
        </w:rPr>
        <w:t>Ley de Transparencia y Acceso a la Información Pública del Estado de México y Municipios</w:t>
      </w:r>
      <w:r w:rsidRPr="007C325C">
        <w:rPr>
          <w:rFonts w:ascii="Palatino Linotype" w:hAnsi="Palatino Linotype" w:eastAsia="Calibri" w:cs="Tahoma"/>
          <w:bCs/>
          <w:sz w:val="22"/>
          <w:szCs w:val="22"/>
          <w:lang w:val="es-ES" w:eastAsia="en-US"/>
        </w:rPr>
        <w:t xml:space="preserve">, que establece que la </w:t>
      </w:r>
      <w:r w:rsidRPr="007C325C">
        <w:rPr>
          <w:rFonts w:ascii="Palatino Linotype" w:hAnsi="Palatino Linotype" w:eastAsia="Calibri" w:cs="Tahoma"/>
          <w:b/>
          <w:bCs/>
          <w:sz w:val="22"/>
          <w:szCs w:val="22"/>
          <w:lang w:val="es-ES" w:eastAsia="en-US"/>
        </w:rPr>
        <w:t>información curricular</w:t>
      </w:r>
      <w:r w:rsidRPr="007C325C">
        <w:rPr>
          <w:rFonts w:ascii="Palatino Linotype" w:hAnsi="Palatino Linotype" w:eastAsia="Calibri" w:cs="Tahoma"/>
          <w:bCs/>
          <w:sz w:val="22"/>
          <w:szCs w:val="22"/>
          <w:lang w:val="es-ES" w:eastAsia="en-US"/>
        </w:rPr>
        <w:t xml:space="preserve"> es información que deben de poner a disposición del público los sujetos obligados, en el presente caso, la Universidad Politécnica del Valle de Toluca.</w:t>
      </w:r>
    </w:p>
    <w:p w:rsidRPr="007C325C" w:rsidR="00321C87" w:rsidP="00855D7E" w:rsidRDefault="00321C87" w14:paraId="1BA3FB01" w14:textId="77777777">
      <w:pPr>
        <w:spacing w:line="360" w:lineRule="auto"/>
        <w:contextualSpacing/>
        <w:jc w:val="both"/>
        <w:rPr>
          <w:rFonts w:ascii="Palatino Linotype" w:hAnsi="Palatino Linotype" w:eastAsia="Calibri"/>
          <w:szCs w:val="22"/>
        </w:rPr>
      </w:pPr>
    </w:p>
    <w:p w:rsidRPr="007C325C" w:rsidR="00321C87" w:rsidP="00855D7E" w:rsidRDefault="00321C87" w14:paraId="7CE1169F" w14:textId="77777777">
      <w:pPr>
        <w:spacing w:line="360" w:lineRule="auto"/>
        <w:contextualSpacing/>
        <w:jc w:val="both"/>
        <w:rPr>
          <w:rFonts w:ascii="Palatino Linotype" w:hAnsi="Palatino Linotype" w:cs="Tahoma"/>
          <w:bCs/>
          <w:iCs/>
          <w:sz w:val="22"/>
          <w:szCs w:val="22"/>
        </w:rPr>
      </w:pPr>
      <w:r w:rsidRPr="007C325C">
        <w:rPr>
          <w:rFonts w:ascii="Palatino Linotype" w:hAnsi="Palatino Linotype" w:cs="Tahoma"/>
          <w:bCs/>
          <w:sz w:val="22"/>
          <w:szCs w:val="22"/>
          <w:lang w:val="es-ES"/>
        </w:rPr>
        <w:t xml:space="preserve">Asimismo, toma relevancia, pues conforme al formato 17 LGT_Art_70_Fr_XVII (Información curricular y las sanciones administrativas definitivas de los(as) servidores(as) públicas(os) y/o personas que desempeñen un empleo, cargo o comisión) de los </w:t>
      </w:r>
      <w:r w:rsidRPr="007C325C">
        <w:rPr>
          <w:rFonts w:ascii="Palatino Linotype" w:hAnsi="Palatino Linotype" w:cs="Tahoma"/>
          <w:bCs/>
          <w:iCs/>
          <w:sz w:val="22"/>
          <w:szCs w:val="22"/>
        </w:rPr>
        <w:t>Lineamientos técnicos generales para la publicación, homologación y estandarización de la información de las obligaciones establecidas en el título quinto y en la fracción IV del artículo 31 de la Ley General de Transparencia y Acceso a la Información Pública –Lineamientos Generales-, que deben de difundir los sujetos obligados en los portales de Internet y en la Plataforma Nacional de Transparencia, establece como datos a publicar, de los servidores públicos, el nivel máximo de estudios concluido y comprobable, así como la experiencia laboral, concerniente a los tres últimos empleos, tal como se muestra continuación:</w:t>
      </w:r>
    </w:p>
    <w:p w:rsidRPr="007C325C" w:rsidR="00321C87" w:rsidP="00855D7E" w:rsidRDefault="00321C87" w14:paraId="622DD9FB" w14:textId="77777777">
      <w:pPr>
        <w:spacing w:line="360" w:lineRule="auto"/>
        <w:contextualSpacing/>
        <w:jc w:val="both"/>
        <w:rPr>
          <w:rFonts w:ascii="Palatino Linotype" w:hAnsi="Palatino Linotype" w:cs="Tahoma"/>
          <w:bCs/>
          <w:iCs/>
          <w:sz w:val="22"/>
          <w:szCs w:val="22"/>
        </w:rPr>
      </w:pPr>
    </w:p>
    <w:p w:rsidRPr="007C325C" w:rsidR="00321C87" w:rsidP="00855D7E" w:rsidRDefault="00321C87" w14:paraId="141054B8" w14:textId="77777777">
      <w:pPr>
        <w:spacing w:line="360" w:lineRule="auto"/>
        <w:contextualSpacing/>
        <w:jc w:val="center"/>
        <w:rPr>
          <w:rFonts w:ascii="Palatino Linotype" w:hAnsi="Palatino Linotype" w:eastAsia="Calibri" w:cs="Arial"/>
          <w:sz w:val="22"/>
          <w:szCs w:val="22"/>
          <w:lang w:eastAsia="en-US"/>
        </w:rPr>
      </w:pPr>
      <w:r w:rsidRPr="007C325C">
        <w:rPr>
          <w:noProof/>
          <w:sz w:val="22"/>
          <w:szCs w:val="22"/>
          <w:lang w:eastAsia="es-MX"/>
        </w:rPr>
        <w:drawing>
          <wp:inline distT="0" distB="0" distL="0" distR="0" wp14:anchorId="6CC59164" wp14:editId="72679F7D">
            <wp:extent cx="5286375" cy="1885950"/>
            <wp:effectExtent l="0" t="0" r="9525" b="0"/>
            <wp:docPr id="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86375" cy="1885950"/>
                    </a:xfrm>
                    <a:prstGeom prst="rect">
                      <a:avLst/>
                    </a:prstGeom>
                    <a:noFill/>
                    <a:ln>
                      <a:noFill/>
                    </a:ln>
                  </pic:spPr>
                </pic:pic>
              </a:graphicData>
            </a:graphic>
          </wp:inline>
        </w:drawing>
      </w:r>
    </w:p>
    <w:p w:rsidRPr="007C325C" w:rsidR="00321C87" w:rsidP="00855D7E" w:rsidRDefault="00321C87" w14:paraId="518EC4D9" w14:textId="77777777">
      <w:pPr>
        <w:spacing w:line="360" w:lineRule="auto"/>
        <w:contextualSpacing/>
        <w:jc w:val="both"/>
        <w:rPr>
          <w:rFonts w:ascii="Palatino Linotype" w:hAnsi="Palatino Linotype" w:eastAsia="Calibri" w:cs="Arial"/>
          <w:sz w:val="22"/>
          <w:szCs w:val="22"/>
          <w:lang w:eastAsia="en-US"/>
        </w:rPr>
      </w:pPr>
    </w:p>
    <w:p w:rsidRPr="007C325C" w:rsidR="00321C87" w:rsidP="00855D7E" w:rsidRDefault="00321C87" w14:paraId="6D22A6E6" w14:textId="77777777">
      <w:pPr>
        <w:spacing w:line="360" w:lineRule="auto"/>
        <w:contextualSpacing/>
        <w:jc w:val="both"/>
        <w:rPr>
          <w:rFonts w:ascii="Palatino Linotype" w:hAnsi="Palatino Linotype" w:eastAsia="Calibri" w:cs="Arial"/>
          <w:sz w:val="22"/>
          <w:szCs w:val="22"/>
          <w:lang w:eastAsia="en-US"/>
        </w:rPr>
      </w:pPr>
      <w:r w:rsidRPr="007C325C">
        <w:rPr>
          <w:rFonts w:ascii="Palatino Linotype" w:hAnsi="Palatino Linotype" w:eastAsia="Calibri" w:cs="Arial"/>
          <w:bCs/>
          <w:sz w:val="22"/>
          <w:szCs w:val="22"/>
          <w:lang w:eastAsia="en-US"/>
        </w:rPr>
        <w:t xml:space="preserve">En ese contexto, según Islas, Jorge (2016), en la “Ley General de Transparencia y Acceso a la Información Pública Comentada” (p. 244), refirió que el </w:t>
      </w:r>
      <w:r w:rsidRPr="007C325C">
        <w:rPr>
          <w:rFonts w:ascii="Palatino Linotype" w:hAnsi="Palatino Linotype" w:eastAsia="Calibri" w:cs="Arial"/>
          <w:b/>
          <w:bCs/>
          <w:iCs/>
          <w:sz w:val="22"/>
          <w:szCs w:val="22"/>
          <w:lang w:eastAsia="en-US"/>
        </w:rPr>
        <w:t>currículum vitae</w:t>
      </w:r>
      <w:r w:rsidRPr="007C325C">
        <w:rPr>
          <w:rFonts w:ascii="Palatino Linotype" w:hAnsi="Palatino Linotype" w:eastAsia="Calibri" w:cs="Arial"/>
          <w:sz w:val="22"/>
          <w:szCs w:val="22"/>
          <w:lang w:eastAsia="en-US"/>
        </w:rPr>
        <w:t xml:space="preserve"> de un servidor público, justifica que su formación académica resulta viable para el desempeño eficiente y correcto de su encargo; lo anterior, con el fin de acreditar que dichos trabajadores sean los más capacitados, acorde al área solicitada.</w:t>
      </w:r>
    </w:p>
    <w:p w:rsidRPr="007C325C" w:rsidR="00321C87" w:rsidP="00855D7E" w:rsidRDefault="00321C87" w14:paraId="6569BF3C" w14:textId="77777777">
      <w:pPr>
        <w:spacing w:line="360" w:lineRule="auto"/>
        <w:contextualSpacing/>
        <w:jc w:val="both"/>
        <w:rPr>
          <w:rFonts w:ascii="Palatino Linotype" w:hAnsi="Palatino Linotype" w:eastAsia="Calibri" w:cs="Arial"/>
          <w:sz w:val="22"/>
          <w:szCs w:val="22"/>
          <w:lang w:eastAsia="en-US"/>
        </w:rPr>
      </w:pPr>
    </w:p>
    <w:p w:rsidRPr="007C325C" w:rsidR="00321C87" w:rsidP="00855D7E" w:rsidRDefault="00321C87" w14:paraId="24DA6067" w14:textId="77777777">
      <w:pPr>
        <w:spacing w:line="360" w:lineRule="auto"/>
        <w:contextualSpacing/>
        <w:jc w:val="both"/>
        <w:rPr>
          <w:rFonts w:ascii="Palatino Linotype" w:hAnsi="Palatino Linotype" w:cs="Tahoma"/>
          <w:bCs/>
          <w:iCs/>
          <w:sz w:val="22"/>
          <w:szCs w:val="22"/>
        </w:rPr>
      </w:pPr>
      <w:r w:rsidRPr="007C325C">
        <w:rPr>
          <w:rFonts w:ascii="Palatino Linotype" w:hAnsi="Palatino Linotype" w:cs="Tahoma"/>
          <w:iCs/>
          <w:sz w:val="22"/>
          <w:szCs w:val="22"/>
        </w:rPr>
        <w:t>En el mismo sentido, lo señala el</w:t>
      </w:r>
      <w:r w:rsidRPr="007C325C">
        <w:rPr>
          <w:rFonts w:ascii="Palatino Linotype" w:hAnsi="Palatino Linotype" w:cs="Tahoma"/>
          <w:bCs/>
          <w:iCs/>
          <w:sz w:val="22"/>
          <w:szCs w:val="22"/>
        </w:rPr>
        <w:t xml:space="preserve"> C</w:t>
      </w:r>
      <w:r w:rsidRPr="007C325C">
        <w:rPr>
          <w:rFonts w:ascii="Palatino Linotype" w:hAnsi="Palatino Linotype" w:cs="Tahoma"/>
          <w:iCs/>
          <w:sz w:val="22"/>
          <w:szCs w:val="22"/>
        </w:rPr>
        <w:t xml:space="preserve">riterio de Interpretación, de la Primera Época, con número de registro SO/003/2009, emitido por el Pleno del </w:t>
      </w:r>
      <w:r w:rsidRPr="007C325C">
        <w:rPr>
          <w:rFonts w:ascii="Palatino Linotype" w:hAnsi="Palatino Linotype" w:cs="Tahoma"/>
          <w:bCs/>
          <w:iCs/>
          <w:sz w:val="22"/>
          <w:szCs w:val="22"/>
        </w:rPr>
        <w:t>entonces Instituto Federal de Acceso a la Información y Protección de Datos, tal como se muestra a continuación:</w:t>
      </w:r>
    </w:p>
    <w:p w:rsidRPr="007C325C" w:rsidR="00321C87" w:rsidP="00855D7E" w:rsidRDefault="00321C87" w14:paraId="68B10FB4" w14:textId="77777777">
      <w:pPr>
        <w:spacing w:line="360" w:lineRule="auto"/>
        <w:contextualSpacing/>
        <w:jc w:val="both"/>
        <w:rPr>
          <w:rFonts w:ascii="Palatino Linotype" w:hAnsi="Palatino Linotype" w:cs="Tahoma"/>
          <w:bCs/>
          <w:sz w:val="22"/>
          <w:szCs w:val="22"/>
        </w:rPr>
      </w:pPr>
    </w:p>
    <w:p w:rsidRPr="007C325C" w:rsidR="00321C87" w:rsidP="00855D7E" w:rsidRDefault="00321C87" w14:paraId="6BB466BF" w14:textId="77777777">
      <w:pPr>
        <w:spacing w:line="360" w:lineRule="auto"/>
        <w:ind w:left="567" w:right="567"/>
        <w:contextualSpacing/>
        <w:jc w:val="both"/>
        <w:rPr>
          <w:rFonts w:ascii="Palatino Linotype" w:hAnsi="Palatino Linotype" w:cs="Tahoma"/>
          <w:bCs/>
          <w:i/>
        </w:rPr>
      </w:pPr>
      <w:r w:rsidRPr="007C325C">
        <w:rPr>
          <w:rFonts w:ascii="Palatino Linotype" w:hAnsi="Palatino Linotype" w:cs="Tahoma"/>
          <w:b/>
          <w:bCs/>
          <w:i/>
        </w:rPr>
        <w:t>“Curriculum Vitae de servidores públicos. Es obligación de los sujetos obligados otorgar acceso a versiones públicas de los mismos ante una solicitud de acceso.</w:t>
      </w:r>
      <w:r w:rsidRPr="007C325C">
        <w:rPr>
          <w:rFonts w:ascii="Palatino Linotype" w:hAnsi="Palatino Linotype" w:cs="Tahoma"/>
          <w:bCs/>
          <w:i/>
        </w:rPr>
        <w:t xml:space="preserve">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curriculum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curriculum vitae de un servidor público, una de las formas en que los ciudadanos pueden evaluar sus aptitudes para desempeñar el cargo público que le ha sido encomendado, es mediante la publicidad de ciertos datos de los ahí contenidos. En esa tesitura, entre los datos personales del curriculum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w:t>
      </w:r>
    </w:p>
    <w:p w:rsidRPr="007C325C" w:rsidR="00321C87" w:rsidP="00855D7E" w:rsidRDefault="00321C87" w14:paraId="02D69EFB" w14:textId="77777777">
      <w:pPr>
        <w:spacing w:line="360" w:lineRule="auto"/>
        <w:contextualSpacing/>
        <w:jc w:val="both"/>
        <w:rPr>
          <w:rFonts w:ascii="Palatino Linotype" w:hAnsi="Palatino Linotype" w:cs="Tahoma"/>
          <w:bCs/>
          <w:sz w:val="22"/>
          <w:szCs w:val="22"/>
        </w:rPr>
      </w:pPr>
    </w:p>
    <w:p w:rsidRPr="007C325C" w:rsidR="00321C87" w:rsidP="00855D7E" w:rsidRDefault="00321C87" w14:paraId="7E9DC4BE" w14:textId="77777777">
      <w:pPr>
        <w:spacing w:line="360" w:lineRule="auto"/>
        <w:contextualSpacing/>
        <w:jc w:val="both"/>
        <w:rPr>
          <w:rFonts w:ascii="Palatino Linotype" w:hAnsi="Palatino Linotype" w:eastAsia="Calibri" w:cs="Arial"/>
          <w:sz w:val="22"/>
          <w:szCs w:val="22"/>
          <w:lang w:eastAsia="en-US"/>
        </w:rPr>
      </w:pPr>
      <w:r w:rsidRPr="007C325C">
        <w:rPr>
          <w:rFonts w:ascii="Palatino Linotype" w:hAnsi="Palatino Linotype" w:eastAsia="Calibri" w:cs="Arial"/>
          <w:sz w:val="22"/>
          <w:szCs w:val="22"/>
          <w:lang w:eastAsia="en-US"/>
        </w:rPr>
        <w:t xml:space="preserve">Del citado criterio, se desprende que una de las formas en que los ciudadanos pueden evaluar las aptitudes para desempeñar un cargo público determinado, es mediante la publicidad de ciertos datos contenidos en el </w:t>
      </w:r>
      <w:r w:rsidRPr="007C325C">
        <w:rPr>
          <w:rFonts w:ascii="Palatino Linotype" w:hAnsi="Palatino Linotype" w:eastAsia="Calibri" w:cs="Arial"/>
          <w:i/>
          <w:sz w:val="22"/>
          <w:szCs w:val="22"/>
          <w:lang w:eastAsia="en-US"/>
        </w:rPr>
        <w:t xml:space="preserve">currículum vitae, </w:t>
      </w:r>
      <w:r w:rsidRPr="007C325C">
        <w:rPr>
          <w:rFonts w:ascii="Palatino Linotype" w:hAnsi="Palatino Linotype" w:eastAsia="Calibri" w:cs="Arial"/>
          <w:sz w:val="22"/>
          <w:szCs w:val="22"/>
          <w:lang w:eastAsia="en-US"/>
        </w:rPr>
        <w:t>tales como, la trayectoria académica, profesional, laboral, así como todos aquellos que acrediten su capacidad, habilidades pericia para ocupar el puesto público. Lo anterior, para favorecer la rendición de cuentas, pues la publicidad de dichos documentales, tiene como fin verificar el correcto desempeño de los sujetos obligados.</w:t>
      </w:r>
    </w:p>
    <w:p w:rsidRPr="007C325C" w:rsidR="00321C87" w:rsidP="00855D7E" w:rsidRDefault="00321C87" w14:paraId="0591AAC2" w14:textId="77777777">
      <w:pPr>
        <w:spacing w:line="360" w:lineRule="auto"/>
        <w:contextualSpacing/>
        <w:jc w:val="both"/>
        <w:rPr>
          <w:rFonts w:ascii="Palatino Linotype" w:hAnsi="Palatino Linotype" w:cs="Arial" w:eastAsiaTheme="minorHAnsi"/>
          <w:color w:val="000000" w:themeColor="text1"/>
          <w:sz w:val="22"/>
          <w:szCs w:val="24"/>
        </w:rPr>
      </w:pPr>
    </w:p>
    <w:p w:rsidRPr="007C325C" w:rsidR="00321C87" w:rsidP="00855D7E" w:rsidRDefault="00321C87" w14:paraId="40509717" w14:textId="77777777">
      <w:pPr>
        <w:numPr>
          <w:ilvl w:val="0"/>
          <w:numId w:val="41"/>
        </w:numPr>
        <w:tabs>
          <w:tab w:val="left" w:pos="4962"/>
        </w:tabs>
        <w:spacing w:after="160" w:line="360" w:lineRule="auto"/>
        <w:ind w:right="-28"/>
        <w:contextualSpacing/>
        <w:jc w:val="both"/>
        <w:rPr>
          <w:rFonts w:ascii="Palatino Linotype" w:hAnsi="Palatino Linotype" w:eastAsia="Calibri" w:cs="Tahoma"/>
          <w:b/>
          <w:iCs/>
          <w:sz w:val="22"/>
          <w:szCs w:val="24"/>
          <w:lang w:eastAsia="es-ES_tradnl"/>
        </w:rPr>
      </w:pPr>
      <w:r w:rsidRPr="007C325C">
        <w:rPr>
          <w:rFonts w:ascii="Palatino Linotype" w:hAnsi="Palatino Linotype" w:eastAsia="Calibri" w:cs="Tahoma"/>
          <w:b/>
          <w:iCs/>
          <w:sz w:val="22"/>
          <w:szCs w:val="24"/>
          <w:lang w:eastAsia="es-ES_tradnl"/>
        </w:rPr>
        <w:t>Acta de Nacimiento.</w:t>
      </w:r>
    </w:p>
    <w:p w:rsidRPr="007C325C" w:rsidR="00321C87" w:rsidP="00855D7E" w:rsidRDefault="00321C87" w14:paraId="6EC11330" w14:textId="77777777">
      <w:pPr>
        <w:tabs>
          <w:tab w:val="left" w:pos="4962"/>
        </w:tabs>
        <w:spacing w:line="360" w:lineRule="auto"/>
        <w:ind w:right="-28"/>
        <w:contextualSpacing/>
        <w:jc w:val="both"/>
        <w:rPr>
          <w:rFonts w:ascii="Palatino Linotype" w:hAnsi="Palatino Linotype" w:eastAsia="Calibri" w:cs="Tahoma"/>
          <w:bCs/>
          <w:iCs/>
          <w:sz w:val="22"/>
          <w:szCs w:val="24"/>
          <w:lang w:eastAsia="es-ES_tradnl"/>
        </w:rPr>
      </w:pPr>
    </w:p>
    <w:p w:rsidRPr="007C325C" w:rsidR="00321C87" w:rsidP="00855D7E" w:rsidRDefault="00321C87" w14:paraId="0009FD5F" w14:textId="77777777">
      <w:pPr>
        <w:tabs>
          <w:tab w:val="left" w:pos="4962"/>
        </w:tabs>
        <w:spacing w:line="360" w:lineRule="auto"/>
        <w:ind w:right="-28"/>
        <w:contextualSpacing/>
        <w:jc w:val="both"/>
        <w:rPr>
          <w:rFonts w:ascii="Palatino Linotype" w:hAnsi="Palatino Linotype" w:eastAsia="Calibri" w:cs="Tahoma"/>
          <w:b/>
          <w:iCs/>
          <w:sz w:val="22"/>
          <w:szCs w:val="24"/>
          <w:lang w:eastAsia="es-ES_tradnl"/>
        </w:rPr>
      </w:pPr>
      <w:r w:rsidRPr="007C325C">
        <w:rPr>
          <w:rFonts w:ascii="Palatino Linotype" w:hAnsi="Palatino Linotype" w:eastAsia="Calibri" w:cs="Tahoma"/>
          <w:bCs/>
          <w:iCs/>
          <w:sz w:val="22"/>
          <w:szCs w:val="24"/>
          <w:lang w:eastAsia="es-ES_tradnl"/>
        </w:rPr>
        <w:t xml:space="preserve">Las actas emitidas por el Registro Civil dan cuenta de un atributo de la personalidad, tal como lo establece el artículo 2.3 del Código Civil del Estado México. En ese orden de ideas, el artículo 3.5 del del citado Código Civil establece que el estado civil de las personas sólo se comprueba con las constancias relativas del Registro Civil, tal como lo es el </w:t>
      </w:r>
      <w:r w:rsidRPr="007C325C">
        <w:rPr>
          <w:rFonts w:ascii="Palatino Linotype" w:hAnsi="Palatino Linotype" w:eastAsia="Calibri" w:cs="Tahoma"/>
          <w:b/>
          <w:iCs/>
          <w:sz w:val="22"/>
          <w:szCs w:val="24"/>
          <w:lang w:eastAsia="es-ES_tradnl"/>
        </w:rPr>
        <w:t xml:space="preserve">Acta de Nacimiento. </w:t>
      </w:r>
    </w:p>
    <w:p w:rsidRPr="007C325C" w:rsidR="00321C87" w:rsidP="00855D7E" w:rsidRDefault="00321C87" w14:paraId="1A49CC67" w14:textId="77777777">
      <w:pPr>
        <w:tabs>
          <w:tab w:val="left" w:pos="4962"/>
        </w:tabs>
        <w:spacing w:line="360" w:lineRule="auto"/>
        <w:ind w:right="-28"/>
        <w:contextualSpacing/>
        <w:jc w:val="both"/>
        <w:rPr>
          <w:rFonts w:ascii="Palatino Linotype" w:hAnsi="Palatino Linotype" w:eastAsia="Calibri" w:cs="Tahoma"/>
          <w:bCs/>
          <w:iCs/>
          <w:sz w:val="22"/>
          <w:szCs w:val="24"/>
          <w:lang w:eastAsia="es-ES_tradnl"/>
        </w:rPr>
      </w:pPr>
    </w:p>
    <w:p w:rsidRPr="007C325C" w:rsidR="00321C87" w:rsidP="00855D7E" w:rsidRDefault="00321C87" w14:paraId="1C334950" w14:textId="77777777">
      <w:pPr>
        <w:tabs>
          <w:tab w:val="left" w:pos="4962"/>
        </w:tabs>
        <w:spacing w:line="360" w:lineRule="auto"/>
        <w:ind w:right="-28"/>
        <w:contextualSpacing/>
        <w:jc w:val="both"/>
        <w:rPr>
          <w:rFonts w:ascii="Palatino Linotype" w:hAnsi="Palatino Linotype" w:eastAsiaTheme="minorHAnsi" w:cstheme="minorBidi"/>
          <w:color w:val="000000" w:themeColor="text1"/>
          <w:sz w:val="22"/>
          <w:szCs w:val="22"/>
          <w:lang w:eastAsia="en-US"/>
        </w:rPr>
      </w:pPr>
      <w:r w:rsidRPr="007C325C">
        <w:rPr>
          <w:rFonts w:ascii="Palatino Linotype" w:hAnsi="Palatino Linotype" w:eastAsia="Calibri" w:cs="Tahoma"/>
          <w:bCs/>
          <w:iCs/>
          <w:sz w:val="22"/>
          <w:szCs w:val="24"/>
          <w:lang w:eastAsia="es-ES_tradnl"/>
        </w:rPr>
        <w:t>Ahora bien, de acuerdo con el Formato Único del Acta de Nacimiento publicado por la Secretaría de Gobernación en el enlace http://www.diputados.gob.mx/documentos/N_Acta_Nacimiento.pdf</w:t>
      </w:r>
      <w:r w:rsidRPr="007C325C">
        <w:rPr>
          <w:rFonts w:ascii="Palatino Linotype" w:hAnsi="Palatino Linotype" w:eastAsiaTheme="minorHAnsi" w:cstheme="minorBidi"/>
          <w:color w:val="000000" w:themeColor="text1"/>
          <w:sz w:val="22"/>
          <w:szCs w:val="22"/>
          <w:lang w:eastAsia="en-US"/>
        </w:rPr>
        <w:t xml:space="preserve">, se advierte que el Acta de Nacimiento se componte de quince elementos siendo los siguientes: </w:t>
      </w:r>
    </w:p>
    <w:p w:rsidRPr="007C325C" w:rsidR="00321C87" w:rsidP="00855D7E" w:rsidRDefault="00321C87" w14:paraId="7690448A" w14:textId="77777777">
      <w:pPr>
        <w:tabs>
          <w:tab w:val="left" w:pos="4962"/>
        </w:tabs>
        <w:spacing w:line="360" w:lineRule="auto"/>
        <w:ind w:right="-28"/>
        <w:contextualSpacing/>
        <w:jc w:val="both"/>
        <w:rPr>
          <w:rFonts w:ascii="Palatino Linotype" w:hAnsi="Palatino Linotype" w:eastAsiaTheme="minorHAnsi" w:cstheme="minorBidi"/>
          <w:color w:val="000000" w:themeColor="text1"/>
          <w:sz w:val="22"/>
          <w:szCs w:val="22"/>
          <w:lang w:eastAsia="en-US"/>
        </w:rPr>
      </w:pPr>
    </w:p>
    <w:p w:rsidRPr="007C325C" w:rsidR="00321C87" w:rsidP="00855D7E" w:rsidRDefault="00321C87" w14:paraId="17A25EE4" w14:textId="77777777">
      <w:pPr>
        <w:numPr>
          <w:ilvl w:val="0"/>
          <w:numId w:val="42"/>
        </w:numPr>
        <w:tabs>
          <w:tab w:val="left" w:pos="4962"/>
        </w:tabs>
        <w:spacing w:after="160" w:line="360" w:lineRule="auto"/>
        <w:ind w:right="-28"/>
        <w:contextualSpacing/>
        <w:jc w:val="both"/>
        <w:rPr>
          <w:rFonts w:ascii="Palatino Linotype" w:hAnsi="Palatino Linotype" w:eastAsia="Calibri" w:cs="Tahoma"/>
          <w:bCs/>
          <w:iCs/>
          <w:sz w:val="22"/>
          <w:szCs w:val="24"/>
          <w:lang w:eastAsia="es-ES_tradnl"/>
        </w:rPr>
      </w:pPr>
      <w:r w:rsidRPr="007C325C">
        <w:rPr>
          <w:rFonts w:ascii="Palatino Linotype" w:hAnsi="Palatino Linotype" w:eastAsia="Calibri" w:cs="Tahoma"/>
          <w:bCs/>
          <w:iCs/>
          <w:sz w:val="22"/>
          <w:szCs w:val="24"/>
          <w:lang w:eastAsia="es-ES_tradnl"/>
        </w:rPr>
        <w:t>Folio de Impresión.</w:t>
      </w:r>
    </w:p>
    <w:p w:rsidRPr="007C325C" w:rsidR="00321C87" w:rsidP="00855D7E" w:rsidRDefault="00321C87" w14:paraId="4B1F14F0" w14:textId="77777777">
      <w:pPr>
        <w:numPr>
          <w:ilvl w:val="0"/>
          <w:numId w:val="42"/>
        </w:numPr>
        <w:tabs>
          <w:tab w:val="left" w:pos="4962"/>
        </w:tabs>
        <w:spacing w:after="160" w:line="360" w:lineRule="auto"/>
        <w:ind w:right="-28"/>
        <w:contextualSpacing/>
        <w:jc w:val="both"/>
        <w:rPr>
          <w:rFonts w:ascii="Palatino Linotype" w:hAnsi="Palatino Linotype" w:eastAsia="Calibri" w:cs="Tahoma"/>
          <w:bCs/>
          <w:iCs/>
          <w:sz w:val="22"/>
          <w:szCs w:val="24"/>
          <w:lang w:eastAsia="es-ES_tradnl"/>
        </w:rPr>
      </w:pPr>
      <w:r w:rsidRPr="007C325C">
        <w:rPr>
          <w:rFonts w:ascii="Palatino Linotype" w:hAnsi="Palatino Linotype" w:eastAsia="Calibri" w:cs="Tahoma"/>
          <w:bCs/>
          <w:iCs/>
          <w:sz w:val="22"/>
          <w:szCs w:val="24"/>
          <w:lang w:eastAsia="es-ES_tradnl"/>
        </w:rPr>
        <w:t>Denominación del Documento.</w:t>
      </w:r>
    </w:p>
    <w:p w:rsidRPr="007C325C" w:rsidR="00321C87" w:rsidP="00855D7E" w:rsidRDefault="00321C87" w14:paraId="0273194D" w14:textId="77777777">
      <w:pPr>
        <w:numPr>
          <w:ilvl w:val="0"/>
          <w:numId w:val="42"/>
        </w:numPr>
        <w:tabs>
          <w:tab w:val="left" w:pos="4962"/>
        </w:tabs>
        <w:spacing w:after="160" w:line="360" w:lineRule="auto"/>
        <w:ind w:right="-28"/>
        <w:contextualSpacing/>
        <w:jc w:val="both"/>
        <w:rPr>
          <w:rFonts w:ascii="Palatino Linotype" w:hAnsi="Palatino Linotype" w:eastAsia="Calibri" w:cs="Tahoma"/>
          <w:bCs/>
          <w:iCs/>
          <w:sz w:val="22"/>
          <w:szCs w:val="24"/>
          <w:lang w:eastAsia="es-ES_tradnl"/>
        </w:rPr>
      </w:pPr>
      <w:r w:rsidRPr="007C325C">
        <w:rPr>
          <w:rFonts w:ascii="Palatino Linotype" w:hAnsi="Palatino Linotype" w:eastAsia="Calibri" w:cs="Tahoma"/>
          <w:bCs/>
          <w:iCs/>
          <w:sz w:val="22"/>
          <w:szCs w:val="24"/>
          <w:lang w:eastAsia="es-ES_tradnl"/>
        </w:rPr>
        <w:t xml:space="preserve">Identificador Electrónico. </w:t>
      </w:r>
    </w:p>
    <w:p w:rsidRPr="007C325C" w:rsidR="00321C87" w:rsidP="00855D7E" w:rsidRDefault="00321C87" w14:paraId="149E57D9" w14:textId="77777777">
      <w:pPr>
        <w:numPr>
          <w:ilvl w:val="0"/>
          <w:numId w:val="42"/>
        </w:numPr>
        <w:tabs>
          <w:tab w:val="left" w:pos="4962"/>
        </w:tabs>
        <w:spacing w:after="160" w:line="360" w:lineRule="auto"/>
        <w:ind w:right="-28"/>
        <w:contextualSpacing/>
        <w:jc w:val="both"/>
        <w:rPr>
          <w:rFonts w:ascii="Palatino Linotype" w:hAnsi="Palatino Linotype" w:eastAsia="Calibri" w:cs="Tahoma"/>
          <w:bCs/>
          <w:iCs/>
          <w:sz w:val="22"/>
          <w:szCs w:val="24"/>
          <w:lang w:eastAsia="es-ES_tradnl"/>
        </w:rPr>
      </w:pPr>
      <w:r w:rsidRPr="007C325C">
        <w:rPr>
          <w:rFonts w:ascii="Palatino Linotype" w:hAnsi="Palatino Linotype" w:eastAsia="Calibri" w:cs="Tahoma"/>
          <w:bCs/>
          <w:iCs/>
          <w:sz w:val="22"/>
          <w:szCs w:val="24"/>
          <w:lang w:eastAsia="es-ES_tradnl"/>
        </w:rPr>
        <w:t xml:space="preserve">Elementos del Registro. </w:t>
      </w:r>
    </w:p>
    <w:p w:rsidRPr="007C325C" w:rsidR="00321C87" w:rsidP="00855D7E" w:rsidRDefault="00321C87" w14:paraId="199CCE25" w14:textId="77777777">
      <w:pPr>
        <w:numPr>
          <w:ilvl w:val="0"/>
          <w:numId w:val="42"/>
        </w:numPr>
        <w:tabs>
          <w:tab w:val="left" w:pos="4962"/>
        </w:tabs>
        <w:spacing w:after="160" w:line="360" w:lineRule="auto"/>
        <w:ind w:right="-28"/>
        <w:contextualSpacing/>
        <w:jc w:val="both"/>
        <w:rPr>
          <w:rFonts w:ascii="Palatino Linotype" w:hAnsi="Palatino Linotype" w:eastAsia="Calibri" w:cs="Tahoma"/>
          <w:bCs/>
          <w:iCs/>
          <w:sz w:val="22"/>
          <w:szCs w:val="24"/>
          <w:lang w:eastAsia="es-ES_tradnl"/>
        </w:rPr>
      </w:pPr>
      <w:r w:rsidRPr="007C325C">
        <w:rPr>
          <w:rFonts w:ascii="Palatino Linotype" w:hAnsi="Palatino Linotype" w:eastAsia="Calibri" w:cs="Tahoma"/>
          <w:bCs/>
          <w:iCs/>
          <w:sz w:val="22"/>
          <w:szCs w:val="24"/>
          <w:lang w:eastAsia="es-ES_tradnl"/>
        </w:rPr>
        <w:t xml:space="preserve">Datos de la Persona Registrada. </w:t>
      </w:r>
    </w:p>
    <w:p w:rsidRPr="007C325C" w:rsidR="00321C87" w:rsidP="00855D7E" w:rsidRDefault="00321C87" w14:paraId="2F9D0F4D" w14:textId="77777777">
      <w:pPr>
        <w:numPr>
          <w:ilvl w:val="0"/>
          <w:numId w:val="42"/>
        </w:numPr>
        <w:tabs>
          <w:tab w:val="left" w:pos="4962"/>
        </w:tabs>
        <w:spacing w:after="160" w:line="360" w:lineRule="auto"/>
        <w:ind w:right="-28"/>
        <w:contextualSpacing/>
        <w:jc w:val="both"/>
        <w:rPr>
          <w:rFonts w:ascii="Palatino Linotype" w:hAnsi="Palatino Linotype" w:eastAsia="Calibri" w:cs="Tahoma"/>
          <w:bCs/>
          <w:iCs/>
          <w:sz w:val="22"/>
          <w:szCs w:val="24"/>
          <w:lang w:eastAsia="es-ES_tradnl"/>
        </w:rPr>
      </w:pPr>
      <w:r w:rsidRPr="007C325C">
        <w:rPr>
          <w:rFonts w:ascii="Palatino Linotype" w:hAnsi="Palatino Linotype" w:eastAsia="Calibri" w:cs="Tahoma"/>
          <w:bCs/>
          <w:iCs/>
          <w:sz w:val="22"/>
          <w:szCs w:val="24"/>
          <w:lang w:eastAsia="es-ES_tradnl"/>
        </w:rPr>
        <w:lastRenderedPageBreak/>
        <w:t xml:space="preserve">Datos de Filiación de la Persona Registrada. </w:t>
      </w:r>
    </w:p>
    <w:p w:rsidRPr="007C325C" w:rsidR="00321C87" w:rsidP="00855D7E" w:rsidRDefault="00321C87" w14:paraId="3760B6BE" w14:textId="77777777">
      <w:pPr>
        <w:numPr>
          <w:ilvl w:val="0"/>
          <w:numId w:val="42"/>
        </w:numPr>
        <w:tabs>
          <w:tab w:val="left" w:pos="4962"/>
        </w:tabs>
        <w:spacing w:after="160" w:line="360" w:lineRule="auto"/>
        <w:ind w:right="-28"/>
        <w:contextualSpacing/>
        <w:jc w:val="both"/>
        <w:rPr>
          <w:rFonts w:ascii="Palatino Linotype" w:hAnsi="Palatino Linotype" w:eastAsia="Calibri" w:cs="Tahoma"/>
          <w:bCs/>
          <w:iCs/>
          <w:sz w:val="22"/>
          <w:szCs w:val="24"/>
          <w:lang w:eastAsia="es-ES_tradnl"/>
        </w:rPr>
      </w:pPr>
      <w:r w:rsidRPr="007C325C">
        <w:rPr>
          <w:rFonts w:ascii="Palatino Linotype" w:hAnsi="Palatino Linotype" w:eastAsia="Calibri" w:cs="Tahoma"/>
          <w:bCs/>
          <w:iCs/>
          <w:sz w:val="22"/>
          <w:szCs w:val="24"/>
          <w:lang w:eastAsia="es-ES_tradnl"/>
        </w:rPr>
        <w:t xml:space="preserve">Anotaciones Marginales. </w:t>
      </w:r>
    </w:p>
    <w:p w:rsidRPr="007C325C" w:rsidR="00321C87" w:rsidP="00855D7E" w:rsidRDefault="00321C87" w14:paraId="144F7297" w14:textId="77777777">
      <w:pPr>
        <w:numPr>
          <w:ilvl w:val="0"/>
          <w:numId w:val="42"/>
        </w:numPr>
        <w:tabs>
          <w:tab w:val="left" w:pos="4962"/>
        </w:tabs>
        <w:spacing w:after="160" w:line="360" w:lineRule="auto"/>
        <w:ind w:right="-28"/>
        <w:contextualSpacing/>
        <w:jc w:val="both"/>
        <w:rPr>
          <w:rFonts w:ascii="Palatino Linotype" w:hAnsi="Palatino Linotype" w:eastAsia="Calibri" w:cs="Tahoma"/>
          <w:bCs/>
          <w:iCs/>
          <w:sz w:val="22"/>
          <w:szCs w:val="24"/>
          <w:lang w:eastAsia="es-ES_tradnl"/>
        </w:rPr>
      </w:pPr>
      <w:r w:rsidRPr="007C325C">
        <w:rPr>
          <w:rFonts w:ascii="Palatino Linotype" w:hAnsi="Palatino Linotype" w:eastAsia="Calibri" w:cs="Tahoma"/>
          <w:bCs/>
          <w:iCs/>
          <w:sz w:val="22"/>
          <w:szCs w:val="24"/>
          <w:lang w:eastAsia="es-ES_tradnl"/>
        </w:rPr>
        <w:t xml:space="preserve">Certificación. </w:t>
      </w:r>
    </w:p>
    <w:p w:rsidRPr="007C325C" w:rsidR="00321C87" w:rsidP="00855D7E" w:rsidRDefault="00321C87" w14:paraId="46EBBCFB" w14:textId="77777777">
      <w:pPr>
        <w:numPr>
          <w:ilvl w:val="0"/>
          <w:numId w:val="42"/>
        </w:numPr>
        <w:tabs>
          <w:tab w:val="left" w:pos="4962"/>
        </w:tabs>
        <w:spacing w:after="160" w:line="360" w:lineRule="auto"/>
        <w:ind w:right="-28"/>
        <w:contextualSpacing/>
        <w:jc w:val="both"/>
        <w:rPr>
          <w:rFonts w:ascii="Palatino Linotype" w:hAnsi="Palatino Linotype" w:eastAsia="Calibri" w:cs="Tahoma"/>
          <w:bCs/>
          <w:iCs/>
          <w:sz w:val="22"/>
          <w:szCs w:val="24"/>
          <w:lang w:eastAsia="es-ES_tradnl"/>
        </w:rPr>
      </w:pPr>
      <w:r w:rsidRPr="007C325C">
        <w:rPr>
          <w:rFonts w:ascii="Palatino Linotype" w:hAnsi="Palatino Linotype" w:eastAsia="Calibri" w:cs="Tahoma"/>
          <w:bCs/>
          <w:iCs/>
          <w:sz w:val="22"/>
          <w:szCs w:val="24"/>
          <w:lang w:eastAsia="es-ES_tradnl"/>
        </w:rPr>
        <w:t xml:space="preserve">Código Bidimensional QR que contiene información encriptada del acta. </w:t>
      </w:r>
    </w:p>
    <w:p w:rsidRPr="007C325C" w:rsidR="00321C87" w:rsidP="00855D7E" w:rsidRDefault="00321C87" w14:paraId="5CBDD6E1" w14:textId="77777777">
      <w:pPr>
        <w:numPr>
          <w:ilvl w:val="0"/>
          <w:numId w:val="42"/>
        </w:numPr>
        <w:tabs>
          <w:tab w:val="left" w:pos="4962"/>
        </w:tabs>
        <w:spacing w:after="160" w:line="360" w:lineRule="auto"/>
        <w:ind w:right="-28"/>
        <w:contextualSpacing/>
        <w:jc w:val="both"/>
        <w:rPr>
          <w:rFonts w:ascii="Palatino Linotype" w:hAnsi="Palatino Linotype" w:eastAsia="Calibri" w:cs="Tahoma"/>
          <w:bCs/>
          <w:iCs/>
          <w:sz w:val="22"/>
          <w:szCs w:val="24"/>
          <w:lang w:eastAsia="es-ES_tradnl"/>
        </w:rPr>
      </w:pPr>
      <w:r w:rsidRPr="007C325C">
        <w:rPr>
          <w:rFonts w:ascii="Palatino Linotype" w:hAnsi="Palatino Linotype" w:eastAsia="Calibri" w:cs="Tahoma"/>
          <w:bCs/>
          <w:iCs/>
          <w:sz w:val="22"/>
          <w:szCs w:val="24"/>
          <w:lang w:eastAsia="es-ES_tradnl"/>
        </w:rPr>
        <w:t xml:space="preserve">Leyenda “Soy México” </w:t>
      </w:r>
    </w:p>
    <w:p w:rsidRPr="007C325C" w:rsidR="00321C87" w:rsidP="00855D7E" w:rsidRDefault="00321C87" w14:paraId="79E94C94" w14:textId="77777777">
      <w:pPr>
        <w:numPr>
          <w:ilvl w:val="0"/>
          <w:numId w:val="42"/>
        </w:numPr>
        <w:tabs>
          <w:tab w:val="left" w:pos="4962"/>
        </w:tabs>
        <w:spacing w:after="160" w:line="360" w:lineRule="auto"/>
        <w:ind w:right="-28"/>
        <w:contextualSpacing/>
        <w:jc w:val="both"/>
        <w:rPr>
          <w:rFonts w:ascii="Palatino Linotype" w:hAnsi="Palatino Linotype" w:eastAsia="Calibri" w:cs="Tahoma"/>
          <w:bCs/>
          <w:iCs/>
          <w:sz w:val="22"/>
          <w:szCs w:val="24"/>
          <w:lang w:eastAsia="es-ES_tradnl"/>
        </w:rPr>
      </w:pPr>
      <w:r w:rsidRPr="007C325C">
        <w:rPr>
          <w:rFonts w:ascii="Palatino Linotype" w:hAnsi="Palatino Linotype" w:eastAsia="Calibri" w:cs="Tahoma"/>
          <w:bCs/>
          <w:iCs/>
          <w:sz w:val="22"/>
          <w:szCs w:val="24"/>
          <w:lang w:eastAsia="es-ES_tradnl"/>
        </w:rPr>
        <w:t xml:space="preserve">Firma Electrónica Avanzada. </w:t>
      </w:r>
    </w:p>
    <w:p w:rsidRPr="007C325C" w:rsidR="00321C87" w:rsidP="00855D7E" w:rsidRDefault="00321C87" w14:paraId="062BB79D" w14:textId="77777777">
      <w:pPr>
        <w:numPr>
          <w:ilvl w:val="0"/>
          <w:numId w:val="42"/>
        </w:numPr>
        <w:tabs>
          <w:tab w:val="left" w:pos="4962"/>
        </w:tabs>
        <w:spacing w:after="160" w:line="360" w:lineRule="auto"/>
        <w:ind w:right="-28"/>
        <w:contextualSpacing/>
        <w:jc w:val="both"/>
        <w:rPr>
          <w:rFonts w:ascii="Palatino Linotype" w:hAnsi="Palatino Linotype" w:eastAsia="Calibri" w:cs="Tahoma"/>
          <w:bCs/>
          <w:iCs/>
          <w:sz w:val="22"/>
          <w:szCs w:val="24"/>
          <w:lang w:eastAsia="es-ES_tradnl"/>
        </w:rPr>
      </w:pPr>
      <w:r w:rsidRPr="007C325C">
        <w:rPr>
          <w:rFonts w:ascii="Palatino Linotype" w:hAnsi="Palatino Linotype" w:eastAsia="Calibri" w:cs="Tahoma"/>
          <w:bCs/>
          <w:iCs/>
          <w:sz w:val="22"/>
          <w:szCs w:val="24"/>
          <w:lang w:eastAsia="es-ES_tradnl"/>
        </w:rPr>
        <w:t xml:space="preserve">Firma y datos de la autoridad emisora. </w:t>
      </w:r>
    </w:p>
    <w:p w:rsidRPr="007C325C" w:rsidR="00321C87" w:rsidP="00855D7E" w:rsidRDefault="00321C87" w14:paraId="562FC099" w14:textId="77777777">
      <w:pPr>
        <w:numPr>
          <w:ilvl w:val="0"/>
          <w:numId w:val="42"/>
        </w:numPr>
        <w:tabs>
          <w:tab w:val="left" w:pos="4962"/>
        </w:tabs>
        <w:spacing w:after="160" w:line="360" w:lineRule="auto"/>
        <w:ind w:right="-28"/>
        <w:contextualSpacing/>
        <w:jc w:val="both"/>
        <w:rPr>
          <w:rFonts w:ascii="Palatino Linotype" w:hAnsi="Palatino Linotype" w:eastAsia="Calibri" w:cs="Tahoma"/>
          <w:bCs/>
          <w:iCs/>
          <w:sz w:val="22"/>
          <w:szCs w:val="24"/>
          <w:lang w:eastAsia="es-ES_tradnl"/>
        </w:rPr>
      </w:pPr>
      <w:r w:rsidRPr="007C325C">
        <w:rPr>
          <w:rFonts w:ascii="Palatino Linotype" w:hAnsi="Palatino Linotype" w:eastAsia="Calibri" w:cs="Tahoma"/>
          <w:bCs/>
          <w:iCs/>
          <w:sz w:val="22"/>
          <w:szCs w:val="24"/>
          <w:lang w:eastAsia="es-ES_tradnl"/>
        </w:rPr>
        <w:t xml:space="preserve">Código QR. </w:t>
      </w:r>
    </w:p>
    <w:p w:rsidRPr="007C325C" w:rsidR="00321C87" w:rsidP="00855D7E" w:rsidRDefault="00321C87" w14:paraId="00FCA120" w14:textId="77777777">
      <w:pPr>
        <w:numPr>
          <w:ilvl w:val="0"/>
          <w:numId w:val="42"/>
        </w:numPr>
        <w:tabs>
          <w:tab w:val="left" w:pos="4962"/>
        </w:tabs>
        <w:spacing w:after="160" w:line="360" w:lineRule="auto"/>
        <w:ind w:right="-28"/>
        <w:contextualSpacing/>
        <w:jc w:val="both"/>
        <w:rPr>
          <w:rFonts w:ascii="Palatino Linotype" w:hAnsi="Palatino Linotype" w:eastAsia="Calibri" w:cs="Tahoma"/>
          <w:bCs/>
          <w:iCs/>
          <w:sz w:val="22"/>
          <w:szCs w:val="24"/>
          <w:lang w:eastAsia="es-ES_tradnl"/>
        </w:rPr>
      </w:pPr>
      <w:r w:rsidRPr="007C325C">
        <w:rPr>
          <w:rFonts w:ascii="Palatino Linotype" w:hAnsi="Palatino Linotype" w:eastAsia="Calibri" w:cs="Tahoma"/>
          <w:bCs/>
          <w:iCs/>
          <w:sz w:val="22"/>
          <w:szCs w:val="24"/>
          <w:lang w:eastAsia="es-ES_tradnl"/>
        </w:rPr>
        <w:t>Código de Verificación.</w:t>
      </w:r>
    </w:p>
    <w:p w:rsidRPr="007C325C" w:rsidR="00321C87" w:rsidP="00855D7E" w:rsidRDefault="00321C87" w14:paraId="76BDFF8B" w14:textId="77777777">
      <w:pPr>
        <w:numPr>
          <w:ilvl w:val="0"/>
          <w:numId w:val="42"/>
        </w:numPr>
        <w:tabs>
          <w:tab w:val="left" w:pos="4962"/>
        </w:tabs>
        <w:spacing w:after="160" w:line="360" w:lineRule="auto"/>
        <w:ind w:right="-28"/>
        <w:contextualSpacing/>
        <w:jc w:val="both"/>
        <w:rPr>
          <w:rFonts w:ascii="Palatino Linotype" w:hAnsi="Palatino Linotype" w:eastAsia="Calibri" w:cs="Tahoma"/>
          <w:bCs/>
          <w:iCs/>
          <w:sz w:val="22"/>
          <w:szCs w:val="24"/>
          <w:lang w:eastAsia="es-ES_tradnl"/>
        </w:rPr>
      </w:pPr>
      <w:r w:rsidRPr="007C325C">
        <w:rPr>
          <w:rFonts w:ascii="Palatino Linotype" w:hAnsi="Palatino Linotype" w:eastAsia="Calibri" w:cs="Tahoma"/>
          <w:bCs/>
          <w:iCs/>
          <w:sz w:val="22"/>
          <w:szCs w:val="24"/>
          <w:lang w:eastAsia="es-ES_tradnl"/>
        </w:rPr>
        <w:t xml:space="preserve">Leyenda de instrucciones para la verificación del documento. </w:t>
      </w:r>
    </w:p>
    <w:p w:rsidRPr="007C325C" w:rsidR="00321C87" w:rsidP="00855D7E" w:rsidRDefault="00321C87" w14:paraId="72017D2B" w14:textId="77777777">
      <w:pPr>
        <w:tabs>
          <w:tab w:val="left" w:pos="4962"/>
        </w:tabs>
        <w:spacing w:line="360" w:lineRule="auto"/>
        <w:ind w:right="-28"/>
        <w:contextualSpacing/>
        <w:jc w:val="both"/>
        <w:rPr>
          <w:rFonts w:ascii="Palatino Linotype" w:hAnsi="Palatino Linotype" w:eastAsia="Calibri" w:cs="Tahoma"/>
          <w:bCs/>
          <w:iCs/>
          <w:sz w:val="22"/>
          <w:szCs w:val="24"/>
          <w:lang w:eastAsia="es-ES_tradnl"/>
        </w:rPr>
      </w:pPr>
    </w:p>
    <w:p w:rsidRPr="007C325C" w:rsidR="00321C87" w:rsidP="00855D7E" w:rsidRDefault="00321C87" w14:paraId="3E2BC1CC" w14:textId="77777777">
      <w:pPr>
        <w:tabs>
          <w:tab w:val="left" w:pos="4962"/>
        </w:tabs>
        <w:spacing w:line="360" w:lineRule="auto"/>
        <w:ind w:right="-28"/>
        <w:contextualSpacing/>
        <w:jc w:val="both"/>
        <w:rPr>
          <w:rFonts w:ascii="Palatino Linotype" w:hAnsi="Palatino Linotype" w:eastAsia="Calibri" w:cs="Tahoma"/>
          <w:bCs/>
          <w:iCs/>
          <w:sz w:val="22"/>
          <w:szCs w:val="24"/>
          <w:lang w:eastAsia="es-ES_tradnl"/>
        </w:rPr>
      </w:pPr>
      <w:r w:rsidRPr="007C325C">
        <w:rPr>
          <w:rFonts w:ascii="Palatino Linotype" w:hAnsi="Palatino Linotype" w:eastAsia="Calibri" w:cs="Tahoma"/>
          <w:bCs/>
          <w:iCs/>
          <w:sz w:val="22"/>
          <w:szCs w:val="24"/>
          <w:lang w:eastAsia="es-ES_tradnl"/>
        </w:rPr>
        <w:t xml:space="preserve">Como se advierte del análisis de los apartados d) elementos de registro, e) datos de la persona registrada y f) datos de filiación de la persona registrada, el Acta de Nacimiento, contiene la Clave Única de Registro de Población (CURP) de la persona registrada y de las personas que detenten la filiación, número de certificado que expide la Secretaría de Salud para acreditar el nacimiento de una persona, sexo, fecha de nacimiento, lugar de nacimiento, entre otros. </w:t>
      </w:r>
    </w:p>
    <w:p w:rsidRPr="007C325C" w:rsidR="00321C87" w:rsidP="00855D7E" w:rsidRDefault="00321C87" w14:paraId="2FB68D98" w14:textId="77777777">
      <w:pPr>
        <w:tabs>
          <w:tab w:val="left" w:pos="4962"/>
        </w:tabs>
        <w:spacing w:line="360" w:lineRule="auto"/>
        <w:ind w:right="-28"/>
        <w:contextualSpacing/>
        <w:jc w:val="both"/>
        <w:rPr>
          <w:rFonts w:ascii="Palatino Linotype" w:hAnsi="Palatino Linotype" w:eastAsia="Calibri" w:cs="Tahoma"/>
          <w:bCs/>
          <w:iCs/>
          <w:sz w:val="22"/>
          <w:szCs w:val="24"/>
          <w:lang w:eastAsia="es-ES_tradnl"/>
        </w:rPr>
      </w:pPr>
    </w:p>
    <w:p w:rsidRPr="007C325C" w:rsidR="00321C87" w:rsidP="00855D7E" w:rsidRDefault="00321C87" w14:paraId="0962DBEF" w14:textId="77777777">
      <w:pPr>
        <w:tabs>
          <w:tab w:val="left" w:pos="4962"/>
        </w:tabs>
        <w:spacing w:line="360" w:lineRule="auto"/>
        <w:ind w:right="-28"/>
        <w:contextualSpacing/>
        <w:jc w:val="both"/>
        <w:rPr>
          <w:rFonts w:ascii="Palatino Linotype" w:hAnsi="Palatino Linotype" w:cs="Tahoma" w:eastAsiaTheme="minorHAnsi"/>
          <w:color w:val="000000" w:themeColor="text1"/>
          <w:sz w:val="22"/>
          <w:szCs w:val="22"/>
          <w:lang w:eastAsia="en-US"/>
        </w:rPr>
      </w:pPr>
      <w:r w:rsidRPr="007C325C">
        <w:rPr>
          <w:rFonts w:ascii="Palatino Linotype" w:hAnsi="Palatino Linotype" w:cs="Tahoma" w:eastAsiaTheme="minorHAnsi"/>
          <w:color w:val="000000" w:themeColor="text1"/>
          <w:sz w:val="22"/>
          <w:szCs w:val="22"/>
          <w:lang w:eastAsia="en-US"/>
        </w:rPr>
        <w:t xml:space="preserve">Dada esta relevancia y que no guarda relación directa con el ejercicio de atribuciones de servidores públicos es que su contenido del Acta de Nacimiento debe ser analizado en su totalidad, además que parte los dato que integran hacen identificable a la persona sin tener que ver con el ejercicio de un cargo público. Pues como se señalado, el Acta de Nacimiento comprueba el estado civil de una persona por </w:t>
      </w:r>
      <w:r w:rsidRPr="007C325C">
        <w:rPr>
          <w:rFonts w:ascii="Palatino Linotype" w:hAnsi="Palatino Linotype" w:eastAsia="Calibri" w:cs="Tahoma"/>
          <w:bCs/>
          <w:sz w:val="22"/>
          <w:szCs w:val="22"/>
          <w:lang w:val="es-ES" w:eastAsia="en-US"/>
        </w:rPr>
        <w:t>lo que es un tema que tiene que ver con la vida privada, ya que, para acceder a un cargo público, el estado civil de las personas es irrelevante, ya que tener uno u otro no influye en el mejor o menor desempeño de un cargo público.</w:t>
      </w:r>
    </w:p>
    <w:p w:rsidRPr="007C325C" w:rsidR="00321C87" w:rsidP="00855D7E" w:rsidRDefault="00321C87" w14:paraId="309C1FE4" w14:textId="77777777">
      <w:pPr>
        <w:spacing w:line="360" w:lineRule="auto"/>
        <w:contextualSpacing/>
        <w:jc w:val="both"/>
        <w:rPr>
          <w:rFonts w:ascii="Palatino Linotype" w:hAnsi="Palatino Linotype" w:eastAsia="Calibri" w:cs="Tahoma"/>
          <w:bCs/>
          <w:sz w:val="22"/>
          <w:szCs w:val="22"/>
          <w:lang w:val="es-ES" w:eastAsia="en-US"/>
        </w:rPr>
      </w:pPr>
    </w:p>
    <w:p w:rsidRPr="007C325C" w:rsidR="00321C87" w:rsidP="00855D7E" w:rsidRDefault="00321C87" w14:paraId="70802CEA" w14:textId="77777777">
      <w:pPr>
        <w:spacing w:line="360" w:lineRule="auto"/>
        <w:contextualSpacing/>
        <w:jc w:val="both"/>
        <w:rPr>
          <w:rFonts w:ascii="Palatino Linotype" w:hAnsi="Palatino Linotype" w:eastAsia="Calibri" w:cs="Tahoma"/>
          <w:bCs/>
          <w:sz w:val="22"/>
          <w:szCs w:val="22"/>
          <w:lang w:val="es-ES" w:eastAsia="en-US"/>
        </w:rPr>
      </w:pPr>
      <w:r w:rsidRPr="007C325C">
        <w:rPr>
          <w:rFonts w:ascii="Palatino Linotype" w:hAnsi="Palatino Linotype" w:eastAsia="Calibri" w:cs="Tahoma"/>
          <w:bCs/>
          <w:sz w:val="22"/>
          <w:szCs w:val="22"/>
          <w:lang w:val="es-ES" w:eastAsia="en-US"/>
        </w:rPr>
        <w:lastRenderedPageBreak/>
        <w:t>De esta manera, se trata de un documento de naturaleza confidencial que tiene que ver únicamente con la vida privada de las personas, motivo por el cual se considera que actualiza la causal de clasificación establecida en el artículo 143, fracción I, de la Ley de Transparencia y Acceso a la Información Pública del Estado de México y Municipios.</w:t>
      </w:r>
    </w:p>
    <w:p w:rsidRPr="007C325C" w:rsidR="00321C87" w:rsidP="00855D7E" w:rsidRDefault="00321C87" w14:paraId="00480AF7" w14:textId="77777777">
      <w:pPr>
        <w:tabs>
          <w:tab w:val="left" w:pos="4962"/>
        </w:tabs>
        <w:spacing w:line="360" w:lineRule="auto"/>
        <w:ind w:right="-28"/>
        <w:contextualSpacing/>
        <w:jc w:val="both"/>
        <w:rPr>
          <w:rFonts w:ascii="Palatino Linotype" w:hAnsi="Palatino Linotype" w:eastAsia="Calibri" w:cs="Tahoma"/>
          <w:bCs/>
          <w:iCs/>
          <w:sz w:val="22"/>
          <w:szCs w:val="24"/>
          <w:lang w:eastAsia="es-ES_tradnl"/>
        </w:rPr>
      </w:pPr>
    </w:p>
    <w:p w:rsidRPr="007C325C" w:rsidR="00321C87" w:rsidP="00855D7E" w:rsidRDefault="00321C87" w14:paraId="66D9663E" w14:textId="77777777">
      <w:pPr>
        <w:widowControl w:val="0"/>
        <w:numPr>
          <w:ilvl w:val="0"/>
          <w:numId w:val="44"/>
        </w:numPr>
        <w:autoSpaceDE w:val="0"/>
        <w:autoSpaceDN w:val="0"/>
        <w:adjustRightInd w:val="0"/>
        <w:spacing w:after="160" w:line="360" w:lineRule="auto"/>
        <w:contextualSpacing/>
        <w:jc w:val="both"/>
        <w:rPr>
          <w:rFonts w:ascii="Palatino Linotype" w:hAnsi="Palatino Linotype" w:cs="Tahoma" w:eastAsiaTheme="minorHAnsi"/>
          <w:b/>
          <w:color w:val="000000" w:themeColor="text1"/>
          <w:sz w:val="22"/>
          <w:szCs w:val="24"/>
        </w:rPr>
      </w:pPr>
      <w:r w:rsidRPr="007C325C">
        <w:rPr>
          <w:rFonts w:ascii="Palatino Linotype" w:hAnsi="Palatino Linotype" w:eastAsia="Calibri" w:cs="Tahoma"/>
          <w:b/>
          <w:bCs/>
          <w:color w:val="000000" w:themeColor="text1"/>
          <w:sz w:val="22"/>
          <w:szCs w:val="24"/>
        </w:rPr>
        <w:t>Certificado de No Antecedentes Penales</w:t>
      </w:r>
    </w:p>
    <w:p w:rsidRPr="007C325C" w:rsidR="00321C87" w:rsidP="00855D7E" w:rsidRDefault="00321C87" w14:paraId="3D34416D" w14:textId="77777777">
      <w:pPr>
        <w:widowControl w:val="0"/>
        <w:autoSpaceDE w:val="0"/>
        <w:autoSpaceDN w:val="0"/>
        <w:adjustRightInd w:val="0"/>
        <w:spacing w:line="360" w:lineRule="auto"/>
        <w:contextualSpacing/>
        <w:jc w:val="both"/>
        <w:rPr>
          <w:rFonts w:ascii="Palatino Linotype" w:hAnsi="Palatino Linotype" w:cs="Tahoma" w:eastAsiaTheme="minorHAnsi"/>
          <w:b/>
          <w:color w:val="000000" w:themeColor="text1"/>
          <w:sz w:val="22"/>
          <w:szCs w:val="22"/>
          <w:lang w:eastAsia="en-US"/>
        </w:rPr>
      </w:pPr>
    </w:p>
    <w:p w:rsidRPr="007C325C" w:rsidR="00321C87" w:rsidP="00855D7E" w:rsidRDefault="00321C87" w14:paraId="18BEBFDA" w14:textId="77777777">
      <w:pPr>
        <w:widowControl w:val="0"/>
        <w:autoSpaceDE w:val="0"/>
        <w:autoSpaceDN w:val="0"/>
        <w:adjustRightInd w:val="0"/>
        <w:spacing w:line="360" w:lineRule="auto"/>
        <w:contextualSpacing/>
        <w:jc w:val="both"/>
        <w:rPr>
          <w:rFonts w:ascii="Palatino Linotype" w:hAnsi="Palatino Linotype" w:cs="Tahoma" w:eastAsiaTheme="minorHAnsi"/>
          <w:color w:val="000000" w:themeColor="text1"/>
          <w:sz w:val="22"/>
          <w:szCs w:val="22"/>
          <w:lang w:eastAsia="en-US"/>
        </w:rPr>
      </w:pPr>
      <w:r w:rsidRPr="007C325C">
        <w:rPr>
          <w:rFonts w:ascii="Palatino Linotype" w:hAnsi="Palatino Linotype" w:cs="Tahoma" w:eastAsiaTheme="minorHAnsi"/>
          <w:color w:val="000000" w:themeColor="text1"/>
          <w:sz w:val="22"/>
          <w:szCs w:val="22"/>
          <w:lang w:eastAsia="en-US"/>
        </w:rPr>
        <w:t xml:space="preserve">El Certificado de No Antecedentes Penales, es un documento que emite el Instituto de Servicios Periciales de la Fiscalía General de Justicia del Estado de México en los casos en que las leyes lo exijan como forma para acreditar requisitos para el desempeño de empleos, cargos o comisiones en el servicio público, en instituciones de seguridad u otros que las propias leyes establezcan o bien, cuando sea requerido de manera fundada y motivada por autoridades competentes. </w:t>
      </w:r>
    </w:p>
    <w:p w:rsidRPr="007C325C" w:rsidR="00321C87" w:rsidP="00855D7E" w:rsidRDefault="00321C87" w14:paraId="68D2CC15" w14:textId="77777777">
      <w:pPr>
        <w:widowControl w:val="0"/>
        <w:autoSpaceDE w:val="0"/>
        <w:autoSpaceDN w:val="0"/>
        <w:adjustRightInd w:val="0"/>
        <w:spacing w:line="360" w:lineRule="auto"/>
        <w:contextualSpacing/>
        <w:jc w:val="both"/>
        <w:rPr>
          <w:rFonts w:ascii="Palatino Linotype" w:hAnsi="Palatino Linotype" w:cs="Tahoma" w:eastAsiaTheme="minorHAnsi"/>
          <w:color w:val="000000" w:themeColor="text1"/>
          <w:sz w:val="22"/>
          <w:szCs w:val="22"/>
          <w:lang w:eastAsia="en-US"/>
        </w:rPr>
      </w:pPr>
    </w:p>
    <w:p w:rsidRPr="007C325C" w:rsidR="00321C87" w:rsidP="00855D7E" w:rsidRDefault="00321C87" w14:paraId="79EC432D" w14:textId="77777777">
      <w:pPr>
        <w:widowControl w:val="0"/>
        <w:autoSpaceDE w:val="0"/>
        <w:autoSpaceDN w:val="0"/>
        <w:adjustRightInd w:val="0"/>
        <w:spacing w:line="360" w:lineRule="auto"/>
        <w:contextualSpacing/>
        <w:jc w:val="both"/>
        <w:rPr>
          <w:rFonts w:ascii="Palatino Linotype" w:hAnsi="Palatino Linotype" w:cs="Tahoma" w:eastAsiaTheme="minorHAnsi"/>
          <w:color w:val="000000" w:themeColor="text1"/>
          <w:sz w:val="22"/>
          <w:szCs w:val="22"/>
          <w:lang w:eastAsia="en-US"/>
        </w:rPr>
      </w:pPr>
      <w:r w:rsidRPr="007C325C">
        <w:rPr>
          <w:rFonts w:ascii="Palatino Linotype" w:hAnsi="Palatino Linotype" w:cs="Tahoma" w:eastAsiaTheme="minorHAnsi"/>
          <w:color w:val="000000" w:themeColor="text1"/>
          <w:sz w:val="22"/>
          <w:szCs w:val="22"/>
          <w:lang w:eastAsia="en-US"/>
        </w:rPr>
        <w:t xml:space="preserve">La expedición del Certificado o informe permite acreditar si una persona ha sido o no condenada por sentencia firme dictada por los órganos jurisdiccionales competentes, es decir, certifica que una persona no cuenta con antecedentes o procesos penales pendientes. </w:t>
      </w:r>
    </w:p>
    <w:p w:rsidRPr="007C325C" w:rsidR="00321C87" w:rsidP="00855D7E" w:rsidRDefault="00321C87" w14:paraId="77DA17B8" w14:textId="77777777">
      <w:pPr>
        <w:widowControl w:val="0"/>
        <w:autoSpaceDE w:val="0"/>
        <w:autoSpaceDN w:val="0"/>
        <w:adjustRightInd w:val="0"/>
        <w:spacing w:line="360" w:lineRule="auto"/>
        <w:contextualSpacing/>
        <w:jc w:val="both"/>
        <w:rPr>
          <w:rFonts w:ascii="Palatino Linotype" w:hAnsi="Palatino Linotype" w:cs="Tahoma" w:eastAsiaTheme="minorHAnsi"/>
          <w:color w:val="000000" w:themeColor="text1"/>
          <w:sz w:val="22"/>
          <w:szCs w:val="22"/>
          <w:lang w:eastAsia="en-US"/>
        </w:rPr>
      </w:pPr>
    </w:p>
    <w:p w:rsidRPr="007C325C" w:rsidR="00321C87" w:rsidP="00855D7E" w:rsidRDefault="00321C87" w14:paraId="04CCF026" w14:textId="77777777">
      <w:pPr>
        <w:widowControl w:val="0"/>
        <w:autoSpaceDE w:val="0"/>
        <w:autoSpaceDN w:val="0"/>
        <w:adjustRightInd w:val="0"/>
        <w:spacing w:line="360" w:lineRule="auto"/>
        <w:contextualSpacing/>
        <w:jc w:val="both"/>
        <w:rPr>
          <w:rFonts w:ascii="Palatino Linotype" w:hAnsi="Palatino Linotype" w:cs="Tahoma" w:eastAsiaTheme="minorHAnsi"/>
          <w:color w:val="000000" w:themeColor="text1"/>
          <w:sz w:val="22"/>
          <w:szCs w:val="22"/>
          <w:lang w:eastAsia="en-US"/>
        </w:rPr>
      </w:pPr>
      <w:r w:rsidRPr="007C325C">
        <w:rPr>
          <w:rFonts w:ascii="Palatino Linotype" w:hAnsi="Palatino Linotype" w:cs="Tahoma" w:eastAsiaTheme="minorHAnsi"/>
          <w:color w:val="000000" w:themeColor="text1"/>
          <w:sz w:val="22"/>
          <w:szCs w:val="22"/>
          <w:lang w:eastAsia="en-US"/>
        </w:rPr>
        <w:t xml:space="preserve">Ahora bien, de acuerdo con el artículo 47 de la Ley del Trabajo de los Servidores Públicos del Estado de México, fracciones III y X, para ingresar al servicio público se requiere estar en pleno ejercicio de derechos civiles y políticos y no encontrarse inhabilitado para el desempeño de servicio público, asimismo, el artículo 5.4, fracciones IV y V, establecen que es requisito indispensable para ingresar al servicio público, gozar plenamente de los derechos civiles y políticos y presentar Certificado de No Antecedentes Penales. </w:t>
      </w:r>
    </w:p>
    <w:p w:rsidRPr="007C325C" w:rsidR="00321C87" w:rsidP="00855D7E" w:rsidRDefault="00321C87" w14:paraId="4525907C" w14:textId="77777777">
      <w:pPr>
        <w:widowControl w:val="0"/>
        <w:autoSpaceDE w:val="0"/>
        <w:autoSpaceDN w:val="0"/>
        <w:adjustRightInd w:val="0"/>
        <w:spacing w:line="360" w:lineRule="auto"/>
        <w:contextualSpacing/>
        <w:jc w:val="both"/>
        <w:rPr>
          <w:rFonts w:ascii="Palatino Linotype" w:hAnsi="Palatino Linotype" w:cs="Tahoma" w:eastAsiaTheme="minorHAnsi"/>
          <w:color w:val="000000" w:themeColor="text1"/>
          <w:sz w:val="22"/>
          <w:szCs w:val="22"/>
          <w:lang w:eastAsia="en-US"/>
        </w:rPr>
      </w:pPr>
    </w:p>
    <w:p w:rsidRPr="007C325C" w:rsidR="00321C87" w:rsidP="00855D7E" w:rsidRDefault="00321C87" w14:paraId="4D24C51B" w14:textId="77777777">
      <w:pPr>
        <w:widowControl w:val="0"/>
        <w:autoSpaceDE w:val="0"/>
        <w:autoSpaceDN w:val="0"/>
        <w:adjustRightInd w:val="0"/>
        <w:spacing w:line="360" w:lineRule="auto"/>
        <w:contextualSpacing/>
        <w:jc w:val="both"/>
        <w:rPr>
          <w:rFonts w:ascii="Palatino Linotype" w:hAnsi="Palatino Linotype" w:cs="Arial" w:eastAsiaTheme="minorHAnsi"/>
          <w:color w:val="000000" w:themeColor="text1"/>
          <w:sz w:val="22"/>
          <w:szCs w:val="22"/>
          <w:lang w:eastAsia="en-US"/>
        </w:rPr>
      </w:pPr>
      <w:r w:rsidRPr="007C325C">
        <w:rPr>
          <w:rFonts w:ascii="Palatino Linotype" w:hAnsi="Palatino Linotype" w:cs="Tahoma" w:eastAsiaTheme="minorHAnsi"/>
          <w:color w:val="000000" w:themeColor="text1"/>
          <w:sz w:val="22"/>
          <w:szCs w:val="22"/>
          <w:lang w:eastAsia="en-US"/>
        </w:rPr>
        <w:t xml:space="preserve">En ese sentido, este documento se constituye de diversos datos personales como: nombre, </w:t>
      </w:r>
      <w:r w:rsidRPr="007C325C">
        <w:rPr>
          <w:rFonts w:ascii="Palatino Linotype" w:hAnsi="Palatino Linotype" w:cs="Tahoma" w:eastAsiaTheme="minorHAnsi"/>
          <w:color w:val="000000" w:themeColor="text1"/>
          <w:sz w:val="22"/>
          <w:szCs w:val="22"/>
          <w:lang w:eastAsia="en-US"/>
        </w:rPr>
        <w:lastRenderedPageBreak/>
        <w:t xml:space="preserve">fecha de nacimiento, Clave Única de Registro de Población, domicilio particular, entre otros, </w:t>
      </w:r>
      <w:r w:rsidRPr="007C325C">
        <w:rPr>
          <w:rFonts w:ascii="Palatino Linotype" w:hAnsi="Palatino Linotype" w:cs="Arial" w:eastAsiaTheme="minorHAnsi"/>
          <w:color w:val="000000" w:themeColor="text1"/>
          <w:sz w:val="22"/>
          <w:szCs w:val="22"/>
          <w:lang w:eastAsia="en-US"/>
        </w:rPr>
        <w:t xml:space="preserve">que atañen únicamente a la esfera privada del servidor público, sin embargo, también constituye un requisito indispensable de ingreso al servicio público municipal, por lo que, guarda relación directa con la contratación del servidor público y con el ejercicio de sus atribuciones. </w:t>
      </w:r>
    </w:p>
    <w:p w:rsidRPr="007C325C" w:rsidR="00321C87" w:rsidP="00855D7E" w:rsidRDefault="00321C87" w14:paraId="16AA7168" w14:textId="77777777">
      <w:pPr>
        <w:spacing w:line="360" w:lineRule="auto"/>
        <w:contextualSpacing/>
        <w:jc w:val="both"/>
        <w:rPr>
          <w:rFonts w:ascii="Palatino Linotype" w:hAnsi="Palatino Linotype" w:cs="Arial"/>
          <w:color w:val="000000" w:themeColor="text1"/>
          <w:sz w:val="22"/>
          <w:szCs w:val="24"/>
        </w:rPr>
      </w:pPr>
    </w:p>
    <w:p w:rsidRPr="007C325C" w:rsidR="00321C87" w:rsidP="00855D7E" w:rsidRDefault="00321C87" w14:paraId="23CD5908" w14:textId="77777777">
      <w:pPr>
        <w:spacing w:line="360" w:lineRule="auto"/>
        <w:contextualSpacing/>
        <w:jc w:val="both"/>
        <w:rPr>
          <w:rFonts w:ascii="Palatino Linotype" w:hAnsi="Palatino Linotype" w:eastAsia="Calibri" w:cs="Tahoma"/>
          <w:bCs/>
          <w:color w:val="000000" w:themeColor="text1"/>
          <w:sz w:val="22"/>
          <w:szCs w:val="22"/>
          <w:lang w:eastAsia="en-US"/>
        </w:rPr>
      </w:pPr>
      <w:r w:rsidRPr="007C325C">
        <w:rPr>
          <w:rFonts w:ascii="Palatino Linotype" w:hAnsi="Palatino Linotype" w:eastAsia="Calibri" w:cs="Tahoma"/>
          <w:bCs/>
          <w:color w:val="000000" w:themeColor="text1"/>
          <w:sz w:val="22"/>
          <w:szCs w:val="22"/>
          <w:lang w:eastAsia="en-US"/>
        </w:rPr>
        <w:t xml:space="preserve">De esta manera, se trata de un documento de interés público, que contiene datos que actualizan la causal de clasificación establecida en el artículo 143, fracción I, de la Ley de Transparencia y Acceso a la Información Pública del Estado de México y Municipios, por lo tanto, debe proporcionarse en versión pública. </w:t>
      </w:r>
    </w:p>
    <w:p w:rsidRPr="007C325C" w:rsidR="00321C87" w:rsidP="00855D7E" w:rsidRDefault="00321C87" w14:paraId="17DD4EDE" w14:textId="77777777">
      <w:pPr>
        <w:spacing w:line="360" w:lineRule="auto"/>
        <w:contextualSpacing/>
        <w:jc w:val="both"/>
        <w:rPr>
          <w:rFonts w:ascii="Palatino Linotype" w:hAnsi="Palatino Linotype" w:eastAsia="Calibri" w:cs="Tahoma"/>
          <w:bCs/>
          <w:color w:val="000000" w:themeColor="text1"/>
          <w:sz w:val="22"/>
          <w:szCs w:val="22"/>
          <w:lang w:eastAsia="en-US"/>
        </w:rPr>
      </w:pPr>
    </w:p>
    <w:p w:rsidRPr="007C325C" w:rsidR="00321C87" w:rsidP="00855D7E" w:rsidRDefault="00321C87" w14:paraId="20274EA7" w14:textId="77777777">
      <w:pPr>
        <w:numPr>
          <w:ilvl w:val="0"/>
          <w:numId w:val="41"/>
        </w:numPr>
        <w:tabs>
          <w:tab w:val="left" w:pos="4962"/>
        </w:tabs>
        <w:spacing w:after="160" w:line="360" w:lineRule="auto"/>
        <w:ind w:right="-28"/>
        <w:contextualSpacing/>
        <w:jc w:val="both"/>
        <w:rPr>
          <w:rFonts w:ascii="Palatino Linotype" w:hAnsi="Palatino Linotype" w:eastAsia="Calibri" w:cs="Tahoma"/>
          <w:b/>
          <w:iCs/>
          <w:sz w:val="22"/>
          <w:szCs w:val="24"/>
          <w:lang w:eastAsia="es-ES_tradnl"/>
        </w:rPr>
      </w:pPr>
      <w:r w:rsidRPr="007C325C">
        <w:rPr>
          <w:rFonts w:ascii="Palatino Linotype" w:hAnsi="Palatino Linotype" w:eastAsia="Calibri" w:cs="Tahoma"/>
          <w:b/>
          <w:iCs/>
          <w:sz w:val="22"/>
          <w:szCs w:val="24"/>
          <w:lang w:eastAsia="es-ES_tradnl"/>
        </w:rPr>
        <w:t>Credencial para Votar.</w:t>
      </w:r>
    </w:p>
    <w:p w:rsidRPr="007C325C" w:rsidR="00321C87" w:rsidP="00855D7E" w:rsidRDefault="00321C87" w14:paraId="1F011265" w14:textId="77777777">
      <w:pPr>
        <w:tabs>
          <w:tab w:val="left" w:pos="4962"/>
        </w:tabs>
        <w:spacing w:line="360" w:lineRule="auto"/>
        <w:ind w:right="-28"/>
        <w:contextualSpacing/>
        <w:jc w:val="both"/>
        <w:rPr>
          <w:rFonts w:ascii="Palatino Linotype" w:hAnsi="Palatino Linotype" w:eastAsia="Calibri" w:cs="Tahoma"/>
          <w:b/>
          <w:iCs/>
          <w:sz w:val="22"/>
          <w:szCs w:val="22"/>
          <w:lang w:eastAsia="es-ES_tradnl"/>
        </w:rPr>
      </w:pPr>
    </w:p>
    <w:p w:rsidRPr="007C325C" w:rsidR="00321C87" w:rsidP="00855D7E" w:rsidRDefault="00321C87" w14:paraId="072B693D" w14:textId="77777777">
      <w:pPr>
        <w:spacing w:line="360" w:lineRule="auto"/>
        <w:contextualSpacing/>
        <w:jc w:val="both"/>
        <w:rPr>
          <w:rFonts w:ascii="Palatino Linotype" w:hAnsi="Palatino Linotype" w:cs="Tahoma" w:eastAsiaTheme="minorHAnsi"/>
          <w:color w:val="000000" w:themeColor="text1"/>
          <w:sz w:val="22"/>
          <w:szCs w:val="22"/>
          <w:lang w:eastAsia="es-MX"/>
        </w:rPr>
      </w:pPr>
      <w:r w:rsidRPr="007C325C">
        <w:rPr>
          <w:rFonts w:ascii="Palatino Linotype" w:hAnsi="Palatino Linotype" w:cs="Tahoma" w:eastAsiaTheme="minorHAnsi"/>
          <w:color w:val="000000" w:themeColor="text1"/>
          <w:sz w:val="22"/>
          <w:szCs w:val="22"/>
          <w:lang w:eastAsia="es-MX"/>
        </w:rPr>
        <w:t>Sobre este documento, se debe señalar que la responsabilidad de formar el Padrón Electoral y expedir la credencial de elector, corresponde a la Dirección Ejecutiva del Registro Federal de Electores del Instituto Nacional Electoral, de conformidad con lo establecido en el artículo 54, apartado 1, incisos b) y c) de la Ley General de Instituciones y Procedimientos Electorales.</w:t>
      </w:r>
    </w:p>
    <w:p w:rsidRPr="007C325C" w:rsidR="00321C87" w:rsidP="00855D7E" w:rsidRDefault="00321C87" w14:paraId="2770F3A5" w14:textId="77777777">
      <w:pPr>
        <w:spacing w:line="360" w:lineRule="auto"/>
        <w:contextualSpacing/>
        <w:jc w:val="both"/>
        <w:rPr>
          <w:rFonts w:ascii="Palatino Linotype" w:hAnsi="Palatino Linotype" w:cs="Tahoma" w:eastAsiaTheme="minorHAnsi"/>
          <w:color w:val="000000" w:themeColor="text1"/>
          <w:sz w:val="22"/>
          <w:szCs w:val="22"/>
          <w:lang w:eastAsia="es-MX"/>
        </w:rPr>
      </w:pPr>
    </w:p>
    <w:p w:rsidRPr="007C325C" w:rsidR="00321C87" w:rsidP="00855D7E" w:rsidRDefault="00321C87" w14:paraId="333FDA68" w14:textId="77777777">
      <w:pPr>
        <w:spacing w:line="360" w:lineRule="auto"/>
        <w:contextualSpacing/>
        <w:jc w:val="both"/>
        <w:rPr>
          <w:rFonts w:ascii="Palatino Linotype" w:hAnsi="Palatino Linotype" w:cs="Tahoma" w:eastAsiaTheme="minorHAnsi"/>
          <w:b/>
          <w:bCs/>
          <w:color w:val="000000"/>
          <w:sz w:val="22"/>
          <w:szCs w:val="22"/>
          <w:lang w:eastAsia="es-MX"/>
        </w:rPr>
      </w:pPr>
      <w:r w:rsidRPr="007C325C">
        <w:rPr>
          <w:rFonts w:ascii="Palatino Linotype" w:hAnsi="Palatino Linotype" w:cs="Tahoma" w:eastAsiaTheme="minorHAnsi"/>
          <w:color w:val="000000" w:themeColor="text1"/>
          <w:sz w:val="22"/>
          <w:szCs w:val="22"/>
          <w:lang w:eastAsia="es-MX"/>
        </w:rPr>
        <w:t>De manera particular el artículo 156, de la Ley General de Instituciones y Procedimientos Electorales dispone que la credencial para votar deberá contener, cuando menos, los siguientes datos:</w:t>
      </w:r>
    </w:p>
    <w:p w:rsidRPr="007C325C" w:rsidR="00321C87" w:rsidP="00855D7E" w:rsidRDefault="00321C87" w14:paraId="33AA9CFA" w14:textId="77777777">
      <w:pPr>
        <w:autoSpaceDE w:val="0"/>
        <w:autoSpaceDN w:val="0"/>
        <w:adjustRightInd w:val="0"/>
        <w:spacing w:line="360" w:lineRule="auto"/>
        <w:ind w:left="567" w:right="567"/>
        <w:contextualSpacing/>
        <w:jc w:val="both"/>
        <w:rPr>
          <w:rFonts w:ascii="Palatino Linotype" w:hAnsi="Palatino Linotype" w:cs="Tahoma" w:eastAsiaTheme="minorHAnsi"/>
          <w:color w:val="000000"/>
          <w:sz w:val="22"/>
          <w:szCs w:val="22"/>
          <w:lang w:eastAsia="es-MX"/>
        </w:rPr>
      </w:pPr>
    </w:p>
    <w:p w:rsidRPr="007C325C" w:rsidR="00321C87" w:rsidP="00855D7E" w:rsidRDefault="00321C87" w14:paraId="3354EA74" w14:textId="77777777">
      <w:pPr>
        <w:autoSpaceDE w:val="0"/>
        <w:autoSpaceDN w:val="0"/>
        <w:adjustRightInd w:val="0"/>
        <w:spacing w:line="360" w:lineRule="auto"/>
        <w:ind w:left="567" w:right="567"/>
        <w:contextualSpacing/>
        <w:jc w:val="both"/>
        <w:rPr>
          <w:rFonts w:ascii="Palatino Linotype" w:hAnsi="Palatino Linotype" w:cs="Tahoma" w:eastAsiaTheme="minorHAnsi"/>
          <w:i/>
          <w:iCs/>
          <w:color w:val="000000"/>
          <w:lang w:eastAsia="es-MX"/>
        </w:rPr>
      </w:pPr>
      <w:r w:rsidRPr="007C325C">
        <w:rPr>
          <w:rFonts w:ascii="Palatino Linotype" w:hAnsi="Palatino Linotype" w:cs="Tahoma" w:eastAsiaTheme="minorHAnsi"/>
          <w:i/>
          <w:iCs/>
          <w:color w:val="000000"/>
          <w:lang w:eastAsia="es-MX"/>
        </w:rPr>
        <w:t>“…</w:t>
      </w:r>
    </w:p>
    <w:p w:rsidRPr="007C325C" w:rsidR="00321C87" w:rsidP="00855D7E" w:rsidRDefault="00321C87" w14:paraId="5BB3307E" w14:textId="77777777">
      <w:pPr>
        <w:autoSpaceDE w:val="0"/>
        <w:autoSpaceDN w:val="0"/>
        <w:adjustRightInd w:val="0"/>
        <w:spacing w:line="360" w:lineRule="auto"/>
        <w:ind w:left="567" w:right="567"/>
        <w:contextualSpacing/>
        <w:jc w:val="both"/>
        <w:rPr>
          <w:rFonts w:ascii="Palatino Linotype" w:hAnsi="Palatino Linotype" w:cs="Tahoma" w:eastAsiaTheme="minorHAnsi"/>
          <w:i/>
          <w:iCs/>
          <w:color w:val="000000"/>
          <w:lang w:eastAsia="es-MX"/>
        </w:rPr>
      </w:pPr>
      <w:r w:rsidRPr="007C325C">
        <w:rPr>
          <w:rFonts w:ascii="Palatino Linotype" w:hAnsi="Palatino Linotype" w:cs="Tahoma" w:eastAsiaTheme="minorHAnsi"/>
          <w:b/>
          <w:bCs/>
          <w:i/>
          <w:iCs/>
          <w:color w:val="000000"/>
          <w:lang w:eastAsia="es-MX"/>
        </w:rPr>
        <w:t xml:space="preserve">a) </w:t>
      </w:r>
      <w:r w:rsidRPr="007C325C">
        <w:rPr>
          <w:rFonts w:ascii="Palatino Linotype" w:hAnsi="Palatino Linotype" w:cs="Tahoma" w:eastAsiaTheme="minorHAnsi"/>
          <w:i/>
          <w:iCs/>
          <w:color w:val="000000"/>
          <w:lang w:eastAsia="es-MX"/>
        </w:rPr>
        <w:t xml:space="preserve">Entidad federativa, municipio y localidad que corresponden al domicilio. En caso de los ciudadanos residentes en el extranjero, el país en el que residen y la entidad federativa de su lugar de nacimiento. Aquellos que nacieron en el extranjero y nunca han vivido en territorio nacional, </w:t>
      </w:r>
      <w:r w:rsidRPr="007C325C">
        <w:rPr>
          <w:rFonts w:ascii="Palatino Linotype" w:hAnsi="Palatino Linotype" w:cs="Tahoma" w:eastAsiaTheme="minorHAnsi"/>
          <w:i/>
          <w:iCs/>
          <w:color w:val="000000"/>
          <w:lang w:eastAsia="es-MX"/>
        </w:rPr>
        <w:lastRenderedPageBreak/>
        <w:t xml:space="preserve">deberán acreditar la entidad federativa de nacimiento del progenitor mexicano. Cuando ambos progenitores sean mexicanos, señalará la de su elección, en definitiva; </w:t>
      </w:r>
    </w:p>
    <w:p w:rsidRPr="007C325C" w:rsidR="00321C87" w:rsidP="00855D7E" w:rsidRDefault="00321C87" w14:paraId="04582F23" w14:textId="77777777">
      <w:pPr>
        <w:autoSpaceDE w:val="0"/>
        <w:autoSpaceDN w:val="0"/>
        <w:adjustRightInd w:val="0"/>
        <w:spacing w:line="360" w:lineRule="auto"/>
        <w:ind w:left="567" w:right="567"/>
        <w:contextualSpacing/>
        <w:jc w:val="both"/>
        <w:rPr>
          <w:rFonts w:ascii="Palatino Linotype" w:hAnsi="Palatino Linotype" w:cs="Tahoma" w:eastAsiaTheme="minorHAnsi"/>
          <w:i/>
          <w:iCs/>
          <w:color w:val="000000"/>
          <w:lang w:eastAsia="es-MX"/>
        </w:rPr>
      </w:pPr>
      <w:r w:rsidRPr="007C325C">
        <w:rPr>
          <w:rFonts w:ascii="Palatino Linotype" w:hAnsi="Palatino Linotype" w:cs="Tahoma" w:eastAsiaTheme="minorHAnsi"/>
          <w:b/>
          <w:bCs/>
          <w:i/>
          <w:iCs/>
          <w:color w:val="000000"/>
          <w:lang w:eastAsia="es-MX"/>
        </w:rPr>
        <w:t xml:space="preserve">b) </w:t>
      </w:r>
      <w:r w:rsidRPr="007C325C">
        <w:rPr>
          <w:rFonts w:ascii="Palatino Linotype" w:hAnsi="Palatino Linotype" w:cs="Tahoma" w:eastAsiaTheme="minorHAnsi"/>
          <w:i/>
          <w:iCs/>
          <w:color w:val="000000"/>
          <w:lang w:eastAsia="es-MX"/>
        </w:rPr>
        <w:t xml:space="preserve">Sección electoral en donde deberá votar el ciudadano. En el caso de los ciudadanos residentes en el extranjero no será necesario incluir este requisito; </w:t>
      </w:r>
    </w:p>
    <w:p w:rsidRPr="007C325C" w:rsidR="00321C87" w:rsidP="00855D7E" w:rsidRDefault="00321C87" w14:paraId="461511A1" w14:textId="77777777">
      <w:pPr>
        <w:autoSpaceDE w:val="0"/>
        <w:autoSpaceDN w:val="0"/>
        <w:adjustRightInd w:val="0"/>
        <w:spacing w:line="360" w:lineRule="auto"/>
        <w:ind w:left="567" w:right="567"/>
        <w:contextualSpacing/>
        <w:jc w:val="both"/>
        <w:rPr>
          <w:rFonts w:ascii="Palatino Linotype" w:hAnsi="Palatino Linotype" w:cs="Tahoma" w:eastAsiaTheme="minorHAnsi"/>
          <w:i/>
          <w:iCs/>
          <w:color w:val="000000"/>
          <w:lang w:eastAsia="es-MX"/>
        </w:rPr>
      </w:pPr>
      <w:r w:rsidRPr="007C325C">
        <w:rPr>
          <w:rFonts w:ascii="Palatino Linotype" w:hAnsi="Palatino Linotype" w:cs="Tahoma" w:eastAsiaTheme="minorHAnsi"/>
          <w:b/>
          <w:bCs/>
          <w:i/>
          <w:iCs/>
          <w:color w:val="000000"/>
          <w:lang w:eastAsia="es-MX"/>
        </w:rPr>
        <w:t xml:space="preserve">c) </w:t>
      </w:r>
      <w:r w:rsidRPr="007C325C">
        <w:rPr>
          <w:rFonts w:ascii="Palatino Linotype" w:hAnsi="Palatino Linotype" w:cs="Tahoma" w:eastAsiaTheme="minorHAnsi"/>
          <w:i/>
          <w:iCs/>
          <w:color w:val="000000"/>
          <w:lang w:eastAsia="es-MX"/>
        </w:rPr>
        <w:t xml:space="preserve">Apellido paterno, apellido materno y nombre completo; </w:t>
      </w:r>
    </w:p>
    <w:p w:rsidRPr="007C325C" w:rsidR="00321C87" w:rsidP="00855D7E" w:rsidRDefault="00321C87" w14:paraId="31522501" w14:textId="77777777">
      <w:pPr>
        <w:autoSpaceDE w:val="0"/>
        <w:autoSpaceDN w:val="0"/>
        <w:adjustRightInd w:val="0"/>
        <w:spacing w:line="360" w:lineRule="auto"/>
        <w:ind w:left="567" w:right="567"/>
        <w:contextualSpacing/>
        <w:jc w:val="both"/>
        <w:rPr>
          <w:rFonts w:ascii="Palatino Linotype" w:hAnsi="Palatino Linotype" w:cs="Tahoma" w:eastAsiaTheme="minorHAnsi"/>
          <w:i/>
          <w:iCs/>
          <w:color w:val="000000"/>
          <w:lang w:eastAsia="es-MX"/>
        </w:rPr>
      </w:pPr>
      <w:r w:rsidRPr="007C325C">
        <w:rPr>
          <w:rFonts w:ascii="Palatino Linotype" w:hAnsi="Palatino Linotype" w:cs="Tahoma" w:eastAsiaTheme="minorHAnsi"/>
          <w:b/>
          <w:bCs/>
          <w:i/>
          <w:iCs/>
          <w:color w:val="000000"/>
          <w:lang w:eastAsia="es-MX"/>
        </w:rPr>
        <w:t xml:space="preserve">d) </w:t>
      </w:r>
      <w:r w:rsidRPr="007C325C">
        <w:rPr>
          <w:rFonts w:ascii="Palatino Linotype" w:hAnsi="Palatino Linotype" w:cs="Tahoma" w:eastAsiaTheme="minorHAnsi"/>
          <w:i/>
          <w:iCs/>
          <w:color w:val="000000"/>
          <w:lang w:eastAsia="es-MX"/>
        </w:rPr>
        <w:t xml:space="preserve">Domicilio; </w:t>
      </w:r>
    </w:p>
    <w:p w:rsidRPr="007C325C" w:rsidR="00321C87" w:rsidP="00855D7E" w:rsidRDefault="00321C87" w14:paraId="37627733" w14:textId="77777777">
      <w:pPr>
        <w:autoSpaceDE w:val="0"/>
        <w:autoSpaceDN w:val="0"/>
        <w:adjustRightInd w:val="0"/>
        <w:spacing w:line="360" w:lineRule="auto"/>
        <w:ind w:left="567" w:right="567"/>
        <w:contextualSpacing/>
        <w:jc w:val="both"/>
        <w:rPr>
          <w:rFonts w:ascii="Palatino Linotype" w:hAnsi="Palatino Linotype" w:cs="Tahoma" w:eastAsiaTheme="minorHAnsi"/>
          <w:i/>
          <w:iCs/>
          <w:color w:val="000000"/>
          <w:lang w:eastAsia="es-MX"/>
        </w:rPr>
      </w:pPr>
      <w:r w:rsidRPr="007C325C">
        <w:rPr>
          <w:rFonts w:ascii="Palatino Linotype" w:hAnsi="Palatino Linotype" w:cs="Tahoma" w:eastAsiaTheme="minorHAnsi"/>
          <w:b/>
          <w:bCs/>
          <w:i/>
          <w:iCs/>
          <w:color w:val="000000"/>
          <w:lang w:eastAsia="es-MX"/>
        </w:rPr>
        <w:t xml:space="preserve">e) </w:t>
      </w:r>
      <w:r w:rsidRPr="007C325C">
        <w:rPr>
          <w:rFonts w:ascii="Palatino Linotype" w:hAnsi="Palatino Linotype" w:cs="Tahoma" w:eastAsiaTheme="minorHAnsi"/>
          <w:i/>
          <w:iCs/>
          <w:color w:val="000000"/>
          <w:lang w:eastAsia="es-MX"/>
        </w:rPr>
        <w:t xml:space="preserve">Sexo; </w:t>
      </w:r>
    </w:p>
    <w:p w:rsidRPr="007C325C" w:rsidR="00321C87" w:rsidP="00855D7E" w:rsidRDefault="00321C87" w14:paraId="57839F37" w14:textId="77777777">
      <w:pPr>
        <w:spacing w:line="360" w:lineRule="auto"/>
        <w:ind w:left="567" w:right="567"/>
        <w:contextualSpacing/>
        <w:jc w:val="both"/>
        <w:rPr>
          <w:rFonts w:ascii="Palatino Linotype" w:hAnsi="Palatino Linotype" w:cs="Tahoma" w:eastAsiaTheme="minorHAnsi"/>
          <w:i/>
          <w:iCs/>
          <w:color w:val="000000" w:themeColor="text1"/>
          <w:lang w:eastAsia="es-MX"/>
        </w:rPr>
      </w:pPr>
      <w:r w:rsidRPr="007C325C">
        <w:rPr>
          <w:rFonts w:ascii="Palatino Linotype" w:hAnsi="Palatino Linotype" w:cs="Tahoma" w:eastAsiaTheme="minorHAnsi"/>
          <w:b/>
          <w:bCs/>
          <w:i/>
          <w:iCs/>
          <w:color w:val="000000"/>
          <w:lang w:eastAsia="es-MX"/>
        </w:rPr>
        <w:t xml:space="preserve">f) </w:t>
      </w:r>
      <w:r w:rsidRPr="007C325C">
        <w:rPr>
          <w:rFonts w:ascii="Palatino Linotype" w:hAnsi="Palatino Linotype" w:cs="Tahoma" w:eastAsiaTheme="minorHAnsi"/>
          <w:i/>
          <w:iCs/>
          <w:color w:val="000000"/>
          <w:lang w:eastAsia="es-MX"/>
        </w:rPr>
        <w:t>Edad y año de registro;</w:t>
      </w:r>
    </w:p>
    <w:p w:rsidRPr="007C325C" w:rsidR="00321C87" w:rsidP="00855D7E" w:rsidRDefault="00321C87" w14:paraId="6F7FE9F4" w14:textId="77777777">
      <w:pPr>
        <w:autoSpaceDE w:val="0"/>
        <w:autoSpaceDN w:val="0"/>
        <w:adjustRightInd w:val="0"/>
        <w:spacing w:line="360" w:lineRule="auto"/>
        <w:ind w:left="567" w:right="567"/>
        <w:contextualSpacing/>
        <w:jc w:val="both"/>
        <w:rPr>
          <w:rFonts w:ascii="Palatino Linotype" w:hAnsi="Palatino Linotype" w:cs="Tahoma" w:eastAsiaTheme="minorHAnsi"/>
          <w:i/>
          <w:iCs/>
          <w:color w:val="000000"/>
          <w:lang w:eastAsia="es-MX"/>
        </w:rPr>
      </w:pPr>
      <w:r w:rsidRPr="007C325C">
        <w:rPr>
          <w:rFonts w:ascii="Palatino Linotype" w:hAnsi="Palatino Linotype" w:cs="Tahoma" w:eastAsiaTheme="minorHAnsi"/>
          <w:b/>
          <w:bCs/>
          <w:i/>
          <w:iCs/>
          <w:color w:val="000000"/>
          <w:lang w:eastAsia="es-MX"/>
        </w:rPr>
        <w:t xml:space="preserve">g) </w:t>
      </w:r>
      <w:r w:rsidRPr="007C325C">
        <w:rPr>
          <w:rFonts w:ascii="Palatino Linotype" w:hAnsi="Palatino Linotype" w:cs="Tahoma" w:eastAsiaTheme="minorHAnsi"/>
          <w:i/>
          <w:iCs/>
          <w:color w:val="000000"/>
          <w:lang w:eastAsia="es-MX"/>
        </w:rPr>
        <w:t xml:space="preserve">Firma, huella digital y fotografía del elector; </w:t>
      </w:r>
    </w:p>
    <w:p w:rsidRPr="007C325C" w:rsidR="00321C87" w:rsidP="00855D7E" w:rsidRDefault="00321C87" w14:paraId="193F21D7" w14:textId="77777777">
      <w:pPr>
        <w:autoSpaceDE w:val="0"/>
        <w:autoSpaceDN w:val="0"/>
        <w:adjustRightInd w:val="0"/>
        <w:spacing w:line="360" w:lineRule="auto"/>
        <w:ind w:left="567" w:right="567"/>
        <w:contextualSpacing/>
        <w:jc w:val="both"/>
        <w:rPr>
          <w:rFonts w:ascii="Palatino Linotype" w:hAnsi="Palatino Linotype" w:cs="Tahoma" w:eastAsiaTheme="minorHAnsi"/>
          <w:i/>
          <w:iCs/>
          <w:color w:val="000000"/>
          <w:lang w:eastAsia="es-MX"/>
        </w:rPr>
      </w:pPr>
      <w:r w:rsidRPr="007C325C">
        <w:rPr>
          <w:rFonts w:ascii="Palatino Linotype" w:hAnsi="Palatino Linotype" w:cs="Tahoma" w:eastAsiaTheme="minorHAnsi"/>
          <w:b/>
          <w:bCs/>
          <w:i/>
          <w:iCs/>
          <w:color w:val="000000"/>
          <w:lang w:eastAsia="es-MX"/>
        </w:rPr>
        <w:t xml:space="preserve">h) </w:t>
      </w:r>
      <w:r w:rsidRPr="007C325C">
        <w:rPr>
          <w:rFonts w:ascii="Palatino Linotype" w:hAnsi="Palatino Linotype" w:cs="Tahoma" w:eastAsiaTheme="minorHAnsi"/>
          <w:i/>
          <w:iCs/>
          <w:color w:val="000000"/>
          <w:lang w:eastAsia="es-MX"/>
        </w:rPr>
        <w:t xml:space="preserve">Clave de registro, y </w:t>
      </w:r>
    </w:p>
    <w:p w:rsidRPr="007C325C" w:rsidR="00321C87" w:rsidP="00855D7E" w:rsidRDefault="00321C87" w14:paraId="2601F3AC" w14:textId="77777777">
      <w:pPr>
        <w:autoSpaceDE w:val="0"/>
        <w:autoSpaceDN w:val="0"/>
        <w:adjustRightInd w:val="0"/>
        <w:spacing w:line="360" w:lineRule="auto"/>
        <w:ind w:left="567" w:right="567"/>
        <w:contextualSpacing/>
        <w:jc w:val="both"/>
        <w:rPr>
          <w:rFonts w:ascii="Palatino Linotype" w:hAnsi="Palatino Linotype" w:cs="Tahoma" w:eastAsiaTheme="minorHAnsi"/>
          <w:i/>
          <w:iCs/>
          <w:color w:val="000000"/>
          <w:lang w:eastAsia="es-MX"/>
        </w:rPr>
      </w:pPr>
      <w:r w:rsidRPr="007C325C">
        <w:rPr>
          <w:rFonts w:ascii="Palatino Linotype" w:hAnsi="Palatino Linotype" w:cs="Tahoma" w:eastAsiaTheme="minorHAnsi"/>
          <w:b/>
          <w:bCs/>
          <w:i/>
          <w:iCs/>
          <w:color w:val="000000"/>
          <w:lang w:eastAsia="es-MX"/>
        </w:rPr>
        <w:t xml:space="preserve">i) </w:t>
      </w:r>
      <w:r w:rsidRPr="007C325C">
        <w:rPr>
          <w:rFonts w:ascii="Palatino Linotype" w:hAnsi="Palatino Linotype" w:cs="Tahoma" w:eastAsiaTheme="minorHAnsi"/>
          <w:i/>
          <w:iCs/>
          <w:color w:val="000000"/>
          <w:lang w:eastAsia="es-MX"/>
        </w:rPr>
        <w:t xml:space="preserve">Clave Única del Registro de Población. </w:t>
      </w:r>
    </w:p>
    <w:p w:rsidRPr="007C325C" w:rsidR="00321C87" w:rsidP="00855D7E" w:rsidRDefault="00321C87" w14:paraId="33EDDAA9" w14:textId="77777777">
      <w:pPr>
        <w:autoSpaceDE w:val="0"/>
        <w:autoSpaceDN w:val="0"/>
        <w:adjustRightInd w:val="0"/>
        <w:spacing w:line="360" w:lineRule="auto"/>
        <w:ind w:left="567" w:right="567"/>
        <w:contextualSpacing/>
        <w:jc w:val="both"/>
        <w:rPr>
          <w:rFonts w:ascii="Palatino Linotype" w:hAnsi="Palatino Linotype" w:cs="Tahoma" w:eastAsiaTheme="minorHAnsi"/>
          <w:b/>
          <w:bCs/>
          <w:i/>
          <w:iCs/>
          <w:color w:val="000000"/>
          <w:lang w:eastAsia="es-MX"/>
        </w:rPr>
      </w:pPr>
    </w:p>
    <w:p w:rsidRPr="007C325C" w:rsidR="00321C87" w:rsidP="00855D7E" w:rsidRDefault="00321C87" w14:paraId="46EA62AE" w14:textId="77777777">
      <w:pPr>
        <w:autoSpaceDE w:val="0"/>
        <w:autoSpaceDN w:val="0"/>
        <w:adjustRightInd w:val="0"/>
        <w:spacing w:line="360" w:lineRule="auto"/>
        <w:ind w:left="567" w:right="567"/>
        <w:contextualSpacing/>
        <w:jc w:val="both"/>
        <w:rPr>
          <w:rFonts w:ascii="Palatino Linotype" w:hAnsi="Palatino Linotype" w:cs="Tahoma" w:eastAsiaTheme="minorHAnsi"/>
          <w:i/>
          <w:iCs/>
          <w:color w:val="000000"/>
          <w:lang w:eastAsia="es-MX"/>
        </w:rPr>
      </w:pPr>
      <w:r w:rsidRPr="007C325C">
        <w:rPr>
          <w:rFonts w:ascii="Palatino Linotype" w:hAnsi="Palatino Linotype" w:cs="Tahoma" w:eastAsiaTheme="minorHAnsi"/>
          <w:b/>
          <w:bCs/>
          <w:i/>
          <w:iCs/>
          <w:color w:val="000000"/>
          <w:lang w:eastAsia="es-MX"/>
        </w:rPr>
        <w:t xml:space="preserve">2. </w:t>
      </w:r>
      <w:r w:rsidRPr="007C325C">
        <w:rPr>
          <w:rFonts w:ascii="Palatino Linotype" w:hAnsi="Palatino Linotype" w:cs="Tahoma" w:eastAsiaTheme="minorHAnsi"/>
          <w:i/>
          <w:iCs/>
          <w:color w:val="000000"/>
          <w:lang w:eastAsia="es-MX"/>
        </w:rPr>
        <w:t xml:space="preserve">Además tendrá: </w:t>
      </w:r>
    </w:p>
    <w:p w:rsidRPr="007C325C" w:rsidR="00321C87" w:rsidP="00855D7E" w:rsidRDefault="00321C87" w14:paraId="28D88C85" w14:textId="77777777">
      <w:pPr>
        <w:autoSpaceDE w:val="0"/>
        <w:autoSpaceDN w:val="0"/>
        <w:adjustRightInd w:val="0"/>
        <w:spacing w:line="360" w:lineRule="auto"/>
        <w:ind w:left="567" w:right="567"/>
        <w:contextualSpacing/>
        <w:jc w:val="both"/>
        <w:rPr>
          <w:rFonts w:ascii="Palatino Linotype" w:hAnsi="Palatino Linotype" w:cs="Tahoma" w:eastAsiaTheme="minorHAnsi"/>
          <w:i/>
          <w:iCs/>
          <w:color w:val="000000"/>
          <w:lang w:eastAsia="es-MX"/>
        </w:rPr>
      </w:pPr>
      <w:r w:rsidRPr="007C325C">
        <w:rPr>
          <w:rFonts w:ascii="Palatino Linotype" w:hAnsi="Palatino Linotype" w:cs="Tahoma" w:eastAsiaTheme="minorHAnsi"/>
          <w:b/>
          <w:bCs/>
          <w:i/>
          <w:iCs/>
          <w:color w:val="000000"/>
          <w:lang w:eastAsia="es-MX"/>
        </w:rPr>
        <w:t xml:space="preserve">a) </w:t>
      </w:r>
      <w:r w:rsidRPr="007C325C">
        <w:rPr>
          <w:rFonts w:ascii="Palatino Linotype" w:hAnsi="Palatino Linotype" w:cs="Tahoma" w:eastAsiaTheme="minorHAnsi"/>
          <w:i/>
          <w:iCs/>
          <w:color w:val="000000"/>
          <w:lang w:eastAsia="es-MX"/>
        </w:rPr>
        <w:t xml:space="preserve">Espacios necesarios para marcar año y elección de que se trate; </w:t>
      </w:r>
    </w:p>
    <w:p w:rsidRPr="007C325C" w:rsidR="00321C87" w:rsidP="00855D7E" w:rsidRDefault="00321C87" w14:paraId="1693A5F5" w14:textId="77777777">
      <w:pPr>
        <w:autoSpaceDE w:val="0"/>
        <w:autoSpaceDN w:val="0"/>
        <w:adjustRightInd w:val="0"/>
        <w:spacing w:line="360" w:lineRule="auto"/>
        <w:ind w:left="567" w:right="567"/>
        <w:contextualSpacing/>
        <w:jc w:val="both"/>
        <w:rPr>
          <w:rFonts w:ascii="Palatino Linotype" w:hAnsi="Palatino Linotype" w:cs="Tahoma" w:eastAsiaTheme="minorHAnsi"/>
          <w:i/>
          <w:iCs/>
          <w:color w:val="000000"/>
          <w:lang w:eastAsia="es-MX"/>
        </w:rPr>
      </w:pPr>
      <w:r w:rsidRPr="007C325C">
        <w:rPr>
          <w:rFonts w:ascii="Palatino Linotype" w:hAnsi="Palatino Linotype" w:cs="Tahoma" w:eastAsiaTheme="minorHAnsi"/>
          <w:b/>
          <w:bCs/>
          <w:i/>
          <w:iCs/>
          <w:color w:val="000000"/>
          <w:lang w:eastAsia="es-MX"/>
        </w:rPr>
        <w:t xml:space="preserve">b) </w:t>
      </w:r>
      <w:r w:rsidRPr="007C325C">
        <w:rPr>
          <w:rFonts w:ascii="Palatino Linotype" w:hAnsi="Palatino Linotype" w:cs="Tahoma" w:eastAsiaTheme="minorHAnsi"/>
          <w:i/>
          <w:iCs/>
          <w:color w:val="000000"/>
          <w:lang w:eastAsia="es-MX"/>
        </w:rPr>
        <w:t xml:space="preserve">Firma impresa del Secretario Ejecutivo del Instituto; </w:t>
      </w:r>
    </w:p>
    <w:p w:rsidRPr="007C325C" w:rsidR="00321C87" w:rsidP="00855D7E" w:rsidRDefault="00321C87" w14:paraId="3952611A" w14:textId="77777777">
      <w:pPr>
        <w:autoSpaceDE w:val="0"/>
        <w:autoSpaceDN w:val="0"/>
        <w:adjustRightInd w:val="0"/>
        <w:spacing w:line="360" w:lineRule="auto"/>
        <w:ind w:left="567" w:right="567"/>
        <w:contextualSpacing/>
        <w:jc w:val="both"/>
        <w:rPr>
          <w:rFonts w:ascii="Palatino Linotype" w:hAnsi="Palatino Linotype" w:cs="Tahoma" w:eastAsiaTheme="minorHAnsi"/>
          <w:i/>
          <w:iCs/>
          <w:color w:val="000000"/>
          <w:lang w:eastAsia="es-MX"/>
        </w:rPr>
      </w:pPr>
      <w:r w:rsidRPr="007C325C">
        <w:rPr>
          <w:rFonts w:ascii="Palatino Linotype" w:hAnsi="Palatino Linotype" w:cs="Tahoma" w:eastAsiaTheme="minorHAnsi"/>
          <w:b/>
          <w:bCs/>
          <w:i/>
          <w:iCs/>
          <w:color w:val="000000"/>
          <w:lang w:eastAsia="es-MX"/>
        </w:rPr>
        <w:t xml:space="preserve">c) </w:t>
      </w:r>
      <w:r w:rsidRPr="007C325C">
        <w:rPr>
          <w:rFonts w:ascii="Palatino Linotype" w:hAnsi="Palatino Linotype" w:cs="Tahoma" w:eastAsiaTheme="minorHAnsi"/>
          <w:i/>
          <w:iCs/>
          <w:color w:val="000000"/>
          <w:lang w:eastAsia="es-MX"/>
        </w:rPr>
        <w:t xml:space="preserve">Año de emisión; </w:t>
      </w:r>
    </w:p>
    <w:p w:rsidRPr="007C325C" w:rsidR="00321C87" w:rsidP="00855D7E" w:rsidRDefault="00321C87" w14:paraId="2863E5A8" w14:textId="77777777">
      <w:pPr>
        <w:autoSpaceDE w:val="0"/>
        <w:autoSpaceDN w:val="0"/>
        <w:adjustRightInd w:val="0"/>
        <w:spacing w:line="360" w:lineRule="auto"/>
        <w:ind w:left="567" w:right="567"/>
        <w:contextualSpacing/>
        <w:jc w:val="both"/>
        <w:rPr>
          <w:rFonts w:ascii="Palatino Linotype" w:hAnsi="Palatino Linotype" w:cs="Tahoma" w:eastAsiaTheme="minorHAnsi"/>
          <w:i/>
          <w:iCs/>
          <w:color w:val="000000"/>
          <w:lang w:eastAsia="es-MX"/>
        </w:rPr>
      </w:pPr>
      <w:r w:rsidRPr="007C325C">
        <w:rPr>
          <w:rFonts w:ascii="Palatino Linotype" w:hAnsi="Palatino Linotype" w:cs="Tahoma" w:eastAsiaTheme="minorHAnsi"/>
          <w:b/>
          <w:bCs/>
          <w:i/>
          <w:iCs/>
          <w:color w:val="000000"/>
          <w:lang w:eastAsia="es-MX"/>
        </w:rPr>
        <w:t xml:space="preserve">d) </w:t>
      </w:r>
      <w:r w:rsidRPr="007C325C">
        <w:rPr>
          <w:rFonts w:ascii="Palatino Linotype" w:hAnsi="Palatino Linotype" w:cs="Tahoma" w:eastAsiaTheme="minorHAnsi"/>
          <w:i/>
          <w:iCs/>
          <w:color w:val="000000"/>
          <w:lang w:eastAsia="es-MX"/>
        </w:rPr>
        <w:t xml:space="preserve">Año en el que expira su vigencia, y </w:t>
      </w:r>
    </w:p>
    <w:p w:rsidRPr="007C325C" w:rsidR="00321C87" w:rsidP="00855D7E" w:rsidRDefault="00321C87" w14:paraId="1B6E3540" w14:textId="77777777">
      <w:pPr>
        <w:spacing w:line="360" w:lineRule="auto"/>
        <w:ind w:left="567" w:right="567"/>
        <w:contextualSpacing/>
        <w:jc w:val="both"/>
        <w:rPr>
          <w:rFonts w:ascii="Palatino Linotype" w:hAnsi="Palatino Linotype" w:cs="Tahoma" w:eastAsiaTheme="minorHAnsi"/>
          <w:i/>
          <w:iCs/>
          <w:color w:val="000000"/>
          <w:lang w:eastAsia="es-MX"/>
        </w:rPr>
      </w:pPr>
      <w:r w:rsidRPr="007C325C">
        <w:rPr>
          <w:rFonts w:ascii="Palatino Linotype" w:hAnsi="Palatino Linotype" w:cs="Tahoma" w:eastAsiaTheme="minorHAnsi"/>
          <w:b/>
          <w:bCs/>
          <w:i/>
          <w:iCs/>
          <w:color w:val="000000"/>
          <w:lang w:eastAsia="es-MX"/>
        </w:rPr>
        <w:t xml:space="preserve">e) </w:t>
      </w:r>
      <w:r w:rsidRPr="007C325C">
        <w:rPr>
          <w:rFonts w:ascii="Palatino Linotype" w:hAnsi="Palatino Linotype" w:cs="Tahoma" w:eastAsiaTheme="minorHAnsi"/>
          <w:i/>
          <w:iCs/>
          <w:color w:val="000000"/>
          <w:lang w:eastAsia="es-MX"/>
        </w:rPr>
        <w:t>En el caso de la que se expida al ciudadano residente en el extranjero, la leyenda “Para Votar desde el Extranjero”.</w:t>
      </w:r>
    </w:p>
    <w:p w:rsidRPr="007C325C" w:rsidR="00321C87" w:rsidP="00855D7E" w:rsidRDefault="00321C87" w14:paraId="6DFD9C35" w14:textId="77777777">
      <w:pPr>
        <w:spacing w:line="360" w:lineRule="auto"/>
        <w:contextualSpacing/>
        <w:jc w:val="both"/>
        <w:rPr>
          <w:rFonts w:ascii="Palatino Linotype" w:hAnsi="Palatino Linotype" w:cs="Tahoma" w:eastAsiaTheme="minorHAnsi"/>
          <w:color w:val="000000" w:themeColor="text1"/>
          <w:sz w:val="22"/>
          <w:szCs w:val="22"/>
          <w:lang w:eastAsia="es-MX"/>
        </w:rPr>
      </w:pPr>
    </w:p>
    <w:p w:rsidRPr="007C325C" w:rsidR="00321C87" w:rsidP="00855D7E" w:rsidRDefault="00321C87" w14:paraId="355E93CB" w14:textId="77777777">
      <w:pPr>
        <w:spacing w:line="360" w:lineRule="auto"/>
        <w:contextualSpacing/>
        <w:jc w:val="both"/>
        <w:rPr>
          <w:rFonts w:ascii="Palatino Linotype" w:hAnsi="Palatino Linotype" w:cs="Tahoma" w:eastAsiaTheme="minorHAnsi"/>
          <w:color w:val="000000" w:themeColor="text1"/>
          <w:sz w:val="22"/>
          <w:szCs w:val="22"/>
          <w:lang w:eastAsia="en-US"/>
        </w:rPr>
      </w:pPr>
      <w:r w:rsidRPr="007C325C">
        <w:rPr>
          <w:rFonts w:ascii="Palatino Linotype" w:hAnsi="Palatino Linotype" w:cs="Tahoma" w:eastAsiaTheme="minorHAnsi"/>
          <w:color w:val="000000" w:themeColor="text1"/>
          <w:sz w:val="22"/>
          <w:szCs w:val="22"/>
          <w:lang w:eastAsia="es-MX"/>
        </w:rPr>
        <w:t xml:space="preserve">Como se advierte, todos los elementos contenidos en la credencial hacen a su titular, identificado, identificable e incluso ubicable en su domicilio. </w:t>
      </w:r>
      <w:r w:rsidRPr="007C325C">
        <w:rPr>
          <w:rFonts w:ascii="Palatino Linotype" w:hAnsi="Palatino Linotype" w:cs="Tahoma" w:eastAsiaTheme="minorHAnsi"/>
          <w:color w:val="000000" w:themeColor="text1"/>
          <w:sz w:val="22"/>
          <w:szCs w:val="22"/>
          <w:lang w:eastAsia="en-US"/>
        </w:rPr>
        <w:t>El número o la clave de la credencial de elector, son únicos e irrepetibles y; de manera general este documento es utilizado para identificarse al momento de realizar trámites oficiales y de tipo privado, incluso en algunos lugares se tiene por costumbre tomar datos de la credencia para asentar en un documento como manera de acreditar la presentación de su titular y comprobar que la credencial se tuvo a la vista, por ello su relevancia y lo delicado de su uso.</w:t>
      </w:r>
    </w:p>
    <w:p w:rsidRPr="007C325C" w:rsidR="00321C87" w:rsidP="00855D7E" w:rsidRDefault="00321C87" w14:paraId="08589403" w14:textId="77777777">
      <w:pPr>
        <w:spacing w:line="360" w:lineRule="auto"/>
        <w:contextualSpacing/>
        <w:jc w:val="both"/>
        <w:rPr>
          <w:rFonts w:ascii="Palatino Linotype" w:hAnsi="Palatino Linotype" w:cs="Tahoma" w:eastAsiaTheme="minorHAnsi"/>
          <w:color w:val="000000" w:themeColor="text1"/>
          <w:sz w:val="22"/>
          <w:szCs w:val="22"/>
          <w:lang w:eastAsia="en-US"/>
        </w:rPr>
      </w:pPr>
    </w:p>
    <w:p w:rsidRPr="007C325C" w:rsidR="00321C87" w:rsidP="00855D7E" w:rsidRDefault="00321C87" w14:paraId="4932F295" w14:textId="77777777">
      <w:pPr>
        <w:spacing w:line="360" w:lineRule="auto"/>
        <w:contextualSpacing/>
        <w:jc w:val="both"/>
        <w:rPr>
          <w:rFonts w:ascii="Palatino Linotype" w:hAnsi="Palatino Linotype" w:cs="Tahoma" w:eastAsiaTheme="minorHAnsi"/>
          <w:color w:val="000000" w:themeColor="text1"/>
          <w:sz w:val="22"/>
          <w:szCs w:val="22"/>
          <w:lang w:eastAsia="en-US"/>
        </w:rPr>
      </w:pPr>
      <w:r w:rsidRPr="007C325C">
        <w:rPr>
          <w:rFonts w:ascii="Palatino Linotype" w:hAnsi="Palatino Linotype" w:cs="Tahoma" w:eastAsiaTheme="minorHAnsi"/>
          <w:color w:val="000000" w:themeColor="text1"/>
          <w:sz w:val="22"/>
          <w:szCs w:val="22"/>
          <w:lang w:eastAsia="en-US"/>
        </w:rPr>
        <w:lastRenderedPageBreak/>
        <w:t>Es de tener presente que la finalidad esencial de la credencial para votar con fotografía es la de ejercer el derecho humano de votar y ser votado; sin embargo, en el país, este documento es el reconocido a nivel general como medio idóneo para identificarse incluso de manera oficial; en el Estado de México está reconocida como identificación oficial en el artículo 2.5 Bis, fracción II del Código Civil del Estado de México.</w:t>
      </w:r>
    </w:p>
    <w:p w:rsidRPr="007C325C" w:rsidR="00321C87" w:rsidP="00855D7E" w:rsidRDefault="00321C87" w14:paraId="42912083" w14:textId="77777777">
      <w:pPr>
        <w:spacing w:line="360" w:lineRule="auto"/>
        <w:contextualSpacing/>
        <w:jc w:val="both"/>
        <w:rPr>
          <w:rFonts w:ascii="Palatino Linotype" w:hAnsi="Palatino Linotype" w:cs="Tahoma" w:eastAsiaTheme="minorHAnsi"/>
          <w:color w:val="000000" w:themeColor="text1"/>
          <w:sz w:val="22"/>
          <w:szCs w:val="22"/>
          <w:lang w:eastAsia="en-US"/>
        </w:rPr>
      </w:pPr>
    </w:p>
    <w:p w:rsidRPr="007C325C" w:rsidR="00321C87" w:rsidP="00855D7E" w:rsidRDefault="00321C87" w14:paraId="54990806" w14:textId="77777777">
      <w:pPr>
        <w:spacing w:line="360" w:lineRule="auto"/>
        <w:contextualSpacing/>
        <w:jc w:val="both"/>
        <w:rPr>
          <w:rFonts w:ascii="Palatino Linotype" w:hAnsi="Palatino Linotype" w:eastAsia="Calibri" w:cs="Tahoma"/>
          <w:bCs/>
          <w:sz w:val="22"/>
          <w:szCs w:val="22"/>
          <w:lang w:val="es-ES" w:eastAsia="en-US"/>
        </w:rPr>
      </w:pPr>
      <w:r w:rsidRPr="007C325C">
        <w:rPr>
          <w:rFonts w:ascii="Palatino Linotype" w:hAnsi="Palatino Linotype" w:cs="Tahoma" w:eastAsiaTheme="minorHAnsi"/>
          <w:color w:val="000000" w:themeColor="text1"/>
          <w:sz w:val="22"/>
          <w:szCs w:val="22"/>
          <w:lang w:eastAsia="en-US"/>
        </w:rPr>
        <w:t xml:space="preserve">Dada esta relevancia y que no guarda relación directa con el ejercicio de atribuciones de servidores públicos es que su contenido debe ser analizado en función del documento total, ya que esta obra por ser el medio preferible de identificación como ciudadano y no en función del cargo público, por lo que se entiende que se analizan en su conjunto los datos personales contenidos en la misma, con excepción del nombre; por lo que, en el presente caso, se considera que la credencial de elector, es confidencial y actualiza la causal de clasificación, establecida en el </w:t>
      </w:r>
      <w:r w:rsidRPr="007C325C">
        <w:rPr>
          <w:rFonts w:ascii="Palatino Linotype" w:hAnsi="Palatino Linotype" w:eastAsia="Calibri" w:cs="Tahoma"/>
          <w:bCs/>
          <w:sz w:val="22"/>
          <w:szCs w:val="22"/>
          <w:lang w:val="es-ES" w:eastAsia="en-US"/>
        </w:rPr>
        <w:t>artículo 143, fracción I, de la Ley de Transparencia y Acceso a la Información Pública del Estado de México y Municipios.</w:t>
      </w:r>
    </w:p>
    <w:p w:rsidRPr="007C325C" w:rsidR="00321C87" w:rsidP="00855D7E" w:rsidRDefault="00321C87" w14:paraId="0DD59E22" w14:textId="77777777">
      <w:pPr>
        <w:tabs>
          <w:tab w:val="left" w:pos="4962"/>
        </w:tabs>
        <w:spacing w:line="360" w:lineRule="auto"/>
        <w:ind w:right="-28"/>
        <w:contextualSpacing/>
        <w:jc w:val="both"/>
        <w:rPr>
          <w:rFonts w:ascii="Palatino Linotype" w:hAnsi="Palatino Linotype" w:eastAsia="Calibri" w:cs="Tahoma"/>
          <w:b/>
          <w:iCs/>
          <w:sz w:val="22"/>
          <w:szCs w:val="24"/>
          <w:lang w:eastAsia="es-ES_tradnl"/>
        </w:rPr>
      </w:pPr>
    </w:p>
    <w:p w:rsidRPr="007C325C" w:rsidR="00321C87" w:rsidP="00855D7E" w:rsidRDefault="00321C87" w14:paraId="57202A8F" w14:textId="77777777">
      <w:pPr>
        <w:numPr>
          <w:ilvl w:val="0"/>
          <w:numId w:val="41"/>
        </w:numPr>
        <w:tabs>
          <w:tab w:val="left" w:pos="4962"/>
        </w:tabs>
        <w:spacing w:after="160" w:line="360" w:lineRule="auto"/>
        <w:ind w:right="-28"/>
        <w:contextualSpacing/>
        <w:jc w:val="both"/>
        <w:rPr>
          <w:rFonts w:ascii="Palatino Linotype" w:hAnsi="Palatino Linotype" w:eastAsia="Calibri" w:cs="Tahoma"/>
          <w:b/>
          <w:iCs/>
          <w:sz w:val="22"/>
          <w:szCs w:val="24"/>
          <w:lang w:eastAsia="es-ES_tradnl"/>
        </w:rPr>
      </w:pPr>
      <w:r w:rsidRPr="007C325C">
        <w:rPr>
          <w:rFonts w:ascii="Palatino Linotype" w:hAnsi="Palatino Linotype" w:eastAsia="Calibri" w:cs="Tahoma"/>
          <w:b/>
          <w:iCs/>
          <w:sz w:val="22"/>
          <w:szCs w:val="24"/>
          <w:lang w:eastAsia="es-ES_tradnl"/>
        </w:rPr>
        <w:t xml:space="preserve">Cédula de Identificación Fiscal. </w:t>
      </w:r>
    </w:p>
    <w:p w:rsidRPr="007C325C" w:rsidR="00321C87" w:rsidP="00855D7E" w:rsidRDefault="00321C87" w14:paraId="080D903C" w14:textId="77777777">
      <w:pPr>
        <w:tabs>
          <w:tab w:val="left" w:pos="4962"/>
        </w:tabs>
        <w:spacing w:line="360" w:lineRule="auto"/>
        <w:ind w:right="-28"/>
        <w:contextualSpacing/>
        <w:jc w:val="both"/>
        <w:rPr>
          <w:rFonts w:ascii="Palatino Linotype" w:hAnsi="Palatino Linotype" w:eastAsia="Calibri" w:cs="Tahoma"/>
          <w:bCs/>
          <w:iCs/>
          <w:sz w:val="22"/>
          <w:szCs w:val="24"/>
          <w:lang w:eastAsia="es-ES_tradnl"/>
        </w:rPr>
      </w:pPr>
    </w:p>
    <w:p w:rsidRPr="007C325C" w:rsidR="00321C87" w:rsidP="00855D7E" w:rsidRDefault="00321C87" w14:paraId="0B6310F0" w14:textId="77777777">
      <w:pPr>
        <w:spacing w:line="360" w:lineRule="auto"/>
        <w:contextualSpacing/>
        <w:jc w:val="both"/>
        <w:rPr>
          <w:rFonts w:ascii="Palatino Linotype" w:hAnsi="Palatino Linotype" w:cs="Tahoma" w:eastAsiaTheme="minorHAnsi"/>
          <w:bCs/>
          <w:color w:val="000000" w:themeColor="text1"/>
          <w:sz w:val="22"/>
          <w:szCs w:val="22"/>
          <w:lang w:eastAsia="en-US"/>
        </w:rPr>
      </w:pPr>
      <w:r w:rsidRPr="007C325C">
        <w:rPr>
          <w:rFonts w:ascii="Palatino Linotype" w:hAnsi="Palatino Linotype" w:cs="Tahoma" w:eastAsiaTheme="minorHAnsi"/>
          <w:bCs/>
          <w:color w:val="000000" w:themeColor="text1"/>
          <w:sz w:val="22"/>
          <w:szCs w:val="22"/>
          <w:lang w:eastAsia="en-US"/>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rsidRPr="007C325C" w:rsidR="00321C87" w:rsidP="00855D7E" w:rsidRDefault="00321C87" w14:paraId="728D7112" w14:textId="77777777">
      <w:pPr>
        <w:spacing w:line="360" w:lineRule="auto"/>
        <w:contextualSpacing/>
        <w:jc w:val="both"/>
        <w:rPr>
          <w:rFonts w:ascii="Palatino Linotype" w:hAnsi="Palatino Linotype" w:cs="Tahoma" w:eastAsiaTheme="minorHAnsi"/>
          <w:bCs/>
          <w:color w:val="000000" w:themeColor="text1"/>
          <w:sz w:val="22"/>
          <w:szCs w:val="22"/>
          <w:lang w:eastAsia="en-US"/>
        </w:rPr>
      </w:pPr>
    </w:p>
    <w:p w:rsidRPr="007C325C" w:rsidR="00321C87" w:rsidP="00855D7E" w:rsidRDefault="00321C87" w14:paraId="3737ADFC" w14:textId="77777777">
      <w:pPr>
        <w:spacing w:line="360" w:lineRule="auto"/>
        <w:contextualSpacing/>
        <w:jc w:val="both"/>
        <w:rPr>
          <w:rFonts w:ascii="Palatino Linotype" w:hAnsi="Palatino Linotype" w:cs="Tahoma" w:eastAsiaTheme="minorHAnsi"/>
          <w:bCs/>
          <w:color w:val="000000" w:themeColor="text1"/>
          <w:sz w:val="22"/>
          <w:szCs w:val="22"/>
          <w:lang w:eastAsia="en-US"/>
        </w:rPr>
      </w:pPr>
      <w:r w:rsidRPr="007C325C">
        <w:rPr>
          <w:rFonts w:ascii="Palatino Linotype" w:hAnsi="Palatino Linotype" w:cs="Tahoma" w:eastAsiaTheme="minorHAnsi"/>
          <w:bCs/>
          <w:color w:val="000000" w:themeColor="text1"/>
          <w:sz w:val="22"/>
          <w:szCs w:val="22"/>
          <w:lang w:eastAsia="en-US"/>
        </w:rPr>
        <w:t xml:space="preserve">De acuerdo a lo establecido en el artículo en comento, esta clave se compone de trece caracteres alfanuméricos, con datos obtenidos de los apellidos, nombre(s), fecha de nacimiento del </w:t>
      </w:r>
      <w:r w:rsidRPr="007C325C">
        <w:rPr>
          <w:rFonts w:ascii="Palatino Linotype" w:hAnsi="Palatino Linotype" w:cs="Tahoma" w:eastAsiaTheme="minorHAnsi"/>
          <w:bCs/>
          <w:color w:val="000000" w:themeColor="text1"/>
          <w:sz w:val="22"/>
          <w:szCs w:val="22"/>
          <w:lang w:eastAsia="en-US"/>
        </w:rPr>
        <w:lastRenderedPageBreak/>
        <w:t>titular, más una homoclave que establece el sistema automático del Servicio de Administración Tributaria.</w:t>
      </w:r>
    </w:p>
    <w:p w:rsidRPr="007C325C" w:rsidR="00321C87" w:rsidP="00855D7E" w:rsidRDefault="00321C87" w14:paraId="6E1A6C7E" w14:textId="77777777">
      <w:pPr>
        <w:spacing w:line="360" w:lineRule="auto"/>
        <w:contextualSpacing/>
        <w:jc w:val="both"/>
        <w:rPr>
          <w:rFonts w:ascii="Palatino Linotype" w:hAnsi="Palatino Linotype" w:cs="Tahoma" w:eastAsiaTheme="minorHAnsi"/>
          <w:bCs/>
          <w:iCs/>
          <w:color w:val="000000" w:themeColor="text1"/>
          <w:sz w:val="22"/>
          <w:szCs w:val="22"/>
          <w:lang w:eastAsia="en-US"/>
        </w:rPr>
      </w:pPr>
    </w:p>
    <w:p w:rsidRPr="007C325C" w:rsidR="00321C87" w:rsidP="00855D7E" w:rsidRDefault="00321C87" w14:paraId="06C116B6" w14:textId="77777777">
      <w:pPr>
        <w:tabs>
          <w:tab w:val="left" w:pos="4962"/>
        </w:tabs>
        <w:spacing w:line="360" w:lineRule="auto"/>
        <w:ind w:right="-28"/>
        <w:contextualSpacing/>
        <w:jc w:val="both"/>
        <w:rPr>
          <w:rFonts w:ascii="Palatino Linotype" w:hAnsi="Palatino Linotype" w:eastAsia="Calibri" w:cs="Tahoma"/>
          <w:bCs/>
          <w:iCs/>
          <w:sz w:val="22"/>
          <w:szCs w:val="24"/>
          <w:lang w:eastAsia="es-ES_tradnl"/>
        </w:rPr>
      </w:pPr>
      <w:r w:rsidRPr="007C325C">
        <w:rPr>
          <w:rFonts w:ascii="Palatino Linotype" w:hAnsi="Palatino Linotype" w:eastAsia="Calibri" w:cs="Tahoma"/>
          <w:bCs/>
          <w:iCs/>
          <w:sz w:val="22"/>
          <w:szCs w:val="24"/>
          <w:lang w:eastAsia="es-ES_tradnl"/>
        </w:rPr>
        <w:t xml:space="preserve">En ese contexto, conforme a la página oficial del Servicio de Administración Tributaria, en el apartado Obtén tu cédula de identificación fiscal (consultado el </w:t>
      </w:r>
      <w:r w:rsidRPr="007C325C" w:rsidR="00E00E08">
        <w:rPr>
          <w:rFonts w:ascii="Palatino Linotype" w:hAnsi="Palatino Linotype" w:eastAsia="Calibri" w:cs="Tahoma"/>
          <w:bCs/>
          <w:iCs/>
          <w:sz w:val="22"/>
          <w:szCs w:val="24"/>
          <w:lang w:eastAsia="es-ES_tradnl"/>
        </w:rPr>
        <w:t>veintidós</w:t>
      </w:r>
      <w:r w:rsidRPr="007C325C">
        <w:rPr>
          <w:rFonts w:ascii="Palatino Linotype" w:hAnsi="Palatino Linotype" w:eastAsia="Calibri" w:cs="Tahoma"/>
          <w:bCs/>
          <w:iCs/>
          <w:sz w:val="22"/>
          <w:szCs w:val="24"/>
          <w:lang w:eastAsia="es-ES_tradnl"/>
        </w:rPr>
        <w:t xml:space="preserve"> de mayo de dos mil veintitrés a las catorce horas en la liga </w:t>
      </w:r>
      <w:hyperlink w:history="1" r:id="rId12">
        <w:r w:rsidRPr="007C325C">
          <w:rPr>
            <w:rFonts w:ascii="Palatino Linotype" w:hAnsi="Palatino Linotype" w:eastAsia="Calibri" w:cs="Tahoma"/>
            <w:bCs/>
            <w:iCs/>
            <w:color w:val="0563C1" w:themeColor="hyperlink"/>
            <w:sz w:val="22"/>
            <w:szCs w:val="24"/>
            <w:u w:val="single"/>
            <w:lang w:eastAsia="es-ES_tradnl"/>
          </w:rPr>
          <w:t>https://www.sat.gob.mx/aplicacion/28889/obten-tu-cedula-de-identificacion-fiscal</w:t>
        </w:r>
      </w:hyperlink>
      <w:r w:rsidRPr="007C325C">
        <w:rPr>
          <w:rFonts w:ascii="Palatino Linotype" w:hAnsi="Palatino Linotype" w:eastAsia="Calibri" w:cs="Tahoma"/>
          <w:bCs/>
          <w:iCs/>
          <w:sz w:val="22"/>
          <w:szCs w:val="24"/>
          <w:lang w:eastAsia="es-ES_tradnl"/>
        </w:rPr>
        <w:t>), establece que dicho documento se acredita tu Registro Federal de Contribuyentes, el cual contiene un código QR, que muestra la información del propietario de la clave; es decir mediante la obtención de la Cédula, se inscribe y obtiene el Registro Federal de Contribuyentes.</w:t>
      </w:r>
    </w:p>
    <w:p w:rsidRPr="007C325C" w:rsidR="00321C87" w:rsidP="00855D7E" w:rsidRDefault="00321C87" w14:paraId="3890FE30" w14:textId="77777777">
      <w:pPr>
        <w:spacing w:line="360" w:lineRule="auto"/>
        <w:contextualSpacing/>
        <w:jc w:val="both"/>
        <w:rPr>
          <w:rFonts w:ascii="Palatino Linotype" w:hAnsi="Palatino Linotype" w:cs="Tahoma" w:eastAsiaTheme="minorHAnsi"/>
          <w:bCs/>
          <w:iCs/>
          <w:color w:val="000000" w:themeColor="text1"/>
          <w:sz w:val="22"/>
          <w:szCs w:val="22"/>
          <w:lang w:eastAsia="en-US"/>
        </w:rPr>
      </w:pPr>
    </w:p>
    <w:p w:rsidRPr="007C325C" w:rsidR="00321C87" w:rsidP="00855D7E" w:rsidRDefault="00321C87" w14:paraId="2D744883" w14:textId="77777777">
      <w:pPr>
        <w:spacing w:line="360" w:lineRule="auto"/>
        <w:contextualSpacing/>
        <w:jc w:val="both"/>
        <w:rPr>
          <w:rFonts w:ascii="Palatino Linotype" w:hAnsi="Palatino Linotype" w:cs="Tahoma" w:eastAsiaTheme="minorHAnsi"/>
          <w:bCs/>
          <w:color w:val="000000" w:themeColor="text1"/>
          <w:sz w:val="22"/>
          <w:szCs w:val="22"/>
          <w:lang w:eastAsia="en-US"/>
        </w:rPr>
      </w:pPr>
      <w:r w:rsidRPr="007C325C">
        <w:rPr>
          <w:rFonts w:ascii="Palatino Linotype" w:hAnsi="Palatino Linotype" w:cs="Tahoma" w:eastAsiaTheme="minorHAnsi"/>
          <w:bCs/>
          <w:color w:val="000000" w:themeColor="text1"/>
          <w:sz w:val="22"/>
          <w:szCs w:val="22"/>
          <w:lang w:eastAsia="en-US"/>
        </w:rPr>
        <w:t>En ese orden de ideas,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rsidRPr="007C325C" w:rsidR="00321C87" w:rsidP="00855D7E" w:rsidRDefault="00321C87" w14:paraId="610E9198" w14:textId="77777777">
      <w:pPr>
        <w:spacing w:line="360" w:lineRule="auto"/>
        <w:contextualSpacing/>
        <w:jc w:val="both"/>
        <w:rPr>
          <w:rFonts w:ascii="Palatino Linotype" w:hAnsi="Palatino Linotype" w:cs="Tahoma" w:eastAsiaTheme="minorHAnsi"/>
          <w:bCs/>
          <w:color w:val="000000" w:themeColor="text1"/>
          <w:sz w:val="22"/>
          <w:szCs w:val="22"/>
          <w:lang w:eastAsia="en-US"/>
        </w:rPr>
      </w:pPr>
    </w:p>
    <w:p w:rsidRPr="007C325C" w:rsidR="00321C87" w:rsidP="00855D7E" w:rsidRDefault="00321C87" w14:paraId="06F4636B" w14:textId="77777777">
      <w:pPr>
        <w:spacing w:line="360" w:lineRule="auto"/>
        <w:contextualSpacing/>
        <w:jc w:val="both"/>
        <w:rPr>
          <w:rFonts w:ascii="Palatino Linotype" w:hAnsi="Palatino Linotype" w:cs="Tahoma" w:eastAsiaTheme="minorHAnsi"/>
          <w:bCs/>
          <w:color w:val="000000" w:themeColor="text1"/>
          <w:sz w:val="22"/>
          <w:szCs w:val="22"/>
          <w:lang w:eastAsia="en-US"/>
        </w:rPr>
      </w:pPr>
      <w:r w:rsidRPr="007C325C">
        <w:rPr>
          <w:rFonts w:ascii="Palatino Linotype" w:hAnsi="Palatino Linotype" w:cs="Tahoma" w:eastAsiaTheme="minorHAnsi"/>
          <w:bCs/>
          <w:color w:val="000000" w:themeColor="text1"/>
          <w:sz w:val="22"/>
          <w:szCs w:val="22"/>
          <w:lang w:eastAsia="en-US"/>
        </w:rPr>
        <w:t xml:space="preserve">Así, el Registro Federal de Contribuyentes, es un dato personal, ya que hace a las personas físicas identificas e identificables, además de que las relaciona como contribuyentes de las autoridades fiscales. Es de destacar que dicho dato únicamente sirve para efectos fiscales y pago de contribuciones, por lo que se trata de un dato relevante únicamente para las personas involucrada, en el pago de estos, en el presente caso, del pago del Impuesto Sobre el Producto del Trabajo. </w:t>
      </w:r>
    </w:p>
    <w:p w:rsidRPr="007C325C" w:rsidR="00321C87" w:rsidP="00855D7E" w:rsidRDefault="00321C87" w14:paraId="6896A243" w14:textId="77777777">
      <w:pPr>
        <w:spacing w:line="360" w:lineRule="auto"/>
        <w:contextualSpacing/>
        <w:jc w:val="both"/>
        <w:rPr>
          <w:rFonts w:ascii="Palatino Linotype" w:hAnsi="Palatino Linotype" w:cs="Tahoma" w:eastAsiaTheme="minorHAnsi"/>
          <w:bCs/>
          <w:color w:val="000000" w:themeColor="text1"/>
          <w:sz w:val="22"/>
          <w:szCs w:val="22"/>
          <w:lang w:eastAsia="en-US"/>
        </w:rPr>
      </w:pPr>
    </w:p>
    <w:p w:rsidRPr="007C325C" w:rsidR="00321C87" w:rsidP="00855D7E" w:rsidRDefault="00321C87" w14:paraId="75DBCC7D" w14:textId="77777777">
      <w:pPr>
        <w:spacing w:line="360" w:lineRule="auto"/>
        <w:contextualSpacing/>
        <w:jc w:val="both"/>
        <w:rPr>
          <w:rFonts w:ascii="Palatino Linotype" w:hAnsi="Palatino Linotype" w:cs="Tahoma" w:eastAsiaTheme="minorHAnsi"/>
          <w:bCs/>
          <w:color w:val="000000" w:themeColor="text1"/>
          <w:sz w:val="22"/>
          <w:szCs w:val="22"/>
          <w:lang w:eastAsia="en-US"/>
        </w:rPr>
      </w:pPr>
      <w:r w:rsidRPr="007C325C">
        <w:rPr>
          <w:rFonts w:ascii="Palatino Linotype" w:hAnsi="Palatino Linotype" w:cs="Tahoma" w:eastAsiaTheme="minorHAnsi"/>
          <w:bCs/>
          <w:color w:val="000000" w:themeColor="text1"/>
          <w:sz w:val="22"/>
          <w:szCs w:val="22"/>
          <w:lang w:eastAsia="en-US"/>
        </w:rPr>
        <w:lastRenderedPageBreak/>
        <w:t xml:space="preserve">Lo anterior, resulta congruente con el Criterio </w:t>
      </w:r>
      <w:r w:rsidRPr="007C325C">
        <w:rPr>
          <w:rFonts w:ascii="Palatino Linotype" w:hAnsi="Palatino Linotype" w:cs="Tahoma"/>
          <w:iCs/>
          <w:sz w:val="22"/>
          <w:szCs w:val="22"/>
        </w:rPr>
        <w:t xml:space="preserve">de Interpretación, de la Segunda Época, con número de registro SO/019/2017, </w:t>
      </w:r>
      <w:r w:rsidRPr="007C325C">
        <w:rPr>
          <w:rFonts w:ascii="Palatino Linotype" w:hAnsi="Palatino Linotype" w:cs="Tahoma" w:eastAsiaTheme="minorHAnsi"/>
          <w:bCs/>
          <w:color w:val="000000" w:themeColor="text1"/>
          <w:sz w:val="22"/>
          <w:szCs w:val="22"/>
          <w:lang w:eastAsia="en-US"/>
        </w:rPr>
        <w:t>emitido por el Instituto Nacional de Transparencia, Acceso a la Información y Protección de Datos Personales, en el cual se señala lo siguiente:</w:t>
      </w:r>
    </w:p>
    <w:p w:rsidRPr="007C325C" w:rsidR="00321C87" w:rsidP="00855D7E" w:rsidRDefault="00321C87" w14:paraId="0C40C3AF" w14:textId="77777777">
      <w:pPr>
        <w:spacing w:line="360" w:lineRule="auto"/>
        <w:contextualSpacing/>
        <w:jc w:val="both"/>
        <w:rPr>
          <w:rFonts w:ascii="Palatino Linotype" w:hAnsi="Palatino Linotype" w:cs="Tahoma" w:eastAsiaTheme="minorHAnsi"/>
          <w:bCs/>
          <w:color w:val="000000" w:themeColor="text1"/>
          <w:sz w:val="22"/>
          <w:szCs w:val="22"/>
          <w:lang w:eastAsia="en-US"/>
        </w:rPr>
      </w:pPr>
    </w:p>
    <w:p w:rsidRPr="007C325C" w:rsidR="00321C87" w:rsidP="00855D7E" w:rsidRDefault="00321C87" w14:paraId="2B9FD62F" w14:textId="77777777">
      <w:pPr>
        <w:widowControl w:val="0"/>
        <w:spacing w:line="360" w:lineRule="auto"/>
        <w:ind w:left="567" w:right="567"/>
        <w:contextualSpacing/>
        <w:jc w:val="both"/>
        <w:rPr>
          <w:rFonts w:ascii="Palatino Linotype" w:hAnsi="Palatino Linotype" w:cs="Tahoma" w:eastAsiaTheme="minorHAnsi"/>
          <w:bCs/>
          <w:i/>
          <w:iCs/>
          <w:color w:val="000000" w:themeColor="text1"/>
          <w:lang w:eastAsia="en-US"/>
        </w:rPr>
      </w:pPr>
      <w:r w:rsidRPr="007C325C">
        <w:rPr>
          <w:rFonts w:ascii="Palatino Linotype" w:hAnsi="Palatino Linotype" w:cs="Tahoma" w:eastAsiaTheme="minorHAnsi"/>
          <w:b/>
          <w:i/>
          <w:iCs/>
          <w:color w:val="000000" w:themeColor="text1"/>
          <w:lang w:eastAsia="en-US"/>
        </w:rPr>
        <w:t>“Registro Federal de Contribuyentes (RFC) de personas físicas.</w:t>
      </w:r>
      <w:r w:rsidRPr="007C325C">
        <w:rPr>
          <w:rFonts w:ascii="Palatino Linotype" w:hAnsi="Palatino Linotype" w:cs="Tahoma" w:eastAsiaTheme="minorHAnsi"/>
          <w:bCs/>
          <w:i/>
          <w:iCs/>
          <w:color w:val="000000" w:themeColor="text1"/>
          <w:lang w:eastAsia="en-US"/>
        </w:rPr>
        <w:t xml:space="preserve"> El RFC es una clave de carácter fiscal, única e irrepetible, que permite identificar al titular, su edad y fecha de nacimiento, por lo que es un dato personal de carácter confidencial.”</w:t>
      </w:r>
    </w:p>
    <w:p w:rsidRPr="007C325C" w:rsidR="00321C87" w:rsidP="00855D7E" w:rsidRDefault="00321C87" w14:paraId="2DE89919" w14:textId="77777777">
      <w:pPr>
        <w:spacing w:line="360" w:lineRule="auto"/>
        <w:contextualSpacing/>
        <w:jc w:val="both"/>
        <w:rPr>
          <w:rFonts w:ascii="Palatino Linotype" w:hAnsi="Palatino Linotype" w:cs="Tahoma" w:eastAsiaTheme="minorHAnsi"/>
          <w:bCs/>
          <w:color w:val="000000" w:themeColor="text1"/>
          <w:sz w:val="22"/>
          <w:szCs w:val="22"/>
          <w:lang w:eastAsia="en-US"/>
        </w:rPr>
      </w:pPr>
    </w:p>
    <w:p w:rsidRPr="007C325C" w:rsidR="00321C87" w:rsidP="00855D7E" w:rsidRDefault="00321C87" w14:paraId="4F462D9F" w14:textId="77777777">
      <w:pPr>
        <w:spacing w:line="360" w:lineRule="auto"/>
        <w:contextualSpacing/>
        <w:jc w:val="both"/>
        <w:rPr>
          <w:rFonts w:ascii="Palatino Linotype" w:hAnsi="Palatino Linotype" w:cs="Tahoma" w:eastAsiaTheme="minorHAnsi"/>
          <w:bCs/>
          <w:color w:val="000000" w:themeColor="text1"/>
          <w:sz w:val="22"/>
          <w:szCs w:val="22"/>
          <w:lang w:eastAsia="en-US"/>
        </w:rPr>
      </w:pPr>
      <w:r w:rsidRPr="007C325C">
        <w:rPr>
          <w:rFonts w:ascii="Palatino Linotype" w:hAnsi="Palatino Linotype" w:cs="Tahoma" w:eastAsiaTheme="minorHAnsi"/>
          <w:bCs/>
          <w:color w:val="000000" w:themeColor="text1"/>
          <w:sz w:val="22"/>
          <w:szCs w:val="22"/>
          <w:lang w:eastAsia="en-US"/>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 por lo que, la Cédula de Identificación Fiscal corre la misma suerte que el RFC, pues mediante dicho documento se obtuvo dicho dato, el cual es meramente privado y no abona en nada a la Transparencia.</w:t>
      </w:r>
    </w:p>
    <w:p w:rsidRPr="007C325C" w:rsidR="00321C87" w:rsidP="00855D7E" w:rsidRDefault="00321C87" w14:paraId="525108EC" w14:textId="77777777">
      <w:pPr>
        <w:tabs>
          <w:tab w:val="left" w:pos="4962"/>
        </w:tabs>
        <w:spacing w:line="360" w:lineRule="auto"/>
        <w:ind w:right="-28"/>
        <w:contextualSpacing/>
        <w:jc w:val="both"/>
        <w:rPr>
          <w:rFonts w:ascii="Palatino Linotype" w:hAnsi="Palatino Linotype" w:eastAsia="Calibri" w:cs="Tahoma"/>
          <w:bCs/>
          <w:iCs/>
          <w:sz w:val="22"/>
          <w:szCs w:val="24"/>
          <w:lang w:eastAsia="es-ES_tradnl"/>
        </w:rPr>
      </w:pPr>
    </w:p>
    <w:p w:rsidRPr="007C325C" w:rsidR="00321C87" w:rsidP="00855D7E" w:rsidRDefault="00321C87" w14:paraId="09D02F9D" w14:textId="77777777">
      <w:pPr>
        <w:numPr>
          <w:ilvl w:val="0"/>
          <w:numId w:val="40"/>
        </w:numPr>
        <w:spacing w:after="160" w:line="360" w:lineRule="auto"/>
        <w:contextualSpacing/>
        <w:jc w:val="both"/>
        <w:rPr>
          <w:rFonts w:ascii="Palatino Linotype" w:hAnsi="Palatino Linotype" w:eastAsia="Calibri" w:cs="Tahoma"/>
          <w:b/>
          <w:bCs/>
          <w:sz w:val="22"/>
          <w:szCs w:val="22"/>
          <w:lang w:eastAsia="en-US"/>
        </w:rPr>
      </w:pPr>
      <w:r w:rsidRPr="007C325C">
        <w:rPr>
          <w:rFonts w:ascii="Palatino Linotype" w:hAnsi="Palatino Linotype" w:eastAsia="Calibri" w:cs="Tahoma"/>
          <w:b/>
          <w:bCs/>
          <w:sz w:val="22"/>
          <w:szCs w:val="22"/>
          <w:lang w:eastAsia="en-US"/>
        </w:rPr>
        <w:t>Domicilio particular y comprobante de domicilio.</w:t>
      </w:r>
    </w:p>
    <w:p w:rsidRPr="007C325C" w:rsidR="00321C87" w:rsidP="00855D7E" w:rsidRDefault="00321C87" w14:paraId="12BF4067" w14:textId="77777777">
      <w:pPr>
        <w:spacing w:line="360" w:lineRule="auto"/>
        <w:ind w:left="720"/>
        <w:contextualSpacing/>
        <w:rPr>
          <w:rFonts w:ascii="Palatino Linotype" w:hAnsi="Palatino Linotype" w:eastAsia="Calibri" w:cs="Tahoma"/>
          <w:b/>
          <w:bCs/>
          <w:sz w:val="22"/>
          <w:szCs w:val="22"/>
          <w:lang w:eastAsia="en-US"/>
        </w:rPr>
      </w:pPr>
    </w:p>
    <w:p w:rsidRPr="007C325C" w:rsidR="00321C87" w:rsidP="00855D7E" w:rsidRDefault="00321C87" w14:paraId="4E1662E5" w14:textId="77777777">
      <w:pPr>
        <w:spacing w:line="360" w:lineRule="auto"/>
        <w:ind w:right="-93"/>
        <w:contextualSpacing/>
        <w:jc w:val="both"/>
        <w:rPr>
          <w:rFonts w:ascii="Palatino Linotype" w:hAnsi="Palatino Linotype" w:cs="Tahoma"/>
          <w:sz w:val="22"/>
          <w:szCs w:val="22"/>
          <w:lang w:val="es-ES"/>
        </w:rPr>
      </w:pPr>
      <w:r w:rsidRPr="007C325C">
        <w:rPr>
          <w:rFonts w:ascii="Palatino Linotype" w:hAnsi="Palatino Linotype" w:cs="Tahoma"/>
          <w:sz w:val="22"/>
          <w:szCs w:val="22"/>
          <w:lang w:val="es-ES"/>
        </w:rPr>
        <w:t xml:space="preserve">De acuerdo a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rsidRPr="007C325C" w:rsidR="00321C87" w:rsidP="00855D7E" w:rsidRDefault="00321C87" w14:paraId="4BDCBCDD" w14:textId="77777777">
      <w:pPr>
        <w:spacing w:line="360" w:lineRule="auto"/>
        <w:ind w:right="-93"/>
        <w:contextualSpacing/>
        <w:jc w:val="both"/>
        <w:rPr>
          <w:rFonts w:ascii="Palatino Linotype" w:hAnsi="Palatino Linotype" w:cs="Tahoma"/>
          <w:sz w:val="22"/>
          <w:szCs w:val="22"/>
          <w:lang w:val="es-ES"/>
        </w:rPr>
      </w:pPr>
    </w:p>
    <w:p w:rsidRPr="007C325C" w:rsidR="00321C87" w:rsidP="00855D7E" w:rsidRDefault="00321C87" w14:paraId="6E4643AC" w14:textId="77777777">
      <w:pPr>
        <w:spacing w:line="360" w:lineRule="auto"/>
        <w:ind w:right="-93"/>
        <w:contextualSpacing/>
        <w:jc w:val="both"/>
        <w:rPr>
          <w:rFonts w:ascii="Palatino Linotype" w:hAnsi="Palatino Linotype" w:cs="Tahoma"/>
          <w:b/>
          <w:sz w:val="22"/>
          <w:szCs w:val="22"/>
          <w:lang w:val="es-ES"/>
        </w:rPr>
      </w:pPr>
      <w:r w:rsidRPr="007C325C">
        <w:rPr>
          <w:rFonts w:ascii="Palatino Linotype" w:hAnsi="Palatino Linotype" w:cs="Tahoma"/>
          <w:sz w:val="22"/>
          <w:szCs w:val="22"/>
          <w:lang w:val="es-ES"/>
        </w:rPr>
        <w:t>De la misma manera, lo establece el artículo 29 del Código Civil Federal, al precisar que el domicilio de personas físicas</w:t>
      </w:r>
      <w:r w:rsidRPr="007C325C">
        <w:rPr>
          <w:rFonts w:ascii="Palatino Linotype" w:hAnsi="Palatino Linotype" w:cs="Tahoma"/>
          <w:b/>
          <w:sz w:val="22"/>
          <w:szCs w:val="22"/>
          <w:lang w:val="es-ES"/>
        </w:rPr>
        <w:t>, es el lugar donde residen habitualmente, el lugar del centro principal de sus negocios, donde residan o el lugar donde se encuentren.</w:t>
      </w:r>
    </w:p>
    <w:p w:rsidRPr="007C325C" w:rsidR="00321C87" w:rsidP="00855D7E" w:rsidRDefault="00321C87" w14:paraId="189F1213" w14:textId="77777777">
      <w:pPr>
        <w:spacing w:line="360" w:lineRule="auto"/>
        <w:contextualSpacing/>
        <w:jc w:val="both"/>
        <w:rPr>
          <w:rFonts w:ascii="Palatino Linotype" w:hAnsi="Palatino Linotype" w:eastAsia="Calibri" w:cs="Tahoma"/>
          <w:b/>
          <w:bCs/>
          <w:szCs w:val="22"/>
          <w:lang w:eastAsia="en-US"/>
        </w:rPr>
      </w:pPr>
    </w:p>
    <w:p w:rsidRPr="007C325C" w:rsidR="00321C87" w:rsidP="00855D7E" w:rsidRDefault="00321C87" w14:paraId="29852EA8" w14:textId="77777777">
      <w:pPr>
        <w:spacing w:line="360" w:lineRule="auto"/>
        <w:ind w:right="-93"/>
        <w:contextualSpacing/>
        <w:jc w:val="both"/>
        <w:rPr>
          <w:rFonts w:ascii="Palatino Linotype" w:hAnsi="Palatino Linotype" w:cs="Tahoma"/>
          <w:sz w:val="22"/>
          <w:szCs w:val="22"/>
          <w:lang w:val="es-ES"/>
        </w:rPr>
      </w:pPr>
      <w:r w:rsidRPr="007C325C">
        <w:rPr>
          <w:rFonts w:ascii="Palatino Linotype" w:hAnsi="Palatino Linotype" w:cs="Tahoma"/>
          <w:sz w:val="22"/>
          <w:szCs w:val="22"/>
          <w:lang w:val="es-ES"/>
        </w:rPr>
        <w:lastRenderedPageBreak/>
        <w:t xml:space="preserve">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w:t>
      </w:r>
    </w:p>
    <w:p w:rsidRPr="007C325C" w:rsidR="00321C87" w:rsidP="00855D7E" w:rsidRDefault="00321C87" w14:paraId="755BAF01" w14:textId="77777777">
      <w:pPr>
        <w:spacing w:line="360" w:lineRule="auto"/>
        <w:ind w:right="-93"/>
        <w:contextualSpacing/>
        <w:jc w:val="both"/>
        <w:rPr>
          <w:rFonts w:ascii="Palatino Linotype" w:hAnsi="Palatino Linotype" w:cs="Tahoma"/>
          <w:sz w:val="22"/>
          <w:szCs w:val="22"/>
          <w:lang w:val="es-ES"/>
        </w:rPr>
      </w:pPr>
    </w:p>
    <w:p w:rsidRPr="007C325C" w:rsidR="00321C87" w:rsidP="00855D7E" w:rsidRDefault="00321C87" w14:paraId="5955C09C" w14:textId="77777777">
      <w:pPr>
        <w:spacing w:line="360" w:lineRule="auto"/>
        <w:ind w:right="-93"/>
        <w:contextualSpacing/>
        <w:jc w:val="both"/>
        <w:rPr>
          <w:rFonts w:ascii="Palatino Linotype" w:hAnsi="Palatino Linotype" w:cs="Tahoma"/>
          <w:sz w:val="22"/>
          <w:szCs w:val="22"/>
          <w:lang w:val="es-ES"/>
        </w:rPr>
      </w:pPr>
      <w:r w:rsidRPr="007C325C">
        <w:rPr>
          <w:rFonts w:ascii="Palatino Linotype" w:hAnsi="Palatino Linotype" w:cs="Tahoma"/>
          <w:sz w:val="22"/>
          <w:szCs w:val="22"/>
          <w:lang w:val="es-ES"/>
        </w:rPr>
        <w:t>La misma suerte corre el comprobante de domicilio, pues mediante este se acredita que la servidora pública vive donde señala en los documentos que entrega; sin embargo, es de señalar que este documento guarda la naturaleza de privado, pues no abona en nada a la transparencia, ni rinde cuentas de la forma de actuar de la trabajadora, al contrario la hace ubicable en su carácter de particular, por lo que, se concluye que el comprobante guarda la naturaleza de privado.</w:t>
      </w:r>
    </w:p>
    <w:p w:rsidRPr="007C325C" w:rsidR="00321C87" w:rsidP="00855D7E" w:rsidRDefault="00321C87" w14:paraId="49CAF544" w14:textId="77777777">
      <w:pPr>
        <w:spacing w:line="360" w:lineRule="auto"/>
        <w:ind w:right="-93"/>
        <w:contextualSpacing/>
        <w:jc w:val="both"/>
        <w:rPr>
          <w:rFonts w:ascii="Palatino Linotype" w:hAnsi="Palatino Linotype" w:cs="Tahoma"/>
          <w:sz w:val="22"/>
          <w:szCs w:val="22"/>
          <w:lang w:val="es-ES"/>
        </w:rPr>
      </w:pPr>
    </w:p>
    <w:p w:rsidRPr="007C325C" w:rsidR="00321C87" w:rsidP="00855D7E" w:rsidRDefault="00321C87" w14:paraId="0A300E51" w14:textId="77777777">
      <w:pPr>
        <w:spacing w:line="360" w:lineRule="auto"/>
        <w:ind w:right="-93"/>
        <w:contextualSpacing/>
        <w:jc w:val="both"/>
        <w:rPr>
          <w:rFonts w:ascii="Palatino Linotype" w:hAnsi="Palatino Linotype" w:cs="Tahoma"/>
          <w:sz w:val="22"/>
          <w:szCs w:val="22"/>
          <w:lang w:val="es-ES"/>
        </w:rPr>
      </w:pPr>
      <w:r w:rsidRPr="007C325C">
        <w:rPr>
          <w:rFonts w:ascii="Palatino Linotype" w:hAnsi="Palatino Linotype" w:cs="Tahoma"/>
          <w:sz w:val="22"/>
          <w:szCs w:val="22"/>
          <w:lang w:val="es-ES"/>
        </w:rPr>
        <w:t>Por lo tanto, se actualiza la clasificación del domicilio y su comprobante, de conformidad con la fracción I, del artículo 143 de la Ley de Transparencia y Acceso a la Información Pública del Estado de México y Municipios.</w:t>
      </w:r>
    </w:p>
    <w:p w:rsidRPr="007C325C" w:rsidR="00321C87" w:rsidP="00855D7E" w:rsidRDefault="00321C87" w14:paraId="70A20061" w14:textId="77777777">
      <w:pPr>
        <w:spacing w:line="360" w:lineRule="auto"/>
        <w:contextualSpacing/>
        <w:jc w:val="both"/>
        <w:rPr>
          <w:rFonts w:ascii="Palatino Linotype" w:hAnsi="Palatino Linotype" w:eastAsia="Calibri" w:cs="Tahoma"/>
          <w:bCs/>
          <w:iCs/>
          <w:color w:val="000000" w:themeColor="text1"/>
          <w:sz w:val="22"/>
          <w:szCs w:val="22"/>
          <w:lang w:eastAsia="en-US"/>
        </w:rPr>
      </w:pPr>
    </w:p>
    <w:p w:rsidRPr="007C325C" w:rsidR="00321C87" w:rsidP="00855D7E" w:rsidRDefault="00321C87" w14:paraId="11F589F8" w14:textId="77777777">
      <w:pPr>
        <w:widowControl w:val="0"/>
        <w:numPr>
          <w:ilvl w:val="0"/>
          <w:numId w:val="44"/>
        </w:numPr>
        <w:autoSpaceDE w:val="0"/>
        <w:autoSpaceDN w:val="0"/>
        <w:adjustRightInd w:val="0"/>
        <w:spacing w:after="160" w:line="360" w:lineRule="auto"/>
        <w:contextualSpacing/>
        <w:jc w:val="both"/>
        <w:rPr>
          <w:rFonts w:ascii="Palatino Linotype" w:hAnsi="Palatino Linotype" w:cs="Tahoma"/>
          <w:b/>
          <w:color w:val="000000" w:themeColor="text1"/>
          <w:sz w:val="22"/>
          <w:szCs w:val="24"/>
        </w:rPr>
      </w:pPr>
      <w:r w:rsidRPr="007C325C">
        <w:rPr>
          <w:rFonts w:ascii="Palatino Linotype" w:hAnsi="Palatino Linotype" w:eastAsia="Calibri" w:cs="Tahoma"/>
          <w:b/>
          <w:bCs/>
          <w:color w:val="000000" w:themeColor="text1"/>
          <w:sz w:val="22"/>
          <w:szCs w:val="24"/>
        </w:rPr>
        <w:t>Constancia o certificado médico</w:t>
      </w:r>
    </w:p>
    <w:p w:rsidRPr="007C325C" w:rsidR="00321C87" w:rsidP="00855D7E" w:rsidRDefault="00321C87" w14:paraId="13BAA4F8" w14:textId="77777777">
      <w:pPr>
        <w:widowControl w:val="0"/>
        <w:autoSpaceDE w:val="0"/>
        <w:autoSpaceDN w:val="0"/>
        <w:adjustRightInd w:val="0"/>
        <w:spacing w:line="360" w:lineRule="auto"/>
        <w:contextualSpacing/>
        <w:jc w:val="both"/>
        <w:rPr>
          <w:rFonts w:ascii="Palatino Linotype" w:hAnsi="Palatino Linotype" w:cs="Tahoma" w:eastAsiaTheme="minorHAnsi"/>
          <w:b/>
          <w:color w:val="000000" w:themeColor="text1"/>
          <w:sz w:val="22"/>
          <w:szCs w:val="22"/>
          <w:lang w:eastAsia="en-US"/>
        </w:rPr>
      </w:pPr>
    </w:p>
    <w:p w:rsidRPr="007C325C" w:rsidR="00321C87" w:rsidP="00855D7E" w:rsidRDefault="00321C87" w14:paraId="7A578892" w14:textId="77777777">
      <w:pPr>
        <w:spacing w:line="360" w:lineRule="auto"/>
        <w:contextualSpacing/>
        <w:jc w:val="both"/>
        <w:rPr>
          <w:rFonts w:ascii="Palatino Linotype" w:hAnsi="Palatino Linotype" w:cs="Tahoma" w:eastAsiaTheme="minorHAnsi"/>
          <w:b/>
          <w:bCs/>
          <w:color w:val="000000" w:themeColor="text1"/>
          <w:sz w:val="22"/>
          <w:szCs w:val="22"/>
          <w:lang w:eastAsia="en-US"/>
        </w:rPr>
      </w:pPr>
      <w:r w:rsidRPr="007C325C">
        <w:rPr>
          <w:rFonts w:ascii="Palatino Linotype" w:hAnsi="Palatino Linotype" w:cs="Tahoma" w:eastAsiaTheme="minorHAnsi"/>
          <w:color w:val="000000" w:themeColor="text1"/>
          <w:sz w:val="22"/>
          <w:szCs w:val="22"/>
          <w:lang w:eastAsia="en-US"/>
        </w:rPr>
        <w:t xml:space="preserve">En principio, es de señalar que cualquier información que dé cuenta del </w:t>
      </w:r>
      <w:r w:rsidRPr="007C325C">
        <w:rPr>
          <w:rFonts w:ascii="Palatino Linotype" w:hAnsi="Palatino Linotype" w:cs="Tahoma" w:eastAsiaTheme="minorHAnsi"/>
          <w:b/>
          <w:bCs/>
          <w:color w:val="000000" w:themeColor="text1"/>
          <w:sz w:val="22"/>
          <w:szCs w:val="22"/>
          <w:lang w:eastAsia="en-US"/>
        </w:rPr>
        <w:t>estado de salud de una persona</w:t>
      </w:r>
      <w:r w:rsidRPr="007C325C">
        <w:rPr>
          <w:rFonts w:ascii="Palatino Linotype" w:hAnsi="Palatino Linotype" w:cs="Tahoma" w:eastAsiaTheme="minorHAnsi"/>
          <w:color w:val="000000" w:themeColor="text1"/>
          <w:sz w:val="22"/>
          <w:szCs w:val="22"/>
          <w:lang w:eastAsia="en-US"/>
        </w:rPr>
        <w:t xml:space="preserve">, concierne a su vida íntima y privada; lo anterior, pues el artículo 4°, fracción XII, de la Ley de Protección de Datos Personales en Posesión de Sujetos Obligados del Estado de México y Municipios, establece que los datos personales sensibles, son aquellos cuya utilización indebida, puedan dar origen a discriminación o conlleven a un riesgo grave para </w:t>
      </w:r>
      <w:r w:rsidRPr="007C325C">
        <w:rPr>
          <w:rFonts w:ascii="Palatino Linotype" w:hAnsi="Palatino Linotype" w:cs="Tahoma" w:eastAsiaTheme="minorHAnsi"/>
          <w:color w:val="000000" w:themeColor="text1"/>
          <w:sz w:val="22"/>
          <w:szCs w:val="22"/>
          <w:lang w:eastAsia="en-US"/>
        </w:rPr>
        <w:lastRenderedPageBreak/>
        <w:t xml:space="preserve">éste, entre los cuales se encuentran los que </w:t>
      </w:r>
      <w:r w:rsidRPr="007C325C">
        <w:rPr>
          <w:rFonts w:ascii="Palatino Linotype" w:hAnsi="Palatino Linotype" w:cs="Tahoma" w:eastAsiaTheme="minorHAnsi"/>
          <w:b/>
          <w:bCs/>
          <w:color w:val="000000" w:themeColor="text1"/>
          <w:sz w:val="22"/>
          <w:szCs w:val="22"/>
          <w:lang w:eastAsia="en-US"/>
        </w:rPr>
        <w:t>den cuenta del estado de salud, ya sea físico o mental.</w:t>
      </w:r>
    </w:p>
    <w:p w:rsidRPr="007C325C" w:rsidR="00321C87" w:rsidP="00855D7E" w:rsidRDefault="00321C87" w14:paraId="0B1F3803" w14:textId="77777777">
      <w:pPr>
        <w:spacing w:line="360" w:lineRule="auto"/>
        <w:contextualSpacing/>
        <w:jc w:val="both"/>
        <w:rPr>
          <w:rFonts w:ascii="Palatino Linotype" w:hAnsi="Palatino Linotype" w:cs="Tahoma" w:eastAsiaTheme="minorHAnsi"/>
          <w:b/>
          <w:bCs/>
          <w:color w:val="000000" w:themeColor="text1"/>
          <w:sz w:val="22"/>
          <w:szCs w:val="22"/>
          <w:lang w:eastAsia="en-US"/>
        </w:rPr>
      </w:pPr>
    </w:p>
    <w:p w:rsidRPr="007C325C" w:rsidR="00321C87" w:rsidP="00855D7E" w:rsidRDefault="00321C87" w14:paraId="47B47F04" w14:textId="77777777">
      <w:pPr>
        <w:widowControl w:val="0"/>
        <w:autoSpaceDE w:val="0"/>
        <w:autoSpaceDN w:val="0"/>
        <w:adjustRightInd w:val="0"/>
        <w:spacing w:line="360" w:lineRule="auto"/>
        <w:contextualSpacing/>
        <w:jc w:val="both"/>
        <w:rPr>
          <w:rFonts w:ascii="Palatino Linotype" w:hAnsi="Palatino Linotype" w:cs="Tahoma" w:eastAsiaTheme="minorHAnsi"/>
          <w:b/>
          <w:color w:val="000000" w:themeColor="text1"/>
          <w:sz w:val="22"/>
          <w:szCs w:val="22"/>
          <w:lang w:eastAsia="en-US"/>
        </w:rPr>
      </w:pPr>
      <w:r w:rsidRPr="007C325C">
        <w:rPr>
          <w:rFonts w:ascii="Palatino Linotype" w:hAnsi="Palatino Linotype" w:eastAsia="Calibri" w:cs="Tahoma"/>
          <w:color w:val="000000" w:themeColor="text1"/>
          <w:sz w:val="22"/>
          <w:szCs w:val="22"/>
          <w:lang w:val="es-ES" w:eastAsia="en-US"/>
        </w:rPr>
        <w:t>De tales circunstancias, se considera que la información contenida en el certificado médico únicamente identifica el estado de salud físico y mental de la servidora pública, lo cual guarda el carácter confidencial, en términos del artículo 143, fracción I, de la Ley de Transparencia y Acceso a la Información Pública del Estado de México y Municipios</w:t>
      </w:r>
    </w:p>
    <w:p w:rsidRPr="007C325C" w:rsidR="00321C87" w:rsidP="00855D7E" w:rsidRDefault="00321C87" w14:paraId="72799192" w14:textId="77777777">
      <w:pPr>
        <w:spacing w:line="360" w:lineRule="auto"/>
        <w:contextualSpacing/>
        <w:jc w:val="both"/>
        <w:rPr>
          <w:rFonts w:ascii="Palatino Linotype" w:hAnsi="Palatino Linotype" w:eastAsia="Calibri" w:cs="Tahoma"/>
          <w:bCs/>
          <w:iCs/>
          <w:color w:val="000000" w:themeColor="text1"/>
          <w:sz w:val="22"/>
          <w:szCs w:val="22"/>
          <w:lang w:eastAsia="en-US"/>
        </w:rPr>
      </w:pPr>
    </w:p>
    <w:p w:rsidRPr="007C325C" w:rsidR="00321C87" w:rsidP="00855D7E" w:rsidRDefault="00321C87" w14:paraId="3CD27511" w14:textId="77777777">
      <w:pPr>
        <w:numPr>
          <w:ilvl w:val="0"/>
          <w:numId w:val="41"/>
        </w:numPr>
        <w:tabs>
          <w:tab w:val="left" w:pos="4962"/>
        </w:tabs>
        <w:spacing w:after="160" w:line="360" w:lineRule="auto"/>
        <w:ind w:right="-28"/>
        <w:contextualSpacing/>
        <w:jc w:val="both"/>
        <w:rPr>
          <w:rFonts w:ascii="Palatino Linotype" w:hAnsi="Palatino Linotype" w:eastAsia="Calibri" w:cs="Tahoma"/>
          <w:b/>
          <w:iCs/>
          <w:color w:val="000000" w:themeColor="text1"/>
          <w:sz w:val="22"/>
          <w:szCs w:val="22"/>
          <w:lang w:eastAsia="en-US"/>
        </w:rPr>
      </w:pPr>
      <w:r w:rsidRPr="007C325C">
        <w:rPr>
          <w:rFonts w:ascii="Palatino Linotype" w:hAnsi="Palatino Linotype" w:eastAsia="Calibri" w:cs="Tahoma"/>
          <w:b/>
          <w:iCs/>
          <w:color w:val="000000" w:themeColor="text1"/>
          <w:sz w:val="22"/>
          <w:szCs w:val="22"/>
          <w:lang w:eastAsia="en-US"/>
        </w:rPr>
        <w:t>Cartas de Recomendación.</w:t>
      </w:r>
    </w:p>
    <w:p w:rsidRPr="007C325C" w:rsidR="00321C87" w:rsidP="00855D7E" w:rsidRDefault="00321C87" w14:paraId="70E1DDB9" w14:textId="77777777">
      <w:pPr>
        <w:spacing w:line="360" w:lineRule="auto"/>
        <w:contextualSpacing/>
        <w:jc w:val="both"/>
        <w:rPr>
          <w:rFonts w:ascii="Palatino Linotype" w:hAnsi="Palatino Linotype" w:eastAsia="Calibri" w:cs="Tahoma"/>
          <w:bCs/>
          <w:iCs/>
          <w:color w:val="000000" w:themeColor="text1"/>
          <w:sz w:val="22"/>
          <w:szCs w:val="22"/>
          <w:lang w:eastAsia="en-US"/>
        </w:rPr>
      </w:pPr>
    </w:p>
    <w:p w:rsidRPr="007C325C" w:rsidR="00321C87" w:rsidP="00855D7E" w:rsidRDefault="00321C87" w14:paraId="2403E62A" w14:textId="77777777">
      <w:pPr>
        <w:spacing w:line="360" w:lineRule="auto"/>
        <w:contextualSpacing/>
        <w:jc w:val="both"/>
        <w:rPr>
          <w:rFonts w:ascii="Palatino Linotype" w:hAnsi="Palatino Linotype" w:eastAsia="Calibri" w:cs="Tahoma"/>
          <w:bCs/>
          <w:iCs/>
          <w:color w:val="000000" w:themeColor="text1"/>
          <w:sz w:val="22"/>
          <w:szCs w:val="22"/>
          <w:lang w:eastAsia="en-US"/>
        </w:rPr>
      </w:pPr>
      <w:r w:rsidRPr="007C325C">
        <w:rPr>
          <w:rFonts w:ascii="Palatino Linotype" w:hAnsi="Palatino Linotype" w:eastAsia="Calibri" w:cs="Tahoma"/>
          <w:bCs/>
          <w:iCs/>
          <w:color w:val="000000" w:themeColor="text1"/>
          <w:sz w:val="22"/>
          <w:szCs w:val="22"/>
          <w:lang w:eastAsia="en-US"/>
        </w:rPr>
        <w:t>Sobre dichos documentos, es de señalar que corresponden aquellos documentos en donde personas particulares dan referencias o una valoración de la persona que recomiendan, las cuales pueden contener información  de su forma de actuar, comportarse, valores, entre otras cuestiones, por lo que, se considera que son documentos de naturaleza privada, pues no abonan en nada a la transparencia, ni rinden cuentas del actuar de una trabajadora gubernamental, sino corresponde una apreciación subjetiva de una persona para recomendar a otra, las cuales son ocupadas comúnmente al solicitar un empleo.</w:t>
      </w:r>
    </w:p>
    <w:p w:rsidRPr="007C325C" w:rsidR="00321C87" w:rsidP="00855D7E" w:rsidRDefault="00321C87" w14:paraId="44A198B9" w14:textId="77777777">
      <w:pPr>
        <w:spacing w:line="360" w:lineRule="auto"/>
        <w:contextualSpacing/>
        <w:jc w:val="both"/>
        <w:rPr>
          <w:rFonts w:ascii="Palatino Linotype" w:hAnsi="Palatino Linotype" w:eastAsia="Calibri" w:cs="Tahoma"/>
          <w:bCs/>
          <w:iCs/>
          <w:color w:val="000000" w:themeColor="text1"/>
          <w:sz w:val="22"/>
          <w:szCs w:val="22"/>
          <w:lang w:eastAsia="en-US"/>
        </w:rPr>
      </w:pPr>
    </w:p>
    <w:p w:rsidRPr="007C325C" w:rsidR="00321C87" w:rsidP="00855D7E" w:rsidRDefault="00321C87" w14:paraId="066CC548" w14:textId="77777777">
      <w:pPr>
        <w:spacing w:line="360" w:lineRule="auto"/>
        <w:ind w:right="-93"/>
        <w:contextualSpacing/>
        <w:jc w:val="both"/>
        <w:rPr>
          <w:rFonts w:ascii="Palatino Linotype" w:hAnsi="Palatino Linotype" w:cs="Tahoma"/>
          <w:sz w:val="22"/>
          <w:szCs w:val="22"/>
          <w:lang w:val="es-ES"/>
        </w:rPr>
      </w:pPr>
      <w:r w:rsidRPr="007C325C">
        <w:rPr>
          <w:rFonts w:ascii="Palatino Linotype" w:hAnsi="Palatino Linotype" w:eastAsia="Calibri" w:cs="Tahoma"/>
          <w:bCs/>
          <w:iCs/>
          <w:color w:val="000000" w:themeColor="text1"/>
          <w:sz w:val="22"/>
          <w:szCs w:val="22"/>
          <w:lang w:eastAsia="en-US"/>
        </w:rPr>
        <w:t xml:space="preserve">Por lo que, se considera que dichos documentos actualizan la clasificación, de la causal establecida en el artículo 143, fracción I, de la </w:t>
      </w:r>
      <w:r w:rsidRPr="007C325C">
        <w:rPr>
          <w:rFonts w:ascii="Palatino Linotype" w:hAnsi="Palatino Linotype" w:cs="Tahoma"/>
          <w:sz w:val="22"/>
          <w:szCs w:val="22"/>
          <w:lang w:val="es-ES"/>
        </w:rPr>
        <w:t>Ley de Transparencia y Acceso a la Información Pública del Estado de México y Municipios.</w:t>
      </w:r>
    </w:p>
    <w:p w:rsidRPr="007C325C" w:rsidR="00321C87" w:rsidP="00855D7E" w:rsidRDefault="00321C87" w14:paraId="15D906FE" w14:textId="77777777">
      <w:pPr>
        <w:spacing w:line="360" w:lineRule="auto"/>
        <w:contextualSpacing/>
        <w:jc w:val="both"/>
        <w:rPr>
          <w:rFonts w:ascii="Palatino Linotype" w:hAnsi="Palatino Linotype" w:eastAsia="Calibri" w:cs="Tahoma"/>
          <w:bCs/>
          <w:iCs/>
          <w:color w:val="000000" w:themeColor="text1"/>
          <w:sz w:val="22"/>
          <w:szCs w:val="22"/>
          <w:lang w:eastAsia="en-US"/>
        </w:rPr>
      </w:pPr>
    </w:p>
    <w:p w:rsidRPr="007C325C" w:rsidR="00321C87" w:rsidP="00855D7E" w:rsidRDefault="00321C87" w14:paraId="41EDFBB7" w14:textId="77777777">
      <w:pPr>
        <w:numPr>
          <w:ilvl w:val="0"/>
          <w:numId w:val="41"/>
        </w:numPr>
        <w:tabs>
          <w:tab w:val="left" w:pos="4962"/>
        </w:tabs>
        <w:spacing w:after="160" w:line="360" w:lineRule="auto"/>
        <w:ind w:right="-28"/>
        <w:contextualSpacing/>
        <w:jc w:val="both"/>
        <w:rPr>
          <w:rFonts w:ascii="Palatino Linotype" w:hAnsi="Palatino Linotype" w:eastAsia="Calibri" w:cs="Tahoma"/>
          <w:b/>
          <w:iCs/>
          <w:sz w:val="22"/>
          <w:szCs w:val="24"/>
          <w:lang w:eastAsia="es-ES_tradnl"/>
        </w:rPr>
      </w:pPr>
      <w:r w:rsidRPr="007C325C">
        <w:rPr>
          <w:rFonts w:ascii="Palatino Linotype" w:hAnsi="Palatino Linotype" w:eastAsia="Calibri" w:cs="Tahoma"/>
          <w:b/>
          <w:iCs/>
          <w:sz w:val="22"/>
          <w:szCs w:val="24"/>
          <w:lang w:eastAsia="es-ES_tradnl"/>
        </w:rPr>
        <w:t>Constancia y Clave Única de Registro de Población.</w:t>
      </w:r>
    </w:p>
    <w:p w:rsidRPr="007C325C" w:rsidR="00321C87" w:rsidP="00855D7E" w:rsidRDefault="00321C87" w14:paraId="61DE7338" w14:textId="77777777">
      <w:pPr>
        <w:tabs>
          <w:tab w:val="left" w:pos="4962"/>
        </w:tabs>
        <w:spacing w:line="360" w:lineRule="auto"/>
        <w:ind w:right="-28"/>
        <w:contextualSpacing/>
        <w:jc w:val="both"/>
        <w:rPr>
          <w:rFonts w:ascii="Palatino Linotype" w:hAnsi="Palatino Linotype" w:eastAsia="Calibri" w:cs="Tahoma"/>
          <w:b/>
          <w:iCs/>
          <w:sz w:val="22"/>
          <w:szCs w:val="24"/>
          <w:lang w:eastAsia="es-ES_tradnl"/>
        </w:rPr>
      </w:pPr>
    </w:p>
    <w:p w:rsidRPr="007C325C" w:rsidR="00321C87" w:rsidP="00855D7E" w:rsidRDefault="00321C87" w14:paraId="2DF72015" w14:textId="77777777">
      <w:pPr>
        <w:spacing w:line="360" w:lineRule="auto"/>
        <w:contextualSpacing/>
        <w:jc w:val="both"/>
        <w:rPr>
          <w:rFonts w:ascii="Palatino Linotype" w:hAnsi="Palatino Linotype" w:cs="Tahoma" w:eastAsiaTheme="minorHAnsi"/>
          <w:bCs/>
          <w:color w:val="000000" w:themeColor="text1"/>
          <w:sz w:val="22"/>
          <w:szCs w:val="22"/>
          <w:lang w:eastAsia="en-US"/>
        </w:rPr>
      </w:pPr>
      <w:r w:rsidRPr="007C325C">
        <w:rPr>
          <w:rFonts w:ascii="Palatino Linotype" w:hAnsi="Palatino Linotype" w:cs="Tahoma" w:eastAsiaTheme="minorHAnsi"/>
          <w:bCs/>
          <w:color w:val="000000" w:themeColor="text1"/>
          <w:sz w:val="22"/>
          <w:szCs w:val="22"/>
          <w:lang w:eastAsia="en-US"/>
        </w:rPr>
        <w:t xml:space="preserve">El artículo 36 de la Constitución Política de los Estados Unidos Mexicanos, dispone la obligación de los ciudadanos de inscribirse en el Registro Nacional de Ciudadanos; además, </w:t>
      </w:r>
      <w:r w:rsidRPr="007C325C">
        <w:rPr>
          <w:rFonts w:ascii="Palatino Linotype" w:hAnsi="Palatino Linotype" w:cs="Tahoma" w:eastAsiaTheme="minorHAnsi"/>
          <w:bCs/>
          <w:color w:val="000000" w:themeColor="text1"/>
          <w:sz w:val="22"/>
          <w:szCs w:val="22"/>
          <w:lang w:eastAsia="en-US"/>
        </w:rPr>
        <w:lastRenderedPageBreak/>
        <w:t>el diverso 85 de la Ley General de Población, prevé que corresponde a la Secretaría de Gobernación el registro y acreditación de la identidad de todas las personas residentes en el país y de los nacionales que residan en el extranjero.</w:t>
      </w:r>
    </w:p>
    <w:p w:rsidRPr="007C325C" w:rsidR="00321C87" w:rsidP="00855D7E" w:rsidRDefault="00321C87" w14:paraId="7C969F51" w14:textId="77777777">
      <w:pPr>
        <w:spacing w:line="360" w:lineRule="auto"/>
        <w:contextualSpacing/>
        <w:jc w:val="both"/>
        <w:rPr>
          <w:rFonts w:ascii="Palatino Linotype" w:hAnsi="Palatino Linotype" w:cs="Tahoma" w:eastAsiaTheme="minorHAnsi"/>
          <w:bCs/>
          <w:color w:val="000000" w:themeColor="text1"/>
          <w:sz w:val="22"/>
          <w:szCs w:val="22"/>
          <w:lang w:eastAsia="en-US"/>
        </w:rPr>
      </w:pPr>
    </w:p>
    <w:p w:rsidRPr="007C325C" w:rsidR="00321C87" w:rsidP="00855D7E" w:rsidRDefault="00321C87" w14:paraId="396AD086" w14:textId="77777777">
      <w:pPr>
        <w:spacing w:line="360" w:lineRule="auto"/>
        <w:contextualSpacing/>
        <w:jc w:val="both"/>
        <w:rPr>
          <w:rFonts w:ascii="Palatino Linotype" w:hAnsi="Palatino Linotype" w:cs="Tahoma" w:eastAsiaTheme="minorHAnsi"/>
          <w:bCs/>
          <w:color w:val="000000" w:themeColor="text1"/>
          <w:sz w:val="22"/>
          <w:szCs w:val="22"/>
          <w:lang w:eastAsia="en-US"/>
        </w:rPr>
      </w:pPr>
      <w:r w:rsidRPr="007C325C">
        <w:rPr>
          <w:rFonts w:ascii="Palatino Linotype" w:hAnsi="Palatino Linotype" w:cs="Tahoma" w:eastAsiaTheme="minorHAnsi"/>
          <w:bCs/>
          <w:color w:val="000000" w:themeColor="text1"/>
          <w:sz w:val="22"/>
          <w:szCs w:val="22"/>
          <w:lang w:eastAsia="en-US"/>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rsidRPr="007C325C" w:rsidR="00321C87" w:rsidP="00855D7E" w:rsidRDefault="00321C87" w14:paraId="51CE864F" w14:textId="77777777">
      <w:pPr>
        <w:spacing w:line="360" w:lineRule="auto"/>
        <w:contextualSpacing/>
        <w:jc w:val="both"/>
        <w:rPr>
          <w:rFonts w:ascii="Palatino Linotype" w:hAnsi="Palatino Linotype" w:cs="Tahoma" w:eastAsiaTheme="minorHAnsi"/>
          <w:bCs/>
          <w:iCs/>
          <w:color w:val="000000" w:themeColor="text1"/>
          <w:sz w:val="22"/>
          <w:szCs w:val="22"/>
          <w:lang w:eastAsia="en-US"/>
        </w:rPr>
      </w:pPr>
    </w:p>
    <w:p w:rsidRPr="007C325C" w:rsidR="00321C87" w:rsidP="00855D7E" w:rsidRDefault="00321C87" w14:paraId="7B037889" w14:textId="77777777">
      <w:pPr>
        <w:spacing w:line="360" w:lineRule="auto"/>
        <w:contextualSpacing/>
        <w:jc w:val="both"/>
        <w:rPr>
          <w:rFonts w:ascii="Palatino Linotype" w:hAnsi="Palatino Linotype" w:cs="Tahoma" w:eastAsiaTheme="minorHAnsi"/>
          <w:bCs/>
          <w:color w:val="000000" w:themeColor="text1"/>
          <w:sz w:val="22"/>
          <w:szCs w:val="22"/>
          <w:lang w:eastAsia="en-US"/>
        </w:rPr>
      </w:pPr>
      <w:r w:rsidRPr="007C325C">
        <w:rPr>
          <w:rFonts w:ascii="Palatino Linotype" w:hAnsi="Palatino Linotype" w:cs="Tahoma" w:eastAsiaTheme="minorHAnsi"/>
          <w:color w:val="000000" w:themeColor="text1"/>
          <w:sz w:val="22"/>
          <w:szCs w:val="22"/>
          <w:lang w:eastAsia="en-US"/>
        </w:rPr>
        <w:t xml:space="preserve">En ese orden de ideas, la Secretaría de Gobernación en las direcciones </w:t>
      </w:r>
      <w:hyperlink w:history="1" r:id="rId13">
        <w:r w:rsidRPr="007C325C">
          <w:rPr>
            <w:rFonts w:ascii="Palatino Linotype" w:hAnsi="Palatino Linotype" w:cs="Tahoma" w:eastAsiaTheme="minorHAnsi"/>
            <w:color w:val="0563C1" w:themeColor="hyperlink"/>
            <w:sz w:val="22"/>
            <w:szCs w:val="22"/>
            <w:u w:val="single"/>
            <w:lang w:eastAsia="en-US"/>
          </w:rPr>
          <w:t>https://consultas.curp.gob.mx/CurpSP/html/informacionecurpPS.html</w:t>
        </w:r>
      </w:hyperlink>
      <w:r w:rsidRPr="007C325C">
        <w:rPr>
          <w:rFonts w:ascii="Palatino Linotype" w:hAnsi="Palatino Linotype" w:cs="Tahoma" w:eastAsiaTheme="minorHAnsi"/>
          <w:color w:val="000000" w:themeColor="text1"/>
          <w:sz w:val="22"/>
          <w:szCs w:val="22"/>
          <w:lang w:eastAsia="en-US"/>
        </w:rPr>
        <w:t xml:space="preserve"> y </w:t>
      </w:r>
      <w:hyperlink w:history="1" r:id="rId14">
        <w:r w:rsidRPr="007C325C">
          <w:rPr>
            <w:rFonts w:ascii="Palatino Linotype" w:hAnsi="Palatino Linotype" w:cs="Tahoma" w:eastAsiaTheme="minorHAnsi"/>
            <w:color w:val="0563C1" w:themeColor="hyperlink"/>
            <w:sz w:val="22"/>
            <w:szCs w:val="22"/>
            <w:u w:val="single"/>
            <w:lang w:eastAsia="en-US"/>
          </w:rPr>
          <w:t>https://www.gob.mx/segob/renapo/acciones-y-programas/clave-unica-de-registro-de-poblacion-curp-142226</w:t>
        </w:r>
      </w:hyperlink>
      <w:r w:rsidRPr="007C325C">
        <w:rPr>
          <w:rFonts w:ascii="Palatino Linotype" w:hAnsi="Palatino Linotype" w:cs="Tahoma" w:eastAsiaTheme="minorHAnsi"/>
          <w:color w:val="000000" w:themeColor="text1"/>
          <w:sz w:val="22"/>
          <w:szCs w:val="22"/>
          <w:u w:val="single"/>
          <w:lang w:eastAsia="en-US"/>
        </w:rPr>
        <w:t xml:space="preserve"> </w:t>
      </w:r>
      <w:r w:rsidRPr="007C325C">
        <w:rPr>
          <w:rFonts w:ascii="Palatino Linotype" w:hAnsi="Palatino Linotype" w:cs="Tahoma" w:eastAsiaTheme="minorHAnsi"/>
          <w:bCs/>
          <w:color w:val="000000" w:themeColor="text1"/>
          <w:sz w:val="22"/>
          <w:szCs w:val="22"/>
          <w:lang w:eastAsia="en-US"/>
        </w:rPr>
        <w:t>,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se generan a partir de los datos contenidos en el documento probatorio de la identidad del interesado (acta de nacimiento, carta de naturalización o documento migratorio) de la siguiente forma:</w:t>
      </w:r>
    </w:p>
    <w:p w:rsidRPr="007C325C" w:rsidR="00321C87" w:rsidP="00855D7E" w:rsidRDefault="00321C87" w14:paraId="4F3418EE" w14:textId="77777777">
      <w:pPr>
        <w:spacing w:line="360" w:lineRule="auto"/>
        <w:contextualSpacing/>
        <w:jc w:val="both"/>
        <w:rPr>
          <w:rFonts w:ascii="Palatino Linotype" w:hAnsi="Palatino Linotype" w:cs="Tahoma" w:eastAsiaTheme="minorHAnsi"/>
          <w:bCs/>
          <w:color w:val="000000" w:themeColor="text1"/>
          <w:sz w:val="22"/>
          <w:szCs w:val="22"/>
          <w:lang w:eastAsia="en-US"/>
        </w:rPr>
      </w:pPr>
    </w:p>
    <w:p w:rsidRPr="007C325C" w:rsidR="00321C87" w:rsidP="00855D7E" w:rsidRDefault="00321C87" w14:paraId="1CAD315D" w14:textId="77777777">
      <w:pPr>
        <w:numPr>
          <w:ilvl w:val="0"/>
          <w:numId w:val="43"/>
        </w:numPr>
        <w:spacing w:after="160" w:line="360" w:lineRule="auto"/>
        <w:contextualSpacing/>
        <w:jc w:val="both"/>
        <w:rPr>
          <w:rFonts w:ascii="Palatino Linotype" w:hAnsi="Palatino Linotype" w:cs="Tahoma" w:eastAsiaTheme="minorHAnsi"/>
          <w:bCs/>
          <w:color w:val="000000" w:themeColor="text1"/>
          <w:sz w:val="22"/>
          <w:szCs w:val="22"/>
          <w:lang w:eastAsia="en-US"/>
        </w:rPr>
      </w:pPr>
      <w:r w:rsidRPr="007C325C">
        <w:rPr>
          <w:rFonts w:ascii="Palatino Linotype" w:hAnsi="Palatino Linotype" w:cs="Tahoma" w:eastAsiaTheme="minorHAnsi"/>
          <w:bCs/>
          <w:color w:val="000000" w:themeColor="text1"/>
          <w:sz w:val="22"/>
          <w:szCs w:val="22"/>
          <w:lang w:eastAsia="en-US"/>
        </w:rPr>
        <w:t>El primero y segundo apellidos, así como al nombre de pila;</w:t>
      </w:r>
    </w:p>
    <w:p w:rsidRPr="007C325C" w:rsidR="00321C87" w:rsidP="00855D7E" w:rsidRDefault="00321C87" w14:paraId="3B4B7A87" w14:textId="77777777">
      <w:pPr>
        <w:numPr>
          <w:ilvl w:val="0"/>
          <w:numId w:val="43"/>
        </w:numPr>
        <w:spacing w:after="160" w:line="360" w:lineRule="auto"/>
        <w:contextualSpacing/>
        <w:jc w:val="both"/>
        <w:rPr>
          <w:rFonts w:ascii="Palatino Linotype" w:hAnsi="Palatino Linotype" w:cs="Tahoma" w:eastAsiaTheme="minorHAnsi"/>
          <w:bCs/>
          <w:color w:val="000000" w:themeColor="text1"/>
          <w:sz w:val="22"/>
          <w:szCs w:val="22"/>
          <w:lang w:eastAsia="en-US"/>
        </w:rPr>
      </w:pPr>
      <w:r w:rsidRPr="007C325C">
        <w:rPr>
          <w:rFonts w:ascii="Palatino Linotype" w:hAnsi="Palatino Linotype" w:cs="Tahoma" w:eastAsiaTheme="minorHAnsi"/>
          <w:bCs/>
          <w:color w:val="000000" w:themeColor="text1"/>
          <w:sz w:val="22"/>
          <w:szCs w:val="22"/>
          <w:lang w:eastAsia="en-US"/>
        </w:rPr>
        <w:t>La fecha de nacimiento;</w:t>
      </w:r>
    </w:p>
    <w:p w:rsidRPr="007C325C" w:rsidR="00321C87" w:rsidP="00855D7E" w:rsidRDefault="00321C87" w14:paraId="59A85A4B" w14:textId="77777777">
      <w:pPr>
        <w:numPr>
          <w:ilvl w:val="0"/>
          <w:numId w:val="43"/>
        </w:numPr>
        <w:spacing w:after="160" w:line="360" w:lineRule="auto"/>
        <w:contextualSpacing/>
        <w:jc w:val="both"/>
        <w:rPr>
          <w:rFonts w:ascii="Palatino Linotype" w:hAnsi="Palatino Linotype" w:cs="Tahoma" w:eastAsiaTheme="minorHAnsi"/>
          <w:bCs/>
          <w:color w:val="000000" w:themeColor="text1"/>
          <w:sz w:val="22"/>
          <w:szCs w:val="22"/>
          <w:lang w:eastAsia="en-US"/>
        </w:rPr>
      </w:pPr>
      <w:r w:rsidRPr="007C325C">
        <w:rPr>
          <w:rFonts w:ascii="Palatino Linotype" w:hAnsi="Palatino Linotype" w:cs="Tahoma" w:eastAsiaTheme="minorHAnsi"/>
          <w:bCs/>
          <w:color w:val="000000" w:themeColor="text1"/>
          <w:sz w:val="22"/>
          <w:szCs w:val="22"/>
          <w:lang w:eastAsia="en-US"/>
        </w:rPr>
        <w:t>El sexo, y</w:t>
      </w:r>
    </w:p>
    <w:p w:rsidRPr="007C325C" w:rsidR="00321C87" w:rsidP="00855D7E" w:rsidRDefault="00321C87" w14:paraId="2A9CD380" w14:textId="77777777">
      <w:pPr>
        <w:numPr>
          <w:ilvl w:val="0"/>
          <w:numId w:val="43"/>
        </w:numPr>
        <w:spacing w:after="160" w:line="360" w:lineRule="auto"/>
        <w:contextualSpacing/>
        <w:jc w:val="both"/>
        <w:rPr>
          <w:rFonts w:ascii="Palatino Linotype" w:hAnsi="Palatino Linotype" w:cs="Tahoma" w:eastAsiaTheme="minorHAnsi"/>
          <w:bCs/>
          <w:color w:val="000000" w:themeColor="text1"/>
          <w:sz w:val="22"/>
          <w:szCs w:val="22"/>
          <w:lang w:eastAsia="en-US"/>
        </w:rPr>
      </w:pPr>
      <w:r w:rsidRPr="007C325C">
        <w:rPr>
          <w:rFonts w:ascii="Palatino Linotype" w:hAnsi="Palatino Linotype" w:cs="Tahoma" w:eastAsiaTheme="minorHAnsi"/>
          <w:bCs/>
          <w:color w:val="000000" w:themeColor="text1"/>
          <w:sz w:val="22"/>
          <w:szCs w:val="22"/>
          <w:lang w:eastAsia="en-US"/>
        </w:rPr>
        <w:t>La entidad federativa de nacimiento.</w:t>
      </w:r>
    </w:p>
    <w:p w:rsidRPr="007C325C" w:rsidR="00321C87" w:rsidP="00855D7E" w:rsidRDefault="00321C87" w14:paraId="5D6AB0B0" w14:textId="77777777">
      <w:pPr>
        <w:spacing w:line="360" w:lineRule="auto"/>
        <w:contextualSpacing/>
        <w:jc w:val="both"/>
        <w:rPr>
          <w:rFonts w:ascii="Palatino Linotype" w:hAnsi="Palatino Linotype" w:cs="Tahoma" w:eastAsiaTheme="minorHAnsi"/>
          <w:bCs/>
          <w:color w:val="000000" w:themeColor="text1"/>
          <w:sz w:val="22"/>
          <w:szCs w:val="22"/>
          <w:lang w:eastAsia="en-US"/>
        </w:rPr>
      </w:pPr>
    </w:p>
    <w:p w:rsidRPr="007C325C" w:rsidR="00321C87" w:rsidP="00855D7E" w:rsidRDefault="00321C87" w14:paraId="61092BF3" w14:textId="77777777">
      <w:pPr>
        <w:spacing w:line="360" w:lineRule="auto"/>
        <w:contextualSpacing/>
        <w:jc w:val="both"/>
        <w:rPr>
          <w:rFonts w:ascii="Palatino Linotype" w:hAnsi="Palatino Linotype" w:cs="Tahoma" w:eastAsiaTheme="minorHAnsi"/>
          <w:bCs/>
          <w:color w:val="000000" w:themeColor="text1"/>
          <w:sz w:val="22"/>
          <w:szCs w:val="22"/>
          <w:lang w:eastAsia="en-US"/>
        </w:rPr>
      </w:pPr>
      <w:r w:rsidRPr="007C325C">
        <w:rPr>
          <w:rFonts w:ascii="Palatino Linotype" w:hAnsi="Palatino Linotype" w:cs="Tahoma" w:eastAsiaTheme="minorHAnsi"/>
          <w:bCs/>
          <w:color w:val="000000" w:themeColor="text1"/>
          <w:sz w:val="22"/>
          <w:szCs w:val="22"/>
          <w:lang w:eastAsia="en-US"/>
        </w:rPr>
        <w:lastRenderedPageBreak/>
        <w:t>Los dos últimos elementos de la Clave Única de Registro de Población evitan la duplicidad de la Clave y garantizan su correcta integración.</w:t>
      </w:r>
    </w:p>
    <w:p w:rsidRPr="007C325C" w:rsidR="00321C87" w:rsidP="00855D7E" w:rsidRDefault="00321C87" w14:paraId="37E7E537" w14:textId="77777777">
      <w:pPr>
        <w:spacing w:line="360" w:lineRule="auto"/>
        <w:contextualSpacing/>
        <w:jc w:val="both"/>
        <w:rPr>
          <w:rFonts w:ascii="Palatino Linotype" w:hAnsi="Palatino Linotype" w:cs="Tahoma" w:eastAsiaTheme="minorHAnsi"/>
          <w:bCs/>
          <w:color w:val="000000" w:themeColor="text1"/>
          <w:sz w:val="22"/>
          <w:szCs w:val="22"/>
          <w:lang w:eastAsia="en-US"/>
        </w:rPr>
      </w:pPr>
    </w:p>
    <w:p w:rsidRPr="007C325C" w:rsidR="00321C87" w:rsidP="00855D7E" w:rsidRDefault="00321C87" w14:paraId="565143F3" w14:textId="77777777">
      <w:pPr>
        <w:spacing w:line="360" w:lineRule="auto"/>
        <w:contextualSpacing/>
        <w:jc w:val="both"/>
        <w:rPr>
          <w:rFonts w:ascii="Palatino Linotype" w:hAnsi="Palatino Linotype" w:cs="Tahoma" w:eastAsiaTheme="minorHAnsi"/>
          <w:bCs/>
          <w:color w:val="000000" w:themeColor="text1"/>
          <w:sz w:val="22"/>
          <w:szCs w:val="22"/>
          <w:lang w:eastAsia="en-US"/>
        </w:rPr>
      </w:pPr>
      <w:r w:rsidRPr="007C325C">
        <w:rPr>
          <w:rFonts w:ascii="Palatino Linotype" w:hAnsi="Palatino Linotype" w:cs="Tahoma" w:eastAsiaTheme="minorHAnsi"/>
          <w:bCs/>
          <w:color w:val="000000" w:themeColor="text1"/>
          <w:sz w:val="22"/>
          <w:szCs w:val="22"/>
          <w:lang w:eastAsia="en-US"/>
        </w:rPr>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rsidRPr="007C325C" w:rsidR="00321C87" w:rsidP="00855D7E" w:rsidRDefault="00321C87" w14:paraId="06A89A5F" w14:textId="77777777">
      <w:pPr>
        <w:spacing w:line="360" w:lineRule="auto"/>
        <w:contextualSpacing/>
        <w:jc w:val="both"/>
        <w:rPr>
          <w:rFonts w:ascii="Palatino Linotype" w:hAnsi="Palatino Linotype" w:cs="Tahoma" w:eastAsiaTheme="minorHAnsi"/>
          <w:bCs/>
          <w:color w:val="000000" w:themeColor="text1"/>
          <w:sz w:val="22"/>
          <w:szCs w:val="22"/>
          <w:lang w:eastAsia="en-US"/>
        </w:rPr>
      </w:pPr>
    </w:p>
    <w:p w:rsidRPr="007C325C" w:rsidR="00321C87" w:rsidP="00855D7E" w:rsidRDefault="00321C87" w14:paraId="0D36E0DE" w14:textId="77777777">
      <w:pPr>
        <w:spacing w:line="360" w:lineRule="auto"/>
        <w:contextualSpacing/>
        <w:jc w:val="both"/>
        <w:rPr>
          <w:rFonts w:ascii="Palatino Linotype" w:hAnsi="Palatino Linotype" w:cs="Tahoma" w:eastAsiaTheme="minorHAnsi"/>
          <w:bCs/>
          <w:color w:val="000000" w:themeColor="text1"/>
          <w:sz w:val="22"/>
          <w:szCs w:val="22"/>
          <w:lang w:eastAsia="en-US"/>
        </w:rPr>
      </w:pPr>
      <w:r w:rsidRPr="007C325C">
        <w:rPr>
          <w:rFonts w:ascii="Palatino Linotype" w:hAnsi="Palatino Linotype" w:cs="Tahoma" w:eastAsiaTheme="minorHAnsi"/>
          <w:bCs/>
          <w:color w:val="000000" w:themeColor="text1"/>
          <w:sz w:val="22"/>
          <w:szCs w:val="22"/>
          <w:lang w:eastAsia="en-US"/>
        </w:rPr>
        <w:t xml:space="preserve">Situación que se robustece, con el Criterio </w:t>
      </w:r>
      <w:r w:rsidRPr="007C325C">
        <w:rPr>
          <w:rFonts w:ascii="Palatino Linotype" w:hAnsi="Palatino Linotype" w:cs="Tahoma"/>
          <w:iCs/>
          <w:sz w:val="22"/>
          <w:szCs w:val="22"/>
        </w:rPr>
        <w:t>de Interpretación, de la Segunda Época, con número de registro SO/018/2017</w:t>
      </w:r>
      <w:r w:rsidRPr="007C325C">
        <w:rPr>
          <w:rFonts w:ascii="Palatino Linotype" w:hAnsi="Palatino Linotype" w:cs="Tahoma" w:eastAsiaTheme="minorHAnsi"/>
          <w:bCs/>
          <w:color w:val="000000" w:themeColor="text1"/>
          <w:sz w:val="22"/>
          <w:szCs w:val="22"/>
          <w:lang w:eastAsia="en-US"/>
        </w:rPr>
        <w:t>, emitido por el Instituto Nacional de Transparencia, Acceso a la Información y Protección de Datos Personales, que establece lo siguiente:</w:t>
      </w:r>
    </w:p>
    <w:p w:rsidRPr="007C325C" w:rsidR="00321C87" w:rsidP="00855D7E" w:rsidRDefault="00321C87" w14:paraId="0D5D5A86" w14:textId="77777777">
      <w:pPr>
        <w:spacing w:line="360" w:lineRule="auto"/>
        <w:ind w:left="567" w:right="567"/>
        <w:contextualSpacing/>
        <w:jc w:val="both"/>
        <w:rPr>
          <w:rFonts w:ascii="Palatino Linotype" w:hAnsi="Palatino Linotype" w:cs="Tahoma" w:eastAsiaTheme="minorHAnsi"/>
          <w:bCs/>
          <w:iCs/>
          <w:color w:val="000000" w:themeColor="text1"/>
          <w:sz w:val="22"/>
          <w:szCs w:val="22"/>
          <w:lang w:eastAsia="en-US"/>
        </w:rPr>
      </w:pPr>
    </w:p>
    <w:p w:rsidRPr="007C325C" w:rsidR="00321C87" w:rsidP="00855D7E" w:rsidRDefault="00321C87" w14:paraId="51669128" w14:textId="77777777">
      <w:pPr>
        <w:spacing w:line="360" w:lineRule="auto"/>
        <w:ind w:left="567" w:right="567"/>
        <w:contextualSpacing/>
        <w:jc w:val="both"/>
        <w:rPr>
          <w:rFonts w:ascii="Palatino Linotype" w:hAnsi="Palatino Linotype" w:cs="Tahoma" w:eastAsiaTheme="minorHAnsi"/>
          <w:bCs/>
          <w:i/>
          <w:iCs/>
          <w:color w:val="000000" w:themeColor="text1"/>
          <w:lang w:eastAsia="en-US"/>
        </w:rPr>
      </w:pPr>
      <w:r w:rsidRPr="007C325C">
        <w:rPr>
          <w:rFonts w:ascii="Palatino Linotype" w:hAnsi="Palatino Linotype" w:cs="Tahoma" w:eastAsiaTheme="minorHAnsi"/>
          <w:b/>
          <w:bCs/>
          <w:i/>
          <w:iCs/>
          <w:color w:val="000000" w:themeColor="text1"/>
          <w:lang w:eastAsia="en-US"/>
        </w:rPr>
        <w:t xml:space="preserve">“Clave Única de Registro de Población (CURP). </w:t>
      </w:r>
      <w:r w:rsidRPr="007C325C">
        <w:rPr>
          <w:rFonts w:ascii="Palatino Linotype" w:hAnsi="Palatino Linotype" w:cs="Tahoma" w:eastAsiaTheme="minorHAnsi"/>
          <w:bCs/>
          <w:i/>
          <w:iCs/>
          <w:color w:val="000000" w:themeColor="text1"/>
          <w:lang w:eastAsia="en-US"/>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rsidRPr="007C325C" w:rsidR="00321C87" w:rsidP="00855D7E" w:rsidRDefault="00321C87" w14:paraId="66DB9A7F" w14:textId="77777777">
      <w:pPr>
        <w:spacing w:line="360" w:lineRule="auto"/>
        <w:contextualSpacing/>
        <w:jc w:val="both"/>
        <w:rPr>
          <w:rFonts w:ascii="Palatino Linotype" w:hAnsi="Palatino Linotype" w:cs="Tahoma" w:eastAsiaTheme="minorHAnsi"/>
          <w:bCs/>
          <w:color w:val="000000" w:themeColor="text1"/>
          <w:sz w:val="22"/>
          <w:szCs w:val="22"/>
          <w:lang w:eastAsia="en-US"/>
        </w:rPr>
      </w:pPr>
    </w:p>
    <w:p w:rsidRPr="007C325C" w:rsidR="00321C87" w:rsidP="00855D7E" w:rsidRDefault="00321C87" w14:paraId="11C2FAB8" w14:textId="77777777">
      <w:pPr>
        <w:spacing w:line="360" w:lineRule="auto"/>
        <w:contextualSpacing/>
        <w:jc w:val="both"/>
        <w:rPr>
          <w:rFonts w:ascii="Palatino Linotype" w:hAnsi="Palatino Linotype" w:cs="Tahoma" w:eastAsiaTheme="minorHAnsi"/>
          <w:bCs/>
          <w:color w:val="000000" w:themeColor="text1"/>
          <w:sz w:val="22"/>
          <w:szCs w:val="22"/>
          <w:lang w:eastAsia="en-US"/>
        </w:rPr>
      </w:pPr>
      <w:r w:rsidRPr="007C325C">
        <w:rPr>
          <w:rFonts w:ascii="Palatino Linotype" w:hAnsi="Palatino Linotype" w:cs="Tahoma" w:eastAsiaTheme="minorHAnsi"/>
          <w:bCs/>
          <w:color w:val="000000" w:themeColor="text1"/>
          <w:sz w:val="22"/>
          <w:szCs w:val="22"/>
          <w:lang w:eastAsia="en-US"/>
        </w:rPr>
        <w:t xml:space="preserve">De acuerdo con lo anterior, resulta procedente la clasificación de la Clave Única de Registro de Población; por lo que, la constancia de dicho dato corre al misma suerte, pues únicamente contiene datos que hacen identificables a la servidora pública, que en nada abonan a la transparencia y no rinden cuantas de la forma de actuar de la Encargada de Despacho de la Unidad de Transparencia, por lo que, es un documento privado, en términos del artículo 143, fracción I, de la Ley de Transparencia y Acceso a la Información Pública del Estado de México y Municipios. </w:t>
      </w:r>
    </w:p>
    <w:p w:rsidRPr="007C325C" w:rsidR="00321C87" w:rsidP="00855D7E" w:rsidRDefault="00321C87" w14:paraId="00190CA3" w14:textId="77777777">
      <w:pPr>
        <w:spacing w:line="360" w:lineRule="auto"/>
        <w:contextualSpacing/>
        <w:jc w:val="both"/>
        <w:rPr>
          <w:rFonts w:ascii="Palatino Linotype" w:hAnsi="Palatino Linotype" w:cs="Tahoma" w:eastAsiaTheme="minorHAnsi"/>
          <w:bCs/>
          <w:color w:val="000000" w:themeColor="text1"/>
          <w:sz w:val="22"/>
          <w:szCs w:val="22"/>
          <w:lang w:eastAsia="en-US"/>
        </w:rPr>
      </w:pPr>
    </w:p>
    <w:p w:rsidRPr="007C325C" w:rsidR="00321C87" w:rsidP="00855D7E" w:rsidRDefault="00321C87" w14:paraId="5C0667A2" w14:textId="77777777">
      <w:pPr>
        <w:widowControl w:val="0"/>
        <w:numPr>
          <w:ilvl w:val="0"/>
          <w:numId w:val="44"/>
        </w:numPr>
        <w:autoSpaceDE w:val="0"/>
        <w:autoSpaceDN w:val="0"/>
        <w:adjustRightInd w:val="0"/>
        <w:spacing w:after="160" w:line="360" w:lineRule="auto"/>
        <w:contextualSpacing/>
        <w:jc w:val="both"/>
        <w:rPr>
          <w:rFonts w:ascii="Palatino Linotype" w:hAnsi="Palatino Linotype" w:cs="Tahoma"/>
          <w:b/>
          <w:color w:val="000000" w:themeColor="text1"/>
          <w:sz w:val="22"/>
          <w:szCs w:val="24"/>
        </w:rPr>
      </w:pPr>
      <w:r w:rsidRPr="007C325C">
        <w:rPr>
          <w:rFonts w:ascii="Palatino Linotype" w:hAnsi="Palatino Linotype" w:eastAsia="Calibri" w:cs="Tahoma"/>
          <w:b/>
          <w:bCs/>
          <w:color w:val="000000" w:themeColor="text1"/>
          <w:sz w:val="22"/>
          <w:szCs w:val="24"/>
        </w:rPr>
        <w:t xml:space="preserve">Aviso de Movimientos de alta ISSEMyM. </w:t>
      </w:r>
    </w:p>
    <w:p w:rsidRPr="007C325C" w:rsidR="00321C87" w:rsidP="00855D7E" w:rsidRDefault="00321C87" w14:paraId="7CC2A850" w14:textId="77777777">
      <w:pPr>
        <w:widowControl w:val="0"/>
        <w:autoSpaceDE w:val="0"/>
        <w:autoSpaceDN w:val="0"/>
        <w:adjustRightInd w:val="0"/>
        <w:spacing w:line="360" w:lineRule="auto"/>
        <w:contextualSpacing/>
        <w:jc w:val="both"/>
        <w:rPr>
          <w:rFonts w:ascii="Palatino Linotype" w:hAnsi="Palatino Linotype" w:cs="Tahoma" w:eastAsiaTheme="minorHAnsi"/>
          <w:color w:val="000000" w:themeColor="text1"/>
          <w:sz w:val="22"/>
          <w:szCs w:val="22"/>
          <w:lang w:eastAsia="en-US"/>
        </w:rPr>
      </w:pPr>
    </w:p>
    <w:p w:rsidRPr="007C325C" w:rsidR="00321C87" w:rsidP="00855D7E" w:rsidRDefault="00321C87" w14:paraId="52BFF335" w14:textId="77777777">
      <w:pPr>
        <w:widowControl w:val="0"/>
        <w:autoSpaceDE w:val="0"/>
        <w:autoSpaceDN w:val="0"/>
        <w:adjustRightInd w:val="0"/>
        <w:spacing w:line="360" w:lineRule="auto"/>
        <w:contextualSpacing/>
        <w:jc w:val="both"/>
        <w:rPr>
          <w:rFonts w:ascii="Palatino Linotype" w:hAnsi="Palatino Linotype" w:cs="Tahoma" w:eastAsiaTheme="minorHAnsi"/>
          <w:color w:val="000000" w:themeColor="text1"/>
          <w:sz w:val="22"/>
          <w:szCs w:val="22"/>
          <w:lang w:eastAsia="en-US"/>
        </w:rPr>
      </w:pPr>
      <w:r w:rsidRPr="007C325C">
        <w:rPr>
          <w:rFonts w:ascii="Palatino Linotype" w:hAnsi="Palatino Linotype" w:cs="Tahoma" w:eastAsiaTheme="minorHAnsi"/>
          <w:color w:val="000000" w:themeColor="text1"/>
          <w:sz w:val="22"/>
          <w:szCs w:val="22"/>
          <w:lang w:eastAsia="en-US"/>
        </w:rPr>
        <w:t xml:space="preserve">El Aviso de Movimientos, es un documento que debe expedir la dependencia pública a la cual se ingresa y que indica el alta en el sistema como servidor público, este documento deberá ser presentado ante el Instituto de Seguridad Social del Estado de México y Municipios, con la finalidad de llevar a cabo diversos trámites para obtener los beneficios de seguridad social. </w:t>
      </w:r>
    </w:p>
    <w:p w:rsidRPr="007C325C" w:rsidR="00321C87" w:rsidP="00855D7E" w:rsidRDefault="00321C87" w14:paraId="28E212B2" w14:textId="77777777">
      <w:pPr>
        <w:widowControl w:val="0"/>
        <w:autoSpaceDE w:val="0"/>
        <w:autoSpaceDN w:val="0"/>
        <w:adjustRightInd w:val="0"/>
        <w:spacing w:line="360" w:lineRule="auto"/>
        <w:contextualSpacing/>
        <w:jc w:val="both"/>
        <w:rPr>
          <w:rFonts w:ascii="Palatino Linotype" w:hAnsi="Palatino Linotype" w:cs="Tahoma" w:eastAsiaTheme="minorHAnsi"/>
          <w:color w:val="000000" w:themeColor="text1"/>
          <w:sz w:val="22"/>
          <w:szCs w:val="22"/>
          <w:lang w:eastAsia="en-US"/>
        </w:rPr>
      </w:pPr>
    </w:p>
    <w:p w:rsidRPr="007C325C" w:rsidR="00321C87" w:rsidP="00855D7E" w:rsidRDefault="00321C87" w14:paraId="03F3F35C" w14:textId="77777777">
      <w:pPr>
        <w:widowControl w:val="0"/>
        <w:autoSpaceDE w:val="0"/>
        <w:autoSpaceDN w:val="0"/>
        <w:adjustRightInd w:val="0"/>
        <w:spacing w:line="360" w:lineRule="auto"/>
        <w:contextualSpacing/>
        <w:jc w:val="both"/>
        <w:rPr>
          <w:rFonts w:ascii="Palatino Linotype" w:hAnsi="Palatino Linotype" w:cs="Tahoma" w:eastAsiaTheme="minorHAnsi"/>
          <w:color w:val="000000" w:themeColor="text1"/>
          <w:sz w:val="22"/>
          <w:szCs w:val="22"/>
          <w:lang w:eastAsia="en-US"/>
        </w:rPr>
      </w:pPr>
      <w:r w:rsidRPr="007C325C">
        <w:rPr>
          <w:rFonts w:ascii="Palatino Linotype" w:hAnsi="Palatino Linotype" w:cs="Tahoma" w:eastAsiaTheme="minorHAnsi"/>
          <w:color w:val="000000" w:themeColor="text1"/>
          <w:sz w:val="22"/>
          <w:szCs w:val="22"/>
          <w:lang w:eastAsia="en-US"/>
        </w:rPr>
        <w:t xml:space="preserve">Ahora bien, de acuerdo con lo que establece el artículo 3.85 del Código Reglamentario de Metepec, el Departamento de nómina tiene dentro de sus atribuciones aplicar en el Sistema del ISSEMyM, los movimientos de la nómina (altas, bajas y modificaciones), es decir, derivado del ingreso al servicio público, esta unidad administrativa deberá registrar los datos correspondientes con la finalidad de desempeñar sus atribuciones y en cumplimiento de las obligaciones y derechos laborales a favor de los servidores públicos que emplea; es decir, la inscripción de los trabajadores a alguna institución de salud. </w:t>
      </w:r>
    </w:p>
    <w:p w:rsidRPr="007C325C" w:rsidR="00321C87" w:rsidP="00855D7E" w:rsidRDefault="00321C87" w14:paraId="40CBC8D8" w14:textId="77777777">
      <w:pPr>
        <w:widowControl w:val="0"/>
        <w:autoSpaceDE w:val="0"/>
        <w:autoSpaceDN w:val="0"/>
        <w:adjustRightInd w:val="0"/>
        <w:spacing w:line="360" w:lineRule="auto"/>
        <w:contextualSpacing/>
        <w:jc w:val="both"/>
        <w:rPr>
          <w:rFonts w:ascii="Palatino Linotype" w:hAnsi="Palatino Linotype" w:cs="Tahoma" w:eastAsiaTheme="minorHAnsi"/>
          <w:color w:val="000000" w:themeColor="text1"/>
          <w:sz w:val="22"/>
          <w:szCs w:val="22"/>
          <w:lang w:eastAsia="en-US"/>
        </w:rPr>
      </w:pPr>
    </w:p>
    <w:p w:rsidRPr="007C325C" w:rsidR="00321C87" w:rsidP="00855D7E" w:rsidRDefault="00321C87" w14:paraId="64E4D7B0" w14:textId="77777777">
      <w:pPr>
        <w:widowControl w:val="0"/>
        <w:autoSpaceDE w:val="0"/>
        <w:autoSpaceDN w:val="0"/>
        <w:adjustRightInd w:val="0"/>
        <w:spacing w:line="360" w:lineRule="auto"/>
        <w:contextualSpacing/>
        <w:jc w:val="both"/>
        <w:rPr>
          <w:rFonts w:ascii="Palatino Linotype" w:hAnsi="Palatino Linotype" w:cs="Tahoma" w:eastAsiaTheme="minorHAnsi"/>
          <w:color w:val="000000" w:themeColor="text1"/>
          <w:sz w:val="22"/>
          <w:szCs w:val="22"/>
          <w:lang w:eastAsia="en-US"/>
        </w:rPr>
      </w:pPr>
      <w:r w:rsidRPr="007C325C">
        <w:rPr>
          <w:rFonts w:ascii="Palatino Linotype" w:hAnsi="Palatino Linotype" w:cs="Tahoma" w:eastAsiaTheme="minorHAnsi"/>
          <w:color w:val="000000" w:themeColor="text1"/>
          <w:sz w:val="22"/>
          <w:szCs w:val="22"/>
          <w:lang w:eastAsia="en-US"/>
        </w:rPr>
        <w:t xml:space="preserve">Por lo anterior, toda vez que este documento es generado en ejercicio de funciones del Sujeto Obligado, es de naturaleza pública, sin embargo, no pasa desapercibido mencionar que puede contener datos que actualizan la causal prevista en la fracción I del artículo 143 de la Ley de Transparencia del Estado de México y Municipios, por lo tanto, deberá ser proporcionado en versión pública. </w:t>
      </w:r>
    </w:p>
    <w:p w:rsidRPr="007C325C" w:rsidR="00321C87" w:rsidP="00855D7E" w:rsidRDefault="00321C87" w14:paraId="3A33773F" w14:textId="77777777">
      <w:pPr>
        <w:widowControl w:val="0"/>
        <w:autoSpaceDE w:val="0"/>
        <w:autoSpaceDN w:val="0"/>
        <w:adjustRightInd w:val="0"/>
        <w:spacing w:line="360" w:lineRule="auto"/>
        <w:contextualSpacing/>
        <w:jc w:val="both"/>
        <w:rPr>
          <w:rFonts w:ascii="Palatino Linotype" w:hAnsi="Palatino Linotype" w:cs="Tahoma" w:eastAsiaTheme="minorHAnsi"/>
          <w:color w:val="000000" w:themeColor="text1"/>
          <w:sz w:val="22"/>
          <w:szCs w:val="22"/>
          <w:lang w:eastAsia="en-US"/>
        </w:rPr>
      </w:pPr>
    </w:p>
    <w:p w:rsidRPr="007C325C" w:rsidR="00321C87" w:rsidP="00855D7E" w:rsidRDefault="00321C87" w14:paraId="63726C79" w14:textId="77777777">
      <w:pPr>
        <w:widowControl w:val="0"/>
        <w:numPr>
          <w:ilvl w:val="0"/>
          <w:numId w:val="44"/>
        </w:numPr>
        <w:autoSpaceDE w:val="0"/>
        <w:autoSpaceDN w:val="0"/>
        <w:adjustRightInd w:val="0"/>
        <w:spacing w:after="160" w:line="360" w:lineRule="auto"/>
        <w:contextualSpacing/>
        <w:jc w:val="both"/>
        <w:rPr>
          <w:rFonts w:ascii="Palatino Linotype" w:hAnsi="Palatino Linotype" w:cs="Tahoma"/>
          <w:b/>
          <w:color w:val="000000" w:themeColor="text1"/>
          <w:sz w:val="22"/>
          <w:szCs w:val="24"/>
        </w:rPr>
      </w:pPr>
      <w:r w:rsidRPr="007C325C">
        <w:rPr>
          <w:rFonts w:ascii="Palatino Linotype" w:hAnsi="Palatino Linotype" w:eastAsia="Calibri" w:cs="Tahoma"/>
          <w:b/>
          <w:bCs/>
          <w:color w:val="000000" w:themeColor="text1"/>
          <w:sz w:val="22"/>
          <w:szCs w:val="24"/>
        </w:rPr>
        <w:t>Certificado de no deudor alimentario moroso</w:t>
      </w:r>
    </w:p>
    <w:p w:rsidRPr="007C325C" w:rsidR="00321C87" w:rsidP="00855D7E" w:rsidRDefault="00321C87" w14:paraId="37B84DD3" w14:textId="77777777">
      <w:pPr>
        <w:widowControl w:val="0"/>
        <w:autoSpaceDE w:val="0"/>
        <w:autoSpaceDN w:val="0"/>
        <w:adjustRightInd w:val="0"/>
        <w:spacing w:line="360" w:lineRule="auto"/>
        <w:contextualSpacing/>
        <w:jc w:val="both"/>
        <w:rPr>
          <w:rFonts w:ascii="Palatino Linotype" w:hAnsi="Palatino Linotype" w:cs="Tahoma" w:eastAsiaTheme="minorHAnsi"/>
          <w:b/>
          <w:color w:val="000000" w:themeColor="text1"/>
          <w:sz w:val="22"/>
          <w:szCs w:val="22"/>
          <w:lang w:eastAsia="en-US"/>
        </w:rPr>
      </w:pPr>
    </w:p>
    <w:p w:rsidRPr="007C325C" w:rsidR="00321C87" w:rsidP="00855D7E" w:rsidRDefault="00321C87" w14:paraId="348E78C3" w14:textId="77777777">
      <w:pPr>
        <w:spacing w:line="360" w:lineRule="auto"/>
        <w:contextualSpacing/>
        <w:jc w:val="both"/>
        <w:rPr>
          <w:rFonts w:ascii="Palatino Linotype" w:hAnsi="Palatino Linotype" w:cs="Tahoma" w:eastAsiaTheme="minorHAnsi"/>
          <w:color w:val="000000" w:themeColor="text1"/>
          <w:sz w:val="22"/>
          <w:szCs w:val="22"/>
          <w:lang w:eastAsia="en-US"/>
        </w:rPr>
      </w:pPr>
      <w:r w:rsidRPr="007C325C">
        <w:rPr>
          <w:rFonts w:ascii="Palatino Linotype" w:hAnsi="Palatino Linotype" w:eastAsia="Calibri" w:cs="Tahoma"/>
          <w:bCs/>
          <w:color w:val="000000" w:themeColor="text1"/>
          <w:sz w:val="22"/>
          <w:szCs w:val="22"/>
          <w:lang w:eastAsia="en-US"/>
        </w:rPr>
        <w:t xml:space="preserve">Por lo que hace los certificados de no deudor alimentario moroso este debe ser protegido mediante su clasificación como </w:t>
      </w:r>
      <w:r w:rsidRPr="007C325C">
        <w:rPr>
          <w:rFonts w:ascii="Palatino Linotype" w:hAnsi="Palatino Linotype" w:eastAsia="Calibri" w:cs="Tahoma"/>
          <w:b/>
          <w:bCs/>
          <w:color w:val="000000" w:themeColor="text1"/>
          <w:sz w:val="22"/>
          <w:szCs w:val="22"/>
          <w:lang w:eastAsia="en-US"/>
        </w:rPr>
        <w:t>confidencial en su totalidad</w:t>
      </w:r>
      <w:r w:rsidRPr="007C325C">
        <w:rPr>
          <w:rFonts w:ascii="Palatino Linotype" w:hAnsi="Palatino Linotype" w:eastAsia="Calibri" w:cs="Tahoma"/>
          <w:bCs/>
          <w:color w:val="000000" w:themeColor="text1"/>
          <w:sz w:val="22"/>
          <w:szCs w:val="22"/>
          <w:lang w:eastAsia="en-US"/>
        </w:rPr>
        <w:t xml:space="preserve">, ello derivado a que el estar </w:t>
      </w:r>
      <w:r w:rsidRPr="007C325C">
        <w:rPr>
          <w:rFonts w:ascii="Palatino Linotype" w:hAnsi="Palatino Linotype" w:eastAsia="Calibri" w:cs="Tahoma"/>
          <w:bCs/>
          <w:color w:val="000000" w:themeColor="text1"/>
          <w:sz w:val="22"/>
          <w:szCs w:val="22"/>
          <w:lang w:eastAsia="en-US"/>
        </w:rPr>
        <w:lastRenderedPageBreak/>
        <w:t xml:space="preserve">inscrito en dicho registro tiene un impacto </w:t>
      </w:r>
      <w:r w:rsidRPr="007C325C">
        <w:rPr>
          <w:rFonts w:ascii="Palatino Linotype" w:hAnsi="Palatino Linotype" w:cs="Tahoma" w:eastAsiaTheme="minorHAnsi"/>
          <w:color w:val="000000" w:themeColor="text1"/>
          <w:sz w:val="22"/>
          <w:szCs w:val="22"/>
          <w:lang w:eastAsia="en-US"/>
        </w:rPr>
        <w:t>en la imagen de un servidor público y se trata de un tema estrictamente de carácter personal e incluso de tipo familiar.</w:t>
      </w:r>
    </w:p>
    <w:p w:rsidRPr="007C325C" w:rsidR="00321C87" w:rsidP="00855D7E" w:rsidRDefault="00321C87" w14:paraId="58BB93E6" w14:textId="77777777">
      <w:pPr>
        <w:spacing w:line="360" w:lineRule="auto"/>
        <w:contextualSpacing/>
        <w:jc w:val="both"/>
        <w:rPr>
          <w:rFonts w:ascii="Palatino Linotype" w:hAnsi="Palatino Linotype" w:cs="Tahoma" w:eastAsiaTheme="minorHAnsi"/>
          <w:color w:val="000000" w:themeColor="text1"/>
          <w:sz w:val="22"/>
          <w:szCs w:val="22"/>
          <w:lang w:eastAsia="en-US"/>
        </w:rPr>
      </w:pPr>
    </w:p>
    <w:p w:rsidRPr="007C325C" w:rsidR="00321C87" w:rsidP="00855D7E" w:rsidRDefault="00321C87" w14:paraId="2F25CE33" w14:textId="77777777">
      <w:pPr>
        <w:spacing w:line="360" w:lineRule="auto"/>
        <w:contextualSpacing/>
        <w:jc w:val="both"/>
        <w:rPr>
          <w:rFonts w:ascii="Palatino Linotype" w:hAnsi="Palatino Linotype" w:cs="Tahoma" w:eastAsiaTheme="minorHAnsi"/>
          <w:color w:val="000000" w:themeColor="text1"/>
          <w:sz w:val="22"/>
          <w:szCs w:val="22"/>
          <w:lang w:eastAsia="en-US"/>
        </w:rPr>
      </w:pPr>
      <w:r w:rsidRPr="007C325C">
        <w:rPr>
          <w:rFonts w:ascii="Palatino Linotype" w:hAnsi="Palatino Linotype" w:cs="Tahoma" w:eastAsiaTheme="minorHAnsi"/>
          <w:color w:val="000000" w:themeColor="text1"/>
          <w:sz w:val="22"/>
          <w:szCs w:val="22"/>
          <w:lang w:eastAsia="en-US"/>
        </w:rPr>
        <w:t xml:space="preserve">Al respecto, en el Proyecto de Decreto por el que se Reforman y Adicionan Diversas Disposiciones para crear el Registro de Deudores Alimentarios del Estado de México, disponible en la dirección electrónica </w:t>
      </w:r>
      <w:hyperlink w:history="1" w:anchor=":~:text=La%20inscripci%C3%B3n%20con%20el%20car%C3%A1cter,del%20Estado%20de%20M%C3%A9xico%20e" r:id="rId15">
        <w:r w:rsidRPr="007C325C">
          <w:rPr>
            <w:rFonts w:ascii="Palatino Linotype" w:hAnsi="Palatino Linotype" w:cs="Tahoma" w:eastAsiaTheme="minorHAnsi"/>
            <w:color w:val="0563C1" w:themeColor="hyperlink"/>
            <w:sz w:val="22"/>
            <w:szCs w:val="22"/>
            <w:u w:val="single"/>
            <w:lang w:eastAsia="en-US"/>
          </w:rPr>
          <w:t>https://www.ipomex.org.mx/recursos/ipo/files_ipo/2014/8/11/630bc7787b59af912a96a9e1bca1c770.pdf#:~:text=La%20inscripci%C3%B3n%20con%20el%20car%C3%A1cter,del%20Estado%20de%20M%C3%A9xico%20e</w:t>
        </w:r>
      </w:hyperlink>
      <w:r w:rsidRPr="007C325C">
        <w:rPr>
          <w:rFonts w:ascii="Palatino Linotype" w:hAnsi="Palatino Linotype" w:cs="Tahoma" w:eastAsiaTheme="minorHAnsi"/>
          <w:color w:val="000000" w:themeColor="text1"/>
          <w:sz w:val="22"/>
          <w:szCs w:val="22"/>
          <w:lang w:eastAsia="en-US"/>
        </w:rPr>
        <w:t xml:space="preserve">, pueden advertirse los objetivos de crear dicho registro: </w:t>
      </w:r>
    </w:p>
    <w:p w:rsidRPr="007C325C" w:rsidR="00321C87" w:rsidP="00855D7E" w:rsidRDefault="00321C87" w14:paraId="586446BA" w14:textId="77777777">
      <w:pPr>
        <w:spacing w:line="360" w:lineRule="auto"/>
        <w:contextualSpacing/>
        <w:jc w:val="both"/>
        <w:rPr>
          <w:rFonts w:ascii="Palatino Linotype" w:hAnsi="Palatino Linotype" w:cs="Tahoma" w:eastAsiaTheme="minorHAnsi"/>
          <w:color w:val="000000" w:themeColor="text1"/>
          <w:sz w:val="22"/>
          <w:szCs w:val="22"/>
          <w:lang w:eastAsia="en-US"/>
        </w:rPr>
      </w:pPr>
    </w:p>
    <w:p w:rsidRPr="007C325C" w:rsidR="00321C87" w:rsidP="00855D7E" w:rsidRDefault="00321C87" w14:paraId="19FA435C" w14:textId="77777777">
      <w:pPr>
        <w:spacing w:line="360" w:lineRule="auto"/>
        <w:ind w:left="567" w:right="539"/>
        <w:contextualSpacing/>
        <w:jc w:val="both"/>
        <w:rPr>
          <w:rFonts w:ascii="Palatino Linotype" w:hAnsi="Palatino Linotype" w:cs="Tahoma" w:eastAsiaTheme="minorHAnsi"/>
          <w:i/>
          <w:iCs/>
          <w:color w:val="000000" w:themeColor="text1"/>
          <w:szCs w:val="22"/>
          <w:lang w:eastAsia="en-US"/>
        </w:rPr>
      </w:pPr>
      <w:r w:rsidRPr="007C325C">
        <w:rPr>
          <w:rFonts w:ascii="Palatino Linotype" w:hAnsi="Palatino Linotype" w:cs="Tahoma" w:eastAsiaTheme="minorHAnsi"/>
          <w:i/>
          <w:iCs/>
          <w:color w:val="000000" w:themeColor="text1"/>
          <w:szCs w:val="22"/>
          <w:lang w:eastAsia="en-US"/>
        </w:rPr>
        <w:t>“…</w:t>
      </w:r>
    </w:p>
    <w:p w:rsidRPr="007C325C" w:rsidR="00321C87" w:rsidP="00855D7E" w:rsidRDefault="00321C87" w14:paraId="30F6E894" w14:textId="77777777">
      <w:pPr>
        <w:spacing w:line="360" w:lineRule="auto"/>
        <w:ind w:left="567" w:right="539"/>
        <w:contextualSpacing/>
        <w:jc w:val="both"/>
        <w:rPr>
          <w:rFonts w:ascii="Palatino Linotype" w:hAnsi="Palatino Linotype" w:cs="Tahoma" w:eastAsiaTheme="minorHAnsi"/>
          <w:i/>
          <w:iCs/>
          <w:color w:val="000000" w:themeColor="text1"/>
          <w:szCs w:val="22"/>
          <w:lang w:eastAsia="en-US"/>
        </w:rPr>
      </w:pPr>
      <w:r w:rsidRPr="007C325C">
        <w:rPr>
          <w:rFonts w:ascii="Palatino Linotype" w:hAnsi="Palatino Linotype" w:cs="Tahoma" w:eastAsiaTheme="minorHAnsi"/>
          <w:i/>
          <w:iCs/>
          <w:color w:val="000000" w:themeColor="text1"/>
          <w:szCs w:val="22"/>
          <w:lang w:eastAsia="en-US"/>
        </w:rPr>
        <w:t>El interés superior del menor debe prevalecer en cualquier controversia de derecho familiar, situación que obliga a las autoridades a establecer las medidas necesarias para asegurar el cumplimiento del pago de la pensión alimenticia decretada a su favor.</w:t>
      </w:r>
    </w:p>
    <w:p w:rsidRPr="007C325C" w:rsidR="00321C87" w:rsidP="00855D7E" w:rsidRDefault="00321C87" w14:paraId="0B454C89" w14:textId="77777777">
      <w:pPr>
        <w:spacing w:line="360" w:lineRule="auto"/>
        <w:ind w:left="567"/>
        <w:contextualSpacing/>
        <w:jc w:val="both"/>
        <w:rPr>
          <w:rFonts w:ascii="Palatino Linotype" w:hAnsi="Palatino Linotype" w:cs="Tahoma" w:eastAsiaTheme="minorHAnsi"/>
          <w:i/>
          <w:iCs/>
          <w:color w:val="000000" w:themeColor="text1"/>
          <w:szCs w:val="22"/>
          <w:lang w:eastAsia="en-US"/>
        </w:rPr>
      </w:pPr>
    </w:p>
    <w:p w:rsidRPr="007C325C" w:rsidR="00321C87" w:rsidP="00855D7E" w:rsidRDefault="00321C87" w14:paraId="7C95E448" w14:textId="77777777">
      <w:pPr>
        <w:spacing w:line="360" w:lineRule="auto"/>
        <w:ind w:left="567" w:right="539"/>
        <w:contextualSpacing/>
        <w:jc w:val="both"/>
        <w:rPr>
          <w:rFonts w:ascii="Palatino Linotype" w:hAnsi="Palatino Linotype" w:cs="Tahoma" w:eastAsiaTheme="minorHAnsi"/>
          <w:i/>
          <w:iCs/>
          <w:color w:val="000000" w:themeColor="text1"/>
          <w:szCs w:val="22"/>
          <w:lang w:eastAsia="en-US"/>
        </w:rPr>
      </w:pPr>
      <w:r w:rsidRPr="007C325C">
        <w:rPr>
          <w:rFonts w:ascii="Palatino Linotype" w:hAnsi="Palatino Linotype" w:cs="Tahoma" w:eastAsiaTheme="minorHAnsi"/>
          <w:i/>
          <w:iCs/>
          <w:color w:val="000000" w:themeColor="text1"/>
          <w:szCs w:val="22"/>
          <w:lang w:eastAsia="en-US"/>
        </w:rPr>
        <w:t>De acuerdo a nuestra legislación, el derecho a los alimentos no sólo se comprende el acceso a los productos para la nutrición y alimentación sino también lo relativo a la educación, vivienda, vestido, asistencia médica, recreación, entre otros; aspectos todos que permiten o posibilitan el desarrollo integral de las personas.</w:t>
      </w:r>
    </w:p>
    <w:p w:rsidRPr="007C325C" w:rsidR="00321C87" w:rsidP="00855D7E" w:rsidRDefault="00321C87" w14:paraId="1D63870F" w14:textId="77777777">
      <w:pPr>
        <w:spacing w:line="360" w:lineRule="auto"/>
        <w:ind w:left="567" w:right="539"/>
        <w:contextualSpacing/>
        <w:jc w:val="both"/>
        <w:rPr>
          <w:rFonts w:ascii="Palatino Linotype" w:hAnsi="Palatino Linotype" w:cs="Tahoma" w:eastAsiaTheme="minorHAnsi"/>
          <w:i/>
          <w:iCs/>
          <w:color w:val="000000" w:themeColor="text1"/>
          <w:szCs w:val="22"/>
          <w:lang w:eastAsia="en-US"/>
        </w:rPr>
      </w:pPr>
    </w:p>
    <w:p w:rsidRPr="007C325C" w:rsidR="00321C87" w:rsidP="00855D7E" w:rsidRDefault="00321C87" w14:paraId="0E410951" w14:textId="77777777">
      <w:pPr>
        <w:spacing w:line="360" w:lineRule="auto"/>
        <w:ind w:left="567" w:right="539"/>
        <w:contextualSpacing/>
        <w:jc w:val="both"/>
        <w:rPr>
          <w:rFonts w:ascii="Palatino Linotype" w:hAnsi="Palatino Linotype" w:cs="Tahoma" w:eastAsiaTheme="minorHAnsi"/>
          <w:i/>
          <w:iCs/>
          <w:color w:val="000000" w:themeColor="text1"/>
          <w:szCs w:val="22"/>
          <w:lang w:eastAsia="en-US"/>
        </w:rPr>
      </w:pPr>
      <w:r w:rsidRPr="007C325C">
        <w:rPr>
          <w:rFonts w:ascii="Palatino Linotype" w:hAnsi="Palatino Linotype" w:cs="Tahoma" w:eastAsiaTheme="minorHAnsi"/>
          <w:i/>
          <w:iCs/>
          <w:color w:val="000000" w:themeColor="text1"/>
          <w:szCs w:val="22"/>
          <w:lang w:eastAsia="en-US"/>
        </w:rPr>
        <w:t>En nuestra Entidad, las demandas de alimentos son presentadas en su gran mayoría por mujeres madres de familia que demandan, por su propio derecho y/o en representación de sus menores hijos, de su cónyuge, concubino o ex pareja el cumplimiento de esta obligación. Esto debido a que en ocasiones los obligados a proporcionar alimentos eluden su responsabilidad, con la errónea idea de que será en perjuicio de su pareja o ex pareja, sin entender que son los menores hijos los que resultan más afectados. Así que, al acudir al sistema de justicia se pretende que la pensión alimenticia correspondiente quede fijada definitivamente y se garantice el cumplimiento de la obligación alimentaria.</w:t>
      </w:r>
    </w:p>
    <w:p w:rsidRPr="007C325C" w:rsidR="00321C87" w:rsidP="00855D7E" w:rsidRDefault="00321C87" w14:paraId="700F2B1C" w14:textId="77777777">
      <w:pPr>
        <w:spacing w:line="360" w:lineRule="auto"/>
        <w:ind w:left="567" w:right="539"/>
        <w:contextualSpacing/>
        <w:jc w:val="both"/>
        <w:rPr>
          <w:rFonts w:ascii="Palatino Linotype" w:hAnsi="Palatino Linotype" w:cs="Tahoma" w:eastAsiaTheme="minorHAnsi"/>
          <w:i/>
          <w:iCs/>
          <w:color w:val="000000" w:themeColor="text1"/>
          <w:szCs w:val="22"/>
          <w:lang w:eastAsia="en-US"/>
        </w:rPr>
      </w:pPr>
    </w:p>
    <w:p w:rsidRPr="007C325C" w:rsidR="00321C87" w:rsidP="00855D7E" w:rsidRDefault="00321C87" w14:paraId="10F5C457" w14:textId="77777777">
      <w:pPr>
        <w:spacing w:line="360" w:lineRule="auto"/>
        <w:ind w:left="567" w:right="539"/>
        <w:contextualSpacing/>
        <w:jc w:val="both"/>
        <w:rPr>
          <w:rFonts w:ascii="Palatino Linotype" w:hAnsi="Palatino Linotype" w:cs="Tahoma" w:eastAsiaTheme="minorHAnsi"/>
          <w:i/>
          <w:iCs/>
          <w:color w:val="000000" w:themeColor="text1"/>
          <w:szCs w:val="22"/>
          <w:lang w:eastAsia="en-US"/>
        </w:rPr>
      </w:pPr>
      <w:r w:rsidRPr="007C325C">
        <w:rPr>
          <w:rFonts w:ascii="Palatino Linotype" w:hAnsi="Palatino Linotype" w:cs="Tahoma" w:eastAsiaTheme="minorHAnsi"/>
          <w:i/>
          <w:iCs/>
          <w:color w:val="000000" w:themeColor="text1"/>
          <w:szCs w:val="22"/>
          <w:lang w:eastAsia="en-US"/>
        </w:rPr>
        <w:t>Los alimentos tienen carácter preferente a favor de los hijos, sin que pueda eximirse el deudor alimentario de su cumplimiento cuando esté en posibilidades de hacerlo. En el Estado de México,</w:t>
      </w:r>
      <w:r w:rsidRPr="007C325C">
        <w:rPr>
          <w:rFonts w:ascii="Palatino Linotype" w:hAnsi="Palatino Linotype" w:eastAsiaTheme="minorHAnsi" w:cstheme="minorBidi"/>
          <w:color w:val="000000" w:themeColor="text1"/>
          <w:szCs w:val="22"/>
          <w:lang w:eastAsia="en-US"/>
        </w:rPr>
        <w:t xml:space="preserve"> </w:t>
      </w:r>
      <w:r w:rsidRPr="007C325C">
        <w:rPr>
          <w:rFonts w:ascii="Palatino Linotype" w:hAnsi="Palatino Linotype" w:cs="Tahoma" w:eastAsiaTheme="minorHAnsi"/>
          <w:i/>
          <w:iCs/>
          <w:color w:val="000000" w:themeColor="text1"/>
          <w:szCs w:val="22"/>
          <w:lang w:eastAsia="en-US"/>
        </w:rPr>
        <w:t>diversos son los instrumentos legales que se tienen para obligar al deudor al pago de alimentos, cuando éstos no se enteran de manera voluntaria, como debe ser el ideal, entre los que destacan: el embargo de bienes, incluyendo, la del salario, así como la pérdida de la patria potestad, contempladas en la legislación civil, sustantiva y adjetiva. También podemos citar, la imposición de la pena de prisión hasta por siete años, por el delito de incumplimiento de obligaciones, previsto en las fracciones II y III, del artículo 217, del Código Penal del Estado de México. Pese a los alcances de estas medidas legales, éstas no han sido suficientes para hacer cumplir a los deudores con sus obligaciones alimentarias.</w:t>
      </w:r>
    </w:p>
    <w:p w:rsidRPr="007C325C" w:rsidR="00321C87" w:rsidP="00855D7E" w:rsidRDefault="00321C87" w14:paraId="3F79F820" w14:textId="77777777">
      <w:pPr>
        <w:spacing w:line="360" w:lineRule="auto"/>
        <w:ind w:left="567" w:right="539"/>
        <w:contextualSpacing/>
        <w:jc w:val="both"/>
        <w:rPr>
          <w:rFonts w:ascii="Palatino Linotype" w:hAnsi="Palatino Linotype" w:cs="Tahoma" w:eastAsiaTheme="minorHAnsi"/>
          <w:i/>
          <w:iCs/>
          <w:color w:val="000000" w:themeColor="text1"/>
          <w:szCs w:val="22"/>
          <w:lang w:eastAsia="en-US"/>
        </w:rPr>
      </w:pPr>
    </w:p>
    <w:p w:rsidRPr="007C325C" w:rsidR="00321C87" w:rsidP="00855D7E" w:rsidRDefault="00321C87" w14:paraId="4530B825" w14:textId="77777777">
      <w:pPr>
        <w:spacing w:line="360" w:lineRule="auto"/>
        <w:ind w:left="567" w:right="539"/>
        <w:contextualSpacing/>
        <w:jc w:val="both"/>
        <w:rPr>
          <w:rFonts w:ascii="Palatino Linotype" w:hAnsi="Palatino Linotype" w:cs="Tahoma" w:eastAsiaTheme="minorHAnsi"/>
          <w:i/>
          <w:iCs/>
          <w:color w:val="000000" w:themeColor="text1"/>
          <w:szCs w:val="22"/>
          <w:lang w:eastAsia="en-US"/>
        </w:rPr>
      </w:pPr>
      <w:r w:rsidRPr="007C325C">
        <w:rPr>
          <w:rFonts w:ascii="Palatino Linotype" w:hAnsi="Palatino Linotype" w:cs="Tahoma" w:eastAsiaTheme="minorHAnsi"/>
          <w:i/>
          <w:iCs/>
          <w:color w:val="000000" w:themeColor="text1"/>
          <w:szCs w:val="22"/>
          <w:lang w:eastAsia="en-US"/>
        </w:rPr>
        <w:t xml:space="preserve">Por ello, creemos necesario establecer nuevos y diferentes mecanismos que aseguren el pago de los alimentos, para que sean satisfechas las necesidades más básicas, principalmente de los menores, que no pueden allegarse por sí mismos los recursos económicos para la subsistencia. Lo anterior, porque cuando una persona ha logrado satisfacer sus necesidades básicas, entonces está en mejores condiciones para crecer y superarse. En ese sentido, el presente Proyecto de Decreto propone la creación del Registro de Deudores Alimentarios del Estado de México (REDAEM), </w:t>
      </w:r>
      <w:r w:rsidRPr="007C325C">
        <w:rPr>
          <w:rFonts w:ascii="Palatino Linotype" w:hAnsi="Palatino Linotype" w:cs="Tahoma" w:eastAsiaTheme="minorHAnsi"/>
          <w:b/>
          <w:bCs/>
          <w:i/>
          <w:iCs/>
          <w:color w:val="000000" w:themeColor="text1"/>
          <w:szCs w:val="22"/>
          <w:lang w:eastAsia="en-US"/>
        </w:rPr>
        <w:t>con la finalidad de asegurar el cumplimiento de las obligaciones alimentarias que tienen los padres para con sus menores hijos.</w:t>
      </w:r>
    </w:p>
    <w:p w:rsidRPr="007C325C" w:rsidR="00321C87" w:rsidP="00855D7E" w:rsidRDefault="00321C87" w14:paraId="79153915" w14:textId="77777777">
      <w:pPr>
        <w:spacing w:line="360" w:lineRule="auto"/>
        <w:contextualSpacing/>
        <w:jc w:val="both"/>
        <w:rPr>
          <w:rFonts w:ascii="Palatino Linotype" w:hAnsi="Palatino Linotype" w:cs="Tahoma" w:eastAsiaTheme="minorHAnsi"/>
          <w:color w:val="000000" w:themeColor="text1"/>
          <w:sz w:val="22"/>
          <w:szCs w:val="22"/>
          <w:lang w:eastAsia="en-US"/>
        </w:rPr>
      </w:pPr>
    </w:p>
    <w:p w:rsidRPr="007C325C" w:rsidR="00321C87" w:rsidP="00855D7E" w:rsidRDefault="00321C87" w14:paraId="3E3BCC12" w14:textId="77777777">
      <w:pPr>
        <w:spacing w:line="360" w:lineRule="auto"/>
        <w:contextualSpacing/>
        <w:jc w:val="both"/>
        <w:rPr>
          <w:rFonts w:ascii="Palatino Linotype" w:hAnsi="Palatino Linotype" w:cs="Tahoma" w:eastAsiaTheme="minorHAnsi"/>
          <w:color w:val="000000" w:themeColor="text1"/>
          <w:sz w:val="22"/>
          <w:szCs w:val="22"/>
          <w:lang w:eastAsia="en-US"/>
        </w:rPr>
      </w:pPr>
      <w:r w:rsidRPr="007C325C">
        <w:rPr>
          <w:rFonts w:ascii="Palatino Linotype" w:hAnsi="Palatino Linotype" w:cs="Tahoma" w:eastAsiaTheme="minorHAnsi"/>
          <w:color w:val="000000" w:themeColor="text1"/>
          <w:sz w:val="22"/>
          <w:szCs w:val="22"/>
          <w:lang w:eastAsia="en-US"/>
        </w:rPr>
        <w:t xml:space="preserve">De lo anterior se desprende que el registro de deudores alimentarios morosos no tiene por objeto su publicidad, sino por el contrario que sea un mecanismo para garantizar que los padres cumplan con su obligación de dar alimentos a los hijos en razón de su protección (interés superior del menor), en este sentido si bien dicho registro no es público, para el caso de proporcionar los que no están inscritos como deudores morosos y se clasifiquen los que sí se encuentran inscritos se puede arribar a la conclusión de quiénes sí se encuentran como deudores alimentarios morosos, por lo tanto, no es procedente entrega esta información ni de </w:t>
      </w:r>
      <w:r w:rsidRPr="007C325C">
        <w:rPr>
          <w:rFonts w:ascii="Palatino Linotype" w:hAnsi="Palatino Linotype" w:cs="Tahoma" w:eastAsiaTheme="minorHAnsi"/>
          <w:color w:val="000000" w:themeColor="text1"/>
          <w:sz w:val="22"/>
          <w:szCs w:val="22"/>
          <w:lang w:eastAsia="en-US"/>
        </w:rPr>
        <w:lastRenderedPageBreak/>
        <w:t xml:space="preserve">quienes están, ni de quienes no están, por lo que resulta procedente clasificar la información solicitada por el Recurrente de manera general como </w:t>
      </w:r>
      <w:r w:rsidRPr="007C325C">
        <w:rPr>
          <w:rFonts w:ascii="Palatino Linotype" w:hAnsi="Palatino Linotype" w:cs="Tahoma" w:eastAsiaTheme="minorHAnsi"/>
          <w:b/>
          <w:color w:val="000000" w:themeColor="text1"/>
          <w:sz w:val="22"/>
          <w:szCs w:val="22"/>
          <w:lang w:eastAsia="en-US"/>
        </w:rPr>
        <w:t>información confidencial en su totalidad</w:t>
      </w:r>
      <w:r w:rsidRPr="007C325C">
        <w:rPr>
          <w:rFonts w:ascii="Palatino Linotype" w:hAnsi="Palatino Linotype" w:cs="Tahoma" w:eastAsiaTheme="minorHAnsi"/>
          <w:color w:val="000000" w:themeColor="text1"/>
          <w:sz w:val="22"/>
          <w:szCs w:val="22"/>
          <w:lang w:eastAsia="en-US"/>
        </w:rPr>
        <w:t xml:space="preserve"> en términos del artículo 143, fracción I, de la Ley de Transparencia y Acceso a la Información Pública del Estado de México y Municipios. </w:t>
      </w:r>
    </w:p>
    <w:p w:rsidRPr="007C325C" w:rsidR="00321C87" w:rsidP="00855D7E" w:rsidRDefault="00321C87" w14:paraId="1710A8AE" w14:textId="77777777">
      <w:pPr>
        <w:tabs>
          <w:tab w:val="left" w:pos="4962"/>
        </w:tabs>
        <w:spacing w:line="360" w:lineRule="auto"/>
        <w:ind w:right="-28"/>
        <w:contextualSpacing/>
        <w:jc w:val="both"/>
        <w:rPr>
          <w:rFonts w:ascii="Palatino Linotype" w:hAnsi="Palatino Linotype" w:eastAsia="Calibri" w:cs="Tahoma"/>
          <w:b/>
          <w:iCs/>
          <w:sz w:val="22"/>
          <w:szCs w:val="24"/>
          <w:lang w:eastAsia="es-ES_tradnl"/>
        </w:rPr>
      </w:pPr>
    </w:p>
    <w:p w:rsidRPr="007C325C" w:rsidR="00321C87" w:rsidP="00855D7E" w:rsidRDefault="00321C87" w14:paraId="7523E264" w14:textId="77777777">
      <w:pPr>
        <w:widowControl w:val="0"/>
        <w:autoSpaceDE w:val="0"/>
        <w:autoSpaceDN w:val="0"/>
        <w:adjustRightInd w:val="0"/>
        <w:spacing w:line="360" w:lineRule="auto"/>
        <w:contextualSpacing/>
        <w:jc w:val="both"/>
        <w:rPr>
          <w:rFonts w:ascii="Palatino Linotype" w:hAnsi="Palatino Linotype" w:eastAsia="Calibri" w:cs="Tahoma"/>
          <w:bCs/>
          <w:color w:val="000000" w:themeColor="text1"/>
          <w:sz w:val="22"/>
          <w:szCs w:val="22"/>
          <w:lang w:eastAsia="en-US"/>
        </w:rPr>
      </w:pPr>
      <w:r w:rsidRPr="007C325C">
        <w:rPr>
          <w:rFonts w:ascii="Palatino Linotype" w:hAnsi="Palatino Linotype" w:eastAsia="Calibri" w:cs="Tahoma"/>
          <w:bCs/>
          <w:color w:val="000000" w:themeColor="text1"/>
          <w:sz w:val="22"/>
          <w:szCs w:val="22"/>
          <w:lang w:eastAsia="en-US"/>
        </w:rPr>
        <w:t xml:space="preserve">Como se logró advertir, los documentos contenidos en los expedientes laborales por su propia naturaleza pueden contener documentos que atañen a la esfera privada de los servidores públicos, que en nada abonan a la transparencia y rendición de cuentas, no obstante, </w:t>
      </w:r>
      <w:r w:rsidRPr="007C325C">
        <w:rPr>
          <w:rFonts w:ascii="Palatino Linotype" w:hAnsi="Palatino Linotype" w:eastAsia="Calibri" w:cs="Tahoma"/>
          <w:b/>
          <w:bCs/>
          <w:color w:val="000000" w:themeColor="text1"/>
          <w:sz w:val="22"/>
          <w:szCs w:val="22"/>
          <w:lang w:eastAsia="en-US"/>
        </w:rPr>
        <w:t>no debe dejarse de lado que el permitir el acceso a la información que da cuenta de la preparación académica o experiencia necesaria para ocupar un cargo, abona a que la ciudadanía conozca el perfil de aquellas personas que laboran dentro de la Administración Pública, asimismo, aquellos documentos que son generados por el ingreso o desempeño de la función del servidor público y que forman de los requisitos de acceso al cargo, deben ser entregados en su versión pública</w:t>
      </w:r>
      <w:r w:rsidRPr="007C325C">
        <w:rPr>
          <w:rFonts w:ascii="Palatino Linotype" w:hAnsi="Palatino Linotype" w:eastAsia="Calibri" w:cs="Tahoma"/>
          <w:bCs/>
          <w:color w:val="000000" w:themeColor="text1"/>
          <w:sz w:val="22"/>
          <w:szCs w:val="22"/>
          <w:lang w:eastAsia="en-US"/>
        </w:rPr>
        <w:t xml:space="preserve">. </w:t>
      </w:r>
    </w:p>
    <w:p w:rsidRPr="007C325C" w:rsidR="00321C87" w:rsidP="00855D7E" w:rsidRDefault="00321C87" w14:paraId="7CB10598" w14:textId="77777777">
      <w:pPr>
        <w:spacing w:line="360" w:lineRule="auto"/>
        <w:contextualSpacing/>
        <w:jc w:val="both"/>
        <w:rPr>
          <w:rFonts w:ascii="Palatino Linotype" w:hAnsi="Palatino Linotype" w:cs="Tahoma"/>
          <w:bCs/>
          <w:iCs/>
          <w:sz w:val="22"/>
          <w:szCs w:val="22"/>
        </w:rPr>
      </w:pPr>
    </w:p>
    <w:p w:rsidRPr="007C325C" w:rsidR="00321C87" w:rsidP="00855D7E" w:rsidRDefault="00321C87" w14:paraId="2E308E62" w14:textId="77777777">
      <w:pPr>
        <w:spacing w:line="360" w:lineRule="auto"/>
        <w:contextualSpacing/>
        <w:jc w:val="both"/>
        <w:rPr>
          <w:rFonts w:ascii="Palatino Linotype" w:hAnsi="Palatino Linotype" w:eastAsia="Calibri" w:cs="Tahoma"/>
          <w:bCs/>
          <w:sz w:val="22"/>
          <w:szCs w:val="22"/>
          <w:lang w:eastAsia="en-US"/>
        </w:rPr>
      </w:pPr>
      <w:r w:rsidRPr="007C325C">
        <w:rPr>
          <w:rFonts w:ascii="Palatino Linotype" w:hAnsi="Palatino Linotype" w:cs="Tahoma"/>
          <w:bCs/>
          <w:iCs/>
          <w:sz w:val="22"/>
          <w:szCs w:val="22"/>
        </w:rPr>
        <w:t xml:space="preserve">Al respecto, </w:t>
      </w:r>
      <w:r w:rsidRPr="007C325C">
        <w:rPr>
          <w:rFonts w:ascii="Palatino Linotype" w:hAnsi="Palatino Linotype" w:eastAsia="Calibri" w:cs="Tahoma"/>
          <w:bCs/>
          <w:sz w:val="22"/>
          <w:szCs w:val="22"/>
          <w:lang w:eastAsia="en-US"/>
        </w:rPr>
        <w:t xml:space="preserve">resulta necesario recordar que el artículo 47 de la Ley del Trabajo de los Servidores Públicos del Estado y Municipios, establece que para ingresar al servicio público se requieren cumplir diversos requisitos, tanto académicos, como profesionales y personales </w:t>
      </w:r>
      <w:r w:rsidRPr="007C325C">
        <w:rPr>
          <w:rFonts w:ascii="Palatino Linotype" w:hAnsi="Palatino Linotype" w:cs="Tahoma"/>
          <w:bCs/>
          <w:color w:val="0D0D0D" w:themeColor="text1" w:themeTint="F2"/>
          <w:sz w:val="22"/>
          <w:szCs w:val="22"/>
          <w:lang w:eastAsia="es-MX"/>
        </w:rPr>
        <w:t xml:space="preserve">establece que las personas que quieran ingresar al servicio público deben cumplir diversos requisitos, tales como, presentar una solicitud en el formato oficial, ser de nacionalidad mexicana, estar en ejercicio de derechos civiles y políticos, no haber sido separado del servicio, tener buena salud, acreditar los exámenes de conocimientos correspondientes, entre otros. </w:t>
      </w:r>
    </w:p>
    <w:p w:rsidRPr="007C325C" w:rsidR="00321C87" w:rsidP="00855D7E" w:rsidRDefault="00321C87" w14:paraId="17D30A50" w14:textId="77777777">
      <w:pPr>
        <w:spacing w:line="360" w:lineRule="auto"/>
        <w:contextualSpacing/>
        <w:jc w:val="both"/>
        <w:rPr>
          <w:rFonts w:ascii="Palatino Linotype" w:hAnsi="Palatino Linotype" w:cs="Tahoma"/>
          <w:bCs/>
          <w:iCs/>
          <w:sz w:val="22"/>
          <w:szCs w:val="22"/>
        </w:rPr>
      </w:pPr>
    </w:p>
    <w:p w:rsidRPr="007C325C" w:rsidR="00321C87" w:rsidP="00855D7E" w:rsidRDefault="00321C87" w14:paraId="163F6832" w14:textId="77777777">
      <w:pPr>
        <w:spacing w:line="360" w:lineRule="auto"/>
        <w:contextualSpacing/>
        <w:jc w:val="both"/>
        <w:rPr>
          <w:rFonts w:ascii="Palatino Linotype" w:hAnsi="Palatino Linotype" w:cs="Tahoma"/>
          <w:sz w:val="22"/>
          <w:szCs w:val="22"/>
          <w:lang w:eastAsia="es-MX"/>
        </w:rPr>
      </w:pPr>
      <w:r w:rsidRPr="007C325C">
        <w:rPr>
          <w:rFonts w:ascii="Palatino Linotype" w:hAnsi="Palatino Linotype" w:cs="Tahoma"/>
          <w:sz w:val="22"/>
          <w:szCs w:val="22"/>
          <w:lang w:eastAsia="es-MX"/>
        </w:rPr>
        <w:t xml:space="preserve">Además, es de referir que es de interés público de la ciudadanía, conocer que los trabajadores gubernamentales cumplen con todos los requisitos establecidos en la normatividad respectiva, pues solo así, se puede saber, si los empleados, </w:t>
      </w:r>
      <w:r w:rsidRPr="007C325C">
        <w:rPr>
          <w:rFonts w:ascii="Palatino Linotype" w:hAnsi="Palatino Linotype" w:cs="Tahoma"/>
          <w:b/>
          <w:bCs/>
          <w:sz w:val="22"/>
          <w:szCs w:val="22"/>
          <w:lang w:eastAsia="es-MX"/>
        </w:rPr>
        <w:t xml:space="preserve">son aptos para ocupar determinados puestos; </w:t>
      </w:r>
      <w:r w:rsidRPr="007C325C">
        <w:rPr>
          <w:rFonts w:ascii="Palatino Linotype" w:hAnsi="Palatino Linotype" w:cs="Tahoma"/>
          <w:bCs/>
          <w:sz w:val="22"/>
          <w:szCs w:val="22"/>
          <w:lang w:eastAsia="es-MX"/>
        </w:rPr>
        <w:lastRenderedPageBreak/>
        <w:t xml:space="preserve">por otra parte, </w:t>
      </w:r>
      <w:r w:rsidRPr="007C325C">
        <w:rPr>
          <w:rFonts w:ascii="Palatino Linotype" w:hAnsi="Palatino Linotype" w:cs="Tahoma"/>
          <w:sz w:val="22"/>
          <w:szCs w:val="22"/>
          <w:lang w:eastAsia="es-MX"/>
        </w:rPr>
        <w:t>la publicidad de la información ayuda a rendir cuentas a la población, respecto a que las dependencias gubernamentales cumplen con lo establecido en los ordenamientos jurídicos, ya que permite a las personas verificar que una Dependencia o Ayuntamiento, contrata a servidores públicos capaces e idóneos para cumplir con sus funciones y cumplen con los requisitos respectivos.</w:t>
      </w:r>
    </w:p>
    <w:p w:rsidRPr="007C325C" w:rsidR="00321C87" w:rsidP="00855D7E" w:rsidRDefault="00321C87" w14:paraId="198D046F" w14:textId="77777777">
      <w:pPr>
        <w:spacing w:line="360" w:lineRule="auto"/>
        <w:contextualSpacing/>
        <w:jc w:val="both"/>
        <w:rPr>
          <w:rFonts w:ascii="Palatino Linotype" w:hAnsi="Palatino Linotype" w:cs="Tahoma"/>
          <w:sz w:val="22"/>
          <w:szCs w:val="22"/>
          <w:lang w:eastAsia="es-MX"/>
        </w:rPr>
      </w:pPr>
    </w:p>
    <w:p w:rsidRPr="007C325C" w:rsidR="00321C87" w:rsidP="00855D7E" w:rsidRDefault="00321C87" w14:paraId="51EFC7A0" w14:textId="77777777">
      <w:pPr>
        <w:spacing w:line="360" w:lineRule="auto"/>
        <w:contextualSpacing/>
        <w:jc w:val="both"/>
        <w:rPr>
          <w:rFonts w:ascii="Palatino Linotype" w:hAnsi="Palatino Linotype" w:eastAsia="Calibri" w:cs="Arial"/>
          <w:sz w:val="22"/>
          <w:szCs w:val="22"/>
          <w:lang w:val="es-ES" w:eastAsia="en-US"/>
        </w:rPr>
      </w:pPr>
      <w:r w:rsidRPr="007C325C">
        <w:rPr>
          <w:rFonts w:ascii="Palatino Linotype" w:hAnsi="Palatino Linotype" w:cs="Tahoma"/>
          <w:bCs/>
          <w:iCs/>
          <w:sz w:val="22"/>
          <w:szCs w:val="22"/>
        </w:rPr>
        <w:t xml:space="preserve">Así, los expedientes laborales sirven como medio para acreditar que los servidores públicos cumplieron con todos los requisitos establecidos para ser contratados, como experiencia académica y laboral, por lo que, </w:t>
      </w:r>
      <w:r w:rsidRPr="007C325C">
        <w:rPr>
          <w:rFonts w:ascii="Palatino Linotype" w:hAnsi="Palatino Linotype" w:eastAsia="Calibri" w:cs="Arial"/>
          <w:b/>
          <w:sz w:val="22"/>
          <w:szCs w:val="22"/>
          <w:lang w:val="es-ES" w:eastAsia="en-US"/>
        </w:rPr>
        <w:t xml:space="preserve">abonan a la transparencia y a la rendición de cuentas, pues sirven a la ciudadanía para comprobar que las personas que se desempeñan como servidores públicos tienen el perfil idóneo, la capacidad, las habilidades y la pericia para desarrollar las actividades y atribuciones que se deriven de su encargo. </w:t>
      </w:r>
      <w:r w:rsidRPr="007C325C">
        <w:rPr>
          <w:rFonts w:ascii="Palatino Linotype" w:hAnsi="Palatino Linotype" w:eastAsia="Calibri" w:cs="Arial"/>
          <w:sz w:val="22"/>
          <w:szCs w:val="22"/>
          <w:lang w:val="es-ES" w:eastAsia="en-US"/>
        </w:rPr>
        <w:t>Por lo cual, se considera que no procede su clasificación en términos del artículo 143, fracción I, de la Ley de la materia.</w:t>
      </w:r>
    </w:p>
    <w:p w:rsidRPr="007C325C" w:rsidR="00321C87" w:rsidP="00855D7E" w:rsidRDefault="00321C87" w14:paraId="76CA32E4" w14:textId="77777777">
      <w:pPr>
        <w:spacing w:line="360" w:lineRule="auto"/>
        <w:contextualSpacing/>
        <w:jc w:val="both"/>
        <w:rPr>
          <w:rFonts w:ascii="Palatino Linotype" w:hAnsi="Palatino Linotype" w:cs="Tahoma"/>
          <w:bCs/>
          <w:iCs/>
          <w:sz w:val="22"/>
          <w:szCs w:val="22"/>
        </w:rPr>
      </w:pPr>
    </w:p>
    <w:p w:rsidRPr="007C325C" w:rsidR="00321C87" w:rsidP="00855D7E" w:rsidRDefault="00321C87" w14:paraId="460F5900" w14:textId="77777777">
      <w:pPr>
        <w:spacing w:line="360" w:lineRule="auto"/>
        <w:contextualSpacing/>
        <w:jc w:val="both"/>
        <w:rPr>
          <w:rFonts w:ascii="Palatino Linotype" w:hAnsi="Palatino Linotype" w:cs="Tahoma"/>
          <w:sz w:val="22"/>
          <w:szCs w:val="22"/>
          <w:lang w:eastAsia="es-MX"/>
        </w:rPr>
      </w:pPr>
      <w:r w:rsidRPr="007C325C">
        <w:rPr>
          <w:rFonts w:ascii="Palatino Linotype" w:hAnsi="Palatino Linotype" w:cs="Tahoma"/>
          <w:bCs/>
          <w:iCs/>
          <w:sz w:val="22"/>
          <w:szCs w:val="22"/>
          <w:lang w:val="es-ES"/>
        </w:rPr>
        <w:t xml:space="preserve">Lo anterior, se robustece con los </w:t>
      </w:r>
      <w:r w:rsidRPr="007C325C">
        <w:rPr>
          <w:rFonts w:ascii="Palatino Linotype" w:hAnsi="Palatino Linotype" w:eastAsia="Calibri" w:cs="Tahoma"/>
          <w:bCs/>
          <w:sz w:val="22"/>
          <w:szCs w:val="22"/>
          <w:lang w:eastAsia="en-US"/>
        </w:rPr>
        <w:t xml:space="preserve">artículos 3°, fracción XXI y 111 de la Ley General de Transparencia y Acceso a la Información Pública, 3°, fracción XLV, y 137 de la Ley de Transparencia y Acceso a la Información Pública del Estado de México y Municipios y los numerales Segundo, fracción XVIII, y Quincuagésimo sexto de los Lineamientos Generales, que establecen </w:t>
      </w:r>
      <w:r w:rsidRPr="007C325C">
        <w:rPr>
          <w:rFonts w:ascii="Palatino Linotype" w:hAnsi="Palatino Linotype" w:cs="Tahoma"/>
          <w:sz w:val="22"/>
          <w:szCs w:val="22"/>
          <w:lang w:eastAsia="es-MX"/>
        </w:rPr>
        <w:t>que cuando un documento contenga información pública y reservada o confidencial, la Unidad de Transparencia para efectos de atender al requerimiento informativo, deberá elaborar una versión Pública en la que se testen las partes o secciones clasificadas, indicando su contenido de manera genérica y fundando y motivando su clasificación; documento que deberá ser aprobado por el Comité de Transparencia.</w:t>
      </w:r>
    </w:p>
    <w:p w:rsidRPr="007C325C" w:rsidR="00321C87" w:rsidP="00855D7E" w:rsidRDefault="00321C87" w14:paraId="55D63EB9" w14:textId="77777777">
      <w:pPr>
        <w:spacing w:line="360" w:lineRule="auto"/>
        <w:contextualSpacing/>
        <w:jc w:val="both"/>
        <w:rPr>
          <w:rFonts w:ascii="Palatino Linotype" w:hAnsi="Palatino Linotype" w:cs="Tahoma"/>
          <w:bCs/>
          <w:iCs/>
          <w:sz w:val="22"/>
          <w:szCs w:val="22"/>
          <w:lang w:val="es-ES"/>
        </w:rPr>
      </w:pPr>
    </w:p>
    <w:p w:rsidRPr="007C325C" w:rsidR="00321C87" w:rsidP="00855D7E" w:rsidRDefault="00321C87" w14:paraId="1731245D" w14:textId="77777777">
      <w:pPr>
        <w:spacing w:line="360" w:lineRule="auto"/>
        <w:contextualSpacing/>
        <w:jc w:val="both"/>
        <w:rPr>
          <w:rFonts w:ascii="Palatino Linotype" w:hAnsi="Palatino Linotype" w:cs="Tahoma"/>
          <w:sz w:val="22"/>
          <w:szCs w:val="22"/>
          <w:lang w:eastAsia="es-MX"/>
        </w:rPr>
      </w:pPr>
      <w:r w:rsidRPr="007C325C">
        <w:rPr>
          <w:rFonts w:ascii="Palatino Linotype" w:hAnsi="Palatino Linotype" w:cs="Tahoma"/>
          <w:sz w:val="22"/>
          <w:szCs w:val="22"/>
          <w:lang w:eastAsia="es-MX"/>
        </w:rPr>
        <w:lastRenderedPageBreak/>
        <w:t>Como se logra observar, la clasificación total del documento no es la única forma de proteger información confidencial, pues existe otro procedimiento, en el cual, solamente se testan las partes que contienen datos personales, denominado versión pública; con lo cual, el Sujeto Obligado podría testar los datos confidenciales y proporcionar los documentos que dan cuenta de la información solicitada.</w:t>
      </w:r>
    </w:p>
    <w:p w:rsidRPr="007C325C" w:rsidR="00321C87" w:rsidP="00855D7E" w:rsidRDefault="00321C87" w14:paraId="534CBF81" w14:textId="77777777">
      <w:pPr>
        <w:spacing w:line="360" w:lineRule="auto"/>
        <w:contextualSpacing/>
        <w:jc w:val="both"/>
        <w:rPr>
          <w:rFonts w:ascii="Palatino Linotype" w:hAnsi="Palatino Linotype" w:cs="Tahoma"/>
          <w:bCs/>
          <w:iCs/>
          <w:sz w:val="22"/>
          <w:szCs w:val="22"/>
          <w:lang w:val="es-ES"/>
        </w:rPr>
      </w:pPr>
    </w:p>
    <w:p w:rsidRPr="007C325C" w:rsidR="00321C87" w:rsidP="00855D7E" w:rsidRDefault="00321C87" w14:paraId="425B88C9" w14:textId="77777777">
      <w:pPr>
        <w:spacing w:line="360" w:lineRule="auto"/>
        <w:contextualSpacing/>
        <w:jc w:val="both"/>
        <w:rPr>
          <w:rFonts w:ascii="Palatino Linotype" w:hAnsi="Palatino Linotype" w:cs="Tahoma"/>
          <w:bCs/>
          <w:iCs/>
          <w:sz w:val="22"/>
          <w:szCs w:val="22"/>
          <w:lang w:eastAsia="es-MX"/>
        </w:rPr>
      </w:pPr>
      <w:r w:rsidRPr="007C325C">
        <w:rPr>
          <w:rFonts w:ascii="Palatino Linotype" w:hAnsi="Palatino Linotype" w:cs="Tahoma"/>
          <w:bCs/>
          <w:iCs/>
          <w:sz w:val="22"/>
          <w:szCs w:val="22"/>
          <w:lang w:eastAsia="es-MX"/>
        </w:rPr>
        <w:t>Conforme a lo anterior, se considera que para atender el requerimiento de información y dar cumplimiento a los artículos 12 y 160 de la Ley de la Transparencia y Acceso a la Información Pública, el Sujeto Obligado deberá proporcionar los documentos que conforman el expediente laboral de la persona señalada en la solicitud.</w:t>
      </w:r>
    </w:p>
    <w:p w:rsidRPr="007C325C" w:rsidR="00321C87" w:rsidP="00855D7E" w:rsidRDefault="00321C87" w14:paraId="4C9B6774" w14:textId="77777777">
      <w:pPr>
        <w:spacing w:line="360" w:lineRule="auto"/>
        <w:contextualSpacing/>
        <w:jc w:val="both"/>
        <w:rPr>
          <w:rFonts w:ascii="Palatino Linotype" w:hAnsi="Palatino Linotype" w:cs="Tahoma"/>
          <w:bCs/>
          <w:iCs/>
          <w:sz w:val="22"/>
          <w:szCs w:val="22"/>
          <w:lang w:val="es-ES"/>
        </w:rPr>
      </w:pPr>
    </w:p>
    <w:p w:rsidRPr="007C325C" w:rsidR="00321C87" w:rsidP="00855D7E" w:rsidRDefault="00321C87" w14:paraId="00DC9E38" w14:textId="77777777">
      <w:pPr>
        <w:spacing w:line="360" w:lineRule="auto"/>
        <w:contextualSpacing/>
        <w:jc w:val="both"/>
        <w:rPr>
          <w:rFonts w:ascii="Palatino Linotype" w:hAnsi="Palatino Linotype" w:eastAsia="Calibri" w:cs="Tahoma"/>
          <w:color w:val="000000"/>
          <w:sz w:val="22"/>
          <w:szCs w:val="24"/>
          <w:lang w:val="es-ES" w:eastAsia="es-MX"/>
        </w:rPr>
      </w:pPr>
      <w:r w:rsidRPr="007C325C">
        <w:rPr>
          <w:rFonts w:ascii="Palatino Linotype" w:hAnsi="Palatino Linotype" w:eastAsia="Calibri" w:cs="Tahoma"/>
          <w:color w:val="000000"/>
          <w:sz w:val="22"/>
          <w:szCs w:val="24"/>
          <w:lang w:val="es-ES" w:eastAsia="es-MX"/>
        </w:rPr>
        <w:t xml:space="preserve">No pasa desapercibido para este Instituto que la información que dé cuenta de lo solicitado, pudiera contener datos (como domicilio, Registro Federal de Contribuyentes, Clave Única de Registro de Población, datos de contacto, de salud, entre otros) o documentos clasificados (credencial para votar, acta de nacimiento, </w:t>
      </w:r>
      <w:r w:rsidRPr="007C325C" w:rsidR="00E00E08">
        <w:rPr>
          <w:rFonts w:ascii="Palatino Linotype" w:hAnsi="Palatino Linotype" w:eastAsia="Calibri" w:cs="Tahoma"/>
          <w:color w:val="000000"/>
          <w:sz w:val="22"/>
          <w:szCs w:val="24"/>
          <w:lang w:val="es-ES" w:eastAsia="es-MX"/>
        </w:rPr>
        <w:t>etc.</w:t>
      </w:r>
      <w:r w:rsidRPr="007C325C">
        <w:rPr>
          <w:rFonts w:ascii="Palatino Linotype" w:hAnsi="Palatino Linotype" w:eastAsia="Calibri" w:cs="Tahoma"/>
          <w:color w:val="000000"/>
          <w:sz w:val="22"/>
          <w:szCs w:val="24"/>
          <w:lang w:val="es-ES" w:eastAsia="es-MX"/>
        </w:rPr>
        <w:t>); al respecto, conforme al artículo 3°, fracción XLV, relacionado con el 137, ambos de la Ley de Transparencia y Acceso a la Información Pública del Estado de México y Municipios, cuando un documento contenga información pública y reservada o confidencial, la Unidad de Transparencia para efectos de atender al requerimiento informativo, deberá elaborar una versión Pública en la que se testen las partes o secciones clasificadas, indicando su contenido de manera genérica y fundando y motivando su clasificación.</w:t>
      </w:r>
    </w:p>
    <w:p w:rsidRPr="007C325C" w:rsidR="00E00E08" w:rsidP="00855D7E" w:rsidRDefault="00E00E08" w14:paraId="2AAE6BFD" w14:textId="77777777">
      <w:pPr>
        <w:spacing w:line="360" w:lineRule="auto"/>
        <w:contextualSpacing/>
        <w:jc w:val="both"/>
        <w:rPr>
          <w:rFonts w:ascii="Palatino Linotype" w:hAnsi="Palatino Linotype" w:eastAsia="Calibri" w:cs="Tahoma"/>
          <w:color w:val="000000"/>
          <w:sz w:val="22"/>
          <w:szCs w:val="24"/>
          <w:lang w:val="es-ES" w:eastAsia="es-MX"/>
        </w:rPr>
      </w:pPr>
    </w:p>
    <w:p w:rsidRPr="007C325C" w:rsidR="00321C87" w:rsidP="00855D7E" w:rsidRDefault="00321C87" w14:paraId="007191BF" w14:textId="77777777">
      <w:pPr>
        <w:spacing w:line="360" w:lineRule="auto"/>
        <w:contextualSpacing/>
        <w:jc w:val="both"/>
        <w:rPr>
          <w:rFonts w:ascii="Palatino Linotype" w:hAnsi="Palatino Linotype" w:eastAsia="Calibri" w:cs="Tahoma"/>
          <w:color w:val="000000"/>
          <w:sz w:val="22"/>
          <w:szCs w:val="24"/>
          <w:lang w:val="es-ES" w:eastAsia="es-MX"/>
        </w:rPr>
      </w:pPr>
      <w:r w:rsidRPr="007C325C">
        <w:rPr>
          <w:rFonts w:ascii="Palatino Linotype" w:hAnsi="Palatino Linotype" w:eastAsia="Calibri" w:cs="Tahoma"/>
          <w:color w:val="000000"/>
          <w:sz w:val="22"/>
          <w:szCs w:val="24"/>
          <w:lang w:val="es-ES" w:eastAsia="es-MX"/>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rsidRPr="007C325C" w:rsidR="00321C87" w:rsidP="00855D7E" w:rsidRDefault="00321C87" w14:paraId="1FF0FA48" w14:textId="77777777">
      <w:pPr>
        <w:spacing w:line="360" w:lineRule="auto"/>
        <w:contextualSpacing/>
        <w:jc w:val="both"/>
        <w:rPr>
          <w:rFonts w:ascii="Palatino Linotype" w:hAnsi="Palatino Linotype" w:cs="Tahoma"/>
          <w:bCs/>
          <w:iCs/>
          <w:sz w:val="22"/>
          <w:szCs w:val="22"/>
          <w:lang w:val="es-ES"/>
        </w:rPr>
      </w:pPr>
    </w:p>
    <w:p w:rsidRPr="007C325C" w:rsidR="00321C87" w:rsidP="00855D7E" w:rsidRDefault="00321C87" w14:paraId="7ABE6C97" w14:textId="77777777">
      <w:pPr>
        <w:spacing w:line="259" w:lineRule="auto"/>
        <w:contextualSpacing/>
        <w:jc w:val="both"/>
        <w:rPr>
          <w:rFonts w:ascii="Palatino Linotype" w:hAnsi="Palatino Linotype" w:cs="Tahoma" w:eastAsiaTheme="minorHAnsi"/>
          <w:b/>
          <w:color w:val="000000" w:themeColor="text1"/>
          <w:sz w:val="22"/>
          <w:szCs w:val="22"/>
          <w:lang w:eastAsia="en-US"/>
        </w:rPr>
      </w:pPr>
      <w:r w:rsidRPr="007C325C">
        <w:rPr>
          <w:rFonts w:ascii="Palatino Linotype" w:hAnsi="Palatino Linotype" w:cs="Tahoma" w:eastAsiaTheme="minorHAnsi"/>
          <w:b/>
          <w:color w:val="000000" w:themeColor="text1"/>
          <w:sz w:val="22"/>
          <w:szCs w:val="22"/>
          <w:lang w:eastAsia="en-US"/>
        </w:rPr>
        <w:t xml:space="preserve">SEXTO. Decisión. </w:t>
      </w:r>
    </w:p>
    <w:p w:rsidRPr="007C325C" w:rsidR="00321C87" w:rsidP="00855D7E" w:rsidRDefault="00321C87" w14:paraId="7658D50A" w14:textId="77777777">
      <w:pPr>
        <w:spacing w:line="259" w:lineRule="auto"/>
        <w:contextualSpacing/>
        <w:jc w:val="both"/>
        <w:rPr>
          <w:rFonts w:ascii="Palatino Linotype" w:hAnsi="Palatino Linotype" w:cs="Tahoma" w:eastAsiaTheme="minorHAnsi"/>
          <w:b/>
          <w:color w:val="000000" w:themeColor="text1"/>
          <w:sz w:val="22"/>
          <w:szCs w:val="22"/>
          <w:lang w:eastAsia="en-US"/>
        </w:rPr>
      </w:pPr>
    </w:p>
    <w:p w:rsidRPr="007C325C" w:rsidR="0014692E" w:rsidP="00855D7E" w:rsidRDefault="00C10DCD" w14:paraId="48F1C7F5" w14:textId="77777777">
      <w:pPr>
        <w:spacing w:line="360" w:lineRule="auto"/>
        <w:contextualSpacing/>
        <w:jc w:val="both"/>
        <w:rPr>
          <w:rFonts w:ascii="Palatino Linotype" w:hAnsi="Palatino Linotype" w:cs="Tahoma"/>
          <w:sz w:val="22"/>
          <w:szCs w:val="22"/>
        </w:rPr>
      </w:pPr>
      <w:r w:rsidRPr="007C325C">
        <w:rPr>
          <w:rFonts w:ascii="Palatino Linotype" w:hAnsi="Palatino Linotype" w:cs="Tahoma"/>
          <w:sz w:val="22"/>
          <w:szCs w:val="22"/>
        </w:rPr>
        <w:t xml:space="preserve">Con fundamento en el artículo 186, </w:t>
      </w:r>
      <w:r w:rsidRPr="007C325C" w:rsidR="006256A7">
        <w:rPr>
          <w:rFonts w:ascii="Palatino Linotype" w:hAnsi="Palatino Linotype" w:cs="Tahoma"/>
          <w:sz w:val="22"/>
          <w:szCs w:val="22"/>
        </w:rPr>
        <w:t>fracci</w:t>
      </w:r>
      <w:r w:rsidRPr="007C325C" w:rsidR="00786BAF">
        <w:rPr>
          <w:rFonts w:ascii="Palatino Linotype" w:hAnsi="Palatino Linotype" w:cs="Tahoma"/>
          <w:sz w:val="22"/>
          <w:szCs w:val="22"/>
        </w:rPr>
        <w:t>ó</w:t>
      </w:r>
      <w:r w:rsidRPr="007C325C" w:rsidR="006256A7">
        <w:rPr>
          <w:rFonts w:ascii="Palatino Linotype" w:hAnsi="Palatino Linotype" w:cs="Tahoma"/>
          <w:sz w:val="22"/>
          <w:szCs w:val="22"/>
        </w:rPr>
        <w:t>n</w:t>
      </w:r>
      <w:r w:rsidRPr="007C325C" w:rsidR="00EF4C86">
        <w:rPr>
          <w:rFonts w:ascii="Palatino Linotype" w:hAnsi="Palatino Linotype" w:cs="Tahoma"/>
          <w:sz w:val="22"/>
          <w:szCs w:val="22"/>
        </w:rPr>
        <w:t xml:space="preserve"> </w:t>
      </w:r>
      <w:r w:rsidRPr="007C325C">
        <w:rPr>
          <w:rFonts w:ascii="Palatino Linotype" w:hAnsi="Palatino Linotype" w:cs="Tahoma"/>
          <w:sz w:val="22"/>
          <w:szCs w:val="22"/>
        </w:rPr>
        <w:t>III, de la Ley de Transparencia y Acceso a la Información Pública del Estado de México y Municipios, este Instituto considera procedente</w:t>
      </w:r>
      <w:r w:rsidRPr="007C325C" w:rsidR="00C67EEB">
        <w:rPr>
          <w:rFonts w:ascii="Palatino Linotype" w:hAnsi="Palatino Linotype"/>
          <w:b/>
          <w:sz w:val="22"/>
          <w:szCs w:val="22"/>
        </w:rPr>
        <w:t xml:space="preserve">, </w:t>
      </w:r>
      <w:r w:rsidRPr="007C325C" w:rsidR="00BD7C0A">
        <w:rPr>
          <w:rFonts w:ascii="Palatino Linotype" w:hAnsi="Palatino Linotype"/>
          <w:b/>
          <w:bCs/>
          <w:sz w:val="22"/>
          <w:szCs w:val="22"/>
        </w:rPr>
        <w:t xml:space="preserve">REVOCAR </w:t>
      </w:r>
      <w:r w:rsidRPr="007C325C" w:rsidR="00BD7C0A">
        <w:rPr>
          <w:rFonts w:ascii="Palatino Linotype" w:hAnsi="Palatino Linotype"/>
          <w:bCs/>
          <w:sz w:val="22"/>
          <w:szCs w:val="22"/>
        </w:rPr>
        <w:t>la respuesta</w:t>
      </w:r>
      <w:r w:rsidRPr="007C325C" w:rsidR="00821F3B">
        <w:rPr>
          <w:rFonts w:ascii="Palatino Linotype" w:hAnsi="Palatino Linotype"/>
          <w:bCs/>
          <w:sz w:val="22"/>
          <w:szCs w:val="22"/>
        </w:rPr>
        <w:t>s</w:t>
      </w:r>
      <w:r w:rsidRPr="007C325C" w:rsidR="00BD7C0A">
        <w:rPr>
          <w:rFonts w:ascii="Palatino Linotype" w:hAnsi="Palatino Linotype"/>
          <w:bCs/>
          <w:sz w:val="22"/>
          <w:szCs w:val="22"/>
        </w:rPr>
        <w:t xml:space="preserve"> otorgada</w:t>
      </w:r>
      <w:r w:rsidRPr="007C325C" w:rsidR="00821F3B">
        <w:rPr>
          <w:rFonts w:ascii="Palatino Linotype" w:hAnsi="Palatino Linotype"/>
          <w:bCs/>
          <w:sz w:val="22"/>
          <w:szCs w:val="22"/>
        </w:rPr>
        <w:t>s</w:t>
      </w:r>
      <w:r w:rsidRPr="007C325C" w:rsidR="00BD7C0A">
        <w:rPr>
          <w:rFonts w:ascii="Palatino Linotype" w:hAnsi="Palatino Linotype"/>
          <w:bCs/>
          <w:sz w:val="22"/>
          <w:szCs w:val="22"/>
        </w:rPr>
        <w:t xml:space="preserve"> </w:t>
      </w:r>
      <w:r w:rsidRPr="007C325C" w:rsidR="00EB78BE">
        <w:rPr>
          <w:rFonts w:ascii="Palatino Linotype" w:hAnsi="Palatino Linotype"/>
          <w:bCs/>
          <w:sz w:val="22"/>
          <w:szCs w:val="22"/>
        </w:rPr>
        <w:t xml:space="preserve">por el </w:t>
      </w:r>
      <w:r w:rsidRPr="007C325C" w:rsidR="00786BAF">
        <w:rPr>
          <w:rFonts w:ascii="Palatino Linotype" w:hAnsi="Palatino Linotype"/>
          <w:bCs/>
          <w:sz w:val="22"/>
          <w:szCs w:val="22"/>
        </w:rPr>
        <w:t xml:space="preserve">Sujeto </w:t>
      </w:r>
      <w:r w:rsidRPr="007C325C" w:rsidR="00EB78BE">
        <w:rPr>
          <w:rFonts w:ascii="Palatino Linotype" w:hAnsi="Palatino Linotype"/>
          <w:bCs/>
          <w:sz w:val="22"/>
          <w:szCs w:val="22"/>
        </w:rPr>
        <w:t xml:space="preserve">Obligado al </w:t>
      </w:r>
      <w:r w:rsidRPr="007C325C">
        <w:rPr>
          <w:rFonts w:ascii="Palatino Linotype" w:hAnsi="Palatino Linotype"/>
          <w:sz w:val="22"/>
          <w:szCs w:val="22"/>
        </w:rPr>
        <w:t xml:space="preserve">resultar parcialmente fundadas las razones o motivos de inconformidad hechos </w:t>
      </w:r>
      <w:r w:rsidRPr="007C325C">
        <w:rPr>
          <w:rFonts w:ascii="Palatino Linotype" w:hAnsi="Palatino Linotype" w:cs="Tahoma"/>
          <w:sz w:val="22"/>
          <w:szCs w:val="22"/>
        </w:rPr>
        <w:t>valer</w:t>
      </w:r>
      <w:r w:rsidRPr="007C325C">
        <w:rPr>
          <w:rFonts w:ascii="Palatino Linotype" w:hAnsi="Palatino Linotype"/>
          <w:sz w:val="22"/>
          <w:szCs w:val="22"/>
        </w:rPr>
        <w:t xml:space="preserve"> por el Recurrente, en </w:t>
      </w:r>
      <w:r w:rsidRPr="007C325C" w:rsidR="006177C1">
        <w:rPr>
          <w:rFonts w:ascii="Palatino Linotype" w:hAnsi="Palatino Linotype"/>
          <w:sz w:val="22"/>
          <w:szCs w:val="22"/>
        </w:rPr>
        <w:t>su</w:t>
      </w:r>
      <w:r w:rsidRPr="007C325C" w:rsidR="00821F3B">
        <w:rPr>
          <w:rFonts w:ascii="Palatino Linotype" w:hAnsi="Palatino Linotype"/>
          <w:sz w:val="22"/>
          <w:szCs w:val="22"/>
        </w:rPr>
        <w:t>s</w:t>
      </w:r>
      <w:r w:rsidRPr="007C325C">
        <w:rPr>
          <w:rFonts w:ascii="Palatino Linotype" w:hAnsi="Palatino Linotype"/>
          <w:sz w:val="22"/>
          <w:szCs w:val="22"/>
        </w:rPr>
        <w:t xml:space="preserve"> Recurso</w:t>
      </w:r>
      <w:r w:rsidRPr="007C325C" w:rsidR="00821F3B">
        <w:rPr>
          <w:rFonts w:ascii="Palatino Linotype" w:hAnsi="Palatino Linotype"/>
          <w:sz w:val="22"/>
          <w:szCs w:val="22"/>
        </w:rPr>
        <w:t>s</w:t>
      </w:r>
      <w:r w:rsidRPr="007C325C">
        <w:rPr>
          <w:rFonts w:ascii="Palatino Linotype" w:hAnsi="Palatino Linotype"/>
          <w:sz w:val="22"/>
          <w:szCs w:val="22"/>
        </w:rPr>
        <w:t xml:space="preserve"> de Revisión</w:t>
      </w:r>
      <w:r w:rsidRPr="007C325C">
        <w:rPr>
          <w:rFonts w:ascii="Palatino Linotype" w:hAnsi="Palatino Linotype" w:cs="Tahoma"/>
          <w:b/>
          <w:bCs/>
          <w:color w:val="0D0D0D" w:themeColor="text1" w:themeTint="F2"/>
          <w:sz w:val="22"/>
          <w:szCs w:val="22"/>
        </w:rPr>
        <w:t>,</w:t>
      </w:r>
      <w:r w:rsidRPr="007C325C">
        <w:rPr>
          <w:rFonts w:ascii="Palatino Linotype" w:hAnsi="Palatino Linotype"/>
          <w:sz w:val="22"/>
          <w:szCs w:val="22"/>
        </w:rPr>
        <w:t xml:space="preserve"> en consecuencia procede </w:t>
      </w:r>
      <w:r w:rsidRPr="007C325C">
        <w:rPr>
          <w:rFonts w:ascii="Palatino Linotype" w:hAnsi="Palatino Linotype" w:cs="Tahoma"/>
          <w:b/>
          <w:sz w:val="22"/>
          <w:szCs w:val="22"/>
        </w:rPr>
        <w:t>ORDENAR</w:t>
      </w:r>
      <w:r w:rsidRPr="007C325C">
        <w:rPr>
          <w:rFonts w:ascii="Palatino Linotype" w:hAnsi="Palatino Linotype" w:cs="Tahoma"/>
          <w:sz w:val="22"/>
          <w:szCs w:val="22"/>
        </w:rPr>
        <w:t xml:space="preserve">, </w:t>
      </w:r>
      <w:r w:rsidRPr="007C325C">
        <w:rPr>
          <w:rFonts w:ascii="Palatino Linotype" w:hAnsi="Palatino Linotype" w:cs="Tahoma"/>
          <w:bCs/>
          <w:iCs/>
          <w:sz w:val="22"/>
          <w:szCs w:val="22"/>
          <w:lang w:val="es-ES_tradnl"/>
        </w:rPr>
        <w:t>conceda vía Sistema de Acceso a la Información Mexiquense (SAIMEX) de ser</w:t>
      </w:r>
      <w:r w:rsidRPr="007C325C" w:rsidR="006177C1">
        <w:rPr>
          <w:rFonts w:ascii="Palatino Linotype" w:hAnsi="Palatino Linotype" w:cs="Tahoma"/>
          <w:bCs/>
          <w:iCs/>
          <w:sz w:val="22"/>
          <w:szCs w:val="22"/>
          <w:lang w:val="es-ES_tradnl"/>
        </w:rPr>
        <w:t xml:space="preserve"> procedente en versión pública </w:t>
      </w:r>
      <w:r w:rsidRPr="007C325C" w:rsidR="00742F29">
        <w:rPr>
          <w:rFonts w:ascii="Palatino Linotype" w:hAnsi="Palatino Linotype" w:cs="Tahoma"/>
          <w:bCs/>
          <w:iCs/>
          <w:sz w:val="22"/>
          <w:szCs w:val="22"/>
          <w:lang w:val="es-ES_tradnl"/>
        </w:rPr>
        <w:t>lo</w:t>
      </w:r>
      <w:r w:rsidRPr="007C325C" w:rsidR="006A5261">
        <w:rPr>
          <w:rFonts w:ascii="Palatino Linotype" w:hAnsi="Palatino Linotype" w:cs="Tahoma"/>
          <w:bCs/>
          <w:iCs/>
          <w:sz w:val="22"/>
          <w:szCs w:val="22"/>
          <w:lang w:val="es-ES_tradnl"/>
        </w:rPr>
        <w:t xml:space="preserve">s </w:t>
      </w:r>
      <w:r w:rsidRPr="007C325C" w:rsidR="00786BAF">
        <w:rPr>
          <w:rFonts w:ascii="Palatino Linotype" w:hAnsi="Palatino Linotype" w:cs="Tahoma"/>
          <w:bCs/>
          <w:iCs/>
          <w:sz w:val="22"/>
          <w:szCs w:val="22"/>
          <w:lang w:val="es-ES_tradnl"/>
        </w:rPr>
        <w:t xml:space="preserve">expedientes requeridos </w:t>
      </w:r>
      <w:r w:rsidRPr="007C325C" w:rsidR="007330FC">
        <w:rPr>
          <w:rFonts w:ascii="Palatino Linotype" w:hAnsi="Palatino Linotype" w:cs="Tahoma"/>
          <w:bCs/>
          <w:iCs/>
          <w:sz w:val="22"/>
          <w:szCs w:val="22"/>
          <w:lang w:val="es-ES_tradnl"/>
        </w:rPr>
        <w:t>por el Particular</w:t>
      </w:r>
      <w:r w:rsidRPr="007C325C" w:rsidR="0014692E">
        <w:rPr>
          <w:rFonts w:ascii="Palatino Linotype" w:hAnsi="Palatino Linotype"/>
          <w:bCs/>
          <w:sz w:val="22"/>
          <w:szCs w:val="24"/>
        </w:rPr>
        <w:t>.</w:t>
      </w:r>
    </w:p>
    <w:p w:rsidRPr="007C325C" w:rsidR="00F94AEB" w:rsidP="00855D7E" w:rsidRDefault="00F94AEB" w14:paraId="7E90EE6C" w14:textId="77777777">
      <w:pPr>
        <w:spacing w:line="360" w:lineRule="auto"/>
        <w:contextualSpacing/>
        <w:jc w:val="both"/>
        <w:rPr>
          <w:rFonts w:ascii="Palatino Linotype" w:hAnsi="Palatino Linotype" w:cs="Tahoma"/>
          <w:bCs/>
          <w:iCs/>
          <w:sz w:val="24"/>
          <w:szCs w:val="24"/>
          <w:lang w:val="es-ES_tradnl"/>
        </w:rPr>
      </w:pPr>
    </w:p>
    <w:p w:rsidRPr="007C325C" w:rsidR="00C10DCD" w:rsidP="00855D7E" w:rsidRDefault="00C10DCD" w14:paraId="19179F12" w14:textId="77777777">
      <w:pPr>
        <w:spacing w:line="360" w:lineRule="auto"/>
        <w:contextualSpacing/>
        <w:jc w:val="both"/>
        <w:rPr>
          <w:rFonts w:ascii="Palatino Linotype" w:hAnsi="Palatino Linotype" w:cs="Tahoma"/>
          <w:b/>
          <w:bCs/>
          <w:sz w:val="22"/>
          <w:szCs w:val="22"/>
        </w:rPr>
      </w:pPr>
      <w:r w:rsidRPr="007C325C">
        <w:rPr>
          <w:rFonts w:ascii="Palatino Linotype" w:hAnsi="Palatino Linotype" w:cs="Tahoma"/>
          <w:b/>
          <w:bCs/>
          <w:sz w:val="22"/>
          <w:szCs w:val="22"/>
        </w:rPr>
        <w:t>Términos de la Resolución para el Recurrente:</w:t>
      </w:r>
    </w:p>
    <w:p w:rsidRPr="007C325C" w:rsidR="00C10DCD" w:rsidP="00855D7E" w:rsidRDefault="00C10DCD" w14:paraId="3A3E3681" w14:textId="77777777">
      <w:pPr>
        <w:spacing w:line="360" w:lineRule="auto"/>
        <w:contextualSpacing/>
        <w:jc w:val="both"/>
        <w:rPr>
          <w:rFonts w:ascii="Palatino Linotype" w:hAnsi="Palatino Linotype" w:cs="Tahoma"/>
          <w:b/>
          <w:bCs/>
          <w:sz w:val="22"/>
          <w:szCs w:val="22"/>
        </w:rPr>
      </w:pPr>
    </w:p>
    <w:p w:rsidRPr="007C325C" w:rsidR="00C10DCD" w:rsidP="00855D7E" w:rsidRDefault="00C10DCD" w14:paraId="7FBDB8D8" w14:textId="77777777">
      <w:pPr>
        <w:spacing w:line="360" w:lineRule="auto"/>
        <w:contextualSpacing/>
        <w:jc w:val="both"/>
        <w:rPr>
          <w:rFonts w:ascii="Palatino Linotype" w:hAnsi="Palatino Linotype" w:cs="Tahoma"/>
          <w:bCs/>
          <w:sz w:val="22"/>
          <w:szCs w:val="22"/>
          <w:u w:val="single"/>
        </w:rPr>
      </w:pPr>
      <w:r w:rsidRPr="007C325C">
        <w:rPr>
          <w:rFonts w:ascii="Palatino Linotype" w:hAnsi="Palatino Linotype" w:cs="Tahoma"/>
          <w:bCs/>
          <w:sz w:val="22"/>
          <w:szCs w:val="22"/>
          <w:u w:val="single"/>
        </w:rPr>
        <w:t>En este sentido, se hace del conocimiento del Recurrente la determinación de este Órgano Garante a su inconformidad:</w:t>
      </w:r>
    </w:p>
    <w:p w:rsidRPr="007C325C" w:rsidR="00B02477" w:rsidP="00855D7E" w:rsidRDefault="00B02477" w14:paraId="2C692956" w14:textId="77777777">
      <w:pPr>
        <w:spacing w:line="360" w:lineRule="auto"/>
        <w:contextualSpacing/>
        <w:jc w:val="both"/>
        <w:rPr>
          <w:rFonts w:ascii="Palatino Linotype" w:hAnsi="Palatino Linotype" w:cs="Tahoma"/>
          <w:bCs/>
          <w:sz w:val="22"/>
          <w:szCs w:val="22"/>
          <w:u w:val="single"/>
        </w:rPr>
      </w:pPr>
    </w:p>
    <w:p w:rsidRPr="007C325C" w:rsidR="00C10DCD" w:rsidP="00855D7E" w:rsidRDefault="00B02477" w14:paraId="59638D40" w14:textId="77777777">
      <w:pPr>
        <w:spacing w:line="360" w:lineRule="auto"/>
        <w:contextualSpacing/>
        <w:jc w:val="both"/>
        <w:rPr>
          <w:rFonts w:ascii="Palatino Linotype" w:hAnsi="Palatino Linotype" w:cs="Tahoma"/>
          <w:bCs/>
          <w:sz w:val="22"/>
          <w:szCs w:val="22"/>
          <w:u w:val="single"/>
        </w:rPr>
      </w:pPr>
      <w:r w:rsidRPr="007C325C">
        <w:rPr>
          <w:rFonts w:ascii="Palatino Linotype" w:hAnsi="Palatino Linotype" w:cs="Tahoma"/>
          <w:bCs/>
          <w:sz w:val="22"/>
          <w:szCs w:val="22"/>
          <w:u w:val="single"/>
        </w:rPr>
        <w:t xml:space="preserve">Este Instituto Garante, determinó </w:t>
      </w:r>
      <w:r w:rsidRPr="007C325C" w:rsidR="00591F53">
        <w:rPr>
          <w:rFonts w:ascii="Palatino Linotype" w:hAnsi="Palatino Linotype" w:cs="Tahoma"/>
          <w:bCs/>
          <w:sz w:val="22"/>
          <w:szCs w:val="22"/>
          <w:u w:val="single"/>
        </w:rPr>
        <w:t>revocar</w:t>
      </w:r>
      <w:r w:rsidRPr="007C325C">
        <w:rPr>
          <w:rFonts w:ascii="Palatino Linotype" w:hAnsi="Palatino Linotype" w:cs="Tahoma"/>
          <w:bCs/>
          <w:sz w:val="22"/>
          <w:szCs w:val="22"/>
          <w:u w:val="single"/>
        </w:rPr>
        <w:t xml:space="preserve"> la respuesta que le entregó el Sujeto Obligado a </w:t>
      </w:r>
      <w:r w:rsidRPr="007C325C" w:rsidR="00591F53">
        <w:rPr>
          <w:rFonts w:ascii="Palatino Linotype" w:hAnsi="Palatino Linotype" w:cs="Tahoma"/>
          <w:bCs/>
          <w:sz w:val="22"/>
          <w:szCs w:val="22"/>
          <w:u w:val="single"/>
        </w:rPr>
        <w:t xml:space="preserve">su </w:t>
      </w:r>
      <w:r w:rsidRPr="007C325C">
        <w:rPr>
          <w:rFonts w:ascii="Palatino Linotype" w:hAnsi="Palatino Linotype" w:cs="Tahoma"/>
          <w:bCs/>
          <w:sz w:val="22"/>
          <w:szCs w:val="22"/>
          <w:u w:val="single"/>
        </w:rPr>
        <w:t>solicitud</w:t>
      </w:r>
      <w:r w:rsidRPr="007C325C" w:rsidR="00591F53">
        <w:rPr>
          <w:rFonts w:ascii="Palatino Linotype" w:hAnsi="Palatino Linotype" w:cs="Tahoma"/>
          <w:bCs/>
          <w:sz w:val="22"/>
          <w:szCs w:val="22"/>
          <w:u w:val="single"/>
        </w:rPr>
        <w:t xml:space="preserve"> de acceso a la información, </w:t>
      </w:r>
      <w:r w:rsidRPr="007C325C" w:rsidR="00C10DCD">
        <w:rPr>
          <w:rFonts w:ascii="Palatino Linotype" w:hAnsi="Palatino Linotype" w:cs="Tahoma"/>
          <w:bCs/>
          <w:sz w:val="22"/>
          <w:szCs w:val="22"/>
          <w:u w:val="single"/>
        </w:rPr>
        <w:t xml:space="preserve">en virtud de que </w:t>
      </w:r>
      <w:r w:rsidRPr="007C325C">
        <w:rPr>
          <w:rFonts w:ascii="Palatino Linotype" w:hAnsi="Palatino Linotype" w:cs="Tahoma"/>
          <w:bCs/>
          <w:sz w:val="22"/>
          <w:szCs w:val="22"/>
          <w:u w:val="single"/>
        </w:rPr>
        <w:t>el cambio de modalidad no fue debidamente fundado y motivado</w:t>
      </w:r>
      <w:r w:rsidRPr="007C325C" w:rsidR="00C10DCD">
        <w:rPr>
          <w:rFonts w:ascii="Palatino Linotype" w:hAnsi="Palatino Linotype" w:cs="Tahoma"/>
          <w:bCs/>
          <w:sz w:val="22"/>
          <w:szCs w:val="22"/>
          <w:u w:val="single"/>
        </w:rPr>
        <w:t xml:space="preserve">, por lo que se determinó que </w:t>
      </w:r>
      <w:r w:rsidRPr="007C325C" w:rsidR="004456C6">
        <w:rPr>
          <w:rFonts w:ascii="Palatino Linotype" w:hAnsi="Palatino Linotype" w:cs="Tahoma"/>
          <w:bCs/>
          <w:sz w:val="22"/>
          <w:szCs w:val="22"/>
          <w:u w:val="single"/>
        </w:rPr>
        <w:t>el</w:t>
      </w:r>
      <w:r w:rsidRPr="007C325C" w:rsidR="005A6EF9">
        <w:rPr>
          <w:rFonts w:ascii="Palatino Linotype" w:hAnsi="Palatino Linotype" w:cs="Tahoma"/>
          <w:bCs/>
          <w:sz w:val="22"/>
          <w:szCs w:val="22"/>
          <w:u w:val="single"/>
        </w:rPr>
        <w:t xml:space="preserve"> </w:t>
      </w:r>
      <w:r w:rsidRPr="007C325C" w:rsidR="00747156">
        <w:rPr>
          <w:rFonts w:ascii="Palatino Linotype" w:hAnsi="Palatino Linotype" w:cs="Tahoma"/>
          <w:bCs/>
          <w:sz w:val="22"/>
          <w:szCs w:val="22"/>
          <w:u w:val="single"/>
        </w:rPr>
        <w:t>Hospital Regional de Alta Especialidad de Zumpango</w:t>
      </w:r>
      <w:r w:rsidRPr="007C325C" w:rsidR="00C10DCD">
        <w:rPr>
          <w:rFonts w:ascii="Palatino Linotype" w:hAnsi="Palatino Linotype" w:cs="Tahoma"/>
          <w:bCs/>
          <w:sz w:val="22"/>
          <w:szCs w:val="22"/>
          <w:u w:val="single"/>
        </w:rPr>
        <w:t xml:space="preserve">, debe proporcionar </w:t>
      </w:r>
      <w:r w:rsidRPr="007C325C" w:rsidR="004456C6">
        <w:rPr>
          <w:rFonts w:ascii="Palatino Linotype" w:hAnsi="Palatino Linotype" w:cs="Tahoma"/>
          <w:bCs/>
          <w:sz w:val="22"/>
          <w:szCs w:val="22"/>
          <w:u w:val="single"/>
        </w:rPr>
        <w:t xml:space="preserve">la información </w:t>
      </w:r>
      <w:r w:rsidRPr="007C325C" w:rsidR="004D328B">
        <w:rPr>
          <w:rFonts w:ascii="Palatino Linotype" w:hAnsi="Palatino Linotype" w:cs="Tahoma"/>
          <w:bCs/>
          <w:sz w:val="22"/>
          <w:szCs w:val="22"/>
          <w:u w:val="single"/>
        </w:rPr>
        <w:t xml:space="preserve">preferentemente </w:t>
      </w:r>
      <w:r w:rsidRPr="007C325C" w:rsidR="00057EE5">
        <w:rPr>
          <w:rFonts w:ascii="Palatino Linotype" w:hAnsi="Palatino Linotype" w:cs="Tahoma"/>
          <w:bCs/>
          <w:sz w:val="22"/>
          <w:szCs w:val="22"/>
          <w:u w:val="single"/>
        </w:rPr>
        <w:t>a través de la modalidad escogida</w:t>
      </w:r>
      <w:r w:rsidRPr="007C325C" w:rsidR="004456C6">
        <w:rPr>
          <w:rFonts w:ascii="Palatino Linotype" w:hAnsi="Palatino Linotype" w:cs="Tahoma"/>
          <w:bCs/>
          <w:sz w:val="22"/>
          <w:szCs w:val="22"/>
          <w:u w:val="single"/>
        </w:rPr>
        <w:t>.</w:t>
      </w:r>
    </w:p>
    <w:p w:rsidRPr="007C325C" w:rsidR="00C10DCD" w:rsidP="00855D7E" w:rsidRDefault="00C10DCD" w14:paraId="5B2EB541" w14:textId="77777777">
      <w:pPr>
        <w:spacing w:line="360" w:lineRule="auto"/>
        <w:contextualSpacing/>
        <w:jc w:val="both"/>
        <w:rPr>
          <w:rFonts w:ascii="Palatino Linotype" w:hAnsi="Palatino Linotype" w:cs="Tahoma"/>
          <w:bCs/>
          <w:sz w:val="22"/>
          <w:szCs w:val="22"/>
          <w:u w:val="single"/>
        </w:rPr>
      </w:pPr>
    </w:p>
    <w:p w:rsidRPr="007C325C" w:rsidR="00C10DCD" w:rsidP="00855D7E" w:rsidRDefault="00C10DCD" w14:paraId="29EC52C2" w14:textId="77777777">
      <w:pPr>
        <w:spacing w:line="360" w:lineRule="auto"/>
        <w:contextualSpacing/>
        <w:jc w:val="both"/>
        <w:rPr>
          <w:rFonts w:ascii="Palatino Linotype" w:hAnsi="Palatino Linotype" w:cs="Tahoma"/>
          <w:bCs/>
          <w:sz w:val="22"/>
          <w:szCs w:val="22"/>
          <w:u w:val="single"/>
        </w:rPr>
      </w:pPr>
      <w:r w:rsidRPr="007C325C">
        <w:rPr>
          <w:rFonts w:ascii="Palatino Linotype" w:hAnsi="Palatino Linotype" w:cs="Tahoma"/>
          <w:bCs/>
          <w:sz w:val="22"/>
          <w:szCs w:val="22"/>
          <w:u w:val="single"/>
        </w:rPr>
        <w:t>La labor del INFOEM, es apoyar a la población para acceder a la información pública y garantizar la protección de sus datos personales.</w:t>
      </w:r>
    </w:p>
    <w:p w:rsidRPr="007C325C" w:rsidR="00C10DCD" w:rsidP="00855D7E" w:rsidRDefault="00C10DCD" w14:paraId="6A2FB5A4" w14:textId="77777777">
      <w:pPr>
        <w:tabs>
          <w:tab w:val="left" w:pos="4962"/>
        </w:tabs>
        <w:spacing w:line="360" w:lineRule="auto"/>
        <w:contextualSpacing/>
        <w:jc w:val="both"/>
        <w:rPr>
          <w:rFonts w:ascii="Palatino Linotype" w:hAnsi="Palatino Linotype" w:cs="Tahoma"/>
          <w:szCs w:val="22"/>
          <w:u w:val="single"/>
        </w:rPr>
      </w:pPr>
    </w:p>
    <w:p w:rsidRPr="007C325C" w:rsidR="00C10DCD" w:rsidP="00855D7E" w:rsidRDefault="00C10DCD" w14:paraId="43583443" w14:textId="77777777">
      <w:pPr>
        <w:spacing w:line="360" w:lineRule="auto"/>
        <w:contextualSpacing/>
        <w:jc w:val="both"/>
        <w:rPr>
          <w:rFonts w:ascii="Palatino Linotype" w:hAnsi="Palatino Linotype" w:eastAsia="Calibri" w:cs="Tahoma"/>
          <w:bCs/>
          <w:sz w:val="22"/>
          <w:lang w:eastAsia="en-US"/>
        </w:rPr>
      </w:pPr>
      <w:r w:rsidRPr="007C325C">
        <w:rPr>
          <w:rFonts w:ascii="Palatino Linotype" w:hAnsi="Palatino Linotype" w:eastAsia="Calibri" w:cs="Tahoma"/>
          <w:bCs/>
          <w:sz w:val="22"/>
          <w:lang w:eastAsia="en-US"/>
        </w:rPr>
        <w:t>Por lo expuesto y fundado, este Pleno:</w:t>
      </w:r>
    </w:p>
    <w:p w:rsidRPr="007C325C" w:rsidR="00C10DCD" w:rsidP="00855D7E" w:rsidRDefault="00C10DCD" w14:paraId="29D9C675" w14:textId="77777777">
      <w:pPr>
        <w:spacing w:line="360" w:lineRule="auto"/>
        <w:ind w:right="-93"/>
        <w:contextualSpacing/>
        <w:jc w:val="both"/>
        <w:rPr>
          <w:rFonts w:ascii="Palatino Linotype" w:hAnsi="Palatino Linotype" w:cs="Tahoma"/>
          <w:sz w:val="22"/>
          <w:szCs w:val="22"/>
        </w:rPr>
      </w:pPr>
    </w:p>
    <w:p w:rsidRPr="007C325C" w:rsidR="00C10DCD" w:rsidP="00855D7E" w:rsidRDefault="00C10DCD" w14:paraId="229F415C" w14:textId="77777777">
      <w:pPr>
        <w:spacing w:line="360" w:lineRule="auto"/>
        <w:ind w:right="-91"/>
        <w:contextualSpacing/>
        <w:jc w:val="center"/>
        <w:rPr>
          <w:rFonts w:ascii="Palatino Linotype" w:hAnsi="Palatino Linotype" w:eastAsia="Calibri" w:cs="Tahoma"/>
          <w:b/>
          <w:bCs/>
          <w:sz w:val="22"/>
          <w:szCs w:val="22"/>
          <w:lang w:eastAsia="en-US"/>
        </w:rPr>
      </w:pPr>
      <w:r w:rsidRPr="007C325C">
        <w:rPr>
          <w:rFonts w:ascii="Palatino Linotype" w:hAnsi="Palatino Linotype" w:eastAsia="Calibri" w:cs="Tahoma"/>
          <w:b/>
          <w:bCs/>
          <w:sz w:val="22"/>
          <w:szCs w:val="22"/>
          <w:lang w:eastAsia="en-US"/>
        </w:rPr>
        <w:lastRenderedPageBreak/>
        <w:t>R E S U E L V E</w:t>
      </w:r>
    </w:p>
    <w:p w:rsidRPr="007C325C" w:rsidR="00C10DCD" w:rsidP="00855D7E" w:rsidRDefault="00C10DCD" w14:paraId="529B2B81" w14:textId="77777777">
      <w:pPr>
        <w:spacing w:line="360" w:lineRule="auto"/>
        <w:contextualSpacing/>
        <w:jc w:val="center"/>
        <w:rPr>
          <w:rFonts w:ascii="Palatino Linotype" w:hAnsi="Palatino Linotype" w:cs="Tahoma"/>
          <w:b/>
          <w:bCs/>
          <w:sz w:val="22"/>
          <w:szCs w:val="22"/>
        </w:rPr>
      </w:pPr>
    </w:p>
    <w:p w:rsidRPr="007C325C" w:rsidR="00B02477" w:rsidP="00855D7E" w:rsidRDefault="004456C6" w14:paraId="25E0DFD6" w14:textId="77777777">
      <w:pPr>
        <w:spacing w:line="360" w:lineRule="auto"/>
        <w:ind w:right="113"/>
        <w:contextualSpacing/>
        <w:jc w:val="both"/>
        <w:rPr>
          <w:rFonts w:ascii="Palatino Linotype" w:hAnsi="Palatino Linotype" w:cs="Tahoma"/>
          <w:sz w:val="22"/>
          <w:szCs w:val="22"/>
        </w:rPr>
      </w:pPr>
      <w:r w:rsidRPr="007C325C">
        <w:rPr>
          <w:rFonts w:ascii="Palatino Linotype" w:hAnsi="Palatino Linotype" w:cs="Arial"/>
          <w:b/>
          <w:sz w:val="22"/>
          <w:szCs w:val="22"/>
        </w:rPr>
        <w:t>PRIMERO.</w:t>
      </w:r>
      <w:r w:rsidRPr="007C325C" w:rsidR="00C10DCD">
        <w:rPr>
          <w:rFonts w:ascii="Palatino Linotype" w:hAnsi="Palatino Linotype" w:cs="Tahoma"/>
          <w:b/>
          <w:bCs/>
          <w:sz w:val="22"/>
          <w:szCs w:val="22"/>
        </w:rPr>
        <w:t xml:space="preserve"> </w:t>
      </w:r>
      <w:r w:rsidRPr="007C325C" w:rsidR="00B02477">
        <w:rPr>
          <w:rFonts w:ascii="Palatino Linotype" w:hAnsi="Palatino Linotype" w:cs="Tahoma"/>
          <w:sz w:val="22"/>
          <w:szCs w:val="22"/>
        </w:rPr>
        <w:t xml:space="preserve">Se </w:t>
      </w:r>
      <w:r w:rsidRPr="007C325C" w:rsidR="00B02477">
        <w:rPr>
          <w:rFonts w:ascii="Palatino Linotype" w:hAnsi="Palatino Linotype" w:cs="Tahoma"/>
          <w:b/>
          <w:sz w:val="22"/>
          <w:szCs w:val="22"/>
        </w:rPr>
        <w:t xml:space="preserve">REVOCA </w:t>
      </w:r>
      <w:r w:rsidRPr="007C325C" w:rsidR="00B02477">
        <w:rPr>
          <w:rFonts w:ascii="Palatino Linotype" w:hAnsi="Palatino Linotype"/>
          <w:sz w:val="22"/>
          <w:szCs w:val="22"/>
        </w:rPr>
        <w:t>l</w:t>
      </w:r>
      <w:r w:rsidRPr="007C325C" w:rsidR="00A874B9">
        <w:rPr>
          <w:rFonts w:ascii="Palatino Linotype" w:hAnsi="Palatino Linotype"/>
          <w:sz w:val="22"/>
          <w:szCs w:val="22"/>
        </w:rPr>
        <w:t xml:space="preserve">a </w:t>
      </w:r>
      <w:r w:rsidRPr="007C325C" w:rsidR="00B02477">
        <w:rPr>
          <w:rFonts w:ascii="Palatino Linotype" w:hAnsi="Palatino Linotype"/>
          <w:sz w:val="22"/>
          <w:szCs w:val="22"/>
        </w:rPr>
        <w:t>respuesta otorgada por el Sujeto Obligado</w:t>
      </w:r>
      <w:r w:rsidRPr="007C325C" w:rsidR="00B02477">
        <w:rPr>
          <w:rFonts w:ascii="Palatino Linotype" w:hAnsi="Palatino Linotype"/>
          <w:b/>
          <w:bCs/>
          <w:sz w:val="22"/>
          <w:szCs w:val="22"/>
        </w:rPr>
        <w:t xml:space="preserve"> </w:t>
      </w:r>
      <w:r w:rsidRPr="007C325C" w:rsidR="00B02477">
        <w:rPr>
          <w:rFonts w:ascii="Palatino Linotype" w:hAnsi="Palatino Linotype"/>
          <w:bCs/>
          <w:sz w:val="22"/>
          <w:szCs w:val="22"/>
        </w:rPr>
        <w:t>a la solicitud</w:t>
      </w:r>
      <w:r w:rsidRPr="007C325C" w:rsidR="00B02477">
        <w:rPr>
          <w:rFonts w:ascii="Palatino Linotype" w:hAnsi="Palatino Linotype"/>
          <w:b/>
          <w:bCs/>
          <w:sz w:val="22"/>
          <w:szCs w:val="22"/>
        </w:rPr>
        <w:t xml:space="preserve"> </w:t>
      </w:r>
      <w:r w:rsidRPr="007C325C" w:rsidR="00786BAF">
        <w:rPr>
          <w:rFonts w:ascii="Palatino Linotype" w:hAnsi="Palatino Linotype"/>
          <w:b/>
          <w:bCs/>
          <w:sz w:val="22"/>
          <w:szCs w:val="22"/>
        </w:rPr>
        <w:t>00156/HRZUM/IP/2022</w:t>
      </w:r>
      <w:r w:rsidRPr="007C325C" w:rsidR="00A874B9">
        <w:rPr>
          <w:rFonts w:ascii="Palatino Linotype" w:hAnsi="Palatino Linotype"/>
          <w:b/>
          <w:bCs/>
          <w:sz w:val="22"/>
          <w:szCs w:val="22"/>
        </w:rPr>
        <w:t xml:space="preserve">, </w:t>
      </w:r>
      <w:r w:rsidRPr="007C325C" w:rsidR="00B02477">
        <w:rPr>
          <w:rFonts w:ascii="Palatino Linotype" w:hAnsi="Palatino Linotype"/>
          <w:sz w:val="22"/>
          <w:szCs w:val="22"/>
        </w:rPr>
        <w:t xml:space="preserve">por resultar parcialmente fundadas las razones o motivos de inconformidad hechos </w:t>
      </w:r>
      <w:r w:rsidRPr="007C325C" w:rsidR="00B02477">
        <w:rPr>
          <w:rFonts w:ascii="Palatino Linotype" w:hAnsi="Palatino Linotype" w:cs="Tahoma"/>
          <w:sz w:val="22"/>
          <w:szCs w:val="22"/>
        </w:rPr>
        <w:t>valer</w:t>
      </w:r>
      <w:r w:rsidRPr="007C325C" w:rsidR="00B02477">
        <w:rPr>
          <w:rFonts w:ascii="Palatino Linotype" w:hAnsi="Palatino Linotype"/>
          <w:sz w:val="22"/>
          <w:szCs w:val="22"/>
        </w:rPr>
        <w:t xml:space="preserve"> por el Recurrente</w:t>
      </w:r>
      <w:r w:rsidRPr="007C325C" w:rsidR="00B02477">
        <w:rPr>
          <w:rFonts w:ascii="Palatino Linotype" w:hAnsi="Palatino Linotype" w:cs="Tahoma"/>
          <w:sz w:val="22"/>
          <w:szCs w:val="22"/>
        </w:rPr>
        <w:t>, en términos de los Considerandos QUINTO y SEXTO</w:t>
      </w:r>
      <w:r w:rsidRPr="007C325C" w:rsidR="00B02477">
        <w:rPr>
          <w:rFonts w:ascii="Palatino Linotype" w:hAnsi="Palatino Linotype" w:cs="Tahoma"/>
          <w:b/>
          <w:sz w:val="22"/>
          <w:szCs w:val="22"/>
        </w:rPr>
        <w:t xml:space="preserve"> </w:t>
      </w:r>
      <w:r w:rsidRPr="007C325C" w:rsidR="00B02477">
        <w:rPr>
          <w:rFonts w:ascii="Palatino Linotype" w:hAnsi="Palatino Linotype" w:cs="Tahoma"/>
          <w:sz w:val="22"/>
          <w:szCs w:val="22"/>
        </w:rPr>
        <w:t>de la presente Resolución.</w:t>
      </w:r>
    </w:p>
    <w:p w:rsidRPr="007C325C" w:rsidR="00B02477" w:rsidP="00855D7E" w:rsidRDefault="00B02477" w14:paraId="3EF7E4C4" w14:textId="77777777">
      <w:pPr>
        <w:spacing w:line="360" w:lineRule="auto"/>
        <w:contextualSpacing/>
        <w:jc w:val="both"/>
        <w:rPr>
          <w:rFonts w:ascii="Palatino Linotype" w:hAnsi="Palatino Linotype" w:eastAsia="Calibri" w:cs="Tahoma"/>
          <w:b/>
          <w:bCs/>
          <w:sz w:val="22"/>
          <w:szCs w:val="22"/>
          <w:lang w:eastAsia="en-US"/>
        </w:rPr>
      </w:pPr>
    </w:p>
    <w:p w:rsidRPr="007C325C" w:rsidR="00F5525E" w:rsidP="00855D7E" w:rsidRDefault="002F22BA" w14:paraId="47100CBE" w14:textId="77777777">
      <w:pPr>
        <w:spacing w:line="360" w:lineRule="auto"/>
        <w:contextualSpacing/>
        <w:jc w:val="both"/>
        <w:rPr>
          <w:rFonts w:ascii="Palatino Linotype" w:hAnsi="Palatino Linotype" w:cs="Tahoma"/>
          <w:bCs/>
          <w:iCs/>
          <w:sz w:val="22"/>
          <w:szCs w:val="22"/>
          <w:lang w:val="es-ES_tradnl"/>
        </w:rPr>
      </w:pPr>
      <w:r w:rsidRPr="007C325C">
        <w:rPr>
          <w:rFonts w:ascii="Palatino Linotype" w:hAnsi="Palatino Linotype" w:eastAsia="Calibri" w:cs="Tahoma"/>
          <w:b/>
          <w:bCs/>
          <w:sz w:val="22"/>
          <w:szCs w:val="22"/>
          <w:lang w:eastAsia="en-US"/>
        </w:rPr>
        <w:t>SEGUNDO</w:t>
      </w:r>
      <w:r w:rsidRPr="007C325C" w:rsidR="00B02477">
        <w:rPr>
          <w:rFonts w:ascii="Palatino Linotype" w:hAnsi="Palatino Linotype" w:eastAsia="Calibri" w:cs="Tahoma"/>
          <w:b/>
          <w:bCs/>
          <w:sz w:val="22"/>
          <w:szCs w:val="22"/>
          <w:lang w:eastAsia="en-US"/>
        </w:rPr>
        <w:t xml:space="preserve">. </w:t>
      </w:r>
      <w:r w:rsidRPr="007C325C" w:rsidR="00C10DCD">
        <w:rPr>
          <w:rFonts w:ascii="Palatino Linotype" w:hAnsi="Palatino Linotype" w:eastAsia="Calibri" w:cs="Tahoma"/>
          <w:bCs/>
          <w:sz w:val="22"/>
          <w:szCs w:val="22"/>
          <w:lang w:eastAsia="en-US"/>
        </w:rPr>
        <w:t xml:space="preserve">Se </w:t>
      </w:r>
      <w:r w:rsidRPr="007C325C" w:rsidR="00C10DCD">
        <w:rPr>
          <w:rFonts w:ascii="Palatino Linotype" w:hAnsi="Palatino Linotype" w:eastAsia="Calibri" w:cs="Tahoma"/>
          <w:b/>
          <w:bCs/>
          <w:sz w:val="22"/>
          <w:szCs w:val="22"/>
          <w:lang w:eastAsia="en-US"/>
        </w:rPr>
        <w:t>ORDENA</w:t>
      </w:r>
      <w:r w:rsidRPr="007C325C" w:rsidR="00C10DCD">
        <w:rPr>
          <w:rFonts w:ascii="Palatino Linotype" w:hAnsi="Palatino Linotype" w:eastAsia="Calibri" w:cs="Tahoma"/>
          <w:bCs/>
          <w:sz w:val="22"/>
          <w:szCs w:val="22"/>
          <w:lang w:eastAsia="en-US"/>
        </w:rPr>
        <w:t xml:space="preserve"> </w:t>
      </w:r>
      <w:r w:rsidRPr="007C325C" w:rsidR="00C10DCD">
        <w:rPr>
          <w:rFonts w:ascii="Palatino Linotype" w:hAnsi="Palatino Linotype" w:eastAsia="Calibri" w:cs="Tahoma"/>
          <w:bCs/>
          <w:sz w:val="22"/>
          <w:szCs w:val="22"/>
          <w:lang w:val="es-ES_tradnl" w:eastAsia="en-US"/>
        </w:rPr>
        <w:t xml:space="preserve">al Sujeto Obligado </w:t>
      </w:r>
      <w:r w:rsidRPr="007C325C" w:rsidR="00C10DCD">
        <w:rPr>
          <w:rFonts w:ascii="Palatino Linotype" w:hAnsi="Palatino Linotype" w:eastAsia="Calibri" w:cs="Tahoma"/>
          <w:bCs/>
          <w:sz w:val="22"/>
          <w:szCs w:val="22"/>
          <w:lang w:eastAsia="en-US"/>
        </w:rPr>
        <w:t xml:space="preserve">a efecto de </w:t>
      </w:r>
      <w:r w:rsidRPr="007C325C" w:rsidR="00960BFF">
        <w:rPr>
          <w:rFonts w:ascii="Palatino Linotype" w:hAnsi="Palatino Linotype" w:eastAsia="Calibri" w:cs="Tahoma"/>
          <w:bCs/>
          <w:sz w:val="22"/>
          <w:szCs w:val="22"/>
          <w:lang w:eastAsia="en-US"/>
        </w:rPr>
        <w:t xml:space="preserve">que </w:t>
      </w:r>
      <w:r w:rsidRPr="007C325C" w:rsidR="00C10DCD">
        <w:rPr>
          <w:rFonts w:ascii="Palatino Linotype" w:hAnsi="Palatino Linotype" w:cs="Tahoma"/>
          <w:bCs/>
          <w:iCs/>
          <w:sz w:val="22"/>
          <w:szCs w:val="22"/>
          <w:lang w:val="es-ES_tradnl"/>
        </w:rPr>
        <w:t xml:space="preserve">conceda al Recurrente, vía Sistema de Acceso a la Información Mexiquense (SAIMEX) </w:t>
      </w:r>
      <w:r w:rsidRPr="007C325C" w:rsidR="00E946DB">
        <w:rPr>
          <w:rFonts w:ascii="Palatino Linotype" w:hAnsi="Palatino Linotype" w:cs="Tahoma"/>
          <w:bCs/>
          <w:iCs/>
          <w:sz w:val="22"/>
          <w:szCs w:val="22"/>
          <w:lang w:val="es-ES_tradnl"/>
        </w:rPr>
        <w:t xml:space="preserve">de ser procedente en versión pública </w:t>
      </w:r>
      <w:r w:rsidRPr="007C325C" w:rsidR="0014692E">
        <w:rPr>
          <w:rFonts w:ascii="Palatino Linotype" w:hAnsi="Palatino Linotype" w:cs="Tahoma"/>
          <w:bCs/>
          <w:iCs/>
          <w:sz w:val="22"/>
          <w:szCs w:val="22"/>
          <w:lang w:val="es-ES_tradnl"/>
        </w:rPr>
        <w:t xml:space="preserve">los documentos en los que obre </w:t>
      </w:r>
      <w:r w:rsidRPr="007C325C" w:rsidR="00F5525E">
        <w:rPr>
          <w:rFonts w:ascii="Palatino Linotype" w:hAnsi="Palatino Linotype" w:cs="Tahoma"/>
          <w:bCs/>
          <w:iCs/>
          <w:sz w:val="22"/>
          <w:szCs w:val="22"/>
          <w:lang w:val="es-ES_tradnl"/>
        </w:rPr>
        <w:t>lo siguiente:</w:t>
      </w:r>
    </w:p>
    <w:p w:rsidRPr="007C325C" w:rsidR="00F5525E" w:rsidP="00855D7E" w:rsidRDefault="00F5525E" w14:paraId="4DC5B12F" w14:textId="77777777">
      <w:pPr>
        <w:spacing w:line="360" w:lineRule="auto"/>
        <w:contextualSpacing/>
        <w:jc w:val="both"/>
        <w:rPr>
          <w:rFonts w:ascii="Palatino Linotype" w:hAnsi="Palatino Linotype" w:cs="Tahoma"/>
          <w:bCs/>
          <w:iCs/>
          <w:sz w:val="22"/>
          <w:szCs w:val="22"/>
          <w:lang w:val="es-ES_tradnl"/>
        </w:rPr>
      </w:pPr>
    </w:p>
    <w:p w:rsidRPr="007C325C" w:rsidR="004B14BC" w:rsidP="00855D7E" w:rsidRDefault="00F5525E" w14:paraId="342B41F3" w14:textId="191B3E10">
      <w:pPr>
        <w:pStyle w:val="Prrafodelista"/>
        <w:numPr>
          <w:ilvl w:val="0"/>
          <w:numId w:val="44"/>
        </w:numPr>
        <w:spacing w:line="360" w:lineRule="auto"/>
        <w:jc w:val="both"/>
        <w:rPr>
          <w:rFonts w:ascii="Palatino Linotype" w:hAnsi="Palatino Linotype"/>
          <w:bCs/>
          <w:szCs w:val="22"/>
        </w:rPr>
      </w:pPr>
      <w:r w:rsidRPr="007C325C">
        <w:rPr>
          <w:rFonts w:ascii="Palatino Linotype" w:hAnsi="Palatino Linotype"/>
          <w:bCs/>
          <w:szCs w:val="22"/>
        </w:rPr>
        <w:t xml:space="preserve">Los expedientes del personal que se encontraban adscritos a la Dirección General </w:t>
      </w:r>
      <w:r w:rsidRPr="007C325C" w:rsidR="00E2000A">
        <w:rPr>
          <w:rFonts w:ascii="Palatino Linotype" w:hAnsi="Palatino Linotype"/>
          <w:bCs/>
          <w:szCs w:val="22"/>
        </w:rPr>
        <w:t xml:space="preserve">y </w:t>
      </w:r>
      <w:r w:rsidRPr="007C325C">
        <w:rPr>
          <w:rFonts w:ascii="Palatino Linotype" w:hAnsi="Palatino Linotype"/>
          <w:bCs/>
          <w:szCs w:val="22"/>
        </w:rPr>
        <w:t>sus áreas</w:t>
      </w:r>
      <w:r w:rsidRPr="007C325C" w:rsidR="00B579B0">
        <w:rPr>
          <w:rFonts w:ascii="Palatino Linotype" w:hAnsi="Palatino Linotype"/>
          <w:bCs/>
          <w:szCs w:val="22"/>
        </w:rPr>
        <w:t>,</w:t>
      </w:r>
      <w:r w:rsidRPr="007C325C">
        <w:rPr>
          <w:rFonts w:ascii="Palatino Linotype" w:hAnsi="Palatino Linotype"/>
          <w:bCs/>
          <w:szCs w:val="22"/>
        </w:rPr>
        <w:t xml:space="preserve"> al dieciocho de</w:t>
      </w:r>
      <w:r w:rsidRPr="007C325C" w:rsidR="001E68B9">
        <w:rPr>
          <w:rFonts w:ascii="Palatino Linotype" w:hAnsi="Palatino Linotype"/>
          <w:bCs/>
          <w:szCs w:val="22"/>
        </w:rPr>
        <w:t xml:space="preserve"> noviembre de dos mil veintidós.</w:t>
      </w:r>
    </w:p>
    <w:p w:rsidRPr="007C325C" w:rsidR="004B14BC" w:rsidP="00855D7E" w:rsidRDefault="004B14BC" w14:paraId="7A8DD400" w14:textId="77777777">
      <w:pPr>
        <w:tabs>
          <w:tab w:val="left" w:pos="2990"/>
        </w:tabs>
        <w:spacing w:line="360" w:lineRule="auto"/>
        <w:contextualSpacing/>
        <w:jc w:val="both"/>
        <w:rPr>
          <w:rFonts w:ascii="Palatino Linotype" w:hAnsi="Palatino Linotype" w:cs="Tahoma"/>
          <w:sz w:val="22"/>
          <w:szCs w:val="22"/>
          <w:lang w:val="es-ES"/>
        </w:rPr>
      </w:pPr>
    </w:p>
    <w:p w:rsidRPr="007C325C" w:rsidR="00A874B9" w:rsidP="00855D7E" w:rsidRDefault="00A874B9" w14:paraId="2E0B0434" w14:textId="77777777">
      <w:pPr>
        <w:tabs>
          <w:tab w:val="left" w:pos="2990"/>
        </w:tabs>
        <w:spacing w:line="360" w:lineRule="auto"/>
        <w:contextualSpacing/>
        <w:jc w:val="both"/>
        <w:rPr>
          <w:rFonts w:ascii="Palatino Linotype" w:hAnsi="Palatino Linotype" w:cs="Tahoma"/>
          <w:sz w:val="22"/>
          <w:szCs w:val="22"/>
          <w:lang w:val="es-ES"/>
        </w:rPr>
      </w:pPr>
      <w:r w:rsidRPr="007C325C">
        <w:rPr>
          <w:rFonts w:ascii="Palatino Linotype" w:hAnsi="Palatino Linotype" w:cs="Tahoma"/>
          <w:sz w:val="22"/>
          <w:szCs w:val="22"/>
          <w:lang w:val="es-ES"/>
        </w:rPr>
        <w:t xml:space="preserve">Junto con las versiones públicas que se entreguen, se deberá proporcionar el Acuerdo de Clasificación donde el Comité de Transparencia, confirme la eliminación de los datos </w:t>
      </w:r>
      <w:r w:rsidRPr="007C325C" w:rsidR="00B579B0">
        <w:rPr>
          <w:rFonts w:ascii="Palatino Linotype" w:hAnsi="Palatino Linotype" w:cs="Tahoma"/>
          <w:sz w:val="22"/>
          <w:szCs w:val="22"/>
          <w:lang w:val="es-ES"/>
        </w:rPr>
        <w:t xml:space="preserve">y documentos </w:t>
      </w:r>
      <w:r w:rsidRPr="007C325C">
        <w:rPr>
          <w:rFonts w:ascii="Palatino Linotype" w:hAnsi="Palatino Linotype" w:cs="Tahoma"/>
          <w:sz w:val="22"/>
          <w:szCs w:val="22"/>
          <w:lang w:val="es-ES"/>
        </w:rPr>
        <w:t>confidenciales, de acuerdo con los artículos 49, fracciones II y VIII, 143, fracción I y 149 de la Ley de Transparencia y Acceso a la Información Pública del Estado de México y Municipios.</w:t>
      </w:r>
    </w:p>
    <w:p w:rsidRPr="007C325C" w:rsidR="00A874B9" w:rsidP="00855D7E" w:rsidRDefault="00A874B9" w14:paraId="77AD10A2" w14:textId="77777777">
      <w:pPr>
        <w:spacing w:line="360" w:lineRule="auto"/>
        <w:contextualSpacing/>
        <w:jc w:val="both"/>
        <w:rPr>
          <w:rFonts w:ascii="Palatino Linotype" w:hAnsi="Palatino Linotype" w:cs="Tahoma"/>
          <w:bCs/>
          <w:iCs/>
          <w:sz w:val="22"/>
          <w:szCs w:val="22"/>
          <w:lang w:val="es-ES_tradnl"/>
        </w:rPr>
      </w:pPr>
    </w:p>
    <w:p w:rsidRPr="007C325C" w:rsidR="00D128B2" w:rsidP="00855D7E" w:rsidRDefault="00D128B2" w14:paraId="45641D93" w14:textId="77777777">
      <w:pPr>
        <w:spacing w:line="360" w:lineRule="auto"/>
        <w:contextualSpacing/>
        <w:jc w:val="both"/>
        <w:rPr>
          <w:rFonts w:ascii="Palatino Linotype" w:hAnsi="Palatino Linotype" w:cs="Tahoma"/>
          <w:bCs/>
          <w:iCs/>
          <w:sz w:val="22"/>
          <w:szCs w:val="22"/>
          <w:lang w:val="es-ES_tradnl"/>
        </w:rPr>
      </w:pPr>
      <w:r w:rsidRPr="007C325C">
        <w:rPr>
          <w:rFonts w:ascii="Palatino Linotype" w:hAnsi="Palatino Linotype" w:cs="Tahoma"/>
          <w:bCs/>
          <w:iCs/>
          <w:sz w:val="22"/>
          <w:szCs w:val="22"/>
          <w:lang w:val="es-ES_tradnl"/>
        </w:rPr>
        <w:t xml:space="preserve">Para el caso de que la información que se ordena entregar el Sujeto Obligado se encuentra impedido a proporcionar la información por la cantidad y/o peso, a través del Sistema de Acceso a la Información (SAIMEX) </w:t>
      </w:r>
      <w:r w:rsidRPr="007C325C" w:rsidR="00D70640">
        <w:rPr>
          <w:rFonts w:ascii="Palatino Linotype" w:hAnsi="Palatino Linotype" w:cs="Tahoma"/>
          <w:bCs/>
          <w:iCs/>
          <w:sz w:val="22"/>
          <w:szCs w:val="22"/>
          <w:lang w:val="es-ES_tradnl"/>
        </w:rPr>
        <w:t xml:space="preserve">de manera </w:t>
      </w:r>
      <w:r w:rsidRPr="007C325C">
        <w:rPr>
          <w:rFonts w:ascii="Palatino Linotype" w:hAnsi="Palatino Linotype" w:cs="Tahoma"/>
          <w:bCs/>
          <w:iCs/>
          <w:sz w:val="22"/>
          <w:szCs w:val="22"/>
          <w:lang w:val="es-ES_tradnl"/>
        </w:rPr>
        <w:t>funda</w:t>
      </w:r>
      <w:r w:rsidRPr="007C325C" w:rsidR="00D70640">
        <w:rPr>
          <w:rFonts w:ascii="Palatino Linotype" w:hAnsi="Palatino Linotype" w:cs="Tahoma"/>
          <w:bCs/>
          <w:iCs/>
          <w:sz w:val="22"/>
          <w:szCs w:val="22"/>
          <w:lang w:val="es-ES_tradnl"/>
        </w:rPr>
        <w:t>da</w:t>
      </w:r>
      <w:r w:rsidRPr="007C325C">
        <w:rPr>
          <w:rFonts w:ascii="Palatino Linotype" w:hAnsi="Palatino Linotype" w:cs="Tahoma"/>
          <w:bCs/>
          <w:iCs/>
          <w:sz w:val="22"/>
          <w:szCs w:val="22"/>
          <w:lang w:val="es-ES_tradnl"/>
        </w:rPr>
        <w:t xml:space="preserve"> y motiva</w:t>
      </w:r>
      <w:r w:rsidRPr="007C325C" w:rsidR="00D70640">
        <w:rPr>
          <w:rFonts w:ascii="Palatino Linotype" w:hAnsi="Palatino Linotype" w:cs="Tahoma"/>
          <w:bCs/>
          <w:iCs/>
          <w:sz w:val="22"/>
          <w:szCs w:val="22"/>
          <w:lang w:val="es-ES_tradnl"/>
        </w:rPr>
        <w:t>da, deberá</w:t>
      </w:r>
      <w:r w:rsidRPr="007C325C">
        <w:rPr>
          <w:rFonts w:ascii="Palatino Linotype" w:hAnsi="Palatino Linotype" w:cs="Tahoma"/>
          <w:bCs/>
          <w:iCs/>
          <w:sz w:val="22"/>
          <w:szCs w:val="22"/>
          <w:lang w:val="es-ES_tradnl"/>
        </w:rPr>
        <w:t xml:space="preserve"> ofrecer otras modalidades,</w:t>
      </w:r>
      <w:r w:rsidRPr="007C325C">
        <w:rPr>
          <w:rFonts w:ascii="Palatino Linotype" w:hAnsi="Palatino Linotype" w:cs="Tahoma"/>
          <w:sz w:val="22"/>
          <w:szCs w:val="22"/>
        </w:rPr>
        <w:t xml:space="preserve"> tales como, </w:t>
      </w:r>
      <w:r w:rsidRPr="007C325C" w:rsidR="00D70640">
        <w:rPr>
          <w:rFonts w:ascii="Palatino Linotype" w:hAnsi="Palatino Linotype" w:cs="Tahoma"/>
          <w:sz w:val="22"/>
          <w:szCs w:val="22"/>
        </w:rPr>
        <w:t xml:space="preserve">una liga electrónica de Internet, </w:t>
      </w:r>
      <w:r w:rsidRPr="007C325C">
        <w:rPr>
          <w:rFonts w:ascii="Palatino Linotype" w:hAnsi="Palatino Linotype" w:cs="Tahoma"/>
          <w:sz w:val="22"/>
          <w:szCs w:val="22"/>
        </w:rPr>
        <w:t xml:space="preserve">correo electrónico, disco compacto, dispositivo de almacenamiento, copias simples o certificadas, con posibilidad de entrega en la </w:t>
      </w:r>
      <w:r w:rsidRPr="007C325C">
        <w:rPr>
          <w:rFonts w:ascii="Palatino Linotype" w:hAnsi="Palatino Linotype" w:cs="Tahoma"/>
          <w:sz w:val="22"/>
          <w:szCs w:val="22"/>
        </w:rPr>
        <w:lastRenderedPageBreak/>
        <w:t>Unidad de Transparencia o a domicilio por correo certificado, previo pago de los derechos correspondientes.</w:t>
      </w:r>
    </w:p>
    <w:p w:rsidRPr="007C325C" w:rsidR="00D128B2" w:rsidP="00855D7E" w:rsidRDefault="00D128B2" w14:paraId="2CCF5AA8" w14:textId="77777777">
      <w:pPr>
        <w:spacing w:line="360" w:lineRule="auto"/>
        <w:contextualSpacing/>
        <w:jc w:val="both"/>
        <w:rPr>
          <w:rFonts w:ascii="Palatino Linotype" w:hAnsi="Palatino Linotype" w:cs="Tahoma"/>
          <w:bCs/>
          <w:iCs/>
          <w:sz w:val="22"/>
          <w:szCs w:val="22"/>
          <w:lang w:val="es-ES_tradnl"/>
        </w:rPr>
      </w:pPr>
    </w:p>
    <w:p w:rsidRPr="007C325C" w:rsidR="00D128B2" w:rsidP="00855D7E" w:rsidRDefault="00D128B2" w14:paraId="29D5B919" w14:textId="77777777">
      <w:pPr>
        <w:spacing w:line="360" w:lineRule="auto"/>
        <w:contextualSpacing/>
        <w:jc w:val="both"/>
        <w:rPr>
          <w:rFonts w:ascii="Palatino Linotype" w:hAnsi="Palatino Linotype" w:cs="Tahoma"/>
          <w:sz w:val="22"/>
          <w:szCs w:val="22"/>
          <w:lang w:val="es-ES"/>
        </w:rPr>
      </w:pPr>
      <w:r w:rsidRPr="007C325C">
        <w:rPr>
          <w:rFonts w:ascii="Palatino Linotype" w:hAnsi="Palatino Linotype" w:cs="Tahoma"/>
          <w:sz w:val="22"/>
          <w:szCs w:val="22"/>
        </w:rPr>
        <w:t xml:space="preserve">En caso de que la Recurrente proporcione el dispositivo electrónico para la entrega de la información, la reproducción se hará sin costo. </w:t>
      </w:r>
      <w:r w:rsidRPr="007C325C">
        <w:rPr>
          <w:rFonts w:ascii="Palatino Linotype" w:hAnsi="Palatino Linotype" w:cs="Tahoma"/>
          <w:sz w:val="22"/>
          <w:szCs w:val="22"/>
          <w:lang w:val="es-ES"/>
        </w:rPr>
        <w:t xml:space="preserve">Para la entrega en una modalidad distinta, </w:t>
      </w:r>
      <w:r w:rsidRPr="007C325C">
        <w:rPr>
          <w:rFonts w:ascii="Palatino Linotype" w:hAnsi="Palatino Linotype" w:cs="Tahoma"/>
          <w:bCs/>
          <w:iCs/>
          <w:sz w:val="22"/>
          <w:szCs w:val="22"/>
          <w:lang w:val="es-ES_tradnl"/>
        </w:rPr>
        <w:t xml:space="preserve">vía el Sistema de Acceso a la Información Mexiquense (SAIMEX), </w:t>
      </w:r>
      <w:r w:rsidRPr="007C325C">
        <w:rPr>
          <w:rFonts w:ascii="Palatino Linotype" w:hAnsi="Palatino Linotype" w:cs="Tahoma"/>
          <w:sz w:val="22"/>
          <w:szCs w:val="22"/>
          <w:lang w:val="es-ES"/>
        </w:rPr>
        <w:t>deberá indicar el procedimiento que tendrá que seguir el Particular, para acceder a la documentación, es decir, los pasos para realizar el pago de derechos, en caso de proceder y la manera de obtener la información, así como nombre del servidor público que le atenderá, domicilio de la Unidad de Transparencia, días y horarios de atención.</w:t>
      </w:r>
    </w:p>
    <w:p w:rsidRPr="007C325C" w:rsidR="00D128B2" w:rsidP="00855D7E" w:rsidRDefault="00D128B2" w14:paraId="072AB44D" w14:textId="77777777">
      <w:pPr>
        <w:spacing w:line="360" w:lineRule="auto"/>
        <w:contextualSpacing/>
        <w:jc w:val="both"/>
        <w:rPr>
          <w:rFonts w:ascii="Palatino Linotype" w:hAnsi="Palatino Linotype" w:cs="Tahoma"/>
          <w:bCs/>
          <w:iCs/>
          <w:sz w:val="22"/>
          <w:szCs w:val="22"/>
          <w:lang w:val="es-ES_tradnl"/>
        </w:rPr>
      </w:pPr>
    </w:p>
    <w:p w:rsidRPr="007C325C" w:rsidR="00B579B0" w:rsidP="00855D7E" w:rsidRDefault="00B579B0" w14:paraId="0C5394A4" w14:textId="77777777">
      <w:pPr>
        <w:spacing w:line="360" w:lineRule="auto"/>
        <w:contextualSpacing/>
        <w:jc w:val="both"/>
        <w:rPr>
          <w:rFonts w:ascii="Palatino Linotype" w:hAnsi="Palatino Linotype" w:cs="Tahoma"/>
          <w:sz w:val="22"/>
          <w:szCs w:val="22"/>
        </w:rPr>
      </w:pPr>
      <w:r w:rsidRPr="007C325C">
        <w:rPr>
          <w:rFonts w:ascii="Palatino Linotype" w:hAnsi="Palatino Linotype" w:cs="Tahoma"/>
          <w:b/>
          <w:sz w:val="22"/>
          <w:szCs w:val="22"/>
        </w:rPr>
        <w:t xml:space="preserve">TERCERO. NOTIFÍQUESE </w:t>
      </w:r>
      <w:r w:rsidRPr="007C325C">
        <w:rPr>
          <w:rFonts w:ascii="Palatino Linotype" w:hAnsi="Palatino Linotype" w:cs="Tahoma"/>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referida.</w:t>
      </w:r>
    </w:p>
    <w:p w:rsidRPr="007C325C" w:rsidR="00C10DCD" w:rsidP="00855D7E" w:rsidRDefault="00C10DCD" w14:paraId="7D7A008F" w14:textId="77777777">
      <w:pPr>
        <w:spacing w:line="360" w:lineRule="auto"/>
        <w:contextualSpacing/>
        <w:jc w:val="both"/>
        <w:rPr>
          <w:rFonts w:ascii="Palatino Linotype" w:hAnsi="Palatino Linotype" w:eastAsia="Calibri" w:cs="Tahoma"/>
          <w:sz w:val="22"/>
          <w:szCs w:val="22"/>
          <w:lang w:eastAsia="es-MX"/>
        </w:rPr>
      </w:pPr>
    </w:p>
    <w:p w:rsidRPr="007C325C" w:rsidR="00C10DCD" w:rsidP="00855D7E" w:rsidRDefault="00C10DCD" w14:paraId="4C747BDD" w14:textId="77777777">
      <w:pPr>
        <w:spacing w:line="360" w:lineRule="auto"/>
        <w:contextualSpacing/>
        <w:jc w:val="both"/>
        <w:rPr>
          <w:rFonts w:ascii="Palatino Linotype" w:hAnsi="Palatino Linotype" w:cs="Arial"/>
          <w:bCs/>
          <w:sz w:val="22"/>
          <w:szCs w:val="22"/>
        </w:rPr>
      </w:pPr>
      <w:r w:rsidRPr="007C325C">
        <w:rPr>
          <w:rFonts w:ascii="Palatino Linotype" w:hAnsi="Palatino Linotype" w:cs="Arial"/>
          <w:bCs/>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Pr="007C325C" w:rsidR="00C10DCD" w:rsidP="00855D7E" w:rsidRDefault="00C10DCD" w14:paraId="2BC0A853" w14:textId="77777777">
      <w:pPr>
        <w:spacing w:line="360" w:lineRule="auto"/>
        <w:contextualSpacing/>
        <w:jc w:val="both"/>
        <w:rPr>
          <w:rFonts w:ascii="Palatino Linotype" w:hAnsi="Palatino Linotype" w:eastAsia="Calibri" w:cs="Tahoma"/>
          <w:sz w:val="22"/>
          <w:szCs w:val="22"/>
          <w:lang w:eastAsia="es-MX"/>
        </w:rPr>
      </w:pPr>
    </w:p>
    <w:p w:rsidRPr="007C325C" w:rsidR="00955C2D" w:rsidP="00855D7E" w:rsidRDefault="002F22BA" w14:paraId="1906463B" w14:textId="77777777">
      <w:pPr>
        <w:spacing w:line="360" w:lineRule="auto"/>
        <w:contextualSpacing/>
        <w:jc w:val="both"/>
        <w:rPr>
          <w:rFonts w:ascii="Palatino Linotype" w:hAnsi="Palatino Linotype" w:cs="Tahoma"/>
          <w:sz w:val="22"/>
          <w:szCs w:val="22"/>
        </w:rPr>
      </w:pPr>
      <w:r w:rsidRPr="007C325C">
        <w:rPr>
          <w:rFonts w:ascii="Palatino Linotype" w:hAnsi="Palatino Linotype" w:eastAsia="Calibri" w:cs="Tahoma"/>
          <w:b/>
          <w:sz w:val="22"/>
          <w:szCs w:val="22"/>
          <w:lang w:eastAsia="es-MX"/>
        </w:rPr>
        <w:lastRenderedPageBreak/>
        <w:t>CUARTO</w:t>
      </w:r>
      <w:r w:rsidRPr="007C325C" w:rsidR="00C10DCD">
        <w:rPr>
          <w:rFonts w:ascii="Palatino Linotype" w:hAnsi="Palatino Linotype" w:eastAsia="Calibri" w:cs="Tahoma"/>
          <w:b/>
          <w:bCs/>
          <w:sz w:val="22"/>
          <w:szCs w:val="22"/>
          <w:lang w:eastAsia="en-US"/>
        </w:rPr>
        <w:t xml:space="preserve">. </w:t>
      </w:r>
      <w:r w:rsidRPr="007C325C" w:rsidR="00C10DCD">
        <w:rPr>
          <w:rFonts w:ascii="Palatino Linotype" w:hAnsi="Palatino Linotype" w:cs="Tahoma"/>
          <w:b/>
          <w:sz w:val="22"/>
          <w:szCs w:val="22"/>
        </w:rPr>
        <w:t>NOTIFÍQUESE</w:t>
      </w:r>
      <w:r w:rsidRPr="007C325C" w:rsidR="00C10DCD">
        <w:rPr>
          <w:rFonts w:ascii="Palatino Linotype" w:hAnsi="Palatino Linotype" w:cs="Tahoma"/>
          <w:sz w:val="22"/>
          <w:szCs w:val="22"/>
        </w:rPr>
        <w:t xml:space="preserve"> al Recurrente la presente Resolución a través del Sistema de Acceso a la Información Mexiquense (SAIMEX), asimismo, se hace de su conocimiento que de conformidad con lo establecido en el artículo 196 de la Ley de Transparencia y Acceso a la Información Pública del Estado de México y Municipios podrá promover el Juicio de Amparo en los té</w:t>
      </w:r>
      <w:r w:rsidRPr="007C325C" w:rsidR="00C67EEB">
        <w:rPr>
          <w:rFonts w:ascii="Palatino Linotype" w:hAnsi="Palatino Linotype" w:cs="Tahoma"/>
          <w:sz w:val="22"/>
          <w:szCs w:val="22"/>
        </w:rPr>
        <w:t>rminos de las leyes aplicables</w:t>
      </w:r>
      <w:r w:rsidRPr="007C325C" w:rsidR="00955C2D">
        <w:rPr>
          <w:rFonts w:ascii="Palatino Linotype" w:hAnsi="Palatino Linotype" w:cs="Tahoma"/>
          <w:sz w:val="22"/>
          <w:szCs w:val="22"/>
        </w:rPr>
        <w:t>.</w:t>
      </w:r>
    </w:p>
    <w:p w:rsidRPr="007C325C" w:rsidR="00C10DCD" w:rsidP="00855D7E" w:rsidRDefault="00C10DCD" w14:paraId="20C10340" w14:textId="77777777">
      <w:pPr>
        <w:spacing w:line="360" w:lineRule="auto"/>
        <w:contextualSpacing/>
        <w:jc w:val="both"/>
        <w:rPr>
          <w:rFonts w:ascii="Palatino Linotype" w:hAnsi="Palatino Linotype" w:cs="Tahoma"/>
          <w:sz w:val="22"/>
          <w:szCs w:val="22"/>
        </w:rPr>
      </w:pPr>
    </w:p>
    <w:p w:rsidR="00B579B0" w:rsidP="00855D7E" w:rsidRDefault="00C10DCD" w14:paraId="27A68279" w14:textId="77777777">
      <w:pPr>
        <w:spacing w:line="360" w:lineRule="auto"/>
        <w:contextualSpacing/>
        <w:jc w:val="both"/>
        <w:rPr>
          <w:rFonts w:ascii="Palatino Linotype" w:hAnsi="Palatino Linotype" w:cs="Tahoma"/>
          <w:sz w:val="22"/>
          <w:szCs w:val="22"/>
        </w:rPr>
      </w:pPr>
      <w:r w:rsidRPr="007C325C">
        <w:rPr>
          <w:rFonts w:ascii="Palatino Linotype" w:hAnsi="Palatino Linotype" w:cs="Tahoma"/>
          <w:sz w:val="22"/>
          <w:szCs w:val="22"/>
          <w:lang w:eastAsia="es-MX"/>
        </w:rPr>
        <w:t xml:space="preserve">ASÍ LO RESUELVE, POR </w:t>
      </w:r>
      <w:r w:rsidRPr="007C325C">
        <w:rPr>
          <w:rFonts w:ascii="Palatino Linotype" w:hAnsi="Palatino Linotype" w:cs="Tahoma"/>
          <w:b/>
          <w:sz w:val="22"/>
          <w:szCs w:val="22"/>
          <w:lang w:eastAsia="es-MX"/>
        </w:rPr>
        <w:t>UNANIMIDAD</w:t>
      </w:r>
      <w:r w:rsidRPr="007C325C">
        <w:rPr>
          <w:rFonts w:ascii="Palatino Linotype" w:hAnsi="Palatino Linotype" w:cs="Tahoma"/>
          <w:sz w:val="22"/>
          <w:szCs w:val="22"/>
          <w:lang w:eastAsia="es-MX"/>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w:t>
      </w:r>
      <w:r w:rsidRPr="007C325C" w:rsidR="00B579B0">
        <w:rPr>
          <w:rFonts w:ascii="Palatino Linotype" w:hAnsi="Palatino Linotype" w:cs="Tahoma"/>
          <w:sz w:val="22"/>
          <w:szCs w:val="22"/>
          <w:lang w:eastAsia="es-MX"/>
        </w:rPr>
        <w:t>EN LA VIGÉSIMA SESIÓN ORDINARIA, CELEBRADA EL TREINTA Y UNO DE MAYO DE DOS MIL VEINTITRÉS, ANTE EL SECRETARIO TÉCNICO DEL PLENO, ALEXIS TAPIA RAMÍREZ.</w:t>
      </w:r>
      <w:bookmarkStart w:name="_GoBack" w:id="0"/>
      <w:bookmarkEnd w:id="0"/>
    </w:p>
    <w:p w:rsidR="007C00C5" w:rsidRDefault="007C00C5" w14:paraId="7DB228D9" w14:textId="18E62C22">
      <w:pPr>
        <w:spacing w:after="160" w:line="259" w:lineRule="auto"/>
        <w:rPr>
          <w:rFonts w:ascii="Palatino Linotype" w:hAnsi="Palatino Linotype" w:eastAsia="Calibri" w:cs="Tahoma"/>
          <w:sz w:val="22"/>
          <w:lang w:eastAsia="en-US"/>
        </w:rPr>
      </w:pPr>
      <w:r>
        <w:rPr>
          <w:rFonts w:ascii="Palatino Linotype" w:hAnsi="Palatino Linotype" w:eastAsia="Calibri" w:cs="Tahoma"/>
          <w:sz w:val="22"/>
          <w:lang w:eastAsia="en-US"/>
        </w:rPr>
        <w:br w:type="page"/>
      </w:r>
    </w:p>
    <w:p w:rsidRPr="00C973B7" w:rsidR="00FA3C9F" w:rsidP="00855D7E" w:rsidRDefault="00FA3C9F" w14:paraId="5137E340" w14:textId="77777777">
      <w:pPr>
        <w:spacing w:line="360" w:lineRule="auto"/>
        <w:contextualSpacing/>
        <w:jc w:val="both"/>
        <w:rPr>
          <w:rFonts w:ascii="Palatino Linotype" w:hAnsi="Palatino Linotype" w:eastAsia="Calibri" w:cs="Tahoma"/>
          <w:sz w:val="22"/>
          <w:lang w:eastAsia="en-US"/>
        </w:rPr>
      </w:pPr>
    </w:p>
    <w:sectPr w:rsidRPr="00C973B7" w:rsidR="00FA3C9F" w:rsidSect="00DB7E5F">
      <w:headerReference w:type="default" r:id="rId16"/>
      <w:footerReference w:type="default" r:id="rId17"/>
      <w:headerReference w:type="first" r:id="rId18"/>
      <w:footerReference w:type="first" r:id="rId19"/>
      <w:pgSz w:w="12240" w:h="15840" w:orient="portrait"/>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157B" w:rsidP="00B31222" w:rsidRDefault="00FD157B" w14:paraId="227FD353" w14:textId="77777777">
      <w:r>
        <w:separator/>
      </w:r>
    </w:p>
  </w:endnote>
  <w:endnote w:type="continuationSeparator" w:id="0">
    <w:p w:rsidR="00FD157B" w:rsidP="00B31222" w:rsidRDefault="00FD157B" w14:paraId="157BDC09"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2673815"/>
      <w:docPartObj>
        <w:docPartGallery w:val="Page Numbers (Bottom of Page)"/>
        <w:docPartUnique/>
      </w:docPartObj>
    </w:sdtPr>
    <w:sdtEndPr/>
    <w:sdtContent>
      <w:sdt>
        <w:sdtPr>
          <w:id w:val="-1769616900"/>
          <w:docPartObj>
            <w:docPartGallery w:val="Page Numbers (Top of Page)"/>
            <w:docPartUnique/>
          </w:docPartObj>
        </w:sdtPr>
        <w:sdtEndPr/>
        <w:sdtContent>
          <w:p w:rsidR="00321C87" w:rsidRDefault="00321C87" w14:paraId="53619859"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7C325C">
              <w:rPr>
                <w:b/>
                <w:bCs/>
                <w:noProof/>
              </w:rPr>
              <w:t>19</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7C325C">
              <w:rPr>
                <w:b/>
                <w:bCs/>
                <w:noProof/>
              </w:rPr>
              <w:t>55</w:t>
            </w:r>
            <w:r>
              <w:rPr>
                <w:b/>
                <w:bCs/>
                <w:sz w:val="24"/>
                <w:szCs w:val="24"/>
              </w:rPr>
              <w:fldChar w:fldCharType="end"/>
            </w:r>
          </w:p>
        </w:sdtContent>
      </w:sdt>
    </w:sdtContent>
  </w:sdt>
  <w:p w:rsidR="00321C87" w:rsidRDefault="00321C87" w14:paraId="621E80BF" w14:textId="7777777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1C87" w:rsidRDefault="00321C87" w14:paraId="54C2B6FB"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7C325C">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7C325C">
      <w:rPr>
        <w:b/>
        <w:bCs/>
        <w:noProof/>
      </w:rPr>
      <w:t>55</w:t>
    </w:r>
    <w:r>
      <w:rPr>
        <w:b/>
        <w:bCs/>
        <w:sz w:val="24"/>
        <w:szCs w:val="24"/>
      </w:rPr>
      <w:fldChar w:fldCharType="end"/>
    </w:r>
  </w:p>
  <w:p w:rsidR="00321C87" w:rsidRDefault="00321C87" w14:paraId="4CF2A488" w14:textId="7777777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157B" w:rsidP="00B31222" w:rsidRDefault="00FD157B" w14:paraId="36E13418" w14:textId="77777777">
      <w:r>
        <w:separator/>
      </w:r>
    </w:p>
  </w:footnote>
  <w:footnote w:type="continuationSeparator" w:id="0">
    <w:p w:rsidR="00FD157B" w:rsidP="00B31222" w:rsidRDefault="00FD157B" w14:paraId="0485DCEC" w14:textId="777777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Pr="005C106F" w:rsidR="00321C87" w:rsidTr="00202DB8" w14:paraId="5E69C949" w14:textId="77777777">
      <w:trPr>
        <w:trHeight w:val="1435"/>
      </w:trPr>
      <w:tc>
        <w:tcPr>
          <w:tcW w:w="2835" w:type="dxa"/>
          <w:shd w:val="clear" w:color="auto" w:fill="auto"/>
        </w:tcPr>
        <w:p w:rsidRPr="005C106F" w:rsidR="00321C87" w:rsidP="00EF4A64" w:rsidRDefault="00321C87" w14:paraId="6C9C6718" w14:textId="77777777">
          <w:pPr>
            <w:tabs>
              <w:tab w:val="right" w:pos="4273"/>
            </w:tabs>
            <w:rPr>
              <w:rFonts w:ascii="Garamond" w:hAnsi="Garamond" w:eastAsia="Calibri"/>
              <w:sz w:val="16"/>
              <w:szCs w:val="16"/>
              <w:lang w:eastAsia="en-US"/>
            </w:rPr>
          </w:pPr>
        </w:p>
      </w:tc>
      <w:tc>
        <w:tcPr>
          <w:tcW w:w="6733" w:type="dxa"/>
          <w:shd w:val="clear" w:color="auto" w:fill="auto"/>
        </w:tcPr>
        <w:p w:rsidR="00321C87" w:rsidP="005743D2" w:rsidRDefault="00321C87" w14:paraId="472C0711" w14:textId="77777777"/>
        <w:tbl>
          <w:tblPr>
            <w:tblStyle w:val="Tablaconcuadrcula"/>
            <w:tblW w:w="6319" w:type="dxa"/>
            <w:tblInd w:w="2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572"/>
            <w:gridCol w:w="2126"/>
            <w:gridCol w:w="572"/>
            <w:gridCol w:w="2972"/>
            <w:gridCol w:w="77"/>
          </w:tblGrid>
          <w:tr w:rsidRPr="001B5FB6" w:rsidR="00321C87" w:rsidTr="005743D2" w14:paraId="6169419D" w14:textId="77777777">
            <w:trPr>
              <w:gridBefore w:val="1"/>
              <w:gridAfter w:val="1"/>
              <w:wBefore w:w="572" w:type="dxa"/>
              <w:wAfter w:w="77" w:type="dxa"/>
              <w:trHeight w:val="144"/>
            </w:trPr>
            <w:tc>
              <w:tcPr>
                <w:tcW w:w="2698" w:type="dxa"/>
                <w:gridSpan w:val="2"/>
              </w:tcPr>
              <w:p w:rsidRPr="001B5FB6" w:rsidR="00321C87" w:rsidP="005743D2" w:rsidRDefault="00321C87" w14:paraId="7F18010C" w14:textId="77777777">
                <w:pPr>
                  <w:tabs>
                    <w:tab w:val="right" w:pos="8838"/>
                  </w:tabs>
                  <w:rPr>
                    <w:rFonts w:ascii="Palatino Linotype" w:hAnsi="Palatino Linotype" w:eastAsia="Calibri" w:cs="Tahoma"/>
                    <w:b/>
                    <w:sz w:val="22"/>
                    <w:szCs w:val="22"/>
                    <w:lang w:val="es-MX" w:eastAsia="en-US"/>
                  </w:rPr>
                </w:pPr>
                <w:r w:rsidRPr="001B5FB6">
                  <w:rPr>
                    <w:rFonts w:ascii="Palatino Linotype" w:hAnsi="Palatino Linotype" w:eastAsia="Calibri" w:cs="Tahoma"/>
                    <w:b/>
                    <w:sz w:val="22"/>
                    <w:szCs w:val="22"/>
                    <w:lang w:val="es-MX" w:eastAsia="en-US"/>
                  </w:rPr>
                  <w:t>Recurso de Revisión:</w:t>
                </w:r>
              </w:p>
            </w:tc>
            <w:tc>
              <w:tcPr>
                <w:tcW w:w="2972" w:type="dxa"/>
              </w:tcPr>
              <w:p w:rsidRPr="001B5FB6" w:rsidR="00321C87" w:rsidP="009D7DC7" w:rsidRDefault="00321C87" w14:paraId="56ED1C73" w14:textId="77777777">
                <w:pPr>
                  <w:tabs>
                    <w:tab w:val="right" w:pos="8838"/>
                  </w:tabs>
                  <w:jc w:val="both"/>
                  <w:rPr>
                    <w:rFonts w:ascii="Palatino Linotype" w:hAnsi="Palatino Linotype" w:eastAsia="Calibri" w:cs="Tahoma"/>
                    <w:bCs/>
                    <w:sz w:val="22"/>
                    <w:szCs w:val="22"/>
                    <w:lang w:eastAsia="en-US"/>
                  </w:rPr>
                </w:pPr>
                <w:r>
                  <w:rPr>
                    <w:rFonts w:ascii="Palatino Linotype" w:hAnsi="Palatino Linotype" w:eastAsia="Calibri" w:cs="Tahoma"/>
                    <w:bCs/>
                    <w:sz w:val="22"/>
                    <w:szCs w:val="22"/>
                    <w:lang w:eastAsia="en-US"/>
                  </w:rPr>
                  <w:t xml:space="preserve">17626/INFOEM/IP/RR/2022 </w:t>
                </w:r>
              </w:p>
            </w:tc>
          </w:tr>
          <w:tr w:rsidRPr="001B5FB6" w:rsidR="00321C87" w:rsidTr="005743D2" w14:paraId="75B8F3AF" w14:textId="77777777">
            <w:trPr>
              <w:gridBefore w:val="1"/>
              <w:gridAfter w:val="1"/>
              <w:wBefore w:w="572" w:type="dxa"/>
              <w:wAfter w:w="77" w:type="dxa"/>
              <w:trHeight w:val="144"/>
            </w:trPr>
            <w:tc>
              <w:tcPr>
                <w:tcW w:w="2698" w:type="dxa"/>
                <w:gridSpan w:val="2"/>
              </w:tcPr>
              <w:p w:rsidRPr="001B5FB6" w:rsidR="00321C87" w:rsidP="005743D2" w:rsidRDefault="00321C87" w14:paraId="1E071C13" w14:textId="77777777">
                <w:pPr>
                  <w:tabs>
                    <w:tab w:val="right" w:pos="8838"/>
                  </w:tabs>
                  <w:rPr>
                    <w:rFonts w:ascii="Palatino Linotype" w:hAnsi="Palatino Linotype" w:eastAsia="Calibri" w:cs="Tahoma"/>
                    <w:b/>
                    <w:sz w:val="22"/>
                    <w:szCs w:val="22"/>
                    <w:lang w:val="es-MX" w:eastAsia="en-US"/>
                  </w:rPr>
                </w:pPr>
                <w:r w:rsidRPr="001B5FB6">
                  <w:rPr>
                    <w:rFonts w:ascii="Palatino Linotype" w:hAnsi="Palatino Linotype" w:eastAsia="Calibri" w:cs="Tahoma"/>
                    <w:b/>
                    <w:sz w:val="22"/>
                    <w:szCs w:val="22"/>
                    <w:lang w:val="es-MX" w:eastAsia="en-US"/>
                  </w:rPr>
                  <w:t>Sujeto Obligado:</w:t>
                </w:r>
              </w:p>
            </w:tc>
            <w:tc>
              <w:tcPr>
                <w:tcW w:w="2972" w:type="dxa"/>
              </w:tcPr>
              <w:p w:rsidRPr="001B5FB6" w:rsidR="00321C87" w:rsidP="00F1283F" w:rsidRDefault="00321C87" w14:paraId="11CCB7EF" w14:textId="77777777">
                <w:pPr>
                  <w:tabs>
                    <w:tab w:val="right" w:pos="8838"/>
                  </w:tabs>
                  <w:jc w:val="both"/>
                  <w:rPr>
                    <w:rFonts w:ascii="Palatino Linotype" w:hAnsi="Palatino Linotype" w:eastAsia="Calibri" w:cs="Tahoma"/>
                    <w:sz w:val="22"/>
                    <w:szCs w:val="22"/>
                    <w:lang w:val="es-MX" w:eastAsia="en-US"/>
                  </w:rPr>
                </w:pPr>
                <w:r>
                  <w:rPr>
                    <w:rFonts w:ascii="Palatino Linotype" w:hAnsi="Palatino Linotype" w:eastAsia="Calibri" w:cs="Tahoma"/>
                    <w:sz w:val="22"/>
                    <w:szCs w:val="22"/>
                    <w:lang w:val="es-MX" w:eastAsia="en-US"/>
                  </w:rPr>
                  <w:t>Hospital Regional de Alta Especialidad de Zumpango</w:t>
                </w:r>
              </w:p>
            </w:tc>
          </w:tr>
          <w:tr w:rsidRPr="001B5FB6" w:rsidR="00321C87" w:rsidTr="005743D2" w14:paraId="3383B08C" w14:textId="77777777">
            <w:trPr>
              <w:gridBefore w:val="1"/>
              <w:gridAfter w:val="1"/>
              <w:wBefore w:w="572" w:type="dxa"/>
              <w:wAfter w:w="77" w:type="dxa"/>
              <w:trHeight w:val="138"/>
            </w:trPr>
            <w:tc>
              <w:tcPr>
                <w:tcW w:w="2698" w:type="dxa"/>
                <w:gridSpan w:val="2"/>
              </w:tcPr>
              <w:p w:rsidRPr="001B5FB6" w:rsidR="00321C87" w:rsidP="005743D2" w:rsidRDefault="00321C87" w14:paraId="536972B0" w14:textId="77777777">
                <w:pPr>
                  <w:tabs>
                    <w:tab w:val="right" w:pos="8838"/>
                  </w:tabs>
                  <w:rPr>
                    <w:rFonts w:ascii="Palatino Linotype" w:hAnsi="Palatino Linotype" w:eastAsia="Calibri" w:cs="Tahoma"/>
                    <w:b/>
                    <w:sz w:val="22"/>
                    <w:szCs w:val="22"/>
                    <w:lang w:val="es-MX" w:eastAsia="en-US"/>
                  </w:rPr>
                </w:pPr>
                <w:r w:rsidRPr="001B5FB6">
                  <w:rPr>
                    <w:rFonts w:ascii="Palatino Linotype" w:hAnsi="Palatino Linotype" w:eastAsia="Calibri" w:cs="Tahoma"/>
                    <w:b/>
                    <w:sz w:val="22"/>
                    <w:szCs w:val="22"/>
                    <w:lang w:val="es-MX" w:eastAsia="en-US"/>
                  </w:rPr>
                  <w:t>Comisionado Ponente:</w:t>
                </w:r>
              </w:p>
            </w:tc>
            <w:tc>
              <w:tcPr>
                <w:tcW w:w="2972" w:type="dxa"/>
              </w:tcPr>
              <w:p w:rsidRPr="001B5FB6" w:rsidR="00321C87" w:rsidP="005743D2" w:rsidRDefault="00321C87" w14:paraId="0F61BC5B" w14:textId="77777777">
                <w:pPr>
                  <w:tabs>
                    <w:tab w:val="right" w:pos="8838"/>
                  </w:tabs>
                  <w:jc w:val="both"/>
                  <w:rPr>
                    <w:rFonts w:ascii="Palatino Linotype" w:hAnsi="Palatino Linotype" w:eastAsia="Calibri" w:cs="Tahoma"/>
                    <w:b/>
                    <w:sz w:val="22"/>
                    <w:szCs w:val="22"/>
                    <w:lang w:val="es-MX" w:eastAsia="en-US"/>
                  </w:rPr>
                </w:pPr>
                <w:r w:rsidRPr="001B5FB6">
                  <w:rPr>
                    <w:rFonts w:ascii="Palatino Linotype" w:hAnsi="Palatino Linotype" w:eastAsia="Calibri" w:cs="Tahoma"/>
                    <w:sz w:val="22"/>
                    <w:szCs w:val="22"/>
                    <w:lang w:val="es-MX" w:eastAsia="en-US"/>
                  </w:rPr>
                  <w:t>Luis Gustavo Parra Noriega</w:t>
                </w:r>
              </w:p>
            </w:tc>
          </w:tr>
          <w:tr w:rsidR="00321C87" w:rsidTr="00DB7E5F" w14:paraId="7A640631" w14:textId="77777777">
            <w:trPr>
              <w:trHeight w:val="283"/>
            </w:trPr>
            <w:tc>
              <w:tcPr>
                <w:tcW w:w="2698" w:type="dxa"/>
                <w:gridSpan w:val="2"/>
              </w:tcPr>
              <w:p w:rsidRPr="001B5FB6" w:rsidR="00321C87" w:rsidP="005743D2" w:rsidRDefault="00321C87" w14:paraId="5E18BB42" w14:textId="77777777">
                <w:pPr>
                  <w:tabs>
                    <w:tab w:val="right" w:pos="8838"/>
                  </w:tabs>
                  <w:rPr>
                    <w:rFonts w:ascii="Palatino Linotype" w:hAnsi="Palatino Linotype" w:eastAsia="Calibri" w:cs="Tahoma"/>
                    <w:b/>
                    <w:sz w:val="22"/>
                    <w:szCs w:val="22"/>
                    <w:lang w:val="es-MX" w:eastAsia="en-US"/>
                  </w:rPr>
                </w:pPr>
              </w:p>
            </w:tc>
            <w:tc>
              <w:tcPr>
                <w:tcW w:w="3621" w:type="dxa"/>
                <w:gridSpan w:val="3"/>
              </w:tcPr>
              <w:p w:rsidRPr="001B5FB6" w:rsidR="00321C87" w:rsidP="005743D2" w:rsidRDefault="00321C87" w14:paraId="75D4A8FE" w14:textId="77777777">
                <w:pPr>
                  <w:tabs>
                    <w:tab w:val="right" w:pos="8838"/>
                  </w:tabs>
                  <w:jc w:val="both"/>
                  <w:rPr>
                    <w:rFonts w:ascii="Palatino Linotype" w:hAnsi="Palatino Linotype" w:eastAsia="Calibri" w:cs="Tahoma"/>
                    <w:b/>
                    <w:sz w:val="22"/>
                    <w:szCs w:val="22"/>
                    <w:lang w:val="es-MX" w:eastAsia="en-US"/>
                  </w:rPr>
                </w:pPr>
              </w:p>
            </w:tc>
          </w:tr>
        </w:tbl>
        <w:p w:rsidRPr="005C106F" w:rsidR="00321C87" w:rsidP="005743D2" w:rsidRDefault="00321C87" w14:paraId="6A4E719F" w14:textId="77777777">
          <w:pPr>
            <w:tabs>
              <w:tab w:val="right" w:pos="8838"/>
            </w:tabs>
            <w:ind w:left="-28"/>
            <w:jc w:val="both"/>
            <w:rPr>
              <w:rFonts w:ascii="Arial" w:hAnsi="Arial" w:eastAsia="Calibri" w:cs="Arial"/>
              <w:b/>
              <w:sz w:val="22"/>
              <w:szCs w:val="22"/>
              <w:lang w:eastAsia="en-US"/>
            </w:rPr>
          </w:pPr>
        </w:p>
      </w:tc>
    </w:tr>
  </w:tbl>
  <w:p w:rsidRPr="00443C6B" w:rsidR="00321C87" w:rsidP="00EF4A64" w:rsidRDefault="00FD157B" w14:paraId="1B5BDE46" w14:textId="77777777">
    <w:pPr>
      <w:pStyle w:val="Encabezado"/>
      <w:rPr>
        <w:sz w:val="14"/>
      </w:rPr>
    </w:pPr>
    <w:r>
      <w:rPr>
        <w:rFonts w:ascii="Garamond" w:hAnsi="Garamond" w:eastAsia="Calibri"/>
        <w:noProof/>
        <w:sz w:val="16"/>
        <w:szCs w:val="16"/>
        <w:lang w:eastAsia="es-MX"/>
      </w:rPr>
      <w:pict w14:anchorId="21FDAEB1">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2052" style="position:absolute;margin-left:0;margin-top:0;width:663.5pt;height:12in;z-index:-251657216;mso-position-horizontal:center;mso-position-horizontal-relative:margin;mso-position-vertical:center;mso-position-vertical-relative:margin" o:allowincell="f" type="#_x0000_t75">
          <v:imagedata o:title="WhatsApp Image 2020-08-13 at 10" r:id="rId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Pr="005C106F" w:rsidR="00321C87" w:rsidTr="2A830837" w14:paraId="4E37CE01" w14:textId="77777777">
      <w:trPr>
        <w:trHeight w:val="1435"/>
      </w:trPr>
      <w:tc>
        <w:tcPr>
          <w:tcW w:w="2835" w:type="dxa"/>
          <w:shd w:val="clear" w:color="auto" w:fill="auto"/>
          <w:tcMar/>
        </w:tcPr>
        <w:p w:rsidRPr="005C106F" w:rsidR="00321C87" w:rsidP="00DB7E5F" w:rsidRDefault="00321C87" w14:paraId="31A87F8F" w14:textId="77777777">
          <w:pPr>
            <w:tabs>
              <w:tab w:val="right" w:pos="4273"/>
            </w:tabs>
            <w:rPr>
              <w:rFonts w:ascii="Garamond" w:hAnsi="Garamond" w:eastAsia="Calibri"/>
              <w:sz w:val="16"/>
              <w:szCs w:val="16"/>
              <w:lang w:eastAsia="en-US"/>
            </w:rPr>
          </w:pPr>
        </w:p>
      </w:tc>
      <w:tc>
        <w:tcPr>
          <w:tcW w:w="6733" w:type="dxa"/>
          <w:shd w:val="clear" w:color="auto" w:fill="auto"/>
          <w:tcMar/>
        </w:tcPr>
        <w:tbl>
          <w:tblPr>
            <w:tblStyle w:val="Tablaconcuadrcula"/>
            <w:tblW w:w="6319" w:type="dxa"/>
            <w:tblInd w:w="31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698"/>
            <w:gridCol w:w="3621"/>
          </w:tblGrid>
          <w:tr w:rsidR="00321C87" w:rsidTr="2A830837" w14:paraId="44F06F0D" w14:textId="77777777">
            <w:trPr>
              <w:trHeight w:val="144"/>
            </w:trPr>
            <w:tc>
              <w:tcPr>
                <w:tcW w:w="2698" w:type="dxa"/>
                <w:tcMar/>
              </w:tcPr>
              <w:p w:rsidRPr="001B5FB6" w:rsidR="00321C87" w:rsidP="00DB7E5F" w:rsidRDefault="00321C87" w14:paraId="283266F8" w14:textId="77777777">
                <w:pPr>
                  <w:tabs>
                    <w:tab w:val="right" w:pos="8838"/>
                  </w:tabs>
                  <w:ind w:right="-105"/>
                  <w:rPr>
                    <w:rFonts w:ascii="Palatino Linotype" w:hAnsi="Palatino Linotype" w:eastAsia="Calibri" w:cs="Tahoma"/>
                    <w:b/>
                    <w:sz w:val="22"/>
                    <w:szCs w:val="22"/>
                    <w:lang w:val="es-MX" w:eastAsia="en-US"/>
                  </w:rPr>
                </w:pPr>
                <w:r w:rsidRPr="001B5FB6">
                  <w:rPr>
                    <w:rFonts w:ascii="Palatino Linotype" w:hAnsi="Palatino Linotype" w:eastAsia="Calibri" w:cs="Tahoma"/>
                    <w:b/>
                    <w:sz w:val="22"/>
                    <w:szCs w:val="22"/>
                    <w:lang w:val="es-MX" w:eastAsia="en-US"/>
                  </w:rPr>
                  <w:t>Recurso de Revisión:</w:t>
                </w:r>
              </w:p>
            </w:tc>
            <w:tc>
              <w:tcPr>
                <w:tcW w:w="3621" w:type="dxa"/>
                <w:tcMar/>
              </w:tcPr>
              <w:p w:rsidRPr="001B5FB6" w:rsidR="00321C87" w:rsidP="00747156" w:rsidRDefault="00321C87" w14:paraId="30A4FFA7" w14:textId="77777777">
                <w:pPr>
                  <w:tabs>
                    <w:tab w:val="right" w:pos="8838"/>
                  </w:tabs>
                  <w:ind w:left="-28" w:right="683"/>
                  <w:jc w:val="both"/>
                  <w:rPr>
                    <w:rFonts w:ascii="Palatino Linotype" w:hAnsi="Palatino Linotype" w:eastAsia="Calibri" w:cs="Tahoma"/>
                    <w:bCs/>
                    <w:sz w:val="22"/>
                    <w:szCs w:val="22"/>
                    <w:lang w:eastAsia="en-US"/>
                  </w:rPr>
                </w:pPr>
                <w:r>
                  <w:rPr>
                    <w:rFonts w:ascii="Palatino Linotype" w:hAnsi="Palatino Linotype" w:eastAsia="Calibri" w:cs="Tahoma"/>
                    <w:bCs/>
                    <w:sz w:val="22"/>
                    <w:szCs w:val="22"/>
                    <w:lang w:eastAsia="en-US"/>
                  </w:rPr>
                  <w:t xml:space="preserve">17626/INFOEM/IP/RR/2022 </w:t>
                </w:r>
              </w:p>
            </w:tc>
          </w:tr>
          <w:tr w:rsidR="00321C87" w:rsidTr="2A830837" w14:paraId="0D61D5CA" w14:textId="77777777">
            <w:trPr>
              <w:trHeight w:val="144"/>
            </w:trPr>
            <w:tc>
              <w:tcPr>
                <w:tcW w:w="2698" w:type="dxa"/>
                <w:tcMar/>
              </w:tcPr>
              <w:p w:rsidRPr="001B5FB6" w:rsidR="00321C87" w:rsidP="00DB7E5F" w:rsidRDefault="00321C87" w14:paraId="56E12734" w14:textId="77777777">
                <w:pPr>
                  <w:tabs>
                    <w:tab w:val="right" w:pos="8838"/>
                  </w:tabs>
                  <w:ind w:right="-105"/>
                  <w:rPr>
                    <w:rFonts w:ascii="Palatino Linotype" w:hAnsi="Palatino Linotype" w:eastAsia="Calibri" w:cs="Tahoma"/>
                    <w:b/>
                    <w:sz w:val="22"/>
                    <w:szCs w:val="22"/>
                    <w:lang w:val="es-MX" w:eastAsia="en-US"/>
                  </w:rPr>
                </w:pPr>
                <w:r w:rsidRPr="001B5FB6">
                  <w:rPr>
                    <w:rFonts w:ascii="Palatino Linotype" w:hAnsi="Palatino Linotype" w:eastAsia="Calibri" w:cs="Tahoma"/>
                    <w:b/>
                    <w:sz w:val="22"/>
                    <w:szCs w:val="22"/>
                    <w:lang w:val="es-MX" w:eastAsia="en-US"/>
                  </w:rPr>
                  <w:t>Recurrente:</w:t>
                </w:r>
              </w:p>
            </w:tc>
            <w:tc>
              <w:tcPr>
                <w:tcW w:w="3621" w:type="dxa"/>
                <w:tcMar/>
              </w:tcPr>
              <w:p w:rsidRPr="00DB1588" w:rsidR="00321C87" w:rsidP="2A830837" w:rsidRDefault="00321C87" w14:paraId="16A9DBCC" w14:textId="657AE83F">
                <w:pPr>
                  <w:pStyle w:val="Normal"/>
                  <w:tabs>
                    <w:tab w:val="right" w:leader="none" w:pos="8838"/>
                  </w:tabs>
                  <w:bidi w:val="0"/>
                  <w:spacing w:before="0" w:beforeAutospacing="off" w:after="0" w:afterAutospacing="off" w:line="240" w:lineRule="auto"/>
                  <w:ind w:left="0" w:right="-32"/>
                  <w:jc w:val="both"/>
                  <w:rPr>
                    <w:rFonts w:ascii="Palatino Linotype" w:hAnsi="Palatino Linotype" w:eastAsia="Calibri" w:cs="Tahoma"/>
                    <w:sz w:val="22"/>
                    <w:szCs w:val="22"/>
                    <w:highlight w:val="black"/>
                    <w:lang w:val="es-MX" w:eastAsia="en-US"/>
                  </w:rPr>
                </w:pPr>
                <w:r w:rsidRPr="2A830837" w:rsidR="2A830837">
                  <w:rPr>
                    <w:rFonts w:ascii="Palatino Linotype" w:hAnsi="Palatino Linotype" w:eastAsia="Calibri" w:cs="Tahoma"/>
                    <w:sz w:val="22"/>
                    <w:szCs w:val="22"/>
                    <w:highlight w:val="black"/>
                    <w:lang w:val="es-MX" w:eastAsia="en-US"/>
                  </w:rPr>
                  <w:t>XXXXXXXXXXXX</w:t>
                </w:r>
              </w:p>
            </w:tc>
          </w:tr>
          <w:tr w:rsidR="00321C87" w:rsidTr="2A830837" w14:paraId="7B9295D9" w14:textId="77777777">
            <w:trPr>
              <w:trHeight w:val="283"/>
            </w:trPr>
            <w:tc>
              <w:tcPr>
                <w:tcW w:w="2698" w:type="dxa"/>
                <w:tcMar/>
              </w:tcPr>
              <w:p w:rsidRPr="001B5FB6" w:rsidR="00321C87" w:rsidP="00DB7E5F" w:rsidRDefault="00321C87" w14:paraId="7D534E17" w14:textId="77777777">
                <w:pPr>
                  <w:tabs>
                    <w:tab w:val="right" w:pos="8838"/>
                  </w:tabs>
                  <w:ind w:right="-105"/>
                  <w:rPr>
                    <w:rFonts w:ascii="Palatino Linotype" w:hAnsi="Palatino Linotype" w:eastAsia="Calibri" w:cs="Tahoma"/>
                    <w:b/>
                    <w:sz w:val="22"/>
                    <w:szCs w:val="22"/>
                    <w:lang w:val="es-MX" w:eastAsia="en-US"/>
                  </w:rPr>
                </w:pPr>
                <w:r w:rsidRPr="001B5FB6">
                  <w:rPr>
                    <w:rFonts w:ascii="Palatino Linotype" w:hAnsi="Palatino Linotype" w:eastAsia="Calibri" w:cs="Tahoma"/>
                    <w:b/>
                    <w:sz w:val="22"/>
                    <w:szCs w:val="22"/>
                    <w:lang w:val="es-MX" w:eastAsia="en-US"/>
                  </w:rPr>
                  <w:t>Sujeto Obligado:</w:t>
                </w:r>
              </w:p>
            </w:tc>
            <w:tc>
              <w:tcPr>
                <w:tcW w:w="3621" w:type="dxa"/>
                <w:tcMar/>
              </w:tcPr>
              <w:p w:rsidRPr="001B5FB6" w:rsidR="00321C87" w:rsidP="00645847" w:rsidRDefault="00321C87" w14:paraId="7FE7D2E5" w14:textId="77777777">
                <w:pPr>
                  <w:tabs>
                    <w:tab w:val="right" w:pos="8838"/>
                  </w:tabs>
                  <w:ind w:right="116"/>
                  <w:jc w:val="both"/>
                  <w:rPr>
                    <w:rFonts w:ascii="Palatino Linotype" w:hAnsi="Palatino Linotype" w:eastAsia="Calibri" w:cs="Tahoma"/>
                    <w:b/>
                    <w:sz w:val="22"/>
                    <w:szCs w:val="22"/>
                    <w:lang w:val="es-MX" w:eastAsia="en-US"/>
                  </w:rPr>
                </w:pPr>
                <w:r w:rsidRPr="00747156">
                  <w:rPr>
                    <w:rFonts w:ascii="Palatino Linotype" w:hAnsi="Palatino Linotype" w:eastAsia="Calibri" w:cs="Tahoma"/>
                    <w:sz w:val="22"/>
                    <w:szCs w:val="22"/>
                    <w:lang w:val="es-MX" w:eastAsia="en-US"/>
                  </w:rPr>
                  <w:t>Hospital Regional de Alta Especialidad de Zumpango</w:t>
                </w:r>
              </w:p>
            </w:tc>
          </w:tr>
          <w:tr w:rsidR="00321C87" w:rsidTr="2A830837" w14:paraId="13EA4755" w14:textId="77777777">
            <w:trPr>
              <w:trHeight w:val="283"/>
            </w:trPr>
            <w:tc>
              <w:tcPr>
                <w:tcW w:w="2698" w:type="dxa"/>
                <w:tcMar/>
              </w:tcPr>
              <w:p w:rsidRPr="001B5FB6" w:rsidR="00321C87" w:rsidP="00DB7E5F" w:rsidRDefault="00321C87" w14:paraId="418B8D02" w14:textId="77777777">
                <w:pPr>
                  <w:tabs>
                    <w:tab w:val="right" w:pos="8838"/>
                  </w:tabs>
                  <w:ind w:right="-105"/>
                  <w:rPr>
                    <w:rFonts w:ascii="Palatino Linotype" w:hAnsi="Palatino Linotype" w:eastAsia="Calibri" w:cs="Tahoma"/>
                    <w:b/>
                    <w:sz w:val="22"/>
                    <w:szCs w:val="22"/>
                    <w:lang w:val="es-MX" w:eastAsia="en-US"/>
                  </w:rPr>
                </w:pPr>
                <w:r w:rsidRPr="001B5FB6">
                  <w:rPr>
                    <w:rFonts w:ascii="Palatino Linotype" w:hAnsi="Palatino Linotype" w:eastAsia="Calibri" w:cs="Tahoma"/>
                    <w:b/>
                    <w:sz w:val="22"/>
                    <w:szCs w:val="22"/>
                    <w:lang w:val="es-MX" w:eastAsia="en-US"/>
                  </w:rPr>
                  <w:t>Comisionado Ponente:</w:t>
                </w:r>
              </w:p>
            </w:tc>
            <w:tc>
              <w:tcPr>
                <w:tcW w:w="3621" w:type="dxa"/>
                <w:tcMar/>
              </w:tcPr>
              <w:p w:rsidRPr="001B5FB6" w:rsidR="00321C87" w:rsidP="00DB7E5F" w:rsidRDefault="00321C87" w14:paraId="21AD6437" w14:textId="77777777">
                <w:pPr>
                  <w:tabs>
                    <w:tab w:val="right" w:pos="8838"/>
                  </w:tabs>
                  <w:ind w:right="-32"/>
                  <w:jc w:val="both"/>
                  <w:rPr>
                    <w:rFonts w:ascii="Palatino Linotype" w:hAnsi="Palatino Linotype" w:eastAsia="Calibri" w:cs="Tahoma"/>
                    <w:b/>
                    <w:sz w:val="22"/>
                    <w:szCs w:val="22"/>
                    <w:lang w:val="es-MX" w:eastAsia="en-US"/>
                  </w:rPr>
                </w:pPr>
                <w:r w:rsidRPr="001B5FB6">
                  <w:rPr>
                    <w:rFonts w:ascii="Palatino Linotype" w:hAnsi="Palatino Linotype" w:eastAsia="Calibri" w:cs="Tahoma"/>
                    <w:sz w:val="22"/>
                    <w:szCs w:val="22"/>
                    <w:lang w:val="es-MX" w:eastAsia="en-US"/>
                  </w:rPr>
                  <w:t>Luis Gustavo Parra Noriega</w:t>
                </w:r>
              </w:p>
            </w:tc>
          </w:tr>
        </w:tbl>
        <w:p w:rsidRPr="005C106F" w:rsidR="00321C87" w:rsidP="00DB7E5F" w:rsidRDefault="00321C87" w14:paraId="1DBF47F2" w14:textId="77777777">
          <w:pPr>
            <w:tabs>
              <w:tab w:val="right" w:pos="8838"/>
            </w:tabs>
            <w:ind w:left="-28"/>
            <w:jc w:val="both"/>
            <w:rPr>
              <w:rFonts w:ascii="Arial" w:hAnsi="Arial" w:eastAsia="Calibri" w:cs="Arial"/>
              <w:b/>
              <w:sz w:val="22"/>
              <w:szCs w:val="22"/>
              <w:lang w:eastAsia="en-US"/>
            </w:rPr>
          </w:pPr>
        </w:p>
      </w:tc>
    </w:tr>
  </w:tbl>
  <w:p w:rsidR="00321C87" w:rsidP="003A78B5" w:rsidRDefault="00FD157B" w14:paraId="4DE6D3F4" w14:textId="77777777">
    <w:pPr>
      <w:pStyle w:val="Encabezado"/>
    </w:pPr>
    <w:r>
      <w:rPr>
        <w:rFonts w:ascii="Garamond" w:hAnsi="Garamond" w:eastAsia="Calibri"/>
        <w:noProof/>
        <w:sz w:val="16"/>
        <w:szCs w:val="16"/>
        <w:lang w:eastAsia="es-MX"/>
      </w:rPr>
      <w:pict w14:anchorId="1C2387FB">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477708000" style="position:absolute;margin-left:0;margin-top:0;width:663.5pt;height:12in;z-index:-251658240;mso-position-horizontal:center;mso-position-horizontal-relative:margin;mso-position-vertical:center;mso-position-vertical-relative:margin" o:spid="_x0000_s2050" o:allowincell="f" type="#_x0000_t75">
          <v:imagedata o:title="WhatsApp Image 2020-08-13 at 10" r:id="rId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hint="default" w:ascii="Symbol" w:hAnsi="Symbol"/>
      </w:rPr>
    </w:lvl>
  </w:abstractNum>
  <w:abstractNum w:abstractNumId="1" w15:restartNumberingAfterBreak="0">
    <w:nsid w:val="0213455F"/>
    <w:multiLevelType w:val="hybridMultilevel"/>
    <w:tmpl w:val="FC16855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455703B"/>
    <w:multiLevelType w:val="multilevel"/>
    <w:tmpl w:val="179AD9A0"/>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4E15112"/>
    <w:multiLevelType w:val="multilevel"/>
    <w:tmpl w:val="DD96480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4E2118A"/>
    <w:multiLevelType w:val="multilevel"/>
    <w:tmpl w:val="75F25B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059D7A62"/>
    <w:multiLevelType w:val="multilevel"/>
    <w:tmpl w:val="8A5A0528"/>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5F41F9E"/>
    <w:multiLevelType w:val="multilevel"/>
    <w:tmpl w:val="179AD9A0"/>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8445937"/>
    <w:multiLevelType w:val="hybridMultilevel"/>
    <w:tmpl w:val="BD82C98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17E42942"/>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8621EE4"/>
    <w:multiLevelType w:val="hybridMultilevel"/>
    <w:tmpl w:val="E81E6D1C"/>
    <w:lvl w:ilvl="0" w:tplc="30D85BAE">
      <w:start w:val="1"/>
      <w:numFmt w:val="decimal"/>
      <w:lvlText w:val="%1)"/>
      <w:lvlJc w:val="left"/>
      <w:pPr>
        <w:ind w:left="720" w:hanging="360"/>
      </w:pPr>
      <w:rPr>
        <w:b/>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10" w15:restartNumberingAfterBreak="0">
    <w:nsid w:val="18DC6147"/>
    <w:multiLevelType w:val="hybridMultilevel"/>
    <w:tmpl w:val="7ED2D57A"/>
    <w:lvl w:ilvl="0" w:tplc="9BE653C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B2C2FCD"/>
    <w:multiLevelType w:val="hybridMultilevel"/>
    <w:tmpl w:val="59BE4EC2"/>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12" w15:restartNumberingAfterBreak="0">
    <w:nsid w:val="1B997822"/>
    <w:multiLevelType w:val="multilevel"/>
    <w:tmpl w:val="179AD9A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EBC3F8A"/>
    <w:multiLevelType w:val="hybridMultilevel"/>
    <w:tmpl w:val="AF26EA2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1FBA60E1"/>
    <w:multiLevelType w:val="hybridMultilevel"/>
    <w:tmpl w:val="2A62481A"/>
    <w:lvl w:ilvl="0" w:tplc="087AAEF6">
      <w:numFmt w:val="bullet"/>
      <w:lvlText w:val="-"/>
      <w:lvlJc w:val="left"/>
      <w:pPr>
        <w:ind w:left="720" w:hanging="360"/>
      </w:pPr>
      <w:rPr>
        <w:rFonts w:hint="default" w:ascii="Palatino Linotype" w:hAnsi="Palatino Linotype" w:eastAsia="Times New Roman" w:cs="Tahoma"/>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26891DC5"/>
    <w:multiLevelType w:val="hybridMultilevel"/>
    <w:tmpl w:val="184675D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C056E3B"/>
    <w:multiLevelType w:val="hybridMultilevel"/>
    <w:tmpl w:val="1D84DA8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30BA7E48"/>
    <w:multiLevelType w:val="hybridMultilevel"/>
    <w:tmpl w:val="CD1E71B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31862997"/>
    <w:multiLevelType w:val="hybridMultilevel"/>
    <w:tmpl w:val="184675D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8F263B0"/>
    <w:multiLevelType w:val="hybridMultilevel"/>
    <w:tmpl w:val="5FA6CC1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3ACE2563"/>
    <w:multiLevelType w:val="multilevel"/>
    <w:tmpl w:val="08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421D08A4"/>
    <w:multiLevelType w:val="multilevel"/>
    <w:tmpl w:val="179AD9A0"/>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7B77DBE"/>
    <w:multiLevelType w:val="multilevel"/>
    <w:tmpl w:val="75F25B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15:restartNumberingAfterBreak="0">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4D810896"/>
    <w:multiLevelType w:val="multilevel"/>
    <w:tmpl w:val="B6E036F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6" w15:restartNumberingAfterBreak="0">
    <w:nsid w:val="4DDC2C6A"/>
    <w:multiLevelType w:val="hybridMultilevel"/>
    <w:tmpl w:val="280A667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4FFD67CD"/>
    <w:multiLevelType w:val="hybridMultilevel"/>
    <w:tmpl w:val="C01A1BF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3180F32"/>
    <w:multiLevelType w:val="hybridMultilevel"/>
    <w:tmpl w:val="D82EFF6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53C31E46"/>
    <w:multiLevelType w:val="hybridMultilevel"/>
    <w:tmpl w:val="E7D8EF8A"/>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53B6D56"/>
    <w:multiLevelType w:val="hybridMultilevel"/>
    <w:tmpl w:val="53C8722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7540C61"/>
    <w:multiLevelType w:val="multilevel"/>
    <w:tmpl w:val="179AD9A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58BF51F6"/>
    <w:multiLevelType w:val="multilevel"/>
    <w:tmpl w:val="130C32D0"/>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3" w15:restartNumberingAfterBreak="0">
    <w:nsid w:val="5C0D1D37"/>
    <w:multiLevelType w:val="hybridMultilevel"/>
    <w:tmpl w:val="A136440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4" w15:restartNumberingAfterBreak="0">
    <w:nsid w:val="5FA21212"/>
    <w:multiLevelType w:val="hybridMultilevel"/>
    <w:tmpl w:val="C7F0E1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10E1E68"/>
    <w:multiLevelType w:val="hybridMultilevel"/>
    <w:tmpl w:val="E81E6D1C"/>
    <w:lvl w:ilvl="0" w:tplc="30D85BAE">
      <w:start w:val="1"/>
      <w:numFmt w:val="decimal"/>
      <w:lvlText w:val="%1)"/>
      <w:lvlJc w:val="left"/>
      <w:pPr>
        <w:ind w:left="720" w:hanging="360"/>
      </w:pPr>
      <w:rPr>
        <w:b/>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36" w15:restartNumberingAfterBreak="0">
    <w:nsid w:val="62DF56A1"/>
    <w:multiLevelType w:val="multilevel"/>
    <w:tmpl w:val="B6E036F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7" w15:restartNumberingAfterBreak="0">
    <w:nsid w:val="6AC54C14"/>
    <w:multiLevelType w:val="hybridMultilevel"/>
    <w:tmpl w:val="E7D8EF8A"/>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AD67302"/>
    <w:multiLevelType w:val="hybridMultilevel"/>
    <w:tmpl w:val="A84841D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9" w15:restartNumberingAfterBreak="0">
    <w:nsid w:val="6B3A6322"/>
    <w:multiLevelType w:val="multilevel"/>
    <w:tmpl w:val="75F25B40"/>
    <w:lvl w:ilvl="0">
      <w:start w:val="1"/>
      <w:numFmt w:val="decimal"/>
      <w:lvlText w:val="%1."/>
      <w:lvlJc w:val="left"/>
      <w:pPr>
        <w:ind w:left="502" w:hanging="36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222" w:hanging="108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582" w:hanging="1440"/>
      </w:pPr>
      <w:rPr>
        <w:rFonts w:hint="default"/>
      </w:rPr>
    </w:lvl>
  </w:abstractNum>
  <w:abstractNum w:abstractNumId="40"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41" w15:restartNumberingAfterBreak="0">
    <w:nsid w:val="6E906901"/>
    <w:multiLevelType w:val="multilevel"/>
    <w:tmpl w:val="179AD9A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78FC3A11"/>
    <w:multiLevelType w:val="hybridMultilevel"/>
    <w:tmpl w:val="D214C7E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3" w15:restartNumberingAfterBreak="0">
    <w:nsid w:val="7A4150CF"/>
    <w:multiLevelType w:val="multilevel"/>
    <w:tmpl w:val="75F25B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4" w15:restartNumberingAfterBreak="0">
    <w:nsid w:val="7C4A04F4"/>
    <w:multiLevelType w:val="hybridMultilevel"/>
    <w:tmpl w:val="2C50632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0"/>
  </w:num>
  <w:num w:numId="2">
    <w:abstractNumId w:val="39"/>
  </w:num>
  <w:num w:numId="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20"/>
  </w:num>
  <w:num w:numId="6">
    <w:abstractNumId w:val="12"/>
  </w:num>
  <w:num w:numId="7">
    <w:abstractNumId w:val="29"/>
  </w:num>
  <w:num w:numId="8">
    <w:abstractNumId w:val="18"/>
  </w:num>
  <w:num w:numId="9">
    <w:abstractNumId w:val="41"/>
  </w:num>
  <w:num w:numId="10">
    <w:abstractNumId w:val="6"/>
  </w:num>
  <w:num w:numId="11">
    <w:abstractNumId w:val="22"/>
  </w:num>
  <w:num w:numId="12">
    <w:abstractNumId w:val="3"/>
  </w:num>
  <w:num w:numId="13">
    <w:abstractNumId w:val="32"/>
  </w:num>
  <w:num w:numId="14">
    <w:abstractNumId w:val="37"/>
  </w:num>
  <w:num w:numId="15">
    <w:abstractNumId w:val="31"/>
  </w:num>
  <w:num w:numId="16">
    <w:abstractNumId w:val="2"/>
  </w:num>
  <w:num w:numId="17">
    <w:abstractNumId w:val="5"/>
  </w:num>
  <w:num w:numId="18">
    <w:abstractNumId w:val="15"/>
  </w:num>
  <w:num w:numId="19">
    <w:abstractNumId w:val="16"/>
  </w:num>
  <w:num w:numId="20">
    <w:abstractNumId w:val="25"/>
  </w:num>
  <w:num w:numId="21">
    <w:abstractNumId w:val="36"/>
  </w:num>
  <w:num w:numId="22">
    <w:abstractNumId w:val="21"/>
  </w:num>
  <w:num w:numId="23">
    <w:abstractNumId w:val="33"/>
  </w:num>
  <w:num w:numId="24">
    <w:abstractNumId w:val="13"/>
  </w:num>
  <w:num w:numId="25">
    <w:abstractNumId w:val="42"/>
  </w:num>
  <w:num w:numId="26">
    <w:abstractNumId w:val="4"/>
  </w:num>
  <w:num w:numId="27">
    <w:abstractNumId w:val="23"/>
  </w:num>
  <w:num w:numId="28">
    <w:abstractNumId w:val="43"/>
  </w:num>
  <w:num w:numId="29">
    <w:abstractNumId w:val="44"/>
  </w:num>
  <w:num w:numId="30">
    <w:abstractNumId w:val="26"/>
  </w:num>
  <w:num w:numId="31">
    <w:abstractNumId w:val="1"/>
  </w:num>
  <w:num w:numId="32">
    <w:abstractNumId w:val="38"/>
  </w:num>
  <w:num w:numId="33">
    <w:abstractNumId w:val="17"/>
  </w:num>
  <w:num w:numId="34">
    <w:abstractNumId w:val="9"/>
    <w:lvlOverride w:ilvl="0">
      <w:startOverride w:val="1"/>
    </w:lvlOverride>
    <w:lvlOverride w:ilvl="1"/>
    <w:lvlOverride w:ilvl="2"/>
    <w:lvlOverride w:ilvl="3"/>
    <w:lvlOverride w:ilvl="4"/>
    <w:lvlOverride w:ilvl="5"/>
    <w:lvlOverride w:ilvl="6"/>
    <w:lvlOverride w:ilvl="7"/>
    <w:lvlOverride w:ilvl="8"/>
  </w:num>
  <w:num w:numId="35">
    <w:abstractNumId w:val="35"/>
    <w:lvlOverride w:ilvl="0">
      <w:startOverride w:val="1"/>
    </w:lvlOverride>
    <w:lvlOverride w:ilvl="1"/>
    <w:lvlOverride w:ilvl="2"/>
    <w:lvlOverride w:ilvl="3"/>
    <w:lvlOverride w:ilvl="4"/>
    <w:lvlOverride w:ilvl="5"/>
    <w:lvlOverride w:ilvl="6"/>
    <w:lvlOverride w:ilvl="7"/>
    <w:lvlOverride w:ilvl="8"/>
  </w:num>
  <w:num w:numId="3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7"/>
  </w:num>
  <w:num w:numId="38">
    <w:abstractNumId w:val="10"/>
  </w:num>
  <w:num w:numId="3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num>
  <w:num w:numId="41">
    <w:abstractNumId w:val="7"/>
  </w:num>
  <w:num w:numId="42">
    <w:abstractNumId w:val="34"/>
  </w:num>
  <w:num w:numId="43">
    <w:abstractNumId w:val="19"/>
  </w:num>
  <w:num w:numId="44">
    <w:abstractNumId w:val="11"/>
  </w:num>
  <w:num w:numId="45">
    <w:abstractNumId w:val="30"/>
  </w:num>
  <w:num w:numId="46">
    <w:abstractNumId w:val="2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08B6"/>
    <w:rsid w:val="000027EB"/>
    <w:rsid w:val="00003264"/>
    <w:rsid w:val="0000364D"/>
    <w:rsid w:val="0000485A"/>
    <w:rsid w:val="0000502A"/>
    <w:rsid w:val="00006543"/>
    <w:rsid w:val="00007FF3"/>
    <w:rsid w:val="00010276"/>
    <w:rsid w:val="00010BD6"/>
    <w:rsid w:val="00012382"/>
    <w:rsid w:val="00013044"/>
    <w:rsid w:val="00013090"/>
    <w:rsid w:val="00013A19"/>
    <w:rsid w:val="00014465"/>
    <w:rsid w:val="000212E5"/>
    <w:rsid w:val="00021C64"/>
    <w:rsid w:val="000241C5"/>
    <w:rsid w:val="00024935"/>
    <w:rsid w:val="000252C2"/>
    <w:rsid w:val="00027505"/>
    <w:rsid w:val="0002758B"/>
    <w:rsid w:val="00027738"/>
    <w:rsid w:val="000313A7"/>
    <w:rsid w:val="00031B25"/>
    <w:rsid w:val="000326E0"/>
    <w:rsid w:val="00032B08"/>
    <w:rsid w:val="00032F5B"/>
    <w:rsid w:val="000338A3"/>
    <w:rsid w:val="00034568"/>
    <w:rsid w:val="00034E9D"/>
    <w:rsid w:val="000373BC"/>
    <w:rsid w:val="00037A43"/>
    <w:rsid w:val="00037F4B"/>
    <w:rsid w:val="00040A68"/>
    <w:rsid w:val="000427EE"/>
    <w:rsid w:val="00043984"/>
    <w:rsid w:val="00043C4B"/>
    <w:rsid w:val="0004413C"/>
    <w:rsid w:val="00045E10"/>
    <w:rsid w:val="0004646B"/>
    <w:rsid w:val="00047585"/>
    <w:rsid w:val="00047AD3"/>
    <w:rsid w:val="000528E6"/>
    <w:rsid w:val="000535CB"/>
    <w:rsid w:val="00055997"/>
    <w:rsid w:val="00057EE5"/>
    <w:rsid w:val="0006017B"/>
    <w:rsid w:val="000605A3"/>
    <w:rsid w:val="00060EDF"/>
    <w:rsid w:val="00061BB9"/>
    <w:rsid w:val="00063746"/>
    <w:rsid w:val="00065347"/>
    <w:rsid w:val="000657C2"/>
    <w:rsid w:val="000659E0"/>
    <w:rsid w:val="00066043"/>
    <w:rsid w:val="00067248"/>
    <w:rsid w:val="000705B2"/>
    <w:rsid w:val="0007096C"/>
    <w:rsid w:val="00071238"/>
    <w:rsid w:val="00071FAF"/>
    <w:rsid w:val="00073DCF"/>
    <w:rsid w:val="000751D7"/>
    <w:rsid w:val="000760C0"/>
    <w:rsid w:val="00080D2B"/>
    <w:rsid w:val="0008148B"/>
    <w:rsid w:val="000838F8"/>
    <w:rsid w:val="000848C3"/>
    <w:rsid w:val="00084D62"/>
    <w:rsid w:val="00085DC5"/>
    <w:rsid w:val="0008604F"/>
    <w:rsid w:val="000866D4"/>
    <w:rsid w:val="00091136"/>
    <w:rsid w:val="00091425"/>
    <w:rsid w:val="00092EF5"/>
    <w:rsid w:val="00094298"/>
    <w:rsid w:val="00096644"/>
    <w:rsid w:val="00096C65"/>
    <w:rsid w:val="00097211"/>
    <w:rsid w:val="00097886"/>
    <w:rsid w:val="000A05F2"/>
    <w:rsid w:val="000A260F"/>
    <w:rsid w:val="000A3DF7"/>
    <w:rsid w:val="000A3FA1"/>
    <w:rsid w:val="000A5627"/>
    <w:rsid w:val="000A5737"/>
    <w:rsid w:val="000A6537"/>
    <w:rsid w:val="000A7211"/>
    <w:rsid w:val="000A7E2C"/>
    <w:rsid w:val="000B16F8"/>
    <w:rsid w:val="000B2C93"/>
    <w:rsid w:val="000B33DB"/>
    <w:rsid w:val="000B36DD"/>
    <w:rsid w:val="000B5039"/>
    <w:rsid w:val="000B7201"/>
    <w:rsid w:val="000B72C4"/>
    <w:rsid w:val="000B7BB8"/>
    <w:rsid w:val="000C179C"/>
    <w:rsid w:val="000C27CA"/>
    <w:rsid w:val="000C2E24"/>
    <w:rsid w:val="000C386E"/>
    <w:rsid w:val="000C59CB"/>
    <w:rsid w:val="000D0B08"/>
    <w:rsid w:val="000D0EA9"/>
    <w:rsid w:val="000D15CE"/>
    <w:rsid w:val="000D53A7"/>
    <w:rsid w:val="000D5F77"/>
    <w:rsid w:val="000D70D6"/>
    <w:rsid w:val="000D7589"/>
    <w:rsid w:val="000E107F"/>
    <w:rsid w:val="000E17BA"/>
    <w:rsid w:val="000E3FBC"/>
    <w:rsid w:val="000E7EDC"/>
    <w:rsid w:val="000F24C8"/>
    <w:rsid w:val="000F2952"/>
    <w:rsid w:val="000F3DA0"/>
    <w:rsid w:val="000F555D"/>
    <w:rsid w:val="000F5D3B"/>
    <w:rsid w:val="000F5EE7"/>
    <w:rsid w:val="000F67DF"/>
    <w:rsid w:val="000F6CC6"/>
    <w:rsid w:val="000F7A45"/>
    <w:rsid w:val="000F7C75"/>
    <w:rsid w:val="000F7FD8"/>
    <w:rsid w:val="00100BAC"/>
    <w:rsid w:val="001013A9"/>
    <w:rsid w:val="001017B7"/>
    <w:rsid w:val="00101FE5"/>
    <w:rsid w:val="001034C6"/>
    <w:rsid w:val="00103A13"/>
    <w:rsid w:val="001049B0"/>
    <w:rsid w:val="00106204"/>
    <w:rsid w:val="00110FD8"/>
    <w:rsid w:val="001133D5"/>
    <w:rsid w:val="00114068"/>
    <w:rsid w:val="00114318"/>
    <w:rsid w:val="001150E9"/>
    <w:rsid w:val="00116543"/>
    <w:rsid w:val="00116C10"/>
    <w:rsid w:val="00117CFA"/>
    <w:rsid w:val="00120C43"/>
    <w:rsid w:val="001255C3"/>
    <w:rsid w:val="00125F6C"/>
    <w:rsid w:val="00126CBC"/>
    <w:rsid w:val="00126E13"/>
    <w:rsid w:val="00127757"/>
    <w:rsid w:val="00130573"/>
    <w:rsid w:val="001310E8"/>
    <w:rsid w:val="00132A80"/>
    <w:rsid w:val="00132F95"/>
    <w:rsid w:val="00134C13"/>
    <w:rsid w:val="00137E0D"/>
    <w:rsid w:val="001404CF"/>
    <w:rsid w:val="00141562"/>
    <w:rsid w:val="0014232B"/>
    <w:rsid w:val="00142626"/>
    <w:rsid w:val="00142ED2"/>
    <w:rsid w:val="0014307A"/>
    <w:rsid w:val="00143FD0"/>
    <w:rsid w:val="00144D0B"/>
    <w:rsid w:val="0014692E"/>
    <w:rsid w:val="00146D4C"/>
    <w:rsid w:val="00147566"/>
    <w:rsid w:val="00151053"/>
    <w:rsid w:val="00156A6B"/>
    <w:rsid w:val="001609DB"/>
    <w:rsid w:val="00161DF9"/>
    <w:rsid w:val="00162CCE"/>
    <w:rsid w:val="00162F27"/>
    <w:rsid w:val="0016489D"/>
    <w:rsid w:val="00167344"/>
    <w:rsid w:val="00170545"/>
    <w:rsid w:val="00171240"/>
    <w:rsid w:val="00172542"/>
    <w:rsid w:val="00172D72"/>
    <w:rsid w:val="001732D3"/>
    <w:rsid w:val="0017459B"/>
    <w:rsid w:val="00176922"/>
    <w:rsid w:val="0017704C"/>
    <w:rsid w:val="00180F6A"/>
    <w:rsid w:val="00181B03"/>
    <w:rsid w:val="00182FA8"/>
    <w:rsid w:val="001834D9"/>
    <w:rsid w:val="00183D24"/>
    <w:rsid w:val="001851A6"/>
    <w:rsid w:val="001875A7"/>
    <w:rsid w:val="001879E1"/>
    <w:rsid w:val="00191517"/>
    <w:rsid w:val="001923FE"/>
    <w:rsid w:val="001935D3"/>
    <w:rsid w:val="0019389B"/>
    <w:rsid w:val="00193DAC"/>
    <w:rsid w:val="00194306"/>
    <w:rsid w:val="001A0E21"/>
    <w:rsid w:val="001A0FF9"/>
    <w:rsid w:val="001A13E0"/>
    <w:rsid w:val="001A14BA"/>
    <w:rsid w:val="001A1670"/>
    <w:rsid w:val="001A177F"/>
    <w:rsid w:val="001A1B94"/>
    <w:rsid w:val="001A1CF8"/>
    <w:rsid w:val="001A3ABF"/>
    <w:rsid w:val="001A4AD8"/>
    <w:rsid w:val="001A4CCF"/>
    <w:rsid w:val="001A58BF"/>
    <w:rsid w:val="001A7FD2"/>
    <w:rsid w:val="001B107D"/>
    <w:rsid w:val="001B1970"/>
    <w:rsid w:val="001B1A80"/>
    <w:rsid w:val="001B1BA2"/>
    <w:rsid w:val="001B2CD9"/>
    <w:rsid w:val="001B2F37"/>
    <w:rsid w:val="001B5505"/>
    <w:rsid w:val="001B5FB6"/>
    <w:rsid w:val="001B62A0"/>
    <w:rsid w:val="001C053A"/>
    <w:rsid w:val="001C085C"/>
    <w:rsid w:val="001C2505"/>
    <w:rsid w:val="001C4B31"/>
    <w:rsid w:val="001C5EBD"/>
    <w:rsid w:val="001D18BB"/>
    <w:rsid w:val="001D33B0"/>
    <w:rsid w:val="001D5208"/>
    <w:rsid w:val="001D5F6B"/>
    <w:rsid w:val="001D7BD2"/>
    <w:rsid w:val="001E159C"/>
    <w:rsid w:val="001E1786"/>
    <w:rsid w:val="001E195B"/>
    <w:rsid w:val="001E1EE4"/>
    <w:rsid w:val="001E2A31"/>
    <w:rsid w:val="001E2A4D"/>
    <w:rsid w:val="001E53C2"/>
    <w:rsid w:val="001E676B"/>
    <w:rsid w:val="001E68B9"/>
    <w:rsid w:val="001E73BA"/>
    <w:rsid w:val="001F00DE"/>
    <w:rsid w:val="001F0E9C"/>
    <w:rsid w:val="001F1540"/>
    <w:rsid w:val="001F1548"/>
    <w:rsid w:val="001F2254"/>
    <w:rsid w:val="001F2D65"/>
    <w:rsid w:val="001F5A08"/>
    <w:rsid w:val="001F652C"/>
    <w:rsid w:val="001F78D9"/>
    <w:rsid w:val="001F7C14"/>
    <w:rsid w:val="00202DB8"/>
    <w:rsid w:val="00204310"/>
    <w:rsid w:val="00205E28"/>
    <w:rsid w:val="0020743B"/>
    <w:rsid w:val="00207736"/>
    <w:rsid w:val="00214858"/>
    <w:rsid w:val="0021585C"/>
    <w:rsid w:val="00215D0D"/>
    <w:rsid w:val="00216570"/>
    <w:rsid w:val="00216601"/>
    <w:rsid w:val="00216E92"/>
    <w:rsid w:val="00216FA5"/>
    <w:rsid w:val="00217AEF"/>
    <w:rsid w:val="00217FDE"/>
    <w:rsid w:val="00221EC9"/>
    <w:rsid w:val="00223ECD"/>
    <w:rsid w:val="00224774"/>
    <w:rsid w:val="00224E22"/>
    <w:rsid w:val="00224F7A"/>
    <w:rsid w:val="00225152"/>
    <w:rsid w:val="00227B30"/>
    <w:rsid w:val="002300D6"/>
    <w:rsid w:val="00230E81"/>
    <w:rsid w:val="0023186A"/>
    <w:rsid w:val="0023251D"/>
    <w:rsid w:val="00232673"/>
    <w:rsid w:val="002339CB"/>
    <w:rsid w:val="002339DA"/>
    <w:rsid w:val="0023474A"/>
    <w:rsid w:val="00236863"/>
    <w:rsid w:val="00236D49"/>
    <w:rsid w:val="00237126"/>
    <w:rsid w:val="00237C1F"/>
    <w:rsid w:val="00240516"/>
    <w:rsid w:val="0024322E"/>
    <w:rsid w:val="002432AE"/>
    <w:rsid w:val="002433A4"/>
    <w:rsid w:val="002435DC"/>
    <w:rsid w:val="00247B17"/>
    <w:rsid w:val="00247F0E"/>
    <w:rsid w:val="00247FC0"/>
    <w:rsid w:val="00250389"/>
    <w:rsid w:val="00250D25"/>
    <w:rsid w:val="00252669"/>
    <w:rsid w:val="00254209"/>
    <w:rsid w:val="00254288"/>
    <w:rsid w:val="0025469C"/>
    <w:rsid w:val="00256B2A"/>
    <w:rsid w:val="002579CE"/>
    <w:rsid w:val="00257B34"/>
    <w:rsid w:val="00260FEC"/>
    <w:rsid w:val="002610B9"/>
    <w:rsid w:val="00261597"/>
    <w:rsid w:val="00261DD6"/>
    <w:rsid w:val="00262187"/>
    <w:rsid w:val="00264726"/>
    <w:rsid w:val="002657E2"/>
    <w:rsid w:val="002669C1"/>
    <w:rsid w:val="00267A91"/>
    <w:rsid w:val="00270479"/>
    <w:rsid w:val="00270971"/>
    <w:rsid w:val="00272109"/>
    <w:rsid w:val="002727CC"/>
    <w:rsid w:val="00273348"/>
    <w:rsid w:val="00273679"/>
    <w:rsid w:val="00275B7F"/>
    <w:rsid w:val="00275BE0"/>
    <w:rsid w:val="00275ECE"/>
    <w:rsid w:val="00281A35"/>
    <w:rsid w:val="00283B6A"/>
    <w:rsid w:val="00283E24"/>
    <w:rsid w:val="00283E63"/>
    <w:rsid w:val="00284486"/>
    <w:rsid w:val="00284C5D"/>
    <w:rsid w:val="0028556D"/>
    <w:rsid w:val="00285644"/>
    <w:rsid w:val="0028581E"/>
    <w:rsid w:val="00285AE2"/>
    <w:rsid w:val="002918FA"/>
    <w:rsid w:val="002919DB"/>
    <w:rsid w:val="00291E85"/>
    <w:rsid w:val="00293491"/>
    <w:rsid w:val="002A0FB8"/>
    <w:rsid w:val="002A1C25"/>
    <w:rsid w:val="002A4F9B"/>
    <w:rsid w:val="002A6193"/>
    <w:rsid w:val="002A6332"/>
    <w:rsid w:val="002A6908"/>
    <w:rsid w:val="002A7BD4"/>
    <w:rsid w:val="002B1552"/>
    <w:rsid w:val="002B1CFE"/>
    <w:rsid w:val="002B20A1"/>
    <w:rsid w:val="002B4399"/>
    <w:rsid w:val="002B46AD"/>
    <w:rsid w:val="002B46D4"/>
    <w:rsid w:val="002B5261"/>
    <w:rsid w:val="002B54CF"/>
    <w:rsid w:val="002B640C"/>
    <w:rsid w:val="002C012E"/>
    <w:rsid w:val="002C085A"/>
    <w:rsid w:val="002C2104"/>
    <w:rsid w:val="002C4B6B"/>
    <w:rsid w:val="002C7BC2"/>
    <w:rsid w:val="002D0D55"/>
    <w:rsid w:val="002D1BE4"/>
    <w:rsid w:val="002D2BBC"/>
    <w:rsid w:val="002D420C"/>
    <w:rsid w:val="002D510D"/>
    <w:rsid w:val="002D770A"/>
    <w:rsid w:val="002E19BD"/>
    <w:rsid w:val="002E4080"/>
    <w:rsid w:val="002E4994"/>
    <w:rsid w:val="002E5015"/>
    <w:rsid w:val="002E5FB6"/>
    <w:rsid w:val="002E6C45"/>
    <w:rsid w:val="002E75E5"/>
    <w:rsid w:val="002E7ACF"/>
    <w:rsid w:val="002F0CE9"/>
    <w:rsid w:val="002F22BA"/>
    <w:rsid w:val="002F2504"/>
    <w:rsid w:val="002F52B1"/>
    <w:rsid w:val="002F672D"/>
    <w:rsid w:val="002F7D70"/>
    <w:rsid w:val="003001D8"/>
    <w:rsid w:val="00300A0B"/>
    <w:rsid w:val="00301F46"/>
    <w:rsid w:val="00303866"/>
    <w:rsid w:val="00303CAD"/>
    <w:rsid w:val="00305D35"/>
    <w:rsid w:val="0030600B"/>
    <w:rsid w:val="00306418"/>
    <w:rsid w:val="00307202"/>
    <w:rsid w:val="00307B29"/>
    <w:rsid w:val="00307BC2"/>
    <w:rsid w:val="003100F3"/>
    <w:rsid w:val="00310C11"/>
    <w:rsid w:val="0031143E"/>
    <w:rsid w:val="00313478"/>
    <w:rsid w:val="00315238"/>
    <w:rsid w:val="00316600"/>
    <w:rsid w:val="003172A8"/>
    <w:rsid w:val="003172EC"/>
    <w:rsid w:val="0032170B"/>
    <w:rsid w:val="00321C87"/>
    <w:rsid w:val="0032242B"/>
    <w:rsid w:val="0032274B"/>
    <w:rsid w:val="00323325"/>
    <w:rsid w:val="0032474D"/>
    <w:rsid w:val="00325920"/>
    <w:rsid w:val="00325EC0"/>
    <w:rsid w:val="0033014C"/>
    <w:rsid w:val="00330801"/>
    <w:rsid w:val="00331AF6"/>
    <w:rsid w:val="003325C3"/>
    <w:rsid w:val="00332A7E"/>
    <w:rsid w:val="00333FCC"/>
    <w:rsid w:val="003340EC"/>
    <w:rsid w:val="00335AD0"/>
    <w:rsid w:val="00335C70"/>
    <w:rsid w:val="0034057C"/>
    <w:rsid w:val="00347902"/>
    <w:rsid w:val="00347DB4"/>
    <w:rsid w:val="00350142"/>
    <w:rsid w:val="00350C09"/>
    <w:rsid w:val="00352927"/>
    <w:rsid w:val="00353B6D"/>
    <w:rsid w:val="003547BA"/>
    <w:rsid w:val="00354920"/>
    <w:rsid w:val="00355547"/>
    <w:rsid w:val="00355DC6"/>
    <w:rsid w:val="003569DB"/>
    <w:rsid w:val="003604D7"/>
    <w:rsid w:val="0036200C"/>
    <w:rsid w:val="00363E93"/>
    <w:rsid w:val="00363F4A"/>
    <w:rsid w:val="00364521"/>
    <w:rsid w:val="003655A3"/>
    <w:rsid w:val="00367F82"/>
    <w:rsid w:val="003717D6"/>
    <w:rsid w:val="003724C7"/>
    <w:rsid w:val="0037388D"/>
    <w:rsid w:val="003756AF"/>
    <w:rsid w:val="0037710C"/>
    <w:rsid w:val="00377909"/>
    <w:rsid w:val="00380441"/>
    <w:rsid w:val="00380857"/>
    <w:rsid w:val="0038174D"/>
    <w:rsid w:val="00381BBC"/>
    <w:rsid w:val="0038438A"/>
    <w:rsid w:val="00384EC9"/>
    <w:rsid w:val="003864D2"/>
    <w:rsid w:val="00386BB8"/>
    <w:rsid w:val="003872E3"/>
    <w:rsid w:val="00390249"/>
    <w:rsid w:val="00390BF8"/>
    <w:rsid w:val="003911D9"/>
    <w:rsid w:val="00392E12"/>
    <w:rsid w:val="00393948"/>
    <w:rsid w:val="00394D7E"/>
    <w:rsid w:val="003956E9"/>
    <w:rsid w:val="003965EC"/>
    <w:rsid w:val="00396BA0"/>
    <w:rsid w:val="003972B9"/>
    <w:rsid w:val="003A0E17"/>
    <w:rsid w:val="003A214A"/>
    <w:rsid w:val="003A2814"/>
    <w:rsid w:val="003A357E"/>
    <w:rsid w:val="003A407B"/>
    <w:rsid w:val="003A6E62"/>
    <w:rsid w:val="003A78B5"/>
    <w:rsid w:val="003A7BE8"/>
    <w:rsid w:val="003A7FBE"/>
    <w:rsid w:val="003B165A"/>
    <w:rsid w:val="003B172D"/>
    <w:rsid w:val="003B2140"/>
    <w:rsid w:val="003B2E72"/>
    <w:rsid w:val="003B6F39"/>
    <w:rsid w:val="003C0273"/>
    <w:rsid w:val="003C1E0B"/>
    <w:rsid w:val="003C28B8"/>
    <w:rsid w:val="003C46FF"/>
    <w:rsid w:val="003C6934"/>
    <w:rsid w:val="003C7FD0"/>
    <w:rsid w:val="003D0268"/>
    <w:rsid w:val="003D03E9"/>
    <w:rsid w:val="003D0868"/>
    <w:rsid w:val="003D1A43"/>
    <w:rsid w:val="003D1A64"/>
    <w:rsid w:val="003D2FBC"/>
    <w:rsid w:val="003D3B2A"/>
    <w:rsid w:val="003D3CEA"/>
    <w:rsid w:val="003D55EB"/>
    <w:rsid w:val="003D5C9B"/>
    <w:rsid w:val="003D5D45"/>
    <w:rsid w:val="003D6E7C"/>
    <w:rsid w:val="003E31E5"/>
    <w:rsid w:val="003E32ED"/>
    <w:rsid w:val="003E3C27"/>
    <w:rsid w:val="003E3FE0"/>
    <w:rsid w:val="003E476D"/>
    <w:rsid w:val="003E4DFD"/>
    <w:rsid w:val="003E4FC1"/>
    <w:rsid w:val="003E58C9"/>
    <w:rsid w:val="003E763A"/>
    <w:rsid w:val="003F1911"/>
    <w:rsid w:val="003F26C6"/>
    <w:rsid w:val="003F2B05"/>
    <w:rsid w:val="003F56CC"/>
    <w:rsid w:val="003F6282"/>
    <w:rsid w:val="003F7396"/>
    <w:rsid w:val="004004E9"/>
    <w:rsid w:val="00403520"/>
    <w:rsid w:val="004052C5"/>
    <w:rsid w:val="004059FA"/>
    <w:rsid w:val="00405ED0"/>
    <w:rsid w:val="00406E67"/>
    <w:rsid w:val="004100AA"/>
    <w:rsid w:val="00410246"/>
    <w:rsid w:val="00410542"/>
    <w:rsid w:val="00411A2C"/>
    <w:rsid w:val="00412203"/>
    <w:rsid w:val="00413089"/>
    <w:rsid w:val="0041363B"/>
    <w:rsid w:val="00414EDF"/>
    <w:rsid w:val="00415CBB"/>
    <w:rsid w:val="00415D27"/>
    <w:rsid w:val="00417DE3"/>
    <w:rsid w:val="00420B07"/>
    <w:rsid w:val="004211B8"/>
    <w:rsid w:val="00422869"/>
    <w:rsid w:val="004247C1"/>
    <w:rsid w:val="00425042"/>
    <w:rsid w:val="00425A1E"/>
    <w:rsid w:val="0042748E"/>
    <w:rsid w:val="0043257A"/>
    <w:rsid w:val="00432631"/>
    <w:rsid w:val="00436B7F"/>
    <w:rsid w:val="00436FD3"/>
    <w:rsid w:val="004406CF"/>
    <w:rsid w:val="00440BCA"/>
    <w:rsid w:val="00441804"/>
    <w:rsid w:val="00441E66"/>
    <w:rsid w:val="004420AB"/>
    <w:rsid w:val="004435B4"/>
    <w:rsid w:val="00444B89"/>
    <w:rsid w:val="004456C6"/>
    <w:rsid w:val="004471CF"/>
    <w:rsid w:val="00452242"/>
    <w:rsid w:val="00453C4A"/>
    <w:rsid w:val="004551B3"/>
    <w:rsid w:val="00455560"/>
    <w:rsid w:val="00456202"/>
    <w:rsid w:val="00456BA2"/>
    <w:rsid w:val="0045721C"/>
    <w:rsid w:val="00457312"/>
    <w:rsid w:val="0046048A"/>
    <w:rsid w:val="00463175"/>
    <w:rsid w:val="00463224"/>
    <w:rsid w:val="00463A52"/>
    <w:rsid w:val="00465166"/>
    <w:rsid w:val="00465CF8"/>
    <w:rsid w:val="00466346"/>
    <w:rsid w:val="00470A51"/>
    <w:rsid w:val="00470F87"/>
    <w:rsid w:val="00471C79"/>
    <w:rsid w:val="004751D6"/>
    <w:rsid w:val="004766DF"/>
    <w:rsid w:val="00476D93"/>
    <w:rsid w:val="00477E20"/>
    <w:rsid w:val="00480BB8"/>
    <w:rsid w:val="00481A5F"/>
    <w:rsid w:val="00482ED2"/>
    <w:rsid w:val="004835C6"/>
    <w:rsid w:val="00483BCF"/>
    <w:rsid w:val="0048462D"/>
    <w:rsid w:val="00484F12"/>
    <w:rsid w:val="0048519E"/>
    <w:rsid w:val="00485EC7"/>
    <w:rsid w:val="004860BD"/>
    <w:rsid w:val="00487430"/>
    <w:rsid w:val="004904B9"/>
    <w:rsid w:val="004905E2"/>
    <w:rsid w:val="004926FE"/>
    <w:rsid w:val="004931DD"/>
    <w:rsid w:val="0049601E"/>
    <w:rsid w:val="004A06A5"/>
    <w:rsid w:val="004A0A7B"/>
    <w:rsid w:val="004A0BB0"/>
    <w:rsid w:val="004A15A4"/>
    <w:rsid w:val="004A26CD"/>
    <w:rsid w:val="004A4485"/>
    <w:rsid w:val="004A5121"/>
    <w:rsid w:val="004A577A"/>
    <w:rsid w:val="004A64DA"/>
    <w:rsid w:val="004A7990"/>
    <w:rsid w:val="004B14BC"/>
    <w:rsid w:val="004B1DB5"/>
    <w:rsid w:val="004B21ED"/>
    <w:rsid w:val="004B23D7"/>
    <w:rsid w:val="004B2DD0"/>
    <w:rsid w:val="004B591D"/>
    <w:rsid w:val="004B62C2"/>
    <w:rsid w:val="004B648E"/>
    <w:rsid w:val="004B7522"/>
    <w:rsid w:val="004B776E"/>
    <w:rsid w:val="004C0C19"/>
    <w:rsid w:val="004C2260"/>
    <w:rsid w:val="004C2BE9"/>
    <w:rsid w:val="004C3716"/>
    <w:rsid w:val="004C4ACC"/>
    <w:rsid w:val="004C5117"/>
    <w:rsid w:val="004C5D46"/>
    <w:rsid w:val="004C667A"/>
    <w:rsid w:val="004C6E87"/>
    <w:rsid w:val="004C789C"/>
    <w:rsid w:val="004D328B"/>
    <w:rsid w:val="004D5DB3"/>
    <w:rsid w:val="004D661C"/>
    <w:rsid w:val="004D6767"/>
    <w:rsid w:val="004E10DD"/>
    <w:rsid w:val="004E15D8"/>
    <w:rsid w:val="004E16C2"/>
    <w:rsid w:val="004E256A"/>
    <w:rsid w:val="004E345F"/>
    <w:rsid w:val="004E4000"/>
    <w:rsid w:val="004E41C7"/>
    <w:rsid w:val="004E591C"/>
    <w:rsid w:val="004E65FD"/>
    <w:rsid w:val="004E6C0D"/>
    <w:rsid w:val="004E7F48"/>
    <w:rsid w:val="004F2D88"/>
    <w:rsid w:val="004F3211"/>
    <w:rsid w:val="0050342F"/>
    <w:rsid w:val="0050650C"/>
    <w:rsid w:val="00506C4F"/>
    <w:rsid w:val="005070C3"/>
    <w:rsid w:val="0051042A"/>
    <w:rsid w:val="00510E7C"/>
    <w:rsid w:val="00520ADE"/>
    <w:rsid w:val="005220BE"/>
    <w:rsid w:val="00522D8C"/>
    <w:rsid w:val="00523581"/>
    <w:rsid w:val="00524236"/>
    <w:rsid w:val="00524BDC"/>
    <w:rsid w:val="00524DB5"/>
    <w:rsid w:val="005251E8"/>
    <w:rsid w:val="005253C7"/>
    <w:rsid w:val="005259BC"/>
    <w:rsid w:val="00525E0F"/>
    <w:rsid w:val="0052635E"/>
    <w:rsid w:val="00526771"/>
    <w:rsid w:val="00531590"/>
    <w:rsid w:val="00531AD0"/>
    <w:rsid w:val="005407C1"/>
    <w:rsid w:val="00542A30"/>
    <w:rsid w:val="00542AFA"/>
    <w:rsid w:val="00542D5F"/>
    <w:rsid w:val="005435DE"/>
    <w:rsid w:val="005448F2"/>
    <w:rsid w:val="00546298"/>
    <w:rsid w:val="00546BAE"/>
    <w:rsid w:val="00547087"/>
    <w:rsid w:val="00550853"/>
    <w:rsid w:val="00552247"/>
    <w:rsid w:val="00552EBD"/>
    <w:rsid w:val="00555875"/>
    <w:rsid w:val="00555F71"/>
    <w:rsid w:val="00556CFD"/>
    <w:rsid w:val="005616B8"/>
    <w:rsid w:val="00561D2F"/>
    <w:rsid w:val="00563515"/>
    <w:rsid w:val="00564732"/>
    <w:rsid w:val="00564787"/>
    <w:rsid w:val="00565685"/>
    <w:rsid w:val="00565BFC"/>
    <w:rsid w:val="00567059"/>
    <w:rsid w:val="00571C59"/>
    <w:rsid w:val="00571DAF"/>
    <w:rsid w:val="00572ED4"/>
    <w:rsid w:val="005743D2"/>
    <w:rsid w:val="005746EA"/>
    <w:rsid w:val="0057477C"/>
    <w:rsid w:val="005753F9"/>
    <w:rsid w:val="005761BE"/>
    <w:rsid w:val="00576EA1"/>
    <w:rsid w:val="005802BD"/>
    <w:rsid w:val="005834B3"/>
    <w:rsid w:val="0058370D"/>
    <w:rsid w:val="005842FE"/>
    <w:rsid w:val="0058603A"/>
    <w:rsid w:val="005860FC"/>
    <w:rsid w:val="00586A31"/>
    <w:rsid w:val="00586FA8"/>
    <w:rsid w:val="00587F23"/>
    <w:rsid w:val="0059004D"/>
    <w:rsid w:val="00591237"/>
    <w:rsid w:val="00591E3A"/>
    <w:rsid w:val="00591F53"/>
    <w:rsid w:val="00593914"/>
    <w:rsid w:val="00593CB4"/>
    <w:rsid w:val="00595726"/>
    <w:rsid w:val="00596BD4"/>
    <w:rsid w:val="005A0713"/>
    <w:rsid w:val="005A0DE2"/>
    <w:rsid w:val="005A12EA"/>
    <w:rsid w:val="005A15BB"/>
    <w:rsid w:val="005A311C"/>
    <w:rsid w:val="005A3D42"/>
    <w:rsid w:val="005A6664"/>
    <w:rsid w:val="005A6EF9"/>
    <w:rsid w:val="005A7B93"/>
    <w:rsid w:val="005B0244"/>
    <w:rsid w:val="005B0D7C"/>
    <w:rsid w:val="005B23E2"/>
    <w:rsid w:val="005B2D32"/>
    <w:rsid w:val="005B3636"/>
    <w:rsid w:val="005B3AE1"/>
    <w:rsid w:val="005B5149"/>
    <w:rsid w:val="005B6854"/>
    <w:rsid w:val="005C4034"/>
    <w:rsid w:val="005C651C"/>
    <w:rsid w:val="005C6848"/>
    <w:rsid w:val="005D136D"/>
    <w:rsid w:val="005D1427"/>
    <w:rsid w:val="005D4CA4"/>
    <w:rsid w:val="005D5607"/>
    <w:rsid w:val="005D5FA1"/>
    <w:rsid w:val="005D6759"/>
    <w:rsid w:val="005D7BE2"/>
    <w:rsid w:val="005E0447"/>
    <w:rsid w:val="005E1D20"/>
    <w:rsid w:val="005E2671"/>
    <w:rsid w:val="005E296B"/>
    <w:rsid w:val="005E2E64"/>
    <w:rsid w:val="005E50FC"/>
    <w:rsid w:val="005E78C6"/>
    <w:rsid w:val="005F01EC"/>
    <w:rsid w:val="005F03DB"/>
    <w:rsid w:val="005F0461"/>
    <w:rsid w:val="005F1D92"/>
    <w:rsid w:val="005F29DD"/>
    <w:rsid w:val="005F4F01"/>
    <w:rsid w:val="005F57B5"/>
    <w:rsid w:val="005F636B"/>
    <w:rsid w:val="005F6B5B"/>
    <w:rsid w:val="00600383"/>
    <w:rsid w:val="006010F7"/>
    <w:rsid w:val="00601212"/>
    <w:rsid w:val="0060206B"/>
    <w:rsid w:val="00602B43"/>
    <w:rsid w:val="00603A46"/>
    <w:rsid w:val="00603B53"/>
    <w:rsid w:val="006042DE"/>
    <w:rsid w:val="006052C8"/>
    <w:rsid w:val="0060765A"/>
    <w:rsid w:val="00611182"/>
    <w:rsid w:val="00611A49"/>
    <w:rsid w:val="00612593"/>
    <w:rsid w:val="00612C0D"/>
    <w:rsid w:val="006132E5"/>
    <w:rsid w:val="00613A54"/>
    <w:rsid w:val="00613BAC"/>
    <w:rsid w:val="00614A9E"/>
    <w:rsid w:val="00614CB1"/>
    <w:rsid w:val="00616189"/>
    <w:rsid w:val="006177C1"/>
    <w:rsid w:val="00620D08"/>
    <w:rsid w:val="0062161A"/>
    <w:rsid w:val="00621760"/>
    <w:rsid w:val="006217BB"/>
    <w:rsid w:val="00622698"/>
    <w:rsid w:val="00622C5C"/>
    <w:rsid w:val="006244E8"/>
    <w:rsid w:val="006256A7"/>
    <w:rsid w:val="00625BD5"/>
    <w:rsid w:val="00625DFB"/>
    <w:rsid w:val="00626590"/>
    <w:rsid w:val="006269B2"/>
    <w:rsid w:val="00626CAE"/>
    <w:rsid w:val="006315CE"/>
    <w:rsid w:val="00633A0D"/>
    <w:rsid w:val="0063549F"/>
    <w:rsid w:val="006355AF"/>
    <w:rsid w:val="00636986"/>
    <w:rsid w:val="00637179"/>
    <w:rsid w:val="00640A41"/>
    <w:rsid w:val="00640F6B"/>
    <w:rsid w:val="00641116"/>
    <w:rsid w:val="00641CFA"/>
    <w:rsid w:val="00641F91"/>
    <w:rsid w:val="00644DEB"/>
    <w:rsid w:val="00645847"/>
    <w:rsid w:val="006476CA"/>
    <w:rsid w:val="00652C1C"/>
    <w:rsid w:val="006552AE"/>
    <w:rsid w:val="00655773"/>
    <w:rsid w:val="00655C52"/>
    <w:rsid w:val="006563CA"/>
    <w:rsid w:val="00656613"/>
    <w:rsid w:val="006567F5"/>
    <w:rsid w:val="006578FC"/>
    <w:rsid w:val="00657999"/>
    <w:rsid w:val="006608AB"/>
    <w:rsid w:val="00660C31"/>
    <w:rsid w:val="006629DC"/>
    <w:rsid w:val="00662ED8"/>
    <w:rsid w:val="00664587"/>
    <w:rsid w:val="006646BF"/>
    <w:rsid w:val="00673DD4"/>
    <w:rsid w:val="00674AEB"/>
    <w:rsid w:val="006779EE"/>
    <w:rsid w:val="006839F7"/>
    <w:rsid w:val="00683AF1"/>
    <w:rsid w:val="00686EB6"/>
    <w:rsid w:val="00691D87"/>
    <w:rsid w:val="00693901"/>
    <w:rsid w:val="00694DCD"/>
    <w:rsid w:val="006969BA"/>
    <w:rsid w:val="006A026A"/>
    <w:rsid w:val="006A5261"/>
    <w:rsid w:val="006A6279"/>
    <w:rsid w:val="006B0298"/>
    <w:rsid w:val="006B0E83"/>
    <w:rsid w:val="006B3780"/>
    <w:rsid w:val="006B45E4"/>
    <w:rsid w:val="006B6ABF"/>
    <w:rsid w:val="006C09DE"/>
    <w:rsid w:val="006C10C0"/>
    <w:rsid w:val="006C16B4"/>
    <w:rsid w:val="006C1B1D"/>
    <w:rsid w:val="006C3747"/>
    <w:rsid w:val="006C75F9"/>
    <w:rsid w:val="006C7760"/>
    <w:rsid w:val="006C7EEA"/>
    <w:rsid w:val="006D0F53"/>
    <w:rsid w:val="006D1010"/>
    <w:rsid w:val="006D19AC"/>
    <w:rsid w:val="006D1AB0"/>
    <w:rsid w:val="006D1CA4"/>
    <w:rsid w:val="006D201A"/>
    <w:rsid w:val="006D522C"/>
    <w:rsid w:val="006D7795"/>
    <w:rsid w:val="006D7855"/>
    <w:rsid w:val="006D7ACB"/>
    <w:rsid w:val="006D7B44"/>
    <w:rsid w:val="006E00EF"/>
    <w:rsid w:val="006E1A7A"/>
    <w:rsid w:val="006E3C85"/>
    <w:rsid w:val="006E4D0F"/>
    <w:rsid w:val="006E537A"/>
    <w:rsid w:val="006E5490"/>
    <w:rsid w:val="006E740B"/>
    <w:rsid w:val="006F01E7"/>
    <w:rsid w:val="006F1F3A"/>
    <w:rsid w:val="006F4155"/>
    <w:rsid w:val="006F4D02"/>
    <w:rsid w:val="00700AD7"/>
    <w:rsid w:val="00700FD7"/>
    <w:rsid w:val="00701716"/>
    <w:rsid w:val="00702B03"/>
    <w:rsid w:val="00702DD7"/>
    <w:rsid w:val="00705C40"/>
    <w:rsid w:val="00705F85"/>
    <w:rsid w:val="00707935"/>
    <w:rsid w:val="0071087E"/>
    <w:rsid w:val="00713094"/>
    <w:rsid w:val="00713A7E"/>
    <w:rsid w:val="00716F43"/>
    <w:rsid w:val="007178BC"/>
    <w:rsid w:val="007229A1"/>
    <w:rsid w:val="0072313C"/>
    <w:rsid w:val="007235AA"/>
    <w:rsid w:val="00723B4E"/>
    <w:rsid w:val="00724D96"/>
    <w:rsid w:val="00727E28"/>
    <w:rsid w:val="00727FC5"/>
    <w:rsid w:val="00730E32"/>
    <w:rsid w:val="007330FC"/>
    <w:rsid w:val="00734A02"/>
    <w:rsid w:val="00735370"/>
    <w:rsid w:val="0073588C"/>
    <w:rsid w:val="00735C21"/>
    <w:rsid w:val="0073614A"/>
    <w:rsid w:val="007361E2"/>
    <w:rsid w:val="00740276"/>
    <w:rsid w:val="007409CF"/>
    <w:rsid w:val="00740C8C"/>
    <w:rsid w:val="00742F29"/>
    <w:rsid w:val="0074318B"/>
    <w:rsid w:val="00743B4D"/>
    <w:rsid w:val="0074458D"/>
    <w:rsid w:val="00746267"/>
    <w:rsid w:val="00747156"/>
    <w:rsid w:val="00750112"/>
    <w:rsid w:val="0075123B"/>
    <w:rsid w:val="007515BC"/>
    <w:rsid w:val="00754C3B"/>
    <w:rsid w:val="007573B2"/>
    <w:rsid w:val="007574BB"/>
    <w:rsid w:val="0075764C"/>
    <w:rsid w:val="007600D7"/>
    <w:rsid w:val="007610FB"/>
    <w:rsid w:val="00762198"/>
    <w:rsid w:val="007641B1"/>
    <w:rsid w:val="00767A99"/>
    <w:rsid w:val="00767E49"/>
    <w:rsid w:val="00770792"/>
    <w:rsid w:val="00770A59"/>
    <w:rsid w:val="00772962"/>
    <w:rsid w:val="007740D8"/>
    <w:rsid w:val="00774FFE"/>
    <w:rsid w:val="00775205"/>
    <w:rsid w:val="00775638"/>
    <w:rsid w:val="00775677"/>
    <w:rsid w:val="00775937"/>
    <w:rsid w:val="0077599A"/>
    <w:rsid w:val="0077609F"/>
    <w:rsid w:val="0077640C"/>
    <w:rsid w:val="00776472"/>
    <w:rsid w:val="00776759"/>
    <w:rsid w:val="00776B4A"/>
    <w:rsid w:val="00777353"/>
    <w:rsid w:val="007778C8"/>
    <w:rsid w:val="00782EA4"/>
    <w:rsid w:val="0078404C"/>
    <w:rsid w:val="00784C96"/>
    <w:rsid w:val="00784E8F"/>
    <w:rsid w:val="00785461"/>
    <w:rsid w:val="00785FC3"/>
    <w:rsid w:val="00786614"/>
    <w:rsid w:val="00786BAF"/>
    <w:rsid w:val="00786FF3"/>
    <w:rsid w:val="007876CF"/>
    <w:rsid w:val="00790DA2"/>
    <w:rsid w:val="00793090"/>
    <w:rsid w:val="007959AE"/>
    <w:rsid w:val="00797589"/>
    <w:rsid w:val="00797664"/>
    <w:rsid w:val="007A0F31"/>
    <w:rsid w:val="007A1FB7"/>
    <w:rsid w:val="007A26E0"/>
    <w:rsid w:val="007A2F67"/>
    <w:rsid w:val="007A3918"/>
    <w:rsid w:val="007A3F8C"/>
    <w:rsid w:val="007A502D"/>
    <w:rsid w:val="007A52CD"/>
    <w:rsid w:val="007A5E74"/>
    <w:rsid w:val="007A6BFF"/>
    <w:rsid w:val="007A749E"/>
    <w:rsid w:val="007B0E89"/>
    <w:rsid w:val="007B2C38"/>
    <w:rsid w:val="007B2E54"/>
    <w:rsid w:val="007B4757"/>
    <w:rsid w:val="007B7498"/>
    <w:rsid w:val="007B7AEE"/>
    <w:rsid w:val="007B7C56"/>
    <w:rsid w:val="007C00C5"/>
    <w:rsid w:val="007C25C5"/>
    <w:rsid w:val="007C3230"/>
    <w:rsid w:val="007C325C"/>
    <w:rsid w:val="007C674C"/>
    <w:rsid w:val="007C6F5D"/>
    <w:rsid w:val="007C7EB6"/>
    <w:rsid w:val="007D00A6"/>
    <w:rsid w:val="007D2F75"/>
    <w:rsid w:val="007D41DB"/>
    <w:rsid w:val="007D468C"/>
    <w:rsid w:val="007D7AA7"/>
    <w:rsid w:val="007E22E7"/>
    <w:rsid w:val="007E2C37"/>
    <w:rsid w:val="007E397D"/>
    <w:rsid w:val="007E3AE8"/>
    <w:rsid w:val="007E4C47"/>
    <w:rsid w:val="007E69BB"/>
    <w:rsid w:val="007E78AC"/>
    <w:rsid w:val="007E7A8B"/>
    <w:rsid w:val="007F0477"/>
    <w:rsid w:val="007F0CC2"/>
    <w:rsid w:val="007F0CE7"/>
    <w:rsid w:val="007F0FEC"/>
    <w:rsid w:val="007F21C5"/>
    <w:rsid w:val="007F2C1F"/>
    <w:rsid w:val="007F3EF1"/>
    <w:rsid w:val="007F4F85"/>
    <w:rsid w:val="007F527F"/>
    <w:rsid w:val="007F630E"/>
    <w:rsid w:val="007F792A"/>
    <w:rsid w:val="00801718"/>
    <w:rsid w:val="00801BCE"/>
    <w:rsid w:val="0080250B"/>
    <w:rsid w:val="00802515"/>
    <w:rsid w:val="00802F6D"/>
    <w:rsid w:val="0080474A"/>
    <w:rsid w:val="008059B1"/>
    <w:rsid w:val="008077C9"/>
    <w:rsid w:val="00811629"/>
    <w:rsid w:val="0081283F"/>
    <w:rsid w:val="00812E37"/>
    <w:rsid w:val="008133BB"/>
    <w:rsid w:val="0081480A"/>
    <w:rsid w:val="008156AF"/>
    <w:rsid w:val="0081712D"/>
    <w:rsid w:val="008202EB"/>
    <w:rsid w:val="00820A50"/>
    <w:rsid w:val="00820CA7"/>
    <w:rsid w:val="00821F3B"/>
    <w:rsid w:val="00822855"/>
    <w:rsid w:val="00822E88"/>
    <w:rsid w:val="00823DCE"/>
    <w:rsid w:val="00825B34"/>
    <w:rsid w:val="008266ED"/>
    <w:rsid w:val="00826CE5"/>
    <w:rsid w:val="00827F88"/>
    <w:rsid w:val="008336A5"/>
    <w:rsid w:val="00835474"/>
    <w:rsid w:val="00835C4B"/>
    <w:rsid w:val="008372CF"/>
    <w:rsid w:val="008373C0"/>
    <w:rsid w:val="00837562"/>
    <w:rsid w:val="008379E9"/>
    <w:rsid w:val="0084145F"/>
    <w:rsid w:val="008419CA"/>
    <w:rsid w:val="00841A02"/>
    <w:rsid w:val="00841DA2"/>
    <w:rsid w:val="00842144"/>
    <w:rsid w:val="00844139"/>
    <w:rsid w:val="00845099"/>
    <w:rsid w:val="0084549E"/>
    <w:rsid w:val="008458F6"/>
    <w:rsid w:val="00845AED"/>
    <w:rsid w:val="008503EF"/>
    <w:rsid w:val="00851AE4"/>
    <w:rsid w:val="00851CA0"/>
    <w:rsid w:val="00851FF6"/>
    <w:rsid w:val="008540AF"/>
    <w:rsid w:val="0085598D"/>
    <w:rsid w:val="00855D7E"/>
    <w:rsid w:val="00860384"/>
    <w:rsid w:val="008619D2"/>
    <w:rsid w:val="0086216A"/>
    <w:rsid w:val="00862771"/>
    <w:rsid w:val="00862925"/>
    <w:rsid w:val="0086476F"/>
    <w:rsid w:val="0086486D"/>
    <w:rsid w:val="0086682F"/>
    <w:rsid w:val="00870E77"/>
    <w:rsid w:val="00872E4E"/>
    <w:rsid w:val="00872FC0"/>
    <w:rsid w:val="00874EB3"/>
    <w:rsid w:val="00876226"/>
    <w:rsid w:val="00876F54"/>
    <w:rsid w:val="00877292"/>
    <w:rsid w:val="0087766C"/>
    <w:rsid w:val="00880B00"/>
    <w:rsid w:val="008839DA"/>
    <w:rsid w:val="008849F1"/>
    <w:rsid w:val="00884EE8"/>
    <w:rsid w:val="00885168"/>
    <w:rsid w:val="0088534C"/>
    <w:rsid w:val="00885516"/>
    <w:rsid w:val="00887820"/>
    <w:rsid w:val="00887A02"/>
    <w:rsid w:val="00890611"/>
    <w:rsid w:val="008909AA"/>
    <w:rsid w:val="00891269"/>
    <w:rsid w:val="0089173B"/>
    <w:rsid w:val="00891D40"/>
    <w:rsid w:val="0089220F"/>
    <w:rsid w:val="008935AA"/>
    <w:rsid w:val="00895717"/>
    <w:rsid w:val="008A0DF3"/>
    <w:rsid w:val="008A3F62"/>
    <w:rsid w:val="008A5790"/>
    <w:rsid w:val="008A57B9"/>
    <w:rsid w:val="008B22EA"/>
    <w:rsid w:val="008B24A0"/>
    <w:rsid w:val="008B5293"/>
    <w:rsid w:val="008B5EBD"/>
    <w:rsid w:val="008B6848"/>
    <w:rsid w:val="008C053F"/>
    <w:rsid w:val="008C268A"/>
    <w:rsid w:val="008C2FA1"/>
    <w:rsid w:val="008C3833"/>
    <w:rsid w:val="008D1F76"/>
    <w:rsid w:val="008D2A1F"/>
    <w:rsid w:val="008D345D"/>
    <w:rsid w:val="008D35C9"/>
    <w:rsid w:val="008D3F7E"/>
    <w:rsid w:val="008D4D0B"/>
    <w:rsid w:val="008D575B"/>
    <w:rsid w:val="008D7725"/>
    <w:rsid w:val="008D7E0D"/>
    <w:rsid w:val="008D7EDB"/>
    <w:rsid w:val="008E0E44"/>
    <w:rsid w:val="008E1829"/>
    <w:rsid w:val="008E2327"/>
    <w:rsid w:val="008E344C"/>
    <w:rsid w:val="008E49CF"/>
    <w:rsid w:val="008E5583"/>
    <w:rsid w:val="008E61A1"/>
    <w:rsid w:val="008E61C3"/>
    <w:rsid w:val="008E64F0"/>
    <w:rsid w:val="008E6FF3"/>
    <w:rsid w:val="008E71B6"/>
    <w:rsid w:val="008F18ED"/>
    <w:rsid w:val="008F45B0"/>
    <w:rsid w:val="008F54D1"/>
    <w:rsid w:val="008F6B0D"/>
    <w:rsid w:val="008F7F98"/>
    <w:rsid w:val="00900367"/>
    <w:rsid w:val="00901F6C"/>
    <w:rsid w:val="00903637"/>
    <w:rsid w:val="00903D37"/>
    <w:rsid w:val="00904699"/>
    <w:rsid w:val="00906611"/>
    <w:rsid w:val="0091055D"/>
    <w:rsid w:val="009105F3"/>
    <w:rsid w:val="00917512"/>
    <w:rsid w:val="00917D6F"/>
    <w:rsid w:val="00917F31"/>
    <w:rsid w:val="00921B1A"/>
    <w:rsid w:val="00921DDA"/>
    <w:rsid w:val="009224E1"/>
    <w:rsid w:val="0092600D"/>
    <w:rsid w:val="0092643D"/>
    <w:rsid w:val="00926631"/>
    <w:rsid w:val="00927066"/>
    <w:rsid w:val="0093039D"/>
    <w:rsid w:val="00931E4F"/>
    <w:rsid w:val="0093230E"/>
    <w:rsid w:val="00932E8B"/>
    <w:rsid w:val="0093364D"/>
    <w:rsid w:val="009350B4"/>
    <w:rsid w:val="009363E8"/>
    <w:rsid w:val="00940887"/>
    <w:rsid w:val="00947E28"/>
    <w:rsid w:val="00951F3A"/>
    <w:rsid w:val="0095235F"/>
    <w:rsid w:val="00952487"/>
    <w:rsid w:val="00953739"/>
    <w:rsid w:val="00954744"/>
    <w:rsid w:val="00954D24"/>
    <w:rsid w:val="009551A7"/>
    <w:rsid w:val="00955C2D"/>
    <w:rsid w:val="00956821"/>
    <w:rsid w:val="00956949"/>
    <w:rsid w:val="00956A26"/>
    <w:rsid w:val="00956CB3"/>
    <w:rsid w:val="00960346"/>
    <w:rsid w:val="00960BFF"/>
    <w:rsid w:val="009617D3"/>
    <w:rsid w:val="00961D9C"/>
    <w:rsid w:val="00963A86"/>
    <w:rsid w:val="00967869"/>
    <w:rsid w:val="0097152A"/>
    <w:rsid w:val="00971F29"/>
    <w:rsid w:val="00971F54"/>
    <w:rsid w:val="0097229A"/>
    <w:rsid w:val="009725C5"/>
    <w:rsid w:val="00972726"/>
    <w:rsid w:val="00973F40"/>
    <w:rsid w:val="00975BAE"/>
    <w:rsid w:val="00976E12"/>
    <w:rsid w:val="00981734"/>
    <w:rsid w:val="009837E7"/>
    <w:rsid w:val="009849EF"/>
    <w:rsid w:val="00990B3C"/>
    <w:rsid w:val="00990B43"/>
    <w:rsid w:val="009934CF"/>
    <w:rsid w:val="00993A63"/>
    <w:rsid w:val="00994C99"/>
    <w:rsid w:val="00996A11"/>
    <w:rsid w:val="009A0D75"/>
    <w:rsid w:val="009A2269"/>
    <w:rsid w:val="009A2737"/>
    <w:rsid w:val="009A347A"/>
    <w:rsid w:val="009A3B8D"/>
    <w:rsid w:val="009A620E"/>
    <w:rsid w:val="009A6D49"/>
    <w:rsid w:val="009B150D"/>
    <w:rsid w:val="009B23F4"/>
    <w:rsid w:val="009B6911"/>
    <w:rsid w:val="009B6A6F"/>
    <w:rsid w:val="009C1AFE"/>
    <w:rsid w:val="009C1ED5"/>
    <w:rsid w:val="009C2A5E"/>
    <w:rsid w:val="009C2F24"/>
    <w:rsid w:val="009C45E5"/>
    <w:rsid w:val="009C4E73"/>
    <w:rsid w:val="009C568D"/>
    <w:rsid w:val="009C569C"/>
    <w:rsid w:val="009C622E"/>
    <w:rsid w:val="009C62BC"/>
    <w:rsid w:val="009C708B"/>
    <w:rsid w:val="009D03E0"/>
    <w:rsid w:val="009D048B"/>
    <w:rsid w:val="009D1218"/>
    <w:rsid w:val="009D14BD"/>
    <w:rsid w:val="009D465E"/>
    <w:rsid w:val="009D4E1C"/>
    <w:rsid w:val="009D6616"/>
    <w:rsid w:val="009D7821"/>
    <w:rsid w:val="009D782F"/>
    <w:rsid w:val="009D7DC7"/>
    <w:rsid w:val="009E10D1"/>
    <w:rsid w:val="009E1FE6"/>
    <w:rsid w:val="009E435C"/>
    <w:rsid w:val="009E5419"/>
    <w:rsid w:val="009E5A6E"/>
    <w:rsid w:val="009F156E"/>
    <w:rsid w:val="009F1FD1"/>
    <w:rsid w:val="009F2BCA"/>
    <w:rsid w:val="009F30BB"/>
    <w:rsid w:val="009F3754"/>
    <w:rsid w:val="009F46DC"/>
    <w:rsid w:val="009F5E24"/>
    <w:rsid w:val="009F7A2F"/>
    <w:rsid w:val="00A002ED"/>
    <w:rsid w:val="00A01C00"/>
    <w:rsid w:val="00A02875"/>
    <w:rsid w:val="00A0346D"/>
    <w:rsid w:val="00A05611"/>
    <w:rsid w:val="00A06B0E"/>
    <w:rsid w:val="00A07A0C"/>
    <w:rsid w:val="00A07E6C"/>
    <w:rsid w:val="00A10209"/>
    <w:rsid w:val="00A109C5"/>
    <w:rsid w:val="00A10DF7"/>
    <w:rsid w:val="00A12C16"/>
    <w:rsid w:val="00A12E7D"/>
    <w:rsid w:val="00A13659"/>
    <w:rsid w:val="00A14494"/>
    <w:rsid w:val="00A14737"/>
    <w:rsid w:val="00A15817"/>
    <w:rsid w:val="00A1620D"/>
    <w:rsid w:val="00A1642B"/>
    <w:rsid w:val="00A16AC0"/>
    <w:rsid w:val="00A23090"/>
    <w:rsid w:val="00A232F2"/>
    <w:rsid w:val="00A233A2"/>
    <w:rsid w:val="00A23D31"/>
    <w:rsid w:val="00A2474A"/>
    <w:rsid w:val="00A25052"/>
    <w:rsid w:val="00A301A7"/>
    <w:rsid w:val="00A30C34"/>
    <w:rsid w:val="00A30DED"/>
    <w:rsid w:val="00A30FD3"/>
    <w:rsid w:val="00A331FC"/>
    <w:rsid w:val="00A33B52"/>
    <w:rsid w:val="00A33DE1"/>
    <w:rsid w:val="00A34E01"/>
    <w:rsid w:val="00A35928"/>
    <w:rsid w:val="00A35E2F"/>
    <w:rsid w:val="00A364B9"/>
    <w:rsid w:val="00A36768"/>
    <w:rsid w:val="00A37891"/>
    <w:rsid w:val="00A40A51"/>
    <w:rsid w:val="00A42B54"/>
    <w:rsid w:val="00A4640C"/>
    <w:rsid w:val="00A46636"/>
    <w:rsid w:val="00A47392"/>
    <w:rsid w:val="00A475A8"/>
    <w:rsid w:val="00A47916"/>
    <w:rsid w:val="00A47E6E"/>
    <w:rsid w:val="00A51B81"/>
    <w:rsid w:val="00A55211"/>
    <w:rsid w:val="00A55EA9"/>
    <w:rsid w:val="00A561D5"/>
    <w:rsid w:val="00A57972"/>
    <w:rsid w:val="00A57C3D"/>
    <w:rsid w:val="00A61001"/>
    <w:rsid w:val="00A632AA"/>
    <w:rsid w:val="00A641B9"/>
    <w:rsid w:val="00A64FDC"/>
    <w:rsid w:val="00A6697B"/>
    <w:rsid w:val="00A672BA"/>
    <w:rsid w:val="00A70E26"/>
    <w:rsid w:val="00A73376"/>
    <w:rsid w:val="00A74BCC"/>
    <w:rsid w:val="00A74C2D"/>
    <w:rsid w:val="00A7620D"/>
    <w:rsid w:val="00A76B34"/>
    <w:rsid w:val="00A77FA5"/>
    <w:rsid w:val="00A802BB"/>
    <w:rsid w:val="00A80AE3"/>
    <w:rsid w:val="00A81F65"/>
    <w:rsid w:val="00A854FF"/>
    <w:rsid w:val="00A8745D"/>
    <w:rsid w:val="00A874B9"/>
    <w:rsid w:val="00A87BFD"/>
    <w:rsid w:val="00A90AAF"/>
    <w:rsid w:val="00A90F9B"/>
    <w:rsid w:val="00A92694"/>
    <w:rsid w:val="00A9287B"/>
    <w:rsid w:val="00A93072"/>
    <w:rsid w:val="00A944AF"/>
    <w:rsid w:val="00A94F15"/>
    <w:rsid w:val="00A9629C"/>
    <w:rsid w:val="00A9671F"/>
    <w:rsid w:val="00AA01C6"/>
    <w:rsid w:val="00AA146E"/>
    <w:rsid w:val="00AA30BF"/>
    <w:rsid w:val="00AA35D5"/>
    <w:rsid w:val="00AA3ADF"/>
    <w:rsid w:val="00AA3BFE"/>
    <w:rsid w:val="00AA417B"/>
    <w:rsid w:val="00AA533F"/>
    <w:rsid w:val="00AA5A86"/>
    <w:rsid w:val="00AB010D"/>
    <w:rsid w:val="00AB0303"/>
    <w:rsid w:val="00AB0749"/>
    <w:rsid w:val="00AB0DBA"/>
    <w:rsid w:val="00AB44CB"/>
    <w:rsid w:val="00AB5027"/>
    <w:rsid w:val="00AB5DA7"/>
    <w:rsid w:val="00AB685D"/>
    <w:rsid w:val="00AB7E6A"/>
    <w:rsid w:val="00AC1B61"/>
    <w:rsid w:val="00AC27BB"/>
    <w:rsid w:val="00AC2C6E"/>
    <w:rsid w:val="00AC3EE0"/>
    <w:rsid w:val="00AC3FC6"/>
    <w:rsid w:val="00AC5EE6"/>
    <w:rsid w:val="00AC7D7C"/>
    <w:rsid w:val="00AD00C8"/>
    <w:rsid w:val="00AD05E8"/>
    <w:rsid w:val="00AD0D24"/>
    <w:rsid w:val="00AD1923"/>
    <w:rsid w:val="00AD2611"/>
    <w:rsid w:val="00AD28D2"/>
    <w:rsid w:val="00AD3D57"/>
    <w:rsid w:val="00AD63FD"/>
    <w:rsid w:val="00AD7F5B"/>
    <w:rsid w:val="00AE042B"/>
    <w:rsid w:val="00AE4195"/>
    <w:rsid w:val="00AE4EA5"/>
    <w:rsid w:val="00AE70D3"/>
    <w:rsid w:val="00AE7C10"/>
    <w:rsid w:val="00AF08D1"/>
    <w:rsid w:val="00AF3379"/>
    <w:rsid w:val="00AF6005"/>
    <w:rsid w:val="00AF6432"/>
    <w:rsid w:val="00AF6643"/>
    <w:rsid w:val="00B02477"/>
    <w:rsid w:val="00B03992"/>
    <w:rsid w:val="00B04267"/>
    <w:rsid w:val="00B05267"/>
    <w:rsid w:val="00B065F9"/>
    <w:rsid w:val="00B07F12"/>
    <w:rsid w:val="00B1050C"/>
    <w:rsid w:val="00B1326C"/>
    <w:rsid w:val="00B1415B"/>
    <w:rsid w:val="00B14750"/>
    <w:rsid w:val="00B20761"/>
    <w:rsid w:val="00B2243B"/>
    <w:rsid w:val="00B2432C"/>
    <w:rsid w:val="00B26BF8"/>
    <w:rsid w:val="00B274AE"/>
    <w:rsid w:val="00B274BF"/>
    <w:rsid w:val="00B27DDC"/>
    <w:rsid w:val="00B27DF1"/>
    <w:rsid w:val="00B3080E"/>
    <w:rsid w:val="00B31222"/>
    <w:rsid w:val="00B32E43"/>
    <w:rsid w:val="00B33A5C"/>
    <w:rsid w:val="00B33DC3"/>
    <w:rsid w:val="00B35105"/>
    <w:rsid w:val="00B373AE"/>
    <w:rsid w:val="00B37582"/>
    <w:rsid w:val="00B4015B"/>
    <w:rsid w:val="00B40740"/>
    <w:rsid w:val="00B41AE0"/>
    <w:rsid w:val="00B42E81"/>
    <w:rsid w:val="00B4329D"/>
    <w:rsid w:val="00B44807"/>
    <w:rsid w:val="00B46452"/>
    <w:rsid w:val="00B479AD"/>
    <w:rsid w:val="00B47C65"/>
    <w:rsid w:val="00B510E0"/>
    <w:rsid w:val="00B520F9"/>
    <w:rsid w:val="00B53FA4"/>
    <w:rsid w:val="00B5495A"/>
    <w:rsid w:val="00B558CB"/>
    <w:rsid w:val="00B56345"/>
    <w:rsid w:val="00B569B6"/>
    <w:rsid w:val="00B577A3"/>
    <w:rsid w:val="00B579B0"/>
    <w:rsid w:val="00B606D8"/>
    <w:rsid w:val="00B62175"/>
    <w:rsid w:val="00B6391D"/>
    <w:rsid w:val="00B64641"/>
    <w:rsid w:val="00B65756"/>
    <w:rsid w:val="00B71E1D"/>
    <w:rsid w:val="00B7262F"/>
    <w:rsid w:val="00B73820"/>
    <w:rsid w:val="00B73FD4"/>
    <w:rsid w:val="00B74FC5"/>
    <w:rsid w:val="00B75A6C"/>
    <w:rsid w:val="00B80DA9"/>
    <w:rsid w:val="00B81CC1"/>
    <w:rsid w:val="00B8260C"/>
    <w:rsid w:val="00B82F2D"/>
    <w:rsid w:val="00B83E2A"/>
    <w:rsid w:val="00B83E38"/>
    <w:rsid w:val="00B843E9"/>
    <w:rsid w:val="00B86C19"/>
    <w:rsid w:val="00B875E0"/>
    <w:rsid w:val="00B90B72"/>
    <w:rsid w:val="00B911B1"/>
    <w:rsid w:val="00B91A62"/>
    <w:rsid w:val="00B92086"/>
    <w:rsid w:val="00B93510"/>
    <w:rsid w:val="00B939DF"/>
    <w:rsid w:val="00B954F3"/>
    <w:rsid w:val="00B95BCD"/>
    <w:rsid w:val="00B95CE5"/>
    <w:rsid w:val="00B95DE7"/>
    <w:rsid w:val="00B960AD"/>
    <w:rsid w:val="00B97690"/>
    <w:rsid w:val="00BA2232"/>
    <w:rsid w:val="00BA44F0"/>
    <w:rsid w:val="00BA4BC0"/>
    <w:rsid w:val="00BA6553"/>
    <w:rsid w:val="00BA7098"/>
    <w:rsid w:val="00BB03E0"/>
    <w:rsid w:val="00BB0AA2"/>
    <w:rsid w:val="00BB15CA"/>
    <w:rsid w:val="00BB375D"/>
    <w:rsid w:val="00BB49A0"/>
    <w:rsid w:val="00BB4B14"/>
    <w:rsid w:val="00BB50C1"/>
    <w:rsid w:val="00BB515F"/>
    <w:rsid w:val="00BB784F"/>
    <w:rsid w:val="00BB7DAD"/>
    <w:rsid w:val="00BC0352"/>
    <w:rsid w:val="00BC0A6D"/>
    <w:rsid w:val="00BC1FA5"/>
    <w:rsid w:val="00BC23F3"/>
    <w:rsid w:val="00BC2C0C"/>
    <w:rsid w:val="00BC34D1"/>
    <w:rsid w:val="00BC3B54"/>
    <w:rsid w:val="00BC51DC"/>
    <w:rsid w:val="00BC5854"/>
    <w:rsid w:val="00BC5E5D"/>
    <w:rsid w:val="00BC62AB"/>
    <w:rsid w:val="00BC634D"/>
    <w:rsid w:val="00BC732A"/>
    <w:rsid w:val="00BC758B"/>
    <w:rsid w:val="00BD2F88"/>
    <w:rsid w:val="00BD35D6"/>
    <w:rsid w:val="00BD4BB3"/>
    <w:rsid w:val="00BD4CDC"/>
    <w:rsid w:val="00BD5762"/>
    <w:rsid w:val="00BD7C0A"/>
    <w:rsid w:val="00BD7C7B"/>
    <w:rsid w:val="00BE17C6"/>
    <w:rsid w:val="00BE19A8"/>
    <w:rsid w:val="00BE24A7"/>
    <w:rsid w:val="00BE2BD3"/>
    <w:rsid w:val="00BE37B9"/>
    <w:rsid w:val="00BE4865"/>
    <w:rsid w:val="00BE4ECE"/>
    <w:rsid w:val="00BE7430"/>
    <w:rsid w:val="00BE76DE"/>
    <w:rsid w:val="00BE7B48"/>
    <w:rsid w:val="00BF138C"/>
    <w:rsid w:val="00BF5060"/>
    <w:rsid w:val="00BF5A50"/>
    <w:rsid w:val="00BF6DF1"/>
    <w:rsid w:val="00BF71F2"/>
    <w:rsid w:val="00C025A6"/>
    <w:rsid w:val="00C0398D"/>
    <w:rsid w:val="00C03CD5"/>
    <w:rsid w:val="00C10265"/>
    <w:rsid w:val="00C1061B"/>
    <w:rsid w:val="00C10DCD"/>
    <w:rsid w:val="00C14ADA"/>
    <w:rsid w:val="00C16B4B"/>
    <w:rsid w:val="00C17427"/>
    <w:rsid w:val="00C2036B"/>
    <w:rsid w:val="00C210FD"/>
    <w:rsid w:val="00C220BB"/>
    <w:rsid w:val="00C25238"/>
    <w:rsid w:val="00C25E7C"/>
    <w:rsid w:val="00C26201"/>
    <w:rsid w:val="00C30185"/>
    <w:rsid w:val="00C305F2"/>
    <w:rsid w:val="00C3345C"/>
    <w:rsid w:val="00C33D31"/>
    <w:rsid w:val="00C344B3"/>
    <w:rsid w:val="00C348F7"/>
    <w:rsid w:val="00C37E18"/>
    <w:rsid w:val="00C40186"/>
    <w:rsid w:val="00C40902"/>
    <w:rsid w:val="00C409A3"/>
    <w:rsid w:val="00C41A52"/>
    <w:rsid w:val="00C42DAC"/>
    <w:rsid w:val="00C459A9"/>
    <w:rsid w:val="00C461F5"/>
    <w:rsid w:val="00C46D70"/>
    <w:rsid w:val="00C47F2A"/>
    <w:rsid w:val="00C502A5"/>
    <w:rsid w:val="00C521F7"/>
    <w:rsid w:val="00C52975"/>
    <w:rsid w:val="00C53008"/>
    <w:rsid w:val="00C53948"/>
    <w:rsid w:val="00C55151"/>
    <w:rsid w:val="00C560FA"/>
    <w:rsid w:val="00C56BA6"/>
    <w:rsid w:val="00C57188"/>
    <w:rsid w:val="00C57A20"/>
    <w:rsid w:val="00C57F11"/>
    <w:rsid w:val="00C57FF9"/>
    <w:rsid w:val="00C604EE"/>
    <w:rsid w:val="00C62843"/>
    <w:rsid w:val="00C62A07"/>
    <w:rsid w:val="00C62FA1"/>
    <w:rsid w:val="00C63227"/>
    <w:rsid w:val="00C64434"/>
    <w:rsid w:val="00C64609"/>
    <w:rsid w:val="00C653C4"/>
    <w:rsid w:val="00C67EEB"/>
    <w:rsid w:val="00C70282"/>
    <w:rsid w:val="00C70302"/>
    <w:rsid w:val="00C7063C"/>
    <w:rsid w:val="00C72379"/>
    <w:rsid w:val="00C72FA0"/>
    <w:rsid w:val="00C733E3"/>
    <w:rsid w:val="00C73C57"/>
    <w:rsid w:val="00C74D43"/>
    <w:rsid w:val="00C75182"/>
    <w:rsid w:val="00C75CA7"/>
    <w:rsid w:val="00C81051"/>
    <w:rsid w:val="00C83128"/>
    <w:rsid w:val="00C838BA"/>
    <w:rsid w:val="00C850C1"/>
    <w:rsid w:val="00C854EB"/>
    <w:rsid w:val="00C85E38"/>
    <w:rsid w:val="00C86482"/>
    <w:rsid w:val="00C86A0F"/>
    <w:rsid w:val="00C92552"/>
    <w:rsid w:val="00C935D2"/>
    <w:rsid w:val="00C93EF0"/>
    <w:rsid w:val="00C93F1B"/>
    <w:rsid w:val="00C9431E"/>
    <w:rsid w:val="00C94F9B"/>
    <w:rsid w:val="00C95F37"/>
    <w:rsid w:val="00C9607D"/>
    <w:rsid w:val="00C973B7"/>
    <w:rsid w:val="00C976D1"/>
    <w:rsid w:val="00CA08F2"/>
    <w:rsid w:val="00CA12EC"/>
    <w:rsid w:val="00CA1752"/>
    <w:rsid w:val="00CA48AC"/>
    <w:rsid w:val="00CA53E4"/>
    <w:rsid w:val="00CA77E5"/>
    <w:rsid w:val="00CB166A"/>
    <w:rsid w:val="00CB43CD"/>
    <w:rsid w:val="00CB5C2E"/>
    <w:rsid w:val="00CB5F34"/>
    <w:rsid w:val="00CB675A"/>
    <w:rsid w:val="00CB6BE8"/>
    <w:rsid w:val="00CB6DF9"/>
    <w:rsid w:val="00CC0567"/>
    <w:rsid w:val="00CC0E77"/>
    <w:rsid w:val="00CC1218"/>
    <w:rsid w:val="00CC2092"/>
    <w:rsid w:val="00CC283A"/>
    <w:rsid w:val="00CC38A9"/>
    <w:rsid w:val="00CC3B97"/>
    <w:rsid w:val="00CC5BF9"/>
    <w:rsid w:val="00CC5E4E"/>
    <w:rsid w:val="00CD0330"/>
    <w:rsid w:val="00CD1423"/>
    <w:rsid w:val="00CD3162"/>
    <w:rsid w:val="00CD3A5D"/>
    <w:rsid w:val="00CD5682"/>
    <w:rsid w:val="00CD5FD4"/>
    <w:rsid w:val="00CD77E6"/>
    <w:rsid w:val="00CE09A7"/>
    <w:rsid w:val="00CE0DCE"/>
    <w:rsid w:val="00CE19ED"/>
    <w:rsid w:val="00CE1BC9"/>
    <w:rsid w:val="00CE33C1"/>
    <w:rsid w:val="00CE5565"/>
    <w:rsid w:val="00CE7556"/>
    <w:rsid w:val="00CE76FF"/>
    <w:rsid w:val="00CE7979"/>
    <w:rsid w:val="00CF2CA8"/>
    <w:rsid w:val="00CF4012"/>
    <w:rsid w:val="00CF43C1"/>
    <w:rsid w:val="00CF6AFB"/>
    <w:rsid w:val="00D00569"/>
    <w:rsid w:val="00D008B5"/>
    <w:rsid w:val="00D00B0F"/>
    <w:rsid w:val="00D017BE"/>
    <w:rsid w:val="00D01BA9"/>
    <w:rsid w:val="00D02720"/>
    <w:rsid w:val="00D02BC6"/>
    <w:rsid w:val="00D0310D"/>
    <w:rsid w:val="00D05C7C"/>
    <w:rsid w:val="00D06666"/>
    <w:rsid w:val="00D06906"/>
    <w:rsid w:val="00D07742"/>
    <w:rsid w:val="00D10120"/>
    <w:rsid w:val="00D11729"/>
    <w:rsid w:val="00D1276A"/>
    <w:rsid w:val="00D128B2"/>
    <w:rsid w:val="00D12A0D"/>
    <w:rsid w:val="00D12C2B"/>
    <w:rsid w:val="00D14350"/>
    <w:rsid w:val="00D14DB7"/>
    <w:rsid w:val="00D1572A"/>
    <w:rsid w:val="00D15ED5"/>
    <w:rsid w:val="00D169A0"/>
    <w:rsid w:val="00D176E9"/>
    <w:rsid w:val="00D23AC9"/>
    <w:rsid w:val="00D252BB"/>
    <w:rsid w:val="00D301F4"/>
    <w:rsid w:val="00D33E65"/>
    <w:rsid w:val="00D348F7"/>
    <w:rsid w:val="00D35B42"/>
    <w:rsid w:val="00D35B8A"/>
    <w:rsid w:val="00D401AC"/>
    <w:rsid w:val="00D40BC3"/>
    <w:rsid w:val="00D4165E"/>
    <w:rsid w:val="00D434EC"/>
    <w:rsid w:val="00D44E74"/>
    <w:rsid w:val="00D44E87"/>
    <w:rsid w:val="00D44E9D"/>
    <w:rsid w:val="00D4542F"/>
    <w:rsid w:val="00D472A7"/>
    <w:rsid w:val="00D500D5"/>
    <w:rsid w:val="00D5069E"/>
    <w:rsid w:val="00D52162"/>
    <w:rsid w:val="00D5259B"/>
    <w:rsid w:val="00D53410"/>
    <w:rsid w:val="00D57892"/>
    <w:rsid w:val="00D61A23"/>
    <w:rsid w:val="00D62A31"/>
    <w:rsid w:val="00D634B4"/>
    <w:rsid w:val="00D64784"/>
    <w:rsid w:val="00D64B17"/>
    <w:rsid w:val="00D65DA7"/>
    <w:rsid w:val="00D666BC"/>
    <w:rsid w:val="00D67827"/>
    <w:rsid w:val="00D67E65"/>
    <w:rsid w:val="00D70640"/>
    <w:rsid w:val="00D70D4A"/>
    <w:rsid w:val="00D739CA"/>
    <w:rsid w:val="00D75400"/>
    <w:rsid w:val="00D80D24"/>
    <w:rsid w:val="00D80EA5"/>
    <w:rsid w:val="00D80F9D"/>
    <w:rsid w:val="00D81BAE"/>
    <w:rsid w:val="00D84B17"/>
    <w:rsid w:val="00D8507D"/>
    <w:rsid w:val="00D86735"/>
    <w:rsid w:val="00D900BD"/>
    <w:rsid w:val="00D90C9D"/>
    <w:rsid w:val="00D91366"/>
    <w:rsid w:val="00D91910"/>
    <w:rsid w:val="00D919DC"/>
    <w:rsid w:val="00D91AA8"/>
    <w:rsid w:val="00D921D2"/>
    <w:rsid w:val="00D927F3"/>
    <w:rsid w:val="00D944A6"/>
    <w:rsid w:val="00D96FC3"/>
    <w:rsid w:val="00D976B9"/>
    <w:rsid w:val="00DA0CCB"/>
    <w:rsid w:val="00DA12C3"/>
    <w:rsid w:val="00DA13AC"/>
    <w:rsid w:val="00DA1B4D"/>
    <w:rsid w:val="00DA2076"/>
    <w:rsid w:val="00DA495D"/>
    <w:rsid w:val="00DA6529"/>
    <w:rsid w:val="00DA7BA0"/>
    <w:rsid w:val="00DB1346"/>
    <w:rsid w:val="00DB1588"/>
    <w:rsid w:val="00DB2781"/>
    <w:rsid w:val="00DB52C3"/>
    <w:rsid w:val="00DB5DA3"/>
    <w:rsid w:val="00DB7E5F"/>
    <w:rsid w:val="00DC0AF6"/>
    <w:rsid w:val="00DC10B0"/>
    <w:rsid w:val="00DC1594"/>
    <w:rsid w:val="00DC1942"/>
    <w:rsid w:val="00DC3753"/>
    <w:rsid w:val="00DC4BCD"/>
    <w:rsid w:val="00DC5CE5"/>
    <w:rsid w:val="00DD02FE"/>
    <w:rsid w:val="00DD0679"/>
    <w:rsid w:val="00DD0B26"/>
    <w:rsid w:val="00DD177D"/>
    <w:rsid w:val="00DD178F"/>
    <w:rsid w:val="00DD1FE4"/>
    <w:rsid w:val="00DD274B"/>
    <w:rsid w:val="00DD3A3E"/>
    <w:rsid w:val="00DD49AC"/>
    <w:rsid w:val="00DD6A58"/>
    <w:rsid w:val="00DD7162"/>
    <w:rsid w:val="00DE4107"/>
    <w:rsid w:val="00DE5F4A"/>
    <w:rsid w:val="00DE68AE"/>
    <w:rsid w:val="00DF0ED5"/>
    <w:rsid w:val="00DF255A"/>
    <w:rsid w:val="00DF31BC"/>
    <w:rsid w:val="00DF6AC7"/>
    <w:rsid w:val="00DF72D9"/>
    <w:rsid w:val="00DF7EC8"/>
    <w:rsid w:val="00E00B84"/>
    <w:rsid w:val="00E00E08"/>
    <w:rsid w:val="00E015EF"/>
    <w:rsid w:val="00E028ED"/>
    <w:rsid w:val="00E02DD1"/>
    <w:rsid w:val="00E043B7"/>
    <w:rsid w:val="00E04B35"/>
    <w:rsid w:val="00E073A0"/>
    <w:rsid w:val="00E104F6"/>
    <w:rsid w:val="00E10748"/>
    <w:rsid w:val="00E10E8B"/>
    <w:rsid w:val="00E12585"/>
    <w:rsid w:val="00E12F57"/>
    <w:rsid w:val="00E14282"/>
    <w:rsid w:val="00E2000A"/>
    <w:rsid w:val="00E20B15"/>
    <w:rsid w:val="00E20B7A"/>
    <w:rsid w:val="00E21D19"/>
    <w:rsid w:val="00E236A2"/>
    <w:rsid w:val="00E23C62"/>
    <w:rsid w:val="00E2580F"/>
    <w:rsid w:val="00E25F5C"/>
    <w:rsid w:val="00E27DDF"/>
    <w:rsid w:val="00E27FF2"/>
    <w:rsid w:val="00E30999"/>
    <w:rsid w:val="00E30A90"/>
    <w:rsid w:val="00E30D70"/>
    <w:rsid w:val="00E314EB"/>
    <w:rsid w:val="00E32DC3"/>
    <w:rsid w:val="00E33063"/>
    <w:rsid w:val="00E33609"/>
    <w:rsid w:val="00E33610"/>
    <w:rsid w:val="00E33FD1"/>
    <w:rsid w:val="00E34700"/>
    <w:rsid w:val="00E3568B"/>
    <w:rsid w:val="00E3675A"/>
    <w:rsid w:val="00E37E18"/>
    <w:rsid w:val="00E40084"/>
    <w:rsid w:val="00E40E8C"/>
    <w:rsid w:val="00E42069"/>
    <w:rsid w:val="00E42775"/>
    <w:rsid w:val="00E42D79"/>
    <w:rsid w:val="00E430FD"/>
    <w:rsid w:val="00E43469"/>
    <w:rsid w:val="00E43D75"/>
    <w:rsid w:val="00E445DA"/>
    <w:rsid w:val="00E44B19"/>
    <w:rsid w:val="00E45379"/>
    <w:rsid w:val="00E465F2"/>
    <w:rsid w:val="00E467C5"/>
    <w:rsid w:val="00E47FA2"/>
    <w:rsid w:val="00E50990"/>
    <w:rsid w:val="00E50B22"/>
    <w:rsid w:val="00E531F4"/>
    <w:rsid w:val="00E5321F"/>
    <w:rsid w:val="00E53706"/>
    <w:rsid w:val="00E609F9"/>
    <w:rsid w:val="00E617BD"/>
    <w:rsid w:val="00E61F09"/>
    <w:rsid w:val="00E63C26"/>
    <w:rsid w:val="00E653C4"/>
    <w:rsid w:val="00E67F8F"/>
    <w:rsid w:val="00E7030E"/>
    <w:rsid w:val="00E705B4"/>
    <w:rsid w:val="00E759A5"/>
    <w:rsid w:val="00E75E29"/>
    <w:rsid w:val="00E80054"/>
    <w:rsid w:val="00E8155D"/>
    <w:rsid w:val="00E8367B"/>
    <w:rsid w:val="00E83C49"/>
    <w:rsid w:val="00E83EC1"/>
    <w:rsid w:val="00E84D54"/>
    <w:rsid w:val="00E858F2"/>
    <w:rsid w:val="00E87E3F"/>
    <w:rsid w:val="00E9201F"/>
    <w:rsid w:val="00E946DB"/>
    <w:rsid w:val="00E94844"/>
    <w:rsid w:val="00E949DF"/>
    <w:rsid w:val="00E955CB"/>
    <w:rsid w:val="00E95ACA"/>
    <w:rsid w:val="00E95DF7"/>
    <w:rsid w:val="00E96CDD"/>
    <w:rsid w:val="00E97756"/>
    <w:rsid w:val="00EA0E04"/>
    <w:rsid w:val="00EA1353"/>
    <w:rsid w:val="00EA220D"/>
    <w:rsid w:val="00EA48D0"/>
    <w:rsid w:val="00EA5D2C"/>
    <w:rsid w:val="00EA5D8E"/>
    <w:rsid w:val="00EA755F"/>
    <w:rsid w:val="00EB09CD"/>
    <w:rsid w:val="00EB15A5"/>
    <w:rsid w:val="00EB19F9"/>
    <w:rsid w:val="00EB3B88"/>
    <w:rsid w:val="00EB4D59"/>
    <w:rsid w:val="00EB7074"/>
    <w:rsid w:val="00EB78BE"/>
    <w:rsid w:val="00EC5A0B"/>
    <w:rsid w:val="00EC5CA0"/>
    <w:rsid w:val="00EC7372"/>
    <w:rsid w:val="00EC7CBF"/>
    <w:rsid w:val="00ED0004"/>
    <w:rsid w:val="00ED0246"/>
    <w:rsid w:val="00ED223C"/>
    <w:rsid w:val="00ED2BBD"/>
    <w:rsid w:val="00ED30E8"/>
    <w:rsid w:val="00ED3B69"/>
    <w:rsid w:val="00ED4E92"/>
    <w:rsid w:val="00ED7149"/>
    <w:rsid w:val="00ED7CBD"/>
    <w:rsid w:val="00EE2E63"/>
    <w:rsid w:val="00EE3961"/>
    <w:rsid w:val="00EE43B2"/>
    <w:rsid w:val="00EE4CD8"/>
    <w:rsid w:val="00EE56B3"/>
    <w:rsid w:val="00EE5995"/>
    <w:rsid w:val="00EE5F2E"/>
    <w:rsid w:val="00EE7897"/>
    <w:rsid w:val="00EF2490"/>
    <w:rsid w:val="00EF3156"/>
    <w:rsid w:val="00EF4A64"/>
    <w:rsid w:val="00EF4C86"/>
    <w:rsid w:val="00EF6EAA"/>
    <w:rsid w:val="00F01719"/>
    <w:rsid w:val="00F02171"/>
    <w:rsid w:val="00F02FDA"/>
    <w:rsid w:val="00F033EF"/>
    <w:rsid w:val="00F0399F"/>
    <w:rsid w:val="00F03F10"/>
    <w:rsid w:val="00F04B1B"/>
    <w:rsid w:val="00F04B48"/>
    <w:rsid w:val="00F064CE"/>
    <w:rsid w:val="00F06E9C"/>
    <w:rsid w:val="00F11AB3"/>
    <w:rsid w:val="00F1283F"/>
    <w:rsid w:val="00F1430A"/>
    <w:rsid w:val="00F153C2"/>
    <w:rsid w:val="00F170C5"/>
    <w:rsid w:val="00F20633"/>
    <w:rsid w:val="00F21B1B"/>
    <w:rsid w:val="00F22A63"/>
    <w:rsid w:val="00F22C57"/>
    <w:rsid w:val="00F26B97"/>
    <w:rsid w:val="00F27A37"/>
    <w:rsid w:val="00F27FE5"/>
    <w:rsid w:val="00F30B9F"/>
    <w:rsid w:val="00F35243"/>
    <w:rsid w:val="00F352EE"/>
    <w:rsid w:val="00F36BDA"/>
    <w:rsid w:val="00F378D6"/>
    <w:rsid w:val="00F37DE5"/>
    <w:rsid w:val="00F4120F"/>
    <w:rsid w:val="00F43E6E"/>
    <w:rsid w:val="00F44423"/>
    <w:rsid w:val="00F44B29"/>
    <w:rsid w:val="00F45229"/>
    <w:rsid w:val="00F465F1"/>
    <w:rsid w:val="00F47F9F"/>
    <w:rsid w:val="00F51236"/>
    <w:rsid w:val="00F51238"/>
    <w:rsid w:val="00F51D7B"/>
    <w:rsid w:val="00F53605"/>
    <w:rsid w:val="00F5374C"/>
    <w:rsid w:val="00F541B8"/>
    <w:rsid w:val="00F54354"/>
    <w:rsid w:val="00F54460"/>
    <w:rsid w:val="00F5525E"/>
    <w:rsid w:val="00F5579D"/>
    <w:rsid w:val="00F56978"/>
    <w:rsid w:val="00F56CC2"/>
    <w:rsid w:val="00F57AED"/>
    <w:rsid w:val="00F62370"/>
    <w:rsid w:val="00F628D3"/>
    <w:rsid w:val="00F648CE"/>
    <w:rsid w:val="00F6497E"/>
    <w:rsid w:val="00F653DD"/>
    <w:rsid w:val="00F65B82"/>
    <w:rsid w:val="00F677E2"/>
    <w:rsid w:val="00F7109C"/>
    <w:rsid w:val="00F71FBA"/>
    <w:rsid w:val="00F73751"/>
    <w:rsid w:val="00F74C85"/>
    <w:rsid w:val="00F75EAD"/>
    <w:rsid w:val="00F77154"/>
    <w:rsid w:val="00F7793E"/>
    <w:rsid w:val="00F77D77"/>
    <w:rsid w:val="00F80F33"/>
    <w:rsid w:val="00F83409"/>
    <w:rsid w:val="00F846D6"/>
    <w:rsid w:val="00F84D8C"/>
    <w:rsid w:val="00F8512A"/>
    <w:rsid w:val="00F85B71"/>
    <w:rsid w:val="00F90A4B"/>
    <w:rsid w:val="00F9173A"/>
    <w:rsid w:val="00F91800"/>
    <w:rsid w:val="00F91B89"/>
    <w:rsid w:val="00F93711"/>
    <w:rsid w:val="00F94AEB"/>
    <w:rsid w:val="00F94E90"/>
    <w:rsid w:val="00F9650A"/>
    <w:rsid w:val="00F967C7"/>
    <w:rsid w:val="00F97A58"/>
    <w:rsid w:val="00FA0437"/>
    <w:rsid w:val="00FA0CBF"/>
    <w:rsid w:val="00FA233F"/>
    <w:rsid w:val="00FA29F4"/>
    <w:rsid w:val="00FA2E05"/>
    <w:rsid w:val="00FA3C9F"/>
    <w:rsid w:val="00FA5D86"/>
    <w:rsid w:val="00FA7D57"/>
    <w:rsid w:val="00FB0008"/>
    <w:rsid w:val="00FB05BD"/>
    <w:rsid w:val="00FB071C"/>
    <w:rsid w:val="00FB1CE7"/>
    <w:rsid w:val="00FB1E2A"/>
    <w:rsid w:val="00FB3003"/>
    <w:rsid w:val="00FB3296"/>
    <w:rsid w:val="00FB39AA"/>
    <w:rsid w:val="00FB3EA0"/>
    <w:rsid w:val="00FB413A"/>
    <w:rsid w:val="00FB426C"/>
    <w:rsid w:val="00FC0562"/>
    <w:rsid w:val="00FC0B63"/>
    <w:rsid w:val="00FC17FD"/>
    <w:rsid w:val="00FC1B74"/>
    <w:rsid w:val="00FC2209"/>
    <w:rsid w:val="00FC4B44"/>
    <w:rsid w:val="00FC64E9"/>
    <w:rsid w:val="00FC7531"/>
    <w:rsid w:val="00FC7A8A"/>
    <w:rsid w:val="00FC7B17"/>
    <w:rsid w:val="00FC7EAA"/>
    <w:rsid w:val="00FD0537"/>
    <w:rsid w:val="00FD157B"/>
    <w:rsid w:val="00FD2E26"/>
    <w:rsid w:val="00FD3AD1"/>
    <w:rsid w:val="00FD4115"/>
    <w:rsid w:val="00FD4FA5"/>
    <w:rsid w:val="00FD50F5"/>
    <w:rsid w:val="00FD5B43"/>
    <w:rsid w:val="00FE086A"/>
    <w:rsid w:val="00FE14D4"/>
    <w:rsid w:val="00FE428B"/>
    <w:rsid w:val="00FE477B"/>
    <w:rsid w:val="00FE4E15"/>
    <w:rsid w:val="00FE57C5"/>
    <w:rsid w:val="00FE5B71"/>
    <w:rsid w:val="00FF2401"/>
    <w:rsid w:val="00FF456A"/>
    <w:rsid w:val="00FF472A"/>
    <w:rsid w:val="00FF6204"/>
    <w:rsid w:val="00FF634D"/>
    <w:rsid w:val="2A830837"/>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027DD5CF"/>
  <w15:docId w15:val="{80843F88-EC9C-4839-AFD7-9ABAA435E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F21B1B"/>
    <w:pPr>
      <w:spacing w:after="0" w:line="240" w:lineRule="auto"/>
    </w:pPr>
    <w:rPr>
      <w:rFonts w:ascii="Times New Roman" w:hAnsi="Times New Roman" w:eastAsia="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hAnsiTheme="majorHAnsi" w:eastAsiaTheme="majorEastAsia" w:cstheme="majorBidi"/>
      <w:color w:val="2F5496" w:themeColor="accent1" w:themeShade="BF"/>
      <w:sz w:val="32"/>
      <w:szCs w:val="3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1Car" w:customStyle="1">
    <w:name w:val="Título 1 Car"/>
    <w:basedOn w:val="Fuentedeprrafopredeter"/>
    <w:link w:val="Ttulo1"/>
    <w:uiPriority w:val="9"/>
    <w:rsid w:val="00B31222"/>
    <w:rPr>
      <w:rFonts w:asciiTheme="majorHAnsi" w:hAnsiTheme="majorHAnsi" w:eastAsiaTheme="majorEastAsia"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styleId="EncabezadoCar" w:customStyle="1">
    <w:name w:val="Encabezado Car"/>
    <w:basedOn w:val="Fuentedeprrafopredeter"/>
    <w:link w:val="Encabezado"/>
    <w:uiPriority w:val="99"/>
    <w:rsid w:val="00B31222"/>
    <w:rPr>
      <w:rFonts w:ascii="Times New Roman" w:hAnsi="Times New Roman" w:eastAsia="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styleId="PiedepginaCar" w:customStyle="1">
    <w:name w:val="Pie de página Car"/>
    <w:basedOn w:val="Fuentedeprrafopredeter"/>
    <w:link w:val="Piedepgina"/>
    <w:uiPriority w:val="99"/>
    <w:rsid w:val="00B31222"/>
    <w:rPr>
      <w:rFonts w:ascii="Times New Roman" w:hAnsi="Times New Roman" w:eastAsia="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hAnsi="Century Gothic" w:eastAsia="Times New Roman"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hAnsi="Calibri" w:eastAsia="Calibri"/>
      <w:lang w:eastAsia="en-US"/>
    </w:rPr>
  </w:style>
  <w:style w:type="character" w:styleId="TextonotapieCar" w:customStyle="1">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hAnsi="Calibri" w:eastAsia="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39"/>
    <w:rsid w:val="00B31222"/>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B31222"/>
    <w:rPr>
      <w:rFonts w:ascii="Segoe UI" w:hAnsi="Segoe UI" w:eastAsia="Times New Roman"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styleId="TextocomentarioCar" w:customStyle="1">
    <w:name w:val="Texto comentario Car"/>
    <w:basedOn w:val="Fuentedeprrafopredeter"/>
    <w:link w:val="Textocomentario"/>
    <w:uiPriority w:val="99"/>
    <w:semiHidden/>
    <w:rsid w:val="00B31222"/>
    <w:rPr>
      <w:rFonts w:ascii="Times New Roman" w:hAnsi="Times New Roman" w:eastAsia="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styleId="AsuntodelcomentarioCar" w:customStyle="1">
    <w:name w:val="Asunto del comentario Car"/>
    <w:basedOn w:val="TextocomentarioCar"/>
    <w:link w:val="Asuntodelcomentario"/>
    <w:uiPriority w:val="99"/>
    <w:semiHidden/>
    <w:rsid w:val="00B31222"/>
    <w:rPr>
      <w:rFonts w:ascii="Times New Roman" w:hAnsi="Times New Roman" w:eastAsia="Times New Roman" w:cs="Times New Roman"/>
      <w:b/>
      <w:bCs/>
      <w:sz w:val="20"/>
      <w:szCs w:val="20"/>
      <w:lang w:val="es-ES" w:eastAsia="es-ES"/>
    </w:rPr>
  </w:style>
  <w:style w:type="character" w:styleId="Mencionar1" w:customStyle="1">
    <w:name w:val="Mencionar1"/>
    <w:basedOn w:val="Fuentedeprrafopredeter"/>
    <w:uiPriority w:val="99"/>
    <w:semiHidden/>
    <w:unhideWhenUsed/>
    <w:rsid w:val="00B31222"/>
    <w:rPr>
      <w:color w:val="2B579A"/>
      <w:shd w:val="clear" w:color="auto" w:fill="E6E6E6"/>
    </w:rPr>
  </w:style>
  <w:style w:type="character" w:styleId="Mencionar2" w:customStyle="1">
    <w:name w:val="Mencionar2"/>
    <w:basedOn w:val="Fuentedeprrafopredeter"/>
    <w:uiPriority w:val="99"/>
    <w:semiHidden/>
    <w:unhideWhenUsed/>
    <w:rsid w:val="00B31222"/>
    <w:rPr>
      <w:color w:val="2B579A"/>
      <w:shd w:val="clear" w:color="auto" w:fill="E6E6E6"/>
    </w:rPr>
  </w:style>
  <w:style w:type="character" w:styleId="maestrofonttexto" w:customStyle="1">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styleId="HTMLconformatoprevioCar" w:customStyle="1">
    <w:name w:val="HTML con formato previo Car"/>
    <w:basedOn w:val="Fuentedeprrafopredeter"/>
    <w:link w:val="HTMLconformatoprevio"/>
    <w:uiPriority w:val="99"/>
    <w:semiHidden/>
    <w:rsid w:val="00B31222"/>
    <w:rPr>
      <w:rFonts w:ascii="Courier New" w:hAnsi="Courier New" w:eastAsia="Times New Roman" w:cs="Courier New"/>
      <w:sz w:val="20"/>
      <w:szCs w:val="20"/>
      <w:lang w:eastAsia="es-MX"/>
    </w:rPr>
  </w:style>
  <w:style w:type="paragraph" w:styleId="Default" w:customStyle="1">
    <w:name w:val="Default"/>
    <w:rsid w:val="00B31222"/>
    <w:pPr>
      <w:autoSpaceDE w:val="0"/>
      <w:autoSpaceDN w:val="0"/>
      <w:adjustRightInd w:val="0"/>
      <w:spacing w:after="0" w:line="240" w:lineRule="auto"/>
    </w:pPr>
    <w:rPr>
      <w:rFonts w:ascii="Arial" w:hAnsi="Arial" w:cs="Arial"/>
      <w:color w:val="000000"/>
      <w:sz w:val="24"/>
      <w:szCs w:val="24"/>
    </w:rPr>
  </w:style>
  <w:style w:type="character" w:styleId="CharacterStyle1" w:customStyle="1">
    <w:name w:val="Character Style 1"/>
    <w:uiPriority w:val="99"/>
    <w:rsid w:val="00B31222"/>
    <w:rPr>
      <w:sz w:val="20"/>
      <w:szCs w:val="20"/>
    </w:rPr>
  </w:style>
  <w:style w:type="paragraph" w:styleId="Estilo1" w:customStyle="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styleId="TextoindependienteCar" w:customStyle="1">
    <w:name w:val="Texto independiente Car"/>
    <w:basedOn w:val="Fuentedeprrafopredeter"/>
    <w:link w:val="Textoindependiente"/>
    <w:uiPriority w:val="99"/>
    <w:rsid w:val="00B31222"/>
    <w:rPr>
      <w:rFonts w:ascii="Times New Roman" w:hAnsi="Times New Roman" w:eastAsia="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hAnsi="Arial" w:eastAsia="Batang" w:cs="Times New Roman"/>
      <w:sz w:val="20"/>
      <w:szCs w:val="24"/>
      <w:lang w:eastAsia="es-ES"/>
    </w:rPr>
  </w:style>
  <w:style w:type="character" w:styleId="SinespaciadoCar" w:customStyle="1">
    <w:name w:val="Sin espaciado Car"/>
    <w:aliases w:val="INAI Car"/>
    <w:basedOn w:val="Fuentedeprrafopredeter"/>
    <w:link w:val="Sinespaciado"/>
    <w:uiPriority w:val="1"/>
    <w:rsid w:val="00B31222"/>
    <w:rPr>
      <w:rFonts w:ascii="Arial" w:hAnsi="Arial" w:eastAsia="Batang"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styleId="SaludoCar" w:customStyle="1">
    <w:name w:val="Saludo Car"/>
    <w:basedOn w:val="Fuentedeprrafopredeter"/>
    <w:link w:val="Saludo"/>
    <w:uiPriority w:val="99"/>
    <w:rsid w:val="00B31222"/>
    <w:rPr>
      <w:rFonts w:ascii="Times New Roman" w:hAnsi="Times New Roman" w:eastAsia="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hAnsiTheme="majorHAnsi" w:eastAsiaTheme="majorEastAsia" w:cstheme="majorBidi"/>
      <w:spacing w:val="-10"/>
      <w:kern w:val="28"/>
      <w:sz w:val="56"/>
      <w:szCs w:val="56"/>
    </w:rPr>
  </w:style>
  <w:style w:type="character" w:styleId="PuestoCar" w:customStyle="1">
    <w:name w:val="Puesto Car"/>
    <w:basedOn w:val="Fuentedeprrafopredeter"/>
    <w:link w:val="Puesto"/>
    <w:uiPriority w:val="10"/>
    <w:rsid w:val="00B31222"/>
    <w:rPr>
      <w:rFonts w:asciiTheme="majorHAnsi" w:hAnsiTheme="majorHAnsi" w:eastAsiaTheme="majorEastAsia"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styleId="SangradetextonormalCar" w:customStyle="1">
    <w:name w:val="Sangría de texto normal Car"/>
    <w:basedOn w:val="Fuentedeprrafopredeter"/>
    <w:link w:val="Sangradetextonormal"/>
    <w:uiPriority w:val="99"/>
    <w:rsid w:val="00B31222"/>
    <w:rPr>
      <w:rFonts w:ascii="Times New Roman" w:hAnsi="Times New Roman" w:eastAsia="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B31222"/>
    <w:rPr>
      <w:rFonts w:ascii="Times New Roman" w:hAnsi="Times New Roman" w:eastAsia="Times New Roman" w:cs="Times New Roman"/>
      <w:sz w:val="20"/>
      <w:szCs w:val="20"/>
      <w:lang w:val="es-ES" w:eastAsia="es-ES"/>
    </w:rPr>
  </w:style>
  <w:style w:type="character" w:styleId="Mencionar3" w:customStyle="1">
    <w:name w:val="Mencionar3"/>
    <w:basedOn w:val="Fuentedeprrafopredeter"/>
    <w:uiPriority w:val="99"/>
    <w:semiHidden/>
    <w:unhideWhenUsed/>
    <w:rsid w:val="00A47916"/>
    <w:rPr>
      <w:color w:val="2B579A"/>
      <w:shd w:val="clear" w:color="auto" w:fill="E6E6E6"/>
    </w:rPr>
  </w:style>
  <w:style w:type="character" w:styleId="Mencionar4" w:customStyle="1">
    <w:name w:val="Mencionar4"/>
    <w:basedOn w:val="Fuentedeprrafopredeter"/>
    <w:uiPriority w:val="99"/>
    <w:semiHidden/>
    <w:unhideWhenUsed/>
    <w:rsid w:val="00802515"/>
    <w:rPr>
      <w:color w:val="2B579A"/>
      <w:shd w:val="clear" w:color="auto" w:fill="E6E6E6"/>
    </w:rPr>
  </w:style>
  <w:style w:type="character" w:styleId="maestrofonttexto1" w:customStyle="1">
    <w:name w:val="maestro_fonttexto1"/>
    <w:basedOn w:val="Fuentedeprrafopredeter"/>
    <w:rsid w:val="00C25238"/>
    <w:rPr>
      <w:rFonts w:hint="default" w:ascii="Arial" w:hAnsi="Arial" w:cs="Arial"/>
      <w:sz w:val="15"/>
      <w:szCs w:val="15"/>
    </w:rPr>
  </w:style>
  <w:style w:type="character" w:styleId="apple-converted-space" w:customStyle="1">
    <w:name w:val="apple-converted-space"/>
    <w:basedOn w:val="Fuentedeprrafopredeter"/>
    <w:rsid w:val="00436FD3"/>
  </w:style>
  <w:style w:type="paragraph" w:styleId="m-698976158124685028gmail-default" w:customStyle="1">
    <w:name w:val="m_-698976158124685028gmail-default"/>
    <w:basedOn w:val="Normal"/>
    <w:rsid w:val="00B41AE0"/>
    <w:pPr>
      <w:spacing w:before="100" w:beforeAutospacing="1" w:after="100" w:afterAutospacing="1"/>
    </w:pPr>
    <w:rPr>
      <w:sz w:val="24"/>
      <w:szCs w:val="24"/>
      <w:lang w:eastAsia="es-MX"/>
    </w:rPr>
  </w:style>
  <w:style w:type="paragraph" w:styleId="NormalWeb">
    <w:name w:val="Normal (Web)"/>
    <w:basedOn w:val="Normal"/>
    <w:uiPriority w:val="99"/>
    <w:rsid w:val="00B41AE0"/>
    <w:pPr>
      <w:spacing w:before="100" w:beforeAutospacing="1" w:after="100" w:afterAutospacing="1"/>
    </w:pPr>
    <w:rPr>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11325710">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44628142">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10894626">
      <w:bodyDiv w:val="1"/>
      <w:marLeft w:val="0"/>
      <w:marRight w:val="0"/>
      <w:marTop w:val="0"/>
      <w:marBottom w:val="0"/>
      <w:divBdr>
        <w:top w:val="none" w:sz="0" w:space="0" w:color="auto"/>
        <w:left w:val="none" w:sz="0" w:space="0" w:color="auto"/>
        <w:bottom w:val="none" w:sz="0" w:space="0" w:color="auto"/>
        <w:right w:val="none" w:sz="0" w:space="0" w:color="auto"/>
      </w:divBdr>
      <w:divsChild>
        <w:div w:id="1837382228">
          <w:marLeft w:val="0"/>
          <w:marRight w:val="0"/>
          <w:marTop w:val="0"/>
          <w:marBottom w:val="0"/>
          <w:divBdr>
            <w:top w:val="none" w:sz="0" w:space="0" w:color="auto"/>
            <w:left w:val="none" w:sz="0" w:space="0" w:color="auto"/>
            <w:bottom w:val="none" w:sz="0" w:space="0" w:color="auto"/>
            <w:right w:val="none" w:sz="0" w:space="0" w:color="auto"/>
          </w:divBdr>
        </w:div>
      </w:divsChild>
    </w:div>
    <w:div w:id="911352456">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001809242">
      <w:bodyDiv w:val="1"/>
      <w:marLeft w:val="0"/>
      <w:marRight w:val="0"/>
      <w:marTop w:val="0"/>
      <w:marBottom w:val="0"/>
      <w:divBdr>
        <w:top w:val="none" w:sz="0" w:space="0" w:color="auto"/>
        <w:left w:val="none" w:sz="0" w:space="0" w:color="auto"/>
        <w:bottom w:val="none" w:sz="0" w:space="0" w:color="auto"/>
        <w:right w:val="none" w:sz="0" w:space="0" w:color="auto"/>
      </w:divBdr>
      <w:divsChild>
        <w:div w:id="1856069717">
          <w:marLeft w:val="0"/>
          <w:marRight w:val="0"/>
          <w:marTop w:val="0"/>
          <w:marBottom w:val="0"/>
          <w:divBdr>
            <w:top w:val="none" w:sz="0" w:space="0" w:color="auto"/>
            <w:left w:val="none" w:sz="0" w:space="0" w:color="auto"/>
            <w:bottom w:val="none" w:sz="0" w:space="0" w:color="auto"/>
            <w:right w:val="none" w:sz="0" w:space="0" w:color="auto"/>
          </w:divBdr>
        </w:div>
      </w:divsChild>
    </w:div>
    <w:div w:id="1010451424">
      <w:bodyDiv w:val="1"/>
      <w:marLeft w:val="0"/>
      <w:marRight w:val="0"/>
      <w:marTop w:val="0"/>
      <w:marBottom w:val="0"/>
      <w:divBdr>
        <w:top w:val="none" w:sz="0" w:space="0" w:color="auto"/>
        <w:left w:val="none" w:sz="0" w:space="0" w:color="auto"/>
        <w:bottom w:val="none" w:sz="0" w:space="0" w:color="auto"/>
        <w:right w:val="none" w:sz="0" w:space="0" w:color="auto"/>
      </w:divBdr>
    </w:div>
    <w:div w:id="1092891492">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40084665">
      <w:bodyDiv w:val="1"/>
      <w:marLeft w:val="0"/>
      <w:marRight w:val="0"/>
      <w:marTop w:val="0"/>
      <w:marBottom w:val="0"/>
      <w:divBdr>
        <w:top w:val="none" w:sz="0" w:space="0" w:color="auto"/>
        <w:left w:val="none" w:sz="0" w:space="0" w:color="auto"/>
        <w:bottom w:val="none" w:sz="0" w:space="0" w:color="auto"/>
        <w:right w:val="none" w:sz="0" w:space="0" w:color="auto"/>
      </w:divBdr>
      <w:divsChild>
        <w:div w:id="1215123567">
          <w:marLeft w:val="0"/>
          <w:marRight w:val="0"/>
          <w:marTop w:val="0"/>
          <w:marBottom w:val="0"/>
          <w:divBdr>
            <w:top w:val="none" w:sz="0" w:space="0" w:color="auto"/>
            <w:left w:val="none" w:sz="0" w:space="0" w:color="auto"/>
            <w:bottom w:val="none" w:sz="0" w:space="0" w:color="auto"/>
            <w:right w:val="none" w:sz="0" w:space="0" w:color="auto"/>
          </w:divBdr>
          <w:divsChild>
            <w:div w:id="565645101">
              <w:marLeft w:val="0"/>
              <w:marRight w:val="0"/>
              <w:marTop w:val="0"/>
              <w:marBottom w:val="0"/>
              <w:divBdr>
                <w:top w:val="none" w:sz="0" w:space="0" w:color="auto"/>
                <w:left w:val="none" w:sz="0" w:space="0" w:color="auto"/>
                <w:bottom w:val="none" w:sz="0" w:space="0" w:color="auto"/>
                <w:right w:val="none" w:sz="0" w:space="0" w:color="auto"/>
              </w:divBdr>
              <w:divsChild>
                <w:div w:id="1914468421">
                  <w:marLeft w:val="0"/>
                  <w:marRight w:val="0"/>
                  <w:marTop w:val="120"/>
                  <w:marBottom w:val="0"/>
                  <w:divBdr>
                    <w:top w:val="none" w:sz="0" w:space="0" w:color="auto"/>
                    <w:left w:val="none" w:sz="0" w:space="0" w:color="auto"/>
                    <w:bottom w:val="none" w:sz="0" w:space="0" w:color="auto"/>
                    <w:right w:val="none" w:sz="0" w:space="0" w:color="auto"/>
                  </w:divBdr>
                  <w:divsChild>
                    <w:div w:id="1297024240">
                      <w:marLeft w:val="0"/>
                      <w:marRight w:val="0"/>
                      <w:marTop w:val="0"/>
                      <w:marBottom w:val="0"/>
                      <w:divBdr>
                        <w:top w:val="none" w:sz="0" w:space="0" w:color="auto"/>
                        <w:left w:val="none" w:sz="0" w:space="0" w:color="auto"/>
                        <w:bottom w:val="none" w:sz="0" w:space="0" w:color="auto"/>
                        <w:right w:val="none" w:sz="0" w:space="0" w:color="auto"/>
                      </w:divBdr>
                      <w:divsChild>
                        <w:div w:id="7864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57945379">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04775751">
      <w:bodyDiv w:val="1"/>
      <w:marLeft w:val="0"/>
      <w:marRight w:val="0"/>
      <w:marTop w:val="0"/>
      <w:marBottom w:val="0"/>
      <w:divBdr>
        <w:top w:val="none" w:sz="0" w:space="0" w:color="auto"/>
        <w:left w:val="none" w:sz="0" w:space="0" w:color="auto"/>
        <w:bottom w:val="none" w:sz="0" w:space="0" w:color="auto"/>
        <w:right w:val="none" w:sz="0" w:space="0" w:color="auto"/>
      </w:divBdr>
      <w:divsChild>
        <w:div w:id="637535839">
          <w:marLeft w:val="0"/>
          <w:marRight w:val="0"/>
          <w:marTop w:val="0"/>
          <w:marBottom w:val="0"/>
          <w:divBdr>
            <w:top w:val="none" w:sz="0" w:space="0" w:color="auto"/>
            <w:left w:val="none" w:sz="0" w:space="0" w:color="auto"/>
            <w:bottom w:val="none" w:sz="0" w:space="0" w:color="auto"/>
            <w:right w:val="none" w:sz="0" w:space="0" w:color="auto"/>
          </w:divBdr>
          <w:divsChild>
            <w:div w:id="101535554">
              <w:marLeft w:val="0"/>
              <w:marRight w:val="0"/>
              <w:marTop w:val="0"/>
              <w:marBottom w:val="0"/>
              <w:divBdr>
                <w:top w:val="none" w:sz="0" w:space="0" w:color="auto"/>
                <w:left w:val="none" w:sz="0" w:space="0" w:color="auto"/>
                <w:bottom w:val="none" w:sz="0" w:space="0" w:color="auto"/>
                <w:right w:val="none" w:sz="0" w:space="0" w:color="auto"/>
              </w:divBdr>
              <w:divsChild>
                <w:div w:id="1954701472">
                  <w:marLeft w:val="0"/>
                  <w:marRight w:val="0"/>
                  <w:marTop w:val="120"/>
                  <w:marBottom w:val="0"/>
                  <w:divBdr>
                    <w:top w:val="none" w:sz="0" w:space="0" w:color="auto"/>
                    <w:left w:val="none" w:sz="0" w:space="0" w:color="auto"/>
                    <w:bottom w:val="none" w:sz="0" w:space="0" w:color="auto"/>
                    <w:right w:val="none" w:sz="0" w:space="0" w:color="auto"/>
                  </w:divBdr>
                  <w:divsChild>
                    <w:div w:id="1679893403">
                      <w:marLeft w:val="0"/>
                      <w:marRight w:val="0"/>
                      <w:marTop w:val="0"/>
                      <w:marBottom w:val="0"/>
                      <w:divBdr>
                        <w:top w:val="none" w:sz="0" w:space="0" w:color="auto"/>
                        <w:left w:val="none" w:sz="0" w:space="0" w:color="auto"/>
                        <w:bottom w:val="none" w:sz="0" w:space="0" w:color="auto"/>
                        <w:right w:val="none" w:sz="0" w:space="0" w:color="auto"/>
                      </w:divBdr>
                      <w:divsChild>
                        <w:div w:id="125397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hyperlink" Target="https://consultas.curp.gob.mx/CurpSP/html/informacionecurpPS.html" TargetMode="External" Id="rId13" /><Relationship Type="http://schemas.openxmlformats.org/officeDocument/2006/relationships/header" Target="header2.xml" Id="rId18" /><Relationship Type="http://schemas.openxmlformats.org/officeDocument/2006/relationships/styles" Target="styles.xml" Id="rId3" /><Relationship Type="http://schemas.openxmlformats.org/officeDocument/2006/relationships/theme" Target="theme/theme1.xml" Id="rId21" /><Relationship Type="http://schemas.openxmlformats.org/officeDocument/2006/relationships/endnotes" Target="endnotes.xml" Id="rId7" /><Relationship Type="http://schemas.openxmlformats.org/officeDocument/2006/relationships/hyperlink" Target="https://www.sat.gob.mx/aplicacion/28889/obten-tu-cedula-de-identificacion-fiscal" TargetMode="External" Id="rId12" /><Relationship Type="http://schemas.openxmlformats.org/officeDocument/2006/relationships/footer" Target="footer1.xml" Id="rId17" /><Relationship Type="http://schemas.openxmlformats.org/officeDocument/2006/relationships/numbering" Target="numbering.xml" Id="rId2" /><Relationship Type="http://schemas.openxmlformats.org/officeDocument/2006/relationships/header" Target="header1.xml"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hyperlink" Target="https://www.ipomex.org.mx/recursos/ipo/files_ipo/2014/8/11/630bc7787b59af912a96a9e1bca1c770.pdf" TargetMode="External" Id="rId15" /><Relationship Type="http://schemas.openxmlformats.org/officeDocument/2006/relationships/image" Target="media/image3.png" Id="rId10" /><Relationship Type="http://schemas.openxmlformats.org/officeDocument/2006/relationships/footer" Target="footer2.xm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hyperlink" Target="https://www.gob.mx/segob/renapo/acciones-y-programas/clave-unica-de-registro-de-poblacion-curp-142226" TargetMode="External" Id="rId14" /><Relationship Type="http://schemas.openxmlformats.org/officeDocument/2006/relationships/glossaryDocument" Target="glossary/document.xml" Id="R4c4b6181b4df4aa9" /></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82e8d64b-4165-4337-94cb-84834291e0f9}"/>
      </w:docPartPr>
      <w:docPartBody>
        <w:p w14:paraId="118737F2">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CBA1E0-5098-49DF-8A8D-7E5193492AE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Hewlett-Packard Company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Usuario</dc:creator>
  <lastModifiedBy>Usuario invitado</lastModifiedBy>
  <revision>7</revision>
  <lastPrinted>2019-12-03T23:36:00.0000000Z</lastPrinted>
  <dcterms:created xsi:type="dcterms:W3CDTF">2023-05-30T18:10:00.0000000Z</dcterms:created>
  <dcterms:modified xsi:type="dcterms:W3CDTF">2023-06-12T17:41:06.9534211Z</dcterms:modified>
</coreProperties>
</file>