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AD7ACB" w:rsidRDefault="009F09BC" w:rsidP="009F09BC">
      <w:pPr>
        <w:tabs>
          <w:tab w:val="left" w:pos="3465"/>
        </w:tabs>
        <w:spacing w:before="240" w:after="360" w:line="360" w:lineRule="auto"/>
        <w:jc w:val="both"/>
        <w:rPr>
          <w:rFonts w:ascii="Palatino Linotype" w:hAnsi="Palatino Linotype"/>
        </w:rPr>
      </w:pPr>
      <w:r w:rsidRPr="00AD7AC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77D00" w:rsidRPr="00AD7ACB">
        <w:rPr>
          <w:rFonts w:ascii="Palatino Linotype" w:hAnsi="Palatino Linotype"/>
        </w:rPr>
        <w:t>veinticinco</w:t>
      </w:r>
      <w:r w:rsidR="006A04B6" w:rsidRPr="00AD7ACB">
        <w:rPr>
          <w:rFonts w:ascii="Palatino Linotype" w:hAnsi="Palatino Linotype"/>
        </w:rPr>
        <w:t xml:space="preserve"> (</w:t>
      </w:r>
      <w:r w:rsidR="00377D00" w:rsidRPr="00AD7ACB">
        <w:rPr>
          <w:rFonts w:ascii="Palatino Linotype" w:hAnsi="Palatino Linotype"/>
        </w:rPr>
        <w:t>25</w:t>
      </w:r>
      <w:r w:rsidRPr="00AD7ACB">
        <w:rPr>
          <w:rFonts w:ascii="Palatino Linotype" w:hAnsi="Palatino Linotype"/>
        </w:rPr>
        <w:t xml:space="preserve">) de </w:t>
      </w:r>
      <w:r w:rsidR="00377D00" w:rsidRPr="00AD7ACB">
        <w:rPr>
          <w:rFonts w:ascii="Palatino Linotype" w:hAnsi="Palatino Linotype"/>
        </w:rPr>
        <w:t>enero</w:t>
      </w:r>
      <w:r w:rsidR="00E61C13" w:rsidRPr="00AD7ACB">
        <w:rPr>
          <w:rFonts w:ascii="Palatino Linotype" w:hAnsi="Palatino Linotype"/>
        </w:rPr>
        <w:t xml:space="preserve"> de dos mil veinti</w:t>
      </w:r>
      <w:r w:rsidR="00377D00" w:rsidRPr="00AD7ACB">
        <w:rPr>
          <w:rFonts w:ascii="Palatino Linotype" w:hAnsi="Palatino Linotype"/>
        </w:rPr>
        <w:t>trés</w:t>
      </w:r>
      <w:r w:rsidRPr="00AD7ACB">
        <w:rPr>
          <w:rFonts w:ascii="Palatino Linotype" w:hAnsi="Palatino Linotype"/>
        </w:rPr>
        <w:t>.</w:t>
      </w:r>
    </w:p>
    <w:p w:rsidR="009F09BC" w:rsidRPr="00AD7ACB" w:rsidRDefault="009F09BC" w:rsidP="009F09BC">
      <w:pPr>
        <w:spacing w:before="240" w:after="360" w:line="360" w:lineRule="auto"/>
        <w:jc w:val="both"/>
        <w:rPr>
          <w:rFonts w:ascii="Palatino Linotype" w:hAnsi="Palatino Linotype"/>
          <w:b/>
        </w:rPr>
      </w:pPr>
      <w:r w:rsidRPr="00AD7ACB">
        <w:rPr>
          <w:rFonts w:ascii="Palatino Linotype" w:hAnsi="Palatino Linotype"/>
          <w:b/>
        </w:rPr>
        <w:t>VISTO</w:t>
      </w:r>
      <w:r w:rsidRPr="00AD7ACB">
        <w:rPr>
          <w:rFonts w:ascii="Palatino Linotype" w:hAnsi="Palatino Linotype"/>
        </w:rPr>
        <w:t xml:space="preserve"> </w:t>
      </w:r>
      <w:r w:rsidR="008A699B" w:rsidRPr="00AD7ACB">
        <w:rPr>
          <w:rFonts w:ascii="Palatino Linotype" w:hAnsi="Palatino Linotype"/>
        </w:rPr>
        <w:t>e</w:t>
      </w:r>
      <w:r w:rsidRPr="00AD7ACB">
        <w:rPr>
          <w:rFonts w:ascii="Palatino Linotype" w:hAnsi="Palatino Linotype"/>
        </w:rPr>
        <w:t xml:space="preserve">l expediente electrónico formado con motivo del recurso de revisión </w:t>
      </w:r>
      <w:r w:rsidR="00377D00" w:rsidRPr="00AD7ACB">
        <w:rPr>
          <w:rFonts w:ascii="Palatino Linotype" w:hAnsi="Palatino Linotype"/>
          <w:b/>
        </w:rPr>
        <w:t>12938/INFOEM/IP/RR/2022</w:t>
      </w:r>
      <w:r w:rsidRPr="00AD7ACB">
        <w:rPr>
          <w:rFonts w:ascii="Palatino Linotype" w:hAnsi="Palatino Linotype"/>
        </w:rPr>
        <w:t>,</w:t>
      </w:r>
      <w:r w:rsidRPr="00AD7ACB">
        <w:rPr>
          <w:rFonts w:ascii="Palatino Linotype" w:hAnsi="Palatino Linotype" w:cs="Arial"/>
          <w:b/>
          <w:bCs/>
        </w:rPr>
        <w:t xml:space="preserve"> </w:t>
      </w:r>
      <w:r w:rsidRPr="00AD7ACB">
        <w:rPr>
          <w:rFonts w:ascii="Palatino Linotype" w:hAnsi="Palatino Linotype"/>
        </w:rPr>
        <w:t xml:space="preserve">promovido por </w:t>
      </w:r>
      <w:r w:rsidR="00AD7ACB" w:rsidRPr="00AD7ACB">
        <w:rPr>
          <w:rFonts w:ascii="Palatino Linotype" w:hAnsi="Palatino Linotype"/>
          <w:b/>
        </w:rPr>
        <w:t xml:space="preserve">XXXX XXXXX </w:t>
      </w:r>
      <w:proofErr w:type="spellStart"/>
      <w:r w:rsidR="00AD7ACB" w:rsidRPr="00AD7ACB">
        <w:rPr>
          <w:rFonts w:ascii="Palatino Linotype" w:hAnsi="Palatino Linotype"/>
          <w:b/>
        </w:rPr>
        <w:t>XXXXX</w:t>
      </w:r>
      <w:proofErr w:type="spellEnd"/>
      <w:r w:rsidRPr="00AD7ACB">
        <w:rPr>
          <w:rFonts w:ascii="Palatino Linotype" w:hAnsi="Palatino Linotype"/>
        </w:rPr>
        <w:t xml:space="preserve">, a quien en lo sucesivo se le identificará como </w:t>
      </w:r>
      <w:r w:rsidRPr="00AD7ACB">
        <w:rPr>
          <w:rFonts w:ascii="Palatino Linotype" w:hAnsi="Palatino Linotype"/>
          <w:b/>
        </w:rPr>
        <w:t>EL RECURRENTE</w:t>
      </w:r>
      <w:r w:rsidRPr="00AD7ACB">
        <w:rPr>
          <w:rFonts w:ascii="Palatino Linotype" w:hAnsi="Palatino Linotype" w:cs="Arial"/>
        </w:rPr>
        <w:t xml:space="preserve">, en contra de la respuesta </w:t>
      </w:r>
      <w:r w:rsidR="00652937" w:rsidRPr="00AD7ACB">
        <w:rPr>
          <w:rFonts w:ascii="Palatino Linotype" w:hAnsi="Palatino Linotype" w:cs="Arial"/>
        </w:rPr>
        <w:t xml:space="preserve">del </w:t>
      </w:r>
      <w:r w:rsidR="00377D00" w:rsidRPr="00AD7ACB">
        <w:rPr>
          <w:rFonts w:ascii="Palatino Linotype" w:hAnsi="Palatino Linotype" w:cs="Arial"/>
          <w:b/>
        </w:rPr>
        <w:t>Ayuntamiento de Cuautitlán</w:t>
      </w:r>
      <w:r w:rsidRPr="00AD7ACB">
        <w:rPr>
          <w:rFonts w:ascii="Palatino Linotype" w:hAnsi="Palatino Linotype" w:cs="Arial"/>
          <w:b/>
        </w:rPr>
        <w:t>,</w:t>
      </w:r>
      <w:r w:rsidRPr="00AD7ACB">
        <w:rPr>
          <w:rFonts w:ascii="Palatino Linotype" w:hAnsi="Palatino Linotype"/>
          <w:b/>
        </w:rPr>
        <w:t xml:space="preserve"> </w:t>
      </w:r>
      <w:r w:rsidRPr="00AD7ACB">
        <w:rPr>
          <w:rFonts w:ascii="Palatino Linotype" w:hAnsi="Palatino Linotype"/>
        </w:rPr>
        <w:t>en lo sucesivo el</w:t>
      </w:r>
      <w:r w:rsidRPr="00AD7ACB">
        <w:rPr>
          <w:rFonts w:ascii="Palatino Linotype" w:hAnsi="Palatino Linotype"/>
          <w:b/>
        </w:rPr>
        <w:t xml:space="preserve"> SUJETO OBLIGADO</w:t>
      </w:r>
      <w:r w:rsidRPr="00AD7ACB">
        <w:rPr>
          <w:rFonts w:ascii="Palatino Linotype" w:hAnsi="Palatino Linotype"/>
        </w:rPr>
        <w:t>, se procede a dictar la presente resolución, con base en los siguientes:</w:t>
      </w:r>
    </w:p>
    <w:p w:rsidR="009F09BC" w:rsidRPr="00AD7ACB"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AD7ACB">
        <w:rPr>
          <w:rFonts w:ascii="Palatino Linotype" w:hAnsi="Palatino Linotype"/>
          <w:b/>
          <w:color w:val="000000" w:themeColor="text1"/>
          <w:sz w:val="24"/>
          <w:szCs w:val="24"/>
        </w:rPr>
        <w:t>ANTECEDENTES</w:t>
      </w:r>
      <w:bookmarkEnd w:id="0"/>
      <w:bookmarkEnd w:id="1"/>
      <w:bookmarkEnd w:id="2"/>
    </w:p>
    <w:p w:rsidR="009F09BC" w:rsidRPr="00AD7ACB"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AD7ACB">
        <w:rPr>
          <w:rFonts w:ascii="Palatino Linotype" w:eastAsia="Calibri" w:hAnsi="Palatino Linotype" w:cs="Arial"/>
          <w:lang w:val="es-ES"/>
        </w:rPr>
        <w:t xml:space="preserve">El día </w:t>
      </w:r>
      <w:r w:rsidR="00377D00" w:rsidRPr="00AD7ACB">
        <w:rPr>
          <w:rFonts w:ascii="Palatino Linotype" w:eastAsia="Calibri" w:hAnsi="Palatino Linotype" w:cs="Arial"/>
          <w:lang w:val="es-ES"/>
        </w:rPr>
        <w:t>ocho</w:t>
      </w:r>
      <w:r w:rsidRPr="00AD7ACB">
        <w:rPr>
          <w:rFonts w:ascii="Palatino Linotype" w:eastAsia="Calibri" w:hAnsi="Palatino Linotype" w:cs="Arial"/>
          <w:lang w:val="es-ES"/>
        </w:rPr>
        <w:t xml:space="preserve"> (</w:t>
      </w:r>
      <w:r w:rsidR="00D87A9D" w:rsidRPr="00AD7ACB">
        <w:rPr>
          <w:rFonts w:ascii="Palatino Linotype" w:eastAsia="Calibri" w:hAnsi="Palatino Linotype" w:cs="Arial"/>
          <w:lang w:val="es-ES"/>
        </w:rPr>
        <w:t>0</w:t>
      </w:r>
      <w:r w:rsidR="00377D00" w:rsidRPr="00AD7ACB">
        <w:rPr>
          <w:rFonts w:ascii="Palatino Linotype" w:eastAsia="Calibri" w:hAnsi="Palatino Linotype" w:cs="Arial"/>
          <w:lang w:val="es-ES"/>
        </w:rPr>
        <w:t>8</w:t>
      </w:r>
      <w:r w:rsidRPr="00AD7ACB">
        <w:rPr>
          <w:rFonts w:ascii="Palatino Linotype" w:eastAsia="Calibri" w:hAnsi="Palatino Linotype" w:cs="Arial"/>
          <w:lang w:val="es-ES"/>
        </w:rPr>
        <w:t xml:space="preserve">) de </w:t>
      </w:r>
      <w:r w:rsidR="00377D00" w:rsidRPr="00AD7ACB">
        <w:rPr>
          <w:rFonts w:ascii="Palatino Linotype" w:eastAsia="Calibri" w:hAnsi="Palatino Linotype" w:cs="Arial"/>
          <w:lang w:val="es-ES"/>
        </w:rPr>
        <w:t>julio</w:t>
      </w:r>
      <w:r w:rsidR="00E61C13" w:rsidRPr="00AD7ACB">
        <w:rPr>
          <w:rFonts w:ascii="Palatino Linotype" w:eastAsia="Calibri" w:hAnsi="Palatino Linotype" w:cs="Arial"/>
          <w:lang w:val="es-ES"/>
        </w:rPr>
        <w:t xml:space="preserve"> de dos mil veintidós</w:t>
      </w:r>
      <w:r w:rsidRPr="00AD7ACB">
        <w:rPr>
          <w:rFonts w:ascii="Palatino Linotype" w:hAnsi="Palatino Linotype"/>
          <w:b/>
        </w:rPr>
        <w:t xml:space="preserve">, </w:t>
      </w:r>
      <w:r w:rsidRPr="00AD7ACB">
        <w:rPr>
          <w:rFonts w:ascii="Palatino Linotype" w:eastAsia="Calibri" w:hAnsi="Palatino Linotype" w:cs="Arial"/>
          <w:lang w:val="es-ES"/>
        </w:rPr>
        <w:t xml:space="preserve">se presentó ante el </w:t>
      </w:r>
      <w:r w:rsidRPr="00AD7ACB">
        <w:rPr>
          <w:rFonts w:ascii="Palatino Linotype" w:eastAsia="Calibri" w:hAnsi="Palatino Linotype" w:cs="Arial"/>
          <w:b/>
          <w:lang w:val="es-ES"/>
        </w:rPr>
        <w:t>SUJETO OBLIGADO</w:t>
      </w:r>
      <w:r w:rsidRPr="00AD7ACB">
        <w:rPr>
          <w:rFonts w:ascii="Palatino Linotype" w:eastAsia="Calibri" w:hAnsi="Palatino Linotype" w:cs="Arial"/>
        </w:rPr>
        <w:t xml:space="preserve"> vía </w:t>
      </w:r>
      <w:r w:rsidR="008A699B" w:rsidRPr="00AD7ACB">
        <w:rPr>
          <w:rFonts w:ascii="Palatino Linotype" w:eastAsia="Calibri" w:hAnsi="Palatino Linotype" w:cs="Arial"/>
          <w:lang w:val="es-ES"/>
        </w:rPr>
        <w:t>SAIMEX, la solicitud</w:t>
      </w:r>
      <w:r w:rsidRPr="00AD7ACB">
        <w:rPr>
          <w:rFonts w:ascii="Palatino Linotype" w:eastAsia="Calibri" w:hAnsi="Palatino Linotype" w:cs="Arial"/>
          <w:lang w:val="es-ES"/>
        </w:rPr>
        <w:t xml:space="preserve"> de información pública</w:t>
      </w:r>
      <w:r w:rsidR="008A699B" w:rsidRPr="00AD7ACB">
        <w:rPr>
          <w:rFonts w:ascii="Palatino Linotype" w:eastAsia="Calibri" w:hAnsi="Palatino Linotype" w:cs="Arial"/>
          <w:lang w:val="es-ES"/>
        </w:rPr>
        <w:t xml:space="preserve"> registrada</w:t>
      </w:r>
      <w:r w:rsidRPr="00AD7ACB">
        <w:rPr>
          <w:rFonts w:ascii="Palatino Linotype" w:eastAsia="Calibri" w:hAnsi="Palatino Linotype" w:cs="Arial"/>
          <w:lang w:val="es-ES"/>
        </w:rPr>
        <w:t xml:space="preserve"> con </w:t>
      </w:r>
      <w:r w:rsidR="008A699B" w:rsidRPr="00AD7ACB">
        <w:rPr>
          <w:rFonts w:ascii="Palatino Linotype" w:eastAsia="Calibri" w:hAnsi="Palatino Linotype" w:cs="Arial"/>
          <w:lang w:val="es-ES"/>
        </w:rPr>
        <w:t xml:space="preserve">el </w:t>
      </w:r>
      <w:r w:rsidRPr="00AD7ACB">
        <w:rPr>
          <w:rFonts w:ascii="Palatino Linotype" w:eastAsia="Calibri" w:hAnsi="Palatino Linotype" w:cs="Arial"/>
          <w:lang w:val="es-ES"/>
        </w:rPr>
        <w:t>número</w:t>
      </w:r>
      <w:r w:rsidRPr="00AD7ACB">
        <w:rPr>
          <w:rFonts w:ascii="Palatino Linotype" w:hAnsi="Palatino Linotype"/>
          <w:b/>
          <w:bCs/>
          <w:color w:val="000000" w:themeColor="text1"/>
        </w:rPr>
        <w:t xml:space="preserve"> </w:t>
      </w:r>
      <w:r w:rsidR="00377D00" w:rsidRPr="00AD7ACB">
        <w:rPr>
          <w:rFonts w:ascii="Palatino Linotype" w:hAnsi="Palatino Linotype"/>
          <w:b/>
          <w:bCs/>
          <w:color w:val="000000" w:themeColor="text1"/>
        </w:rPr>
        <w:t>00284/CUAUTIT/IP/2022</w:t>
      </w:r>
      <w:r w:rsidRPr="00AD7ACB">
        <w:rPr>
          <w:rFonts w:ascii="Palatino Linotype" w:hAnsi="Palatino Linotype"/>
          <w:b/>
          <w:bCs/>
          <w:color w:val="000000" w:themeColor="text1"/>
        </w:rPr>
        <w:t xml:space="preserve">; </w:t>
      </w:r>
      <w:r w:rsidRPr="00AD7ACB">
        <w:rPr>
          <w:rFonts w:ascii="Palatino Linotype" w:eastAsia="Calibri" w:hAnsi="Palatino Linotype" w:cs="Arial"/>
          <w:lang w:val="es-ES"/>
        </w:rPr>
        <w:t>mediante la cual se solicitó la siguiente información:</w:t>
      </w:r>
    </w:p>
    <w:p w:rsidR="008A699B" w:rsidRPr="00AD7ACB"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AD7ACB" w:rsidRDefault="008A699B" w:rsidP="001D02D1">
      <w:pPr>
        <w:pStyle w:val="Prrafodelista"/>
        <w:ind w:left="425" w:right="476"/>
        <w:jc w:val="both"/>
        <w:rPr>
          <w:rFonts w:ascii="Palatino Linotype" w:hAnsi="Palatino Linotype"/>
          <w:i/>
        </w:rPr>
      </w:pPr>
      <w:r w:rsidRPr="00AD7ACB">
        <w:rPr>
          <w:rFonts w:ascii="Palatino Linotype" w:hAnsi="Palatino Linotype"/>
          <w:i/>
        </w:rPr>
        <w:t>“</w:t>
      </w:r>
      <w:r w:rsidR="00377D00" w:rsidRPr="00AD7ACB">
        <w:rPr>
          <w:rFonts w:ascii="Palatino Linotype" w:hAnsi="Palatino Linotype"/>
          <w:i/>
        </w:rPr>
        <w:t xml:space="preserve">Teniendo como precedente el Recurso de revisión: 03497/INFOEM/IP/RR/2020, solicito me sea entregada por medio del sistema </w:t>
      </w:r>
      <w:proofErr w:type="spellStart"/>
      <w:r w:rsidR="00377D00" w:rsidRPr="00AD7ACB">
        <w:rPr>
          <w:rFonts w:ascii="Palatino Linotype" w:hAnsi="Palatino Linotype"/>
          <w:i/>
        </w:rPr>
        <w:t>Saimex</w:t>
      </w:r>
      <w:proofErr w:type="spellEnd"/>
      <w:r w:rsidR="00377D00" w:rsidRPr="00AD7ACB">
        <w:rPr>
          <w:rFonts w:ascii="Palatino Linotype" w:hAnsi="Palatino Linotype"/>
          <w:i/>
        </w:rPr>
        <w:t xml:space="preserve"> la versión pública de los siguientes documentos: a) El documento donde consten los nombres de los servidores públicos adscritos a la Comisaria de Seguridad Pública y Movilidad al 08 de julio de 2022. b) El documento que acredite la aprobación final de la evaluación de control de confianza de los servidores públicos adscritos a la Comisaria de Seguridad Pública y Movilidad al 08 de julio de 2022. c) Los certificados de no antecedentes penales de los servidores públicos adscritos a la Comisaria de Seguridad Pública y Movilidad al 08 de julio de 2022.</w:t>
      </w:r>
      <w:r w:rsidRPr="00AD7ACB">
        <w:rPr>
          <w:rFonts w:ascii="Palatino Linotype" w:hAnsi="Palatino Linotype"/>
          <w:i/>
        </w:rPr>
        <w:t>”</w:t>
      </w:r>
    </w:p>
    <w:p w:rsidR="008A699B" w:rsidRPr="00AD7ACB" w:rsidRDefault="008A699B" w:rsidP="009F09BC">
      <w:pPr>
        <w:pStyle w:val="Prrafodelista"/>
        <w:spacing w:line="360" w:lineRule="auto"/>
        <w:ind w:left="851" w:right="34"/>
        <w:jc w:val="both"/>
        <w:rPr>
          <w:rFonts w:ascii="Palatino Linotype" w:hAnsi="Palatino Linotype"/>
        </w:rPr>
      </w:pPr>
    </w:p>
    <w:p w:rsidR="009F09BC" w:rsidRPr="00AD7ACB" w:rsidRDefault="009F09BC" w:rsidP="009F09BC">
      <w:pPr>
        <w:pStyle w:val="Prrafodelista"/>
        <w:numPr>
          <w:ilvl w:val="0"/>
          <w:numId w:val="23"/>
        </w:numPr>
        <w:spacing w:line="360" w:lineRule="auto"/>
        <w:ind w:left="851" w:right="34"/>
        <w:jc w:val="both"/>
        <w:rPr>
          <w:rFonts w:ascii="Palatino Linotype" w:hAnsi="Palatino Linotype"/>
        </w:rPr>
      </w:pPr>
      <w:r w:rsidRPr="00AD7ACB">
        <w:rPr>
          <w:rFonts w:ascii="Palatino Linotype" w:eastAsia="Times New Roman" w:hAnsi="Palatino Linotype" w:cs="Arial"/>
          <w:lang w:val="es-ES"/>
        </w:rPr>
        <w:lastRenderedPageBreak/>
        <w:t>Se eligió como modalidad de entrega de la información</w:t>
      </w:r>
      <w:r w:rsidRPr="00AD7ACB">
        <w:rPr>
          <w:rFonts w:ascii="Palatino Linotype" w:hAnsi="Palatino Linotype"/>
        </w:rPr>
        <w:t xml:space="preserve">: A través del </w:t>
      </w:r>
      <w:r w:rsidRPr="00AD7ACB">
        <w:rPr>
          <w:rFonts w:ascii="Palatino Linotype" w:hAnsi="Palatino Linotype"/>
          <w:b/>
        </w:rPr>
        <w:t>SAIMEX</w:t>
      </w:r>
      <w:r w:rsidR="00377D00" w:rsidRPr="00AD7ACB">
        <w:rPr>
          <w:rFonts w:ascii="Palatino Linotype" w:hAnsi="Palatino Linotype"/>
          <w:b/>
        </w:rPr>
        <w:t>.</w:t>
      </w:r>
    </w:p>
    <w:p w:rsidR="00377D00" w:rsidRPr="00AD7ACB" w:rsidRDefault="00377D00" w:rsidP="00377D00">
      <w:pPr>
        <w:pStyle w:val="Prrafodelista"/>
        <w:spacing w:line="360" w:lineRule="auto"/>
        <w:ind w:left="851" w:right="34"/>
        <w:jc w:val="both"/>
        <w:rPr>
          <w:rFonts w:ascii="Palatino Linotype" w:hAnsi="Palatino Linotype"/>
        </w:rPr>
      </w:pPr>
    </w:p>
    <w:p w:rsidR="00377D00" w:rsidRPr="00AD7ACB" w:rsidRDefault="00377D00" w:rsidP="00377D00">
      <w:pPr>
        <w:pStyle w:val="Prrafodelista"/>
        <w:numPr>
          <w:ilvl w:val="0"/>
          <w:numId w:val="23"/>
        </w:numPr>
        <w:spacing w:line="360" w:lineRule="auto"/>
        <w:ind w:left="851" w:right="34"/>
        <w:jc w:val="both"/>
        <w:rPr>
          <w:rFonts w:ascii="Palatino Linotype" w:hAnsi="Palatino Linotype"/>
        </w:rPr>
      </w:pPr>
      <w:r w:rsidRPr="00AD7ACB">
        <w:rPr>
          <w:rFonts w:ascii="Palatino Linotype" w:hAnsi="Palatino Linotype"/>
        </w:rPr>
        <w:t xml:space="preserve">Se adjuntó, el documento denominado </w:t>
      </w:r>
      <w:r w:rsidRPr="00AD7ACB">
        <w:rPr>
          <w:rFonts w:ascii="Palatino Linotype" w:hAnsi="Palatino Linotype"/>
          <w:b/>
        </w:rPr>
        <w:t xml:space="preserve">9def512ab0b8f0248634d67808f4ec7a.docx, </w:t>
      </w:r>
      <w:r w:rsidRPr="00AD7ACB">
        <w:rPr>
          <w:rFonts w:ascii="Palatino Linotype" w:hAnsi="Palatino Linotype"/>
        </w:rPr>
        <w:t xml:space="preserve">que corresponde a un extracto de los resolutivos que en su momento se aprobaron para el Recurso de Revisión </w:t>
      </w:r>
      <w:r w:rsidRPr="00AD7ACB">
        <w:rPr>
          <w:rFonts w:ascii="Palatino Linotype" w:hAnsi="Palatino Linotype"/>
          <w:b/>
        </w:rPr>
        <w:t>03497/INFOEM/IP/RR/2020.</w:t>
      </w:r>
    </w:p>
    <w:p w:rsidR="00BE0A62" w:rsidRPr="00AD7ACB" w:rsidRDefault="00BE0A62" w:rsidP="00BE2A9D">
      <w:pPr>
        <w:spacing w:line="360" w:lineRule="auto"/>
        <w:ind w:right="34"/>
        <w:jc w:val="both"/>
        <w:rPr>
          <w:rFonts w:ascii="Palatino Linotype" w:hAnsi="Palatino Linotype"/>
        </w:rPr>
      </w:pPr>
    </w:p>
    <w:p w:rsidR="009F09BC" w:rsidRPr="00AD7ACB" w:rsidRDefault="00BE2A9D" w:rsidP="0059223D">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AD7ACB">
        <w:rPr>
          <w:rFonts w:ascii="Palatino Linotype" w:hAnsi="Palatino Linotype" w:cs="Arial"/>
          <w:color w:val="000000" w:themeColor="text1"/>
        </w:rPr>
        <w:t xml:space="preserve">El </w:t>
      </w:r>
      <w:r w:rsidR="00377D00" w:rsidRPr="00AD7ACB">
        <w:rPr>
          <w:rFonts w:ascii="Palatino Linotype" w:hAnsi="Palatino Linotype" w:cs="Arial"/>
          <w:color w:val="000000" w:themeColor="text1"/>
        </w:rPr>
        <w:t>trece</w:t>
      </w:r>
      <w:r w:rsidR="009F09BC" w:rsidRPr="00AD7ACB">
        <w:rPr>
          <w:rFonts w:ascii="Palatino Linotype" w:hAnsi="Palatino Linotype" w:cs="Arial"/>
          <w:color w:val="000000" w:themeColor="text1"/>
        </w:rPr>
        <w:t xml:space="preserve"> de </w:t>
      </w:r>
      <w:r w:rsidR="00377D00" w:rsidRPr="00AD7ACB">
        <w:rPr>
          <w:rFonts w:ascii="Palatino Linotype" w:hAnsi="Palatino Linotype" w:cs="Arial"/>
          <w:color w:val="000000" w:themeColor="text1"/>
        </w:rPr>
        <w:t>julio</w:t>
      </w:r>
      <w:r w:rsidR="002C4997" w:rsidRPr="00AD7ACB">
        <w:rPr>
          <w:rFonts w:ascii="Palatino Linotype" w:hAnsi="Palatino Linotype" w:cs="Arial"/>
          <w:color w:val="000000" w:themeColor="text1"/>
        </w:rPr>
        <w:t xml:space="preserve"> de dos mil veintidós</w:t>
      </w:r>
      <w:r w:rsidR="009F09BC" w:rsidRPr="00AD7ACB">
        <w:rPr>
          <w:rFonts w:ascii="Palatino Linotype" w:hAnsi="Palatino Linotype" w:cs="Arial"/>
          <w:color w:val="000000" w:themeColor="text1"/>
        </w:rPr>
        <w:t xml:space="preserve">, el </w:t>
      </w:r>
      <w:r w:rsidR="009F09BC" w:rsidRPr="00AD7ACB">
        <w:rPr>
          <w:rFonts w:ascii="Palatino Linotype" w:hAnsi="Palatino Linotype" w:cs="Arial"/>
          <w:b/>
          <w:color w:val="000000" w:themeColor="text1"/>
        </w:rPr>
        <w:t>SUJETO OBLIGADO,</w:t>
      </w:r>
      <w:r w:rsidR="009F09BC" w:rsidRPr="00AD7ACB">
        <w:rPr>
          <w:rFonts w:ascii="Palatino Linotype" w:hAnsi="Palatino Linotype" w:cs="Arial"/>
          <w:color w:val="000000" w:themeColor="text1"/>
        </w:rPr>
        <w:t xml:space="preserve"> dio respuesta </w:t>
      </w:r>
      <w:r w:rsidR="00D87A9D" w:rsidRPr="00AD7ACB">
        <w:rPr>
          <w:rFonts w:ascii="Palatino Linotype" w:hAnsi="Palatino Linotype" w:cs="Arial"/>
          <w:color w:val="000000" w:themeColor="text1"/>
        </w:rPr>
        <w:t xml:space="preserve">a través de </w:t>
      </w:r>
      <w:r w:rsidR="00377D00" w:rsidRPr="00AD7ACB">
        <w:rPr>
          <w:rFonts w:ascii="Palatino Linotype" w:hAnsi="Palatino Linotype" w:cs="Arial"/>
          <w:color w:val="000000" w:themeColor="text1"/>
        </w:rPr>
        <w:t>la opción del SAIMEX denominada</w:t>
      </w:r>
      <w:r w:rsidR="0059223D" w:rsidRPr="00AD7ACB">
        <w:rPr>
          <w:rFonts w:ascii="Palatino Linotype" w:hAnsi="Palatino Linotype" w:cs="Arial"/>
          <w:color w:val="000000" w:themeColor="text1"/>
        </w:rPr>
        <w:t xml:space="preserve"> </w:t>
      </w:r>
      <w:r w:rsidR="0059223D" w:rsidRPr="00AD7ACB">
        <w:rPr>
          <w:rFonts w:ascii="Palatino Linotype" w:hAnsi="Palatino Linotype" w:cs="Arial"/>
          <w:i/>
          <w:color w:val="000000" w:themeColor="text1"/>
        </w:rPr>
        <w:t>Información que Puede estar en Poder de Otro Sujeto Obligado</w:t>
      </w:r>
      <w:r w:rsidR="0059223D" w:rsidRPr="00AD7ACB">
        <w:rPr>
          <w:rFonts w:ascii="Palatino Linotype" w:hAnsi="Palatino Linotype" w:cs="Arial"/>
          <w:color w:val="000000" w:themeColor="text1"/>
        </w:rPr>
        <w:t>, al tiempo que adjunta la resolución a que hizo referencia el particular en su solicitud de información, así como el escrito siguiente:</w:t>
      </w:r>
    </w:p>
    <w:p w:rsidR="0059223D" w:rsidRPr="00AD7ACB" w:rsidRDefault="0059223D" w:rsidP="0059223D">
      <w:pPr>
        <w:pStyle w:val="Prrafodelista"/>
        <w:tabs>
          <w:tab w:val="left" w:pos="0"/>
        </w:tabs>
        <w:spacing w:line="360" w:lineRule="auto"/>
        <w:ind w:left="0" w:right="51"/>
        <w:jc w:val="both"/>
        <w:rPr>
          <w:rFonts w:ascii="Palatino Linotype" w:hAnsi="Palatino Linotype" w:cs="Arial"/>
          <w:i/>
          <w:color w:val="000000" w:themeColor="text1"/>
        </w:rPr>
      </w:pPr>
    </w:p>
    <w:p w:rsidR="00BE2A9D" w:rsidRPr="00AD7ACB" w:rsidRDefault="0059223D" w:rsidP="0059223D">
      <w:pPr>
        <w:pStyle w:val="Prrafodelista"/>
        <w:tabs>
          <w:tab w:val="left" w:pos="0"/>
        </w:tabs>
        <w:spacing w:line="360" w:lineRule="auto"/>
        <w:ind w:left="0" w:right="51"/>
        <w:jc w:val="center"/>
        <w:rPr>
          <w:rFonts w:ascii="Palatino Linotype" w:hAnsi="Palatino Linotype" w:cs="Arial"/>
          <w:color w:val="000000" w:themeColor="text1"/>
        </w:rPr>
      </w:pPr>
      <w:r w:rsidRPr="00AD7ACB">
        <w:rPr>
          <w:rFonts w:ascii="Palatino Linotype" w:hAnsi="Palatino Linotype" w:cs="Arial"/>
          <w:noProof/>
          <w:color w:val="000000" w:themeColor="text1"/>
          <w:lang w:val="es-MX" w:eastAsia="es-MX"/>
        </w:rPr>
        <w:drawing>
          <wp:inline distT="0" distB="0" distL="0" distR="0">
            <wp:extent cx="5467350" cy="1360653"/>
            <wp:effectExtent l="19050" t="19050" r="19050"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143" cy="1362344"/>
                    </a:xfrm>
                    <a:prstGeom prst="rect">
                      <a:avLst/>
                    </a:prstGeom>
                    <a:noFill/>
                    <a:ln>
                      <a:solidFill>
                        <a:schemeClr val="tx1"/>
                      </a:solidFill>
                    </a:ln>
                  </pic:spPr>
                </pic:pic>
              </a:graphicData>
            </a:graphic>
          </wp:inline>
        </w:drawing>
      </w:r>
    </w:p>
    <w:p w:rsidR="0059223D" w:rsidRPr="00AD7ACB" w:rsidRDefault="0059223D" w:rsidP="0059223D">
      <w:pPr>
        <w:pStyle w:val="Prrafodelista"/>
        <w:tabs>
          <w:tab w:val="left" w:pos="0"/>
        </w:tabs>
        <w:spacing w:line="360" w:lineRule="auto"/>
        <w:ind w:left="0" w:right="49"/>
        <w:jc w:val="both"/>
        <w:rPr>
          <w:rFonts w:ascii="Palatino Linotype" w:hAnsi="Palatino Linotype" w:cs="Arial"/>
          <w:i/>
          <w:color w:val="000000" w:themeColor="text1"/>
        </w:rPr>
      </w:pPr>
    </w:p>
    <w:p w:rsidR="009F09BC" w:rsidRPr="00AD7ACB"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AD7ACB">
        <w:rPr>
          <w:rFonts w:ascii="Palatino Linotype" w:eastAsia="Times New Roman" w:hAnsi="Palatino Linotype" w:cs="Arial"/>
          <w:color w:val="000000" w:themeColor="text1"/>
          <w:lang w:val="es-ES"/>
        </w:rPr>
        <w:t>E</w:t>
      </w:r>
      <w:r w:rsidR="002C4997" w:rsidRPr="00AD7ACB">
        <w:rPr>
          <w:rFonts w:ascii="Palatino Linotype" w:eastAsia="Times New Roman" w:hAnsi="Palatino Linotype" w:cs="Arial"/>
          <w:color w:val="000000" w:themeColor="text1"/>
          <w:lang w:val="es-ES"/>
        </w:rPr>
        <w:t xml:space="preserve">l </w:t>
      </w:r>
      <w:r w:rsidR="0059223D" w:rsidRPr="00AD7ACB">
        <w:rPr>
          <w:rFonts w:ascii="Palatino Linotype" w:eastAsia="Times New Roman" w:hAnsi="Palatino Linotype" w:cs="Arial"/>
          <w:color w:val="000000" w:themeColor="text1"/>
          <w:lang w:val="es-ES"/>
        </w:rPr>
        <w:t>veinte</w:t>
      </w:r>
      <w:r w:rsidR="002C4997" w:rsidRPr="00AD7ACB">
        <w:rPr>
          <w:rFonts w:ascii="Palatino Linotype" w:eastAsia="Times New Roman" w:hAnsi="Palatino Linotype" w:cs="Arial"/>
          <w:color w:val="000000" w:themeColor="text1"/>
          <w:lang w:val="es-ES"/>
        </w:rPr>
        <w:t xml:space="preserve"> </w:t>
      </w:r>
      <w:r w:rsidR="006A6CD1" w:rsidRPr="00AD7ACB">
        <w:rPr>
          <w:rFonts w:ascii="Palatino Linotype" w:eastAsia="Times New Roman" w:hAnsi="Palatino Linotype" w:cs="Arial"/>
          <w:color w:val="000000" w:themeColor="text1"/>
          <w:lang w:val="es-ES"/>
        </w:rPr>
        <w:t xml:space="preserve">de </w:t>
      </w:r>
      <w:r w:rsidR="0059223D" w:rsidRPr="00AD7ACB">
        <w:rPr>
          <w:rFonts w:ascii="Palatino Linotype" w:eastAsia="Times New Roman" w:hAnsi="Palatino Linotype" w:cs="Arial"/>
          <w:color w:val="000000" w:themeColor="text1"/>
          <w:lang w:val="es-ES"/>
        </w:rPr>
        <w:t>julio</w:t>
      </w:r>
      <w:r w:rsidRPr="00AD7ACB">
        <w:rPr>
          <w:rFonts w:ascii="Palatino Linotype" w:eastAsia="Times New Roman" w:hAnsi="Palatino Linotype" w:cs="Arial"/>
          <w:color w:val="000000" w:themeColor="text1"/>
          <w:lang w:val="es-ES"/>
        </w:rPr>
        <w:t xml:space="preserve"> de </w:t>
      </w:r>
      <w:r w:rsidR="00025C53" w:rsidRPr="00AD7ACB">
        <w:rPr>
          <w:rFonts w:ascii="Palatino Linotype" w:eastAsia="Times New Roman" w:hAnsi="Palatino Linotype" w:cs="Arial"/>
          <w:color w:val="000000" w:themeColor="text1"/>
          <w:lang w:val="es-ES"/>
        </w:rPr>
        <w:t>dos mil veintidós</w:t>
      </w:r>
      <w:r w:rsidRPr="00AD7ACB">
        <w:rPr>
          <w:rFonts w:ascii="Palatino Linotype" w:eastAsia="Times New Roman" w:hAnsi="Palatino Linotype" w:cs="Arial"/>
          <w:color w:val="000000" w:themeColor="text1"/>
          <w:lang w:val="es-ES"/>
        </w:rPr>
        <w:t xml:space="preserve">, el particular interpuso </w:t>
      </w:r>
      <w:r w:rsidR="002C4997" w:rsidRPr="00AD7ACB">
        <w:rPr>
          <w:rFonts w:ascii="Palatino Linotype" w:eastAsia="Times New Roman" w:hAnsi="Palatino Linotype" w:cs="Arial"/>
          <w:color w:val="000000" w:themeColor="text1"/>
          <w:lang w:val="es-ES"/>
        </w:rPr>
        <w:t>e</w:t>
      </w:r>
      <w:r w:rsidRPr="00AD7ACB">
        <w:rPr>
          <w:rFonts w:ascii="Palatino Linotype" w:eastAsia="Times New Roman" w:hAnsi="Palatino Linotype" w:cs="Arial"/>
          <w:color w:val="000000" w:themeColor="text1"/>
          <w:lang w:val="es-ES"/>
        </w:rPr>
        <w:t>l recurso de revisión en contra de la respuesta, manifestando l</w:t>
      </w:r>
      <w:r w:rsidR="002C4997" w:rsidRPr="00AD7ACB">
        <w:rPr>
          <w:rFonts w:ascii="Palatino Linotype" w:eastAsia="Times New Roman" w:hAnsi="Palatino Linotype" w:cs="Arial"/>
          <w:color w:val="000000" w:themeColor="text1"/>
          <w:lang w:val="es-ES"/>
        </w:rPr>
        <w:t>a</w:t>
      </w:r>
      <w:r w:rsidRPr="00AD7ACB">
        <w:rPr>
          <w:rFonts w:ascii="Palatino Linotype" w:eastAsia="Times New Roman" w:hAnsi="Palatino Linotype" w:cs="Arial"/>
          <w:color w:val="000000" w:themeColor="text1"/>
          <w:lang w:val="es-ES"/>
        </w:rPr>
        <w:t xml:space="preserve">s </w:t>
      </w:r>
      <w:r w:rsidR="002C4997" w:rsidRPr="00AD7ACB">
        <w:rPr>
          <w:rFonts w:ascii="Palatino Linotype" w:eastAsia="Times New Roman" w:hAnsi="Palatino Linotype" w:cs="Arial"/>
          <w:color w:val="000000" w:themeColor="text1"/>
          <w:lang w:val="es-ES"/>
        </w:rPr>
        <w:t>siguientes</w:t>
      </w:r>
      <w:r w:rsidRPr="00AD7ACB">
        <w:rPr>
          <w:rFonts w:ascii="Palatino Linotype" w:eastAsia="Times New Roman" w:hAnsi="Palatino Linotype" w:cs="Arial"/>
          <w:color w:val="000000" w:themeColor="text1"/>
          <w:lang w:val="es-ES"/>
        </w:rPr>
        <w:t xml:space="preserve"> razones o motivos de inconformidad:</w:t>
      </w:r>
    </w:p>
    <w:p w:rsidR="009F09BC" w:rsidRPr="00AD7ACB"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AD7ACB" w:rsidRDefault="009F09BC" w:rsidP="0059223D">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AD7ACB">
        <w:rPr>
          <w:rStyle w:val="Ttulo2Car"/>
          <w:rFonts w:ascii="Palatino Linotype" w:hAnsi="Palatino Linotype"/>
          <w:b/>
          <w:color w:val="auto"/>
          <w:sz w:val="24"/>
          <w:szCs w:val="24"/>
        </w:rPr>
        <w:t>Acto impugnado</w:t>
      </w:r>
      <w:bookmarkEnd w:id="3"/>
      <w:r w:rsidRPr="00AD7ACB">
        <w:rPr>
          <w:rStyle w:val="Ttulo2Car"/>
          <w:rFonts w:ascii="Palatino Linotype" w:hAnsi="Palatino Linotype"/>
          <w:b/>
          <w:color w:val="000000" w:themeColor="text1"/>
          <w:sz w:val="24"/>
          <w:szCs w:val="24"/>
        </w:rPr>
        <w:t xml:space="preserve">: </w:t>
      </w:r>
      <w:r w:rsidRPr="00AD7ACB">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59223D" w:rsidRPr="00AD7ACB">
        <w:rPr>
          <w:rStyle w:val="Ttulo2Car"/>
          <w:rFonts w:ascii="Palatino Linotype" w:hAnsi="Palatino Linotype"/>
          <w:i/>
          <w:color w:val="000000" w:themeColor="text1"/>
          <w:sz w:val="24"/>
          <w:szCs w:val="24"/>
        </w:rPr>
        <w:t>No se entrega la información solicitada.</w:t>
      </w:r>
      <w:r w:rsidR="00652937" w:rsidRPr="00AD7ACB">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AD7ACB" w:rsidRDefault="009F09BC" w:rsidP="0059223D">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AD7ACB">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AD7ACB">
        <w:rPr>
          <w:rFonts w:ascii="Palatino Linotype" w:hAnsi="Palatino Linotype"/>
          <w:b/>
          <w:color w:val="000000" w:themeColor="text1"/>
        </w:rPr>
        <w:t xml:space="preserve"> </w:t>
      </w:r>
      <w:r w:rsidRPr="00AD7ACB">
        <w:rPr>
          <w:rFonts w:ascii="Palatino Linotype" w:hAnsi="Palatino Linotype"/>
          <w:i/>
          <w:color w:val="000000" w:themeColor="text1"/>
        </w:rPr>
        <w:t>“</w:t>
      </w:r>
      <w:r w:rsidR="0059223D" w:rsidRPr="00AD7ACB">
        <w:rPr>
          <w:rFonts w:ascii="Palatino Linotype" w:hAnsi="Palatino Linotype"/>
          <w:i/>
          <w:color w:val="000000" w:themeColor="text1"/>
        </w:rPr>
        <w:t>EL SUJETO OBLIGADO ARGUENTA QUE NO ES DE SU COMPETENCIA INDICANDO QUE DEBE SOLICITARSE AL AYUNTAMIENTO DE COYOTEPEC, SIN TOMAR EN CUENTA QUE EL ARCHIVO QUE SE INCLUYÓ EN LA SOLICITUD SOLO ERA DE CARACTER ORIENTATIVO PARA EL SUJETO OBLIGADO, ES DECIR, PARA QUE TUVIERA NOCIÓN DE QUE ESA INFORMACIÓN PODIA POR LEY SOLICITARSE A CUALQUIER SUJETO OBLIGADO, EN ESTE CASO AYUNTAMIENTO.</w:t>
      </w:r>
      <w:r w:rsidRPr="00AD7ACB">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AD7ACB" w:rsidRDefault="0082142B" w:rsidP="0082142B">
      <w:pPr>
        <w:pStyle w:val="Prrafodelista"/>
        <w:rPr>
          <w:rFonts w:ascii="Palatino Linotype" w:hAnsi="Palatino Linotype"/>
          <w:i/>
          <w:color w:val="000000" w:themeColor="text1"/>
        </w:rPr>
      </w:pPr>
    </w:p>
    <w:p w:rsidR="009F09BC" w:rsidRPr="00AD7ACB"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AD7ACB">
        <w:rPr>
          <w:rFonts w:ascii="Palatino Linotype" w:eastAsia="Calibri" w:hAnsi="Palatino Linotype" w:cs="Arial"/>
          <w:lang w:val="es-ES"/>
        </w:rPr>
        <w:t>La Comisionada</w:t>
      </w:r>
      <w:r w:rsidR="009F09BC" w:rsidRPr="00AD7ACB">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8C78AB" w:rsidRPr="00AD7ACB">
        <w:rPr>
          <w:rFonts w:ascii="Palatino Linotype" w:eastAsia="Calibri" w:hAnsi="Palatino Linotype" w:cs="Arial"/>
          <w:lang w:val="es-ES"/>
        </w:rPr>
        <w:t>cuatro</w:t>
      </w:r>
      <w:r w:rsidR="006A6CD1" w:rsidRPr="00AD7ACB">
        <w:rPr>
          <w:rFonts w:ascii="Palatino Linotype" w:eastAsia="Calibri" w:hAnsi="Palatino Linotype" w:cs="Arial"/>
          <w:lang w:val="es-ES"/>
        </w:rPr>
        <w:t xml:space="preserve"> </w:t>
      </w:r>
      <w:r w:rsidR="009F09BC" w:rsidRPr="00AD7ACB">
        <w:rPr>
          <w:rFonts w:ascii="Palatino Linotype" w:eastAsia="Calibri" w:hAnsi="Palatino Linotype" w:cs="Arial"/>
          <w:lang w:val="es-ES"/>
        </w:rPr>
        <w:t xml:space="preserve">de </w:t>
      </w:r>
      <w:r w:rsidR="008C78AB" w:rsidRPr="00AD7ACB">
        <w:rPr>
          <w:rFonts w:ascii="Palatino Linotype" w:eastAsia="Calibri" w:hAnsi="Palatino Linotype" w:cs="Arial"/>
          <w:lang w:val="es-ES"/>
        </w:rPr>
        <w:t>agosto</w:t>
      </w:r>
      <w:r w:rsidR="009F09BC" w:rsidRPr="00AD7ACB">
        <w:rPr>
          <w:rFonts w:ascii="Palatino Linotype" w:eastAsia="Calibri" w:hAnsi="Palatino Linotype" w:cs="Arial"/>
          <w:lang w:val="es-ES"/>
        </w:rPr>
        <w:t xml:space="preserve"> del año en curso, puso a disposición de las partes el expediente electrónico </w:t>
      </w:r>
      <w:r w:rsidR="009F09BC" w:rsidRPr="00AD7ACB">
        <w:rPr>
          <w:rFonts w:ascii="Palatino Linotype" w:eastAsia="Calibri" w:hAnsi="Palatino Linotype" w:cs="Arial"/>
        </w:rPr>
        <w:t xml:space="preserve">vía </w:t>
      </w:r>
      <w:r w:rsidR="009F09BC" w:rsidRPr="00AD7ACB">
        <w:rPr>
          <w:rFonts w:ascii="Palatino Linotype" w:eastAsia="Calibri" w:hAnsi="Palatino Linotype" w:cs="Arial"/>
          <w:b/>
          <w:lang w:val="es-ES"/>
        </w:rPr>
        <w:t xml:space="preserve">SAIMEX </w:t>
      </w:r>
      <w:r w:rsidR="009F09BC" w:rsidRPr="00AD7AC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AD7ACB">
        <w:rPr>
          <w:rFonts w:ascii="Palatino Linotype" w:eastAsia="Calibri" w:hAnsi="Palatino Linotype" w:cs="Arial"/>
          <w:b/>
          <w:lang w:val="es-ES"/>
        </w:rPr>
        <w:t>SUJETO OBLIGADO</w:t>
      </w:r>
      <w:r w:rsidR="009F09BC" w:rsidRPr="00AD7ACB">
        <w:rPr>
          <w:rFonts w:ascii="Palatino Linotype" w:eastAsia="Calibri" w:hAnsi="Palatino Linotype" w:cs="Arial"/>
          <w:lang w:val="es-ES"/>
        </w:rPr>
        <w:t xml:space="preserve"> presentará el Informe Justificado procedente.</w:t>
      </w:r>
    </w:p>
    <w:p w:rsidR="009F09BC" w:rsidRPr="00AD7ACB" w:rsidRDefault="009F09BC" w:rsidP="009F09BC">
      <w:pPr>
        <w:pStyle w:val="Prrafodelista"/>
        <w:spacing w:before="240" w:after="240" w:line="360" w:lineRule="auto"/>
        <w:ind w:left="0"/>
        <w:jc w:val="both"/>
        <w:rPr>
          <w:rFonts w:ascii="Palatino Linotype" w:hAnsi="Palatino Linotype"/>
        </w:rPr>
      </w:pPr>
    </w:p>
    <w:p w:rsidR="009F09BC" w:rsidRPr="00AD7ACB"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AD7ACB">
        <w:rPr>
          <w:rFonts w:ascii="Palatino Linotype" w:hAnsi="Palatino Linotype"/>
          <w:color w:val="000000"/>
        </w:rPr>
        <w:t xml:space="preserve">El </w:t>
      </w:r>
      <w:r w:rsidRPr="00AD7ACB">
        <w:rPr>
          <w:rFonts w:ascii="Palatino Linotype" w:hAnsi="Palatino Linotype"/>
          <w:b/>
          <w:color w:val="000000"/>
        </w:rPr>
        <w:t xml:space="preserve">SUJETO </w:t>
      </w:r>
      <w:r w:rsidRPr="00AD7ACB">
        <w:rPr>
          <w:rFonts w:ascii="Palatino Linotype" w:eastAsia="Calibri" w:hAnsi="Palatino Linotype" w:cs="Arial"/>
          <w:b/>
          <w:lang w:val="es-ES"/>
        </w:rPr>
        <w:t>OBLIGADO</w:t>
      </w:r>
      <w:r w:rsidR="007A6A1A" w:rsidRPr="00AD7ACB">
        <w:rPr>
          <w:rFonts w:ascii="Palatino Linotype" w:hAnsi="Palatino Linotype"/>
          <w:color w:val="000000"/>
        </w:rPr>
        <w:t xml:space="preserve"> </w:t>
      </w:r>
      <w:r w:rsidR="006A6CD1" w:rsidRPr="00AD7ACB">
        <w:rPr>
          <w:rFonts w:ascii="Palatino Linotype" w:hAnsi="Palatino Linotype"/>
          <w:color w:val="000000"/>
        </w:rPr>
        <w:t>fue omiso en rendir el informe justificado correspondiente</w:t>
      </w:r>
      <w:r w:rsidR="00BE2A9D" w:rsidRPr="00AD7ACB">
        <w:rPr>
          <w:rFonts w:ascii="Palatino Linotype" w:hAnsi="Palatino Linotype"/>
          <w:color w:val="000000"/>
        </w:rPr>
        <w:t xml:space="preserve">. </w:t>
      </w:r>
      <w:r w:rsidRPr="00AD7ACB">
        <w:rPr>
          <w:rFonts w:ascii="Palatino Linotype" w:hAnsi="Palatino Linotype"/>
          <w:color w:val="000000"/>
        </w:rPr>
        <w:t xml:space="preserve">Por su parte </w:t>
      </w:r>
      <w:r w:rsidRPr="00AD7ACB">
        <w:rPr>
          <w:rFonts w:ascii="Palatino Linotype" w:hAnsi="Palatino Linotype"/>
          <w:b/>
          <w:color w:val="000000"/>
        </w:rPr>
        <w:t xml:space="preserve">EL PARTICULAR </w:t>
      </w:r>
      <w:r w:rsidR="00A305ED" w:rsidRPr="00AD7ACB">
        <w:rPr>
          <w:rFonts w:ascii="Palatino Linotype" w:hAnsi="Palatino Linotype"/>
          <w:color w:val="000000"/>
        </w:rPr>
        <w:t>dejó de realizar manifestaciones que a su derecho conviniera y asistiera</w:t>
      </w:r>
      <w:r w:rsidRPr="00AD7ACB">
        <w:rPr>
          <w:rFonts w:ascii="Palatino Linotype" w:hAnsi="Palatino Linotype"/>
          <w:color w:val="000000"/>
        </w:rPr>
        <w:t>.</w:t>
      </w:r>
    </w:p>
    <w:p w:rsidR="001D02D1" w:rsidRPr="00AD7ACB" w:rsidRDefault="001D02D1" w:rsidP="001D02D1">
      <w:pPr>
        <w:pStyle w:val="Prrafodelista"/>
        <w:rPr>
          <w:rFonts w:ascii="Palatino Linotype" w:hAnsi="Palatino Linotype"/>
        </w:rPr>
      </w:pPr>
    </w:p>
    <w:p w:rsidR="00A305ED" w:rsidRPr="00AD7ACB" w:rsidRDefault="00A305ED" w:rsidP="00521DE8">
      <w:pPr>
        <w:pStyle w:val="Prrafodelista"/>
        <w:numPr>
          <w:ilvl w:val="0"/>
          <w:numId w:val="15"/>
        </w:numPr>
        <w:spacing w:line="360" w:lineRule="auto"/>
        <w:ind w:left="0" w:firstLine="0"/>
        <w:jc w:val="both"/>
        <w:rPr>
          <w:rFonts w:ascii="Palatino Linotype" w:hAnsi="Palatino Linotype"/>
          <w:b/>
          <w:color w:val="000000" w:themeColor="text1"/>
        </w:rPr>
      </w:pPr>
      <w:r w:rsidRPr="00AD7ACB">
        <w:rPr>
          <w:rFonts w:ascii="Palatino Linotype" w:hAnsi="Palatino Linotype"/>
        </w:rPr>
        <w:t>M</w:t>
      </w:r>
      <w:r w:rsidR="006672E1" w:rsidRPr="00AD7ACB">
        <w:rPr>
          <w:rFonts w:ascii="Palatino Linotype" w:hAnsi="Palatino Linotype"/>
        </w:rPr>
        <w:t xml:space="preserve">ediante </w:t>
      </w:r>
      <w:r w:rsidR="006672E1" w:rsidRPr="00AD7ACB">
        <w:rPr>
          <w:rFonts w:ascii="Palatino Linotype" w:hAnsi="Palatino Linotype"/>
          <w:color w:val="000000"/>
        </w:rPr>
        <w:t>acuerdo</w:t>
      </w:r>
      <w:r w:rsidR="006672E1" w:rsidRPr="00AD7ACB">
        <w:rPr>
          <w:rFonts w:ascii="Palatino Linotype" w:hAnsi="Palatino Linotype"/>
        </w:rPr>
        <w:t xml:space="preserve"> de fecha</w:t>
      </w:r>
      <w:r w:rsidR="008C78AB" w:rsidRPr="00AD7ACB">
        <w:rPr>
          <w:rFonts w:ascii="Palatino Linotype" w:hAnsi="Palatino Linotype"/>
        </w:rPr>
        <w:t xml:space="preserve"> doce de diciembre</w:t>
      </w:r>
      <w:r w:rsidR="00D6651B" w:rsidRPr="00AD7ACB">
        <w:rPr>
          <w:rFonts w:ascii="Palatino Linotype" w:hAnsi="Palatino Linotype"/>
        </w:rPr>
        <w:t xml:space="preserve"> </w:t>
      </w:r>
      <w:r w:rsidR="00AE2CF6" w:rsidRPr="00AD7ACB">
        <w:rPr>
          <w:rFonts w:ascii="Palatino Linotype" w:hAnsi="Palatino Linotype"/>
        </w:rPr>
        <w:t>de dos mil veintidós se amplió el termino para resolver y posteriormente mediante acuerdo de fecha diecisiete de enero del año en curso</w:t>
      </w:r>
      <w:r w:rsidR="0001674C" w:rsidRPr="00AD7ACB">
        <w:rPr>
          <w:rFonts w:ascii="Palatino Linotype" w:hAnsi="Palatino Linotype"/>
        </w:rPr>
        <w:t xml:space="preserve"> </w:t>
      </w:r>
      <w:r w:rsidR="006672E1" w:rsidRPr="00AD7ACB">
        <w:rPr>
          <w:rFonts w:ascii="Palatino Linotype" w:hAnsi="Palatino Linotype"/>
        </w:rPr>
        <w:t>se</w:t>
      </w:r>
      <w:r w:rsidR="0001674C" w:rsidRPr="00AD7ACB">
        <w:rPr>
          <w:rFonts w:ascii="Palatino Linotype" w:hAnsi="Palatino Linotype"/>
        </w:rPr>
        <w:t xml:space="preserve"> d</w:t>
      </w:r>
      <w:r w:rsidR="006672E1" w:rsidRPr="00AD7ACB">
        <w:rPr>
          <w:rFonts w:ascii="Palatino Linotype" w:hAnsi="Palatino Linotype"/>
        </w:rPr>
        <w:t>ecretó el cierre de instrucción</w:t>
      </w:r>
      <w:r w:rsidR="0001674C" w:rsidRPr="00AD7ACB">
        <w:rPr>
          <w:rFonts w:ascii="Palatino Linotype" w:hAnsi="Palatino Linotype"/>
        </w:rPr>
        <w:t xml:space="preserve">, </w:t>
      </w:r>
      <w:r w:rsidR="009F09BC" w:rsidRPr="00AD7ACB">
        <w:rPr>
          <w:rFonts w:ascii="Palatino Linotype" w:hAnsi="Palatino Linotype" w:cs="Arial"/>
        </w:rPr>
        <w:t>por lo que no ha</w:t>
      </w:r>
      <w:bookmarkStart w:id="133" w:name="_Toc491791302"/>
      <w:bookmarkStart w:id="134" w:name="_Toc83128578"/>
      <w:r w:rsidR="006A6CD1" w:rsidRPr="00AD7ACB">
        <w:rPr>
          <w:rFonts w:ascii="Palatino Linotype" w:hAnsi="Palatino Linotype" w:cs="Arial"/>
        </w:rPr>
        <w:t>biendo más que hacer constar, y-</w:t>
      </w:r>
      <w:r w:rsidR="00AE2CF6" w:rsidRPr="00AD7ACB">
        <w:rPr>
          <w:rFonts w:ascii="Palatino Linotype" w:hAnsi="Palatino Linotype" w:cs="Arial"/>
        </w:rPr>
        <w:t>-----------------------------------------------------------------------------</w:t>
      </w:r>
    </w:p>
    <w:p w:rsidR="00D6651B" w:rsidRPr="00AD7ACB" w:rsidRDefault="00D6651B" w:rsidP="00521DE8">
      <w:pPr>
        <w:pStyle w:val="Prrafodelista"/>
        <w:spacing w:line="360" w:lineRule="auto"/>
        <w:ind w:left="0"/>
        <w:jc w:val="center"/>
        <w:rPr>
          <w:rFonts w:ascii="Palatino Linotype" w:hAnsi="Palatino Linotype"/>
          <w:b/>
          <w:color w:val="000000" w:themeColor="text1"/>
        </w:rPr>
      </w:pPr>
    </w:p>
    <w:p w:rsidR="009F09BC" w:rsidRPr="00AD7ACB" w:rsidRDefault="009F09BC" w:rsidP="00521DE8">
      <w:pPr>
        <w:pStyle w:val="Prrafodelista"/>
        <w:spacing w:line="360" w:lineRule="auto"/>
        <w:ind w:left="0"/>
        <w:jc w:val="center"/>
        <w:rPr>
          <w:rFonts w:ascii="Palatino Linotype" w:hAnsi="Palatino Linotype"/>
          <w:b/>
          <w:color w:val="000000" w:themeColor="text1"/>
        </w:rPr>
      </w:pPr>
      <w:r w:rsidRPr="00AD7ACB">
        <w:rPr>
          <w:rFonts w:ascii="Palatino Linotype" w:hAnsi="Palatino Linotype"/>
          <w:b/>
          <w:color w:val="000000" w:themeColor="text1"/>
        </w:rPr>
        <w:lastRenderedPageBreak/>
        <w:t>CONSIDERANDO</w:t>
      </w:r>
      <w:bookmarkEnd w:id="133"/>
      <w:bookmarkEnd w:id="134"/>
    </w:p>
    <w:p w:rsidR="009F09BC" w:rsidRPr="00AD7ACB" w:rsidRDefault="009F09BC" w:rsidP="00521DE8">
      <w:pPr>
        <w:pStyle w:val="Ttulo2"/>
        <w:spacing w:before="0" w:line="360" w:lineRule="auto"/>
        <w:rPr>
          <w:rFonts w:ascii="Palatino Linotype" w:hAnsi="Palatino Linotype"/>
          <w:b/>
          <w:color w:val="auto"/>
          <w:sz w:val="24"/>
          <w:szCs w:val="24"/>
        </w:rPr>
      </w:pPr>
      <w:bookmarkStart w:id="135" w:name="_Toc491791303"/>
      <w:bookmarkStart w:id="136" w:name="_Toc83128579"/>
      <w:r w:rsidRPr="00AD7ACB">
        <w:rPr>
          <w:rFonts w:ascii="Palatino Linotype" w:hAnsi="Palatino Linotype"/>
          <w:b/>
          <w:color w:val="auto"/>
          <w:sz w:val="24"/>
          <w:szCs w:val="24"/>
        </w:rPr>
        <w:t>PRIMERO. De la competencia</w:t>
      </w:r>
      <w:bookmarkEnd w:id="135"/>
      <w:bookmarkEnd w:id="136"/>
    </w:p>
    <w:p w:rsidR="009F09BC" w:rsidRPr="00AD7ACB" w:rsidRDefault="009F09BC" w:rsidP="00521DE8">
      <w:pPr>
        <w:spacing w:line="360" w:lineRule="auto"/>
        <w:rPr>
          <w:rFonts w:ascii="Palatino Linotype" w:hAnsi="Palatino Linotype"/>
          <w:lang w:val="es-MX" w:eastAsia="en-US"/>
        </w:rPr>
      </w:pPr>
    </w:p>
    <w:p w:rsidR="00353F1D" w:rsidRPr="00AD7ACB" w:rsidRDefault="00353F1D" w:rsidP="00521DE8">
      <w:pPr>
        <w:pStyle w:val="Prrafodelista"/>
        <w:numPr>
          <w:ilvl w:val="0"/>
          <w:numId w:val="15"/>
        </w:numPr>
        <w:spacing w:line="360" w:lineRule="auto"/>
        <w:ind w:left="0" w:firstLine="0"/>
        <w:jc w:val="both"/>
        <w:rPr>
          <w:rFonts w:ascii="Palatino Linotype" w:hAnsi="Palatino Linotype"/>
          <w:color w:val="000000" w:themeColor="text1"/>
        </w:rPr>
      </w:pPr>
      <w:r w:rsidRPr="00AD7ACB">
        <w:rPr>
          <w:rFonts w:ascii="Palatino Linotype" w:hAnsi="Palatino Linotype"/>
          <w:color w:val="000000" w:themeColor="text1"/>
        </w:rPr>
        <w:t xml:space="preserve">El </w:t>
      </w:r>
      <w:r w:rsidRPr="00AD7ACB">
        <w:rPr>
          <w:rFonts w:ascii="Palatino Linotype" w:hAnsi="Palatino Linotype"/>
        </w:rPr>
        <w:t>Instituto</w:t>
      </w:r>
      <w:r w:rsidRPr="00AD7AC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AD7ACB"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AD7ACB" w:rsidRDefault="009F09BC" w:rsidP="009F09BC">
      <w:pPr>
        <w:pStyle w:val="Ttulo2"/>
        <w:rPr>
          <w:rFonts w:ascii="Palatino Linotype" w:hAnsi="Palatino Linotype"/>
          <w:b/>
          <w:color w:val="auto"/>
          <w:sz w:val="24"/>
          <w:szCs w:val="24"/>
        </w:rPr>
      </w:pPr>
      <w:bookmarkStart w:id="137" w:name="_Toc491791304"/>
      <w:bookmarkStart w:id="138" w:name="_Toc83128580"/>
      <w:r w:rsidRPr="00AD7ACB">
        <w:rPr>
          <w:rFonts w:ascii="Palatino Linotype" w:hAnsi="Palatino Linotype"/>
          <w:b/>
          <w:color w:val="auto"/>
          <w:sz w:val="24"/>
          <w:szCs w:val="24"/>
        </w:rPr>
        <w:t>SEGUNDO. De la oportunidad y procedencia.</w:t>
      </w:r>
      <w:bookmarkEnd w:id="137"/>
      <w:bookmarkEnd w:id="138"/>
    </w:p>
    <w:p w:rsidR="009F09BC" w:rsidRPr="00AD7ACB" w:rsidRDefault="009F09BC" w:rsidP="009F09BC">
      <w:pPr>
        <w:rPr>
          <w:rFonts w:ascii="Palatino Linotype" w:hAnsi="Palatino Linotype"/>
          <w:lang w:val="es-MX" w:eastAsia="en-US"/>
        </w:rPr>
      </w:pPr>
    </w:p>
    <w:p w:rsidR="009F09BC" w:rsidRPr="00AD7ACB" w:rsidRDefault="00425842" w:rsidP="009F09BC">
      <w:pPr>
        <w:pStyle w:val="Prrafodelista"/>
        <w:numPr>
          <w:ilvl w:val="0"/>
          <w:numId w:val="15"/>
        </w:numPr>
        <w:spacing w:line="360" w:lineRule="auto"/>
        <w:ind w:left="0" w:firstLine="0"/>
        <w:jc w:val="both"/>
        <w:rPr>
          <w:rFonts w:ascii="Palatino Linotype" w:hAnsi="Palatino Linotype"/>
        </w:rPr>
      </w:pPr>
      <w:r w:rsidRPr="00AD7ACB">
        <w:rPr>
          <w:rFonts w:ascii="Palatino Linotype" w:eastAsia="Calibri" w:hAnsi="Palatino Linotype" w:cs="Arial"/>
        </w:rPr>
        <w:t>El</w:t>
      </w:r>
      <w:r w:rsidR="00AD63B4" w:rsidRPr="00AD7ACB">
        <w:rPr>
          <w:rFonts w:ascii="Palatino Linotype" w:eastAsia="Calibri" w:hAnsi="Palatino Linotype" w:cs="Arial"/>
        </w:rPr>
        <w:t xml:space="preserve"> </w:t>
      </w:r>
      <w:r w:rsidR="009F09BC" w:rsidRPr="00AD7ACB">
        <w:rPr>
          <w:rFonts w:ascii="Palatino Linotype" w:eastAsia="Calibri" w:hAnsi="Palatino Linotype" w:cs="Arial"/>
        </w:rPr>
        <w:t xml:space="preserve">medio de impugnación fue presentado a través del </w:t>
      </w:r>
      <w:r w:rsidR="009F09BC" w:rsidRPr="00AD7ACB">
        <w:rPr>
          <w:rFonts w:ascii="Palatino Linotype" w:eastAsia="Calibri" w:hAnsi="Palatino Linotype" w:cs="Arial"/>
          <w:b/>
        </w:rPr>
        <w:t>SAIMEX,</w:t>
      </w:r>
      <w:r w:rsidR="009F09BC" w:rsidRPr="00AD7AC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AD7ACB">
        <w:rPr>
          <w:rFonts w:ascii="Palatino Linotype" w:eastAsia="Calibri" w:hAnsi="Palatino Linotype" w:cs="Arial"/>
          <w:b/>
        </w:rPr>
        <w:t>SUJETO OBLIGADO</w:t>
      </w:r>
      <w:r w:rsidRPr="00AD7ACB">
        <w:rPr>
          <w:rFonts w:ascii="Palatino Linotype" w:eastAsia="Calibri" w:hAnsi="Palatino Linotype" w:cs="Arial"/>
        </w:rPr>
        <w:t xml:space="preserve"> entregó su</w:t>
      </w:r>
      <w:r w:rsidR="009F09BC" w:rsidRPr="00AD7ACB">
        <w:rPr>
          <w:rFonts w:ascii="Palatino Linotype" w:eastAsia="Calibri" w:hAnsi="Palatino Linotype" w:cs="Arial"/>
        </w:rPr>
        <w:t xml:space="preserve"> respuesta </w:t>
      </w:r>
      <w:r w:rsidRPr="00AD7ACB">
        <w:rPr>
          <w:rFonts w:ascii="Palatino Linotype" w:eastAsia="Calibri" w:hAnsi="Palatino Linotype" w:cs="Arial"/>
        </w:rPr>
        <w:t>e</w:t>
      </w:r>
      <w:r w:rsidR="009F09BC" w:rsidRPr="00AD7ACB">
        <w:rPr>
          <w:rFonts w:ascii="Palatino Linotype" w:eastAsia="Calibri" w:hAnsi="Palatino Linotype" w:cs="Arial"/>
        </w:rPr>
        <w:t xml:space="preserve">l </w:t>
      </w:r>
      <w:r w:rsidR="009C21E8" w:rsidRPr="00AD7ACB">
        <w:rPr>
          <w:rFonts w:ascii="Palatino Linotype" w:eastAsia="Calibri" w:hAnsi="Palatino Linotype" w:cs="Arial"/>
        </w:rPr>
        <w:t>trece</w:t>
      </w:r>
      <w:r w:rsidR="009F09BC" w:rsidRPr="00AD7ACB">
        <w:rPr>
          <w:rFonts w:ascii="Palatino Linotype" w:eastAsia="Calibri" w:hAnsi="Palatino Linotype" w:cs="Arial"/>
        </w:rPr>
        <w:t xml:space="preserve"> de </w:t>
      </w:r>
      <w:r w:rsidR="009C21E8" w:rsidRPr="00AD7ACB">
        <w:rPr>
          <w:rFonts w:ascii="Palatino Linotype" w:eastAsia="Calibri" w:hAnsi="Palatino Linotype" w:cs="Arial"/>
        </w:rPr>
        <w:t>julio</w:t>
      </w:r>
      <w:r w:rsidRPr="00AD7ACB">
        <w:rPr>
          <w:rFonts w:ascii="Palatino Linotype" w:eastAsia="Calibri" w:hAnsi="Palatino Linotype" w:cs="Arial"/>
        </w:rPr>
        <w:t xml:space="preserve"> de dos mil veintidós</w:t>
      </w:r>
      <w:r w:rsidR="009F09BC" w:rsidRPr="00AD7ACB">
        <w:rPr>
          <w:rFonts w:ascii="Palatino Linotype" w:eastAsia="Calibri" w:hAnsi="Palatino Linotype" w:cs="Arial"/>
        </w:rPr>
        <w:t xml:space="preserve">, </w:t>
      </w:r>
      <w:r w:rsidR="009F09BC" w:rsidRPr="00AD7ACB">
        <w:rPr>
          <w:rFonts w:ascii="Palatino Linotype" w:hAnsi="Palatino Linotype" w:cs="Arial"/>
        </w:rPr>
        <w:t xml:space="preserve">de tal forma que </w:t>
      </w:r>
      <w:r w:rsidRPr="00AD7ACB">
        <w:rPr>
          <w:rFonts w:ascii="Palatino Linotype" w:hAnsi="Palatino Linotype" w:cs="Arial"/>
        </w:rPr>
        <w:t>e</w:t>
      </w:r>
      <w:r w:rsidR="009F09BC" w:rsidRPr="00AD7ACB">
        <w:rPr>
          <w:rFonts w:ascii="Palatino Linotype" w:hAnsi="Palatino Linotype" w:cs="Arial"/>
        </w:rPr>
        <w:t xml:space="preserve">l plazo para interponer </w:t>
      </w:r>
      <w:r w:rsidRPr="00AD7ACB">
        <w:rPr>
          <w:rFonts w:ascii="Palatino Linotype" w:hAnsi="Palatino Linotype" w:cs="Arial"/>
        </w:rPr>
        <w:t>e</w:t>
      </w:r>
      <w:r w:rsidR="009F09BC" w:rsidRPr="00AD7ACB">
        <w:rPr>
          <w:rFonts w:ascii="Palatino Linotype" w:hAnsi="Palatino Linotype" w:cs="Arial"/>
        </w:rPr>
        <w:t xml:space="preserve">l recurso de revisión </w:t>
      </w:r>
      <w:r w:rsidRPr="00AD7ACB">
        <w:rPr>
          <w:rFonts w:ascii="Palatino Linotype" w:hAnsi="Palatino Linotype" w:cs="Arial"/>
        </w:rPr>
        <w:t>transcurrió</w:t>
      </w:r>
      <w:r w:rsidR="009F09BC" w:rsidRPr="00AD7ACB">
        <w:rPr>
          <w:rFonts w:ascii="Palatino Linotype" w:hAnsi="Palatino Linotype" w:cs="Arial"/>
        </w:rPr>
        <w:t xml:space="preserve"> del día </w:t>
      </w:r>
      <w:r w:rsidR="009C21E8" w:rsidRPr="00AD7ACB">
        <w:rPr>
          <w:rFonts w:ascii="Palatino Linotype" w:hAnsi="Palatino Linotype" w:cs="Arial"/>
        </w:rPr>
        <w:t xml:space="preserve">catorce de julio </w:t>
      </w:r>
      <w:r w:rsidR="007A460E" w:rsidRPr="00AD7ACB">
        <w:rPr>
          <w:rFonts w:ascii="Palatino Linotype" w:hAnsi="Palatino Linotype" w:cs="Arial"/>
        </w:rPr>
        <w:t xml:space="preserve">al </w:t>
      </w:r>
      <w:r w:rsidR="009C21E8" w:rsidRPr="00AD7ACB">
        <w:rPr>
          <w:rFonts w:ascii="Palatino Linotype" w:hAnsi="Palatino Linotype" w:cs="Arial"/>
        </w:rPr>
        <w:t>diecisiete</w:t>
      </w:r>
      <w:r w:rsidR="0001674C" w:rsidRPr="00AD7ACB">
        <w:rPr>
          <w:rFonts w:ascii="Palatino Linotype" w:hAnsi="Palatino Linotype" w:cs="Arial"/>
        </w:rPr>
        <w:t xml:space="preserve"> de </w:t>
      </w:r>
      <w:r w:rsidR="009C21E8" w:rsidRPr="00AD7ACB">
        <w:rPr>
          <w:rFonts w:ascii="Palatino Linotype" w:hAnsi="Palatino Linotype" w:cs="Arial"/>
        </w:rPr>
        <w:t>agosto</w:t>
      </w:r>
      <w:r w:rsidR="0001674C" w:rsidRPr="00AD7ACB">
        <w:rPr>
          <w:rFonts w:ascii="Palatino Linotype" w:hAnsi="Palatino Linotype" w:cs="Arial"/>
        </w:rPr>
        <w:t xml:space="preserve"> de dos mil </w:t>
      </w:r>
      <w:r w:rsidRPr="00AD7ACB">
        <w:rPr>
          <w:rFonts w:ascii="Palatino Linotype" w:hAnsi="Palatino Linotype" w:cs="Arial"/>
        </w:rPr>
        <w:t>veintidós</w:t>
      </w:r>
      <w:r w:rsidR="0001674C" w:rsidRPr="00AD7ACB">
        <w:rPr>
          <w:rFonts w:ascii="Palatino Linotype" w:hAnsi="Palatino Linotype" w:cs="Arial"/>
        </w:rPr>
        <w:t>; e</w:t>
      </w:r>
      <w:r w:rsidR="009F09BC" w:rsidRPr="00AD7ACB">
        <w:rPr>
          <w:rFonts w:ascii="Palatino Linotype" w:hAnsi="Palatino Linotype" w:cs="Arial"/>
        </w:rPr>
        <w:t xml:space="preserve">n consecuencia, el ahora </w:t>
      </w:r>
      <w:r w:rsidR="009F09BC" w:rsidRPr="00AD7ACB">
        <w:rPr>
          <w:rFonts w:ascii="Palatino Linotype" w:hAnsi="Palatino Linotype" w:cs="Arial"/>
          <w:b/>
        </w:rPr>
        <w:t>RECURRENTE</w:t>
      </w:r>
      <w:r w:rsidR="009F09BC" w:rsidRPr="00AD7ACB">
        <w:rPr>
          <w:rFonts w:ascii="Palatino Linotype" w:hAnsi="Palatino Linotype" w:cs="Arial"/>
        </w:rPr>
        <w:t xml:space="preserve"> presentó </w:t>
      </w:r>
      <w:r w:rsidR="00CA1063" w:rsidRPr="00AD7ACB">
        <w:rPr>
          <w:rFonts w:ascii="Palatino Linotype" w:hAnsi="Palatino Linotype" w:cs="Arial"/>
        </w:rPr>
        <w:lastRenderedPageBreak/>
        <w:t xml:space="preserve">su inconformidad el día </w:t>
      </w:r>
      <w:r w:rsidR="009C21E8" w:rsidRPr="00AD7ACB">
        <w:rPr>
          <w:rFonts w:ascii="Palatino Linotype" w:hAnsi="Palatino Linotype" w:cs="Arial"/>
        </w:rPr>
        <w:t>veinte</w:t>
      </w:r>
      <w:r w:rsidR="0082142B" w:rsidRPr="00AD7ACB">
        <w:rPr>
          <w:rFonts w:ascii="Palatino Linotype" w:hAnsi="Palatino Linotype" w:cs="Arial"/>
        </w:rPr>
        <w:t xml:space="preserve"> </w:t>
      </w:r>
      <w:r w:rsidR="009F09BC" w:rsidRPr="00AD7ACB">
        <w:rPr>
          <w:rFonts w:ascii="Palatino Linotype" w:hAnsi="Palatino Linotype" w:cs="Arial"/>
        </w:rPr>
        <w:t xml:space="preserve">de </w:t>
      </w:r>
      <w:r w:rsidR="009C21E8" w:rsidRPr="00AD7ACB">
        <w:rPr>
          <w:rFonts w:ascii="Palatino Linotype" w:hAnsi="Palatino Linotype" w:cs="Arial"/>
        </w:rPr>
        <w:t>julio</w:t>
      </w:r>
      <w:r w:rsidR="007142D6" w:rsidRPr="00AD7ACB">
        <w:rPr>
          <w:rFonts w:ascii="Palatino Linotype" w:hAnsi="Palatino Linotype" w:cs="Arial"/>
        </w:rPr>
        <w:t xml:space="preserve"> de dos mil veintidós</w:t>
      </w:r>
      <w:r w:rsidR="009C21E8" w:rsidRPr="00AD7ACB">
        <w:rPr>
          <w:rFonts w:ascii="Palatino Linotype" w:hAnsi="Palatino Linotype" w:cs="Arial"/>
        </w:rPr>
        <w:t>, registrándose en SAIMEX el día uno de agosto, toda vez que el día en que se materializo la interposición de la inconformidad, correspondía a un día inhábil de acuerdo al Calendario oficial en materia de Transparencia, Acceso a la Información Pública y Protección de Datos Personales del Estado de México y Municipios</w:t>
      </w:r>
      <w:r w:rsidR="009F09BC" w:rsidRPr="00AD7ACB">
        <w:rPr>
          <w:rFonts w:ascii="Palatino Linotype" w:hAnsi="Palatino Linotype" w:cs="Arial"/>
        </w:rPr>
        <w:t xml:space="preserve">; </w:t>
      </w:r>
      <w:r w:rsidR="001D02D1" w:rsidRPr="00AD7ACB">
        <w:rPr>
          <w:rFonts w:ascii="Palatino Linotype" w:hAnsi="Palatino Linotype" w:cs="Arial"/>
        </w:rPr>
        <w:t>por lo que se estima que la inconformidad se presentó</w:t>
      </w:r>
      <w:r w:rsidR="0062406B" w:rsidRPr="00AD7ACB">
        <w:rPr>
          <w:rFonts w:ascii="Palatino Linotype" w:hAnsi="Palatino Linotype" w:cs="Arial"/>
        </w:rPr>
        <w:t xml:space="preserve"> </w:t>
      </w:r>
      <w:r w:rsidR="0082142B" w:rsidRPr="00AD7ACB">
        <w:rPr>
          <w:rFonts w:ascii="Palatino Linotype" w:hAnsi="Palatino Linotype" w:cs="Arial"/>
        </w:rPr>
        <w:t>dentro d</w:t>
      </w:r>
      <w:r w:rsidR="009F09BC" w:rsidRPr="00AD7ACB">
        <w:rPr>
          <w:rFonts w:ascii="Palatino Linotype" w:hAnsi="Palatino Linotype" w:cs="Arial"/>
        </w:rPr>
        <w:t>el lapso legalmente establecido para tal efecto.</w:t>
      </w:r>
    </w:p>
    <w:p w:rsidR="0062406B" w:rsidRPr="00AD7ACB" w:rsidRDefault="0062406B" w:rsidP="0062406B">
      <w:pPr>
        <w:pStyle w:val="Prrafodelista"/>
        <w:spacing w:line="360" w:lineRule="auto"/>
        <w:ind w:left="0"/>
        <w:jc w:val="both"/>
        <w:rPr>
          <w:rFonts w:ascii="Palatino Linotype" w:hAnsi="Palatino Linotype"/>
        </w:rPr>
      </w:pPr>
    </w:p>
    <w:p w:rsidR="009F09BC" w:rsidRPr="00AD7ACB" w:rsidRDefault="009F09BC" w:rsidP="00CF0D2B">
      <w:pPr>
        <w:pStyle w:val="Prrafodelista"/>
        <w:numPr>
          <w:ilvl w:val="0"/>
          <w:numId w:val="15"/>
        </w:numPr>
        <w:spacing w:line="360" w:lineRule="auto"/>
        <w:ind w:left="0" w:firstLine="0"/>
        <w:jc w:val="both"/>
        <w:rPr>
          <w:rFonts w:ascii="Palatino Linotype" w:hAnsi="Palatino Linotype"/>
        </w:rPr>
      </w:pPr>
      <w:r w:rsidRPr="00AD7ACB">
        <w:rPr>
          <w:rFonts w:ascii="Palatino Linotype" w:eastAsia="Calibri" w:hAnsi="Palatino Linotype" w:cs="Arial"/>
        </w:rPr>
        <w:t xml:space="preserve">Asimismo, </w:t>
      </w:r>
      <w:r w:rsidR="00CF0D2B" w:rsidRPr="00AD7ACB">
        <w:rPr>
          <w:rFonts w:ascii="Palatino Linotype" w:eastAsia="Calibri" w:hAnsi="Palatino Linotype" w:cs="Arial"/>
        </w:rPr>
        <w:t>e</w:t>
      </w:r>
      <w:r w:rsidRPr="00AD7AC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40F9D" w:rsidRPr="00AD7ACB" w:rsidRDefault="00740F9D" w:rsidP="00740F9D">
      <w:pPr>
        <w:pStyle w:val="Prrafodelista"/>
        <w:rPr>
          <w:rFonts w:ascii="Palatino Linotype" w:hAnsi="Palatino Linotype"/>
        </w:rPr>
      </w:pPr>
    </w:p>
    <w:p w:rsidR="00740F9D" w:rsidRPr="00AD7ACB" w:rsidRDefault="00740F9D" w:rsidP="00740F9D">
      <w:pPr>
        <w:pStyle w:val="Ttulo1"/>
        <w:numPr>
          <w:ilvl w:val="0"/>
          <w:numId w:val="45"/>
        </w:numPr>
        <w:spacing w:before="0" w:line="360" w:lineRule="auto"/>
        <w:ind w:left="714" w:hanging="357"/>
        <w:jc w:val="both"/>
        <w:rPr>
          <w:rFonts w:ascii="Palatino Linotype" w:hAnsi="Palatino Linotype"/>
          <w:b/>
          <w:color w:val="000000" w:themeColor="text1"/>
          <w:sz w:val="24"/>
          <w:szCs w:val="24"/>
        </w:rPr>
      </w:pPr>
      <w:r w:rsidRPr="00AD7ACB">
        <w:rPr>
          <w:rFonts w:ascii="Palatino Linotype" w:hAnsi="Palatino Linotype"/>
          <w:b/>
          <w:color w:val="000000" w:themeColor="text1"/>
          <w:sz w:val="24"/>
          <w:szCs w:val="24"/>
        </w:rPr>
        <w:t>De previo y especial pronunciamiento. Argumentos a considerar en las resoluciones a los recursos de revisión para justificar los fallos emitidos fuera del plazo legal de 45 días.</w:t>
      </w:r>
    </w:p>
    <w:p w:rsidR="00740F9D" w:rsidRPr="00AD7ACB" w:rsidRDefault="00740F9D" w:rsidP="00740F9D">
      <w:pPr>
        <w:spacing w:line="360" w:lineRule="auto"/>
        <w:rPr>
          <w:rFonts w:ascii="Palatino Linotype" w:hAnsi="Palatino Linotype"/>
          <w:sz w:val="18"/>
        </w:rPr>
      </w:pPr>
    </w:p>
    <w:p w:rsidR="00740F9D" w:rsidRPr="00AD7ACB" w:rsidRDefault="00AA638B" w:rsidP="00740F9D">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 xml:space="preserve">Por otro </w:t>
      </w:r>
      <w:proofErr w:type="spellStart"/>
      <w:r w:rsidRPr="00AD7ACB">
        <w:rPr>
          <w:rFonts w:ascii="Palatino Linotype" w:hAnsi="Palatino Linotype"/>
        </w:rPr>
        <w:t>ladom</w:t>
      </w:r>
      <w:proofErr w:type="spellEnd"/>
      <w:r w:rsidRPr="00AD7ACB">
        <w:rPr>
          <w:rFonts w:ascii="Palatino Linotype" w:hAnsi="Palatino Linotype"/>
        </w:rPr>
        <w:t>, e</w:t>
      </w:r>
      <w:r w:rsidR="00740F9D" w:rsidRPr="00AD7ACB">
        <w:rPr>
          <w:rFonts w:ascii="Palatino Linotype" w:hAnsi="Palatino Linotype"/>
        </w:rPr>
        <w:t xml:space="preserve">ste organismo garante no pasa por alto justificar, que la dilación en la resolución del </w:t>
      </w:r>
      <w:r w:rsidR="00740F9D" w:rsidRPr="00AD7ACB">
        <w:rPr>
          <w:rFonts w:ascii="Palatino Linotype" w:hAnsi="Palatino Linotype"/>
          <w:lang w:val="es-MX"/>
        </w:rPr>
        <w:t>presente</w:t>
      </w:r>
      <w:r w:rsidR="00740F9D" w:rsidRPr="00AD7AC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w:t>
      </w:r>
      <w:r w:rsidR="00740F9D" w:rsidRPr="00AD7ACB">
        <w:rPr>
          <w:rFonts w:ascii="Palatino Linotype" w:hAnsi="Palatino Linotype"/>
        </w:rPr>
        <w:lastRenderedPageBreak/>
        <w:t>rebasado las capacidades técnicas y humanas del personal encargado de la proyección de las resoluciones a dichos medios de impugnación.</w:t>
      </w:r>
    </w:p>
    <w:p w:rsidR="00740F9D" w:rsidRPr="00AD7ACB" w:rsidRDefault="00740F9D" w:rsidP="00740F9D">
      <w:pPr>
        <w:pStyle w:val="Prrafodelista"/>
        <w:spacing w:line="360" w:lineRule="auto"/>
        <w:ind w:left="0"/>
        <w:jc w:val="both"/>
        <w:rPr>
          <w:rFonts w:ascii="Palatino Linotype" w:hAnsi="Palatino Linotype"/>
        </w:rPr>
      </w:pPr>
    </w:p>
    <w:p w:rsidR="00740F9D" w:rsidRPr="00AD7ACB" w:rsidRDefault="00740F9D" w:rsidP="00740F9D">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740F9D" w:rsidRPr="00AD7ACB" w:rsidRDefault="00740F9D" w:rsidP="00740F9D">
      <w:pPr>
        <w:pStyle w:val="Prrafodelista"/>
        <w:rPr>
          <w:rFonts w:ascii="Palatino Linotype" w:hAnsi="Palatino Linotype"/>
        </w:rPr>
      </w:pPr>
    </w:p>
    <w:p w:rsidR="00740F9D" w:rsidRPr="00AD7ACB" w:rsidRDefault="00740F9D" w:rsidP="00740F9D">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40F9D" w:rsidRPr="00AD7ACB" w:rsidRDefault="00740F9D" w:rsidP="00740F9D">
      <w:pPr>
        <w:spacing w:line="360" w:lineRule="auto"/>
        <w:jc w:val="both"/>
        <w:rPr>
          <w:rFonts w:ascii="Palatino Linotype" w:hAnsi="Palatino Linotype"/>
          <w:sz w:val="18"/>
        </w:rPr>
      </w:pPr>
    </w:p>
    <w:p w:rsidR="00740F9D" w:rsidRPr="00AD7ACB" w:rsidRDefault="00740F9D" w:rsidP="00740F9D">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40F9D" w:rsidRPr="00AD7ACB" w:rsidRDefault="00740F9D" w:rsidP="00740F9D">
      <w:pPr>
        <w:spacing w:line="360" w:lineRule="auto"/>
        <w:jc w:val="both"/>
        <w:rPr>
          <w:rFonts w:ascii="Palatino Linotype" w:hAnsi="Palatino Linotype"/>
          <w:sz w:val="18"/>
        </w:rPr>
      </w:pPr>
    </w:p>
    <w:p w:rsidR="00740F9D" w:rsidRPr="00AD7ACB" w:rsidRDefault="00740F9D" w:rsidP="00740F9D">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740F9D" w:rsidRPr="00AD7ACB" w:rsidRDefault="00740F9D" w:rsidP="00740F9D">
      <w:pPr>
        <w:spacing w:line="360" w:lineRule="auto"/>
        <w:jc w:val="both"/>
        <w:rPr>
          <w:rFonts w:ascii="Palatino Linotype" w:hAnsi="Palatino Linotype"/>
          <w:sz w:val="18"/>
        </w:rPr>
      </w:pPr>
    </w:p>
    <w:p w:rsidR="00740F9D" w:rsidRPr="00AD7ACB" w:rsidRDefault="00740F9D" w:rsidP="00740F9D">
      <w:pPr>
        <w:pStyle w:val="Prrafodelista"/>
        <w:numPr>
          <w:ilvl w:val="0"/>
          <w:numId w:val="43"/>
        </w:numPr>
        <w:spacing w:line="360" w:lineRule="auto"/>
        <w:jc w:val="both"/>
        <w:rPr>
          <w:rFonts w:ascii="Palatino Linotype" w:hAnsi="Palatino Linotype"/>
        </w:rPr>
      </w:pPr>
      <w:r w:rsidRPr="00AD7ACB">
        <w:rPr>
          <w:rFonts w:ascii="Palatino Linotype" w:hAnsi="Palatino Linotype"/>
        </w:rPr>
        <w:lastRenderedPageBreak/>
        <w:t xml:space="preserve">Complejidad del Asunto: La complejidad de la prueba, la pluralidad de sujetos procesales, el tiempo transcurrido, las características y contexto del recurso. </w:t>
      </w:r>
    </w:p>
    <w:p w:rsidR="00740F9D" w:rsidRPr="00AD7ACB" w:rsidRDefault="00740F9D" w:rsidP="00740F9D">
      <w:pPr>
        <w:pStyle w:val="Prrafodelista"/>
        <w:numPr>
          <w:ilvl w:val="0"/>
          <w:numId w:val="43"/>
        </w:numPr>
        <w:spacing w:line="360" w:lineRule="auto"/>
        <w:jc w:val="both"/>
        <w:rPr>
          <w:rFonts w:ascii="Palatino Linotype" w:hAnsi="Palatino Linotype"/>
        </w:rPr>
      </w:pPr>
      <w:r w:rsidRPr="00AD7ACB">
        <w:rPr>
          <w:rFonts w:ascii="Palatino Linotype" w:hAnsi="Palatino Linotype"/>
        </w:rPr>
        <w:t>Actividad Procesal del interesado. Acciones u omisiones del interesado.</w:t>
      </w:r>
    </w:p>
    <w:p w:rsidR="00740F9D" w:rsidRPr="00AD7ACB" w:rsidRDefault="00740F9D" w:rsidP="00740F9D">
      <w:pPr>
        <w:pStyle w:val="Prrafodelista"/>
        <w:numPr>
          <w:ilvl w:val="0"/>
          <w:numId w:val="43"/>
        </w:numPr>
        <w:spacing w:line="360" w:lineRule="auto"/>
        <w:jc w:val="both"/>
        <w:rPr>
          <w:rFonts w:ascii="Palatino Linotype" w:hAnsi="Palatino Linotype"/>
        </w:rPr>
      </w:pPr>
      <w:r w:rsidRPr="00AD7ACB">
        <w:rPr>
          <w:rFonts w:ascii="Palatino Linotype" w:hAnsi="Palatino Linotype"/>
        </w:rPr>
        <w:t>Conducta de la Autoridad: Las Acciones u omisiones realizadas en el procedimiento. Así como si la autoridad actuó con la debida diligencia.</w:t>
      </w:r>
    </w:p>
    <w:p w:rsidR="00740F9D" w:rsidRPr="00AD7ACB" w:rsidRDefault="00740F9D" w:rsidP="00AA638B">
      <w:pPr>
        <w:spacing w:line="360" w:lineRule="auto"/>
        <w:ind w:left="851" w:hanging="284"/>
        <w:jc w:val="both"/>
        <w:rPr>
          <w:rFonts w:ascii="Palatino Linotype" w:hAnsi="Palatino Linotype"/>
        </w:rPr>
      </w:pPr>
      <w:r w:rsidRPr="00AD7ACB">
        <w:rPr>
          <w:rFonts w:ascii="Palatino Linotype" w:hAnsi="Palatino Linotype"/>
        </w:rPr>
        <w:t>d) La afectación generada en la situación jurídica de la persona involucrada en el proceso: Violación a sus derechos humanos.</w:t>
      </w:r>
    </w:p>
    <w:p w:rsidR="00740F9D" w:rsidRPr="00AD7ACB" w:rsidRDefault="00740F9D" w:rsidP="00740F9D">
      <w:pPr>
        <w:spacing w:line="360" w:lineRule="auto"/>
        <w:jc w:val="both"/>
        <w:rPr>
          <w:rFonts w:ascii="Palatino Linotype" w:hAnsi="Palatino Linotype"/>
        </w:rPr>
      </w:pPr>
    </w:p>
    <w:p w:rsidR="00740F9D" w:rsidRPr="00AD7ACB" w:rsidRDefault="00740F9D" w:rsidP="00740F9D">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40F9D" w:rsidRPr="00AD7ACB" w:rsidRDefault="00740F9D" w:rsidP="00740F9D">
      <w:pPr>
        <w:spacing w:line="360" w:lineRule="auto"/>
        <w:jc w:val="both"/>
        <w:rPr>
          <w:rFonts w:ascii="Palatino Linotype" w:hAnsi="Palatino Linotype"/>
          <w:sz w:val="18"/>
        </w:rPr>
      </w:pPr>
    </w:p>
    <w:p w:rsidR="00740F9D" w:rsidRPr="00AD7ACB" w:rsidRDefault="00740F9D" w:rsidP="00740F9D">
      <w:pPr>
        <w:pStyle w:val="Prrafodelista"/>
        <w:numPr>
          <w:ilvl w:val="0"/>
          <w:numId w:val="15"/>
        </w:numPr>
        <w:spacing w:line="360" w:lineRule="auto"/>
        <w:ind w:left="0" w:firstLine="0"/>
        <w:jc w:val="both"/>
        <w:rPr>
          <w:rFonts w:ascii="Palatino Linotype" w:hAnsi="Palatino Linotype"/>
          <w:b/>
        </w:rPr>
      </w:pPr>
      <w:r w:rsidRPr="00AD7ACB">
        <w:rPr>
          <w:rFonts w:ascii="Palatino Linotype" w:hAnsi="Palatino Linotype"/>
        </w:rPr>
        <w:t>Argumento que encuentra sustento en la jurisprudencia P</w:t>
      </w:r>
      <w:proofErr w:type="gramStart"/>
      <w:r w:rsidRPr="00AD7ACB">
        <w:rPr>
          <w:rFonts w:ascii="Palatino Linotype" w:hAnsi="Palatino Linotype"/>
        </w:rPr>
        <w:t>./</w:t>
      </w:r>
      <w:proofErr w:type="gramEnd"/>
      <w:r w:rsidRPr="00AD7ACB">
        <w:rPr>
          <w:rFonts w:ascii="Palatino Linotype" w:hAnsi="Palatino Linotype"/>
        </w:rPr>
        <w:t xml:space="preserve">J. 32/92 emitida por el Pleno de la Suprema Corte de Justicia de la Nación de rubro </w:t>
      </w:r>
      <w:r w:rsidRPr="00AD7AC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D7ACB">
        <w:rPr>
          <w:rFonts w:ascii="Palatino Linotype" w:hAnsi="Palatino Linotype"/>
        </w:rPr>
        <w:t>, visible en la Gaceta del Seminario Judicial de la Federación con el registro digital 205635.</w:t>
      </w:r>
    </w:p>
    <w:p w:rsidR="00740F9D" w:rsidRPr="00AD7ACB" w:rsidRDefault="00740F9D" w:rsidP="00740F9D">
      <w:pPr>
        <w:spacing w:line="360" w:lineRule="auto"/>
        <w:jc w:val="both"/>
        <w:rPr>
          <w:rFonts w:ascii="Palatino Linotype" w:hAnsi="Palatino Linotype"/>
          <w:sz w:val="18"/>
        </w:rPr>
      </w:pPr>
    </w:p>
    <w:p w:rsidR="00740F9D" w:rsidRPr="00AD7ACB" w:rsidRDefault="00740F9D" w:rsidP="00740F9D">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40F9D" w:rsidRPr="00AD7ACB" w:rsidRDefault="00740F9D" w:rsidP="00740F9D">
      <w:pPr>
        <w:spacing w:line="360" w:lineRule="auto"/>
        <w:jc w:val="both"/>
        <w:rPr>
          <w:rFonts w:ascii="Palatino Linotype" w:hAnsi="Palatino Linotype"/>
          <w:sz w:val="18"/>
        </w:rPr>
      </w:pPr>
    </w:p>
    <w:p w:rsidR="00740F9D" w:rsidRPr="00AD7ACB" w:rsidRDefault="00740F9D" w:rsidP="00740F9D">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740F9D" w:rsidRPr="00AD7ACB" w:rsidRDefault="00740F9D" w:rsidP="00740F9D">
      <w:pPr>
        <w:spacing w:line="360" w:lineRule="auto"/>
        <w:jc w:val="both"/>
        <w:rPr>
          <w:rFonts w:ascii="Palatino Linotype" w:hAnsi="Palatino Linotype"/>
          <w:sz w:val="18"/>
        </w:rPr>
      </w:pPr>
    </w:p>
    <w:p w:rsidR="00740F9D" w:rsidRPr="00AD7ACB" w:rsidRDefault="00740F9D" w:rsidP="00740F9D">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740F9D" w:rsidRPr="00AD7ACB" w:rsidRDefault="00740F9D" w:rsidP="00740F9D">
      <w:pPr>
        <w:spacing w:line="360" w:lineRule="auto"/>
        <w:jc w:val="both"/>
        <w:rPr>
          <w:rFonts w:ascii="Palatino Linotype" w:hAnsi="Palatino Linotype"/>
        </w:rPr>
      </w:pPr>
    </w:p>
    <w:p w:rsidR="00740F9D" w:rsidRPr="00AD7ACB" w:rsidRDefault="00740F9D" w:rsidP="00740F9D">
      <w:pPr>
        <w:ind w:left="425" w:right="476"/>
        <w:jc w:val="both"/>
        <w:rPr>
          <w:rFonts w:ascii="Palatino Linotype" w:hAnsi="Palatino Linotype"/>
        </w:rPr>
      </w:pPr>
      <w:r w:rsidRPr="00AD7ACB">
        <w:rPr>
          <w:rFonts w:ascii="Palatino Linotype" w:hAnsi="Palatino Linotype"/>
        </w:rPr>
        <w:t xml:space="preserve"> </w:t>
      </w:r>
      <w:r w:rsidRPr="00AD7ACB">
        <w:rPr>
          <w:rFonts w:ascii="Palatino Linotype" w:hAnsi="Palatino Linotype"/>
          <w:i/>
        </w:rPr>
        <w:t>“PLAZO RAZONABLE PARA RESOLVER. DIMENSIÓN Y EFECTOS DE ESTE CONCEPTO CUANDO SE ADUCE EXCESIVA CARGA DE TRABAJO.”</w:t>
      </w:r>
      <w:r w:rsidRPr="00AD7ACB">
        <w:rPr>
          <w:rFonts w:ascii="Palatino Linotype" w:hAnsi="Palatino Linotype"/>
        </w:rPr>
        <w:t xml:space="preserve"> consultable en el Seminario Judicial de la Federación y su gaceta, con el registro digital 2002351.</w:t>
      </w:r>
    </w:p>
    <w:p w:rsidR="00740F9D" w:rsidRPr="00AD7ACB" w:rsidRDefault="00740F9D" w:rsidP="00740F9D">
      <w:pPr>
        <w:ind w:left="425" w:right="476"/>
        <w:jc w:val="both"/>
        <w:rPr>
          <w:rFonts w:ascii="Palatino Linotype" w:hAnsi="Palatino Linotype"/>
          <w:b/>
        </w:rPr>
      </w:pPr>
    </w:p>
    <w:p w:rsidR="00740F9D" w:rsidRPr="00AD7ACB" w:rsidRDefault="00740F9D" w:rsidP="00740F9D">
      <w:pPr>
        <w:ind w:left="425" w:right="476"/>
        <w:jc w:val="both"/>
        <w:rPr>
          <w:rFonts w:ascii="Palatino Linotype" w:hAnsi="Palatino Linotype"/>
        </w:rPr>
      </w:pPr>
      <w:r w:rsidRPr="00AD7ACB">
        <w:rPr>
          <w:rFonts w:ascii="Palatino Linotype" w:hAnsi="Palatino Linotype"/>
          <w:i/>
        </w:rPr>
        <w:t xml:space="preserve">“PLAZO RAZONABLE PARA RESOLVER. CONCEPTO Y ELEMENTOS QUE LO INTEGRAN A LA LUZ DEL DERECHO INTERNACIONAL DE LOS </w:t>
      </w:r>
      <w:r w:rsidRPr="00AD7ACB">
        <w:rPr>
          <w:rFonts w:ascii="Palatino Linotype" w:hAnsi="Palatino Linotype"/>
          <w:i/>
        </w:rPr>
        <w:lastRenderedPageBreak/>
        <w:t>DERECHOS HUMANOS.”</w:t>
      </w:r>
      <w:r w:rsidRPr="00AD7ACB">
        <w:rPr>
          <w:rFonts w:ascii="Palatino Linotype" w:hAnsi="Palatino Linotype"/>
        </w:rPr>
        <w:t>, visible en el Seminario Judicial de la Federación y su gaceta, con el registro digital 2002350.”</w:t>
      </w:r>
    </w:p>
    <w:p w:rsidR="00740F9D" w:rsidRPr="00AD7ACB" w:rsidRDefault="00740F9D" w:rsidP="00740F9D">
      <w:pPr>
        <w:pStyle w:val="Prrafodelista"/>
        <w:spacing w:line="360" w:lineRule="auto"/>
        <w:ind w:left="0"/>
        <w:jc w:val="both"/>
        <w:rPr>
          <w:rFonts w:ascii="Palatino Linotype" w:hAnsi="Palatino Linotype"/>
        </w:rPr>
      </w:pPr>
    </w:p>
    <w:p w:rsidR="0038112D" w:rsidRPr="00AD7ACB" w:rsidRDefault="0038112D" w:rsidP="0038112D">
      <w:pPr>
        <w:pStyle w:val="Prrafodelista"/>
        <w:rPr>
          <w:rFonts w:ascii="Palatino Linotype" w:hAnsi="Palatino Linotype"/>
        </w:rPr>
      </w:pPr>
    </w:p>
    <w:p w:rsidR="009F09BC" w:rsidRPr="00AD7ACB" w:rsidRDefault="0038112D" w:rsidP="00CF0D2B">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AD7ACB">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AD7ACB">
        <w:rPr>
          <w:rFonts w:ascii="Palatino Linotype" w:hAnsi="Palatino Linotype"/>
          <w:b/>
          <w:color w:val="000000" w:themeColor="text1"/>
          <w:sz w:val="24"/>
          <w:szCs w:val="24"/>
        </w:rPr>
        <w:t xml:space="preserve">Del planteamiento de la </w:t>
      </w:r>
      <w:r w:rsidR="009F09BC" w:rsidRPr="00AD7ACB">
        <w:rPr>
          <w:rFonts w:ascii="Palatino Linotype" w:hAnsi="Palatino Linotype"/>
          <w:b/>
          <w:i/>
          <w:color w:val="000000" w:themeColor="text1"/>
          <w:sz w:val="24"/>
          <w:szCs w:val="24"/>
        </w:rPr>
        <w:t>Litis</w:t>
      </w:r>
      <w:r w:rsidR="009F09BC" w:rsidRPr="00AD7ACB">
        <w:rPr>
          <w:rFonts w:ascii="Palatino Linotype" w:hAnsi="Palatino Linotype"/>
          <w:b/>
          <w:color w:val="000000" w:themeColor="text1"/>
          <w:sz w:val="24"/>
          <w:szCs w:val="24"/>
        </w:rPr>
        <w:t>.</w:t>
      </w:r>
      <w:bookmarkEnd w:id="141"/>
      <w:bookmarkEnd w:id="142"/>
      <w:bookmarkEnd w:id="143"/>
      <w:bookmarkEnd w:id="144"/>
      <w:bookmarkEnd w:id="145"/>
    </w:p>
    <w:p w:rsidR="009F09BC" w:rsidRPr="00AD7ACB" w:rsidRDefault="009F09BC" w:rsidP="009F09BC">
      <w:pPr>
        <w:rPr>
          <w:rFonts w:ascii="Palatino Linotype" w:hAnsi="Palatino Linotype"/>
          <w:lang w:val="es-MX" w:eastAsia="en-US"/>
        </w:rPr>
      </w:pPr>
    </w:p>
    <w:p w:rsidR="009F09BC" w:rsidRPr="00AD7ACB" w:rsidRDefault="009F09BC" w:rsidP="009F09BC">
      <w:pPr>
        <w:pStyle w:val="Prrafodelista"/>
        <w:numPr>
          <w:ilvl w:val="0"/>
          <w:numId w:val="15"/>
        </w:numPr>
        <w:spacing w:line="360" w:lineRule="auto"/>
        <w:ind w:left="0" w:firstLine="0"/>
        <w:jc w:val="both"/>
        <w:rPr>
          <w:rFonts w:ascii="Palatino Linotype" w:hAnsi="Palatino Linotype" w:cs="Arial"/>
        </w:rPr>
      </w:pPr>
      <w:r w:rsidRPr="00AD7ACB">
        <w:rPr>
          <w:rFonts w:ascii="Palatino Linotype" w:hAnsi="Palatino Linotype" w:cs="Arial"/>
        </w:rPr>
        <w:t xml:space="preserve">Se </w:t>
      </w:r>
      <w:r w:rsidRPr="00AD7ACB">
        <w:rPr>
          <w:rFonts w:ascii="Palatino Linotype" w:eastAsia="Calibri" w:hAnsi="Palatino Linotype" w:cs="Arial"/>
        </w:rPr>
        <w:t>solicitó</w:t>
      </w:r>
      <w:r w:rsidRPr="00AD7ACB">
        <w:rPr>
          <w:rFonts w:ascii="Palatino Linotype" w:hAnsi="Palatino Linotype" w:cs="Arial"/>
        </w:rPr>
        <w:t xml:space="preserve"> </w:t>
      </w:r>
      <w:r w:rsidR="00AD63B4" w:rsidRPr="00AD7ACB">
        <w:rPr>
          <w:rFonts w:ascii="Palatino Linotype" w:hAnsi="Palatino Linotype" w:cs="Arial"/>
        </w:rPr>
        <w:t xml:space="preserve">tener acceso, a la </w:t>
      </w:r>
      <w:r w:rsidRPr="00AD7ACB">
        <w:rPr>
          <w:rFonts w:ascii="Palatino Linotype" w:hAnsi="Palatino Linotype" w:cs="Arial"/>
        </w:rPr>
        <w:t>información que a continuación se desagrega</w:t>
      </w:r>
      <w:r w:rsidR="00CD79A0" w:rsidRPr="00AD7ACB">
        <w:rPr>
          <w:rFonts w:ascii="Palatino Linotype" w:hAnsi="Palatino Linotype" w:cs="Arial"/>
        </w:rPr>
        <w:t xml:space="preserve"> correspondiente a los servidores públicos adscritos a la Comisaria de Seguridad Pública y Movilidad al 08 de julio de 2022</w:t>
      </w:r>
      <w:r w:rsidRPr="00AD7ACB">
        <w:rPr>
          <w:rFonts w:ascii="Palatino Linotype" w:hAnsi="Palatino Linotype" w:cs="Arial"/>
        </w:rPr>
        <w:t>:</w:t>
      </w:r>
    </w:p>
    <w:p w:rsidR="009F09BC" w:rsidRPr="00AD7ACB" w:rsidRDefault="009F09BC" w:rsidP="009F09BC">
      <w:pPr>
        <w:pStyle w:val="Prrafodelista"/>
        <w:spacing w:line="360" w:lineRule="auto"/>
        <w:ind w:left="0"/>
        <w:jc w:val="both"/>
        <w:rPr>
          <w:rFonts w:ascii="Palatino Linotype" w:hAnsi="Palatino Linotype" w:cs="Arial"/>
        </w:rPr>
      </w:pPr>
    </w:p>
    <w:p w:rsidR="009C21E8" w:rsidRPr="00AD7ACB" w:rsidRDefault="00CD79A0" w:rsidP="009C21E8">
      <w:pPr>
        <w:pStyle w:val="Prrafodelista"/>
        <w:numPr>
          <w:ilvl w:val="1"/>
          <w:numId w:val="27"/>
        </w:numPr>
        <w:spacing w:line="360" w:lineRule="auto"/>
        <w:ind w:left="993"/>
        <w:jc w:val="both"/>
        <w:rPr>
          <w:rFonts w:ascii="Palatino Linotype" w:hAnsi="Palatino Linotype" w:cs="Arial"/>
          <w:b/>
        </w:rPr>
      </w:pPr>
      <w:r w:rsidRPr="00AD7ACB">
        <w:rPr>
          <w:rFonts w:ascii="Palatino Linotype" w:hAnsi="Palatino Linotype" w:cs="Arial"/>
          <w:b/>
        </w:rPr>
        <w:t>N</w:t>
      </w:r>
      <w:r w:rsidR="009C21E8" w:rsidRPr="00AD7ACB">
        <w:rPr>
          <w:rFonts w:ascii="Palatino Linotype" w:hAnsi="Palatino Linotype" w:cs="Arial"/>
          <w:b/>
        </w:rPr>
        <w:t xml:space="preserve">ombres </w:t>
      </w:r>
      <w:r w:rsidRPr="00AD7ACB">
        <w:rPr>
          <w:rFonts w:ascii="Palatino Linotype" w:hAnsi="Palatino Linotype" w:cs="Arial"/>
          <w:b/>
        </w:rPr>
        <w:t>de los servidores públicos adscritos a esa unidad administrativa</w:t>
      </w:r>
      <w:r w:rsidR="009C21E8" w:rsidRPr="00AD7ACB">
        <w:rPr>
          <w:rFonts w:ascii="Palatino Linotype" w:hAnsi="Palatino Linotype" w:cs="Arial"/>
          <w:b/>
        </w:rPr>
        <w:t>;</w:t>
      </w:r>
    </w:p>
    <w:p w:rsidR="00CD79A0" w:rsidRPr="00AD7ACB" w:rsidRDefault="00CD79A0" w:rsidP="00CD79A0">
      <w:pPr>
        <w:pStyle w:val="Prrafodelista"/>
        <w:spacing w:line="360" w:lineRule="auto"/>
        <w:ind w:left="993"/>
        <w:jc w:val="both"/>
        <w:rPr>
          <w:rFonts w:ascii="Palatino Linotype" w:hAnsi="Palatino Linotype" w:cs="Arial"/>
          <w:b/>
        </w:rPr>
      </w:pPr>
    </w:p>
    <w:p w:rsidR="009C21E8" w:rsidRPr="00AD7ACB" w:rsidRDefault="00CD79A0" w:rsidP="009C21E8">
      <w:pPr>
        <w:pStyle w:val="Prrafodelista"/>
        <w:numPr>
          <w:ilvl w:val="1"/>
          <w:numId w:val="27"/>
        </w:numPr>
        <w:spacing w:line="360" w:lineRule="auto"/>
        <w:ind w:left="993"/>
        <w:jc w:val="both"/>
        <w:rPr>
          <w:rFonts w:ascii="Palatino Linotype" w:hAnsi="Palatino Linotype" w:cs="Arial"/>
          <w:b/>
        </w:rPr>
      </w:pPr>
      <w:r w:rsidRPr="00AD7ACB">
        <w:rPr>
          <w:rFonts w:ascii="Palatino Linotype" w:hAnsi="Palatino Linotype" w:cs="Arial"/>
          <w:b/>
        </w:rPr>
        <w:t>A</w:t>
      </w:r>
      <w:r w:rsidR="009C21E8" w:rsidRPr="00AD7ACB">
        <w:rPr>
          <w:rFonts w:ascii="Palatino Linotype" w:hAnsi="Palatino Linotype" w:cs="Arial"/>
          <w:b/>
        </w:rPr>
        <w:t>probación final de la evaluación de control de confianza</w:t>
      </w:r>
      <w:r w:rsidRPr="00AD7ACB">
        <w:rPr>
          <w:rFonts w:ascii="Palatino Linotype" w:hAnsi="Palatino Linotype" w:cs="Arial"/>
          <w:b/>
        </w:rPr>
        <w:t>;</w:t>
      </w:r>
      <w:r w:rsidR="00AA638B" w:rsidRPr="00AD7ACB">
        <w:rPr>
          <w:rFonts w:ascii="Palatino Linotype" w:hAnsi="Palatino Linotype" w:cs="Arial"/>
          <w:b/>
        </w:rPr>
        <w:t xml:space="preserve"> y</w:t>
      </w:r>
    </w:p>
    <w:p w:rsidR="009C21E8" w:rsidRPr="00AD7ACB" w:rsidRDefault="009C21E8" w:rsidP="009C21E8">
      <w:pPr>
        <w:pStyle w:val="Prrafodelista"/>
        <w:spacing w:line="360" w:lineRule="auto"/>
        <w:ind w:left="993"/>
        <w:jc w:val="both"/>
        <w:rPr>
          <w:rFonts w:ascii="Palatino Linotype" w:hAnsi="Palatino Linotype" w:cs="Arial"/>
          <w:b/>
        </w:rPr>
      </w:pPr>
    </w:p>
    <w:p w:rsidR="007142D6" w:rsidRPr="00AD7ACB" w:rsidRDefault="00CD79A0" w:rsidP="009C21E8">
      <w:pPr>
        <w:pStyle w:val="Prrafodelista"/>
        <w:numPr>
          <w:ilvl w:val="1"/>
          <w:numId w:val="27"/>
        </w:numPr>
        <w:spacing w:line="360" w:lineRule="auto"/>
        <w:ind w:left="993"/>
        <w:jc w:val="both"/>
        <w:rPr>
          <w:rFonts w:ascii="Palatino Linotype" w:hAnsi="Palatino Linotype" w:cs="Arial"/>
        </w:rPr>
      </w:pPr>
      <w:r w:rsidRPr="00AD7ACB">
        <w:rPr>
          <w:rFonts w:ascii="Palatino Linotype" w:hAnsi="Palatino Linotype" w:cs="Arial"/>
          <w:b/>
        </w:rPr>
        <w:t>C</w:t>
      </w:r>
      <w:r w:rsidR="009C21E8" w:rsidRPr="00AD7ACB">
        <w:rPr>
          <w:rFonts w:ascii="Palatino Linotype" w:hAnsi="Palatino Linotype" w:cs="Arial"/>
          <w:b/>
        </w:rPr>
        <w:t>ertificados de no antecedentes penales</w:t>
      </w:r>
      <w:r w:rsidRPr="00AD7ACB">
        <w:rPr>
          <w:rFonts w:ascii="Palatino Linotype" w:hAnsi="Palatino Linotype" w:cs="Arial"/>
          <w:b/>
        </w:rPr>
        <w:t>.</w:t>
      </w:r>
    </w:p>
    <w:p w:rsidR="009C21E8" w:rsidRPr="00AD7ACB" w:rsidRDefault="009C21E8" w:rsidP="009C21E8">
      <w:pPr>
        <w:pStyle w:val="Prrafodelista"/>
        <w:spacing w:line="360" w:lineRule="auto"/>
        <w:ind w:left="1440"/>
        <w:jc w:val="both"/>
        <w:rPr>
          <w:rFonts w:ascii="Palatino Linotype" w:hAnsi="Palatino Linotype" w:cs="Arial"/>
        </w:rPr>
      </w:pPr>
    </w:p>
    <w:p w:rsidR="009F09BC" w:rsidRPr="00AD7ACB" w:rsidRDefault="000F1081" w:rsidP="0074722D">
      <w:pPr>
        <w:numPr>
          <w:ilvl w:val="0"/>
          <w:numId w:val="15"/>
        </w:numPr>
        <w:spacing w:line="360" w:lineRule="auto"/>
        <w:ind w:left="0" w:firstLine="0"/>
        <w:contextualSpacing/>
        <w:jc w:val="both"/>
        <w:rPr>
          <w:rFonts w:ascii="Palatino Linotype" w:hAnsi="Palatino Linotype" w:cs="Arial"/>
        </w:rPr>
      </w:pPr>
      <w:r w:rsidRPr="00AD7ACB">
        <w:rPr>
          <w:rFonts w:ascii="Palatino Linotype" w:hAnsi="Palatino Linotype" w:cs="Arial"/>
        </w:rPr>
        <w:t xml:space="preserve">En respuesta, el </w:t>
      </w:r>
      <w:r w:rsidRPr="00AD7ACB">
        <w:rPr>
          <w:rFonts w:ascii="Palatino Linotype" w:hAnsi="Palatino Linotype" w:cs="Arial"/>
          <w:b/>
        </w:rPr>
        <w:t xml:space="preserve">SUJETO OBLIGADO </w:t>
      </w:r>
      <w:r w:rsidR="00CD79A0" w:rsidRPr="00AD7ACB">
        <w:rPr>
          <w:rFonts w:ascii="Palatino Linotype" w:hAnsi="Palatino Linotype" w:cs="Arial"/>
        </w:rPr>
        <w:t>declinó su incompetencia, al señalar que se requirió información de un sujeto obligado diverso</w:t>
      </w:r>
      <w:r w:rsidR="00C41E57" w:rsidRPr="00AD7ACB">
        <w:rPr>
          <w:rFonts w:ascii="Palatino Linotype" w:hAnsi="Palatino Linotype" w:cs="Arial"/>
        </w:rPr>
        <w:t xml:space="preserve">. </w:t>
      </w:r>
      <w:r w:rsidR="009F09BC" w:rsidRPr="00AD7ACB">
        <w:rPr>
          <w:rFonts w:ascii="Palatino Linotype" w:hAnsi="Palatino Linotype" w:cs="Arial"/>
          <w:b/>
        </w:rPr>
        <w:t xml:space="preserve">EL PARTICULAR </w:t>
      </w:r>
      <w:r w:rsidR="009F09BC" w:rsidRPr="00AD7ACB">
        <w:rPr>
          <w:rFonts w:ascii="Palatino Linotype" w:hAnsi="Palatino Linotype" w:cs="Arial"/>
        </w:rPr>
        <w:t xml:space="preserve">inconforme con la respuesta, expuso </w:t>
      </w:r>
      <w:r w:rsidR="00CF0D2B" w:rsidRPr="00AD7ACB">
        <w:rPr>
          <w:rFonts w:ascii="Palatino Linotype" w:hAnsi="Palatino Linotype" w:cs="Arial"/>
          <w:i/>
        </w:rPr>
        <w:t>grosso modo</w:t>
      </w:r>
      <w:r w:rsidR="00CF0D2B" w:rsidRPr="00AD7ACB">
        <w:rPr>
          <w:rFonts w:ascii="Palatino Linotype" w:hAnsi="Palatino Linotype" w:cs="Arial"/>
        </w:rPr>
        <w:t xml:space="preserve"> </w:t>
      </w:r>
      <w:r w:rsidR="009F09BC" w:rsidRPr="00AD7ACB">
        <w:rPr>
          <w:rFonts w:ascii="Palatino Linotype" w:hAnsi="Palatino Linotype" w:cs="Arial"/>
        </w:rPr>
        <w:t xml:space="preserve">su </w:t>
      </w:r>
      <w:r w:rsidR="00403D64" w:rsidRPr="00AD7ACB">
        <w:rPr>
          <w:rFonts w:ascii="Palatino Linotype" w:hAnsi="Palatino Linotype" w:cs="Arial"/>
        </w:rPr>
        <w:t xml:space="preserve">inconformidad </w:t>
      </w:r>
      <w:r w:rsidR="00C47D9C" w:rsidRPr="00AD7ACB">
        <w:rPr>
          <w:rFonts w:ascii="Palatino Linotype" w:hAnsi="Palatino Linotype" w:cs="Arial"/>
        </w:rPr>
        <w:t xml:space="preserve">por </w:t>
      </w:r>
      <w:r w:rsidR="00CD79A0" w:rsidRPr="00AD7ACB">
        <w:rPr>
          <w:rFonts w:ascii="Palatino Linotype" w:hAnsi="Palatino Linotype" w:cs="Arial"/>
        </w:rPr>
        <w:t>la negativa a la entrega de la información, ya que el hecho que refiriera a un recurso de revisión pertenecien</w:t>
      </w:r>
      <w:r w:rsidR="00740F9D" w:rsidRPr="00AD7ACB">
        <w:rPr>
          <w:rFonts w:ascii="Palatino Linotype" w:hAnsi="Palatino Linotype" w:cs="Arial"/>
        </w:rPr>
        <w:t xml:space="preserve">te a otro sujeto obligado, </w:t>
      </w:r>
      <w:r w:rsidR="00CD79A0" w:rsidRPr="00AD7ACB">
        <w:rPr>
          <w:rFonts w:ascii="Palatino Linotype" w:hAnsi="Palatino Linotype" w:cs="Arial"/>
        </w:rPr>
        <w:t>fue en calidad de ejemplo respecto a la procedencia de la entrega de la información solicitada.</w:t>
      </w:r>
    </w:p>
    <w:p w:rsidR="0074110E" w:rsidRPr="00AD7ACB" w:rsidRDefault="0074110E" w:rsidP="0074110E">
      <w:pPr>
        <w:spacing w:line="360" w:lineRule="auto"/>
        <w:contextualSpacing/>
        <w:jc w:val="both"/>
        <w:rPr>
          <w:rFonts w:ascii="Palatino Linotype" w:hAnsi="Palatino Linotype" w:cs="Arial"/>
        </w:rPr>
      </w:pPr>
    </w:p>
    <w:p w:rsidR="009F09BC" w:rsidRPr="00AD7ACB" w:rsidRDefault="009F09BC" w:rsidP="002453DA">
      <w:pPr>
        <w:numPr>
          <w:ilvl w:val="0"/>
          <w:numId w:val="15"/>
        </w:numPr>
        <w:spacing w:line="360" w:lineRule="auto"/>
        <w:ind w:left="0" w:firstLine="0"/>
        <w:contextualSpacing/>
        <w:jc w:val="both"/>
        <w:rPr>
          <w:rFonts w:ascii="Palatino Linotype" w:eastAsia="MS Mincho" w:hAnsi="Palatino Linotype" w:cs="Arial"/>
        </w:rPr>
      </w:pPr>
      <w:r w:rsidRPr="00AD7ACB">
        <w:rPr>
          <w:rFonts w:ascii="Palatino Linotype" w:eastAsia="MS Mincho" w:hAnsi="Palatino Linotype" w:cs="Arial"/>
        </w:rPr>
        <w:t xml:space="preserve">En </w:t>
      </w:r>
      <w:r w:rsidRPr="00AD7ACB">
        <w:rPr>
          <w:rFonts w:ascii="Palatino Linotype" w:hAnsi="Palatino Linotype" w:cs="Arial"/>
          <w:lang w:eastAsia="es-MX"/>
        </w:rPr>
        <w:t>dichas</w:t>
      </w:r>
      <w:r w:rsidRPr="00AD7ACB">
        <w:rPr>
          <w:rFonts w:ascii="Palatino Linotype" w:eastAsia="Times New Roman" w:hAnsi="Palatino Linotype" w:cs="Arial"/>
        </w:rPr>
        <w:t xml:space="preserve"> condiciones, la </w:t>
      </w:r>
      <w:r w:rsidRPr="00AD7ACB">
        <w:rPr>
          <w:rFonts w:ascii="Palatino Linotype" w:eastAsia="Times New Roman" w:hAnsi="Palatino Linotype" w:cs="Arial"/>
          <w:i/>
        </w:rPr>
        <w:t>Litis</w:t>
      </w:r>
      <w:r w:rsidRPr="00AD7ACB">
        <w:rPr>
          <w:rFonts w:ascii="Palatino Linotype" w:eastAsia="Times New Roman" w:hAnsi="Palatino Linotype" w:cs="Arial"/>
        </w:rPr>
        <w:t xml:space="preserve"> a resolver en este recurso se circunscribe a determinar si </w:t>
      </w:r>
      <w:r w:rsidR="007142AB" w:rsidRPr="00AD7ACB">
        <w:rPr>
          <w:rFonts w:ascii="Palatino Linotype" w:eastAsia="MS Mincho" w:hAnsi="Palatino Linotype" w:cs="Arial"/>
        </w:rPr>
        <w:t>se actualiza</w:t>
      </w:r>
      <w:r w:rsidRPr="00AD7ACB">
        <w:rPr>
          <w:rFonts w:ascii="Palatino Linotype" w:eastAsia="MS Mincho" w:hAnsi="Palatino Linotype" w:cs="Arial"/>
        </w:rPr>
        <w:t xml:space="preserve"> la causal de procedencia prevista en el artículo 179, </w:t>
      </w:r>
      <w:r w:rsidRPr="00AD7ACB">
        <w:rPr>
          <w:rFonts w:ascii="Palatino Linotype" w:eastAsia="MS Mincho" w:hAnsi="Palatino Linotype" w:cs="Arial"/>
          <w:b/>
        </w:rPr>
        <w:lastRenderedPageBreak/>
        <w:t xml:space="preserve">fracción </w:t>
      </w:r>
      <w:r w:rsidR="00CD79A0" w:rsidRPr="00AD7ACB">
        <w:rPr>
          <w:rFonts w:ascii="Palatino Linotype" w:eastAsia="MS Mincho" w:hAnsi="Palatino Linotype" w:cs="Arial"/>
          <w:b/>
        </w:rPr>
        <w:t>I</w:t>
      </w:r>
      <w:r w:rsidRPr="00AD7ACB">
        <w:rPr>
          <w:rFonts w:ascii="Palatino Linotype" w:eastAsia="MS Mincho" w:hAnsi="Palatino Linotype" w:cs="Arial"/>
        </w:rPr>
        <w:t xml:space="preserve"> de la </w:t>
      </w:r>
      <w:r w:rsidRPr="00AD7ACB">
        <w:rPr>
          <w:rFonts w:ascii="Palatino Linotype" w:eastAsia="MS Mincho" w:hAnsi="Palatino Linotype" w:cs="Arial"/>
          <w:b/>
        </w:rPr>
        <w:t>Ley de Transparencia y Acceso a la Información Pública del Estado de México y Municipios</w:t>
      </w:r>
      <w:r w:rsidRPr="00AD7ACB">
        <w:rPr>
          <w:rFonts w:ascii="Palatino Linotype" w:eastAsia="MS Mincho" w:hAnsi="Palatino Linotype" w:cs="Arial"/>
        </w:rPr>
        <w:t xml:space="preserve">; </w:t>
      </w:r>
      <w:r w:rsidRPr="00AD7ACB">
        <w:rPr>
          <w:rFonts w:ascii="Palatino Linotype" w:eastAsia="Times New Roman" w:hAnsi="Palatino Linotype" w:cs="Arial"/>
          <w:color w:val="000000" w:themeColor="text1"/>
          <w:lang w:val="es-ES" w:eastAsia="es-MX"/>
        </w:rPr>
        <w:t xml:space="preserve">fracción que determina </w:t>
      </w:r>
      <w:r w:rsidR="005B6702" w:rsidRPr="00AD7ACB">
        <w:rPr>
          <w:rFonts w:ascii="Palatino Linotype" w:eastAsia="Times New Roman" w:hAnsi="Palatino Linotype" w:cs="Arial"/>
          <w:color w:val="000000" w:themeColor="text1"/>
          <w:lang w:val="es-ES" w:eastAsia="es-MX"/>
        </w:rPr>
        <w:t>la hipótesis jurídica</w:t>
      </w:r>
      <w:r w:rsidRPr="00AD7ACB">
        <w:rPr>
          <w:rFonts w:ascii="Palatino Linotype" w:eastAsia="Times New Roman" w:hAnsi="Palatino Linotype" w:cs="Arial"/>
          <w:color w:val="000000" w:themeColor="text1"/>
          <w:lang w:val="es-ES" w:eastAsia="es-MX"/>
        </w:rPr>
        <w:t xml:space="preserve"> relativa </w:t>
      </w:r>
      <w:r w:rsidR="005B6702" w:rsidRPr="00AD7ACB">
        <w:rPr>
          <w:rFonts w:ascii="Palatino Linotype" w:eastAsia="Times New Roman" w:hAnsi="Palatino Linotype" w:cs="Arial"/>
          <w:color w:val="000000" w:themeColor="text1"/>
          <w:lang w:val="es-ES" w:eastAsia="es-MX"/>
        </w:rPr>
        <w:t xml:space="preserve">a </w:t>
      </w:r>
      <w:r w:rsidR="007142AB" w:rsidRPr="00AD7ACB">
        <w:rPr>
          <w:rFonts w:ascii="Palatino Linotype" w:eastAsia="Times New Roman" w:hAnsi="Palatino Linotype" w:cs="Arial"/>
          <w:color w:val="000000" w:themeColor="text1"/>
          <w:lang w:val="es-ES" w:eastAsia="es-MX"/>
        </w:rPr>
        <w:t>l</w:t>
      </w:r>
      <w:r w:rsidR="002453DA" w:rsidRPr="00AD7ACB">
        <w:rPr>
          <w:rFonts w:ascii="Palatino Linotype" w:eastAsia="Times New Roman" w:hAnsi="Palatino Linotype" w:cs="Arial"/>
          <w:color w:val="000000" w:themeColor="text1"/>
          <w:lang w:val="es-ES" w:eastAsia="es-MX"/>
        </w:rPr>
        <w:t xml:space="preserve">a </w:t>
      </w:r>
      <w:r w:rsidR="00CD79A0" w:rsidRPr="00AD7ACB">
        <w:rPr>
          <w:rFonts w:ascii="Palatino Linotype" w:eastAsia="Times New Roman" w:hAnsi="Palatino Linotype" w:cs="Arial"/>
          <w:color w:val="000000" w:themeColor="text1"/>
          <w:lang w:val="es-ES" w:eastAsia="es-MX"/>
        </w:rPr>
        <w:t>negativa de la información solicitada</w:t>
      </w:r>
      <w:r w:rsidRPr="00AD7ACB">
        <w:rPr>
          <w:rFonts w:ascii="Palatino Linotype" w:eastAsia="Times New Roman" w:hAnsi="Palatino Linotype" w:cs="Arial"/>
          <w:color w:val="000000" w:themeColor="text1"/>
          <w:lang w:val="es-ES" w:eastAsia="es-MX"/>
        </w:rPr>
        <w:t xml:space="preserve">; </w:t>
      </w:r>
      <w:r w:rsidRPr="00AD7ACB">
        <w:rPr>
          <w:rFonts w:ascii="Palatino Linotype" w:eastAsia="MS Mincho" w:hAnsi="Palatino Linotype" w:cs="Arial"/>
        </w:rPr>
        <w:t xml:space="preserve">contexto del cual se dolió </w:t>
      </w:r>
      <w:r w:rsidRPr="00AD7ACB">
        <w:rPr>
          <w:rFonts w:ascii="Palatino Linotype" w:eastAsia="MS Mincho" w:hAnsi="Palatino Linotype" w:cs="Arial"/>
          <w:b/>
        </w:rPr>
        <w:t xml:space="preserve">EL RECURRENTE </w:t>
      </w:r>
      <w:r w:rsidRPr="00AD7ACB">
        <w:rPr>
          <w:rFonts w:ascii="Palatino Linotype" w:eastAsia="MS Mincho" w:hAnsi="Palatino Linotype" w:cs="Arial"/>
        </w:rPr>
        <w:t>al momento de interponer su inconformidad.</w:t>
      </w:r>
      <w:r w:rsidRPr="00AD7ACB">
        <w:rPr>
          <w:rFonts w:ascii="Palatino Linotype" w:eastAsia="Times New Roman" w:hAnsi="Palatino Linotype" w:cs="Arial"/>
          <w:color w:val="000000" w:themeColor="text1"/>
          <w:lang w:val="es-ES" w:eastAsia="es-MX"/>
        </w:rPr>
        <w:t xml:space="preserve"> De modo tal </w:t>
      </w:r>
      <w:r w:rsidRPr="00AD7ACB">
        <w:rPr>
          <w:rFonts w:ascii="Palatino Linotype" w:hAnsi="Palatino Linotype" w:cs="Arial"/>
          <w:color w:val="000000" w:themeColor="text1"/>
        </w:rPr>
        <w:t xml:space="preserve">que el presente recurso de revisión se abocara en determinar si el </w:t>
      </w:r>
      <w:r w:rsidRPr="00AD7ACB">
        <w:rPr>
          <w:rFonts w:ascii="Palatino Linotype" w:hAnsi="Palatino Linotype" w:cs="Arial"/>
          <w:b/>
          <w:color w:val="000000" w:themeColor="text1"/>
        </w:rPr>
        <w:t>SUJETO</w:t>
      </w:r>
      <w:r w:rsidRPr="00AD7ACB">
        <w:rPr>
          <w:rFonts w:ascii="Palatino Linotype" w:hAnsi="Palatino Linotype" w:cs="Arial"/>
          <w:color w:val="000000" w:themeColor="text1"/>
        </w:rPr>
        <w:t xml:space="preserve"> </w:t>
      </w:r>
      <w:r w:rsidRPr="00AD7ACB">
        <w:rPr>
          <w:rFonts w:ascii="Palatino Linotype" w:hAnsi="Palatino Linotype" w:cs="Arial"/>
          <w:b/>
          <w:color w:val="000000" w:themeColor="text1"/>
        </w:rPr>
        <w:t>OBLIGADO</w:t>
      </w:r>
      <w:r w:rsidRPr="00AD7ACB">
        <w:rPr>
          <w:rFonts w:ascii="Palatino Linotype" w:hAnsi="Palatino Linotype" w:cs="Arial"/>
          <w:color w:val="000000" w:themeColor="text1"/>
        </w:rPr>
        <w:t xml:space="preserve"> con su respuesta ciertamente </w:t>
      </w:r>
      <w:r w:rsidRPr="00AD7ACB">
        <w:rPr>
          <w:rFonts w:ascii="Palatino Linotype" w:eastAsia="Times New Roman" w:hAnsi="Palatino Linotype"/>
          <w:color w:val="000000" w:themeColor="text1"/>
        </w:rPr>
        <w:t>actualiza la causal de procedencia</w:t>
      </w:r>
      <w:r w:rsidRPr="00AD7ACB">
        <w:rPr>
          <w:rFonts w:ascii="Palatino Linotype" w:eastAsia="Times New Roman" w:hAnsi="Palatino Linotype"/>
          <w:b/>
          <w:color w:val="000000" w:themeColor="text1"/>
        </w:rPr>
        <w:t xml:space="preserve"> </w:t>
      </w:r>
      <w:r w:rsidRPr="00AD7ACB">
        <w:rPr>
          <w:rFonts w:ascii="Palatino Linotype" w:eastAsia="Times New Roman" w:hAnsi="Palatino Linotype" w:cs="Arial"/>
          <w:color w:val="000000" w:themeColor="text1"/>
          <w:lang w:eastAsia="es-MX"/>
        </w:rPr>
        <w:t xml:space="preserve">antes señalada. </w:t>
      </w:r>
    </w:p>
    <w:p w:rsidR="009F09BC" w:rsidRPr="00AD7ACB" w:rsidRDefault="009F09BC" w:rsidP="009F09BC">
      <w:pPr>
        <w:pStyle w:val="Prrafodelista"/>
        <w:rPr>
          <w:rFonts w:ascii="Palatino Linotype" w:eastAsia="MS Mincho" w:hAnsi="Palatino Linotype" w:cs="Arial"/>
        </w:rPr>
      </w:pPr>
    </w:p>
    <w:p w:rsidR="009F09BC" w:rsidRPr="00AD7ACB" w:rsidRDefault="007D3805" w:rsidP="009F09BC">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AD7ACB">
        <w:rPr>
          <w:rFonts w:ascii="Palatino Linotype" w:hAnsi="Palatino Linotype"/>
          <w:b/>
          <w:color w:val="000000" w:themeColor="text1"/>
          <w:sz w:val="24"/>
          <w:szCs w:val="24"/>
        </w:rPr>
        <w:t>CUAR</w:t>
      </w:r>
      <w:r w:rsidR="009F09BC" w:rsidRPr="00AD7ACB">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Pr="00AD7ACB" w:rsidRDefault="009F09BC" w:rsidP="009F09BC">
      <w:pPr>
        <w:spacing w:line="360" w:lineRule="auto"/>
        <w:rPr>
          <w:rFonts w:ascii="Palatino Linotype" w:hAnsi="Palatino Linotype"/>
          <w:lang w:val="es-MX" w:eastAsia="en-US"/>
        </w:rPr>
      </w:pPr>
    </w:p>
    <w:p w:rsidR="0074722D" w:rsidRPr="00AD7ACB" w:rsidRDefault="005B6702" w:rsidP="00CD79A0">
      <w:pPr>
        <w:numPr>
          <w:ilvl w:val="0"/>
          <w:numId w:val="15"/>
        </w:numPr>
        <w:spacing w:line="360" w:lineRule="auto"/>
        <w:ind w:left="0" w:firstLine="0"/>
        <w:contextualSpacing/>
        <w:jc w:val="both"/>
        <w:rPr>
          <w:rFonts w:ascii="Palatino Linotype" w:hAnsi="Palatino Linotype"/>
          <w:color w:val="000000" w:themeColor="text1"/>
        </w:rPr>
      </w:pPr>
      <w:r w:rsidRPr="00AD7ACB">
        <w:rPr>
          <w:rFonts w:ascii="Palatino Linotype" w:hAnsi="Palatino Linotype"/>
          <w:color w:val="000000" w:themeColor="text1"/>
        </w:rPr>
        <w:t xml:space="preserve">Acotada la </w:t>
      </w:r>
      <w:r w:rsidRPr="00AD7ACB">
        <w:rPr>
          <w:rFonts w:ascii="Palatino Linotype" w:hAnsi="Palatino Linotype"/>
          <w:i/>
          <w:color w:val="000000" w:themeColor="text1"/>
        </w:rPr>
        <w:t>Litis</w:t>
      </w:r>
      <w:r w:rsidRPr="00AD7ACB">
        <w:rPr>
          <w:rFonts w:ascii="Palatino Linotype" w:hAnsi="Palatino Linotype"/>
          <w:color w:val="000000" w:themeColor="text1"/>
        </w:rPr>
        <w:t xml:space="preserve"> del presente asunto, primeramente es menester precisar</w:t>
      </w:r>
      <w:r w:rsidRPr="00AD7ACB">
        <w:rPr>
          <w:rFonts w:ascii="Palatino Linotype" w:hAnsi="Palatino Linotype"/>
          <w:bCs/>
          <w:color w:val="000000" w:themeColor="text1"/>
          <w:lang w:val="es-MX"/>
        </w:rPr>
        <w:t xml:space="preserve"> que </w:t>
      </w:r>
      <w:r w:rsidR="00CD79A0" w:rsidRPr="00AD7ACB">
        <w:rPr>
          <w:rFonts w:ascii="Palatino Linotype" w:hAnsi="Palatino Linotype"/>
          <w:bCs/>
          <w:color w:val="000000" w:themeColor="text1"/>
          <w:lang w:val="es-MX"/>
        </w:rPr>
        <w:t>se advierten procedentes</w:t>
      </w:r>
      <w:r w:rsidR="00A436F3" w:rsidRPr="00AD7ACB">
        <w:rPr>
          <w:rFonts w:ascii="Palatino Linotype" w:hAnsi="Palatino Linotype"/>
          <w:bCs/>
          <w:color w:val="000000" w:themeColor="text1"/>
          <w:lang w:val="es-MX"/>
        </w:rPr>
        <w:t xml:space="preserve"> los motivos de inconformidad, en virtud de que se observa que el hecho de que se haya hecho referencia a un recurso de revisión resuelto por este Instituto de manera anterior a la interposición de la solicitud de información, fue con el fin de ejemplificar la procedencia de la entrega de la información solicitada; no así por requerir información de un ayuntamiento diverso, por tal motivo se desestima la pretendida declinación de incompetencia propuesta por el </w:t>
      </w:r>
      <w:r w:rsidR="00A436F3" w:rsidRPr="00AD7ACB">
        <w:rPr>
          <w:rFonts w:ascii="Palatino Linotype" w:hAnsi="Palatino Linotype"/>
          <w:b/>
          <w:bCs/>
          <w:color w:val="000000" w:themeColor="text1"/>
          <w:lang w:val="es-MX"/>
        </w:rPr>
        <w:t>SUJETO OBLIGADO.</w:t>
      </w:r>
    </w:p>
    <w:p w:rsidR="00A436F3" w:rsidRPr="00AD7ACB" w:rsidRDefault="00A436F3" w:rsidP="00A436F3">
      <w:pPr>
        <w:spacing w:line="360" w:lineRule="auto"/>
        <w:contextualSpacing/>
        <w:jc w:val="both"/>
        <w:rPr>
          <w:rFonts w:ascii="Palatino Linotype" w:hAnsi="Palatino Linotype"/>
          <w:color w:val="000000" w:themeColor="text1"/>
        </w:rPr>
      </w:pPr>
    </w:p>
    <w:p w:rsidR="00A436F3" w:rsidRPr="00AD7ACB" w:rsidRDefault="00A436F3" w:rsidP="00A436F3">
      <w:pPr>
        <w:numPr>
          <w:ilvl w:val="0"/>
          <w:numId w:val="15"/>
        </w:numPr>
        <w:spacing w:line="360" w:lineRule="auto"/>
        <w:ind w:left="0" w:firstLine="0"/>
        <w:contextualSpacing/>
        <w:jc w:val="both"/>
        <w:rPr>
          <w:rFonts w:ascii="Palatino Linotype" w:hAnsi="Palatino Linotype"/>
          <w:color w:val="000000" w:themeColor="text1"/>
        </w:rPr>
      </w:pPr>
      <w:r w:rsidRPr="00AD7ACB">
        <w:rPr>
          <w:rFonts w:ascii="Palatino Linotype" w:hAnsi="Palatino Linotype"/>
          <w:color w:val="000000" w:themeColor="text1"/>
        </w:rPr>
        <w:t>En ese contexto, relativo a la procedencia o improcedencia de lo solicitado, debe señalarse que si bien es cierto, en el Recurso de Revisión</w:t>
      </w:r>
      <w:r w:rsidRPr="00AD7ACB">
        <w:rPr>
          <w:rFonts w:ascii="Palatino Linotype" w:hAnsi="Palatino Linotype"/>
        </w:rPr>
        <w:t xml:space="preserve"> </w:t>
      </w:r>
      <w:r w:rsidRPr="00AD7ACB">
        <w:rPr>
          <w:rFonts w:ascii="Palatino Linotype" w:hAnsi="Palatino Linotype"/>
          <w:b/>
          <w:color w:val="000000" w:themeColor="text1"/>
        </w:rPr>
        <w:t>03497/INFOEM/IP/RR/2020</w:t>
      </w:r>
      <w:r w:rsidR="00740F9D" w:rsidRPr="00AD7ACB">
        <w:rPr>
          <w:rFonts w:ascii="Palatino Linotype" w:hAnsi="Palatino Linotype"/>
          <w:color w:val="000000" w:themeColor="text1"/>
        </w:rPr>
        <w:t xml:space="preserve"> los entonces C</w:t>
      </w:r>
      <w:r w:rsidRPr="00AD7ACB">
        <w:rPr>
          <w:rFonts w:ascii="Palatino Linotype" w:hAnsi="Palatino Linotype"/>
          <w:color w:val="000000" w:themeColor="text1"/>
        </w:rPr>
        <w:t>omisionados que integraban el Pleno del INFOEM que aprob</w:t>
      </w:r>
      <w:r w:rsidR="00740F9D" w:rsidRPr="00AD7ACB">
        <w:rPr>
          <w:rFonts w:ascii="Palatino Linotype" w:hAnsi="Palatino Linotype"/>
          <w:color w:val="000000" w:themeColor="text1"/>
        </w:rPr>
        <w:t>aron esa resolución, determinaron</w:t>
      </w:r>
      <w:r w:rsidR="008A6CDD" w:rsidRPr="00AD7ACB">
        <w:rPr>
          <w:rFonts w:ascii="Palatino Linotype" w:hAnsi="Palatino Linotype"/>
          <w:color w:val="000000" w:themeColor="text1"/>
        </w:rPr>
        <w:t xml:space="preserve"> por mayoría de votos procedente </w:t>
      </w:r>
      <w:r w:rsidR="00740F9D" w:rsidRPr="00AD7ACB">
        <w:rPr>
          <w:rFonts w:ascii="Palatino Linotype" w:hAnsi="Palatino Linotype"/>
          <w:color w:val="000000" w:themeColor="text1"/>
        </w:rPr>
        <w:t xml:space="preserve">ordenar </w:t>
      </w:r>
      <w:r w:rsidR="008A6CDD" w:rsidRPr="00AD7ACB">
        <w:rPr>
          <w:rFonts w:ascii="Palatino Linotype" w:hAnsi="Palatino Linotype"/>
          <w:color w:val="000000" w:themeColor="text1"/>
        </w:rPr>
        <w:t>la entrega</w:t>
      </w:r>
      <w:r w:rsidR="00740F9D" w:rsidRPr="00AD7ACB">
        <w:rPr>
          <w:rFonts w:ascii="Palatino Linotype" w:hAnsi="Palatino Linotype"/>
          <w:color w:val="000000" w:themeColor="text1"/>
        </w:rPr>
        <w:t>;</w:t>
      </w:r>
      <w:r w:rsidR="008A6CDD" w:rsidRPr="00AD7ACB">
        <w:rPr>
          <w:rFonts w:ascii="Palatino Linotype" w:hAnsi="Palatino Linotype"/>
          <w:color w:val="000000" w:themeColor="text1"/>
        </w:rPr>
        <w:t xml:space="preserve"> también lo es que el Pleno actual de este Orégano Garante detenta sus propios criterios y que son del tenor siguiente.</w:t>
      </w:r>
    </w:p>
    <w:p w:rsidR="008A6CDD" w:rsidRPr="00AD7ACB" w:rsidRDefault="008A6CDD" w:rsidP="008A6CDD">
      <w:pPr>
        <w:pStyle w:val="Prrafodelista"/>
        <w:rPr>
          <w:rFonts w:ascii="Palatino Linotype" w:hAnsi="Palatino Linotype"/>
          <w:color w:val="000000" w:themeColor="text1"/>
        </w:rPr>
      </w:pPr>
    </w:p>
    <w:p w:rsidR="008A6CDD" w:rsidRPr="00AD7ACB" w:rsidRDefault="008A6CDD" w:rsidP="008A6CDD">
      <w:pPr>
        <w:numPr>
          <w:ilvl w:val="0"/>
          <w:numId w:val="15"/>
        </w:numPr>
        <w:spacing w:line="360" w:lineRule="auto"/>
        <w:ind w:left="0" w:firstLine="0"/>
        <w:contextualSpacing/>
        <w:jc w:val="both"/>
        <w:rPr>
          <w:rFonts w:ascii="Palatino Linotype" w:hAnsi="Palatino Linotype"/>
          <w:color w:val="000000" w:themeColor="text1"/>
        </w:rPr>
      </w:pPr>
      <w:r w:rsidRPr="00AD7ACB">
        <w:rPr>
          <w:rFonts w:ascii="Palatino Linotype" w:hAnsi="Palatino Linotype"/>
          <w:color w:val="000000" w:themeColor="text1"/>
        </w:rPr>
        <w:lastRenderedPageBreak/>
        <w:t>Primeramente señalar que relativo a todos los nombres de los servidores públicos adscritos a la Comisaria de Seguridad Pública y Movilidad, resulta parcialmente la procedencia de su entrega; toda vez que únicamente pueden ser entregados los nombres de mando medio y superiores, no así al resto de personal de carácter operativo.</w:t>
      </w:r>
    </w:p>
    <w:p w:rsidR="008A6CDD" w:rsidRPr="00AD7ACB" w:rsidRDefault="008A6CDD" w:rsidP="008A6CDD">
      <w:pPr>
        <w:pStyle w:val="Prrafodelista"/>
        <w:rPr>
          <w:rFonts w:ascii="Palatino Linotype" w:hAnsi="Palatino Linotype"/>
          <w:color w:val="000000" w:themeColor="text1"/>
        </w:rPr>
      </w:pPr>
    </w:p>
    <w:p w:rsidR="008A6CDD" w:rsidRPr="00AD7ACB" w:rsidRDefault="008A6CDD" w:rsidP="008A6CDD">
      <w:pPr>
        <w:numPr>
          <w:ilvl w:val="0"/>
          <w:numId w:val="15"/>
        </w:numPr>
        <w:spacing w:line="360" w:lineRule="auto"/>
        <w:ind w:left="0" w:firstLine="0"/>
        <w:contextualSpacing/>
        <w:jc w:val="both"/>
        <w:rPr>
          <w:rFonts w:ascii="Palatino Linotype" w:hAnsi="Palatino Linotype"/>
        </w:rPr>
      </w:pPr>
      <w:r w:rsidRPr="00AD7ACB">
        <w:rPr>
          <w:rFonts w:ascii="Palatino Linotype" w:hAnsi="Palatino Linotype"/>
        </w:rPr>
        <w:t xml:space="preserve">Lo anterior es así, toda vez que los nombres de </w:t>
      </w:r>
      <w:r w:rsidRPr="00AD7ACB">
        <w:rPr>
          <w:rFonts w:ascii="Palatino Linotype" w:hAnsi="Palatino Linotype"/>
          <w:b/>
        </w:rPr>
        <w:t>los elementos que realizan funciones operativas deben ser protegidos</w:t>
      </w:r>
      <w:r w:rsidRPr="00AD7ACB">
        <w:rPr>
          <w:rFonts w:ascii="Palatino Linotype" w:hAnsi="Palatino Linotype"/>
        </w:rPr>
        <w:t xml:space="preserve">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8A6CDD" w:rsidRPr="00AD7ACB" w:rsidRDefault="008A6CDD" w:rsidP="008A6CDD">
      <w:pPr>
        <w:pStyle w:val="Prrafodelista"/>
        <w:spacing w:line="360" w:lineRule="auto"/>
        <w:ind w:left="360"/>
        <w:jc w:val="both"/>
        <w:rPr>
          <w:rFonts w:ascii="Palatino Linotype" w:hAnsi="Palatino Linotype"/>
        </w:rPr>
      </w:pPr>
    </w:p>
    <w:p w:rsidR="008A6CDD" w:rsidRPr="00AD7ACB" w:rsidRDefault="008A6CDD" w:rsidP="008A6CDD">
      <w:pPr>
        <w:numPr>
          <w:ilvl w:val="0"/>
          <w:numId w:val="15"/>
        </w:numPr>
        <w:spacing w:line="360" w:lineRule="auto"/>
        <w:ind w:left="0" w:firstLine="0"/>
        <w:contextualSpacing/>
        <w:jc w:val="both"/>
        <w:rPr>
          <w:rFonts w:ascii="Palatino Linotype" w:hAnsi="Palatino Linotype"/>
        </w:rPr>
      </w:pPr>
      <w:r w:rsidRPr="00AD7ACB">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 Se afirma lo anterior, en virtud de que no </w:t>
      </w:r>
      <w:r w:rsidRPr="00AD7ACB">
        <w:rPr>
          <w:rFonts w:ascii="Palatino Linotype" w:hAnsi="Palatino Linotype"/>
        </w:rPr>
        <w:lastRenderedPageBreak/>
        <w:t>debe perderse de vista que existen funciones a cargo de servidores públicos, tendientes a garantizar de manera directa la seguridad pública, a través de acciones preventivas y correctivas encaminadas a combatir a la delincuencia en sus diferentes manifestaciones.</w:t>
      </w:r>
    </w:p>
    <w:p w:rsidR="008A6CDD" w:rsidRPr="00AD7ACB" w:rsidRDefault="008A6CDD" w:rsidP="008A6CDD">
      <w:pPr>
        <w:pStyle w:val="Prrafodelista"/>
        <w:spacing w:line="360" w:lineRule="auto"/>
        <w:ind w:left="360"/>
        <w:jc w:val="both"/>
        <w:rPr>
          <w:rFonts w:ascii="Palatino Linotype" w:hAnsi="Palatino Linotype"/>
        </w:rPr>
      </w:pPr>
    </w:p>
    <w:p w:rsidR="008A6CDD" w:rsidRPr="00AD7ACB" w:rsidRDefault="008A6CDD" w:rsidP="008A6CDD">
      <w:pPr>
        <w:numPr>
          <w:ilvl w:val="0"/>
          <w:numId w:val="15"/>
        </w:numPr>
        <w:spacing w:line="360" w:lineRule="auto"/>
        <w:ind w:left="0" w:firstLine="0"/>
        <w:contextualSpacing/>
        <w:jc w:val="both"/>
        <w:rPr>
          <w:rFonts w:ascii="Palatino Linotype" w:hAnsi="Palatino Linotype" w:cs="Arial"/>
        </w:rPr>
      </w:pPr>
      <w:r w:rsidRPr="00AD7ACB">
        <w:rPr>
          <w:rFonts w:ascii="Palatino Linotype" w:hAnsi="Palatino Linotype" w:cs="Arial"/>
        </w:rPr>
        <w:t xml:space="preserve">Argumento </w:t>
      </w:r>
      <w:r w:rsidRPr="00AD7ACB">
        <w:rPr>
          <w:rFonts w:ascii="Palatino Linotype" w:hAnsi="Palatino Linotype"/>
        </w:rPr>
        <w:t>que</w:t>
      </w:r>
      <w:r w:rsidRPr="00AD7ACB">
        <w:rPr>
          <w:rFonts w:ascii="Palatino Linotype" w:hAnsi="Palatino Linotype" w:cs="Arial"/>
        </w:rPr>
        <w:t xml:space="preserve"> se fortalece con lo estipulado en el Criterio número 06/09, emitido por el Pleno del entonces Instituto Federal de Acceso a la Información y Protección de Datos</w:t>
      </w:r>
      <w:r w:rsidRPr="00AD7ACB">
        <w:rPr>
          <w:rStyle w:val="Textoennegrita"/>
          <w:rFonts w:ascii="Palatino Linotype" w:hAnsi="Palatino Linotype" w:cs="Arial"/>
        </w:rPr>
        <w:t xml:space="preserve">, </w:t>
      </w:r>
      <w:r w:rsidRPr="00AD7ACB">
        <w:rPr>
          <w:rFonts w:ascii="Palatino Linotype" w:hAnsi="Palatino Linotype" w:cs="Arial"/>
        </w:rPr>
        <w:t xml:space="preserve">el cual refiere: </w:t>
      </w:r>
    </w:p>
    <w:p w:rsidR="008A6CDD" w:rsidRPr="00AD7ACB" w:rsidRDefault="008A6CDD" w:rsidP="008A6CDD">
      <w:pPr>
        <w:pStyle w:val="Prrafodelista"/>
        <w:autoSpaceDE w:val="0"/>
        <w:autoSpaceDN w:val="0"/>
        <w:adjustRightInd w:val="0"/>
        <w:ind w:left="357" w:right="567"/>
        <w:jc w:val="both"/>
        <w:rPr>
          <w:rFonts w:ascii="Palatino Linotype" w:hAnsi="Palatino Linotype" w:cs="Arial"/>
          <w:b/>
          <w:bCs/>
          <w:i/>
          <w:lang w:eastAsia="es-MX"/>
        </w:rPr>
      </w:pPr>
    </w:p>
    <w:p w:rsidR="008A6CDD" w:rsidRPr="00AD7ACB" w:rsidRDefault="008A6CDD" w:rsidP="008A6CDD">
      <w:pPr>
        <w:pStyle w:val="Prrafodelista"/>
        <w:autoSpaceDE w:val="0"/>
        <w:autoSpaceDN w:val="0"/>
        <w:adjustRightInd w:val="0"/>
        <w:ind w:left="357" w:right="567"/>
        <w:jc w:val="both"/>
        <w:rPr>
          <w:rFonts w:ascii="Palatino Linotype" w:hAnsi="Palatino Linotype" w:cs="Arial"/>
          <w:i/>
          <w:lang w:eastAsia="es-MX"/>
        </w:rPr>
      </w:pPr>
      <w:r w:rsidRPr="00AD7ACB">
        <w:rPr>
          <w:rFonts w:ascii="Palatino Linotype" w:hAnsi="Palatino Linotype" w:cs="Arial"/>
          <w:b/>
          <w:bCs/>
          <w:i/>
          <w:lang w:eastAsia="es-MX"/>
        </w:rPr>
        <w:t xml:space="preserve">“Nombres de servidores públicos dedicados a actividades en materia de seguridad, por excepción pueden considerarse información reservada. </w:t>
      </w:r>
      <w:r w:rsidRPr="00AD7ACB">
        <w:rPr>
          <w:rFonts w:ascii="Palatino Linotype" w:hAnsi="Palatino Linotype" w:cs="Arial"/>
          <w:bCs/>
          <w:i/>
          <w:lang w:eastAsia="es-MX"/>
        </w:rPr>
        <w:t xml:space="preserve">De conformidad con el artículo 7, fracciones I y III de la Ley Federal de Transparencia y Acceso a la Información Pública Gubernamental </w:t>
      </w:r>
      <w:r w:rsidRPr="00AD7ACB">
        <w:rPr>
          <w:rFonts w:ascii="Palatino Linotype" w:hAnsi="Palatino Linotype" w:cs="Arial"/>
          <w:i/>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AD7ACB">
        <w:rPr>
          <w:rFonts w:ascii="Palatino Linotype" w:hAnsi="Palatino Linotype" w:cs="Arial"/>
          <w:bCs/>
          <w:i/>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AD7ACB">
        <w:rPr>
          <w:rFonts w:ascii="Palatino Linotype" w:hAnsi="Palatino Linotype" w:cs="Arial"/>
          <w:i/>
          <w:lang w:eastAsia="es-MX"/>
        </w:rPr>
        <w:t>el artículo 13, fracción I de la ley de referencia se establece que podrá clasificarse aquella información cuya difusión pueda comprometer la seguridad nacional y pública.</w:t>
      </w:r>
      <w:r w:rsidRPr="00AD7ACB">
        <w:rPr>
          <w:rFonts w:ascii="Palatino Linotype" w:hAnsi="Palatino Linotype" w:cs="Arial"/>
          <w:bCs/>
          <w:i/>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AD7ACB">
        <w:rPr>
          <w:rFonts w:ascii="Palatino Linotype" w:hAnsi="Palatino Linotype" w:cs="Arial"/>
          <w:b/>
          <w:bCs/>
          <w:i/>
          <w:lang w:eastAsia="es-MX"/>
        </w:rPr>
        <w:t>p</w:t>
      </w:r>
      <w:r w:rsidRPr="00AD7ACB">
        <w:rPr>
          <w:rFonts w:ascii="Palatino Linotype" w:hAnsi="Palatino Linotype" w:cs="Arial"/>
          <w:i/>
          <w:lang w:eastAsia="es-MX"/>
        </w:rPr>
        <w:t>or lo que la reserva de la relación de los nombres y las funciones que desempeñan los servidores públicos que prestan sus servicios en áreas de seguridad nacional o pública</w:t>
      </w:r>
      <w:r w:rsidRPr="00AD7ACB">
        <w:rPr>
          <w:rFonts w:ascii="Palatino Linotype" w:hAnsi="Palatino Linotype" w:cs="Arial"/>
          <w:bCs/>
          <w:i/>
          <w:lang w:eastAsia="es-MX"/>
        </w:rPr>
        <w:t>, puede llegar a constituirse en un componente fundamental en el esfuerzo que realiza el Estado Mexicano para garantizar la seguridad del país en sus diferentes vertientes</w:t>
      </w:r>
      <w:r w:rsidRPr="00AD7ACB">
        <w:rPr>
          <w:rFonts w:ascii="Palatino Linotype" w:hAnsi="Palatino Linotype" w:cs="Arial"/>
          <w:i/>
          <w:lang w:eastAsia="es-MX"/>
        </w:rPr>
        <w:t>”</w:t>
      </w:r>
    </w:p>
    <w:p w:rsidR="008A6CDD" w:rsidRPr="00AD7ACB" w:rsidRDefault="008A6CDD" w:rsidP="008A6CDD">
      <w:pPr>
        <w:pStyle w:val="Prrafodelista"/>
        <w:spacing w:line="360" w:lineRule="auto"/>
        <w:ind w:left="360"/>
        <w:jc w:val="both"/>
        <w:rPr>
          <w:rFonts w:ascii="Palatino Linotype" w:hAnsi="Palatino Linotype"/>
        </w:rPr>
      </w:pPr>
    </w:p>
    <w:p w:rsidR="008A6CDD" w:rsidRPr="00AD7ACB" w:rsidRDefault="008A6CDD" w:rsidP="008A6CDD">
      <w:pPr>
        <w:numPr>
          <w:ilvl w:val="0"/>
          <w:numId w:val="15"/>
        </w:numPr>
        <w:spacing w:line="360" w:lineRule="auto"/>
        <w:ind w:left="0" w:firstLine="0"/>
        <w:contextualSpacing/>
        <w:jc w:val="both"/>
        <w:rPr>
          <w:rFonts w:ascii="Palatino Linotype" w:hAnsi="Palatino Linotype"/>
        </w:rPr>
      </w:pPr>
      <w:r w:rsidRPr="00AD7ACB">
        <w:rPr>
          <w:rFonts w:ascii="Palatino Linotype" w:hAnsi="Palatino Linotype"/>
        </w:rPr>
        <w:lastRenderedPageBreak/>
        <w:t xml:space="preserve">Con base en lo expuesto por el ahora Instituto Nacional de Transparencia, </w:t>
      </w:r>
      <w:r w:rsidRPr="00AD7ACB">
        <w:rPr>
          <w:rFonts w:ascii="Palatino Linotype" w:hAnsi="Palatino Linotype" w:cs="Arial"/>
        </w:rPr>
        <w:t>Acceso</w:t>
      </w:r>
      <w:r w:rsidRPr="00AD7ACB">
        <w:rPr>
          <w:rFonts w:ascii="Palatino Linotype" w:hAnsi="Palatino Linotype"/>
        </w:rPr>
        <w:t xml:space="preserve">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p>
    <w:p w:rsidR="008A6CDD" w:rsidRPr="00AD7ACB" w:rsidRDefault="008A6CDD" w:rsidP="008A6CDD">
      <w:pPr>
        <w:pStyle w:val="Prrafodelista"/>
        <w:spacing w:line="360" w:lineRule="auto"/>
        <w:ind w:left="360"/>
        <w:jc w:val="both"/>
        <w:rPr>
          <w:rFonts w:ascii="Palatino Linotype" w:hAnsi="Palatino Linotype"/>
        </w:rPr>
      </w:pPr>
    </w:p>
    <w:p w:rsidR="008A6CDD" w:rsidRPr="00AD7ACB" w:rsidRDefault="008A6CDD" w:rsidP="008A6CDD">
      <w:pPr>
        <w:numPr>
          <w:ilvl w:val="0"/>
          <w:numId w:val="15"/>
        </w:numPr>
        <w:spacing w:line="360" w:lineRule="auto"/>
        <w:ind w:left="0" w:firstLine="0"/>
        <w:contextualSpacing/>
        <w:jc w:val="both"/>
        <w:rPr>
          <w:rFonts w:ascii="Palatino Linotype" w:hAnsi="Palatino Linotype" w:cs="Segoe UI"/>
        </w:rPr>
      </w:pPr>
      <w:r w:rsidRPr="00AD7ACB">
        <w:rPr>
          <w:rFonts w:ascii="Palatino Linotype" w:hAnsi="Palatino Linotype"/>
        </w:rPr>
        <w:t xml:space="preserve">Así, el </w:t>
      </w:r>
      <w:r w:rsidRPr="00AD7ACB">
        <w:rPr>
          <w:rFonts w:ascii="Palatino Linotype" w:hAnsi="Palatino Linotype" w:cs="Segoe UI"/>
        </w:rPr>
        <w:t xml:space="preserve">derecho de acceso a la información encuentra límites en el propio texto </w:t>
      </w:r>
      <w:r w:rsidRPr="00AD7ACB">
        <w:rPr>
          <w:rFonts w:ascii="Palatino Linotype" w:hAnsi="Palatino Linotype"/>
        </w:rPr>
        <w:t>constitucional</w:t>
      </w:r>
      <w:r w:rsidRPr="00AD7ACB">
        <w:rPr>
          <w:rFonts w:ascii="Palatino Linotype" w:hAnsi="Palatino Linotype" w:cs="Segoe UI"/>
        </w:rPr>
        <w:t xml:space="preserve">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rsidR="008A6CDD" w:rsidRPr="00AD7ACB" w:rsidRDefault="008A6CDD" w:rsidP="008A6CDD">
      <w:pPr>
        <w:pStyle w:val="Prrafodelista"/>
        <w:spacing w:line="360" w:lineRule="auto"/>
        <w:ind w:left="360"/>
        <w:jc w:val="both"/>
        <w:rPr>
          <w:rFonts w:ascii="Palatino Linotype" w:hAnsi="Palatino Linotype" w:cs="Segoe UI"/>
        </w:rPr>
      </w:pPr>
    </w:p>
    <w:p w:rsidR="008A6CDD" w:rsidRPr="00AD7ACB" w:rsidRDefault="008A6CDD" w:rsidP="008A6CDD">
      <w:pPr>
        <w:pStyle w:val="Prrafodelista"/>
        <w:autoSpaceDE w:val="0"/>
        <w:autoSpaceDN w:val="0"/>
        <w:adjustRightInd w:val="0"/>
        <w:ind w:left="357" w:right="567"/>
        <w:jc w:val="both"/>
        <w:rPr>
          <w:rFonts w:ascii="Palatino Linotype" w:eastAsia="Calibri" w:hAnsi="Palatino Linotype" w:cs="Arial"/>
          <w:i/>
        </w:rPr>
      </w:pPr>
      <w:r w:rsidRPr="00AD7ACB">
        <w:rPr>
          <w:rFonts w:ascii="Palatino Linotype" w:eastAsia="Calibri" w:hAnsi="Palatino Linotype" w:cs="Arial"/>
          <w:b/>
          <w:bCs/>
          <w:i/>
        </w:rPr>
        <w:t xml:space="preserve">“DERECHO A LA INFORMACIÓN. SU EJERCICIO SE ENCUENTRA LIMITADO TANTO POR LOS INTERESES NACIONALES Y DE LA SOCIEDAD, COMO POR LOS DERECHOS DE TERCEROS. </w:t>
      </w:r>
      <w:r w:rsidRPr="00AD7ACB">
        <w:rPr>
          <w:rFonts w:ascii="Palatino Linotype" w:eastAsia="Calibri" w:hAnsi="Palatino Linotype" w:cs="Arial"/>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w:t>
      </w:r>
      <w:r w:rsidRPr="00AD7ACB">
        <w:rPr>
          <w:rFonts w:ascii="Palatino Linotype" w:eastAsia="Calibri" w:hAnsi="Palatino Linotype" w:cs="Arial"/>
          <w:i/>
        </w:rPr>
        <w:lastRenderedPageBreak/>
        <w:t>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8A6CDD" w:rsidRPr="00AD7ACB" w:rsidRDefault="008A6CDD" w:rsidP="008A6CDD">
      <w:pPr>
        <w:pStyle w:val="Prrafodelista"/>
        <w:autoSpaceDE w:val="0"/>
        <w:autoSpaceDN w:val="0"/>
        <w:adjustRightInd w:val="0"/>
        <w:ind w:left="357" w:right="567"/>
        <w:jc w:val="both"/>
        <w:rPr>
          <w:rFonts w:ascii="Palatino Linotype" w:eastAsia="Calibri" w:hAnsi="Palatino Linotype" w:cs="Arial"/>
          <w:i/>
        </w:rPr>
      </w:pPr>
    </w:p>
    <w:p w:rsidR="008A6CDD" w:rsidRPr="00AD7ACB" w:rsidRDefault="008A6CDD" w:rsidP="008A6CDD">
      <w:pPr>
        <w:pStyle w:val="Prrafodelista"/>
        <w:ind w:left="357" w:right="567"/>
        <w:jc w:val="both"/>
        <w:rPr>
          <w:rFonts w:ascii="Palatino Linotype" w:hAnsi="Palatino Linotype"/>
          <w:i/>
          <w:iCs/>
          <w:lang w:eastAsia="es-MX"/>
        </w:rPr>
      </w:pPr>
      <w:r w:rsidRPr="00AD7ACB">
        <w:rPr>
          <w:rFonts w:ascii="Palatino Linotype" w:hAnsi="Palatino Linotype"/>
          <w:b/>
          <w:bCs/>
          <w:i/>
          <w:iCs/>
          <w:lang w:eastAsia="es-MX"/>
        </w:rPr>
        <w:t>“TRANSPARENCIA Y ACCESO A LA INFORMACIÓN PÚBLICA GUBERNAMENTAL. EL ARTÍCULO 14, FRACCIÓN I, DE LA LEY FEDERAL RELATIVA, NO VIOLA LA GARANTÍA DE ACCESO A LA INFORMACIÓN.</w:t>
      </w:r>
      <w:r w:rsidRPr="00AD7ACB">
        <w:rPr>
          <w:rFonts w:ascii="Palatino Linotype" w:hAnsi="Palatino Linotype"/>
          <w:i/>
          <w:iCs/>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D7ACB">
        <w:rPr>
          <w:rFonts w:ascii="Palatino Linotype" w:hAnsi="Palatino Linotype"/>
          <w:b/>
          <w:bCs/>
          <w:i/>
          <w:iCs/>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D7ACB">
        <w:rPr>
          <w:rFonts w:ascii="Palatino Linotype" w:hAnsi="Palatino Linotype"/>
          <w:i/>
          <w:iCs/>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8A6CDD" w:rsidRPr="00AD7ACB" w:rsidRDefault="008A6CDD" w:rsidP="008A6CDD">
      <w:pPr>
        <w:pStyle w:val="Prrafodelista"/>
        <w:ind w:left="357" w:right="567"/>
        <w:jc w:val="both"/>
        <w:rPr>
          <w:rFonts w:ascii="Palatino Linotype" w:hAnsi="Palatino Linotype"/>
          <w:i/>
          <w:iCs/>
          <w:lang w:eastAsia="es-MX"/>
        </w:rPr>
      </w:pPr>
    </w:p>
    <w:p w:rsidR="008A6CDD" w:rsidRPr="00AD7ACB" w:rsidRDefault="008A6CDD" w:rsidP="008A6CDD">
      <w:pPr>
        <w:numPr>
          <w:ilvl w:val="0"/>
          <w:numId w:val="15"/>
        </w:numPr>
        <w:spacing w:line="360" w:lineRule="auto"/>
        <w:ind w:left="0" w:firstLine="0"/>
        <w:contextualSpacing/>
        <w:jc w:val="both"/>
        <w:rPr>
          <w:rFonts w:ascii="Palatino Linotype" w:hAnsi="Palatino Linotype" w:cs="Arial"/>
        </w:rPr>
      </w:pPr>
      <w:r w:rsidRPr="00AD7ACB">
        <w:rPr>
          <w:rFonts w:ascii="Palatino Linotype" w:hAnsi="Palatino Linotype" w:cs="Arial"/>
        </w:rPr>
        <w:lastRenderedPageBreak/>
        <w:t>Así y de acuerdo con lo expuesto, la limitación para acceder al nombre de los policías o personal con funciones operativas es proporcional y adecuada, respecto del bien jurídico tutelado; así, ordenar la entrega de los documentos en donde se elimine el nombre de dichos trabajadores, permite garantizar el acceso a la información pública y se protege la vida, salud o seguridad de los elementos operativos encargados del combate a los delincuentes y prevención de los delitos, ya que con la eliminación de su nombre en dicho documento es imposible hacerlos identificables a través de este. De tal manera que se reitera únicamente como procedente, la entrega del personal con carácter de mando medio y superior, esto porque además corresponde a una obligación de transparencia común, como se desprende de la fracción VII del artículo 92, a saber:</w:t>
      </w:r>
    </w:p>
    <w:p w:rsidR="008A6CDD" w:rsidRPr="00AD7ACB" w:rsidRDefault="008A6CDD" w:rsidP="008A6CDD">
      <w:pPr>
        <w:spacing w:line="360" w:lineRule="auto"/>
        <w:contextualSpacing/>
        <w:jc w:val="both"/>
        <w:rPr>
          <w:rFonts w:ascii="Palatino Linotype" w:hAnsi="Palatino Linotype" w:cs="Arial"/>
        </w:rPr>
      </w:pPr>
    </w:p>
    <w:p w:rsidR="008A6CDD" w:rsidRPr="00AD7ACB" w:rsidRDefault="008A6CDD" w:rsidP="008A6CDD">
      <w:pPr>
        <w:ind w:left="426" w:right="474"/>
        <w:contextualSpacing/>
        <w:jc w:val="both"/>
        <w:rPr>
          <w:rFonts w:ascii="Palatino Linotype" w:hAnsi="Palatino Linotype" w:cs="Arial"/>
          <w:i/>
        </w:rPr>
      </w:pPr>
      <w:r w:rsidRPr="00AD7ACB">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A6CDD" w:rsidRPr="00AD7ACB" w:rsidRDefault="008A6CDD" w:rsidP="008A6CDD">
      <w:pPr>
        <w:ind w:left="426" w:right="474"/>
        <w:contextualSpacing/>
        <w:jc w:val="both"/>
        <w:rPr>
          <w:rFonts w:ascii="Palatino Linotype" w:hAnsi="Palatino Linotype" w:cs="Arial"/>
          <w:i/>
        </w:rPr>
      </w:pPr>
      <w:r w:rsidRPr="00AD7ACB">
        <w:rPr>
          <w:rFonts w:ascii="Palatino Linotype" w:hAnsi="Palatino Linotype" w:cs="Arial"/>
          <w:i/>
        </w:rPr>
        <w:t>...</w:t>
      </w:r>
    </w:p>
    <w:p w:rsidR="008A6CDD" w:rsidRPr="00AD7ACB" w:rsidRDefault="008A6CDD" w:rsidP="008A6CDD">
      <w:pPr>
        <w:ind w:left="426" w:right="474"/>
        <w:contextualSpacing/>
        <w:jc w:val="both"/>
        <w:rPr>
          <w:rFonts w:ascii="Palatino Linotype" w:hAnsi="Palatino Linotype" w:cs="Arial"/>
          <w:i/>
        </w:rPr>
      </w:pPr>
      <w:r w:rsidRPr="00AD7ACB">
        <w:rPr>
          <w:rFonts w:ascii="Palatino Linotype" w:hAnsi="Palatino Linotype" w:cs="Arial"/>
          <w:i/>
        </w:rPr>
        <w:t>VII. El directorio de todos los servidores públicos</w:t>
      </w:r>
      <w:r w:rsidRPr="00AD7ACB">
        <w:rPr>
          <w:rFonts w:ascii="Palatino Linotype" w:hAnsi="Palatino Linotype" w:cs="Arial"/>
          <w:b/>
          <w:i/>
        </w:rPr>
        <w:t>, a partir del nivel de jefe de departamento o su equivalente o de menor nivel</w:t>
      </w:r>
      <w:r w:rsidRPr="00AD7ACB">
        <w:rPr>
          <w:rFonts w:ascii="Palatino Linotype" w:hAnsi="Palatino Linotype" w:cs="Arial"/>
          <w:i/>
        </w:rPr>
        <w:t>, cuando se brinde atención al público, manejen o apliquen recursos públicos, realicen actos de autoridad o presten servicios profesionales bajo el régimen de confianza u honorarios y personal de base.</w:t>
      </w:r>
    </w:p>
    <w:p w:rsidR="0070176B" w:rsidRPr="00AD7ACB" w:rsidRDefault="0070176B" w:rsidP="008A6CDD">
      <w:pPr>
        <w:ind w:left="426" w:right="474"/>
        <w:contextualSpacing/>
        <w:jc w:val="both"/>
        <w:rPr>
          <w:rFonts w:ascii="Palatino Linotype" w:hAnsi="Palatino Linotype" w:cs="Arial"/>
          <w:i/>
        </w:rPr>
      </w:pPr>
    </w:p>
    <w:p w:rsidR="008A6CDD" w:rsidRPr="00AD7ACB" w:rsidRDefault="008A6CDD" w:rsidP="008A6CDD">
      <w:pPr>
        <w:ind w:left="426" w:right="474"/>
        <w:contextualSpacing/>
        <w:jc w:val="both"/>
        <w:rPr>
          <w:rFonts w:ascii="Palatino Linotype" w:hAnsi="Palatino Linotype" w:cs="Arial"/>
          <w:i/>
        </w:rPr>
      </w:pPr>
      <w:r w:rsidRPr="00AD7ACB">
        <w:rPr>
          <w:rFonts w:ascii="Palatino Linotype" w:hAnsi="Palatino Linotype" w:cs="Arial"/>
          <w:b/>
          <w:i/>
        </w:rPr>
        <w:t>El directorio deberá incluir, al menos el nombre</w:t>
      </w:r>
      <w:r w:rsidRPr="00AD7ACB">
        <w:rPr>
          <w:rFonts w:ascii="Palatino Linotype" w:hAnsi="Palatino Linotype" w:cs="Arial"/>
          <w:i/>
        </w:rPr>
        <w:t>,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8A6CDD" w:rsidRPr="00AD7ACB" w:rsidRDefault="008A6CDD" w:rsidP="008A6CDD">
      <w:pPr>
        <w:ind w:left="426" w:right="474"/>
        <w:contextualSpacing/>
        <w:jc w:val="both"/>
        <w:rPr>
          <w:rFonts w:ascii="Palatino Linotype" w:hAnsi="Palatino Linotype" w:cs="Arial"/>
          <w:i/>
        </w:rPr>
      </w:pPr>
      <w:r w:rsidRPr="00AD7ACB">
        <w:rPr>
          <w:rFonts w:ascii="Palatino Linotype" w:hAnsi="Palatino Linotype" w:cs="Arial"/>
          <w:i/>
        </w:rPr>
        <w:t>...”</w:t>
      </w:r>
    </w:p>
    <w:p w:rsidR="008A6CDD" w:rsidRPr="00AD7ACB" w:rsidRDefault="008A6CDD" w:rsidP="008A6CDD">
      <w:pPr>
        <w:spacing w:line="360" w:lineRule="auto"/>
        <w:contextualSpacing/>
        <w:jc w:val="both"/>
        <w:rPr>
          <w:rFonts w:ascii="Palatino Linotype" w:hAnsi="Palatino Linotype" w:cs="Arial"/>
        </w:rPr>
      </w:pPr>
    </w:p>
    <w:p w:rsidR="0070176B" w:rsidRPr="00AD7ACB" w:rsidRDefault="0070176B" w:rsidP="0070176B">
      <w:pPr>
        <w:numPr>
          <w:ilvl w:val="0"/>
          <w:numId w:val="15"/>
        </w:numPr>
        <w:spacing w:line="360" w:lineRule="auto"/>
        <w:ind w:left="0" w:firstLine="0"/>
        <w:contextualSpacing/>
        <w:jc w:val="both"/>
        <w:rPr>
          <w:rFonts w:ascii="Palatino Linotype" w:eastAsia="Palatino Linotype" w:hAnsi="Palatino Linotype" w:cs="Palatino Linotype"/>
        </w:rPr>
      </w:pPr>
      <w:r w:rsidRPr="00AD7ACB">
        <w:rPr>
          <w:rFonts w:ascii="Palatino Linotype" w:hAnsi="Palatino Linotype"/>
          <w:color w:val="000000" w:themeColor="text1"/>
        </w:rPr>
        <w:lastRenderedPageBreak/>
        <w:t xml:space="preserve">Respecto del </w:t>
      </w:r>
      <w:r w:rsidRPr="00AD7ACB">
        <w:rPr>
          <w:rFonts w:ascii="Palatino Linotype" w:hAnsi="Palatino Linotype" w:cs="Arial"/>
        </w:rPr>
        <w:t>Certificados</w:t>
      </w:r>
      <w:r w:rsidRPr="00AD7ACB">
        <w:rPr>
          <w:rFonts w:ascii="Palatino Linotype" w:hAnsi="Palatino Linotype"/>
          <w:color w:val="000000" w:themeColor="text1"/>
        </w:rPr>
        <w:t xml:space="preserve"> de no antecedentes penales, es información que </w:t>
      </w:r>
      <w:r w:rsidR="00641C09" w:rsidRPr="00AD7ACB">
        <w:rPr>
          <w:rFonts w:ascii="Palatino Linotype" w:hAnsi="Palatino Linotype"/>
          <w:color w:val="000000" w:themeColor="text1"/>
        </w:rPr>
        <w:t xml:space="preserve">se estima procedente su entrega en </w:t>
      </w:r>
      <w:r w:rsidR="00641C09" w:rsidRPr="00AD7ACB">
        <w:rPr>
          <w:rFonts w:ascii="Palatino Linotype" w:hAnsi="Palatino Linotype"/>
          <w:b/>
          <w:color w:val="000000" w:themeColor="text1"/>
        </w:rPr>
        <w:t>versión pública</w:t>
      </w:r>
      <w:r w:rsidRPr="00AD7ACB">
        <w:rPr>
          <w:rFonts w:ascii="Palatino Linotype" w:hAnsi="Palatino Linotype"/>
          <w:color w:val="000000" w:themeColor="text1"/>
        </w:rPr>
        <w:t>, en virtud de que se considera</w:t>
      </w:r>
      <w:r w:rsidR="00641C09" w:rsidRPr="00AD7ACB">
        <w:rPr>
          <w:rFonts w:ascii="Palatino Linotype" w:hAnsi="Palatino Linotype"/>
          <w:color w:val="000000" w:themeColor="text1"/>
        </w:rPr>
        <w:t>n a los antecedentes penales se consideran violatorios de derechos humanos, pero se del caso concreto se trata de un documento que da cuenta, que no se detentan, ya</w:t>
      </w:r>
      <w:r w:rsidRPr="00AD7ACB">
        <w:rPr>
          <w:rFonts w:ascii="Palatino Linotype" w:hAnsi="Palatino Linotype"/>
          <w:color w:val="000000" w:themeColor="text1"/>
        </w:rPr>
        <w:t xml:space="preserve"> que </w:t>
      </w:r>
      <w:r w:rsidRPr="00AD7ACB">
        <w:rPr>
          <w:rFonts w:ascii="Palatino Linotype" w:eastAsia="Palatino Linotype" w:hAnsi="Palatino Linotype" w:cs="Palatino Linotype"/>
        </w:rPr>
        <w:t xml:space="preserve">el informe o </w:t>
      </w:r>
      <w:r w:rsidRPr="00AD7ACB">
        <w:rPr>
          <w:rFonts w:ascii="Palatino Linotype" w:hAnsi="Palatino Linotype" w:cs="Arial"/>
        </w:rPr>
        <w:t>certificado</w:t>
      </w:r>
      <w:r w:rsidRPr="00AD7ACB">
        <w:rPr>
          <w:rFonts w:ascii="Palatino Linotype" w:eastAsia="Palatino Linotype" w:hAnsi="Palatino Linotype" w:cs="Palatino Linotype"/>
        </w:rPr>
        <w:t xml:space="preserve"> de antecedentes no penales corresponde a un documento en el cual se puede apreciar si una persona ha sido condenada o no por sentencia firme dictada por los órganos jurisdiccionales competentes, la cual se expide, cuando se requiera para trámites de carácter personal cuando:</w:t>
      </w:r>
    </w:p>
    <w:p w:rsidR="0070176B" w:rsidRPr="00AD7ACB" w:rsidRDefault="0070176B" w:rsidP="0070176B">
      <w:pPr>
        <w:spacing w:line="360" w:lineRule="auto"/>
        <w:contextualSpacing/>
        <w:jc w:val="both"/>
        <w:rPr>
          <w:rFonts w:ascii="Palatino Linotype" w:eastAsia="Palatino Linotype" w:hAnsi="Palatino Linotype" w:cs="Palatino Linotype"/>
        </w:rPr>
      </w:pPr>
    </w:p>
    <w:p w:rsidR="0070176B" w:rsidRPr="00AD7ACB" w:rsidRDefault="0070176B" w:rsidP="0070176B">
      <w:pPr>
        <w:spacing w:line="360" w:lineRule="auto"/>
        <w:ind w:left="709"/>
        <w:jc w:val="both"/>
        <w:rPr>
          <w:rFonts w:ascii="Palatino Linotype" w:eastAsia="Palatino Linotype" w:hAnsi="Palatino Linotype" w:cs="Palatino Linotype"/>
        </w:rPr>
      </w:pPr>
      <w:r w:rsidRPr="00AD7ACB">
        <w:rPr>
          <w:rFonts w:ascii="Palatino Linotype" w:eastAsia="Palatino Linotype" w:hAnsi="Palatino Linotype" w:cs="Palatino Linotype"/>
        </w:rPr>
        <w:t>I. Las disposiciones legales establezcan como requisito para desempeñar un empleo, cargo o comisión en el servicio público, la acreditación por parte del interesado de no haber cometido delito alguno o que no tiene antecedentes penales.</w:t>
      </w:r>
    </w:p>
    <w:p w:rsidR="0070176B" w:rsidRPr="00AD7ACB" w:rsidRDefault="0070176B" w:rsidP="0070176B">
      <w:pPr>
        <w:spacing w:line="360" w:lineRule="auto"/>
        <w:ind w:left="709"/>
        <w:jc w:val="both"/>
        <w:rPr>
          <w:rFonts w:ascii="Palatino Linotype" w:eastAsia="Palatino Linotype" w:hAnsi="Palatino Linotype" w:cs="Palatino Linotype"/>
        </w:rPr>
      </w:pPr>
    </w:p>
    <w:p w:rsidR="0070176B" w:rsidRPr="00AD7ACB" w:rsidRDefault="0070176B" w:rsidP="0070176B">
      <w:pPr>
        <w:numPr>
          <w:ilvl w:val="0"/>
          <w:numId w:val="15"/>
        </w:numPr>
        <w:spacing w:line="360" w:lineRule="auto"/>
        <w:ind w:left="0" w:firstLine="0"/>
        <w:contextualSpacing/>
        <w:jc w:val="both"/>
        <w:rPr>
          <w:rFonts w:ascii="Palatino Linotype" w:eastAsia="Palatino Linotype" w:hAnsi="Palatino Linotype" w:cs="Palatino Linotype"/>
        </w:rPr>
      </w:pPr>
      <w:r w:rsidRPr="00AD7ACB">
        <w:rPr>
          <w:rFonts w:ascii="Palatino Linotype" w:eastAsia="Palatino Linotype" w:hAnsi="Palatino Linotype" w:cs="Palatino Linotype"/>
        </w:rPr>
        <w:t>En concordancia con lo anterior, cabe decir que en términos del numeral NOVENO de los “</w:t>
      </w:r>
      <w:r w:rsidRPr="00AD7ACB">
        <w:rPr>
          <w:rFonts w:ascii="Palatino Linotype" w:eastAsia="Palatino Linotype" w:hAnsi="Palatino Linotype" w:cs="Palatino Linotype"/>
          <w:i/>
        </w:rPr>
        <w:t xml:space="preserve">LINEAMIENTOS PARA LA EXPEDICIÓN </w:t>
      </w:r>
      <w:r w:rsidR="00373AC7" w:rsidRPr="00AD7ACB">
        <w:rPr>
          <w:rFonts w:ascii="Palatino Linotype" w:eastAsia="Palatino Linotype" w:hAnsi="Palatino Linotype" w:cs="Palatino Linotype"/>
          <w:i/>
        </w:rPr>
        <w:t>D</w:t>
      </w:r>
      <w:r w:rsidRPr="00AD7ACB">
        <w:rPr>
          <w:rFonts w:ascii="Palatino Linotype" w:eastAsia="Palatino Linotype" w:hAnsi="Palatino Linotype" w:cs="Palatino Linotype"/>
          <w:i/>
        </w:rPr>
        <w:t>E INFORMES Y CERTIFICADOS DE NO ANTECEDENTES PENALES</w:t>
      </w:r>
      <w:r w:rsidRPr="00AD7ACB">
        <w:rPr>
          <w:rFonts w:ascii="Palatino Linotype" w:eastAsia="Palatino Linotype" w:hAnsi="Palatino Linotype" w:cs="Palatino Linotype"/>
        </w:rPr>
        <w:t xml:space="preserve">”, el informe de antecedentes no penales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 sirve de apoyo a </w:t>
      </w:r>
      <w:r w:rsidRPr="00AD7ACB">
        <w:rPr>
          <w:rFonts w:ascii="Palatino Linotype" w:eastAsia="Palatino Linotype" w:hAnsi="Palatino Linotype" w:cs="Palatino Linotype"/>
        </w:rPr>
        <w:lastRenderedPageBreak/>
        <w:t>lo anterior la Tesis XXXX.3º.3P(10ª.), de los Tribunales Colegiados de circuito de la Suprema Corte de Justicia de la Nación, que es del rubro y texto siguiente:</w:t>
      </w:r>
    </w:p>
    <w:p w:rsidR="0070176B" w:rsidRPr="00AD7ACB" w:rsidRDefault="0070176B" w:rsidP="0070176B">
      <w:pPr>
        <w:spacing w:line="360" w:lineRule="auto"/>
        <w:contextualSpacing/>
        <w:jc w:val="both"/>
        <w:rPr>
          <w:rFonts w:ascii="Palatino Linotype" w:eastAsia="Palatino Linotype" w:hAnsi="Palatino Linotype" w:cs="Palatino Linotype"/>
        </w:rPr>
      </w:pPr>
    </w:p>
    <w:p w:rsidR="0070176B" w:rsidRPr="00AD7ACB" w:rsidRDefault="0070176B" w:rsidP="0070176B">
      <w:pPr>
        <w:ind w:left="426" w:right="474"/>
        <w:jc w:val="both"/>
        <w:rPr>
          <w:rFonts w:ascii="Palatino Linotype" w:eastAsia="Palatino Linotype" w:hAnsi="Palatino Linotype" w:cs="Palatino Linotype"/>
          <w:i/>
        </w:rPr>
      </w:pPr>
      <w:r w:rsidRPr="00AD7ACB">
        <w:rPr>
          <w:rFonts w:ascii="Palatino Linotype" w:eastAsia="Palatino Linotype" w:hAnsi="Palatino Linotype" w:cs="Palatino Linotype"/>
          <w:b/>
          <w:i/>
        </w:rPr>
        <w:t>“CONSTANCIA DE ANTECEDENTES PENALES. LINEAMIENTOS QUE LA AUTORIDAD PENITENCIARIA DEBE OBSERVAR OFICIOSAMENTE PARA SU EXPEDICIÓN, A FIN DE QUE SU ACTUAR NO RESULTE DISCRIMINATORIO.</w:t>
      </w:r>
      <w:r w:rsidRPr="00AD7ACB">
        <w:rPr>
          <w:rFonts w:ascii="Palatino Linotype" w:eastAsia="Palatino Linotype" w:hAnsi="Palatino Linotype" w:cs="Palatino Linotype"/>
          <w:i/>
        </w:rPr>
        <w:t xml:space="preserve"> De la interpretación conforme del artículo 27, fracción V, inciso g), de la Ley Nacional de Ejecución Penal, deriva el deber de la autoridad penitenciaria, ante una solicitud de la constancia referida, de realizar un ejercicio oficioso en relación con el soporte informativo contenido en la base de datos que subyace a la emisión de la constancia de antecedentes penales. Esto es, existe el deber del Juez de Ejecución de expresar en un proceso intelectivo, que se allegó de otros elementos con los que llegó a la plena convicción de que es jurídicamente válido el registro que contienen las bases de datos relativas. Para tal efecto, la autoridad correspondiente, a fin de reconocer el pleno ejercicio de los derechos humanos, conforme al nuevo modelo penitenciario de reinserción social, deberá actuar oficiosamente acorde con los escenarios siguientes: 1. Si la persona no cuenta con algún antecedente penal, emitir una carta de no antecedentes penales; y, 2. </w:t>
      </w:r>
      <w:r w:rsidRPr="00AD7ACB">
        <w:rPr>
          <w:rFonts w:ascii="Palatino Linotype" w:eastAsia="Palatino Linotype" w:hAnsi="Palatino Linotype" w:cs="Palatino Linotype"/>
          <w:b/>
          <w:i/>
        </w:rPr>
        <w:t>En caso de que sí cuente con algún antecedente penal, deberá realizar oficiosamente lo siguiente: a) recabar las constancias correspondientes, a fin de verificar si el solicitante cumplió la pena impuesta en sentencia ejecutoriada y constate que no se trata de un delito grave; b) en caso de que haya cumplido la pena impuesta en sentencia ejecutoriada y no se trate de un delito grave, emitirá una carta de no antecedentes penales; c) en el supuesto de que no haya cumplido la pena impuesta y no se trate de un delito grave, emitirá una carta de antecedentes penales, en la que especificará tal situación; y, d) en la hipótesis de que se trate de delito grave, emitirá una carta de antecedentes penales, en la que destacará esa circunstancia.</w:t>
      </w:r>
      <w:r w:rsidRPr="00AD7ACB">
        <w:rPr>
          <w:rFonts w:ascii="Palatino Linotype" w:eastAsia="Palatino Linotype" w:hAnsi="Palatino Linotype" w:cs="Palatino Linotype"/>
          <w:i/>
        </w:rPr>
        <w:t xml:space="preserve"> Consecuentemente, el Juez debe llevar a cabo las acciones señaladas para constatar la situación que guarda el quejoso ante el antecedente penal que se le impuso en el proceso y poder decidir con mayor información al respecto, es decir, si lo procedente es eliminar o no dicho registro, con base en el artículo citado y con ello evitar la discriminación estructural del quejoso. “</w:t>
      </w:r>
    </w:p>
    <w:p w:rsidR="0070176B" w:rsidRPr="00AD7ACB" w:rsidRDefault="0070176B" w:rsidP="0070176B">
      <w:pPr>
        <w:spacing w:line="360" w:lineRule="auto"/>
        <w:jc w:val="both"/>
        <w:rPr>
          <w:rFonts w:ascii="Palatino Linotype" w:eastAsia="Palatino Linotype" w:hAnsi="Palatino Linotype" w:cs="Palatino Linotype"/>
        </w:rPr>
      </w:pPr>
    </w:p>
    <w:p w:rsidR="0070176B" w:rsidRPr="00AD7ACB" w:rsidRDefault="0070176B" w:rsidP="0029279F">
      <w:pPr>
        <w:numPr>
          <w:ilvl w:val="0"/>
          <w:numId w:val="15"/>
        </w:numPr>
        <w:spacing w:line="360" w:lineRule="auto"/>
        <w:ind w:left="0" w:firstLine="0"/>
        <w:contextualSpacing/>
        <w:jc w:val="both"/>
        <w:rPr>
          <w:rFonts w:ascii="Palatino Linotype" w:eastAsia="Palatino Linotype" w:hAnsi="Palatino Linotype" w:cs="Palatino Linotype"/>
        </w:rPr>
      </w:pPr>
      <w:r w:rsidRPr="00AD7ACB">
        <w:rPr>
          <w:rFonts w:ascii="Palatino Linotype" w:eastAsia="Palatino Linotype" w:hAnsi="Palatino Linotype" w:cs="Palatino Linotype"/>
        </w:rPr>
        <w:lastRenderedPageBreak/>
        <w:t xml:space="preserve">Por lo antes expuesto, </w:t>
      </w:r>
      <w:r w:rsidR="005651FB" w:rsidRPr="00AD7ACB">
        <w:rPr>
          <w:rFonts w:ascii="Palatino Linotype" w:eastAsia="Palatino Linotype" w:hAnsi="Palatino Linotype" w:cs="Palatino Linotype"/>
        </w:rPr>
        <w:t xml:space="preserve">se insiste que </w:t>
      </w:r>
      <w:r w:rsidRPr="00AD7ACB">
        <w:rPr>
          <w:rFonts w:ascii="Palatino Linotype" w:eastAsia="Palatino Linotype" w:hAnsi="Palatino Linotype" w:cs="Palatino Linotype"/>
        </w:rPr>
        <w:t xml:space="preserve">resulta procedente </w:t>
      </w:r>
      <w:r w:rsidR="000C5024" w:rsidRPr="00AD7ACB">
        <w:rPr>
          <w:rFonts w:ascii="Palatino Linotype" w:eastAsia="Palatino Linotype" w:hAnsi="Palatino Linotype" w:cs="Palatino Linotype"/>
        </w:rPr>
        <w:t xml:space="preserve">ordenar su entrega, </w:t>
      </w:r>
      <w:r w:rsidRPr="00AD7ACB">
        <w:rPr>
          <w:rFonts w:ascii="Palatino Linotype" w:eastAsia="Palatino Linotype" w:hAnsi="Palatino Linotype" w:cs="Palatino Linotype"/>
        </w:rPr>
        <w:t>aun en versión pública</w:t>
      </w:r>
      <w:r w:rsidR="00740F9D" w:rsidRPr="00AD7ACB">
        <w:rPr>
          <w:rFonts w:ascii="Palatino Linotype" w:eastAsia="Palatino Linotype" w:hAnsi="Palatino Linotype" w:cs="Palatino Linotype"/>
        </w:rPr>
        <w:t xml:space="preserve"> de</w:t>
      </w:r>
      <w:r w:rsidRPr="00AD7ACB">
        <w:rPr>
          <w:rFonts w:ascii="Palatino Linotype" w:eastAsia="Palatino Linotype" w:hAnsi="Palatino Linotype" w:cs="Palatino Linotype"/>
        </w:rPr>
        <w:t xml:space="preserve"> l</w:t>
      </w:r>
      <w:r w:rsidR="000C5024" w:rsidRPr="00AD7ACB">
        <w:rPr>
          <w:rFonts w:ascii="Palatino Linotype" w:eastAsia="Palatino Linotype" w:hAnsi="Palatino Linotype" w:cs="Palatino Linotype"/>
        </w:rPr>
        <w:t>os</w:t>
      </w:r>
      <w:r w:rsidRPr="00AD7ACB">
        <w:rPr>
          <w:rFonts w:ascii="Palatino Linotype" w:eastAsia="Palatino Linotype" w:hAnsi="Palatino Linotype" w:cs="Palatino Linotype"/>
        </w:rPr>
        <w:t xml:space="preserve"> certificado</w:t>
      </w:r>
      <w:r w:rsidR="000C5024" w:rsidRPr="00AD7ACB">
        <w:rPr>
          <w:rFonts w:ascii="Palatino Linotype" w:eastAsia="Palatino Linotype" w:hAnsi="Palatino Linotype" w:cs="Palatino Linotype"/>
        </w:rPr>
        <w:t>s</w:t>
      </w:r>
      <w:r w:rsidRPr="00AD7ACB">
        <w:rPr>
          <w:rFonts w:ascii="Palatino Linotype" w:eastAsia="Palatino Linotype" w:hAnsi="Palatino Linotype" w:cs="Palatino Linotype"/>
        </w:rPr>
        <w:t xml:space="preserve"> de antecedentes no penales de los servidores públicos, </w:t>
      </w:r>
      <w:r w:rsidR="0029279F" w:rsidRPr="00AD7ACB">
        <w:rPr>
          <w:rFonts w:ascii="Palatino Linotype" w:eastAsia="Palatino Linotype" w:hAnsi="Palatino Linotype" w:cs="Palatino Linotype"/>
        </w:rPr>
        <w:t>esto en razón de que los datos que fuesen testados constituyen información referente a la esfera privada de su titular, ya que se trata de características físicas que permiten la identificación de un individuo, así como lo referente a su conducta delictiva, que en caso de ser revelada podría otorgar acceso a terceros y posteriormente se podría derivar un mal uso de información, aunado a que de ella no se desprende el ejercicio de las atribuciones que en todo caso desempeñe el titular como servidor público o bien, la aplicación de recursos públicos.</w:t>
      </w:r>
    </w:p>
    <w:p w:rsidR="0070176B" w:rsidRPr="00AD7ACB" w:rsidRDefault="0070176B" w:rsidP="0070176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8A6CDD" w:rsidRPr="00AD7ACB" w:rsidRDefault="007A3215" w:rsidP="002731D1">
      <w:pPr>
        <w:numPr>
          <w:ilvl w:val="0"/>
          <w:numId w:val="15"/>
        </w:numPr>
        <w:spacing w:line="360" w:lineRule="auto"/>
        <w:ind w:left="0" w:firstLine="0"/>
        <w:contextualSpacing/>
        <w:jc w:val="both"/>
        <w:rPr>
          <w:rFonts w:ascii="Palatino Linotype" w:hAnsi="Palatino Linotype"/>
          <w:color w:val="000000" w:themeColor="text1"/>
        </w:rPr>
      </w:pPr>
      <w:r w:rsidRPr="00AD7ACB">
        <w:rPr>
          <w:rFonts w:ascii="Palatino Linotype" w:hAnsi="Palatino Linotype"/>
          <w:color w:val="000000" w:themeColor="text1"/>
        </w:rPr>
        <w:t xml:space="preserve">Por último, relativo a las aprobaciones finales de las evaluaciones de control de confianza de todos </w:t>
      </w:r>
      <w:r w:rsidRPr="00AD7ACB">
        <w:rPr>
          <w:rFonts w:ascii="Palatino Linotype" w:eastAsia="Palatino Linotype" w:hAnsi="Palatino Linotype" w:cs="Palatino Linotype"/>
        </w:rPr>
        <w:t>los</w:t>
      </w:r>
      <w:r w:rsidRPr="00AD7ACB">
        <w:rPr>
          <w:rFonts w:ascii="Palatino Linotype" w:hAnsi="Palatino Linotype"/>
          <w:color w:val="000000" w:themeColor="text1"/>
        </w:rPr>
        <w:t xml:space="preserve"> servidores públicos adscritos a la Comisaria de Seguridad Pública y </w:t>
      </w:r>
      <w:r w:rsidRPr="00AD7ACB">
        <w:rPr>
          <w:rFonts w:ascii="Palatino Linotype" w:eastAsia="Palatino Linotype" w:hAnsi="Palatino Linotype" w:cs="Palatino Linotype"/>
        </w:rPr>
        <w:t>Movilidad</w:t>
      </w:r>
      <w:r w:rsidR="00740F9D" w:rsidRPr="00AD7ACB">
        <w:rPr>
          <w:rFonts w:ascii="Palatino Linotype" w:hAnsi="Palatino Linotype"/>
          <w:color w:val="000000" w:themeColor="text1"/>
        </w:rPr>
        <w:t xml:space="preserve"> al </w:t>
      </w:r>
      <w:r w:rsidRPr="00AD7ACB">
        <w:rPr>
          <w:rFonts w:ascii="Palatino Linotype" w:hAnsi="Palatino Linotype"/>
          <w:color w:val="000000" w:themeColor="text1"/>
        </w:rPr>
        <w:t>8 de julio de 2022</w:t>
      </w:r>
      <w:r w:rsidR="002731D1" w:rsidRPr="00AD7ACB">
        <w:rPr>
          <w:rFonts w:ascii="Palatino Linotype" w:hAnsi="Palatino Linotype"/>
          <w:color w:val="000000" w:themeColor="text1"/>
        </w:rPr>
        <w:t xml:space="preserve">, al referirse únicamente a los resultados que atañen </w:t>
      </w:r>
      <w:r w:rsidR="00740F9D" w:rsidRPr="00AD7ACB">
        <w:rPr>
          <w:rFonts w:ascii="Palatino Linotype" w:hAnsi="Palatino Linotype"/>
          <w:color w:val="000000" w:themeColor="text1"/>
        </w:rPr>
        <w:t>a resultados de los</w:t>
      </w:r>
      <w:r w:rsidR="002731D1" w:rsidRPr="00AD7ACB">
        <w:rPr>
          <w:rFonts w:ascii="Palatino Linotype" w:hAnsi="Palatino Linotype"/>
          <w:color w:val="000000" w:themeColor="text1"/>
        </w:rPr>
        <w:t xml:space="preserve"> servidores públicos </w:t>
      </w:r>
      <w:r w:rsidR="00740F9D" w:rsidRPr="00AD7ACB">
        <w:rPr>
          <w:rFonts w:ascii="Palatino Linotype" w:hAnsi="Palatino Linotype"/>
          <w:color w:val="000000" w:themeColor="text1"/>
        </w:rPr>
        <w:t xml:space="preserve">relativos a si </w:t>
      </w:r>
      <w:r w:rsidR="002731D1" w:rsidRPr="00AD7ACB">
        <w:rPr>
          <w:rFonts w:ascii="Palatino Linotype" w:hAnsi="Palatino Linotype"/>
          <w:color w:val="000000" w:themeColor="text1"/>
        </w:rPr>
        <w:t>aprobaron o no el proceso de certificación, y no así los expedientes formados con motivo de la evaluación de control de confianza, es que ciertamente se estima procedente su entrega por las siguiente</w:t>
      </w:r>
      <w:r w:rsidR="00BC0FE1" w:rsidRPr="00AD7ACB">
        <w:rPr>
          <w:rFonts w:ascii="Palatino Linotype" w:hAnsi="Palatino Linotype"/>
          <w:color w:val="000000" w:themeColor="text1"/>
        </w:rPr>
        <w:t>s consideraciones, reiterando que únicamente para el caso del personal operativo, se deberá proteger también su nombre.</w:t>
      </w:r>
    </w:p>
    <w:p w:rsidR="000B5902" w:rsidRPr="00AD7ACB" w:rsidRDefault="00740F9D" w:rsidP="000B5902">
      <w:pPr>
        <w:pStyle w:val="Prrafodelista"/>
        <w:numPr>
          <w:ilvl w:val="0"/>
          <w:numId w:val="15"/>
        </w:numPr>
        <w:tabs>
          <w:tab w:val="left" w:pos="851"/>
        </w:tabs>
        <w:spacing w:before="240" w:after="240" w:line="360" w:lineRule="auto"/>
        <w:ind w:left="0" w:right="49" w:firstLine="0"/>
        <w:jc w:val="both"/>
        <w:rPr>
          <w:rFonts w:ascii="Palatino Linotype" w:hAnsi="Palatino Linotype"/>
          <w:lang w:val="es-ES"/>
        </w:rPr>
      </w:pPr>
      <w:r w:rsidRPr="00AD7ACB">
        <w:rPr>
          <w:rFonts w:ascii="Palatino Linotype" w:hAnsi="Palatino Linotype"/>
        </w:rPr>
        <w:t>D</w:t>
      </w:r>
      <w:r w:rsidR="000B5902" w:rsidRPr="00AD7ACB">
        <w:rPr>
          <w:rFonts w:ascii="Palatino Linotype" w:hAnsi="Palatino Linotype"/>
        </w:rPr>
        <w:t>e acuerdo con el Centro Nacional de Certificación y Acreditación</w:t>
      </w:r>
      <w:r w:rsidR="000B5902" w:rsidRPr="00AD7ACB">
        <w:rPr>
          <w:rStyle w:val="Refdenotaalpie"/>
          <w:rFonts w:ascii="Palatino Linotype" w:hAnsi="Palatino Linotype"/>
        </w:rPr>
        <w:footnoteReference w:id="1"/>
      </w:r>
      <w:r w:rsidR="000B5902" w:rsidRPr="00AD7ACB">
        <w:rPr>
          <w:rFonts w:ascii="Palatino Linotype" w:hAnsi="Palatino Linotype"/>
        </w:rPr>
        <w:t xml:space="preserve"> para obtener el certificado es obligatorio que los elementos </w:t>
      </w:r>
      <w:r w:rsidR="000B5902" w:rsidRPr="00AD7ACB">
        <w:rPr>
          <w:rFonts w:ascii="Palatino Linotype" w:hAnsi="Palatino Linotype"/>
          <w:b/>
          <w:u w:val="single"/>
        </w:rPr>
        <w:t xml:space="preserve">acrediten contar con </w:t>
      </w:r>
      <w:r w:rsidR="000B5902" w:rsidRPr="00AD7ACB">
        <w:rPr>
          <w:rFonts w:ascii="Palatino Linotype" w:hAnsi="Palatino Linotype"/>
          <w:b/>
          <w:u w:val="single"/>
        </w:rPr>
        <w:lastRenderedPageBreak/>
        <w:t>evaluación de control y confianza</w:t>
      </w:r>
      <w:r w:rsidR="000B5902" w:rsidRPr="00AD7ACB">
        <w:rPr>
          <w:rFonts w:ascii="Palatino Linotype" w:hAnsi="Palatino Linotype"/>
        </w:rPr>
        <w:t>, formación inicial o equivalente, evaluación de competencias básicas o profesionales y la evaluación del desempeño.</w:t>
      </w:r>
    </w:p>
    <w:p w:rsidR="000B5902" w:rsidRPr="00AD7ACB" w:rsidRDefault="000B5902" w:rsidP="000B5902">
      <w:pPr>
        <w:pStyle w:val="Prrafodelista"/>
        <w:rPr>
          <w:rFonts w:ascii="Palatino Linotype" w:hAnsi="Palatino Linotype"/>
        </w:rPr>
      </w:pPr>
    </w:p>
    <w:p w:rsidR="000B5902" w:rsidRPr="00AD7ACB" w:rsidRDefault="000B5902" w:rsidP="000B5902">
      <w:pPr>
        <w:pStyle w:val="Prrafodelista"/>
        <w:numPr>
          <w:ilvl w:val="0"/>
          <w:numId w:val="15"/>
        </w:numPr>
        <w:tabs>
          <w:tab w:val="left" w:pos="851"/>
        </w:tabs>
        <w:spacing w:before="240" w:after="240" w:line="360" w:lineRule="auto"/>
        <w:ind w:left="0" w:right="49" w:firstLine="0"/>
        <w:jc w:val="both"/>
        <w:rPr>
          <w:rFonts w:ascii="Palatino Linotype" w:hAnsi="Palatino Linotype"/>
          <w:lang w:val="es-ES"/>
        </w:rPr>
      </w:pPr>
      <w:r w:rsidRPr="00AD7ACB">
        <w:rPr>
          <w:rFonts w:ascii="Palatino Linotype" w:hAnsi="Palatino Linotype"/>
        </w:rPr>
        <w:t xml:space="preserve"> En ese sentido, es de destacar que el objetivo del certificado es garantizar que la población cuente con policías confiables que tengan como único objetivo el de velar por la seguridad, por ello, que toda vez que es un requisito el contar con el Certificado Único Policial para estar adscrito a la Dirección de Seguridad Ciudadana del Municipio y para esto, es necesario contar con la acreditación de la evaluación de control y confianza. </w:t>
      </w:r>
    </w:p>
    <w:p w:rsidR="000B5902" w:rsidRPr="00AD7ACB" w:rsidRDefault="000B5902" w:rsidP="000B5902">
      <w:pPr>
        <w:pStyle w:val="Prrafodelista"/>
        <w:rPr>
          <w:rFonts w:ascii="Palatino Linotype" w:hAnsi="Palatino Linotype"/>
          <w:lang w:val="es-ES"/>
        </w:rPr>
      </w:pPr>
    </w:p>
    <w:p w:rsidR="000B5902" w:rsidRPr="00AD7ACB" w:rsidRDefault="000B5902" w:rsidP="000B5902">
      <w:pPr>
        <w:pStyle w:val="Prrafodelista"/>
        <w:numPr>
          <w:ilvl w:val="0"/>
          <w:numId w:val="15"/>
        </w:numPr>
        <w:tabs>
          <w:tab w:val="left" w:pos="851"/>
        </w:tabs>
        <w:spacing w:before="240" w:after="240" w:line="360" w:lineRule="auto"/>
        <w:ind w:left="0" w:right="49" w:firstLine="0"/>
        <w:jc w:val="both"/>
        <w:rPr>
          <w:rFonts w:ascii="Palatino Linotype" w:hAnsi="Palatino Linotype"/>
          <w:lang w:val="es-ES"/>
        </w:rPr>
      </w:pPr>
      <w:r w:rsidRPr="00AD7ACB">
        <w:rPr>
          <w:rFonts w:ascii="Palatino Linotype" w:hAnsi="Palatino Linotype"/>
        </w:rPr>
        <w:t>Respecto a lo anterior, de conformidad con la página oficial de la Secretaría de Segurida</w:t>
      </w:r>
      <w:r w:rsidR="00BC0FE1" w:rsidRPr="00AD7ACB">
        <w:rPr>
          <w:rFonts w:ascii="Palatino Linotype" w:hAnsi="Palatino Linotype"/>
        </w:rPr>
        <w:t>d</w:t>
      </w:r>
      <w:r w:rsidRPr="00AD7ACB">
        <w:rPr>
          <w:rStyle w:val="Refdenotaalpie"/>
          <w:rFonts w:ascii="Palatino Linotype" w:hAnsi="Palatino Linotype"/>
        </w:rPr>
        <w:footnoteReference w:id="2"/>
      </w:r>
      <w:r w:rsidRPr="00AD7ACB">
        <w:rPr>
          <w:rFonts w:ascii="Palatino Linotype" w:hAnsi="Palatino Linotype"/>
        </w:rPr>
        <w:t xml:space="preserve">, el examen de control de confianza se compone de cinco evaluaciones, las cuales contribuyen a verificar que el personal activo actúe dentro del marco de conducta que dicta la normatividad institucional, así como el personal de nuevo ingreso se apegue a los principios institucionales de acuerdo con el perfil del puesto. </w:t>
      </w:r>
    </w:p>
    <w:p w:rsidR="000B5902" w:rsidRPr="00AD7ACB" w:rsidRDefault="000B5902" w:rsidP="000B5902">
      <w:pPr>
        <w:pStyle w:val="Prrafodelista"/>
        <w:rPr>
          <w:rFonts w:ascii="Palatino Linotype" w:hAnsi="Palatino Linotype"/>
          <w:lang w:val="es-ES"/>
        </w:rPr>
      </w:pPr>
    </w:p>
    <w:p w:rsidR="000B5902" w:rsidRPr="00AD7ACB" w:rsidRDefault="000B5902" w:rsidP="000B5902">
      <w:pPr>
        <w:pStyle w:val="Prrafodelista"/>
        <w:numPr>
          <w:ilvl w:val="0"/>
          <w:numId w:val="15"/>
        </w:numPr>
        <w:tabs>
          <w:tab w:val="left" w:pos="851"/>
        </w:tabs>
        <w:spacing w:before="240" w:after="240" w:line="360" w:lineRule="auto"/>
        <w:ind w:left="0" w:right="49" w:firstLine="0"/>
        <w:jc w:val="both"/>
        <w:rPr>
          <w:rFonts w:ascii="Palatino Linotype" w:hAnsi="Palatino Linotype"/>
          <w:lang w:val="es-ES"/>
        </w:rPr>
      </w:pPr>
      <w:r w:rsidRPr="00AD7ACB">
        <w:rPr>
          <w:rFonts w:ascii="Palatino Linotype" w:hAnsi="Palatino Linotype"/>
        </w:rPr>
        <w:t xml:space="preserve"> Asimismo, es de mencionar que para la expedición del certificado, el proceso de evaluación se realiza en tres días, donde en el día uno, se llevará a cabo la evaluación, toxicológica, investigación de antecedentes, evaluación psicológica, evaluación socioeconómica y evaluación médica; en el día dos, se realizará una evaluación poligráfica y por último, en el día tres, se ejecutará una visita domiciliaria, tal como se observa a continuación: </w:t>
      </w:r>
    </w:p>
    <w:p w:rsidR="000B5902" w:rsidRPr="00AD7ACB" w:rsidRDefault="000B5902" w:rsidP="000B5902">
      <w:pPr>
        <w:spacing w:line="360" w:lineRule="auto"/>
        <w:jc w:val="center"/>
        <w:rPr>
          <w:rFonts w:ascii="Palatino Linotype" w:hAnsi="Palatino Linotype"/>
        </w:rPr>
      </w:pPr>
      <w:r w:rsidRPr="00AD7ACB">
        <w:rPr>
          <w:rFonts w:ascii="Palatino Linotype" w:hAnsi="Palatino Linotype"/>
          <w:noProof/>
          <w:lang w:val="es-MX" w:eastAsia="es-MX"/>
        </w:rPr>
        <w:lastRenderedPageBreak/>
        <w:drawing>
          <wp:inline distT="0" distB="0" distL="0" distR="0" wp14:anchorId="056F1EF9" wp14:editId="1303EB22">
            <wp:extent cx="4552950" cy="2936259"/>
            <wp:effectExtent l="19050" t="19050" r="19050" b="165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9701" cy="2953511"/>
                    </a:xfrm>
                    <a:prstGeom prst="rect">
                      <a:avLst/>
                    </a:prstGeom>
                    <a:ln>
                      <a:solidFill>
                        <a:schemeClr val="tx1"/>
                      </a:solidFill>
                    </a:ln>
                  </pic:spPr>
                </pic:pic>
              </a:graphicData>
            </a:graphic>
          </wp:inline>
        </w:drawing>
      </w:r>
    </w:p>
    <w:p w:rsidR="000B5902" w:rsidRPr="00AD7ACB" w:rsidRDefault="000B5902" w:rsidP="000B5902">
      <w:pPr>
        <w:spacing w:line="360" w:lineRule="auto"/>
        <w:ind w:left="1134" w:right="1183"/>
        <w:jc w:val="both"/>
        <w:rPr>
          <w:rFonts w:ascii="Palatino Linotype" w:hAnsi="Palatino Linotype"/>
        </w:rPr>
      </w:pPr>
      <w:r w:rsidRPr="00AD7ACB">
        <w:rPr>
          <w:rFonts w:ascii="Palatino Linotype" w:hAnsi="Palatino Linotype"/>
        </w:rPr>
        <w:t xml:space="preserve"> </w:t>
      </w:r>
    </w:p>
    <w:p w:rsidR="000B5902" w:rsidRPr="00AD7ACB" w:rsidRDefault="000B5902" w:rsidP="000B5902">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 xml:space="preserve">Ahora bien, es importante no perder de vista que el examen de control y confianza comprende también los exámenes antidoping o toxicológicos, pues forman parte del proceso de evaluación realizado para obtener la certificación correspondiente y cuya aplicación le corresponde al Centro de Control de Confianza del Estado de México, a través de la Dirección Médica y Toxicológica, como se muestra a continuación: </w:t>
      </w:r>
    </w:p>
    <w:p w:rsidR="000B5902" w:rsidRPr="00AD7ACB" w:rsidRDefault="000B5902" w:rsidP="000B5902">
      <w:pPr>
        <w:spacing w:line="360" w:lineRule="auto"/>
        <w:jc w:val="both"/>
        <w:rPr>
          <w:rFonts w:ascii="Palatino Linotype" w:hAnsi="Palatino Linotype"/>
        </w:rPr>
      </w:pPr>
    </w:p>
    <w:p w:rsidR="000B5902" w:rsidRPr="00AD7ACB" w:rsidRDefault="00740F9D" w:rsidP="000B5902">
      <w:pPr>
        <w:spacing w:line="276" w:lineRule="auto"/>
        <w:ind w:left="567" w:right="616"/>
        <w:jc w:val="both"/>
        <w:rPr>
          <w:rFonts w:ascii="Palatino Linotype" w:hAnsi="Palatino Linotype"/>
          <w:b/>
          <w:i/>
        </w:rPr>
      </w:pPr>
      <w:r w:rsidRPr="00AD7ACB">
        <w:rPr>
          <w:rFonts w:ascii="Palatino Linotype" w:hAnsi="Palatino Linotype"/>
          <w:b/>
          <w:i/>
        </w:rPr>
        <w:t>“</w:t>
      </w:r>
      <w:r w:rsidR="000B5902" w:rsidRPr="00AD7ACB">
        <w:rPr>
          <w:rFonts w:ascii="Palatino Linotype" w:hAnsi="Palatino Linotype"/>
          <w:b/>
          <w:i/>
        </w:rPr>
        <w:t>MANUAL DE PROCEDIMIENTOS DE LA DIRECCIÓN MÉDICA Y TOXICOLÓGICA DEL CENTRO DE CONTROL DE CONFIANZA DEL ESTADO DE MÉXICO</w:t>
      </w:r>
    </w:p>
    <w:p w:rsidR="000B5902" w:rsidRPr="00AD7ACB" w:rsidRDefault="000B5902" w:rsidP="000B5902">
      <w:pPr>
        <w:spacing w:line="276" w:lineRule="auto"/>
        <w:ind w:left="567" w:right="616"/>
        <w:jc w:val="both"/>
        <w:rPr>
          <w:rFonts w:ascii="Palatino Linotype" w:hAnsi="Palatino Linotype"/>
          <w:i/>
        </w:rPr>
      </w:pPr>
      <w:r w:rsidRPr="00AD7ACB">
        <w:rPr>
          <w:rFonts w:ascii="Palatino Linotype" w:hAnsi="Palatino Linotype"/>
          <w:i/>
        </w:rPr>
        <w:t>…</w:t>
      </w:r>
    </w:p>
    <w:p w:rsidR="000B5902" w:rsidRPr="00AD7ACB" w:rsidRDefault="000B5902" w:rsidP="000B5902">
      <w:pPr>
        <w:spacing w:line="276" w:lineRule="auto"/>
        <w:ind w:left="567" w:right="616"/>
        <w:jc w:val="both"/>
        <w:rPr>
          <w:rFonts w:ascii="Palatino Linotype" w:hAnsi="Palatino Linotype"/>
          <w:i/>
        </w:rPr>
      </w:pPr>
      <w:r w:rsidRPr="00AD7ACB">
        <w:rPr>
          <w:rFonts w:ascii="Palatino Linotype" w:hAnsi="Palatino Linotype"/>
          <w:i/>
        </w:rPr>
        <w:t>La Dirección Médica y Toxicológica es la unidad administrativa responsable de realizar las evaluaciones toxicológicas de control de confianza, así como de la emisión, entrega de resultados y la emisión de los certificados correspondientes.</w:t>
      </w:r>
    </w:p>
    <w:p w:rsidR="000B5902" w:rsidRPr="00AD7ACB" w:rsidRDefault="000B5902" w:rsidP="000B5902">
      <w:pPr>
        <w:spacing w:line="276" w:lineRule="auto"/>
        <w:ind w:left="567" w:right="616"/>
        <w:jc w:val="both"/>
        <w:rPr>
          <w:rFonts w:ascii="Palatino Linotype" w:hAnsi="Palatino Linotype"/>
          <w:i/>
        </w:rPr>
      </w:pPr>
      <w:r w:rsidRPr="00AD7ACB">
        <w:rPr>
          <w:rFonts w:ascii="Palatino Linotype" w:hAnsi="Palatino Linotype"/>
          <w:i/>
        </w:rPr>
        <w:t>…</w:t>
      </w:r>
      <w:r w:rsidR="00740F9D" w:rsidRPr="00AD7ACB">
        <w:rPr>
          <w:rFonts w:ascii="Palatino Linotype" w:hAnsi="Palatino Linotype"/>
          <w:i/>
        </w:rPr>
        <w:t>”</w:t>
      </w:r>
    </w:p>
    <w:p w:rsidR="000B5902" w:rsidRPr="00AD7ACB" w:rsidRDefault="000B5902" w:rsidP="000B5902">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lastRenderedPageBreak/>
        <w:t xml:space="preserve">En ese sentido, toda vez que los exámenes referidos forman parte conjunta del proceso de evaluación para obtener la certificación de aprobación de los exámenes de control y confianza y, es el Centro de Control de Confianza, la dependencia encargada de aplicar y expedir el certificado de aprobación o no aprobación, se colige que en los archivos del Ayuntamiento de </w:t>
      </w:r>
      <w:r w:rsidR="00740F9D" w:rsidRPr="00AD7ACB">
        <w:rPr>
          <w:rFonts w:ascii="Palatino Linotype" w:hAnsi="Palatino Linotype"/>
        </w:rPr>
        <w:t>Cuautitlán</w:t>
      </w:r>
      <w:r w:rsidRPr="00AD7ACB">
        <w:rPr>
          <w:rFonts w:ascii="Palatino Linotype" w:hAnsi="Palatino Linotype"/>
        </w:rPr>
        <w:t>, no obran los documentos que dan cuenta de los resultados de los exámenes toxicológicos, sino únicamente cuentan con los certificados que refieren si los servidores públicos son aptos o no aptos para desempeñar el cargo.</w:t>
      </w:r>
    </w:p>
    <w:p w:rsidR="000B5902" w:rsidRPr="00AD7ACB" w:rsidRDefault="000B5902" w:rsidP="000B5902">
      <w:pPr>
        <w:pStyle w:val="Prrafodelista"/>
        <w:spacing w:line="360" w:lineRule="auto"/>
        <w:ind w:left="0"/>
        <w:jc w:val="both"/>
        <w:rPr>
          <w:rFonts w:ascii="Palatino Linotype" w:hAnsi="Palatino Linotype"/>
        </w:rPr>
      </w:pPr>
    </w:p>
    <w:p w:rsidR="000B5902" w:rsidRPr="00AD7ACB" w:rsidRDefault="000B5902" w:rsidP="000B5902">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 xml:space="preserve">Por ello, </w:t>
      </w:r>
      <w:r w:rsidR="00740F9D" w:rsidRPr="00AD7ACB">
        <w:rPr>
          <w:rFonts w:ascii="Palatino Linotype" w:hAnsi="Palatino Linotype"/>
        </w:rPr>
        <w:t xml:space="preserve">se estima procedente la entrega, </w:t>
      </w:r>
      <w:r w:rsidRPr="00AD7ACB">
        <w:rPr>
          <w:rFonts w:ascii="Palatino Linotype" w:hAnsi="Palatino Linotype"/>
        </w:rPr>
        <w:t xml:space="preserve">debido a que el </w:t>
      </w:r>
      <w:r w:rsidR="00740F9D" w:rsidRPr="00AD7ACB">
        <w:rPr>
          <w:rFonts w:ascii="Palatino Linotype" w:hAnsi="Palatino Linotype"/>
          <w:b/>
        </w:rPr>
        <w:t>SUJETO OBLIGADO</w:t>
      </w:r>
      <w:r w:rsidR="00740F9D" w:rsidRPr="00AD7ACB">
        <w:rPr>
          <w:rFonts w:ascii="Palatino Linotype" w:hAnsi="Palatino Linotype"/>
        </w:rPr>
        <w:t xml:space="preserve"> </w:t>
      </w:r>
      <w:r w:rsidRPr="00AD7ACB">
        <w:rPr>
          <w:rFonts w:ascii="Palatino Linotype" w:hAnsi="Palatino Linotype"/>
        </w:rPr>
        <w:t>únicamente cuenta con la información relativa a los resultados de la aplicación de los exámenes de control y confianza, obtenidos conjuntamente derivados del proceso de la aplicación de otras evaluaciones (médica, toxicológica, psicológica, económica).</w:t>
      </w:r>
    </w:p>
    <w:p w:rsidR="000B5902" w:rsidRPr="00AD7ACB" w:rsidRDefault="000B5902" w:rsidP="000B5902">
      <w:pPr>
        <w:pStyle w:val="Prrafodelista"/>
        <w:rPr>
          <w:rFonts w:ascii="Palatino Linotype" w:hAnsi="Palatino Linotype"/>
        </w:rPr>
      </w:pPr>
    </w:p>
    <w:p w:rsidR="000B5902" w:rsidRPr="00AD7ACB" w:rsidRDefault="00740F9D" w:rsidP="000B5902">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Por si parte, e</w:t>
      </w:r>
      <w:r w:rsidR="000B5902" w:rsidRPr="00AD7ACB">
        <w:rPr>
          <w:rFonts w:ascii="Palatino Linotype" w:hAnsi="Palatino Linotype"/>
        </w:rPr>
        <w:t xml:space="preserve">l Manual General de Organización del Centro de Control de Confianza del Estado de México, precisa que la Unidad de Evaluación será la encargada de emitir el reporte con el resultado final de las evaluaciones de control de confianza, mismo que será reportado a las instituciones de seguridad pública. </w:t>
      </w:r>
    </w:p>
    <w:p w:rsidR="000B5902" w:rsidRPr="00AD7ACB" w:rsidRDefault="000B5902" w:rsidP="000B5902">
      <w:pPr>
        <w:pStyle w:val="Prrafodelista"/>
        <w:rPr>
          <w:rFonts w:ascii="Palatino Linotype" w:hAnsi="Palatino Linotype"/>
        </w:rPr>
      </w:pPr>
    </w:p>
    <w:p w:rsidR="000B5902" w:rsidRPr="00AD7ACB" w:rsidRDefault="000B5902" w:rsidP="000B5902">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 xml:space="preserve">Asimismo, se establece que el Centro Estatal de Evaluación y Control de Confianza, aplicará las evaluaciones para selección del aspirante y para la permanencia, el desarrollo y la promoción de elementos de la corporación, esto es realizará los procedimientos de evaluación y de control de confianza; además, que </w:t>
      </w:r>
      <w:r w:rsidRPr="00AD7ACB">
        <w:rPr>
          <w:rFonts w:ascii="Palatino Linotype" w:hAnsi="Palatino Linotype"/>
        </w:rPr>
        <w:lastRenderedPageBreak/>
        <w:t xml:space="preserve">los resultados de todos los exámenes serán reportados directamente a la institución de seguridad público, el cual podrá ser de la siguiente forma: </w:t>
      </w:r>
    </w:p>
    <w:p w:rsidR="000B5902" w:rsidRPr="00AD7ACB" w:rsidRDefault="000B5902" w:rsidP="000B5902">
      <w:pPr>
        <w:pStyle w:val="Prrafodelista"/>
        <w:rPr>
          <w:rFonts w:ascii="Palatino Linotype" w:hAnsi="Palatino Linotype"/>
        </w:rPr>
      </w:pPr>
    </w:p>
    <w:p w:rsidR="000B5902" w:rsidRPr="00AD7ACB" w:rsidRDefault="000B5902" w:rsidP="00740F9D">
      <w:pPr>
        <w:pStyle w:val="Prrafodelista"/>
        <w:ind w:left="567"/>
        <w:jc w:val="both"/>
        <w:rPr>
          <w:rFonts w:ascii="Palatino Linotype" w:hAnsi="Palatino Linotype"/>
          <w:i/>
        </w:rPr>
      </w:pPr>
      <w:r w:rsidRPr="00AD7ACB">
        <w:rPr>
          <w:rFonts w:ascii="Palatino Linotype" w:hAnsi="Palatino Linotype"/>
          <w:i/>
        </w:rPr>
        <w:t xml:space="preserve">a) Apto: Corresponde aquel que refleja los resultados satisfactorios a los requerimientos de la totalidad de los exámenes de la evaluación; </w:t>
      </w:r>
    </w:p>
    <w:p w:rsidR="000B5902" w:rsidRPr="00AD7ACB" w:rsidRDefault="000B5902" w:rsidP="00740F9D">
      <w:pPr>
        <w:pStyle w:val="Prrafodelista"/>
        <w:ind w:left="567"/>
        <w:jc w:val="both"/>
        <w:rPr>
          <w:rFonts w:ascii="Palatino Linotype" w:hAnsi="Palatino Linotype"/>
          <w:i/>
        </w:rPr>
      </w:pPr>
      <w:r w:rsidRPr="00AD7ACB">
        <w:rPr>
          <w:rFonts w:ascii="Palatino Linotype" w:hAnsi="Palatino Linotype"/>
          <w:i/>
        </w:rPr>
        <w:t xml:space="preserve">b) Recomendable con observaciones: Sucede en aquellos casos que se cumplen con los parámetros de cualquiera de los exámenes, pero existen características que deben marcarse en situaciones críticas por posibles inconsistencias en los resultados; y </w:t>
      </w:r>
    </w:p>
    <w:p w:rsidR="000B5902" w:rsidRPr="00AD7ACB" w:rsidRDefault="000B5902" w:rsidP="00740F9D">
      <w:pPr>
        <w:pStyle w:val="Prrafodelista"/>
        <w:ind w:left="567"/>
        <w:jc w:val="both"/>
        <w:rPr>
          <w:rFonts w:ascii="Palatino Linotype" w:hAnsi="Palatino Linotype"/>
          <w:i/>
        </w:rPr>
      </w:pPr>
      <w:r w:rsidRPr="00AD7ACB">
        <w:rPr>
          <w:rFonts w:ascii="Palatino Linotype" w:hAnsi="Palatino Linotype"/>
          <w:i/>
        </w:rPr>
        <w:t xml:space="preserve">c) No Apto: Aplica cuando no se aprueban los exámenes. </w:t>
      </w:r>
    </w:p>
    <w:p w:rsidR="000B5902" w:rsidRPr="00AD7ACB" w:rsidRDefault="000B5902" w:rsidP="000B5902">
      <w:pPr>
        <w:pStyle w:val="Prrafodelista"/>
        <w:spacing w:line="360" w:lineRule="auto"/>
        <w:ind w:left="0"/>
        <w:jc w:val="both"/>
        <w:rPr>
          <w:rFonts w:ascii="Palatino Linotype" w:hAnsi="Palatino Linotype"/>
        </w:rPr>
      </w:pPr>
    </w:p>
    <w:p w:rsidR="000B5902" w:rsidRPr="00AD7ACB" w:rsidRDefault="000B5902" w:rsidP="000B5902">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Por tales circunstancias, se puede advertir que alguno de los documentos que pudiera dar cuenta de lo solicitado, de manera enunciativa más no limitativa, es el Certificado Único Policial o bien, el reporte emitido por el Centro de Control y Confianza del Estado de México, mediante el cual informa a la institución de seguridad pública, que personal evaluado es “Apto”, “Recomendable con observaciones” y “No apto”</w:t>
      </w:r>
    </w:p>
    <w:p w:rsidR="000B5902" w:rsidRPr="00AD7ACB" w:rsidRDefault="000B5902" w:rsidP="000B5902">
      <w:pPr>
        <w:pStyle w:val="Prrafodelista"/>
        <w:spacing w:line="360" w:lineRule="auto"/>
        <w:ind w:left="0"/>
        <w:jc w:val="both"/>
        <w:rPr>
          <w:rFonts w:ascii="Palatino Linotype" w:hAnsi="Palatino Linotype"/>
        </w:rPr>
      </w:pPr>
    </w:p>
    <w:p w:rsidR="000B5902" w:rsidRPr="00AD7ACB" w:rsidRDefault="000B5902" w:rsidP="000B5902">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 xml:space="preserve">Ahora bien, su entrega –se reitera–, deberá versar en una versión pública en la que se proteja </w:t>
      </w:r>
      <w:r w:rsidRPr="00AD7ACB">
        <w:rPr>
          <w:rFonts w:ascii="Palatino Linotype" w:eastAsia="Calibri" w:hAnsi="Palatino Linotype" w:cs="Tahoma"/>
          <w:bCs/>
          <w:lang w:eastAsia="es-MX"/>
        </w:rPr>
        <w:t xml:space="preserve">el nombre de los servidores públicos operativos del </w:t>
      </w:r>
      <w:r w:rsidRPr="00AD7ACB">
        <w:rPr>
          <w:rFonts w:ascii="Palatino Linotype" w:eastAsia="Calibri" w:hAnsi="Palatino Linotype" w:cs="Arial"/>
          <w:b/>
          <w:bCs/>
          <w:lang w:val="es-ES"/>
        </w:rPr>
        <w:t xml:space="preserve">Ayuntamiento de Cuautitlán; </w:t>
      </w:r>
      <w:r w:rsidRPr="00AD7ACB">
        <w:rPr>
          <w:rFonts w:ascii="Palatino Linotype" w:eastAsia="Calibri" w:hAnsi="Palatino Linotype" w:cs="Arial"/>
          <w:bCs/>
          <w:lang w:val="es-ES"/>
        </w:rPr>
        <w:t>toda vez que de darlos a conocer, se</w:t>
      </w:r>
      <w:r w:rsidRPr="00AD7ACB">
        <w:rPr>
          <w:rFonts w:ascii="Palatino Linotype" w:hAnsi="Palatino Linotype"/>
          <w:b/>
          <w:bCs/>
        </w:rPr>
        <w:t xml:space="preserve"> </w:t>
      </w:r>
      <w:r w:rsidRPr="00AD7ACB">
        <w:rPr>
          <w:rFonts w:ascii="Palatino Linotype" w:eastAsia="Calibri" w:hAnsi="Palatino Linotype" w:cs="Tahoma"/>
          <w:bCs/>
          <w:lang w:eastAsia="es-MX"/>
        </w:rPr>
        <w:t>pone en riesgo sus vidas y seguridad, ya que pueden ser identificarles, provocando que se utilice la información para amenazar, intimidar o extorsionar al elemento, para lo que se deberá dar observancia a lo dispuesto en el Considerando siguiente.</w:t>
      </w:r>
    </w:p>
    <w:p w:rsidR="009C777C" w:rsidRPr="00AD7ACB" w:rsidRDefault="009C777C" w:rsidP="009C777C">
      <w:pPr>
        <w:pStyle w:val="Prrafodelista"/>
        <w:rPr>
          <w:rFonts w:ascii="Palatino Linotype" w:hAnsi="Palatino Linotype"/>
        </w:rPr>
      </w:pPr>
    </w:p>
    <w:p w:rsidR="009C777C" w:rsidRPr="00AD7ACB" w:rsidRDefault="009C777C" w:rsidP="009C777C">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 xml:space="preserve">Por último, es importante mencionar que en la estructura del </w:t>
      </w:r>
      <w:r w:rsidRPr="00AD7ACB">
        <w:rPr>
          <w:rFonts w:ascii="Palatino Linotype" w:hAnsi="Palatino Linotype"/>
          <w:b/>
        </w:rPr>
        <w:t>SUJETO OBLIGADO</w:t>
      </w:r>
      <w:r w:rsidRPr="00AD7ACB">
        <w:rPr>
          <w:rFonts w:ascii="Palatino Linotype" w:hAnsi="Palatino Linotype"/>
        </w:rPr>
        <w:t xml:space="preserve"> no se advierte ninguna unidad administrativa denominada </w:t>
      </w:r>
      <w:r w:rsidRPr="00AD7ACB">
        <w:rPr>
          <w:rFonts w:ascii="Palatino Linotype" w:hAnsi="Palatino Linotype"/>
          <w:i/>
        </w:rPr>
        <w:t>Comisaria de Seguridad Pública y Movilidad;</w:t>
      </w:r>
      <w:r w:rsidRPr="00AD7ACB">
        <w:rPr>
          <w:rFonts w:ascii="Palatino Linotype" w:hAnsi="Palatino Linotype"/>
        </w:rPr>
        <w:t xml:space="preserve"> ya que su similar o análoga, esta denominada </w:t>
      </w:r>
      <w:r w:rsidRPr="00AD7ACB">
        <w:rPr>
          <w:rFonts w:ascii="Palatino Linotype" w:hAnsi="Palatino Linotype"/>
          <w:b/>
        </w:rPr>
        <w:lastRenderedPageBreak/>
        <w:t>Dirección de Seguridad Pública y Tránsito</w:t>
      </w:r>
      <w:r w:rsidRPr="00AD7ACB">
        <w:rPr>
          <w:rFonts w:ascii="Palatino Linotype" w:hAnsi="Palatino Linotype"/>
        </w:rPr>
        <w:t>, lo anterior con base en lo establecido en el vigente Bando Municipal del Ayuntamiento de Cuautitlán, como se observa:</w:t>
      </w:r>
    </w:p>
    <w:p w:rsidR="009C777C" w:rsidRPr="00AD7ACB" w:rsidRDefault="009C777C" w:rsidP="009C777C">
      <w:pPr>
        <w:pStyle w:val="Prrafodelista"/>
        <w:rPr>
          <w:rFonts w:ascii="Palatino Linotype" w:hAnsi="Palatino Linotype"/>
        </w:rPr>
      </w:pPr>
    </w:p>
    <w:p w:rsidR="009C777C" w:rsidRPr="00AD7ACB" w:rsidRDefault="009C777C" w:rsidP="009C777C">
      <w:pPr>
        <w:pStyle w:val="Prrafodelista"/>
        <w:spacing w:line="360" w:lineRule="auto"/>
        <w:ind w:left="360"/>
        <w:jc w:val="center"/>
        <w:rPr>
          <w:rFonts w:ascii="Palatino Linotype" w:hAnsi="Palatino Linotype"/>
        </w:rPr>
      </w:pPr>
      <w:r w:rsidRPr="00AD7ACB">
        <w:rPr>
          <w:rFonts w:ascii="Palatino Linotype" w:hAnsi="Palatino Linotype"/>
          <w:noProof/>
          <w:lang w:val="es-MX" w:eastAsia="es-MX"/>
        </w:rPr>
        <w:drawing>
          <wp:inline distT="0" distB="0" distL="0" distR="0">
            <wp:extent cx="4683125" cy="1725295"/>
            <wp:effectExtent l="19050" t="19050" r="22225" b="273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3125" cy="1725295"/>
                    </a:xfrm>
                    <a:prstGeom prst="rect">
                      <a:avLst/>
                    </a:prstGeom>
                    <a:noFill/>
                    <a:ln>
                      <a:solidFill>
                        <a:schemeClr val="tx1"/>
                      </a:solidFill>
                    </a:ln>
                  </pic:spPr>
                </pic:pic>
              </a:graphicData>
            </a:graphic>
          </wp:inline>
        </w:drawing>
      </w:r>
    </w:p>
    <w:p w:rsidR="009C777C" w:rsidRPr="00AD7ACB" w:rsidRDefault="009C777C" w:rsidP="009C777C">
      <w:pPr>
        <w:pStyle w:val="Prrafodelista"/>
        <w:spacing w:line="360" w:lineRule="auto"/>
        <w:ind w:left="360"/>
        <w:jc w:val="center"/>
        <w:rPr>
          <w:rFonts w:ascii="Palatino Linotype" w:hAnsi="Palatino Linotype"/>
        </w:rPr>
      </w:pPr>
    </w:p>
    <w:p w:rsidR="009C777C" w:rsidRPr="00AD7ACB" w:rsidRDefault="009C777C" w:rsidP="009C777C">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Lo anterior no es impedimento para determinar improcedente la entrega de la información solicitada; toda vez que no es obligaciones de los particulares conocer el nombre especifico de los documentos a los que desean acceder o de las unidades administrativas que los generan, poseen o administran, al no ser eventualmente expertos en la materia.</w:t>
      </w:r>
    </w:p>
    <w:p w:rsidR="009C777C" w:rsidRPr="00AD7ACB" w:rsidRDefault="009C777C" w:rsidP="009C777C">
      <w:pPr>
        <w:pStyle w:val="Prrafodelista"/>
        <w:spacing w:line="360" w:lineRule="auto"/>
        <w:ind w:left="0"/>
        <w:jc w:val="both"/>
        <w:rPr>
          <w:rFonts w:ascii="Palatino Linotype" w:hAnsi="Palatino Linotype"/>
        </w:rPr>
      </w:pPr>
    </w:p>
    <w:p w:rsidR="008F4EEE" w:rsidRPr="00AD7ACB" w:rsidRDefault="009C777C" w:rsidP="008F4EEE">
      <w:pPr>
        <w:pStyle w:val="Prrafodelista"/>
        <w:numPr>
          <w:ilvl w:val="0"/>
          <w:numId w:val="15"/>
        </w:numPr>
        <w:spacing w:line="360" w:lineRule="auto"/>
        <w:ind w:left="0" w:firstLine="0"/>
        <w:jc w:val="both"/>
        <w:rPr>
          <w:rFonts w:ascii="Palatino Linotype" w:hAnsi="Palatino Linotype"/>
        </w:rPr>
      </w:pPr>
      <w:r w:rsidRPr="00AD7ACB">
        <w:rPr>
          <w:rFonts w:ascii="Palatino Linotype" w:hAnsi="Palatino Linotype"/>
        </w:rPr>
        <w:t>En esa tesitura, es obligación de este Instituto realizar una suplencia de la queja en favor de los solicitantes cuando</w:t>
      </w:r>
      <w:r w:rsidR="008F4EEE" w:rsidRPr="00AD7ACB">
        <w:rPr>
          <w:rFonts w:ascii="Palatino Linotype" w:hAnsi="Palatino Linotype"/>
        </w:rPr>
        <w:t xml:space="preserve"> se materializan un supuesto como el señalado </w:t>
      </w:r>
      <w:r w:rsidR="008F4EEE" w:rsidRPr="00AD7ACB">
        <w:rPr>
          <w:rFonts w:ascii="Palatino Linotype" w:eastAsia="MS Mincho" w:hAnsi="Palatino Linotype"/>
          <w:b/>
        </w:rPr>
        <w:t>sin cambiar los hechos expuestos</w:t>
      </w:r>
      <w:r w:rsidR="008F4EEE" w:rsidRPr="00AD7ACB">
        <w:rPr>
          <w:rFonts w:ascii="Palatino Linotype" w:eastAsia="MS Mincho" w:hAnsi="Palatino Linotype"/>
        </w:rPr>
        <w:t xml:space="preserve"> por el peticionario conforme a la facultad que otorga la Ley de Transparencia y Acceso a la Información Pública del Estado de México y Municipios en los artículos 13 y 181 cuarto párrafo, los cuales contienen lo siguiente:</w:t>
      </w:r>
    </w:p>
    <w:p w:rsidR="008F4EEE" w:rsidRPr="00AD7ACB" w:rsidRDefault="008F4EEE" w:rsidP="008F4EEE">
      <w:pPr>
        <w:tabs>
          <w:tab w:val="left" w:pos="5430"/>
        </w:tabs>
        <w:spacing w:line="360" w:lineRule="auto"/>
        <w:ind w:left="567" w:right="616"/>
        <w:contextualSpacing/>
        <w:jc w:val="both"/>
        <w:rPr>
          <w:rFonts w:ascii="Palatino Linotype" w:eastAsia="MS Mincho" w:hAnsi="Palatino Linotype"/>
        </w:rPr>
      </w:pPr>
      <w:r w:rsidRPr="00AD7ACB">
        <w:rPr>
          <w:rFonts w:ascii="Palatino Linotype" w:eastAsia="MS Mincho" w:hAnsi="Palatino Linotype"/>
        </w:rPr>
        <w:tab/>
      </w:r>
    </w:p>
    <w:p w:rsidR="008F4EEE" w:rsidRPr="00AD7ACB" w:rsidRDefault="008F4EEE" w:rsidP="008F4EEE">
      <w:pPr>
        <w:autoSpaceDE w:val="0"/>
        <w:autoSpaceDN w:val="0"/>
        <w:adjustRightInd w:val="0"/>
        <w:ind w:left="567" w:right="616"/>
        <w:jc w:val="both"/>
        <w:rPr>
          <w:rFonts w:ascii="Palatino Linotype" w:eastAsia="MS Mincho" w:hAnsi="Palatino Linotype" w:cs="Bookman Old Style"/>
          <w:i/>
        </w:rPr>
      </w:pPr>
      <w:r w:rsidRPr="00AD7ACB">
        <w:rPr>
          <w:rFonts w:ascii="Palatino Linotype" w:eastAsia="MS Mincho" w:hAnsi="Palatino Linotype" w:cs="Bookman Old Style,Bold"/>
          <w:b/>
          <w:bCs/>
          <w:i/>
        </w:rPr>
        <w:lastRenderedPageBreak/>
        <w:t xml:space="preserve">“Artículo 13. </w:t>
      </w:r>
      <w:r w:rsidRPr="00AD7ACB">
        <w:rPr>
          <w:rFonts w:ascii="Palatino Linotype" w:eastAsia="MS Mincho" w:hAnsi="Palatino Linotype" w:cs="Bookman Old Style"/>
          <w:i/>
        </w:rPr>
        <w:t xml:space="preserve">El Instituto, en el ámbito de sus atribuciones, deberá </w:t>
      </w:r>
      <w:r w:rsidRPr="00AD7ACB">
        <w:rPr>
          <w:rFonts w:ascii="Palatino Linotype" w:eastAsia="MS Mincho" w:hAnsi="Palatino Linotype" w:cs="Bookman Old Style"/>
          <w:b/>
          <w:i/>
        </w:rPr>
        <w:t xml:space="preserve">suplir cualquier deficiencia </w:t>
      </w:r>
      <w:r w:rsidRPr="00AD7ACB">
        <w:rPr>
          <w:rFonts w:ascii="Palatino Linotype" w:eastAsia="MS Mincho" w:hAnsi="Palatino Linotype" w:cs="Bookman Old Style"/>
          <w:i/>
        </w:rPr>
        <w:t>para garantizar el ejercicio del derecho de acceso a la información.”</w:t>
      </w:r>
    </w:p>
    <w:p w:rsidR="008F4EEE" w:rsidRPr="00AD7ACB" w:rsidRDefault="008F4EEE" w:rsidP="008F4EEE">
      <w:pPr>
        <w:autoSpaceDE w:val="0"/>
        <w:autoSpaceDN w:val="0"/>
        <w:adjustRightInd w:val="0"/>
        <w:ind w:left="567" w:right="616"/>
        <w:jc w:val="both"/>
        <w:rPr>
          <w:rFonts w:ascii="Palatino Linotype" w:eastAsia="MS Mincho" w:hAnsi="Palatino Linotype" w:cs="Bookman Old Style"/>
          <w:i/>
        </w:rPr>
      </w:pPr>
    </w:p>
    <w:p w:rsidR="008F4EEE" w:rsidRPr="00AD7ACB" w:rsidRDefault="008F4EEE" w:rsidP="008F4EEE">
      <w:pPr>
        <w:autoSpaceDE w:val="0"/>
        <w:autoSpaceDN w:val="0"/>
        <w:adjustRightInd w:val="0"/>
        <w:ind w:left="567" w:right="616"/>
        <w:jc w:val="both"/>
        <w:rPr>
          <w:rFonts w:ascii="Palatino Linotype" w:eastAsia="MS Mincho" w:hAnsi="Palatino Linotype"/>
          <w:i/>
          <w:color w:val="000000"/>
        </w:rPr>
      </w:pPr>
      <w:r w:rsidRPr="00AD7ACB">
        <w:rPr>
          <w:rFonts w:ascii="Palatino Linotype" w:eastAsia="MS Mincho" w:hAnsi="Palatino Linotype"/>
          <w:i/>
          <w:color w:val="000000"/>
        </w:rPr>
        <w:t>“</w:t>
      </w:r>
      <w:r w:rsidRPr="00AD7ACB">
        <w:rPr>
          <w:rFonts w:ascii="Palatino Linotype" w:eastAsia="MS Mincho" w:hAnsi="Palatino Linotype"/>
          <w:b/>
          <w:i/>
          <w:color w:val="000000"/>
        </w:rPr>
        <w:t>Artículo 181</w:t>
      </w:r>
    </w:p>
    <w:p w:rsidR="008F4EEE" w:rsidRPr="00AD7ACB" w:rsidRDefault="008F4EEE" w:rsidP="008F4EEE">
      <w:pPr>
        <w:autoSpaceDE w:val="0"/>
        <w:autoSpaceDN w:val="0"/>
        <w:adjustRightInd w:val="0"/>
        <w:ind w:left="567" w:right="616"/>
        <w:jc w:val="both"/>
        <w:rPr>
          <w:rFonts w:ascii="Palatino Linotype" w:eastAsia="MS Mincho" w:hAnsi="Palatino Linotype"/>
          <w:i/>
          <w:color w:val="000000"/>
        </w:rPr>
      </w:pPr>
      <w:r w:rsidRPr="00AD7ACB">
        <w:rPr>
          <w:rFonts w:ascii="Palatino Linotype" w:eastAsia="MS Mincho" w:hAnsi="Palatino Linotype"/>
          <w:i/>
          <w:color w:val="000000"/>
        </w:rPr>
        <w:t>…</w:t>
      </w:r>
    </w:p>
    <w:p w:rsidR="008F4EEE" w:rsidRPr="00AD7ACB" w:rsidRDefault="008F4EEE" w:rsidP="008F4EEE">
      <w:pPr>
        <w:autoSpaceDE w:val="0"/>
        <w:autoSpaceDN w:val="0"/>
        <w:adjustRightInd w:val="0"/>
        <w:ind w:left="567" w:right="616"/>
        <w:jc w:val="both"/>
        <w:rPr>
          <w:rFonts w:ascii="Palatino Linotype" w:eastAsia="MS Mincho" w:hAnsi="Palatino Linotype" w:cs="Bookman Old Style"/>
          <w:i/>
        </w:rPr>
      </w:pPr>
      <w:r w:rsidRPr="00AD7ACB">
        <w:rPr>
          <w:rFonts w:ascii="Palatino Linotype" w:eastAsia="MS Mincho" w:hAnsi="Palatino Linotype" w:cs="Bookman Old Style"/>
          <w:i/>
        </w:rPr>
        <w:t xml:space="preserve">Durante el procedimiento deberá aplicarse la </w:t>
      </w:r>
      <w:r w:rsidRPr="00AD7ACB">
        <w:rPr>
          <w:rFonts w:ascii="Palatino Linotype" w:eastAsia="MS Mincho" w:hAnsi="Palatino Linotype" w:cs="Bookman Old Style"/>
          <w:b/>
          <w:i/>
        </w:rPr>
        <w:t>suplencia de la queja a favor del recurrente</w:t>
      </w:r>
      <w:r w:rsidRPr="00AD7ACB">
        <w:rPr>
          <w:rFonts w:ascii="Palatino Linotype" w:eastAsia="MS Mincho" w:hAnsi="Palatino Linotype" w:cs="Bookman Old Style"/>
          <w:i/>
        </w:rPr>
        <w:t>, sin cambiar los hechos expuestos, asegurándose de que las partes puedan presentar, de manera oral o escrita, los argumentos que funden y motiven sus pretensiones</w:t>
      </w:r>
    </w:p>
    <w:p w:rsidR="008F4EEE" w:rsidRPr="00AD7ACB" w:rsidRDefault="008F4EEE" w:rsidP="008F4EEE">
      <w:pPr>
        <w:autoSpaceDE w:val="0"/>
        <w:autoSpaceDN w:val="0"/>
        <w:adjustRightInd w:val="0"/>
        <w:ind w:left="851" w:right="567"/>
        <w:jc w:val="both"/>
        <w:rPr>
          <w:rFonts w:ascii="Palatino Linotype" w:eastAsia="MS Mincho" w:hAnsi="Palatino Linotype"/>
          <w:i/>
          <w:color w:val="000000"/>
        </w:rPr>
      </w:pPr>
      <w:r w:rsidRPr="00AD7ACB">
        <w:rPr>
          <w:rFonts w:ascii="Palatino Linotype" w:eastAsia="MS Mincho" w:hAnsi="Palatino Linotype"/>
          <w:i/>
          <w:color w:val="000000"/>
        </w:rPr>
        <w:t>…”</w:t>
      </w:r>
    </w:p>
    <w:p w:rsidR="008F4EEE" w:rsidRPr="00AD7ACB" w:rsidRDefault="008F4EEE" w:rsidP="008F4EEE">
      <w:pPr>
        <w:autoSpaceDE w:val="0"/>
        <w:autoSpaceDN w:val="0"/>
        <w:adjustRightInd w:val="0"/>
        <w:spacing w:line="360" w:lineRule="auto"/>
        <w:ind w:left="851" w:right="567"/>
        <w:jc w:val="both"/>
        <w:rPr>
          <w:rFonts w:ascii="Palatino Linotype" w:eastAsia="MS Mincho" w:hAnsi="Palatino Linotype"/>
          <w:i/>
          <w:color w:val="000000"/>
        </w:rPr>
      </w:pPr>
    </w:p>
    <w:p w:rsidR="008F4EEE" w:rsidRPr="00AD7ACB" w:rsidRDefault="008F4EEE" w:rsidP="008F4EEE">
      <w:pPr>
        <w:pStyle w:val="Prrafodelista"/>
        <w:numPr>
          <w:ilvl w:val="0"/>
          <w:numId w:val="15"/>
        </w:numPr>
        <w:spacing w:line="360" w:lineRule="auto"/>
        <w:ind w:left="0" w:firstLine="0"/>
        <w:jc w:val="both"/>
        <w:rPr>
          <w:rFonts w:ascii="Palatino Linotype" w:eastAsia="MS Mincho" w:hAnsi="Palatino Linotype"/>
        </w:rPr>
      </w:pPr>
      <w:r w:rsidRPr="00AD7ACB">
        <w:rPr>
          <w:rFonts w:ascii="Palatino Linotype" w:eastAsia="MS Mincho" w:hAnsi="Palatino Linotype"/>
        </w:rPr>
        <w:t xml:space="preserve">Es así que en aras de tutelar la correcta aplicación de la ley, y términos de los </w:t>
      </w:r>
      <w:r w:rsidRPr="00AD7ACB">
        <w:rPr>
          <w:rFonts w:ascii="Palatino Linotype" w:hAnsi="Palatino Linotype" w:cs="Arial"/>
        </w:rPr>
        <w:t>artículos</w:t>
      </w:r>
      <w:r w:rsidRPr="00AD7ACB">
        <w:rPr>
          <w:rFonts w:ascii="Palatino Linotype" w:eastAsia="MS Mincho" w:hAnsi="Palatino Linotype"/>
        </w:rPr>
        <w:t xml:space="preserve">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AD7ACB">
        <w:rPr>
          <w:rFonts w:ascii="Palatino Linotype" w:eastAsia="MS Mincho" w:hAnsi="Palatino Linotype"/>
        </w:rPr>
        <w:t>refutantes</w:t>
      </w:r>
      <w:proofErr w:type="spellEnd"/>
      <w:r w:rsidRPr="00AD7ACB">
        <w:rPr>
          <w:rFonts w:ascii="Palatino Linotype" w:eastAsia="MS Mincho" w:hAnsi="Palatino Linotype"/>
        </w:rPr>
        <w:t xml:space="preserve"> que cubran los elementos mínimos requeridos de la </w:t>
      </w:r>
      <w:r w:rsidRPr="00AD7ACB">
        <w:rPr>
          <w:rFonts w:ascii="Palatino Linotype" w:eastAsia="MS Mincho" w:hAnsi="Palatino Linotype"/>
          <w:i/>
        </w:rPr>
        <w:t xml:space="preserve">causa </w:t>
      </w:r>
      <w:proofErr w:type="spellStart"/>
      <w:r w:rsidRPr="00AD7ACB">
        <w:rPr>
          <w:rFonts w:ascii="Palatino Linotype" w:eastAsia="MS Mincho" w:hAnsi="Palatino Linotype"/>
          <w:i/>
        </w:rPr>
        <w:t>petendi</w:t>
      </w:r>
      <w:proofErr w:type="spellEnd"/>
      <w:r w:rsidRPr="00AD7ACB">
        <w:rPr>
          <w:rFonts w:ascii="Palatino Linotype" w:eastAsia="MS Mincho" w:hAnsi="Palatino Linotype"/>
          <w:i/>
        </w:rPr>
        <w:t>, (</w:t>
      </w:r>
      <w:r w:rsidRPr="00AD7ACB">
        <w:rPr>
          <w:rFonts w:ascii="Palatino Linotype" w:eastAsia="MS Mincho" w:hAnsi="Palatino Linotype"/>
        </w:rPr>
        <w:t>causa de pedir</w:t>
      </w:r>
      <w:r w:rsidRPr="00AD7ACB">
        <w:rPr>
          <w:rFonts w:ascii="Palatino Linotype" w:eastAsia="MS Mincho" w:hAnsi="Palatino Linotype"/>
          <w:i/>
        </w:rPr>
        <w:t xml:space="preserve">) </w:t>
      </w:r>
      <w:r w:rsidRPr="00AD7ACB">
        <w:rPr>
          <w:rFonts w:ascii="Palatino Linotype" w:eastAsia="MS Mincho" w:hAnsi="Palatino Linotype"/>
        </w:rPr>
        <w:t>aunado a que existe jurisprudencia que no obliga a los particulares a cubrir tales parámetros en las materias que admitan la suplencia de la queja deficiente</w:t>
      </w:r>
      <w:r w:rsidRPr="00AD7ACB">
        <w:rPr>
          <w:rFonts w:ascii="Palatino Linotype" w:hAnsi="Palatino Linotype"/>
          <w:vertAlign w:val="superscript"/>
        </w:rPr>
        <w:footnoteReference w:id="3"/>
      </w:r>
      <w:r w:rsidRPr="00AD7ACB">
        <w:rPr>
          <w:rFonts w:ascii="Palatino Linotype" w:eastAsia="MS Mincho" w:hAnsi="Palatino Linotype"/>
        </w:rPr>
        <w:t xml:space="preserve">. </w:t>
      </w:r>
    </w:p>
    <w:p w:rsidR="008F4EEE" w:rsidRPr="00AD7ACB" w:rsidRDefault="008F4EEE" w:rsidP="008F4EEE">
      <w:pPr>
        <w:pStyle w:val="Prrafodelista"/>
        <w:spacing w:line="360" w:lineRule="auto"/>
        <w:ind w:left="0"/>
        <w:jc w:val="both"/>
        <w:rPr>
          <w:rFonts w:ascii="Palatino Linotype" w:eastAsia="MS Mincho" w:hAnsi="Palatino Linotype"/>
        </w:rPr>
      </w:pPr>
    </w:p>
    <w:p w:rsidR="009C777C" w:rsidRPr="00AD7ACB" w:rsidRDefault="008F4EEE" w:rsidP="008F4EEE">
      <w:pPr>
        <w:pStyle w:val="Prrafodelista"/>
        <w:numPr>
          <w:ilvl w:val="0"/>
          <w:numId w:val="15"/>
        </w:numPr>
        <w:spacing w:line="360" w:lineRule="auto"/>
        <w:ind w:left="0" w:firstLine="0"/>
        <w:jc w:val="both"/>
        <w:rPr>
          <w:rFonts w:ascii="Palatino Linotype" w:hAnsi="Palatino Linotype"/>
          <w:color w:val="000000" w:themeColor="text1"/>
        </w:rPr>
      </w:pPr>
      <w:r w:rsidRPr="00AD7ACB">
        <w:rPr>
          <w:rFonts w:ascii="Palatino Linotype" w:eastAsia="MS Mincho" w:hAnsi="Palatino Linotype"/>
        </w:rPr>
        <w:t xml:space="preserve">Es que de una interpretación sistemática de la solicitud y los motivos de inconformidad aducidos, se puede establecer que el recurrente solicita la </w:t>
      </w:r>
      <w:r w:rsidRPr="00AD7ACB">
        <w:rPr>
          <w:rFonts w:ascii="Palatino Linotype" w:eastAsia="MS Mincho" w:hAnsi="Palatino Linotype"/>
        </w:rPr>
        <w:lastRenderedPageBreak/>
        <w:t xml:space="preserve">información correspondiente a la </w:t>
      </w:r>
      <w:r w:rsidRPr="00AD7ACB">
        <w:rPr>
          <w:rFonts w:ascii="Palatino Linotype" w:eastAsia="MS Mincho" w:hAnsi="Palatino Linotype"/>
          <w:b/>
        </w:rPr>
        <w:t>Dirección de Seguridad Pública y Tránsito</w:t>
      </w:r>
      <w:r w:rsidRPr="00AD7ACB">
        <w:rPr>
          <w:rFonts w:ascii="Palatino Linotype" w:eastAsia="MS Mincho" w:hAnsi="Palatino Linotype"/>
        </w:rPr>
        <w:t>, por lo que la información deberá versar a dicha unidad administrativa.</w:t>
      </w:r>
    </w:p>
    <w:p w:rsidR="00740F9D" w:rsidRPr="00AD7ACB" w:rsidRDefault="00740F9D" w:rsidP="00740F9D">
      <w:pPr>
        <w:pStyle w:val="Prrafodelista"/>
        <w:rPr>
          <w:rFonts w:ascii="Palatino Linotype" w:hAnsi="Palatino Linotype"/>
        </w:rPr>
      </w:pPr>
    </w:p>
    <w:p w:rsidR="009F09BC" w:rsidRPr="00AD7ACB" w:rsidRDefault="009F09BC" w:rsidP="0038112D">
      <w:pPr>
        <w:pStyle w:val="Ttulo2"/>
        <w:spacing w:before="0" w:line="360" w:lineRule="auto"/>
        <w:rPr>
          <w:rFonts w:ascii="Palatino Linotype" w:hAnsi="Palatino Linotype"/>
          <w:b/>
          <w:color w:val="auto"/>
          <w:sz w:val="24"/>
          <w:szCs w:val="24"/>
        </w:rPr>
      </w:pPr>
      <w:bookmarkStart w:id="151" w:name="_Toc531859120"/>
      <w:bookmarkStart w:id="152" w:name="_Toc2871952"/>
      <w:bookmarkStart w:id="153" w:name="_Toc20246253"/>
      <w:bookmarkStart w:id="154" w:name="_Toc24023250"/>
      <w:bookmarkStart w:id="155" w:name="_Toc26461369"/>
      <w:bookmarkStart w:id="156" w:name="_Toc29481474"/>
      <w:bookmarkStart w:id="157" w:name="_Toc36648201"/>
      <w:bookmarkStart w:id="158" w:name="_Toc36732268"/>
      <w:bookmarkStart w:id="159" w:name="_Toc38560292"/>
      <w:bookmarkStart w:id="160" w:name="_Toc83128590"/>
      <w:bookmarkStart w:id="161" w:name="_Toc473799824"/>
      <w:bookmarkStart w:id="162" w:name="_Toc487025370"/>
      <w:bookmarkStart w:id="163" w:name="_Toc493790438"/>
      <w:bookmarkStart w:id="164" w:name="_Toc495606558"/>
      <w:bookmarkStart w:id="165" w:name="_Toc497297048"/>
      <w:bookmarkStart w:id="166" w:name="_Toc498503756"/>
      <w:bookmarkStart w:id="167" w:name="_Toc499201876"/>
      <w:bookmarkStart w:id="168" w:name="_Toc524000321"/>
      <w:r w:rsidRPr="00AD7ACB">
        <w:rPr>
          <w:rFonts w:ascii="Palatino Linotype" w:hAnsi="Palatino Linotype"/>
          <w:b/>
          <w:color w:val="auto"/>
          <w:sz w:val="24"/>
          <w:szCs w:val="24"/>
        </w:rPr>
        <w:t xml:space="preserve">QUINTO. De la </w:t>
      </w:r>
      <w:bookmarkEnd w:id="151"/>
      <w:bookmarkEnd w:id="152"/>
      <w:bookmarkEnd w:id="153"/>
      <w:bookmarkEnd w:id="154"/>
      <w:bookmarkEnd w:id="155"/>
      <w:bookmarkEnd w:id="156"/>
      <w:bookmarkEnd w:id="157"/>
      <w:bookmarkEnd w:id="158"/>
      <w:bookmarkEnd w:id="159"/>
      <w:bookmarkEnd w:id="160"/>
      <w:r w:rsidR="001D02D1" w:rsidRPr="00AD7ACB">
        <w:rPr>
          <w:rFonts w:ascii="Palatino Linotype" w:hAnsi="Palatino Linotype"/>
          <w:b/>
          <w:color w:val="auto"/>
          <w:sz w:val="24"/>
          <w:szCs w:val="24"/>
        </w:rPr>
        <w:t>clasificación de la información y su versión pública</w:t>
      </w:r>
    </w:p>
    <w:p w:rsidR="009F09BC" w:rsidRPr="00AD7ACB" w:rsidRDefault="009F09BC" w:rsidP="0038112D">
      <w:pPr>
        <w:spacing w:line="360" w:lineRule="auto"/>
        <w:rPr>
          <w:rFonts w:ascii="Palatino Linotype" w:hAnsi="Palatino Linotype"/>
          <w:lang w:val="es-MX" w:eastAsia="en-US"/>
        </w:rPr>
      </w:pPr>
    </w:p>
    <w:bookmarkEnd w:id="161"/>
    <w:bookmarkEnd w:id="162"/>
    <w:bookmarkEnd w:id="163"/>
    <w:bookmarkEnd w:id="164"/>
    <w:bookmarkEnd w:id="165"/>
    <w:bookmarkEnd w:id="166"/>
    <w:bookmarkEnd w:id="167"/>
    <w:bookmarkEnd w:id="168"/>
    <w:p w:rsidR="009F09BC" w:rsidRPr="00AD7ACB" w:rsidRDefault="009F09BC" w:rsidP="0038112D">
      <w:pPr>
        <w:numPr>
          <w:ilvl w:val="0"/>
          <w:numId w:val="15"/>
        </w:numPr>
        <w:spacing w:line="360" w:lineRule="auto"/>
        <w:ind w:left="0" w:firstLine="0"/>
        <w:contextualSpacing/>
        <w:jc w:val="both"/>
        <w:rPr>
          <w:rFonts w:ascii="Palatino Linotype" w:hAnsi="Palatino Linotype"/>
        </w:rPr>
      </w:pPr>
      <w:r w:rsidRPr="00AD7ACB">
        <w:rPr>
          <w:rFonts w:ascii="Palatino Linotype" w:hAnsi="Palatino Linotype"/>
        </w:rPr>
        <w:t xml:space="preserve">Debe </w:t>
      </w:r>
      <w:r w:rsidRPr="00AD7ACB">
        <w:rPr>
          <w:rFonts w:ascii="Palatino Linotype" w:hAnsi="Palatino Linotype" w:cs="Arial"/>
        </w:rPr>
        <w:t>destacarse</w:t>
      </w:r>
      <w:r w:rsidRPr="00AD7ACB">
        <w:rPr>
          <w:rFonts w:ascii="Palatino Linotype" w:hAnsi="Palatino Linotype"/>
        </w:rPr>
        <w:t xml:space="preserve"> que la información que se ha tenido a bien ordenar, dada su propia y especial </w:t>
      </w:r>
      <w:r w:rsidRPr="00AD7ACB">
        <w:rPr>
          <w:rFonts w:ascii="Palatino Linotype" w:eastAsia="MS Mincho" w:hAnsi="Palatino Linotype" w:cs="Arial"/>
        </w:rPr>
        <w:t>naturaleza</w:t>
      </w:r>
      <w:r w:rsidRPr="00AD7ACB">
        <w:rPr>
          <w:rFonts w:ascii="Palatino Linotype" w:hAnsi="Palatino Linotype"/>
        </w:rPr>
        <w:t xml:space="preserve">, </w:t>
      </w:r>
      <w:r w:rsidR="000B5902" w:rsidRPr="00AD7ACB">
        <w:rPr>
          <w:rFonts w:ascii="Palatino Linotype" w:hAnsi="Palatino Linotype"/>
        </w:rPr>
        <w:t>contiene</w:t>
      </w:r>
      <w:r w:rsidRPr="00AD7ACB">
        <w:rPr>
          <w:rFonts w:ascii="Palatino Linotype" w:hAnsi="Palatino Linotype"/>
          <w:b/>
        </w:rPr>
        <w:t xml:space="preserve"> datos personales susceptibles de ser protegidos mediante una versión pública</w:t>
      </w:r>
      <w:r w:rsidRPr="00AD7ACB">
        <w:rPr>
          <w:rFonts w:ascii="Palatino Linotype" w:hAnsi="Palatino Linotype"/>
        </w:rPr>
        <w:t xml:space="preserve">, la cual deberá estar soportada por el Acta del Comité de Transparencia que se emita para tal efecto, debiéndola poner a disposición del hoy </w:t>
      </w:r>
      <w:r w:rsidRPr="00AD7ACB">
        <w:rPr>
          <w:rFonts w:ascii="Palatino Linotype" w:hAnsi="Palatino Linotype"/>
          <w:b/>
        </w:rPr>
        <w:t>RECURRENTE</w:t>
      </w:r>
      <w:r w:rsidR="009A2251" w:rsidRPr="00AD7ACB">
        <w:rPr>
          <w:rFonts w:ascii="Palatino Linotype" w:hAnsi="Palatino Linotype"/>
        </w:rPr>
        <w:t>.</w:t>
      </w:r>
    </w:p>
    <w:p w:rsidR="00002446" w:rsidRPr="00AD7ACB" w:rsidRDefault="00002446" w:rsidP="00002446">
      <w:pPr>
        <w:spacing w:line="360" w:lineRule="auto"/>
        <w:contextualSpacing/>
        <w:jc w:val="both"/>
        <w:rPr>
          <w:rFonts w:ascii="Palatino Linotype" w:hAnsi="Palatino Linotype"/>
        </w:rPr>
      </w:pPr>
    </w:p>
    <w:p w:rsidR="009F09BC" w:rsidRPr="00AD7ACB" w:rsidRDefault="009F09BC" w:rsidP="00002446">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 xml:space="preserve">La clasificación total o parcial de la información requerida, mediante solicitud de acceso a la </w:t>
      </w:r>
      <w:r w:rsidRPr="00AD7ACB">
        <w:rPr>
          <w:rFonts w:ascii="Palatino Linotype" w:hAnsi="Palatino Linotype"/>
        </w:rPr>
        <w:t>información</w:t>
      </w:r>
      <w:r w:rsidRPr="00AD7ACB">
        <w:rPr>
          <w:rFonts w:ascii="Palatino Linotype" w:eastAsia="MS Gothic" w:hAnsi="Palatino Linotype" w:cs="Times New Roman"/>
        </w:rPr>
        <w:t xml:space="preserve"> pública, constituye una restricción al derecho humano de acceso a la información. Como reiteradamente han dicho, diversos órganos jurisdiccionales, ningún derecho es absoluto</w:t>
      </w:r>
      <w:r w:rsidRPr="00AD7ACB">
        <w:rPr>
          <w:rFonts w:ascii="Palatino Linotype" w:eastAsia="MS Gothic" w:hAnsi="Palatino Linotype" w:cs="Times New Roman"/>
          <w:vertAlign w:val="superscript"/>
        </w:rPr>
        <w:footnoteReference w:id="4"/>
      </w:r>
      <w:r w:rsidRPr="00AD7ACB">
        <w:rPr>
          <w:rFonts w:ascii="Palatino Linotype" w:eastAsia="MS Gothic" w:hAnsi="Palatino Linotype" w:cs="Times New Roman"/>
        </w:rPr>
        <w:t xml:space="preserve"> aunque cualquier límite o restricción, para ser legítimo, debe reunir con tres requisitos: primero, debe de estar establecida </w:t>
      </w:r>
      <w:r w:rsidRPr="00AD7ACB">
        <w:rPr>
          <w:rFonts w:ascii="Palatino Linotype" w:eastAsia="MS Gothic" w:hAnsi="Palatino Linotype" w:cs="Times New Roman"/>
        </w:rPr>
        <w:lastRenderedPageBreak/>
        <w:t>en un ordenamiento legal, antes de su aplicación; debe de corresponder a un fin legítimo y ser estrictamente proporcional con el principio o valor que se pretende preservar.</w:t>
      </w:r>
      <w:r w:rsidRPr="00AD7ACB">
        <w:rPr>
          <w:rFonts w:ascii="Palatino Linotype" w:eastAsia="MS Gothic" w:hAnsi="Palatino Linotype" w:cs="Times New Roman"/>
          <w:vertAlign w:val="superscript"/>
        </w:rPr>
        <w:footnoteReference w:id="5"/>
      </w:r>
      <w:r w:rsidRPr="00AD7ACB">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53FB7" w:rsidRPr="00AD7ACB" w:rsidRDefault="00053FB7" w:rsidP="00053FB7">
      <w:pPr>
        <w:pStyle w:val="Prrafodelista"/>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AD7ACB"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69" w:name="_Toc51863315"/>
      <w:bookmarkStart w:id="170" w:name="_Toc52444649"/>
      <w:bookmarkStart w:id="171" w:name="_Toc57154368"/>
      <w:bookmarkStart w:id="172" w:name="_Toc65170174"/>
      <w:bookmarkStart w:id="173" w:name="_Toc66371800"/>
      <w:bookmarkStart w:id="174" w:name="_Toc67584835"/>
      <w:bookmarkStart w:id="175" w:name="_Toc70070911"/>
      <w:bookmarkStart w:id="176" w:name="_Toc70593358"/>
      <w:bookmarkStart w:id="177" w:name="_Toc71290717"/>
      <w:bookmarkStart w:id="178" w:name="_Toc71291223"/>
      <w:bookmarkStart w:id="179" w:name="_Toc71674122"/>
      <w:bookmarkStart w:id="180" w:name="_Toc83128591"/>
      <w:r w:rsidRPr="00AD7ACB">
        <w:rPr>
          <w:rFonts w:ascii="Palatino Linotype" w:hAnsi="Palatino Linotype" w:cs="Arial"/>
          <w:b/>
        </w:rPr>
        <w:t>Requisitos previos.</w:t>
      </w:r>
      <w:bookmarkEnd w:id="169"/>
      <w:bookmarkEnd w:id="170"/>
      <w:bookmarkEnd w:id="171"/>
      <w:bookmarkEnd w:id="172"/>
      <w:bookmarkEnd w:id="173"/>
      <w:bookmarkEnd w:id="174"/>
      <w:bookmarkEnd w:id="175"/>
      <w:bookmarkEnd w:id="176"/>
      <w:bookmarkEnd w:id="177"/>
      <w:bookmarkEnd w:id="178"/>
      <w:bookmarkEnd w:id="179"/>
      <w:bookmarkEnd w:id="180"/>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AD7ACB">
        <w:rPr>
          <w:rFonts w:ascii="Palatino Linotype" w:eastAsia="MS Gothic" w:hAnsi="Palatino Linotype" w:cs="Times New Roman"/>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F09BC" w:rsidRPr="00AD7ACB" w:rsidRDefault="009F09BC" w:rsidP="009F09BC">
      <w:pPr>
        <w:pStyle w:val="Prrafodelista"/>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w:t>
      </w:r>
      <w:r w:rsidRPr="00AD7ACB">
        <w:rPr>
          <w:rFonts w:ascii="Palatino Linotype" w:eastAsia="MS Gothic" w:hAnsi="Palatino Linotype" w:cs="Times New Roman"/>
          <w:b/>
          <w:u w:val="single"/>
        </w:rPr>
        <w:t>no se puede hacer un acuerdo para clasificar de manera general todos los documentos de un expediente o área</w:t>
      </w:r>
      <w:r w:rsidRPr="00AD7ACB">
        <w:rPr>
          <w:rFonts w:ascii="Palatino Linotype" w:eastAsia="MS Gothic" w:hAnsi="Palatino Linotype" w:cs="Times New Roman"/>
          <w:b/>
        </w:rPr>
        <w:t xml:space="preserve">,  </w:t>
      </w:r>
      <w:r w:rsidRPr="00AD7ACB">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AD7ACB"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81" w:name="_Toc51863316"/>
      <w:bookmarkStart w:id="182" w:name="_Toc52444650"/>
      <w:bookmarkStart w:id="183" w:name="_Toc57154369"/>
      <w:bookmarkStart w:id="184" w:name="_Toc65170175"/>
      <w:bookmarkStart w:id="185" w:name="_Toc66371801"/>
      <w:bookmarkStart w:id="186" w:name="_Toc67584836"/>
      <w:bookmarkStart w:id="187" w:name="_Toc70070912"/>
      <w:bookmarkStart w:id="188" w:name="_Toc70593359"/>
      <w:bookmarkStart w:id="189" w:name="_Toc71290718"/>
      <w:bookmarkStart w:id="190" w:name="_Toc71291224"/>
      <w:bookmarkStart w:id="191" w:name="_Toc71674123"/>
      <w:bookmarkStart w:id="192" w:name="_Toc83128592"/>
      <w:r w:rsidRPr="00AD7ACB">
        <w:rPr>
          <w:rFonts w:ascii="Palatino Linotype" w:hAnsi="Palatino Linotype" w:cs="Arial"/>
          <w:b/>
        </w:rPr>
        <w:t>Supuestos de clasificación.</w:t>
      </w:r>
      <w:bookmarkEnd w:id="181"/>
      <w:bookmarkEnd w:id="182"/>
      <w:bookmarkEnd w:id="183"/>
      <w:bookmarkEnd w:id="184"/>
      <w:bookmarkEnd w:id="185"/>
      <w:bookmarkEnd w:id="186"/>
      <w:bookmarkEnd w:id="187"/>
      <w:bookmarkEnd w:id="188"/>
      <w:bookmarkEnd w:id="189"/>
      <w:bookmarkEnd w:id="190"/>
      <w:bookmarkEnd w:id="191"/>
      <w:bookmarkEnd w:id="192"/>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lastRenderedPageBreak/>
        <w:t>Los artículos 143 y 116 de la Ley Estatal y de la Ley General, respectivamente, señalan los supuestos para que la información pueda ser clasificada como confidencial:</w:t>
      </w:r>
    </w:p>
    <w:p w:rsidR="009F09BC" w:rsidRPr="00AD7ACB" w:rsidRDefault="009F09BC" w:rsidP="001D02D1">
      <w:pPr>
        <w:widowControl w:val="0"/>
        <w:tabs>
          <w:tab w:val="left" w:pos="8222"/>
        </w:tabs>
        <w:autoSpaceDE w:val="0"/>
        <w:autoSpaceDN w:val="0"/>
        <w:adjustRightInd w:val="0"/>
        <w:ind w:left="567" w:right="567"/>
        <w:jc w:val="both"/>
        <w:rPr>
          <w:rFonts w:ascii="Palatino Linotype" w:hAnsi="Palatino Linotype" w:cs="Times"/>
          <w:i/>
          <w:color w:val="000000"/>
        </w:rPr>
      </w:pPr>
      <w:r w:rsidRPr="00AD7ACB">
        <w:rPr>
          <w:rFonts w:ascii="Palatino Linotype" w:hAnsi="Palatino Linotype" w:cs="Bookman Old Style"/>
          <w:bCs/>
          <w:i/>
          <w:color w:val="000000"/>
        </w:rPr>
        <w:t xml:space="preserve">“I. </w:t>
      </w:r>
      <w:r w:rsidRPr="00AD7ACB">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F09BC" w:rsidRPr="00AD7ACB" w:rsidRDefault="009F09BC" w:rsidP="001D02D1">
      <w:pPr>
        <w:widowControl w:val="0"/>
        <w:tabs>
          <w:tab w:val="left" w:pos="8222"/>
        </w:tabs>
        <w:autoSpaceDE w:val="0"/>
        <w:autoSpaceDN w:val="0"/>
        <w:adjustRightInd w:val="0"/>
        <w:ind w:left="567" w:right="567"/>
        <w:jc w:val="both"/>
        <w:rPr>
          <w:rFonts w:ascii="Palatino Linotype" w:hAnsi="Palatino Linotype" w:cs="Times"/>
          <w:i/>
          <w:color w:val="000000"/>
        </w:rPr>
      </w:pPr>
      <w:r w:rsidRPr="00AD7ACB">
        <w:rPr>
          <w:rFonts w:ascii="Palatino Linotype" w:hAnsi="Palatino Linotype" w:cs="Bookman Old Style"/>
          <w:bCs/>
          <w:i/>
          <w:color w:val="000000"/>
        </w:rPr>
        <w:t xml:space="preserve">II. </w:t>
      </w:r>
      <w:r w:rsidRPr="00AD7AC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09BC" w:rsidRPr="00AD7ACB" w:rsidRDefault="009F09BC" w:rsidP="001D02D1">
      <w:pPr>
        <w:widowControl w:val="0"/>
        <w:tabs>
          <w:tab w:val="left" w:pos="8222"/>
        </w:tabs>
        <w:autoSpaceDE w:val="0"/>
        <w:autoSpaceDN w:val="0"/>
        <w:adjustRightInd w:val="0"/>
        <w:ind w:left="567" w:right="567"/>
        <w:jc w:val="both"/>
        <w:rPr>
          <w:rFonts w:ascii="Palatino Linotype" w:hAnsi="Palatino Linotype" w:cs="Times"/>
          <w:i/>
          <w:color w:val="000000"/>
        </w:rPr>
      </w:pPr>
      <w:r w:rsidRPr="00AD7ACB">
        <w:rPr>
          <w:rFonts w:ascii="Palatino Linotype" w:hAnsi="Palatino Linotype" w:cs="Bookman Old Style"/>
          <w:bCs/>
          <w:i/>
          <w:color w:val="000000"/>
        </w:rPr>
        <w:t xml:space="preserve">III. </w:t>
      </w:r>
      <w:r w:rsidRPr="00AD7ACB">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F09BC" w:rsidRPr="00AD7ACB" w:rsidRDefault="009F09BC" w:rsidP="001D02D1">
      <w:pPr>
        <w:widowControl w:val="0"/>
        <w:tabs>
          <w:tab w:val="left" w:pos="8222"/>
        </w:tabs>
        <w:autoSpaceDE w:val="0"/>
        <w:autoSpaceDN w:val="0"/>
        <w:adjustRightInd w:val="0"/>
        <w:ind w:left="567" w:right="567"/>
        <w:jc w:val="both"/>
        <w:rPr>
          <w:rFonts w:ascii="Palatino Linotype" w:hAnsi="Palatino Linotype" w:cs="Times"/>
          <w:i/>
          <w:color w:val="000000"/>
        </w:rPr>
      </w:pPr>
      <w:r w:rsidRPr="00AD7ACB">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F09BC" w:rsidRPr="00AD7ACB" w:rsidRDefault="009F09BC" w:rsidP="001D02D1">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AD7ACB">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9E68D3" w:rsidRPr="00AD7ACB" w:rsidRDefault="009E68D3" w:rsidP="009F09B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53FB7" w:rsidRPr="00AD7ACB" w:rsidRDefault="00053FB7" w:rsidP="00053FB7">
      <w:pPr>
        <w:spacing w:line="360" w:lineRule="auto"/>
        <w:contextualSpacing/>
        <w:jc w:val="both"/>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 xml:space="preserve">Como consecuencia de lo anterior, el </w:t>
      </w:r>
      <w:r w:rsidRPr="00AD7ACB">
        <w:rPr>
          <w:rFonts w:ascii="Palatino Linotype" w:eastAsia="MS Gothic" w:hAnsi="Palatino Linotype" w:cs="Times New Roman"/>
          <w:b/>
        </w:rPr>
        <w:t>SUJETO OBLIGADO</w:t>
      </w:r>
      <w:r w:rsidRPr="00AD7ACB">
        <w:rPr>
          <w:rFonts w:ascii="Palatino Linotype" w:eastAsia="MS Gothic" w:hAnsi="Palatino Linotype" w:cs="Times New Roman"/>
        </w:rPr>
        <w:t xml:space="preserve"> debe identificar claramente el tipo de información y hacer un juicio de subsunción o encaje</w:t>
      </w:r>
      <w:r w:rsidRPr="00AD7ACB">
        <w:rPr>
          <w:rFonts w:ascii="Palatino Linotype" w:eastAsia="MS Gothic" w:hAnsi="Palatino Linotype" w:cs="Times New Roman"/>
          <w:vertAlign w:val="superscript"/>
        </w:rPr>
        <w:footnoteReference w:id="6"/>
      </w:r>
      <w:r w:rsidRPr="00AD7ACB">
        <w:rPr>
          <w:rFonts w:ascii="Palatino Linotype" w:eastAsia="MS Gothic" w:hAnsi="Palatino Linotype" w:cs="Times New Roman"/>
        </w:rPr>
        <w:t xml:space="preserve"> para </w:t>
      </w:r>
      <w:r w:rsidRPr="00AD7ACB">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9F09BC" w:rsidRPr="00AD7ACB" w:rsidRDefault="009F09BC" w:rsidP="009F09BC">
      <w:pPr>
        <w:pStyle w:val="Prrafodelista"/>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9A2251" w:rsidRPr="00AD7ACB" w:rsidRDefault="009A2251" w:rsidP="009A2251">
      <w:pPr>
        <w:pStyle w:val="Prrafodelista"/>
        <w:rPr>
          <w:rFonts w:ascii="Palatino Linotype" w:hAnsi="Palatino Linotype" w:cs="Arial"/>
        </w:rPr>
      </w:pP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i/>
        </w:rPr>
        <w:t>“</w:t>
      </w:r>
      <w:r w:rsidRPr="00AD7ACB">
        <w:rPr>
          <w:rFonts w:ascii="Palatino Linotype" w:hAnsi="Palatino Linotype" w:cs="Arial"/>
          <w:b/>
          <w:i/>
        </w:rPr>
        <w:t>Quincuagésimo.</w:t>
      </w:r>
      <w:r w:rsidRPr="00AD7ACB">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E68D3" w:rsidRPr="00AD7ACB" w:rsidRDefault="009E68D3" w:rsidP="001D02D1">
      <w:pPr>
        <w:pStyle w:val="Prrafodelista"/>
        <w:tabs>
          <w:tab w:val="left" w:pos="142"/>
          <w:tab w:val="left" w:pos="284"/>
          <w:tab w:val="left" w:pos="426"/>
        </w:tabs>
        <w:ind w:left="567" w:right="567"/>
        <w:jc w:val="both"/>
        <w:rPr>
          <w:rFonts w:ascii="Palatino Linotype" w:hAnsi="Palatino Linotype" w:cs="Arial"/>
          <w:i/>
        </w:rPr>
      </w:pP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b/>
          <w:i/>
        </w:rPr>
        <w:t>Quincuagésimo primero.</w:t>
      </w:r>
      <w:r w:rsidRPr="00AD7ACB">
        <w:rPr>
          <w:rFonts w:ascii="Palatino Linotype" w:hAnsi="Palatino Linotype" w:cs="Arial"/>
          <w:i/>
        </w:rPr>
        <w:t xml:space="preserve"> La leyenda en los documentos clasificados indicará:</w:t>
      </w: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i/>
        </w:rPr>
        <w:t>I. La fecha de sesión del Comité de Transparencia en donde se confirmó la clasificación, en su caso;</w:t>
      </w: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i/>
        </w:rPr>
        <w:t>II. El nombre del área;</w:t>
      </w: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i/>
        </w:rPr>
        <w:t>III. La palabra reservado o confidencial;</w:t>
      </w: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i/>
        </w:rPr>
        <w:t>IV. Las partes o secciones reservadas o confidenciales, en su caso;</w:t>
      </w: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i/>
        </w:rPr>
        <w:t>V. El fundamento legal;</w:t>
      </w: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i/>
        </w:rPr>
        <w:t>VI. El periodo de reserva, y</w:t>
      </w: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i/>
        </w:rPr>
        <w:t>VII. La rúbrica del titular del área.</w:t>
      </w: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b/>
          <w:i/>
        </w:rPr>
        <w:lastRenderedPageBreak/>
        <w:t>Quincuagésimo segundo.</w:t>
      </w:r>
      <w:r w:rsidRPr="00AD7AC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F09BC" w:rsidRPr="00AD7ACB" w:rsidRDefault="009F09BC" w:rsidP="001D02D1">
      <w:pPr>
        <w:pStyle w:val="Prrafodelista"/>
        <w:tabs>
          <w:tab w:val="left" w:pos="142"/>
          <w:tab w:val="left" w:pos="284"/>
          <w:tab w:val="left" w:pos="426"/>
        </w:tabs>
        <w:ind w:left="567" w:right="567"/>
        <w:jc w:val="both"/>
        <w:rPr>
          <w:rFonts w:ascii="Palatino Linotype" w:hAnsi="Palatino Linotype" w:cs="Arial"/>
          <w:i/>
        </w:rPr>
      </w:pPr>
      <w:r w:rsidRPr="00AD7ACB">
        <w:rPr>
          <w:rFonts w:ascii="Palatino Linotype" w:hAnsi="Palatino Linotype" w:cs="Arial"/>
          <w:b/>
          <w:i/>
        </w:rPr>
        <w:t>Quincuagésimo tercero.</w:t>
      </w:r>
      <w:r w:rsidRPr="00AD7ACB">
        <w:rPr>
          <w:rFonts w:ascii="Palatino Linotype" w:hAnsi="Palatino Linotype" w:cs="Arial"/>
          <w:i/>
        </w:rPr>
        <w:t xml:space="preserve"> El formato para señalar la clasificación parcial de un documento, es el siguiente:</w:t>
      </w:r>
    </w:p>
    <w:p w:rsidR="00BC0FE1" w:rsidRPr="00AD7ACB" w:rsidRDefault="00BC0FE1" w:rsidP="001D02D1">
      <w:pPr>
        <w:pStyle w:val="Prrafodelista"/>
        <w:tabs>
          <w:tab w:val="left" w:pos="142"/>
          <w:tab w:val="left" w:pos="284"/>
          <w:tab w:val="left" w:pos="426"/>
        </w:tabs>
        <w:ind w:left="567" w:right="567"/>
        <w:jc w:val="both"/>
        <w:rPr>
          <w:rFonts w:ascii="Palatino Linotype" w:hAnsi="Palatino Linotype" w:cs="Arial"/>
          <w:i/>
        </w:rPr>
      </w:pPr>
    </w:p>
    <w:p w:rsidR="009F09BC" w:rsidRPr="00AD7ACB" w:rsidRDefault="009F09BC" w:rsidP="009F09BC">
      <w:pPr>
        <w:pStyle w:val="Prrafodelista"/>
        <w:tabs>
          <w:tab w:val="left" w:pos="142"/>
          <w:tab w:val="left" w:pos="284"/>
          <w:tab w:val="left" w:pos="426"/>
        </w:tabs>
        <w:spacing w:line="360" w:lineRule="auto"/>
        <w:ind w:left="0"/>
        <w:jc w:val="center"/>
        <w:rPr>
          <w:rFonts w:ascii="Palatino Linotype" w:hAnsi="Palatino Linotype" w:cs="Arial"/>
        </w:rPr>
      </w:pPr>
      <w:r w:rsidRPr="00AD7ACB">
        <w:rPr>
          <w:rFonts w:ascii="Palatino Linotype" w:hAnsi="Palatino Linotype" w:cs="Arial"/>
          <w:i/>
          <w:noProof/>
          <w:lang w:val="es-MX" w:eastAsia="es-MX"/>
        </w:rPr>
        <w:drawing>
          <wp:inline distT="0" distB="0" distL="0" distR="0" wp14:anchorId="2E6835A7" wp14:editId="6EDF19F0">
            <wp:extent cx="4264660" cy="3752850"/>
            <wp:effectExtent l="57150" t="57150" r="11684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8172" cy="368554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rsidR="009F09BC" w:rsidRPr="00AD7ACB"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AD7ACB" w:rsidRDefault="009F09BC" w:rsidP="009F09B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3" w:name="_Toc51863317"/>
      <w:bookmarkStart w:id="194" w:name="_Toc52444651"/>
      <w:bookmarkStart w:id="195" w:name="_Toc57154370"/>
      <w:bookmarkStart w:id="196" w:name="_Toc65170176"/>
      <w:bookmarkStart w:id="197" w:name="_Toc66371802"/>
      <w:bookmarkStart w:id="198" w:name="_Toc67584837"/>
      <w:bookmarkStart w:id="199" w:name="_Toc70070913"/>
      <w:bookmarkStart w:id="200" w:name="_Toc70593360"/>
      <w:bookmarkStart w:id="201" w:name="_Toc71290719"/>
      <w:bookmarkStart w:id="202" w:name="_Toc71291225"/>
      <w:bookmarkStart w:id="203" w:name="_Toc71674124"/>
      <w:bookmarkStart w:id="204" w:name="_Toc83128593"/>
      <w:r w:rsidRPr="00AD7ACB">
        <w:rPr>
          <w:rFonts w:ascii="Palatino Linotype" w:hAnsi="Palatino Linotype" w:cs="Arial"/>
          <w:b/>
        </w:rPr>
        <w:lastRenderedPageBreak/>
        <w:t>III. La intervención del Comité de Transparencia.</w:t>
      </w:r>
      <w:bookmarkEnd w:id="193"/>
      <w:bookmarkEnd w:id="194"/>
      <w:bookmarkEnd w:id="195"/>
      <w:bookmarkEnd w:id="196"/>
      <w:bookmarkEnd w:id="197"/>
      <w:bookmarkEnd w:id="198"/>
      <w:bookmarkEnd w:id="199"/>
      <w:bookmarkEnd w:id="200"/>
      <w:bookmarkEnd w:id="201"/>
      <w:bookmarkEnd w:id="202"/>
      <w:bookmarkEnd w:id="203"/>
      <w:bookmarkEnd w:id="204"/>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b/>
        </w:rPr>
      </w:pPr>
      <w:r w:rsidRPr="00AD7ACB">
        <w:rPr>
          <w:rFonts w:ascii="Palatino Linotype" w:hAnsi="Palatino Linotype" w:cs="Arial"/>
          <w:b/>
        </w:rPr>
        <w:t>a) Formalidades para emitir el Acuerdo de Clasificación.</w:t>
      </w: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AD7ACB">
        <w:rPr>
          <w:rFonts w:ascii="Palatino Linotype" w:eastAsia="MS Gothic" w:hAnsi="Palatino Linotype" w:cs="Times New Roman"/>
          <w:b/>
          <w:u w:val="single"/>
        </w:rPr>
        <w:t>confirmar, modificar o revocar</w:t>
      </w:r>
      <w:r w:rsidRPr="00AD7ACB">
        <w:rPr>
          <w:rFonts w:ascii="Palatino Linotype" w:eastAsia="MS Gothic" w:hAnsi="Palatino Linotype" w:cs="Times New Roman"/>
        </w:rPr>
        <w:t xml:space="preserve"> la clasificación de la información que ha hecho el titular del área que administra la información. Por lo tanto, el Comité </w:t>
      </w:r>
      <w:r w:rsidRPr="00AD7ACB">
        <w:rPr>
          <w:rFonts w:ascii="Palatino Linotype" w:eastAsia="MS Gothic" w:hAnsi="Palatino Linotype" w:cs="Times New Roman"/>
          <w:b/>
          <w:u w:val="single"/>
        </w:rPr>
        <w:t>no aprueba</w:t>
      </w:r>
      <w:r w:rsidRPr="00AD7ACB">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AD7ACB">
        <w:rPr>
          <w:rFonts w:ascii="Palatino Linotype" w:eastAsia="MS Gothic" w:hAnsi="Palatino Linotype" w:cs="Times New Roman"/>
          <w:b/>
          <w:u w:val="single"/>
        </w:rPr>
        <w:t>el acto reúna con los requisitos elementales</w:t>
      </w:r>
      <w:r w:rsidRPr="00AD7ACB">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AD7ACB" w:rsidRDefault="009F09BC" w:rsidP="009F09BC">
      <w:pPr>
        <w:pStyle w:val="Prrafodelista"/>
        <w:numPr>
          <w:ilvl w:val="0"/>
          <w:numId w:val="30"/>
        </w:numPr>
        <w:tabs>
          <w:tab w:val="left" w:pos="142"/>
          <w:tab w:val="left" w:pos="284"/>
          <w:tab w:val="left" w:pos="426"/>
        </w:tabs>
        <w:spacing w:line="360" w:lineRule="auto"/>
        <w:jc w:val="both"/>
        <w:rPr>
          <w:rFonts w:ascii="Palatino Linotype" w:hAnsi="Palatino Linotype" w:cs="Arial"/>
          <w:b/>
        </w:rPr>
      </w:pPr>
      <w:r w:rsidRPr="00AD7ACB">
        <w:rPr>
          <w:rFonts w:ascii="Palatino Linotype" w:hAnsi="Palatino Linotype" w:cs="Arial"/>
          <w:b/>
        </w:rPr>
        <w:t>Requisitos de fondo del Acuerdo de Clasificación.</w:t>
      </w: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264C9A" w:rsidRPr="00AD7ACB">
        <w:rPr>
          <w:rFonts w:ascii="Palatino Linotype" w:eastAsia="MS Gothic" w:hAnsi="Palatino Linotype" w:cs="Times New Roman"/>
        </w:rPr>
        <w:t>Generales, al</w:t>
      </w:r>
      <w:r w:rsidRPr="00AD7ACB">
        <w:rPr>
          <w:rFonts w:ascii="Palatino Linotype" w:eastAsia="MS Gothic" w:hAnsi="Palatino Linotype" w:cs="Times New Roman"/>
        </w:rPr>
        <w:t xml:space="preserve"> señalar que la carga de la prueba, para justificar las restricciones, corresponde a los sujetos obligados, por lo que deberán fundar y motivar debidamente la clasificación.</w:t>
      </w:r>
    </w:p>
    <w:p w:rsidR="009F09BC" w:rsidRPr="00AD7ACB"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AD7ACB">
        <w:rPr>
          <w:rFonts w:ascii="Palatino Linotype" w:eastAsia="MS Gothic" w:hAnsi="Palatino Linotype" w:cs="Times New Roman"/>
        </w:rPr>
        <w:lastRenderedPageBreak/>
        <w:t>fundamentos legales que le dieron origen y las razones por las que se deben aplicar al caso concreto.</w:t>
      </w:r>
    </w:p>
    <w:p w:rsidR="009F09BC" w:rsidRPr="00AD7ACB" w:rsidRDefault="009F09BC" w:rsidP="009F09BC">
      <w:pPr>
        <w:pStyle w:val="Prrafodelista"/>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AD7ACB" w:rsidRDefault="009E68D3" w:rsidP="001D02D1">
      <w:pPr>
        <w:ind w:left="567" w:right="618"/>
        <w:contextualSpacing/>
        <w:jc w:val="both"/>
        <w:rPr>
          <w:rFonts w:ascii="Palatino Linotype" w:hAnsi="Palatino Linotype" w:cs="Arial"/>
          <w:i/>
          <w:color w:val="000000"/>
        </w:rPr>
      </w:pPr>
      <w:r w:rsidRPr="00AD7ACB">
        <w:rPr>
          <w:rFonts w:ascii="Palatino Linotype" w:hAnsi="Palatino Linotype" w:cs="Arial"/>
          <w:b/>
          <w:i/>
          <w:color w:val="000000"/>
        </w:rPr>
        <w:t>“</w:t>
      </w:r>
      <w:r w:rsidR="009F09BC" w:rsidRPr="00AD7ACB">
        <w:rPr>
          <w:rFonts w:ascii="Palatino Linotype" w:hAnsi="Palatino Linotype" w:cs="Arial"/>
          <w:b/>
          <w:i/>
          <w:color w:val="000000"/>
        </w:rPr>
        <w:t>FUNDAMENTACIÓN Y MOTIVACIÓN.</w:t>
      </w:r>
      <w:r w:rsidR="009F09BC" w:rsidRPr="00AD7ACB">
        <w:rPr>
          <w:rFonts w:ascii="Palatino Linotype" w:hAnsi="Palatino Linotype" w:cs="Arial"/>
          <w:i/>
          <w:color w:val="000000"/>
        </w:rPr>
        <w:t xml:space="preserve"> “La </w:t>
      </w:r>
      <w:r w:rsidR="009F09BC" w:rsidRPr="00AD7ACB">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9F09BC" w:rsidRPr="00AD7ACB">
        <w:rPr>
          <w:rFonts w:ascii="Palatino Linotype" w:hAnsi="Palatino Linotype" w:cs="Arial"/>
          <w:i/>
          <w:color w:val="000000"/>
        </w:rPr>
        <w:t>.”</w:t>
      </w:r>
    </w:p>
    <w:p w:rsidR="001D02D1" w:rsidRPr="00AD7ACB" w:rsidRDefault="001D02D1" w:rsidP="001D02D1">
      <w:pPr>
        <w:spacing w:line="360" w:lineRule="auto"/>
        <w:contextualSpacing/>
        <w:jc w:val="both"/>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hAnsi="Palatino Linotype" w:cs="Arial"/>
        </w:rPr>
        <w:t>Así</w:t>
      </w:r>
      <w:r w:rsidRPr="00AD7ACB">
        <w:rPr>
          <w:rFonts w:ascii="Palatino Linotype" w:eastAsia="MS Gothic" w:hAnsi="Palatino Linotype" w:cs="Times New Roman"/>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w:t>
      </w:r>
      <w:r w:rsidRPr="00AD7ACB">
        <w:rPr>
          <w:rFonts w:ascii="Palatino Linotype" w:hAnsi="Palatino Linotype" w:cs="Arial"/>
        </w:rPr>
        <w:t>claramente</w:t>
      </w:r>
      <w:r w:rsidRPr="00AD7ACB">
        <w:rPr>
          <w:rFonts w:ascii="Palatino Linotype" w:eastAsia="MS Gothic" w:hAnsi="Palatino Linotype" w:cs="Times New Roman"/>
        </w:rPr>
        <w:t xml:space="preserve"> por qué a través de la utilización de la norma se emitió el acto. De este modo, la persona que se sienta afectada pueda impugnar la decisión, permitiéndole una real y auténtica defensa.</w:t>
      </w:r>
    </w:p>
    <w:p w:rsidR="009F09BC" w:rsidRPr="00AD7ACB"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AD7ACB" w:rsidRDefault="009F09BC" w:rsidP="00053FB7">
      <w:pPr>
        <w:numPr>
          <w:ilvl w:val="0"/>
          <w:numId w:val="15"/>
        </w:numPr>
        <w:spacing w:line="360" w:lineRule="auto"/>
        <w:ind w:left="0" w:firstLine="0"/>
        <w:contextualSpacing/>
        <w:jc w:val="both"/>
        <w:rPr>
          <w:rFonts w:ascii="Palatino Linotype" w:hAnsi="Palatino Linotype" w:cs="Arial"/>
        </w:rPr>
      </w:pPr>
      <w:r w:rsidRPr="00AD7ACB">
        <w:rPr>
          <w:rFonts w:ascii="Palatino Linotype" w:eastAsia="MS Gothic" w:hAnsi="Palatino Linotype" w:cs="Times New Roman"/>
        </w:rPr>
        <w:lastRenderedPageBreak/>
        <w:t xml:space="preserve"> En ese mismo sentido, el numeral trigésimo tercero fracción V de los </w:t>
      </w:r>
      <w:r w:rsidRPr="00AD7ACB">
        <w:rPr>
          <w:rFonts w:ascii="Palatino Linotype" w:hAnsi="Palatino Linotype" w:cs="Arial"/>
        </w:rPr>
        <w:t>Lineamientos</w:t>
      </w:r>
      <w:r w:rsidRPr="00AD7ACB">
        <w:rPr>
          <w:rFonts w:ascii="Palatino Linotype" w:eastAsia="MS Gothic" w:hAnsi="Palatino Linotype" w:cs="Times New Roman"/>
        </w:rPr>
        <w:t xml:space="preserve"> Generales, precisa que para motivar la clasificación se deben acreditar las circunstancias de tiempo, modo y lugar.</w:t>
      </w:r>
    </w:p>
    <w:p w:rsidR="009E68D3" w:rsidRPr="00AD7ACB" w:rsidRDefault="009E68D3" w:rsidP="009E68D3">
      <w:pPr>
        <w:pStyle w:val="Prrafodelista"/>
        <w:rPr>
          <w:rFonts w:ascii="Palatino Linotype" w:hAnsi="Palatino Linotype" w:cs="Arial"/>
        </w:rPr>
      </w:pPr>
    </w:p>
    <w:p w:rsidR="001D02D1" w:rsidRPr="00AD7ACB" w:rsidRDefault="001D02D1" w:rsidP="009C777C">
      <w:pPr>
        <w:pStyle w:val="Prrafodelista"/>
        <w:numPr>
          <w:ilvl w:val="0"/>
          <w:numId w:val="15"/>
        </w:numPr>
        <w:spacing w:line="360" w:lineRule="auto"/>
        <w:ind w:left="0" w:firstLine="0"/>
        <w:jc w:val="both"/>
        <w:rPr>
          <w:rFonts w:ascii="Palatino Linotype" w:hAnsi="Palatino Linotype" w:cs="Arial"/>
        </w:rPr>
      </w:pPr>
      <w:bookmarkStart w:id="205" w:name="_Toc504500693"/>
      <w:bookmarkStart w:id="206" w:name="_Toc534742545"/>
      <w:bookmarkStart w:id="207" w:name="_Toc2248738"/>
      <w:bookmarkStart w:id="208" w:name="_Toc34819440"/>
      <w:bookmarkStart w:id="209" w:name="_Toc51259595"/>
      <w:bookmarkStart w:id="210" w:name="_Toc83128595"/>
      <w:r w:rsidRPr="00AD7ACB">
        <w:rPr>
          <w:rFonts w:ascii="Palatino Linotype" w:eastAsia="Times New Roman" w:hAnsi="Palatino Linotype" w:cs="Arial"/>
          <w:color w:val="222222"/>
          <w:lang w:eastAsia="es-MX"/>
        </w:rPr>
        <w:t xml:space="preserve">Por lo anteriormente expuesto y fundado, este </w:t>
      </w:r>
      <w:r w:rsidRPr="00AD7ACB">
        <w:rPr>
          <w:rFonts w:ascii="Palatino Linotype" w:eastAsia="Times New Roman" w:hAnsi="Palatino Linotype" w:cs="Arial"/>
          <w:b/>
          <w:bCs/>
          <w:color w:val="222222"/>
          <w:lang w:eastAsia="es-MX"/>
        </w:rPr>
        <w:t>ÓRGANO GARANTE</w:t>
      </w:r>
      <w:r w:rsidRPr="00AD7ACB">
        <w:rPr>
          <w:rFonts w:ascii="Palatino Linotype" w:eastAsia="Times New Roman" w:hAnsi="Palatino Linotype" w:cs="Arial"/>
          <w:color w:val="222222"/>
          <w:lang w:eastAsia="es-MX"/>
        </w:rPr>
        <w:t xml:space="preserve"> emite los siguientes:</w:t>
      </w:r>
    </w:p>
    <w:p w:rsidR="009F09BC" w:rsidRPr="00AD7ACB" w:rsidRDefault="009F09BC" w:rsidP="009C777C">
      <w:pPr>
        <w:pStyle w:val="Ttulo1"/>
        <w:spacing w:before="0" w:line="360" w:lineRule="auto"/>
        <w:jc w:val="center"/>
        <w:rPr>
          <w:rFonts w:ascii="Palatino Linotype" w:eastAsia="Calibri" w:hAnsi="Palatino Linotype"/>
          <w:b/>
          <w:color w:val="000000" w:themeColor="text1"/>
          <w:sz w:val="24"/>
          <w:szCs w:val="24"/>
          <w:lang w:val="es-ES"/>
        </w:rPr>
      </w:pPr>
      <w:r w:rsidRPr="00AD7ACB">
        <w:rPr>
          <w:rFonts w:ascii="Palatino Linotype" w:eastAsia="Calibri" w:hAnsi="Palatino Linotype"/>
          <w:b/>
          <w:color w:val="000000" w:themeColor="text1"/>
          <w:sz w:val="24"/>
          <w:szCs w:val="24"/>
          <w:lang w:val="es-ES"/>
        </w:rPr>
        <w:t>R E S O L U T I V O S</w:t>
      </w:r>
      <w:bookmarkEnd w:id="205"/>
      <w:bookmarkEnd w:id="206"/>
      <w:bookmarkEnd w:id="207"/>
      <w:bookmarkEnd w:id="208"/>
      <w:bookmarkEnd w:id="209"/>
      <w:bookmarkEnd w:id="210"/>
    </w:p>
    <w:p w:rsidR="00CE7B83" w:rsidRPr="00AD7ACB" w:rsidRDefault="00CE7B83" w:rsidP="009C777C">
      <w:pPr>
        <w:spacing w:line="360" w:lineRule="auto"/>
        <w:rPr>
          <w:rFonts w:ascii="Palatino Linotype" w:hAnsi="Palatino Linotype"/>
          <w:lang w:val="es-ES"/>
        </w:rPr>
      </w:pPr>
    </w:p>
    <w:p w:rsidR="009F09BC" w:rsidRPr="00AD7ACB" w:rsidRDefault="009F09BC" w:rsidP="009C777C">
      <w:pPr>
        <w:spacing w:line="360" w:lineRule="auto"/>
        <w:jc w:val="both"/>
        <w:rPr>
          <w:rFonts w:ascii="Palatino Linotype" w:eastAsia="Times New Roman" w:hAnsi="Palatino Linotype" w:cs="Arial"/>
          <w:lang w:val="es-ES"/>
        </w:rPr>
      </w:pPr>
      <w:r w:rsidRPr="00AD7ACB">
        <w:rPr>
          <w:rFonts w:ascii="Palatino Linotype" w:eastAsia="Times New Roman" w:hAnsi="Palatino Linotype" w:cs="Arial"/>
          <w:b/>
        </w:rPr>
        <w:t>PRIMERO</w:t>
      </w:r>
      <w:r w:rsidRPr="00AD7ACB">
        <w:rPr>
          <w:rFonts w:ascii="Palatino Linotype" w:eastAsia="Times New Roman" w:hAnsi="Palatino Linotype" w:cs="Arial"/>
          <w:lang w:val="es-ES"/>
        </w:rPr>
        <w:t>. Resultan fundadas las razones o motivos de inconformidad hechos valer en</w:t>
      </w:r>
      <w:r w:rsidR="009A2251" w:rsidRPr="00AD7ACB">
        <w:rPr>
          <w:rFonts w:ascii="Palatino Linotype" w:eastAsia="Times New Roman" w:hAnsi="Palatino Linotype" w:cs="Arial"/>
          <w:lang w:val="es-ES"/>
        </w:rPr>
        <w:t xml:space="preserve"> el</w:t>
      </w:r>
      <w:r w:rsidRPr="00AD7ACB">
        <w:rPr>
          <w:rFonts w:ascii="Palatino Linotype" w:eastAsia="Times New Roman" w:hAnsi="Palatino Linotype" w:cs="Arial"/>
          <w:lang w:val="es-ES"/>
        </w:rPr>
        <w:t xml:space="preserve"> Recurso de Revisión </w:t>
      </w:r>
      <w:r w:rsidR="00377D00" w:rsidRPr="00AD7ACB">
        <w:rPr>
          <w:rFonts w:ascii="Palatino Linotype" w:hAnsi="Palatino Linotype"/>
          <w:b/>
        </w:rPr>
        <w:t>12938/INFOEM/IP/RR/2022</w:t>
      </w:r>
      <w:r w:rsidRPr="00AD7ACB">
        <w:rPr>
          <w:rFonts w:ascii="Palatino Linotype" w:hAnsi="Palatino Linotype"/>
        </w:rPr>
        <w:t>,</w:t>
      </w:r>
      <w:r w:rsidRPr="00AD7ACB">
        <w:rPr>
          <w:rFonts w:ascii="Palatino Linotype" w:eastAsia="Times New Roman" w:hAnsi="Palatino Linotype" w:cs="Arial"/>
          <w:b/>
          <w:lang w:val="es-ES"/>
        </w:rPr>
        <w:t xml:space="preserve"> </w:t>
      </w:r>
      <w:r w:rsidRPr="00AD7ACB">
        <w:rPr>
          <w:rFonts w:ascii="Palatino Linotype" w:eastAsia="Times New Roman" w:hAnsi="Palatino Linotype" w:cs="Arial"/>
          <w:lang w:val="es-ES"/>
        </w:rPr>
        <w:t xml:space="preserve">en términos de los Considerandos </w:t>
      </w:r>
      <w:r w:rsidRPr="00AD7ACB">
        <w:rPr>
          <w:rFonts w:ascii="Palatino Linotype" w:eastAsia="Times New Roman" w:hAnsi="Palatino Linotype" w:cs="Arial"/>
          <w:b/>
          <w:lang w:val="es-ES"/>
        </w:rPr>
        <w:t xml:space="preserve">CUARTO </w:t>
      </w:r>
      <w:r w:rsidRPr="00AD7ACB">
        <w:rPr>
          <w:rFonts w:ascii="Palatino Linotype" w:eastAsia="Times New Roman" w:hAnsi="Palatino Linotype" w:cs="Arial"/>
          <w:lang w:val="es-ES"/>
        </w:rPr>
        <w:t>y</w:t>
      </w:r>
      <w:r w:rsidRPr="00AD7ACB">
        <w:rPr>
          <w:rFonts w:ascii="Palatino Linotype" w:eastAsia="Times New Roman" w:hAnsi="Palatino Linotype" w:cs="Arial"/>
          <w:b/>
          <w:lang w:val="es-ES"/>
        </w:rPr>
        <w:t xml:space="preserve"> QUINTO </w:t>
      </w:r>
      <w:r w:rsidRPr="00AD7ACB">
        <w:rPr>
          <w:rFonts w:ascii="Palatino Linotype" w:eastAsia="Times New Roman" w:hAnsi="Palatino Linotype" w:cs="Arial"/>
          <w:lang w:val="es-ES"/>
        </w:rPr>
        <w:t xml:space="preserve">de la presente resolución. </w:t>
      </w:r>
    </w:p>
    <w:p w:rsidR="001D02D1" w:rsidRPr="00AD7ACB" w:rsidRDefault="001D02D1" w:rsidP="00CE7B83">
      <w:pPr>
        <w:spacing w:line="360" w:lineRule="auto"/>
        <w:jc w:val="both"/>
        <w:rPr>
          <w:rFonts w:ascii="Palatino Linotype" w:eastAsia="Times New Roman" w:hAnsi="Palatino Linotype" w:cs="Arial"/>
          <w:lang w:val="es-ES"/>
        </w:rPr>
      </w:pPr>
    </w:p>
    <w:p w:rsidR="00373AC7" w:rsidRPr="00AD7ACB" w:rsidRDefault="009F09BC" w:rsidP="00373AC7">
      <w:pPr>
        <w:spacing w:line="360" w:lineRule="auto"/>
        <w:jc w:val="both"/>
        <w:rPr>
          <w:rFonts w:ascii="Palatino Linotype" w:hAnsi="Palatino Linotype" w:cs="Arial"/>
          <w:b/>
        </w:rPr>
      </w:pPr>
      <w:bookmarkStart w:id="211" w:name="_Toc503891607"/>
      <w:bookmarkStart w:id="212" w:name="_Toc511647757"/>
      <w:bookmarkStart w:id="213" w:name="_Toc511647818"/>
      <w:bookmarkStart w:id="214" w:name="_Toc477891768"/>
      <w:bookmarkStart w:id="215" w:name="_Toc477891858"/>
      <w:bookmarkStart w:id="216" w:name="_Toc481576259"/>
      <w:bookmarkStart w:id="217" w:name="_Toc492590391"/>
      <w:bookmarkStart w:id="218" w:name="_Toc462653937"/>
      <w:bookmarkStart w:id="219" w:name="_Toc453696502"/>
      <w:bookmarkStart w:id="220" w:name="_Toc454301155"/>
      <w:r w:rsidRPr="00AD7ACB">
        <w:rPr>
          <w:rFonts w:ascii="Palatino Linotype" w:eastAsia="Times New Roman" w:hAnsi="Palatino Linotype" w:cs="Times New Roman"/>
          <w:b/>
        </w:rPr>
        <w:t>SEGUNDO.</w:t>
      </w:r>
      <w:bookmarkEnd w:id="211"/>
      <w:bookmarkEnd w:id="212"/>
      <w:bookmarkEnd w:id="213"/>
      <w:r w:rsidRPr="00AD7ACB">
        <w:rPr>
          <w:rFonts w:ascii="Palatino Linotype" w:eastAsia="Times New Roman" w:hAnsi="Palatino Linotype" w:cs="Times New Roman"/>
          <w:b/>
        </w:rPr>
        <w:t xml:space="preserve"> </w:t>
      </w:r>
      <w:bookmarkEnd w:id="214"/>
      <w:bookmarkEnd w:id="215"/>
      <w:bookmarkEnd w:id="216"/>
      <w:bookmarkEnd w:id="217"/>
      <w:bookmarkEnd w:id="218"/>
      <w:bookmarkEnd w:id="219"/>
      <w:bookmarkEnd w:id="220"/>
      <w:r w:rsidRPr="00AD7ACB">
        <w:rPr>
          <w:rFonts w:ascii="Palatino Linotype" w:eastAsia="MS Mincho" w:hAnsi="Palatino Linotype" w:cs="Times New Roman"/>
          <w:color w:val="000000" w:themeColor="text1"/>
        </w:rPr>
        <w:t xml:space="preserve">Se </w:t>
      </w:r>
      <w:r w:rsidRPr="00AD7ACB">
        <w:rPr>
          <w:rFonts w:ascii="Palatino Linotype" w:eastAsia="MS Mincho" w:hAnsi="Palatino Linotype" w:cs="Times New Roman"/>
          <w:b/>
          <w:color w:val="000000" w:themeColor="text1"/>
        </w:rPr>
        <w:t xml:space="preserve">REVOCA </w:t>
      </w:r>
      <w:r w:rsidRPr="00AD7ACB">
        <w:rPr>
          <w:rFonts w:ascii="Palatino Linotype" w:eastAsia="MS Mincho" w:hAnsi="Palatino Linotype" w:cs="Times New Roman"/>
          <w:color w:val="000000" w:themeColor="text1"/>
        </w:rPr>
        <w:t xml:space="preserve">la respuesta emitida por </w:t>
      </w:r>
      <w:r w:rsidR="002453DA" w:rsidRPr="00AD7ACB">
        <w:rPr>
          <w:rFonts w:ascii="Palatino Linotype" w:eastAsia="MS Mincho" w:hAnsi="Palatino Linotype" w:cs="Times New Roman"/>
          <w:color w:val="000000" w:themeColor="text1"/>
        </w:rPr>
        <w:t xml:space="preserve">el </w:t>
      </w:r>
      <w:r w:rsidR="001D02D1" w:rsidRPr="00AD7ACB">
        <w:rPr>
          <w:rFonts w:ascii="Palatino Linotype" w:eastAsia="MS Mincho" w:hAnsi="Palatino Linotype" w:cs="Times New Roman"/>
          <w:b/>
          <w:color w:val="000000" w:themeColor="text1"/>
        </w:rPr>
        <w:t>Ayuntamiento de Cuautitlán</w:t>
      </w:r>
      <w:r w:rsidRPr="00AD7ACB">
        <w:rPr>
          <w:rFonts w:ascii="Palatino Linotype" w:eastAsia="MS Mincho" w:hAnsi="Palatino Linotype" w:cs="Times New Roman"/>
          <w:b/>
          <w:color w:val="000000" w:themeColor="text1"/>
        </w:rPr>
        <w:t xml:space="preserve"> </w:t>
      </w:r>
      <w:r w:rsidRPr="00AD7ACB">
        <w:rPr>
          <w:rFonts w:ascii="Palatino Linotype" w:eastAsia="MS Mincho" w:hAnsi="Palatino Linotype" w:cs="Times New Roman"/>
          <w:color w:val="000000" w:themeColor="text1"/>
        </w:rPr>
        <w:t xml:space="preserve">y se </w:t>
      </w:r>
      <w:r w:rsidRPr="00AD7ACB">
        <w:rPr>
          <w:rFonts w:ascii="Palatino Linotype" w:eastAsia="MS Mincho" w:hAnsi="Palatino Linotype" w:cs="Times New Roman"/>
          <w:b/>
          <w:color w:val="000000" w:themeColor="text1"/>
        </w:rPr>
        <w:t>ORDENA</w:t>
      </w:r>
      <w:r w:rsidRPr="00AD7ACB">
        <w:rPr>
          <w:rFonts w:ascii="Palatino Linotype" w:eastAsia="MS Mincho" w:hAnsi="Palatino Linotype" w:cs="Times New Roman"/>
          <w:color w:val="000000" w:themeColor="text1"/>
        </w:rPr>
        <w:t xml:space="preserve"> entregar vía Sistema de Acceso a la Información Mexiquense </w:t>
      </w:r>
      <w:r w:rsidRPr="00AD7ACB">
        <w:rPr>
          <w:rFonts w:ascii="Palatino Linotype" w:eastAsia="MS Mincho" w:hAnsi="Palatino Linotype" w:cs="Times New Roman"/>
          <w:b/>
          <w:color w:val="000000" w:themeColor="text1"/>
        </w:rPr>
        <w:t>(SAIMEX)</w:t>
      </w:r>
      <w:r w:rsidRPr="00AD7ACB">
        <w:rPr>
          <w:rFonts w:ascii="Palatino Linotype" w:eastAsia="MS Mincho" w:hAnsi="Palatino Linotype" w:cs="Times New Roman"/>
          <w:color w:val="000000" w:themeColor="text1"/>
        </w:rPr>
        <w:t xml:space="preserve">, en versión pública, </w:t>
      </w:r>
      <w:r w:rsidR="0074110E" w:rsidRPr="00AD7ACB">
        <w:rPr>
          <w:rFonts w:ascii="Palatino Linotype" w:eastAsia="MS Mincho" w:hAnsi="Palatino Linotype" w:cs="Times New Roman"/>
          <w:color w:val="000000" w:themeColor="text1"/>
        </w:rPr>
        <w:t>la siguiente información</w:t>
      </w:r>
      <w:bookmarkStart w:id="221" w:name="_Toc503891610"/>
      <w:bookmarkStart w:id="222" w:name="_Toc453696503"/>
      <w:bookmarkStart w:id="223" w:name="_Toc454301156"/>
      <w:bookmarkStart w:id="224" w:name="_Toc462653938"/>
      <w:bookmarkStart w:id="225" w:name="_Toc477891769"/>
      <w:bookmarkStart w:id="226" w:name="_Toc477891859"/>
      <w:bookmarkStart w:id="227" w:name="_Toc481576260"/>
      <w:bookmarkStart w:id="228" w:name="_Toc492590392"/>
      <w:r w:rsidR="00373AC7" w:rsidRPr="00AD7ACB">
        <w:rPr>
          <w:rFonts w:ascii="Palatino Linotype" w:eastAsia="MS Mincho" w:hAnsi="Palatino Linotype" w:cs="Times New Roman"/>
          <w:color w:val="000000" w:themeColor="text1"/>
        </w:rPr>
        <w:t xml:space="preserve">, </w:t>
      </w:r>
      <w:r w:rsidR="00373AC7" w:rsidRPr="00AD7ACB">
        <w:rPr>
          <w:rFonts w:ascii="Palatino Linotype" w:hAnsi="Palatino Linotype" w:cs="Arial"/>
          <w:b/>
        </w:rPr>
        <w:t>al 08 de julio de 2022:</w:t>
      </w:r>
    </w:p>
    <w:p w:rsidR="00373AC7" w:rsidRPr="00AD7ACB" w:rsidRDefault="00373AC7" w:rsidP="00373AC7">
      <w:pPr>
        <w:pStyle w:val="Prrafodelista"/>
        <w:spacing w:line="360" w:lineRule="auto"/>
        <w:ind w:left="993"/>
        <w:jc w:val="both"/>
        <w:rPr>
          <w:rFonts w:ascii="Palatino Linotype" w:hAnsi="Palatino Linotype" w:cs="Arial"/>
          <w:b/>
        </w:rPr>
      </w:pPr>
    </w:p>
    <w:p w:rsidR="00373AC7" w:rsidRPr="00AD7ACB" w:rsidRDefault="00373AC7" w:rsidP="008F4EEE">
      <w:pPr>
        <w:pStyle w:val="Prrafodelista"/>
        <w:numPr>
          <w:ilvl w:val="0"/>
          <w:numId w:val="48"/>
        </w:numPr>
        <w:spacing w:line="360" w:lineRule="auto"/>
        <w:jc w:val="both"/>
        <w:rPr>
          <w:rFonts w:ascii="Palatino Linotype" w:hAnsi="Palatino Linotype" w:cs="Arial"/>
          <w:b/>
        </w:rPr>
      </w:pPr>
      <w:r w:rsidRPr="00AD7ACB">
        <w:rPr>
          <w:rFonts w:ascii="Palatino Linotype" w:hAnsi="Palatino Linotype" w:cs="Arial"/>
          <w:b/>
        </w:rPr>
        <w:t xml:space="preserve">Nombres </w:t>
      </w:r>
      <w:r w:rsidR="008F4EEE" w:rsidRPr="00AD7ACB">
        <w:rPr>
          <w:rFonts w:ascii="Palatino Linotype" w:hAnsi="Palatino Linotype" w:cs="Arial"/>
          <w:b/>
        </w:rPr>
        <w:t>de los servidores públicos</w:t>
      </w:r>
      <w:r w:rsidRPr="00AD7ACB">
        <w:rPr>
          <w:rFonts w:ascii="Palatino Linotype" w:hAnsi="Palatino Linotype" w:cs="Arial"/>
          <w:b/>
        </w:rPr>
        <w:t xml:space="preserve"> adscritos a la </w:t>
      </w:r>
      <w:r w:rsidR="008F4EEE" w:rsidRPr="00AD7ACB">
        <w:rPr>
          <w:rFonts w:ascii="Palatino Linotype" w:eastAsia="MS Mincho" w:hAnsi="Palatino Linotype"/>
          <w:b/>
        </w:rPr>
        <w:t>Dirección de Seguridad Pública y Tránsito, que no realizan funciones operativas</w:t>
      </w:r>
      <w:r w:rsidRPr="00AD7ACB">
        <w:rPr>
          <w:rFonts w:ascii="Palatino Linotype" w:hAnsi="Palatino Linotype" w:cs="Arial"/>
          <w:b/>
        </w:rPr>
        <w:t>;</w:t>
      </w:r>
    </w:p>
    <w:p w:rsidR="008F4EEE" w:rsidRPr="00AD7ACB" w:rsidRDefault="008F4EEE" w:rsidP="008F4EEE">
      <w:pPr>
        <w:pStyle w:val="Prrafodelista"/>
        <w:spacing w:line="360" w:lineRule="auto"/>
        <w:ind w:left="1069"/>
        <w:jc w:val="both"/>
        <w:rPr>
          <w:rFonts w:ascii="Palatino Linotype" w:hAnsi="Palatino Linotype" w:cs="Arial"/>
          <w:b/>
        </w:rPr>
      </w:pPr>
    </w:p>
    <w:p w:rsidR="00373AC7" w:rsidRPr="00AD7ACB" w:rsidRDefault="00373AC7" w:rsidP="00373AC7">
      <w:pPr>
        <w:pStyle w:val="Prrafodelista"/>
        <w:tabs>
          <w:tab w:val="left" w:pos="851"/>
        </w:tabs>
        <w:spacing w:before="240" w:after="240" w:line="360" w:lineRule="auto"/>
        <w:ind w:left="993" w:right="49" w:hanging="294"/>
        <w:jc w:val="both"/>
        <w:rPr>
          <w:rFonts w:ascii="Palatino Linotype" w:hAnsi="Palatino Linotype"/>
          <w:b/>
          <w:lang w:val="es-ES"/>
        </w:rPr>
      </w:pPr>
      <w:r w:rsidRPr="00AD7ACB">
        <w:rPr>
          <w:rFonts w:ascii="Palatino Linotype" w:hAnsi="Palatino Linotype" w:cs="Arial"/>
          <w:b/>
        </w:rPr>
        <w:t>b)</w:t>
      </w:r>
      <w:r w:rsidRPr="00AD7ACB">
        <w:rPr>
          <w:rFonts w:ascii="Palatino Linotype" w:hAnsi="Palatino Linotype" w:cs="Arial"/>
          <w:b/>
        </w:rPr>
        <w:tab/>
        <w:t xml:space="preserve">Soporte documental donde conste o se adviertan los </w:t>
      </w:r>
      <w:r w:rsidRPr="00AD7ACB">
        <w:rPr>
          <w:rFonts w:ascii="Palatino Linotype" w:hAnsi="Palatino Linotype"/>
          <w:b/>
          <w:lang w:val="es-ES"/>
        </w:rPr>
        <w:t xml:space="preserve">resultados globales de control de confianza (aprobado, no aprobado, apto o no apto) de los servidores públicos adscritos a la </w:t>
      </w:r>
      <w:r w:rsidR="009C777C" w:rsidRPr="00AD7ACB">
        <w:rPr>
          <w:rFonts w:ascii="Palatino Linotype" w:hAnsi="Palatino Linotype" w:cs="Arial"/>
          <w:b/>
        </w:rPr>
        <w:t>Dirección de Seguridad Pública y Tránsito</w:t>
      </w:r>
      <w:r w:rsidRPr="00AD7ACB">
        <w:rPr>
          <w:rFonts w:ascii="Palatino Linotype" w:hAnsi="Palatino Linotype" w:cs="Arial"/>
          <w:b/>
        </w:rPr>
        <w:t xml:space="preserve">; </w:t>
      </w:r>
    </w:p>
    <w:p w:rsidR="00373AC7" w:rsidRPr="00AD7ACB" w:rsidRDefault="00373AC7" w:rsidP="00373AC7">
      <w:pPr>
        <w:pStyle w:val="Prrafodelista"/>
        <w:spacing w:line="360" w:lineRule="auto"/>
        <w:ind w:left="993"/>
        <w:jc w:val="both"/>
        <w:rPr>
          <w:rFonts w:ascii="Palatino Linotype" w:hAnsi="Palatino Linotype" w:cs="Arial"/>
          <w:b/>
        </w:rPr>
      </w:pPr>
    </w:p>
    <w:p w:rsidR="00CE7B83" w:rsidRPr="00AD7ACB" w:rsidRDefault="005651FB" w:rsidP="009C777C">
      <w:pPr>
        <w:pStyle w:val="Prrafodelista"/>
        <w:numPr>
          <w:ilvl w:val="0"/>
          <w:numId w:val="47"/>
        </w:numPr>
        <w:spacing w:line="360" w:lineRule="auto"/>
        <w:ind w:left="993"/>
        <w:jc w:val="both"/>
        <w:rPr>
          <w:rFonts w:ascii="Palatino Linotype" w:hAnsi="Palatino Linotype" w:cs="Arial"/>
          <w:b/>
        </w:rPr>
      </w:pPr>
      <w:r w:rsidRPr="00AD7ACB">
        <w:rPr>
          <w:rFonts w:ascii="Palatino Linotype" w:hAnsi="Palatino Linotype" w:cs="Arial"/>
          <w:b/>
        </w:rPr>
        <w:lastRenderedPageBreak/>
        <w:t>Informes o</w:t>
      </w:r>
      <w:r w:rsidR="00373AC7" w:rsidRPr="00AD7ACB">
        <w:rPr>
          <w:rFonts w:ascii="Palatino Linotype" w:hAnsi="Palatino Linotype" w:cs="Arial"/>
          <w:b/>
        </w:rPr>
        <w:t xml:space="preserve"> certificados de no antecedentes penales </w:t>
      </w:r>
      <w:r w:rsidR="00373AC7" w:rsidRPr="00AD7ACB">
        <w:rPr>
          <w:rFonts w:ascii="Palatino Linotype" w:hAnsi="Palatino Linotype"/>
          <w:b/>
          <w:lang w:val="es-ES"/>
        </w:rPr>
        <w:t xml:space="preserve">de los servidores públicos adscritos a la </w:t>
      </w:r>
      <w:r w:rsidR="009C777C" w:rsidRPr="00AD7ACB">
        <w:rPr>
          <w:rFonts w:ascii="Palatino Linotype" w:hAnsi="Palatino Linotype" w:cs="Arial"/>
          <w:b/>
        </w:rPr>
        <w:t>Dirección de Seguridad Pública y Tránsito</w:t>
      </w:r>
      <w:r w:rsidR="00373AC7" w:rsidRPr="00AD7ACB">
        <w:rPr>
          <w:rFonts w:ascii="Palatino Linotype" w:hAnsi="Palatino Linotype" w:cs="Arial"/>
          <w:b/>
        </w:rPr>
        <w:t>; y</w:t>
      </w:r>
    </w:p>
    <w:p w:rsidR="00373AC7" w:rsidRPr="00AD7ACB" w:rsidRDefault="00373AC7" w:rsidP="00373AC7">
      <w:pPr>
        <w:pStyle w:val="Prrafodelista"/>
        <w:spacing w:line="360" w:lineRule="auto"/>
        <w:ind w:left="993"/>
        <w:jc w:val="both"/>
        <w:rPr>
          <w:rFonts w:ascii="Palatino Linotype" w:hAnsi="Palatino Linotype" w:cs="Arial"/>
          <w:b/>
        </w:rPr>
      </w:pPr>
    </w:p>
    <w:p w:rsidR="00373AC7" w:rsidRPr="00AD7ACB" w:rsidRDefault="00373AC7" w:rsidP="009C777C">
      <w:pPr>
        <w:pStyle w:val="Prrafodelista"/>
        <w:numPr>
          <w:ilvl w:val="0"/>
          <w:numId w:val="47"/>
        </w:numPr>
        <w:spacing w:line="360" w:lineRule="auto"/>
        <w:ind w:left="993"/>
        <w:jc w:val="both"/>
        <w:rPr>
          <w:rFonts w:ascii="Palatino Linotype" w:hAnsi="Palatino Linotype" w:cs="Arial"/>
          <w:b/>
        </w:rPr>
      </w:pPr>
      <w:r w:rsidRPr="00AD7ACB">
        <w:rPr>
          <w:rFonts w:ascii="Palatino Linotype" w:hAnsi="Palatino Linotype" w:cs="Arial"/>
          <w:b/>
        </w:rPr>
        <w:t xml:space="preserve">Acuerdo de clasificación como información reservada de los nombres del personal operativo </w:t>
      </w:r>
      <w:r w:rsidRPr="00AD7ACB">
        <w:rPr>
          <w:rFonts w:ascii="Palatino Linotype" w:hAnsi="Palatino Linotype"/>
          <w:b/>
          <w:lang w:val="es-ES"/>
        </w:rPr>
        <w:t xml:space="preserve">adscrito a la </w:t>
      </w:r>
      <w:r w:rsidR="009C777C" w:rsidRPr="00AD7ACB">
        <w:rPr>
          <w:rFonts w:ascii="Palatino Linotype" w:hAnsi="Palatino Linotype" w:cs="Arial"/>
          <w:b/>
        </w:rPr>
        <w:t>Dirección de Seguridad Pública y Tránsito</w:t>
      </w:r>
      <w:r w:rsidRPr="00AD7ACB">
        <w:rPr>
          <w:rFonts w:ascii="Palatino Linotype" w:hAnsi="Palatino Linotype" w:cs="Arial"/>
          <w:b/>
        </w:rPr>
        <w:t>.</w:t>
      </w:r>
    </w:p>
    <w:p w:rsidR="00373AC7" w:rsidRPr="00AD7ACB" w:rsidRDefault="00373AC7" w:rsidP="00373AC7">
      <w:pPr>
        <w:pStyle w:val="Prrafodelista"/>
        <w:spacing w:line="360" w:lineRule="auto"/>
        <w:jc w:val="both"/>
        <w:rPr>
          <w:rFonts w:ascii="Palatino Linotype" w:hAnsi="Palatino Linotype" w:cs="Arial"/>
          <w:b/>
        </w:rPr>
      </w:pPr>
    </w:p>
    <w:p w:rsidR="009F09BC" w:rsidRPr="00AD7ACB" w:rsidRDefault="009F09BC" w:rsidP="00CE7B83">
      <w:pPr>
        <w:spacing w:line="360" w:lineRule="auto"/>
        <w:jc w:val="both"/>
        <w:rPr>
          <w:rFonts w:ascii="Palatino Linotype" w:eastAsia="Calibri" w:hAnsi="Palatino Linotype" w:cs="Arial"/>
        </w:rPr>
      </w:pPr>
      <w:r w:rsidRPr="00AD7AC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AD7ACB">
        <w:rPr>
          <w:rFonts w:ascii="Palatino Linotype" w:eastAsia="Calibri" w:hAnsi="Palatino Linotype" w:cs="Arial"/>
          <w:b/>
        </w:rPr>
        <w:t>EL RECURRENTE</w:t>
      </w:r>
      <w:r w:rsidRPr="00AD7ACB">
        <w:rPr>
          <w:rFonts w:ascii="Palatino Linotype" w:eastAsia="Calibri" w:hAnsi="Palatino Linotype" w:cs="Arial"/>
        </w:rPr>
        <w:t>.</w:t>
      </w:r>
    </w:p>
    <w:p w:rsidR="00CE7B83" w:rsidRPr="00AD7ACB" w:rsidRDefault="00CE7B83" w:rsidP="00CE7B83">
      <w:pPr>
        <w:spacing w:line="360" w:lineRule="auto"/>
        <w:jc w:val="both"/>
        <w:rPr>
          <w:rFonts w:ascii="Palatino Linotype" w:eastAsia="Calibri" w:hAnsi="Palatino Linotype" w:cs="Arial"/>
          <w:b/>
        </w:rPr>
      </w:pPr>
    </w:p>
    <w:p w:rsidR="009F09BC" w:rsidRPr="00AD7ACB"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229" w:name="_Toc511647758"/>
      <w:bookmarkStart w:id="230" w:name="_Toc511647819"/>
      <w:r w:rsidRPr="00AD7ACB">
        <w:rPr>
          <w:rFonts w:ascii="Palatino Linotype" w:eastAsia="Times New Roman" w:hAnsi="Palatino Linotype" w:cs="Times New Roman"/>
          <w:b/>
        </w:rPr>
        <w:t>TERCERO.</w:t>
      </w:r>
      <w:bookmarkEnd w:id="221"/>
      <w:bookmarkEnd w:id="229"/>
      <w:bookmarkEnd w:id="230"/>
      <w:r w:rsidRPr="00AD7ACB">
        <w:rPr>
          <w:rFonts w:ascii="Palatino Linotype" w:eastAsia="Times New Roman" w:hAnsi="Palatino Linotype" w:cs="Times New Roman"/>
          <w:b/>
        </w:rPr>
        <w:t xml:space="preserve"> </w:t>
      </w:r>
      <w:bookmarkEnd w:id="222"/>
      <w:bookmarkEnd w:id="223"/>
      <w:bookmarkEnd w:id="224"/>
      <w:bookmarkEnd w:id="225"/>
      <w:bookmarkEnd w:id="226"/>
      <w:bookmarkEnd w:id="227"/>
      <w:bookmarkEnd w:id="228"/>
      <w:r w:rsidRPr="00AD7ACB">
        <w:rPr>
          <w:rFonts w:ascii="Palatino Linotype" w:eastAsia="Palatino Linotype" w:hAnsi="Palatino Linotype" w:cs="Palatino Linotype"/>
          <w:b/>
        </w:rPr>
        <w:t xml:space="preserve">Notifíquese </w:t>
      </w:r>
      <w:r w:rsidRPr="00AD7ACB">
        <w:rPr>
          <w:rFonts w:ascii="Palatino Linotype" w:eastAsia="Palatino Linotype" w:hAnsi="Palatino Linotype" w:cs="Palatino Linotype"/>
        </w:rPr>
        <w:t xml:space="preserve">al Titular de la Unidad de Transparencia del </w:t>
      </w:r>
      <w:r w:rsidRPr="00AD7ACB">
        <w:rPr>
          <w:rFonts w:ascii="Palatino Linotype" w:eastAsia="Palatino Linotype" w:hAnsi="Palatino Linotype" w:cs="Palatino Linotype"/>
          <w:b/>
        </w:rPr>
        <w:t>SUJETO OBLIGADO</w:t>
      </w:r>
      <w:r w:rsidR="00CE7B83" w:rsidRPr="00AD7ACB">
        <w:rPr>
          <w:rFonts w:ascii="Palatino Linotype" w:eastAsia="Palatino Linotype" w:hAnsi="Palatino Linotype" w:cs="Palatino Linotype"/>
          <w:b/>
        </w:rPr>
        <w:t xml:space="preserve"> </w:t>
      </w:r>
      <w:r w:rsidR="00CE7B83" w:rsidRPr="00AD7ACB">
        <w:rPr>
          <w:rFonts w:ascii="Palatino Linotype" w:eastAsia="Palatino Linotype" w:hAnsi="Palatino Linotype" w:cs="Palatino Linotype"/>
        </w:rPr>
        <w:t>vía SAIMEX</w:t>
      </w:r>
      <w:r w:rsidRPr="00AD7AC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D7ACB">
        <w:rPr>
          <w:rFonts w:ascii="Palatino Linotype" w:eastAsia="Times New Roman" w:hAnsi="Palatino Linotype" w:cs="Times New Roman"/>
          <w:shd w:val="clear" w:color="auto" w:fill="FFFFFF"/>
        </w:rPr>
        <w:t xml:space="preserve">vigente, dé cumplimiento a lo ordenado dentro del plazo de </w:t>
      </w:r>
      <w:r w:rsidR="00782A12" w:rsidRPr="00AD7ACB">
        <w:rPr>
          <w:rFonts w:ascii="Palatino Linotype" w:eastAsia="Times New Roman" w:hAnsi="Palatino Linotype" w:cs="Times New Roman"/>
          <w:b/>
          <w:shd w:val="clear" w:color="auto" w:fill="FFFFFF"/>
        </w:rPr>
        <w:t>diez</w:t>
      </w:r>
      <w:r w:rsidRPr="00AD7ACB">
        <w:rPr>
          <w:rFonts w:ascii="Palatino Linotype" w:eastAsia="Times New Roman" w:hAnsi="Palatino Linotype" w:cs="Times New Roman"/>
          <w:b/>
          <w:shd w:val="clear" w:color="auto" w:fill="FFFFFF"/>
        </w:rPr>
        <w:t xml:space="preserve"> días hábiles</w:t>
      </w:r>
      <w:r w:rsidRPr="00AD7ACB">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AD7ACB" w:rsidRDefault="0057514F" w:rsidP="00CE7B83">
      <w:pPr>
        <w:spacing w:line="360" w:lineRule="auto"/>
        <w:jc w:val="both"/>
        <w:rPr>
          <w:rFonts w:ascii="Palatino Linotype" w:hAnsi="Palatino Linotype" w:cs="Arial"/>
          <w:b/>
        </w:rPr>
      </w:pPr>
    </w:p>
    <w:p w:rsidR="0057514F" w:rsidRPr="00AD7ACB" w:rsidRDefault="0057514F" w:rsidP="00CE7B83">
      <w:pPr>
        <w:spacing w:line="360" w:lineRule="auto"/>
        <w:jc w:val="both"/>
        <w:rPr>
          <w:rFonts w:ascii="Palatino Linotype" w:eastAsia="Calibri" w:hAnsi="Palatino Linotype" w:cs="Arial"/>
          <w:bCs/>
        </w:rPr>
      </w:pPr>
      <w:r w:rsidRPr="00AD7ACB">
        <w:rPr>
          <w:rFonts w:ascii="Palatino Linotype" w:hAnsi="Palatino Linotype" w:cs="Arial"/>
          <w:b/>
        </w:rPr>
        <w:t xml:space="preserve">CUARTO. </w:t>
      </w:r>
      <w:r w:rsidRPr="00AD7ACB">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AD7ACB">
        <w:rPr>
          <w:rFonts w:ascii="Palatino Linotype" w:eastAsia="Calibri" w:hAnsi="Palatino Linotype" w:cs="Arial"/>
          <w:bCs/>
        </w:rPr>
        <w:lastRenderedPageBreak/>
        <w:t xml:space="preserve">procedente, el </w:t>
      </w:r>
      <w:r w:rsidRPr="00AD7ACB">
        <w:rPr>
          <w:rFonts w:ascii="Palatino Linotype" w:eastAsia="Calibri" w:hAnsi="Palatino Linotype" w:cs="Arial"/>
          <w:b/>
          <w:bCs/>
        </w:rPr>
        <w:t>SUJETO OBLIGADO</w:t>
      </w:r>
      <w:r w:rsidRPr="00AD7ACB">
        <w:rPr>
          <w:rFonts w:ascii="Palatino Linotype" w:eastAsia="Calibri" w:hAnsi="Palatino Linotype" w:cs="Arial"/>
          <w:bCs/>
        </w:rPr>
        <w:t xml:space="preserve"> de manera fundada y motivada, podrá solicitar una ampliación de plazo para el cumplimiento de la presente resolución.</w:t>
      </w:r>
    </w:p>
    <w:p w:rsidR="00CE7B83" w:rsidRPr="00AD7ACB" w:rsidRDefault="00CE7B83" w:rsidP="00CE7B83">
      <w:pPr>
        <w:spacing w:line="360" w:lineRule="auto"/>
        <w:jc w:val="both"/>
        <w:rPr>
          <w:rFonts w:ascii="Palatino Linotype" w:eastAsia="Calibri" w:hAnsi="Palatino Linotype" w:cs="Arial"/>
          <w:bCs/>
        </w:rPr>
      </w:pPr>
    </w:p>
    <w:p w:rsidR="009F09BC" w:rsidRPr="00AD7ACB"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231" w:name="_Toc492590393"/>
      <w:bookmarkStart w:id="232" w:name="_Toc503891611"/>
      <w:bookmarkStart w:id="233" w:name="_Toc511647759"/>
      <w:bookmarkStart w:id="234" w:name="_Toc511647820"/>
      <w:r w:rsidRPr="00AD7ACB">
        <w:rPr>
          <w:rFonts w:ascii="Palatino Linotype" w:eastAsia="Times New Roman" w:hAnsi="Palatino Linotype" w:cs="Times New Roman"/>
          <w:b/>
        </w:rPr>
        <w:t>QUIN</w:t>
      </w:r>
      <w:r w:rsidR="009F09BC" w:rsidRPr="00AD7ACB">
        <w:rPr>
          <w:rFonts w:ascii="Palatino Linotype" w:eastAsia="Times New Roman" w:hAnsi="Palatino Linotype" w:cs="Times New Roman"/>
          <w:b/>
        </w:rPr>
        <w:t xml:space="preserve">TO. </w:t>
      </w:r>
      <w:r w:rsidR="009F09BC" w:rsidRPr="00AD7ACB">
        <w:rPr>
          <w:rFonts w:ascii="Palatino Linotype" w:eastAsia="Times New Roman" w:hAnsi="Palatino Linotype" w:cs="Times New Roman"/>
        </w:rPr>
        <w:t>Notifíquese</w:t>
      </w:r>
      <w:bookmarkEnd w:id="231"/>
      <w:bookmarkEnd w:id="232"/>
      <w:bookmarkEnd w:id="233"/>
      <w:bookmarkEnd w:id="234"/>
      <w:r w:rsidR="009F09BC" w:rsidRPr="00AD7ACB">
        <w:rPr>
          <w:rFonts w:ascii="Palatino Linotype" w:eastAsia="Times New Roman" w:hAnsi="Palatino Linotype" w:cs="Times New Roman"/>
        </w:rPr>
        <w:t xml:space="preserve"> a </w:t>
      </w:r>
      <w:r w:rsidR="009F09BC" w:rsidRPr="00AD7ACB">
        <w:rPr>
          <w:rFonts w:ascii="Palatino Linotype" w:eastAsia="Times New Roman" w:hAnsi="Palatino Linotype" w:cs="Times New Roman"/>
          <w:b/>
        </w:rPr>
        <w:t>EL RECURRENTE</w:t>
      </w:r>
      <w:r w:rsidR="009F09BC" w:rsidRPr="00AD7ACB">
        <w:rPr>
          <w:rFonts w:ascii="Palatino Linotype" w:eastAsia="Times New Roman" w:hAnsi="Palatino Linotype" w:cs="Times New Roman"/>
        </w:rPr>
        <w:t xml:space="preserve"> la presente</w:t>
      </w:r>
      <w:r w:rsidR="009F09BC" w:rsidRPr="00AD7ACB">
        <w:rPr>
          <w:rFonts w:ascii="Palatino Linotype" w:eastAsia="Times New Roman" w:hAnsi="Palatino Linotype" w:cs="Times New Roman"/>
          <w:lang w:val="es-ES" w:eastAsia="es-MX"/>
        </w:rPr>
        <w:t xml:space="preserve"> resolución</w:t>
      </w:r>
      <w:r w:rsidR="00CE7B83" w:rsidRPr="00AD7ACB">
        <w:rPr>
          <w:rFonts w:ascii="Palatino Linotype" w:eastAsia="Times New Roman" w:hAnsi="Palatino Linotype" w:cs="Times New Roman"/>
          <w:lang w:val="es-ES" w:eastAsia="es-MX"/>
        </w:rPr>
        <w:t>, vía SAIMEX</w:t>
      </w:r>
      <w:r w:rsidR="006D15D0" w:rsidRPr="00AD7ACB">
        <w:rPr>
          <w:rFonts w:ascii="Palatino Linotype" w:eastAsia="Times New Roman" w:hAnsi="Palatino Linotype" w:cs="Times New Roman"/>
          <w:lang w:val="es-ES" w:eastAsia="es-MX"/>
        </w:rPr>
        <w:t>.</w:t>
      </w:r>
    </w:p>
    <w:p w:rsidR="002D038C" w:rsidRPr="00AD7ACB" w:rsidRDefault="002D038C" w:rsidP="00CE7B83">
      <w:pPr>
        <w:tabs>
          <w:tab w:val="left" w:pos="8080"/>
        </w:tabs>
        <w:spacing w:line="360" w:lineRule="auto"/>
        <w:ind w:right="49"/>
        <w:jc w:val="both"/>
        <w:rPr>
          <w:rFonts w:ascii="Palatino Linotype" w:eastAsia="Times New Roman" w:hAnsi="Palatino Linotype" w:cs="Times New Roman"/>
          <w:lang w:val="es-ES" w:eastAsia="es-MX"/>
        </w:rPr>
      </w:pPr>
    </w:p>
    <w:p w:rsidR="009F09BC" w:rsidRPr="00AD7ACB"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AD7ACB">
        <w:rPr>
          <w:rFonts w:ascii="Palatino Linotype" w:eastAsia="Calibri" w:hAnsi="Palatino Linotype" w:cs="Times New Roman"/>
          <w:b/>
          <w:lang w:val="es-MX" w:eastAsia="en-US"/>
        </w:rPr>
        <w:t>SEX</w:t>
      </w:r>
      <w:r w:rsidR="009F09BC" w:rsidRPr="00AD7ACB">
        <w:rPr>
          <w:rFonts w:ascii="Palatino Linotype" w:eastAsia="Calibri" w:hAnsi="Palatino Linotype" w:cs="Times New Roman"/>
          <w:b/>
          <w:lang w:val="es-MX" w:eastAsia="en-US"/>
        </w:rPr>
        <w:t>TO.</w:t>
      </w:r>
      <w:r w:rsidR="009F09BC" w:rsidRPr="00AD7ACB">
        <w:rPr>
          <w:rFonts w:ascii="Palatino Linotype" w:eastAsia="Calibri" w:hAnsi="Palatino Linotype" w:cs="Times New Roman"/>
          <w:lang w:val="es-MX" w:eastAsia="en-US"/>
        </w:rPr>
        <w:t xml:space="preserve"> </w:t>
      </w:r>
      <w:r w:rsidR="009F09BC" w:rsidRPr="00AD7ACB">
        <w:rPr>
          <w:rFonts w:ascii="Palatino Linotype" w:eastAsia="Times New Roman" w:hAnsi="Palatino Linotype" w:cs="Times New Roman"/>
          <w:lang w:val="es-ES" w:eastAsia="es-MX"/>
        </w:rPr>
        <w:t xml:space="preserve">Se hace del conocimiento de </w:t>
      </w:r>
      <w:r w:rsidR="009F09BC" w:rsidRPr="00AD7ACB">
        <w:rPr>
          <w:rFonts w:ascii="Palatino Linotype" w:eastAsia="Times New Roman" w:hAnsi="Palatino Linotype" w:cs="Times New Roman"/>
          <w:b/>
          <w:lang w:val="es-ES" w:eastAsia="es-MX"/>
        </w:rPr>
        <w:t>EL RECURRENTE</w:t>
      </w:r>
      <w:r w:rsidR="009F09BC" w:rsidRPr="00AD7ACB">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AD7ACB">
        <w:rPr>
          <w:rFonts w:ascii="Palatino Linotype" w:eastAsia="Times New Roman" w:hAnsi="Palatino Linotype" w:cs="Times New Roman"/>
          <w:bCs/>
          <w:lang w:val="es-ES" w:eastAsia="es-MX"/>
        </w:rPr>
        <w:t>vía juicio de amparo</w:t>
      </w:r>
      <w:r w:rsidR="009F09BC" w:rsidRPr="00AD7ACB">
        <w:rPr>
          <w:rFonts w:ascii="Palatino Linotype" w:eastAsia="Times New Roman" w:hAnsi="Palatino Linotype" w:cs="Times New Roman"/>
          <w:lang w:val="es-ES" w:eastAsia="es-MX"/>
        </w:rPr>
        <w:t> en los términos de las leyes aplicables.</w:t>
      </w:r>
    </w:p>
    <w:p w:rsidR="00AA638B" w:rsidRPr="00AD7ACB" w:rsidRDefault="00AA638B" w:rsidP="00CE7B83">
      <w:pPr>
        <w:shd w:val="clear" w:color="auto" w:fill="FFFFFF"/>
        <w:spacing w:line="360" w:lineRule="auto"/>
        <w:jc w:val="both"/>
        <w:rPr>
          <w:rFonts w:ascii="Palatino Linotype" w:eastAsia="Times New Roman" w:hAnsi="Palatino Linotype" w:cs="Times New Roman"/>
          <w:lang w:val="es-ES" w:eastAsia="es-MX"/>
        </w:rPr>
      </w:pPr>
    </w:p>
    <w:p w:rsidR="00BA6432" w:rsidRDefault="00BA6432" w:rsidP="00BA6432">
      <w:pPr>
        <w:spacing w:before="240" w:after="240" w:line="360" w:lineRule="auto"/>
        <w:jc w:val="both"/>
        <w:rPr>
          <w:rFonts w:ascii="Palatino Linotype" w:hAnsi="Palatino Linotype"/>
        </w:rPr>
      </w:pPr>
      <w:r w:rsidRPr="00AD7AC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4368A" w:rsidRPr="00AD7ACB">
        <w:rPr>
          <w:rFonts w:ascii="Palatino Linotype" w:hAnsi="Palatino Linotype"/>
        </w:rPr>
        <w:t xml:space="preserve"> EMITIENDO VOTO PARTICULAR</w:t>
      </w:r>
      <w:r w:rsidRPr="00AD7ACB">
        <w:rPr>
          <w:rFonts w:ascii="Palatino Linotype" w:hAnsi="Palatino Linotype"/>
        </w:rPr>
        <w:t xml:space="preserve"> Y GUADALUPE RAMÍREZ PEÑA EN LA TERCERA SESIÓN ORDINARIA CELEBRADA EL VEINTICINCO (25) DE ENERO DE DOS MIL VEINTITRÉS, ANTE EL SECRETARIO TÉCNICO DEL PLENO ALEXIS TAPIA RAMÍREZ.</w:t>
      </w:r>
      <w:bookmarkStart w:id="235" w:name="_GoBack"/>
      <w:bookmarkEnd w:id="235"/>
      <w:r w:rsidRPr="00624AAD">
        <w:rPr>
          <w:rFonts w:ascii="Palatino Linotype" w:hAnsi="Palatino Linotype"/>
        </w:rPr>
        <w:t xml:space="preserve"> </w:t>
      </w:r>
    </w:p>
    <w:p w:rsidR="009F09BC" w:rsidRPr="00740F9D" w:rsidRDefault="009F09BC" w:rsidP="009F09BC">
      <w:pPr>
        <w:spacing w:line="360" w:lineRule="auto"/>
        <w:jc w:val="both"/>
        <w:rPr>
          <w:rFonts w:ascii="Palatino Linotype" w:hAnsi="Palatino Linotype"/>
        </w:rPr>
      </w:pPr>
    </w:p>
    <w:p w:rsidR="009F09BC" w:rsidRPr="00740F9D" w:rsidRDefault="009F09BC" w:rsidP="009F09BC">
      <w:pPr>
        <w:spacing w:line="360" w:lineRule="auto"/>
        <w:jc w:val="both"/>
        <w:rPr>
          <w:rFonts w:ascii="Palatino Linotype" w:hAnsi="Palatino Linotype"/>
        </w:rPr>
      </w:pPr>
    </w:p>
    <w:p w:rsidR="009F09BC" w:rsidRPr="00740F9D" w:rsidRDefault="009F09BC" w:rsidP="009F09BC">
      <w:pPr>
        <w:spacing w:line="360" w:lineRule="auto"/>
        <w:jc w:val="both"/>
        <w:rPr>
          <w:rFonts w:ascii="Palatino Linotype" w:hAnsi="Palatino Linotype"/>
        </w:rPr>
      </w:pPr>
    </w:p>
    <w:p w:rsidR="009F09BC" w:rsidRPr="00740F9D" w:rsidRDefault="009F09BC" w:rsidP="009F09BC">
      <w:pPr>
        <w:spacing w:line="360" w:lineRule="auto"/>
        <w:jc w:val="both"/>
        <w:rPr>
          <w:rFonts w:ascii="Palatino Linotype" w:hAnsi="Palatino Linotype"/>
        </w:rPr>
      </w:pPr>
    </w:p>
    <w:p w:rsidR="009F09BC" w:rsidRPr="00740F9D" w:rsidRDefault="009F09BC" w:rsidP="009F09BC">
      <w:pPr>
        <w:spacing w:line="360" w:lineRule="auto"/>
        <w:jc w:val="both"/>
        <w:rPr>
          <w:rFonts w:ascii="Palatino Linotype" w:hAnsi="Palatino Linotype"/>
        </w:rPr>
      </w:pPr>
    </w:p>
    <w:p w:rsidR="009F09BC" w:rsidRPr="00740F9D" w:rsidRDefault="009F09BC" w:rsidP="009F09BC">
      <w:pPr>
        <w:spacing w:line="360" w:lineRule="auto"/>
        <w:jc w:val="both"/>
        <w:rPr>
          <w:rFonts w:ascii="Palatino Linotype" w:hAnsi="Palatino Linotype"/>
        </w:rPr>
      </w:pPr>
    </w:p>
    <w:p w:rsidR="009F09BC" w:rsidRPr="00740F9D" w:rsidRDefault="009F09BC" w:rsidP="009F09BC">
      <w:pPr>
        <w:spacing w:line="360" w:lineRule="auto"/>
        <w:jc w:val="both"/>
        <w:rPr>
          <w:rFonts w:ascii="Palatino Linotype" w:hAnsi="Palatino Linotype"/>
        </w:rPr>
      </w:pPr>
    </w:p>
    <w:p w:rsidR="009F09BC" w:rsidRPr="00740F9D" w:rsidRDefault="009F09BC" w:rsidP="009F09BC">
      <w:pPr>
        <w:spacing w:line="360" w:lineRule="auto"/>
        <w:jc w:val="both"/>
        <w:rPr>
          <w:rFonts w:ascii="Palatino Linotype" w:hAnsi="Palatino Linotype"/>
        </w:rPr>
      </w:pPr>
    </w:p>
    <w:p w:rsidR="009F09BC" w:rsidRPr="00740F9D" w:rsidRDefault="009F09BC" w:rsidP="009F09BC">
      <w:pPr>
        <w:spacing w:line="360" w:lineRule="auto"/>
        <w:jc w:val="both"/>
        <w:rPr>
          <w:rFonts w:ascii="Palatino Linotype" w:hAnsi="Palatino Linotype"/>
        </w:rPr>
      </w:pPr>
    </w:p>
    <w:p w:rsidR="009F09BC" w:rsidRPr="00740F9D" w:rsidRDefault="009F09BC" w:rsidP="009F09BC">
      <w:pPr>
        <w:rPr>
          <w:rFonts w:ascii="Palatino Linotype" w:hAnsi="Palatino Linotype"/>
        </w:rPr>
      </w:pPr>
    </w:p>
    <w:p w:rsidR="009F09BC" w:rsidRPr="00740F9D" w:rsidRDefault="009F09BC" w:rsidP="009F09BC">
      <w:pPr>
        <w:rPr>
          <w:rFonts w:ascii="Palatino Linotype" w:hAnsi="Palatino Linotype"/>
        </w:rPr>
      </w:pPr>
    </w:p>
    <w:p w:rsidR="009F09BC" w:rsidRPr="00740F9D" w:rsidRDefault="009F09BC" w:rsidP="009F09BC">
      <w:pPr>
        <w:rPr>
          <w:rFonts w:ascii="Palatino Linotype" w:hAnsi="Palatino Linotype"/>
        </w:rPr>
      </w:pPr>
    </w:p>
    <w:p w:rsidR="009F09BC" w:rsidRPr="00740F9D" w:rsidRDefault="009F09BC" w:rsidP="009F09BC">
      <w:pPr>
        <w:rPr>
          <w:rFonts w:ascii="Palatino Linotype" w:hAnsi="Palatino Linotype"/>
        </w:rPr>
      </w:pPr>
    </w:p>
    <w:p w:rsidR="009F09BC" w:rsidRPr="00740F9D" w:rsidRDefault="009F09BC" w:rsidP="009F09BC">
      <w:pPr>
        <w:rPr>
          <w:rFonts w:ascii="Palatino Linotype" w:hAnsi="Palatino Linotype"/>
        </w:rPr>
      </w:pPr>
    </w:p>
    <w:p w:rsidR="009F09BC" w:rsidRPr="00740F9D" w:rsidRDefault="009F09BC" w:rsidP="009F09BC">
      <w:pPr>
        <w:rPr>
          <w:rFonts w:ascii="Palatino Linotype" w:hAnsi="Palatino Linotype"/>
        </w:rPr>
      </w:pPr>
    </w:p>
    <w:p w:rsidR="009F09BC" w:rsidRPr="00740F9D" w:rsidRDefault="009F09BC" w:rsidP="009F09BC">
      <w:pPr>
        <w:rPr>
          <w:rFonts w:ascii="Palatino Linotype" w:hAnsi="Palatino Linotype"/>
        </w:rPr>
      </w:pPr>
    </w:p>
    <w:p w:rsidR="009F09BC" w:rsidRPr="00740F9D" w:rsidRDefault="009F09BC" w:rsidP="009F09BC">
      <w:pPr>
        <w:tabs>
          <w:tab w:val="left" w:pos="3374"/>
        </w:tabs>
        <w:rPr>
          <w:rFonts w:ascii="Palatino Linotype" w:hAnsi="Palatino Linotype"/>
        </w:rPr>
      </w:pPr>
      <w:r w:rsidRPr="00740F9D">
        <w:rPr>
          <w:rFonts w:ascii="Palatino Linotype" w:hAnsi="Palatino Linotype"/>
        </w:rPr>
        <w:tab/>
      </w:r>
    </w:p>
    <w:p w:rsidR="0074110E" w:rsidRPr="00740F9D" w:rsidRDefault="0074110E" w:rsidP="009F09BC">
      <w:pPr>
        <w:tabs>
          <w:tab w:val="left" w:pos="3374"/>
        </w:tabs>
        <w:rPr>
          <w:rFonts w:ascii="Palatino Linotype" w:hAnsi="Palatino Linotype"/>
        </w:rPr>
      </w:pPr>
    </w:p>
    <w:p w:rsidR="0074110E" w:rsidRPr="00740F9D" w:rsidRDefault="0074110E" w:rsidP="009F09BC">
      <w:pPr>
        <w:tabs>
          <w:tab w:val="left" w:pos="3374"/>
        </w:tabs>
        <w:rPr>
          <w:rFonts w:ascii="Palatino Linotype" w:hAnsi="Palatino Linotype"/>
        </w:rPr>
      </w:pPr>
    </w:p>
    <w:p w:rsidR="0074110E" w:rsidRPr="00740F9D" w:rsidRDefault="0074110E" w:rsidP="009F09BC">
      <w:pPr>
        <w:tabs>
          <w:tab w:val="left" w:pos="3374"/>
        </w:tabs>
        <w:rPr>
          <w:rFonts w:ascii="Palatino Linotype" w:hAnsi="Palatino Linotype"/>
        </w:rPr>
      </w:pPr>
    </w:p>
    <w:p w:rsidR="0074110E" w:rsidRPr="00740F9D" w:rsidRDefault="0074110E" w:rsidP="009F09BC">
      <w:pPr>
        <w:tabs>
          <w:tab w:val="left" w:pos="3374"/>
        </w:tabs>
        <w:rPr>
          <w:rFonts w:ascii="Palatino Linotype" w:hAnsi="Palatino Linotype"/>
        </w:rPr>
      </w:pPr>
    </w:p>
    <w:p w:rsidR="0074110E" w:rsidRPr="00740F9D" w:rsidRDefault="0074110E" w:rsidP="009F09BC">
      <w:pPr>
        <w:tabs>
          <w:tab w:val="left" w:pos="3374"/>
        </w:tabs>
        <w:rPr>
          <w:rFonts w:ascii="Palatino Linotype" w:hAnsi="Palatino Linotype"/>
        </w:rPr>
      </w:pPr>
    </w:p>
    <w:p w:rsidR="0074110E" w:rsidRPr="00740F9D" w:rsidRDefault="0074110E" w:rsidP="009F09BC">
      <w:pPr>
        <w:tabs>
          <w:tab w:val="left" w:pos="3374"/>
        </w:tabs>
        <w:rPr>
          <w:rFonts w:ascii="Palatino Linotype" w:hAnsi="Palatino Linotype"/>
        </w:rPr>
      </w:pPr>
    </w:p>
    <w:p w:rsidR="0074110E" w:rsidRPr="00740F9D" w:rsidRDefault="0074110E" w:rsidP="009F09BC">
      <w:pPr>
        <w:tabs>
          <w:tab w:val="left" w:pos="3374"/>
        </w:tabs>
        <w:rPr>
          <w:rFonts w:ascii="Palatino Linotype" w:hAnsi="Palatino Linotype"/>
        </w:rPr>
      </w:pPr>
    </w:p>
    <w:p w:rsidR="0074110E" w:rsidRPr="00740F9D" w:rsidRDefault="0074110E"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p w:rsidR="00053FB7" w:rsidRPr="00740F9D" w:rsidRDefault="00053FB7" w:rsidP="009F09BC">
      <w:pPr>
        <w:tabs>
          <w:tab w:val="left" w:pos="3374"/>
        </w:tabs>
        <w:rPr>
          <w:rFonts w:ascii="Palatino Linotype" w:hAnsi="Palatino Linotype"/>
        </w:rPr>
      </w:pPr>
    </w:p>
    <w:sectPr w:rsidR="00053FB7" w:rsidRPr="00740F9D" w:rsidSect="00E61C13">
      <w:headerReference w:type="even" r:id="rId12"/>
      <w:headerReference w:type="default" r:id="rId13"/>
      <w:footerReference w:type="default" r:id="rId14"/>
      <w:headerReference w:type="first" r:id="rId15"/>
      <w:footerReference w:type="first" r:id="rId16"/>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60D" w:rsidRDefault="0059560D" w:rsidP="003B7751">
      <w:r>
        <w:separator/>
      </w:r>
    </w:p>
  </w:endnote>
  <w:endnote w:type="continuationSeparator" w:id="0">
    <w:p w:rsidR="0059560D" w:rsidRDefault="0059560D"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A3215" w:rsidRPr="002D6DD8" w:rsidRDefault="007A321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7ACB">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D7ACB">
              <w:rPr>
                <w:rFonts w:ascii="Palatino Linotype" w:hAnsi="Palatino Linotype"/>
                <w:bCs/>
                <w:noProof/>
                <w:sz w:val="20"/>
              </w:rPr>
              <w:t>38</w:t>
            </w:r>
            <w:r>
              <w:rPr>
                <w:rFonts w:ascii="Palatino Linotype" w:hAnsi="Palatino Linotype"/>
                <w:bCs/>
                <w:noProof/>
                <w:sz w:val="20"/>
              </w:rPr>
              <w:fldChar w:fldCharType="end"/>
            </w:r>
          </w:p>
        </w:sdtContent>
      </w:sdt>
    </w:sdtContent>
  </w:sdt>
  <w:p w:rsidR="007A3215" w:rsidRDefault="007A32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215" w:rsidRPr="000B69FA" w:rsidRDefault="007A321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7AC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D7ACB">
      <w:rPr>
        <w:rFonts w:ascii="Palatino Linotype" w:hAnsi="Palatino Linotype"/>
        <w:bCs/>
        <w:noProof/>
        <w:sz w:val="20"/>
      </w:rPr>
      <w:t>38</w:t>
    </w:r>
    <w:r>
      <w:rPr>
        <w:rFonts w:ascii="Palatino Linotype" w:hAnsi="Palatino Linotype"/>
        <w:bCs/>
        <w:noProof/>
        <w:sz w:val="20"/>
      </w:rPr>
      <w:fldChar w:fldCharType="end"/>
    </w:r>
  </w:p>
  <w:p w:rsidR="007A3215" w:rsidRDefault="007A32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60D" w:rsidRDefault="0059560D" w:rsidP="003B7751">
      <w:r>
        <w:separator/>
      </w:r>
    </w:p>
  </w:footnote>
  <w:footnote w:type="continuationSeparator" w:id="0">
    <w:p w:rsidR="0059560D" w:rsidRDefault="0059560D" w:rsidP="003B7751">
      <w:r>
        <w:continuationSeparator/>
      </w:r>
    </w:p>
  </w:footnote>
  <w:footnote w:id="1">
    <w:p w:rsidR="000B5902" w:rsidRDefault="000B5902" w:rsidP="000B5902">
      <w:pPr>
        <w:pStyle w:val="Textonotapie"/>
      </w:pPr>
      <w:r>
        <w:rPr>
          <w:rStyle w:val="Refdenotaalpie"/>
        </w:rPr>
        <w:footnoteRef/>
      </w:r>
      <w:r>
        <w:t xml:space="preserve"> Disponible para su consulta en </w:t>
      </w:r>
      <w:hyperlink r:id="rId1" w:history="1">
        <w:r w:rsidRPr="00F65364">
          <w:rPr>
            <w:rStyle w:val="Hipervnculo"/>
            <w:rFonts w:ascii="Palatino Linotype" w:hAnsi="Palatino Linotype"/>
          </w:rPr>
          <w:t>https://www.gob.mx/cms/uploads/attachment/file/188142/6._Capacitaci_n_FORTASEG_Centro_Nacional_de_Certificaci_n_y_Acreditaci_n.pdf</w:t>
        </w:r>
      </w:hyperlink>
    </w:p>
  </w:footnote>
  <w:footnote w:id="2">
    <w:p w:rsidR="000B5902" w:rsidRDefault="000B5902" w:rsidP="000B5902">
      <w:pPr>
        <w:pStyle w:val="Textonotapie"/>
      </w:pPr>
      <w:r>
        <w:rPr>
          <w:rStyle w:val="Refdenotaalpie"/>
        </w:rPr>
        <w:footnoteRef/>
      </w:r>
      <w:r>
        <w:t xml:space="preserve"> Disponible en </w:t>
      </w:r>
      <w:hyperlink r:id="rId2" w:history="1">
        <w:r w:rsidRPr="00F65364">
          <w:rPr>
            <w:rStyle w:val="Hipervnculo"/>
            <w:rFonts w:ascii="Palatino Linotype" w:hAnsi="Palatino Linotype"/>
          </w:rPr>
          <w:t>https://ccc.edomex.gob.mx/evaluaciones_de_confianza</w:t>
        </w:r>
      </w:hyperlink>
    </w:p>
  </w:footnote>
  <w:footnote w:id="3">
    <w:p w:rsidR="008F4EEE" w:rsidRPr="005A5C85" w:rsidRDefault="008F4EEE" w:rsidP="008F4EEE">
      <w:pPr>
        <w:pStyle w:val="Textonotapie"/>
        <w:jc w:val="both"/>
        <w:rPr>
          <w:rFonts w:ascii="Palatino Linotype" w:hAnsi="Palatino Linotype"/>
          <w:sz w:val="18"/>
        </w:rPr>
      </w:pPr>
      <w:r w:rsidRPr="005A5C85">
        <w:rPr>
          <w:rStyle w:val="Refdenotaalpie"/>
          <w:rFonts w:ascii="Palatino Linotype" w:hAnsi="Palatino Linotype"/>
          <w:sz w:val="18"/>
        </w:rPr>
        <w:footnoteRef/>
      </w:r>
      <w:r w:rsidRPr="005A5C85">
        <w:rPr>
          <w:rFonts w:ascii="Palatino Linotype" w:hAnsi="Palatino Linotype"/>
          <w:sz w:val="18"/>
        </w:rPr>
        <w:t xml:space="preserve"> Referencias que tienen sustento bajo analogía con la jurisprudencia publicada en el Semanario Judicial de la Federación con número de registro 2010038 (V Región) 2º. J/1 (10ª) identificada con el rubro </w:t>
      </w:r>
      <w:r w:rsidRPr="005A5C85">
        <w:rPr>
          <w:rFonts w:ascii="Palatino Linotype" w:hAnsi="Palatino Linotype"/>
          <w:b/>
          <w:bCs/>
          <w:sz w:val="18"/>
        </w:rPr>
        <w:t>CONCEPTOS O AGRAVIOS INOPERANTES. QUÉ DEBE ENTENDERSE POR "RAZONAMIENTO" COMO COMPONENTE DE LA CAUSA DE PEDIR PARA QUE PROCEDA SU ESTUDIO</w:t>
      </w:r>
    </w:p>
  </w:footnote>
  <w:footnote w:id="4">
    <w:p w:rsidR="007A3215" w:rsidRDefault="007A3215"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7A3215" w:rsidRDefault="007A3215" w:rsidP="009F09BC">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5">
    <w:p w:rsidR="007A3215" w:rsidRDefault="007A3215"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6">
    <w:p w:rsidR="007A3215" w:rsidRDefault="007A3215"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A3215" w:rsidRDefault="007A3215"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A3215" w:rsidRDefault="007A3215"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215" w:rsidRDefault="00AD7AC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7A3215" w:rsidTr="006A04B6">
      <w:trPr>
        <w:trHeight w:val="227"/>
      </w:trPr>
      <w:tc>
        <w:tcPr>
          <w:tcW w:w="2976" w:type="dxa"/>
          <w:vAlign w:val="center"/>
          <w:hideMark/>
        </w:tcPr>
        <w:p w:rsidR="007A3215" w:rsidRPr="00674A46" w:rsidRDefault="007A321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7A3215" w:rsidRPr="00485ED8" w:rsidRDefault="007A3215" w:rsidP="00377D00">
          <w:pPr>
            <w:pStyle w:val="Encabezado"/>
            <w:rPr>
              <w:rFonts w:ascii="Palatino Linotype" w:hAnsi="Palatino Linotype"/>
              <w:b/>
              <w:sz w:val="22"/>
              <w:szCs w:val="22"/>
            </w:rPr>
          </w:pPr>
          <w:r>
            <w:rPr>
              <w:rFonts w:ascii="Palatino Linotype" w:hAnsi="Palatino Linotype" w:cs="Arial"/>
              <w:b/>
              <w:bCs/>
              <w:sz w:val="22"/>
              <w:szCs w:val="22"/>
              <w:lang w:eastAsia="es-MX"/>
            </w:rPr>
            <w:t>12938</w:t>
          </w:r>
          <w:r w:rsidRPr="006A6CD1">
            <w:rPr>
              <w:rFonts w:ascii="Palatino Linotype" w:hAnsi="Palatino Linotype" w:cs="Arial"/>
              <w:b/>
              <w:bCs/>
              <w:sz w:val="22"/>
              <w:szCs w:val="22"/>
              <w:lang w:eastAsia="es-MX"/>
            </w:rPr>
            <w:t>/INFOEM/IP/RR/2022</w:t>
          </w:r>
        </w:p>
      </w:tc>
    </w:tr>
    <w:tr w:rsidR="007A3215" w:rsidTr="006A04B6">
      <w:trPr>
        <w:trHeight w:val="242"/>
      </w:trPr>
      <w:tc>
        <w:tcPr>
          <w:tcW w:w="2976" w:type="dxa"/>
          <w:vAlign w:val="center"/>
          <w:hideMark/>
        </w:tcPr>
        <w:p w:rsidR="007A3215" w:rsidRPr="00674A46" w:rsidRDefault="007A321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7A3215" w:rsidRPr="00485ED8" w:rsidRDefault="007A3215" w:rsidP="0038112D">
          <w:pPr>
            <w:pStyle w:val="Encabezado"/>
            <w:jc w:val="both"/>
            <w:rPr>
              <w:rFonts w:ascii="Palatino Linotype" w:hAnsi="Palatino Linotype"/>
              <w:b/>
              <w:sz w:val="22"/>
              <w:szCs w:val="22"/>
            </w:rPr>
          </w:pPr>
          <w:r w:rsidRPr="00377D00">
            <w:rPr>
              <w:rFonts w:ascii="Palatino Linotype" w:hAnsi="Palatino Linotype"/>
              <w:b/>
              <w:bCs/>
              <w:color w:val="000000"/>
              <w:sz w:val="22"/>
              <w:szCs w:val="22"/>
            </w:rPr>
            <w:t>Ayuntamiento de Cuautitlán</w:t>
          </w:r>
        </w:p>
      </w:tc>
    </w:tr>
    <w:tr w:rsidR="007A3215" w:rsidTr="006A04B6">
      <w:trPr>
        <w:trHeight w:val="342"/>
      </w:trPr>
      <w:tc>
        <w:tcPr>
          <w:tcW w:w="2976" w:type="dxa"/>
          <w:vAlign w:val="center"/>
          <w:hideMark/>
        </w:tcPr>
        <w:p w:rsidR="007A3215" w:rsidRPr="00674A46" w:rsidRDefault="007A3215"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7A3215" w:rsidRPr="00485ED8" w:rsidRDefault="007A321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7A3215" w:rsidRPr="00AE046A" w:rsidRDefault="00AD7ACB"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7A3215" w:rsidTr="006A04B6">
      <w:trPr>
        <w:trHeight w:val="227"/>
      </w:trPr>
      <w:tc>
        <w:tcPr>
          <w:tcW w:w="2977" w:type="dxa"/>
          <w:vAlign w:val="center"/>
          <w:hideMark/>
        </w:tcPr>
        <w:p w:rsidR="007A3215" w:rsidRPr="00674A46" w:rsidRDefault="007A321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7A3215" w:rsidRPr="00485ED8" w:rsidRDefault="007A3215" w:rsidP="008A699B">
          <w:pPr>
            <w:pStyle w:val="Encabezado"/>
            <w:rPr>
              <w:rFonts w:ascii="Palatino Linotype" w:hAnsi="Palatino Linotype"/>
              <w:b/>
              <w:sz w:val="22"/>
              <w:szCs w:val="22"/>
            </w:rPr>
          </w:pPr>
          <w:r w:rsidRPr="00377D00">
            <w:rPr>
              <w:rFonts w:ascii="Palatino Linotype" w:hAnsi="Palatino Linotype" w:cs="Arial"/>
              <w:b/>
              <w:bCs/>
              <w:sz w:val="22"/>
              <w:szCs w:val="22"/>
              <w:lang w:eastAsia="es-MX"/>
            </w:rPr>
            <w:t>12938/INFOEM/IP/RR/2022</w:t>
          </w:r>
        </w:p>
      </w:tc>
    </w:tr>
    <w:tr w:rsidR="007A3215" w:rsidTr="00652937">
      <w:trPr>
        <w:trHeight w:val="242"/>
      </w:trPr>
      <w:tc>
        <w:tcPr>
          <w:tcW w:w="2977" w:type="dxa"/>
          <w:vAlign w:val="center"/>
          <w:hideMark/>
        </w:tcPr>
        <w:p w:rsidR="007A3215" w:rsidRPr="00674A46" w:rsidRDefault="007A321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7A3215" w:rsidRPr="00B75F20" w:rsidRDefault="00AD7ACB"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 xml:space="preserve">XXX XXXX </w:t>
          </w:r>
          <w:proofErr w:type="spellStart"/>
          <w:r>
            <w:rPr>
              <w:rFonts w:ascii="Palatino Linotype" w:hAnsi="Palatino Linotype"/>
              <w:b/>
              <w:color w:val="000000" w:themeColor="text1"/>
              <w:sz w:val="22"/>
              <w:szCs w:val="22"/>
            </w:rPr>
            <w:t>XXXX</w:t>
          </w:r>
          <w:proofErr w:type="spellEnd"/>
        </w:p>
      </w:tc>
    </w:tr>
    <w:tr w:rsidR="007A3215" w:rsidTr="006A04B6">
      <w:trPr>
        <w:trHeight w:val="342"/>
      </w:trPr>
      <w:tc>
        <w:tcPr>
          <w:tcW w:w="2977" w:type="dxa"/>
          <w:vAlign w:val="center"/>
        </w:tcPr>
        <w:p w:rsidR="007A3215" w:rsidRPr="00674A46" w:rsidRDefault="007A321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7A3215" w:rsidRPr="00674A46" w:rsidRDefault="007A3215" w:rsidP="009F09BC">
          <w:pPr>
            <w:pStyle w:val="Encabezado"/>
            <w:jc w:val="both"/>
            <w:rPr>
              <w:rFonts w:ascii="Palatino Linotype" w:hAnsi="Palatino Linotype"/>
              <w:b/>
              <w:sz w:val="22"/>
              <w:szCs w:val="22"/>
            </w:rPr>
          </w:pPr>
          <w:r w:rsidRPr="00377D00">
            <w:rPr>
              <w:rFonts w:ascii="Palatino Linotype" w:hAnsi="Palatino Linotype"/>
              <w:b/>
              <w:bCs/>
              <w:color w:val="000000"/>
              <w:sz w:val="22"/>
              <w:szCs w:val="22"/>
            </w:rPr>
            <w:t>Ayuntamiento de Cuautitlán</w:t>
          </w:r>
        </w:p>
      </w:tc>
    </w:tr>
    <w:tr w:rsidR="007A3215" w:rsidTr="006A04B6">
      <w:trPr>
        <w:trHeight w:val="342"/>
      </w:trPr>
      <w:tc>
        <w:tcPr>
          <w:tcW w:w="2977" w:type="dxa"/>
          <w:vAlign w:val="center"/>
        </w:tcPr>
        <w:p w:rsidR="007A3215" w:rsidRPr="00674A46" w:rsidRDefault="007A321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7A3215" w:rsidRPr="00674A46" w:rsidRDefault="007A321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7A3215" w:rsidRPr="00C222C0" w:rsidRDefault="00AD7ACB">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643E28"/>
    <w:multiLevelType w:val="hybridMultilevel"/>
    <w:tmpl w:val="AF442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nsid w:val="7D11506A"/>
    <w:multiLevelType w:val="hybridMultilevel"/>
    <w:tmpl w:val="5B5067A6"/>
    <w:lvl w:ilvl="0" w:tplc="923210A6">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
  </w:num>
  <w:num w:numId="9">
    <w:abstractNumId w:val="35"/>
  </w:num>
  <w:num w:numId="10">
    <w:abstractNumId w:val="22"/>
  </w:num>
  <w:num w:numId="11">
    <w:abstractNumId w:val="16"/>
  </w:num>
  <w:num w:numId="12">
    <w:abstractNumId w:val="26"/>
  </w:num>
  <w:num w:numId="13">
    <w:abstractNumId w:val="37"/>
  </w:num>
  <w:num w:numId="14">
    <w:abstractNumId w:val="7"/>
  </w:num>
  <w:num w:numId="15">
    <w:abstractNumId w:val="19"/>
  </w:num>
  <w:num w:numId="16">
    <w:abstractNumId w:val="31"/>
  </w:num>
  <w:num w:numId="17">
    <w:abstractNumId w:val="12"/>
  </w:num>
  <w:num w:numId="18">
    <w:abstractNumId w:val="28"/>
  </w:num>
  <w:num w:numId="19">
    <w:abstractNumId w:val="38"/>
  </w:num>
  <w:num w:numId="20">
    <w:abstractNumId w:val="20"/>
  </w:num>
  <w:num w:numId="21">
    <w:abstractNumId w:val="25"/>
  </w:num>
  <w:num w:numId="22">
    <w:abstractNumId w:val="17"/>
  </w:num>
  <w:num w:numId="23">
    <w:abstractNumId w:val="43"/>
  </w:num>
  <w:num w:numId="24">
    <w:abstractNumId w:val="10"/>
  </w:num>
  <w:num w:numId="25">
    <w:abstractNumId w:val="33"/>
  </w:num>
  <w:num w:numId="26">
    <w:abstractNumId w:val="24"/>
  </w:num>
  <w:num w:numId="27">
    <w:abstractNumId w:val="8"/>
  </w:num>
  <w:num w:numId="28">
    <w:abstractNumId w:val="34"/>
  </w:num>
  <w:num w:numId="29">
    <w:abstractNumId w:val="30"/>
  </w:num>
  <w:num w:numId="30">
    <w:abstractNumId w:val="27"/>
  </w:num>
  <w:num w:numId="31">
    <w:abstractNumId w:val="41"/>
  </w:num>
  <w:num w:numId="32">
    <w:abstractNumId w:val="21"/>
  </w:num>
  <w:num w:numId="33">
    <w:abstractNumId w:val="11"/>
  </w:num>
  <w:num w:numId="34">
    <w:abstractNumId w:val="15"/>
  </w:num>
  <w:num w:numId="35">
    <w:abstractNumId w:val="9"/>
  </w:num>
  <w:num w:numId="36">
    <w:abstractNumId w:val="39"/>
  </w:num>
  <w:num w:numId="37">
    <w:abstractNumId w:val="29"/>
  </w:num>
  <w:num w:numId="38">
    <w:abstractNumId w:val="23"/>
  </w:num>
  <w:num w:numId="39">
    <w:abstractNumId w:val="2"/>
  </w:num>
  <w:num w:numId="40">
    <w:abstractNumId w:val="3"/>
  </w:num>
  <w:num w:numId="41">
    <w:abstractNumId w:val="42"/>
  </w:num>
  <w:num w:numId="42">
    <w:abstractNumId w:val="36"/>
  </w:num>
  <w:num w:numId="43">
    <w:abstractNumId w:val="45"/>
  </w:num>
  <w:num w:numId="44">
    <w:abstractNumId w:val="4"/>
  </w:num>
  <w:num w:numId="45">
    <w:abstractNumId w:val="32"/>
  </w:num>
  <w:num w:numId="46">
    <w:abstractNumId w:val="40"/>
  </w:num>
  <w:num w:numId="47">
    <w:abstractNumId w:val="4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5C53"/>
    <w:rsid w:val="00030FBC"/>
    <w:rsid w:val="00036137"/>
    <w:rsid w:val="000373F6"/>
    <w:rsid w:val="00040C77"/>
    <w:rsid w:val="00051287"/>
    <w:rsid w:val="00053FB7"/>
    <w:rsid w:val="0007639B"/>
    <w:rsid w:val="000803F7"/>
    <w:rsid w:val="0008243D"/>
    <w:rsid w:val="000B5902"/>
    <w:rsid w:val="000C5024"/>
    <w:rsid w:val="000E1A02"/>
    <w:rsid w:val="000E2FA3"/>
    <w:rsid w:val="000E4891"/>
    <w:rsid w:val="000F1081"/>
    <w:rsid w:val="0011393B"/>
    <w:rsid w:val="00114502"/>
    <w:rsid w:val="00124FD1"/>
    <w:rsid w:val="001352F5"/>
    <w:rsid w:val="00170D82"/>
    <w:rsid w:val="00173F2B"/>
    <w:rsid w:val="001A18E7"/>
    <w:rsid w:val="001C4290"/>
    <w:rsid w:val="001C7794"/>
    <w:rsid w:val="001D02D1"/>
    <w:rsid w:val="001D23C1"/>
    <w:rsid w:val="001D373F"/>
    <w:rsid w:val="001D5404"/>
    <w:rsid w:val="001D630C"/>
    <w:rsid w:val="001E755B"/>
    <w:rsid w:val="00216E80"/>
    <w:rsid w:val="00220982"/>
    <w:rsid w:val="00223C06"/>
    <w:rsid w:val="00232181"/>
    <w:rsid w:val="00237FA4"/>
    <w:rsid w:val="002439C9"/>
    <w:rsid w:val="002453DA"/>
    <w:rsid w:val="00264C9A"/>
    <w:rsid w:val="002650A0"/>
    <w:rsid w:val="00272CA2"/>
    <w:rsid w:val="002731D1"/>
    <w:rsid w:val="00277FAC"/>
    <w:rsid w:val="002901F4"/>
    <w:rsid w:val="00291500"/>
    <w:rsid w:val="0029279F"/>
    <w:rsid w:val="002A3B71"/>
    <w:rsid w:val="002C0D3C"/>
    <w:rsid w:val="002C3821"/>
    <w:rsid w:val="002C4997"/>
    <w:rsid w:val="002D038C"/>
    <w:rsid w:val="002D294C"/>
    <w:rsid w:val="0030094A"/>
    <w:rsid w:val="00312281"/>
    <w:rsid w:val="00323FFD"/>
    <w:rsid w:val="003437D9"/>
    <w:rsid w:val="00353F1D"/>
    <w:rsid w:val="0037157C"/>
    <w:rsid w:val="00373AC7"/>
    <w:rsid w:val="00377D00"/>
    <w:rsid w:val="0038112D"/>
    <w:rsid w:val="003833B3"/>
    <w:rsid w:val="003933C4"/>
    <w:rsid w:val="003A15C8"/>
    <w:rsid w:val="003B7751"/>
    <w:rsid w:val="003C13F1"/>
    <w:rsid w:val="003C4E77"/>
    <w:rsid w:val="003E66D2"/>
    <w:rsid w:val="00403D64"/>
    <w:rsid w:val="00407FDA"/>
    <w:rsid w:val="004118FA"/>
    <w:rsid w:val="00425842"/>
    <w:rsid w:val="00437672"/>
    <w:rsid w:val="00456CFF"/>
    <w:rsid w:val="004E4EE6"/>
    <w:rsid w:val="004E6CE4"/>
    <w:rsid w:val="004F34D1"/>
    <w:rsid w:val="0050702D"/>
    <w:rsid w:val="0051715A"/>
    <w:rsid w:val="00521DE8"/>
    <w:rsid w:val="005331D8"/>
    <w:rsid w:val="00541549"/>
    <w:rsid w:val="005432D0"/>
    <w:rsid w:val="00546076"/>
    <w:rsid w:val="00547ACE"/>
    <w:rsid w:val="005507B0"/>
    <w:rsid w:val="00554A21"/>
    <w:rsid w:val="00556E0A"/>
    <w:rsid w:val="00563F2E"/>
    <w:rsid w:val="005651FB"/>
    <w:rsid w:val="0057514F"/>
    <w:rsid w:val="00575E75"/>
    <w:rsid w:val="00583A39"/>
    <w:rsid w:val="0059223D"/>
    <w:rsid w:val="0059560D"/>
    <w:rsid w:val="005B076D"/>
    <w:rsid w:val="005B6702"/>
    <w:rsid w:val="005C5021"/>
    <w:rsid w:val="005D0940"/>
    <w:rsid w:val="005D2F1C"/>
    <w:rsid w:val="005D4C57"/>
    <w:rsid w:val="0062406B"/>
    <w:rsid w:val="006249E2"/>
    <w:rsid w:val="00641C09"/>
    <w:rsid w:val="00647F7C"/>
    <w:rsid w:val="00652937"/>
    <w:rsid w:val="00657639"/>
    <w:rsid w:val="006672E1"/>
    <w:rsid w:val="00680C93"/>
    <w:rsid w:val="006A04B6"/>
    <w:rsid w:val="006A6390"/>
    <w:rsid w:val="006A6CD1"/>
    <w:rsid w:val="006D15D0"/>
    <w:rsid w:val="006D6CC1"/>
    <w:rsid w:val="006E7397"/>
    <w:rsid w:val="006E7C94"/>
    <w:rsid w:val="0070176B"/>
    <w:rsid w:val="00705BFF"/>
    <w:rsid w:val="00711062"/>
    <w:rsid w:val="007142AB"/>
    <w:rsid w:val="007142D6"/>
    <w:rsid w:val="00716BCA"/>
    <w:rsid w:val="00720371"/>
    <w:rsid w:val="00740F9D"/>
    <w:rsid w:val="0074110E"/>
    <w:rsid w:val="00742823"/>
    <w:rsid w:val="0074722D"/>
    <w:rsid w:val="00775EB2"/>
    <w:rsid w:val="00782A12"/>
    <w:rsid w:val="007851DB"/>
    <w:rsid w:val="007A3215"/>
    <w:rsid w:val="007A33A8"/>
    <w:rsid w:val="007A460E"/>
    <w:rsid w:val="007A6A1A"/>
    <w:rsid w:val="007D3805"/>
    <w:rsid w:val="007F0225"/>
    <w:rsid w:val="00804DAA"/>
    <w:rsid w:val="0082142B"/>
    <w:rsid w:val="008227A9"/>
    <w:rsid w:val="008468BF"/>
    <w:rsid w:val="008526F4"/>
    <w:rsid w:val="008563C8"/>
    <w:rsid w:val="008573BF"/>
    <w:rsid w:val="0086792A"/>
    <w:rsid w:val="00873EB6"/>
    <w:rsid w:val="00882D5B"/>
    <w:rsid w:val="008A699B"/>
    <w:rsid w:val="008A6CDD"/>
    <w:rsid w:val="008B0637"/>
    <w:rsid w:val="008C1ED7"/>
    <w:rsid w:val="008C78AB"/>
    <w:rsid w:val="008E330F"/>
    <w:rsid w:val="008E6574"/>
    <w:rsid w:val="008F4EEE"/>
    <w:rsid w:val="008F5B26"/>
    <w:rsid w:val="008F6998"/>
    <w:rsid w:val="008F6D18"/>
    <w:rsid w:val="00911A75"/>
    <w:rsid w:val="009126F1"/>
    <w:rsid w:val="009335F9"/>
    <w:rsid w:val="00945135"/>
    <w:rsid w:val="00955B91"/>
    <w:rsid w:val="009972BB"/>
    <w:rsid w:val="009A2251"/>
    <w:rsid w:val="009C21E8"/>
    <w:rsid w:val="009C777C"/>
    <w:rsid w:val="009D5A32"/>
    <w:rsid w:val="009E68D3"/>
    <w:rsid w:val="009F09BC"/>
    <w:rsid w:val="00A23E82"/>
    <w:rsid w:val="00A305ED"/>
    <w:rsid w:val="00A422EB"/>
    <w:rsid w:val="00A436F3"/>
    <w:rsid w:val="00A626EB"/>
    <w:rsid w:val="00AA638B"/>
    <w:rsid w:val="00AC1C2B"/>
    <w:rsid w:val="00AD316E"/>
    <w:rsid w:val="00AD63B4"/>
    <w:rsid w:val="00AD7ACB"/>
    <w:rsid w:val="00AE2CF6"/>
    <w:rsid w:val="00AF4BBC"/>
    <w:rsid w:val="00B07BF8"/>
    <w:rsid w:val="00B11CDD"/>
    <w:rsid w:val="00B530E8"/>
    <w:rsid w:val="00B86242"/>
    <w:rsid w:val="00BA4537"/>
    <w:rsid w:val="00BA6432"/>
    <w:rsid w:val="00BC0FE1"/>
    <w:rsid w:val="00BE0A62"/>
    <w:rsid w:val="00BE2A9D"/>
    <w:rsid w:val="00BF3FB5"/>
    <w:rsid w:val="00C03BA3"/>
    <w:rsid w:val="00C0715F"/>
    <w:rsid w:val="00C105CC"/>
    <w:rsid w:val="00C14F2A"/>
    <w:rsid w:val="00C21FAE"/>
    <w:rsid w:val="00C242A7"/>
    <w:rsid w:val="00C41B2B"/>
    <w:rsid w:val="00C41E57"/>
    <w:rsid w:val="00C47C3D"/>
    <w:rsid w:val="00C47D9C"/>
    <w:rsid w:val="00C54D99"/>
    <w:rsid w:val="00C85E64"/>
    <w:rsid w:val="00C87396"/>
    <w:rsid w:val="00C90814"/>
    <w:rsid w:val="00C91F0F"/>
    <w:rsid w:val="00CA1063"/>
    <w:rsid w:val="00CB757D"/>
    <w:rsid w:val="00CC5B2F"/>
    <w:rsid w:val="00CD79A0"/>
    <w:rsid w:val="00CE7B83"/>
    <w:rsid w:val="00CF0D2B"/>
    <w:rsid w:val="00D021A5"/>
    <w:rsid w:val="00D16FC7"/>
    <w:rsid w:val="00D30C5D"/>
    <w:rsid w:val="00D31FC8"/>
    <w:rsid w:val="00D41237"/>
    <w:rsid w:val="00D4368A"/>
    <w:rsid w:val="00D47231"/>
    <w:rsid w:val="00D6224B"/>
    <w:rsid w:val="00D6651B"/>
    <w:rsid w:val="00D81329"/>
    <w:rsid w:val="00D84DEA"/>
    <w:rsid w:val="00D87A9D"/>
    <w:rsid w:val="00D96104"/>
    <w:rsid w:val="00DA6D37"/>
    <w:rsid w:val="00DB753F"/>
    <w:rsid w:val="00DE2F5A"/>
    <w:rsid w:val="00DE5BF3"/>
    <w:rsid w:val="00DF03A5"/>
    <w:rsid w:val="00E118BA"/>
    <w:rsid w:val="00E17429"/>
    <w:rsid w:val="00E234BB"/>
    <w:rsid w:val="00E56172"/>
    <w:rsid w:val="00E5636B"/>
    <w:rsid w:val="00E566C9"/>
    <w:rsid w:val="00E61C13"/>
    <w:rsid w:val="00E61DA9"/>
    <w:rsid w:val="00E92E04"/>
    <w:rsid w:val="00ED1D6B"/>
    <w:rsid w:val="00ED3A35"/>
    <w:rsid w:val="00ED6E75"/>
    <w:rsid w:val="00F24A04"/>
    <w:rsid w:val="00F35B0C"/>
    <w:rsid w:val="00F42ADB"/>
    <w:rsid w:val="00F474CE"/>
    <w:rsid w:val="00F52E40"/>
    <w:rsid w:val="00F55C6C"/>
    <w:rsid w:val="00F72588"/>
    <w:rsid w:val="00F7371C"/>
    <w:rsid w:val="00F946B5"/>
    <w:rsid w:val="00FA32CE"/>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cc.edomex.gob.mx/evaluaciones_de_confianza" TargetMode="External"/><Relationship Id="rId1" Type="http://schemas.openxmlformats.org/officeDocument/2006/relationships/hyperlink" Target="https://www.gob.mx/cms/uploads/attachment/file/188142/6._Capacitaci_n_FORTASEG_Centro_Nacional_de_Certificaci_n_y_Acreditaci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C2C5-8CDA-46ED-8A92-5BCE37E3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38</Pages>
  <Words>8142</Words>
  <Characters>44787</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dcterms:created xsi:type="dcterms:W3CDTF">2023-01-18T22:05:00Z</dcterms:created>
  <dcterms:modified xsi:type="dcterms:W3CDTF">2023-02-14T00:15:00Z</dcterms:modified>
</cp:coreProperties>
</file>