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cinco de julio de dos mil veintitrés.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16899/INFOEM/IP/RR/2022</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XXXXXXXXX XXXXXXX XXXXXXXX</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por parte del </w:t>
      </w:r>
      <w:r w:rsidDel="00000000" w:rsidR="00000000" w:rsidRPr="00000000">
        <w:rPr>
          <w:rFonts w:ascii="Palatino Linotype" w:cs="Palatino Linotype" w:eastAsia="Palatino Linotype" w:hAnsi="Palatino Linotype"/>
          <w:b w:val="1"/>
          <w:rtl w:val="0"/>
        </w:rPr>
        <w:t xml:space="preserve">Ayuntamiento de Atizapán de Zaragoza,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treinta y uno de octubre de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 la Plataforma Nacional de Transparencia, vinculada al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00624/ATIZARA/IP/2022,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Rule="auto"/>
        <w:ind w:left="851" w:right="902" w:firstLine="0"/>
        <w:jc w:val="both"/>
        <w:rPr>
          <w:rFonts w:ascii="Palatino Linotype" w:cs="Palatino Linotype" w:eastAsia="Palatino Linotype" w:hAnsi="Palatino Linotype"/>
          <w:b w:val="1"/>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 “Requiero copia de todas las autorizaciones, evaluaciones, dictámenes o licencias </w:t>
      </w:r>
      <w:r w:rsidDel="00000000" w:rsidR="00000000" w:rsidRPr="00000000">
        <w:rPr>
          <w:rFonts w:ascii="Palatino Linotype" w:cs="Palatino Linotype" w:eastAsia="Palatino Linotype" w:hAnsi="Palatino Linotype"/>
          <w:b w:val="1"/>
          <w:i w:val="1"/>
          <w:sz w:val="22"/>
          <w:szCs w:val="22"/>
          <w:u w:val="single"/>
          <w:rtl w:val="0"/>
        </w:rPr>
        <w:t xml:space="preserve">que se han emitido</w:t>
      </w:r>
      <w:r w:rsidDel="00000000" w:rsidR="00000000" w:rsidRPr="00000000">
        <w:rPr>
          <w:rFonts w:ascii="Palatino Linotype" w:cs="Palatino Linotype" w:eastAsia="Palatino Linotype" w:hAnsi="Palatino Linotype"/>
          <w:i w:val="1"/>
          <w:sz w:val="22"/>
          <w:szCs w:val="22"/>
          <w:rtl w:val="0"/>
        </w:rPr>
        <w:t xml:space="preserve"> desde el 1° de enero de 2021 a la fecha, para cualquier proyecto u obra que se realice o pretenda realizar en Calacoaya, Atizapán de Zaragoza. Lo anterior incluye construcción de condominios horizontales o verticales, parques o casas.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rPr>
      </w:pPr>
      <w:bookmarkStart w:colFirst="0" w:colLast="0" w:name="_heading=h.3dy6vkm" w:id="1"/>
      <w:bookmarkEnd w:id="1"/>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Electrónico, a través de correo electrónico y del sistema de solicitudes de acceso, que, para efectos del presente asunto, se entenderá a través del Sistema de Acceso a la Información Mexiquense (SAIMEX), como se advierte a continuación:</w:t>
      </w:r>
    </w:p>
    <w:p w:rsidR="00000000" w:rsidDel="00000000" w:rsidP="00000000" w:rsidRDefault="00000000" w:rsidRPr="00000000" w14:paraId="00000007">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Pr>
        <w:drawing>
          <wp:inline distB="0" distT="0" distL="0" distR="0">
            <wp:extent cx="5610225" cy="561975"/>
            <wp:effectExtent b="0" l="0" r="0" t="0"/>
            <wp:docPr id="113222390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610225" cy="56197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w:t>
      </w:r>
      <w:r w:rsidDel="00000000" w:rsidR="00000000" w:rsidRPr="00000000">
        <w:rPr>
          <w:rFonts w:ascii="Palatino Linotype" w:cs="Palatino Linotype" w:eastAsia="Palatino Linotype" w:hAnsi="Palatino Linotype"/>
          <w:b w:val="1"/>
          <w:rtl w:val="0"/>
        </w:rPr>
        <w:t xml:space="preserve"> veintitrés de noviembre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9">
      <w:pPr>
        <w:spacing w:after="240" w:before="24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“…En atención a su solicitud número de folio 00624/ATIZARA/IP/2022, al respecto me permito dar respuesta a la solicitud referida: se trata de documentos que efectivamente expide esta dependencia a mi cargo, mismos que, obran en los archivos del Departamento de Licencias de Construcción y Departamento de Uso del Suelo y Control del Suelo, y se identifican con los números de expedientes: </w:t>
      </w:r>
      <w:r w:rsidDel="00000000" w:rsidR="00000000" w:rsidRPr="00000000">
        <w:rPr>
          <w:rFonts w:ascii="Palatino Linotype" w:cs="Palatino Linotype" w:eastAsia="Palatino Linotype" w:hAnsi="Palatino Linotype"/>
          <w:b w:val="1"/>
          <w:i w:val="1"/>
          <w:sz w:val="22"/>
          <w:szCs w:val="22"/>
          <w:rtl w:val="0"/>
        </w:rPr>
        <w:t xml:space="preserve">Licencias de Uso del Suelo del año 2021</w:t>
      </w:r>
      <w:r w:rsidDel="00000000" w:rsidR="00000000" w:rsidRPr="00000000">
        <w:rPr>
          <w:rFonts w:ascii="Palatino Linotype" w:cs="Palatino Linotype" w:eastAsia="Palatino Linotype" w:hAnsi="Palatino Linotype"/>
          <w:i w:val="1"/>
          <w:sz w:val="22"/>
          <w:szCs w:val="22"/>
          <w:rtl w:val="0"/>
        </w:rPr>
        <w:t xml:space="preserve"> números: 1040/2021 1520/2021 3481/2021 4618/2021 1047/2021 2173/2021 3676/2021 4773/2021 1072/2021 2244/2021 3829/2021 4975/2021 1073/2021 2483/2021 3976/2021 1074/2021 3271/2021 4230/2021 1341/2021 3367/2021 4432/2021 </w:t>
      </w:r>
      <w:r w:rsidDel="00000000" w:rsidR="00000000" w:rsidRPr="00000000">
        <w:rPr>
          <w:rFonts w:ascii="Palatino Linotype" w:cs="Palatino Linotype" w:eastAsia="Palatino Linotype" w:hAnsi="Palatino Linotype"/>
          <w:b w:val="1"/>
          <w:i w:val="1"/>
          <w:sz w:val="22"/>
          <w:szCs w:val="22"/>
          <w:rtl w:val="0"/>
        </w:rPr>
        <w:t xml:space="preserve">Licencias de Uso del Suelo del año 2022</w:t>
      </w:r>
      <w:r w:rsidDel="00000000" w:rsidR="00000000" w:rsidRPr="00000000">
        <w:rPr>
          <w:rFonts w:ascii="Palatino Linotype" w:cs="Palatino Linotype" w:eastAsia="Palatino Linotype" w:hAnsi="Palatino Linotype"/>
          <w:i w:val="1"/>
          <w:sz w:val="22"/>
          <w:szCs w:val="22"/>
          <w:rtl w:val="0"/>
        </w:rPr>
        <w:t xml:space="preserve"> números: 0185/2022 1189/2022 2637/2022 3820/2022 0188/2022 1255/2022 3133/2022 3821/2022 0191/2022 1540/2022 3203/2022 3984/2022 0413/2022 1744/2022 3328/2022 4117/2022 0535/2022 2379/2022 2586/2022 1017/2022 2521/03/202 3819/2022 </w:t>
      </w:r>
      <w:r w:rsidDel="00000000" w:rsidR="00000000" w:rsidRPr="00000000">
        <w:rPr>
          <w:rFonts w:ascii="Palatino Linotype" w:cs="Palatino Linotype" w:eastAsia="Palatino Linotype" w:hAnsi="Palatino Linotype"/>
          <w:b w:val="1"/>
          <w:i w:val="1"/>
          <w:sz w:val="22"/>
          <w:szCs w:val="22"/>
          <w:rtl w:val="0"/>
        </w:rPr>
        <w:t xml:space="preserve">Licencias de Construcción del año 2021</w:t>
      </w:r>
      <w:r w:rsidDel="00000000" w:rsidR="00000000" w:rsidRPr="00000000">
        <w:rPr>
          <w:rFonts w:ascii="Palatino Linotype" w:cs="Palatino Linotype" w:eastAsia="Palatino Linotype" w:hAnsi="Palatino Linotype"/>
          <w:i w:val="1"/>
          <w:sz w:val="22"/>
          <w:szCs w:val="22"/>
          <w:rtl w:val="0"/>
        </w:rPr>
        <w:t xml:space="preserve">: 0666/01/2021 3277/04/2021 1174/01/2021 3460/04/2021 1527/02/2021 3513/04/2021 1777/02/2021 3977/04/2021 2533/03/2021 4065/04/2021 2835/03/2021 4269/04/2021 </w:t>
      </w:r>
      <w:r w:rsidDel="00000000" w:rsidR="00000000" w:rsidRPr="00000000">
        <w:rPr>
          <w:rFonts w:ascii="Palatino Linotype" w:cs="Palatino Linotype" w:eastAsia="Palatino Linotype" w:hAnsi="Palatino Linotype"/>
          <w:b w:val="1"/>
          <w:i w:val="1"/>
          <w:sz w:val="22"/>
          <w:szCs w:val="22"/>
          <w:rtl w:val="0"/>
        </w:rPr>
        <w:t xml:space="preserve">Licencias de Construcción del año 2022</w:t>
      </w:r>
      <w:r w:rsidDel="00000000" w:rsidR="00000000" w:rsidRPr="00000000">
        <w:rPr>
          <w:rFonts w:ascii="Palatino Linotype" w:cs="Palatino Linotype" w:eastAsia="Palatino Linotype" w:hAnsi="Palatino Linotype"/>
          <w:i w:val="1"/>
          <w:sz w:val="22"/>
          <w:szCs w:val="22"/>
          <w:rtl w:val="0"/>
        </w:rPr>
        <w:t xml:space="preserve">: 0635/01/2022 1964/02/2022 1977/02/2022 1992/02/2022 4364/04/2022 1863/02/2022 1965/02/2022 1978/02/2022 1993/02/2022 4365/04/2022 2042/02/2022 1967/02/2022 1980/02/2022 1994/02/2022 4367/04/2022 2387/02/2022 1968/02/2022 1981/02/2022 1995/02/2022 2390/02/2022 1970/02/2022 1982/02/2022 1997/02/2022 2391/02/2022 1971/02/2022 1984/02/2022 1998/02/2022 2392/02/2022 1972/02/2022 1985/02/2022 2001/02/2022 2394/02/2022 1973/02/2022 1986/02/2022 2004/02/2022 3229/03/2022 1974/02/2022 1989/02/2022 4361/04/2022 1962/02/2022 1975/02/2022 1991/02/2022 4362/04/2022 Sin embargo, en caso de requerir usted copia simpe de las Licencias antes mencionadas, deberá presentarse en el área de ventanilla única de esta Dirección General, con identificación oficial vigente, ubicada en Boulevard Adolfo López Mateos número noventa y uno, colonia El Potrero, Atizapán de Zaragoza, Estado de México, de lunes a viernes en un horario de 9:00 a 14:30 horas, a efecto de realizar el pago correspondiente para las copias simples, de acuerdo con el artículo 148 primer párrafo fracciones I, inciso A) y B) del Código Financiero del Estado de México y Municipios. Ahora bien, una vez realizado el pago, dichas licencias se someterán al Comité de Transparencia del H. Ayuntamiento de Atizapán de Zaragoza 2022 – 2024, para que se autorice la versión pública correspondiente, de conformidad con el Artículo 52 de la Ley de Transparencia y Acceso a la Información Pública del Estado de México y Municipios, que a la letra dice: “Artículo 52.- Las solicitudes de acceso a la información y las respuestas que se les dé, incluyendo, en su caso, la información entregada, así como las resoluciones a los recursos que en su caso se promuevan serán públicas, y de ser el caso que contengan datos personales que deban ser protegidos se podrá dar su acceso en su versión pública, siempre y cuando la resolución de referencia se someta a un proceso de disociación, es decir, no haga identificable al titular de tales datos personales…” Emitido el respectivo Acuerdo del Comité de Transparencia del H. Ayuntamiento de Atizapán 2022-2024, la cual una vez remitida a esta dependencia estarían a su disposición para recogerse, previa identificación oficial que exhiba...” (sic)</w:t>
      </w:r>
      <w:r w:rsidDel="00000000" w:rsidR="00000000" w:rsidRPr="00000000">
        <w:rPr>
          <w:rtl w:val="0"/>
        </w:rPr>
      </w:r>
    </w:p>
    <w:p w:rsidR="00000000" w:rsidDel="00000000" w:rsidP="00000000" w:rsidRDefault="00000000" w:rsidRPr="00000000" w14:paraId="0000000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lo siguiente:</w:t>
      </w:r>
    </w:p>
    <w:p w:rsidR="00000000" w:rsidDel="00000000" w:rsidP="00000000" w:rsidRDefault="00000000" w:rsidRPr="00000000" w14:paraId="0000000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DGOTyDU/3935/2022, de fecha diez de noviembre de dos mil veintidós, signado por el Director General de Ordenamiento Territorial y Desarrollo Urbano, mediante el cual, en respuesta a la solicitud de información, manifiesta que se trata de documentos que efectivamente expide la Dependencia  a su cargo, mismos que obran en los archivos del Departamento de Licencias de Construcción y Departamento de Uso de Suelo, mismos que se identifican con los siguientes números:</w:t>
      </w:r>
    </w:p>
    <w:p w:rsidR="00000000" w:rsidDel="00000000" w:rsidP="00000000" w:rsidRDefault="00000000" w:rsidRPr="00000000" w14:paraId="0000000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225" cy="1285875"/>
            <wp:effectExtent b="0" l="0" r="0" t="0"/>
            <wp:docPr id="1132223902"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5610225"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225" cy="1323975"/>
            <wp:effectExtent b="0" l="0" r="0" t="0"/>
            <wp:docPr id="1132223901"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610225"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225" cy="1257300"/>
            <wp:effectExtent b="0" l="0" r="0" t="0"/>
            <wp:docPr id="1132223904"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5610225"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225" cy="2019300"/>
            <wp:effectExtent b="0" l="0" r="0" t="0"/>
            <wp:docPr id="1132223903"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5610225"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informa que en caso de requerir copia simple de las Licencias mencionadas, la persona solicitante se deberá presentar en el área de ventanilla única de la Dirección General, con identificación vigente, a efecto de realizar el pago correspondiente para las copias simples, de conformidad con el artículo 148 primer párrafo, fracciones I, inciso A) y B), del Código Financiero del Estado de México, para lo cual proporcionó la dirección y el horario de atención. </w:t>
      </w:r>
    </w:p>
    <w:p w:rsidR="00000000" w:rsidDel="00000000" w:rsidP="00000000" w:rsidRDefault="00000000" w:rsidRPr="00000000" w14:paraId="0000001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diecinueve de diciembre de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12">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13">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negativa de la entrega de información pública. La remisión a un trámite específico sin ponderar mi derecho humano mediante el procedimiento establecido en la Ley de Transparencia. El </w:t>
      </w:r>
      <w:r w:rsidDel="00000000" w:rsidR="00000000" w:rsidRPr="00000000">
        <w:rPr>
          <w:rFonts w:ascii="Palatino Linotype" w:cs="Palatino Linotype" w:eastAsia="Palatino Linotype" w:hAnsi="Palatino Linotype"/>
          <w:b w:val="1"/>
          <w:i w:val="1"/>
          <w:sz w:val="22"/>
          <w:szCs w:val="22"/>
          <w:rtl w:val="0"/>
        </w:rPr>
        <w:t xml:space="preserve">requerimiento de realizar el pago para tener acceso la información solicitada.</w:t>
      </w:r>
      <w:r w:rsidDel="00000000" w:rsidR="00000000" w:rsidRPr="00000000">
        <w:rPr>
          <w:rFonts w:ascii="Palatino Linotype" w:cs="Palatino Linotype" w:eastAsia="Palatino Linotype" w:hAnsi="Palatino Linotype"/>
          <w:i w:val="1"/>
          <w:sz w:val="22"/>
          <w:szCs w:val="22"/>
          <w:rtl w:val="0"/>
        </w:rPr>
        <w:t xml:space="preserve"> La entrega de información no solicitada, es decir, el suscrito no pedí una lista de los documentos emitidos, sino copia de estos, por lo cual, no existe identidad entre lo solicitado y lo entregado por el sujeto obligado.” (sic)</w:t>
      </w:r>
    </w:p>
    <w:p w:rsidR="00000000" w:rsidDel="00000000" w:rsidP="00000000" w:rsidRDefault="00000000" w:rsidRPr="00000000" w14:paraId="00000014">
      <w:pPr>
        <w:spacing w:line="360" w:lineRule="auto"/>
        <w:jc w:val="both"/>
        <w:rPr>
          <w:rFonts w:ascii="Palatino Linotype" w:cs="Palatino Linotype" w:eastAsia="Palatino Linotype" w:hAnsi="Palatino Linotype"/>
        </w:rPr>
      </w:pPr>
      <w:bookmarkStart w:colFirst="0" w:colLast="0" w:name="_heading=h.30j0zll" w:id="2"/>
      <w:bookmarkEnd w:id="2"/>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15">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De manera totalmente infundada y motivada, el sujeto obligado me niega el acceso a la información solicitada y aduce que, para tener acceso a los documentos requeridos, debo acudir personalmente a solicitarlas a la unidad competente, situación que no está contemplada en la Ley de Transparencia Estatal y General, por lo cual, es totalmente arbitrario que el sujeto obligado me requiera presencialmente para obtener la información requerida, lo anterior sin que obste señalar que el sujeto obligado no fundó ni motivo el sentido de su respuesta. 2. El sujeto obligado me aduce que para obtener la información solicitada, debo acudir directamente a sus oficinas, sin embargo, ello constituye un tramite diverso al establecido en la Ley de Transparencia, por lo que, al no haberme permitido decidir a través de qué trámite deseaba obtener la información, se vulnera mi derecho a la información pública mediante un trámite sencillo. 3. El sujeto obligado entregó una lista de los documentos con los que cuenta, sin embargo, el suscrito solicité copia de los documentos no una lista, en ese sentido, es evidente que no existe identidad entre lo requerido y lo que fue entregado por el sujeto obligado, por lo que de nueva cuenta se vulnera mi derecho a la seguridad jurídica toda vez que, sin fundamento o motivo alguno, el sujeto obligado decidió entregar información diversa, y sin que se me brinden los elementos jurídicos y ficticios necesarios para corroborar que su actuación se encuentra dentro del marco legal.</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16">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el veintinueve de noviembre de dos mil veintidós,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b w:val="1"/>
        </w:rPr>
      </w:pPr>
      <w:bookmarkStart w:colFirst="0" w:colLast="0" w:name="_heading=h.2s8eyo1" w:id="3"/>
      <w:bookmarkEnd w:id="3"/>
      <w:r w:rsidDel="00000000" w:rsidR="00000000" w:rsidRPr="00000000">
        <w:rPr>
          <w:rtl w:val="0"/>
        </w:rPr>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veintinueve de noviembre dos mil veintidós,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a través de SAIMEX, el oficio número DGOTYDU/4120/2022, de fecha veinticinco de noviembre de dos mil veintidós, signado por el Director General de Ordenamiento Territorial y Desarrollo Urbano, mediante el cual refiere que el procedimiento para proporcionar la documentación solicitada en copia simple se sujeta a las disposiciones legales previstas en el mismo, se tiene que observar lo dispuesto en el artículo 4.22 del Reglamento de la Ley de Transparencia y Acceso a la Información Pública del Estado de México, ratificando la respuesta emitida en primera instancia, e invitando al particular a presentarse en la ventanilla única de la Dirección General, a efecto de realizar el pago correspondiente a las copias simples solicitadas, de conformidad con el artículo 148, fracciones I, inciso A) y B), del Código Financiero del Estado de México y Municipios; asimismo, refiere que las licencias solicitadas contienen datos personales, por lo que se tendrán que someter al Comité de Transparencia, para entregarse en versión pública, de conformidad con el artículo 52 de la Ley de Transparencia y Acceso a la Información Pública del Estado de México y Municipios.</w:t>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refiere que también puede consultarse la información en la página de internet: </w:t>
      </w:r>
      <w:hyperlink r:id="rId13">
        <w:r w:rsidDel="00000000" w:rsidR="00000000" w:rsidRPr="00000000">
          <w:rPr>
            <w:rFonts w:ascii="Palatino Linotype" w:cs="Palatino Linotype" w:eastAsia="Palatino Linotype" w:hAnsi="Palatino Linotype"/>
            <w:color w:val="000000"/>
            <w:u w:val="single"/>
            <w:rtl w:val="0"/>
          </w:rPr>
          <w:t xml:space="preserve">https://atizapan.gob.mx/</w:t>
        </w:r>
      </w:hyperlink>
      <w:r w:rsidDel="00000000" w:rsidR="00000000" w:rsidRPr="00000000">
        <w:rPr>
          <w:rFonts w:ascii="Palatino Linotype" w:cs="Palatino Linotype" w:eastAsia="Palatino Linotype" w:hAnsi="Palatino Linotype"/>
          <w:rtl w:val="0"/>
        </w:rPr>
        <w:t xml:space="preserve">, en el apartado de transparencia, ubicar el apartado IPOMEX, y posicionarse en el artículo 94, fracción I, que corresponde al numeral F6 Licencias de Uso del Suelo y fracción F7 Licencias de Construcción.</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analizados los documentos referidos, los mismos se hicieron del conocimiento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con la finalidad de que manifestara lo que a su derecho estimara conveniente, por lo que en fecha </w:t>
      </w:r>
      <w:r w:rsidDel="00000000" w:rsidR="00000000" w:rsidRPr="00000000">
        <w:rPr>
          <w:rFonts w:ascii="Palatino Linotype" w:cs="Palatino Linotype" w:eastAsia="Palatino Linotype" w:hAnsi="Palatino Linotype"/>
          <w:b w:val="1"/>
          <w:rtl w:val="0"/>
        </w:rPr>
        <w:t xml:space="preserve">doce de febrero de dos mil veintitrés, </w:t>
      </w:r>
      <w:r w:rsidDel="00000000" w:rsidR="00000000" w:rsidRPr="00000000">
        <w:rPr>
          <w:rFonts w:ascii="Palatino Linotype" w:cs="Palatino Linotype" w:eastAsia="Palatino Linotype" w:hAnsi="Palatino Linotype"/>
          <w:rtl w:val="0"/>
        </w:rPr>
        <w:t xml:space="preserve">remitió escrito libre mediante el cual manifestó lo siguiente:</w:t>
      </w:r>
    </w:p>
    <w:p w:rsidR="00000000" w:rsidDel="00000000" w:rsidP="00000000" w:rsidRDefault="00000000" w:rsidRPr="00000000" w14:paraId="0000001D">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sz w:val="22"/>
          <w:szCs w:val="22"/>
          <w:rtl w:val="0"/>
        </w:rPr>
        <w:t xml:space="preserve">en mi carácter de recurrente, personalidad que tengo debidamente reconocida en los autos del expediente citado, ante Usted, con el debido respeto comparezco a exponer: </w:t>
      </w:r>
    </w:p>
    <w:p w:rsidR="00000000" w:rsidDel="00000000" w:rsidP="00000000" w:rsidRDefault="00000000" w:rsidRPr="00000000" w14:paraId="0000001E">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por este conducto solicito que el informe señalado en el acuerdo dictado el 09 de febrero de 2023, sea debidamente digitalizado y puesto a mi disposición a través del sistema SAIMEX. </w:t>
      </w:r>
    </w:p>
    <w:p w:rsidR="00000000" w:rsidDel="00000000" w:rsidP="00000000" w:rsidRDefault="00000000" w:rsidRPr="00000000" w14:paraId="0000001F">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toda vez que dicho informe no se encuentra disponible para su consulta, por lo que me encuentro jurídica y materialmente imposibilitado para pronunciarme al respecto. </w:t>
      </w:r>
    </w:p>
    <w:p w:rsidR="00000000" w:rsidDel="00000000" w:rsidP="00000000" w:rsidRDefault="00000000" w:rsidRPr="00000000" w14:paraId="00000020">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lo antes expuesto y fundado, A este Organismo Garante, atentamente pido se sirva: </w:t>
      </w:r>
    </w:p>
    <w:p w:rsidR="00000000" w:rsidDel="00000000" w:rsidP="00000000" w:rsidRDefault="00000000" w:rsidRPr="00000000" w14:paraId="00000021">
      <w:pPr>
        <w:spacing w:after="240" w:before="240" w:lineRule="auto"/>
        <w:ind w:left="851"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ÚNICO. - Tenerme por presentado en términos del presente escrito, y acordar de conformidad con lo solicitado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(sic)</w:t>
      </w:r>
      <w:r w:rsidDel="00000000" w:rsidR="00000000" w:rsidRPr="00000000">
        <w:rPr>
          <w:rtl w:val="0"/>
        </w:rPr>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veintinueve de mayo de dos mil veintitrés</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8">
      <w:pPr>
        <w:numPr>
          <w:ilvl w:val="0"/>
          <w:numId w:val="2"/>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29">
      <w:pPr>
        <w:numPr>
          <w:ilvl w:val="0"/>
          <w:numId w:val="2"/>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2A">
      <w:pPr>
        <w:numPr>
          <w:ilvl w:val="0"/>
          <w:numId w:val="2"/>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2B">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0">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31">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veintiocho de junio de dos mil veintitrés, </w:t>
      </w:r>
      <w:r w:rsidDel="00000000" w:rsidR="00000000" w:rsidRPr="00000000">
        <w:rPr>
          <w:rFonts w:ascii="Palatino Linotype" w:cs="Palatino Linotype" w:eastAsia="Palatino Linotype" w:hAnsi="Palatino Linotype"/>
          <w:rtl w:val="0"/>
        </w:rPr>
        <w:t xml:space="preserve">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5">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3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rPr>
      </w:pPr>
      <w:bookmarkStart w:colFirst="0" w:colLast="0" w:name="_heading=h.tyjcwt" w:id="4"/>
      <w:bookmarkEnd w:id="4"/>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veintitrés de noviembre de dos mil veintidós,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veinticuatro de noviembre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 dos mil veintidós</w:t>
      </w:r>
      <w:r w:rsidDel="00000000" w:rsidR="00000000" w:rsidRPr="00000000">
        <w:rPr>
          <w:rFonts w:ascii="Palatino Linotype" w:cs="Palatino Linotype" w:eastAsia="Palatino Linotype" w:hAnsi="Palatino Linotype"/>
          <w:rtl w:val="0"/>
        </w:rPr>
        <w:t xml:space="preserve">, esto es al siguiente día hábil en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rPr>
      </w:pPr>
      <w:bookmarkStart w:colFirst="0" w:colLast="0" w:name="_heading=h.3znysh7" w:id="5"/>
      <w:bookmarkEnd w:id="5"/>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fracciones VI y X del ordenamiento legal citado, que a la letra dice: </w:t>
      </w:r>
    </w:p>
    <w:p w:rsidR="00000000" w:rsidDel="00000000" w:rsidP="00000000" w:rsidRDefault="00000000" w:rsidRPr="00000000" w14:paraId="0000003B">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C">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3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 entrega de información que no corresponda con lo solicitado;</w:t>
      </w:r>
    </w:p>
    <w:p w:rsidR="00000000" w:rsidDel="00000000" w:rsidP="00000000" w:rsidRDefault="00000000" w:rsidRPr="00000000" w14:paraId="0000003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3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w:t>
      </w:r>
      <w:r w:rsidDel="00000000" w:rsidR="00000000" w:rsidRPr="00000000">
        <w:rPr>
          <w:rFonts w:ascii="Palatino Linotype" w:cs="Palatino Linotype" w:eastAsia="Palatino Linotype" w:hAnsi="Palatino Linotype"/>
          <w:i w:val="1"/>
          <w:sz w:val="22"/>
          <w:szCs w:val="22"/>
          <w:rtl w:val="0"/>
        </w:rPr>
        <w:t xml:space="preserve">Los costos o tiempos de entrega de la información</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información proporcionada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r w:rsidDel="00000000" w:rsidR="00000000" w:rsidRPr="00000000">
        <w:rPr>
          <w:rtl w:val="0"/>
        </w:rPr>
      </w:r>
    </w:p>
    <w:p w:rsidR="00000000" w:rsidDel="00000000" w:rsidP="00000000" w:rsidRDefault="00000000" w:rsidRPr="00000000" w14:paraId="00000041">
      <w:pPr>
        <w:spacing w:after="240" w:before="240" w:line="360" w:lineRule="auto"/>
        <w:ind w:right="51"/>
        <w:jc w:val="both"/>
        <w:rPr>
          <w:rFonts w:ascii="Palatino Linotype" w:cs="Palatino Linotype" w:eastAsia="Palatino Linotype" w:hAnsi="Palatino Linotype"/>
        </w:rPr>
      </w:pPr>
      <w:bookmarkStart w:colFirst="0" w:colLast="0" w:name="_heading=h.2et92p0" w:id="6"/>
      <w:bookmarkEnd w:id="6"/>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p>
    <w:p w:rsidR="00000000" w:rsidDel="00000000" w:rsidP="00000000" w:rsidRDefault="00000000" w:rsidRPr="00000000" w14:paraId="00000042">
      <w:pPr>
        <w:spacing w:after="240" w:before="240" w:line="360" w:lineRule="auto"/>
        <w:ind w:left="426"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Requiero copia de todas las autorizaciones, evaluaciones, dictámenes o licencias que se han emitido desde el 1° de enero de 2021 al treinta y uno de octubre de dos mil veintidós, para cualquier proyecto u obra que se realice o pretenda realizar en Calacoaya, Atizapán de Zaragoza. Lo anterior incluye construcción de condominios horizontales o verticales, parques o casas.</w:t>
      </w:r>
    </w:p>
    <w:p w:rsidR="00000000" w:rsidDel="00000000" w:rsidP="00000000" w:rsidRDefault="00000000" w:rsidRPr="00000000" w14:paraId="0000004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la Unidad de Transparencia, remitió el pronunciamiento emitido por el Director General de Ordenamiento Territorial y Desarrollo Urbano, quien manifestó que lo solicitado se trata de documentos que efectivamente expide la Dependencia a su cargo, mismos que obran en los archivos del Departamento de Licencias de Construcción y Departamento de Uso de Suelo, proporcionando en el acto la relación de los números de expedientes de las Licencias de uso de suelo y de construcción de los años 2021 y 2022, sin embargo, señaló que para obtener las copias simples de las licencias, la persona solicitante debía presentarse en las oficinas de la Dirección General, a efecto de realizar el pago de derechos correspondiente, de conformidad con el artículo 148 primer párrafo, fracciones I, inciso A) y B), del Código Financiero del Estado de México.</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no estar conforme con los términos de la respuesta otorgada a su solicitud, la persona solicitante interpuso el recurso de revisión que ahora nos ocupa, en el que señaló que se le negó la información al haberle remitido a un trámite especifico y requerido un pago para tener acceso a la información solicitada, asimismo, indicó que la información proporcionada no correspondía con lo solicitado, en virtud de que se le entregó un listado de los documentos con los que cuenta, mientras que lo  solicitado fueron los documentos en sí, concluyendo que no existe identidad entre lo requerido y lo que fue entregado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admitido el recurso de revisión, en términos del artículo 185 fracción II</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través del Director General de Ordenamiento Territorial y Desarrollo Urbano ratificó en lo sustancial la respuesta emitida en primera instancia, por lo que invita a la persona solicitante a presentarse en la ventanilla única de la Dirección General, a efecto de realizar el pago correspondiente a las copias simples solicitadas, de conformidad con el artículo 148, fracciones I, inciso A) y B), del Código Financiero del Estado de México y Municipios; mismas que serán entregadas en versión pública, al contener datos personales, y finalmente, refiere que también puede consultarse la información en la página de internet: </w:t>
      </w:r>
      <w:hyperlink r:id="rId14">
        <w:r w:rsidDel="00000000" w:rsidR="00000000" w:rsidRPr="00000000">
          <w:rPr>
            <w:rFonts w:ascii="Palatino Linotype" w:cs="Palatino Linotype" w:eastAsia="Palatino Linotype" w:hAnsi="Palatino Linotype"/>
            <w:color w:val="000000"/>
            <w:u w:val="single"/>
            <w:rtl w:val="0"/>
          </w:rPr>
          <w:t xml:space="preserve">https://atizapan.gob.mx/</w:t>
        </w:r>
      </w:hyperlink>
      <w:r w:rsidDel="00000000" w:rsidR="00000000" w:rsidRPr="00000000">
        <w:rPr>
          <w:rFonts w:ascii="Palatino Linotype" w:cs="Palatino Linotype" w:eastAsia="Palatino Linotype" w:hAnsi="Palatino Linotype"/>
          <w:rtl w:val="0"/>
        </w:rPr>
        <w:t xml:space="preserve">, en el apartado de transparencia, ubicar el apartado IPOMEX, y posicionarse en el artículo 94, fracción I, que corresponde al numeral F6 Licencias de Uso del Suelo y fracción F7 Licencias de Construcción.</w:t>
      </w:r>
    </w:p>
    <w:p w:rsidR="00000000" w:rsidDel="00000000" w:rsidP="00000000" w:rsidRDefault="00000000" w:rsidRPr="00000000" w14:paraId="00000047">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atendiendo a la materia de la solicitud, en observancia de lo previsto en los artículos 53</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fracciones II y IV y  162</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de la Ley de la Materia, la Unidad de Transparencia turnó la solicitud de información al Director General de Ordenamiento Territorial y Desarrollo Urbano, al ser la unidad administrativa encargada de planear, formular, ejecutar, conducir y vigilar las políticas públicas municipales en materia de asentamientos humanos, ordenamiento territorial, desarrollo urbano e imagen urbana, que permitan aprovechar las  potencialidades del municipio y promuevan la inclusión, la competitividad, la sostenibilidad, la resiliencia urbana y el desarrollo social y regional, asimismo, está facultada para expedir las autorizaciones, permisos, licencias, constancias, dictámenes y demás trámites relacionados, en materia de utilización y aprovechamiento del suelo con fines urbanos, de las construcciones privadas que se realicen en el territorio municipal, garantizando que estas, satisfagan condiciones de seguridad, habitabilidad, funcionalidad, calidad, higiene, sustentabilidad y de integración armónica al contexto urbano y natural, y de las obras subterráneas o aéreas en la vía pública.</w:t>
      </w:r>
    </w:p>
    <w:p w:rsidR="00000000" w:rsidDel="00000000" w:rsidP="00000000" w:rsidRDefault="00000000" w:rsidRPr="00000000" w14:paraId="00000048">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con el artículo 57 del Bando Municipal de Atizapán de Zaragoza, a saber:</w:t>
      </w:r>
    </w:p>
    <w:p w:rsidR="00000000" w:rsidDel="00000000" w:rsidP="00000000" w:rsidRDefault="00000000" w:rsidRPr="00000000" w14:paraId="0000004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57.-</w:t>
      </w:r>
      <w:r w:rsidDel="00000000" w:rsidR="00000000" w:rsidRPr="00000000">
        <w:rPr>
          <w:rFonts w:ascii="Palatino Linotype" w:cs="Palatino Linotype" w:eastAsia="Palatino Linotype" w:hAnsi="Palatino Linotype"/>
          <w:i w:val="1"/>
          <w:sz w:val="22"/>
          <w:szCs w:val="22"/>
          <w:rtl w:val="0"/>
        </w:rPr>
        <w:t xml:space="preserve"> La Dirección de Ordenamiento Territorial y Desarrollo Urbano tendrá a su cargo planear, formular, ejecutar, conducir y vigilar las políticas públicas municipales en materia de asentamientos humanos, ordenamiento territorial, desarrollo urbano e imagen urbana, que permitan aprovechar las potencialidades del municipio y promuevan la inclusión, la competitividad, la sostenibilidad, la resiliencia urbana y el desarrollo social y regional. </w:t>
      </w:r>
    </w:p>
    <w:p w:rsidR="00000000" w:rsidDel="00000000" w:rsidP="00000000" w:rsidRDefault="00000000" w:rsidRPr="00000000" w14:paraId="0000004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ámbito de su competencia, tendrá a su cargo vigilar el cumplimiento de las leyes, códigos, reglamentos, planes, programas y demás disposiciones administrativas aplicables en dicha materia, asimismo, </w:t>
      </w:r>
      <w:r w:rsidDel="00000000" w:rsidR="00000000" w:rsidRPr="00000000">
        <w:rPr>
          <w:rFonts w:ascii="Palatino Linotype" w:cs="Palatino Linotype" w:eastAsia="Palatino Linotype" w:hAnsi="Palatino Linotype"/>
          <w:b w:val="1"/>
          <w:i w:val="1"/>
          <w:sz w:val="22"/>
          <w:szCs w:val="22"/>
          <w:rtl w:val="0"/>
        </w:rPr>
        <w:t xml:space="preserve">estará facultada para expedir las </w:t>
      </w:r>
      <w:r w:rsidDel="00000000" w:rsidR="00000000" w:rsidRPr="00000000">
        <w:rPr>
          <w:rFonts w:ascii="Palatino Linotype" w:cs="Palatino Linotype" w:eastAsia="Palatino Linotype" w:hAnsi="Palatino Linotype"/>
          <w:b w:val="1"/>
          <w:i w:val="1"/>
          <w:sz w:val="22"/>
          <w:szCs w:val="22"/>
          <w:u w:val="single"/>
          <w:rtl w:val="0"/>
        </w:rPr>
        <w:t xml:space="preserve">autorizaciones, permisos, licencias, constancias, dictámenes</w:t>
      </w:r>
      <w:r w:rsidDel="00000000" w:rsidR="00000000" w:rsidRPr="00000000">
        <w:rPr>
          <w:rFonts w:ascii="Palatino Linotype" w:cs="Palatino Linotype" w:eastAsia="Palatino Linotype" w:hAnsi="Palatino Linotype"/>
          <w:b w:val="1"/>
          <w:i w:val="1"/>
          <w:sz w:val="22"/>
          <w:szCs w:val="22"/>
          <w:rtl w:val="0"/>
        </w:rPr>
        <w:t xml:space="preserve"> y demás trámites relacionados, en materia de utilización y aprovechamiento del suelo con fines urbanos, de las construcciones privadas que se realicen en el territorio municipal,</w:t>
      </w:r>
      <w:r w:rsidDel="00000000" w:rsidR="00000000" w:rsidRPr="00000000">
        <w:rPr>
          <w:rFonts w:ascii="Palatino Linotype" w:cs="Palatino Linotype" w:eastAsia="Palatino Linotype" w:hAnsi="Palatino Linotype"/>
          <w:i w:val="1"/>
          <w:sz w:val="22"/>
          <w:szCs w:val="22"/>
          <w:rtl w:val="0"/>
        </w:rPr>
        <w:t xml:space="preserve"> garantizando que estas, satisfagan condiciones de seguridad, habitabilidad, funcionalidad, calidad, higiene, sustentabilidad y de integración armónica al contexto urbano y natural, y de las obras subterráneas o aéreas en la vía pública; los anuncios publicitarios que requieran de elementos estructurales; estaciones repetidoras y antenas para radiotelecomunicaciones.”</w:t>
      </w:r>
    </w:p>
    <w:p w:rsidR="00000000" w:rsidDel="00000000" w:rsidP="00000000" w:rsidRDefault="00000000" w:rsidRPr="00000000" w14:paraId="0000004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es de señalar que la respuesta al punto en análisis fue proporcionada por el Servidor Público Habilitado competente para generar, administrar o poseer la información que es del interés de la persona solicitante, quien asumió la existencia de la misma, al señalar que se trata de documentos que efectivamente expide la Dirección General de Ordenamiento Territorial y Desarrollo Urbano, y que obran en el Departamento de Licencias de Construcción y el Departamento de Uso del Suelo y Control del Suelo, proporcionando por tanto, una lista de los expedientes identificados de las licencias de uso de suelo y de las licencias de construcción que corresponden con lo requerido, sin embargo, solicitó la realización de un pago de derechos por la expedición de copias, a efecto de hacer entrega del soporte documental correspondiente.</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dado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ha reconocido que cuenta con la información que colmaría la solicitud interpuesta por la persona solicitante, de manera que, en el presente caso, privilegiando los principios de máxima publicidad, certeza jurídica, y gratuidad de la información pública, lo procedente es verificar si la respuesta emitida resulta ser suficiente para colmar con el derecho al acceso a la información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de las constancias que integran el expediente en el que se actúa, así como de la materia sobre la que versa la solicitud de acceso a la información pública, se advierte que las razones o motivos de inconformidad devienen fundados, en razón 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proporcionó la información que le fue requerida, a pesar de haber reconocido que cuenta con ella, por tal motivo el derecho de acceso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no ha quedado colmado, toda vez que se condiciona la entrega de dicha información a la realización de un pago por concepto de derechos para la expedición de copias.</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w:t>
      </w:r>
      <w:r w:rsidDel="00000000" w:rsidR="00000000" w:rsidRPr="00000000">
        <w:rPr>
          <w:rFonts w:ascii="Palatino Linotype" w:cs="Palatino Linotype" w:eastAsia="Palatino Linotype" w:hAnsi="Palatino Linotype"/>
          <w:b w:val="1"/>
          <w:i w:val="1"/>
          <w:rtl w:val="0"/>
        </w:rPr>
        <w:t xml:space="preserve"> gratuidad</w:t>
      </w:r>
      <w:r w:rsidDel="00000000" w:rsidR="00000000" w:rsidRPr="00000000">
        <w:rPr>
          <w:rFonts w:ascii="Palatino Linotype" w:cs="Palatino Linotype" w:eastAsia="Palatino Linotype" w:hAnsi="Palatino Linotype"/>
          <w:rtl w:val="0"/>
        </w:rPr>
        <w:t xml:space="preserve">, de certeza, de celeridad, de objetividad,  entre otros.</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w:t>
      </w:r>
    </w:p>
    <w:p w:rsidR="00000000" w:rsidDel="00000000" w:rsidP="00000000" w:rsidRDefault="00000000" w:rsidRPr="00000000" w14:paraId="0000005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Del="00000000" w:rsidR="00000000" w:rsidRPr="00000000">
        <w:rPr>
          <w:rFonts w:ascii="Palatino Linotype" w:cs="Palatino Linotype" w:eastAsia="Palatino Linotype" w:hAnsi="Palatino Linotype"/>
          <w:b w:val="1"/>
          <w:i w:val="1"/>
          <w:rtl w:val="0"/>
        </w:rPr>
        <w:t xml:space="preserve">reproducción </w:t>
      </w:r>
      <w:r w:rsidDel="00000000" w:rsidR="00000000" w:rsidRPr="00000000">
        <w:rPr>
          <w:rFonts w:ascii="Palatino Linotype" w:cs="Palatino Linotype" w:eastAsia="Palatino Linotype" w:hAnsi="Palatino Linotype"/>
          <w:rtl w:val="0"/>
        </w:rPr>
        <w:t xml:space="preserve">de la información, y en su caso del costo de </w:t>
      </w:r>
      <w:r w:rsidDel="00000000" w:rsidR="00000000" w:rsidRPr="00000000">
        <w:rPr>
          <w:rFonts w:ascii="Palatino Linotype" w:cs="Palatino Linotype" w:eastAsia="Palatino Linotype" w:hAnsi="Palatino Linotype"/>
          <w:b w:val="1"/>
          <w:i w:val="1"/>
          <w:rtl w:val="0"/>
        </w:rPr>
        <w:t xml:space="preserve">envío</w:t>
      </w:r>
      <w:r w:rsidDel="00000000" w:rsidR="00000000" w:rsidRPr="00000000">
        <w:rPr>
          <w:rFonts w:ascii="Palatino Linotype" w:cs="Palatino Linotype" w:eastAsia="Palatino Linotype" w:hAnsi="Palatino Linotype"/>
          <w:rtl w:val="0"/>
        </w:rPr>
        <w:t xml:space="preserve">, finalmente, conlleva implícitamente un esfuerzo por parte de los Sujetos Obligados para reducir los costos de entrega de la información.</w:t>
      </w:r>
    </w:p>
    <w:p w:rsidR="00000000" w:rsidDel="00000000" w:rsidP="00000000" w:rsidRDefault="00000000" w:rsidRPr="00000000" w14:paraId="0000005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lo anterior,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este exige una justificación y jamás puede tener efectos recaudatorios, al menos que la reproducción de la información sea en fotocopias, respaldos informáticos, entre otros.</w:t>
      </w:r>
    </w:p>
    <w:p w:rsidR="00000000" w:rsidDel="00000000" w:rsidP="00000000" w:rsidRDefault="00000000" w:rsidRPr="00000000" w14:paraId="0000005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sidDel="00000000" w:rsidR="00000000" w:rsidRPr="00000000">
        <w:rPr>
          <w:rFonts w:ascii="Palatino Linotype" w:cs="Palatino Linotype" w:eastAsia="Palatino Linotype" w:hAnsi="Palatino Linotype"/>
          <w:b w:val="1"/>
          <w:i w:val="1"/>
          <w:rtl w:val="0"/>
        </w:rPr>
        <w:t xml:space="preserve">gratuitos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 refiere en los artículos 17 y 150, que la búsqueda y acceso a la información es gratuita y </w:t>
      </w:r>
      <w:r w:rsidDel="00000000" w:rsidR="00000000" w:rsidRPr="00000000">
        <w:rPr>
          <w:rFonts w:ascii="Palatino Linotype" w:cs="Palatino Linotype" w:eastAsia="Palatino Linotype" w:hAnsi="Palatino Linotype"/>
          <w:b w:val="1"/>
          <w:i w:val="1"/>
          <w:rtl w:val="0"/>
        </w:rPr>
        <w:t xml:space="preserve">sólo se cubrirá en su caso, los gastos de reproducción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i w:val="1"/>
          <w:u w:val="single"/>
          <w:rtl w:val="0"/>
        </w:rPr>
        <w:t xml:space="preserve">por la modalidad de entrega solicitada</w:t>
      </w:r>
      <w:r w:rsidDel="00000000" w:rsidR="00000000" w:rsidRPr="00000000">
        <w:rPr>
          <w:rFonts w:ascii="Palatino Linotype" w:cs="Palatino Linotype" w:eastAsia="Palatino Linotype" w:hAnsi="Palatino Linotype"/>
          <w:u w:val="single"/>
          <w:rtl w:val="0"/>
        </w:rPr>
        <w:t xml:space="preserve">, </w:t>
      </w:r>
      <w:r w:rsidDel="00000000" w:rsidR="00000000" w:rsidRPr="00000000">
        <w:rPr>
          <w:rFonts w:ascii="Palatino Linotype" w:cs="Palatino Linotype" w:eastAsia="Palatino Linotype" w:hAnsi="Palatino Linotype"/>
          <w:b w:val="1"/>
          <w:i w:val="1"/>
          <w:u w:val="single"/>
          <w:rtl w:val="0"/>
        </w:rPr>
        <w:t xml:space="preserve">o por el envió</w:t>
      </w:r>
      <w:r w:rsidDel="00000000" w:rsidR="00000000" w:rsidRPr="00000000">
        <w:rPr>
          <w:rFonts w:ascii="Palatino Linotype" w:cs="Palatino Linotype" w:eastAsia="Palatino Linotype" w:hAnsi="Palatino Linotype"/>
          <w:u w:val="single"/>
          <w:rtl w:val="0"/>
        </w:rPr>
        <w:t xml:space="preserve"> </w:t>
      </w:r>
      <w:r w:rsidDel="00000000" w:rsidR="00000000" w:rsidRPr="00000000">
        <w:rPr>
          <w:rFonts w:ascii="Palatino Linotype" w:cs="Palatino Linotype" w:eastAsia="Palatino Linotype" w:hAnsi="Palatino Linotype"/>
          <w:rtl w:val="0"/>
        </w:rPr>
        <w:t xml:space="preserve">de conformidad con los derechos, productos y aprovechamientos establecidos en la legislación aplicable, en razón de que el procedimiento de acceso a la información es la garantía primaria del derecho en cuestión y </w:t>
      </w:r>
      <w:r w:rsidDel="00000000" w:rsidR="00000000" w:rsidRPr="00000000">
        <w:rPr>
          <w:rFonts w:ascii="Palatino Linotype" w:cs="Palatino Linotype" w:eastAsia="Palatino Linotype" w:hAnsi="Palatino Linotype"/>
          <w:i w:val="1"/>
          <w:rtl w:val="0"/>
        </w:rPr>
        <w:t xml:space="preserve">se rige por los principios de simplicidad, rapidez, gratuidad,</w:t>
      </w:r>
      <w:r w:rsidDel="00000000" w:rsidR="00000000" w:rsidRPr="00000000">
        <w:rPr>
          <w:rFonts w:ascii="Palatino Linotype" w:cs="Palatino Linotype" w:eastAsia="Palatino Linotype" w:hAnsi="Palatino Linotype"/>
          <w:rtl w:val="0"/>
        </w:rPr>
        <w:t xml:space="preserve"> auxilio y orientación a los particulares, en virtud de que constituye el primer paso para integrar activamente a la ciudadanía en la acción gubernamental, toda vez que con la información proporcionada por medio de las políticas de transparencia, los ciudadanos son participes de las acciones realizadas por los entes públicos, lo que favorece la rendición de cuentas.</w:t>
      </w:r>
    </w:p>
    <w:p w:rsidR="00000000" w:rsidDel="00000000" w:rsidP="00000000" w:rsidRDefault="00000000" w:rsidRPr="00000000" w14:paraId="0000005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sidDel="00000000" w:rsidR="00000000" w:rsidRPr="00000000">
        <w:rPr>
          <w:rFonts w:ascii="Palatino Linotype" w:cs="Palatino Linotype" w:eastAsia="Palatino Linotype" w:hAnsi="Palatino Linotype"/>
          <w:b w:val="1"/>
          <w:i w:val="1"/>
          <w:rtl w:val="0"/>
        </w:rPr>
        <w:t xml:space="preserve">en caso de que se tenga que generar un gasto por la reproducción, por el envío, o por la modalidad de entrega solicitada,</w:t>
      </w:r>
      <w:r w:rsidDel="00000000" w:rsidR="00000000" w:rsidRPr="00000000">
        <w:rPr>
          <w:rFonts w:ascii="Palatino Linotype" w:cs="Palatino Linotype" w:eastAsia="Palatino Linotype" w:hAnsi="Palatino Linotype"/>
          <w:rtl w:val="0"/>
        </w:rPr>
        <w:t xml:space="preserve"> supuestos que encuadran con lo  establecido en los artículos 9 fracción III, 17, 165, 174, 175 de la Ley de Acceso a la Información Pública del Estado de México y Municipios, así como el artículo 4.22 de su Reglamento.</w:t>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en el caso concreto, dichos preceptos son interpretados en perjuicio de la persona solicitante, como se explica enseguida, para lo cual es necesario hacer referencia a los mismos en su parte conducente: </w:t>
      </w:r>
    </w:p>
    <w:p w:rsidR="00000000" w:rsidDel="00000000" w:rsidP="00000000" w:rsidRDefault="00000000" w:rsidRPr="00000000" w14:paraId="0000005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 </w:t>
      </w:r>
      <w:r w:rsidDel="00000000" w:rsidR="00000000" w:rsidRPr="00000000">
        <w:rPr>
          <w:rFonts w:ascii="Palatino Linotype" w:cs="Palatino Linotype" w:eastAsia="Palatino Linotype" w:hAnsi="Palatino Linotype"/>
          <w:i w:val="1"/>
          <w:sz w:val="22"/>
          <w:szCs w:val="22"/>
          <w:rtl w:val="0"/>
        </w:rPr>
        <w:t xml:space="preserve">El Instituto deberá regir su funcionamiento de acuerdo a los siguientes principios:</w:t>
      </w:r>
    </w:p>
    <w:p w:rsidR="00000000" w:rsidDel="00000000" w:rsidP="00000000" w:rsidRDefault="00000000" w:rsidRPr="00000000" w14:paraId="00000056">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5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Gratuidad: </w:t>
      </w:r>
      <w:r w:rsidDel="00000000" w:rsidR="00000000" w:rsidRPr="00000000">
        <w:rPr>
          <w:rFonts w:ascii="Palatino Linotype" w:cs="Palatino Linotype" w:eastAsia="Palatino Linotype" w:hAnsi="Palatino Linotype"/>
          <w:i w:val="1"/>
          <w:sz w:val="22"/>
          <w:szCs w:val="22"/>
          <w:rtl w:val="0"/>
        </w:rPr>
        <w:t xml:space="preserve">Consiste en que el acceso a la información pública no genera costo alguno para los solicitantes, </w:t>
      </w:r>
      <w:r w:rsidDel="00000000" w:rsidR="00000000" w:rsidRPr="00000000">
        <w:rPr>
          <w:rFonts w:ascii="Palatino Linotype" w:cs="Palatino Linotype" w:eastAsia="Palatino Linotype" w:hAnsi="Palatino Linotype"/>
          <w:b w:val="1"/>
          <w:i w:val="1"/>
          <w:sz w:val="22"/>
          <w:szCs w:val="22"/>
          <w:rtl w:val="0"/>
        </w:rPr>
        <w:t xml:space="preserve">sólo podrá requerirse el cobro correspondiente a la modalidad de reproducción y entrega solicitada </w:t>
      </w:r>
      <w:r w:rsidDel="00000000" w:rsidR="00000000" w:rsidRPr="00000000">
        <w:rPr>
          <w:rFonts w:ascii="Palatino Linotype" w:cs="Palatino Linotype" w:eastAsia="Palatino Linotype" w:hAnsi="Palatino Linotype"/>
          <w:i w:val="1"/>
          <w:sz w:val="22"/>
          <w:szCs w:val="22"/>
          <w:rtl w:val="0"/>
        </w:rPr>
        <w:t xml:space="preserve">conforme a lo establecido en la presente Ley y demás disposiciones jurídicas aplicables;</w:t>
      </w:r>
    </w:p>
    <w:p w:rsidR="00000000" w:rsidDel="00000000" w:rsidP="00000000" w:rsidRDefault="00000000" w:rsidRPr="00000000" w14:paraId="0000005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 </w:t>
      </w:r>
      <w:r w:rsidDel="00000000" w:rsidR="00000000" w:rsidRPr="00000000">
        <w:rPr>
          <w:rFonts w:ascii="Palatino Linotype" w:cs="Palatino Linotype" w:eastAsia="Palatino Linotype" w:hAnsi="Palatino Linotype"/>
          <w:i w:val="1"/>
          <w:sz w:val="22"/>
          <w:szCs w:val="22"/>
          <w:rtl w:val="0"/>
        </w:rPr>
        <w:t xml:space="preserve">La búsqueda y acceso a la información es gratuita y </w:t>
      </w:r>
      <w:r w:rsidDel="00000000" w:rsidR="00000000" w:rsidRPr="00000000">
        <w:rPr>
          <w:rFonts w:ascii="Palatino Linotype" w:cs="Palatino Linotype" w:eastAsia="Palatino Linotype" w:hAnsi="Palatino Linotype"/>
          <w:b w:val="1"/>
          <w:i w:val="1"/>
          <w:sz w:val="22"/>
          <w:szCs w:val="22"/>
          <w:rtl w:val="0"/>
        </w:rPr>
        <w:t xml:space="preserve">solo se cubrirán los gastos de reproducción, o por la modalidad de entrega solicitada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así como por el envío</w:t>
      </w:r>
      <w:r w:rsidDel="00000000" w:rsidR="00000000" w:rsidRPr="00000000">
        <w:rPr>
          <w:rFonts w:ascii="Palatino Linotype" w:cs="Palatino Linotype" w:eastAsia="Palatino Linotype" w:hAnsi="Palatino Linotype"/>
          <w:i w:val="1"/>
          <w:sz w:val="22"/>
          <w:szCs w:val="22"/>
          <w:rtl w:val="0"/>
        </w:rPr>
        <w:t xml:space="preserve">, que en su caso se genere, de conformidad con los derechos, productos y aprovechamientos establecidos en la legislación aplicable, sin que exceda de los límites establecidos en la presente Ley.</w:t>
      </w:r>
    </w:p>
    <w:p w:rsidR="00000000" w:rsidDel="00000000" w:rsidP="00000000" w:rsidRDefault="00000000" w:rsidRPr="00000000" w14:paraId="0000005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165. …</w:t>
      </w:r>
      <w:r w:rsidDel="00000000" w:rsidR="00000000" w:rsidRPr="00000000">
        <w:rPr>
          <w:rtl w:val="0"/>
        </w:rPr>
      </w:r>
    </w:p>
    <w:p w:rsidR="00000000" w:rsidDel="00000000" w:rsidP="00000000" w:rsidRDefault="00000000" w:rsidRPr="00000000" w14:paraId="0000005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que se entregue en versión pública, </w:t>
      </w:r>
      <w:r w:rsidDel="00000000" w:rsidR="00000000" w:rsidRPr="00000000">
        <w:rPr>
          <w:rFonts w:ascii="Palatino Linotype" w:cs="Palatino Linotype" w:eastAsia="Palatino Linotype" w:hAnsi="Palatino Linotype"/>
          <w:b w:val="1"/>
          <w:i w:val="1"/>
          <w:sz w:val="22"/>
          <w:szCs w:val="22"/>
          <w:rtl w:val="0"/>
        </w:rPr>
        <w:t xml:space="preserve">cuya modalidad de reproducción o envío tenga un costo, </w:t>
      </w:r>
      <w:r w:rsidDel="00000000" w:rsidR="00000000" w:rsidRPr="00000000">
        <w:rPr>
          <w:rFonts w:ascii="Palatino Linotype" w:cs="Palatino Linotype" w:eastAsia="Palatino Linotype" w:hAnsi="Palatino Linotype"/>
          <w:i w:val="1"/>
          <w:sz w:val="22"/>
          <w:szCs w:val="22"/>
          <w:rtl w:val="0"/>
        </w:rPr>
        <w:t xml:space="preserve">procederá una vez que se acredite el pago respectivo. No puede entenderse como reproducción la elaboración de la misma.</w:t>
      </w:r>
    </w:p>
    <w:p w:rsidR="00000000" w:rsidDel="00000000" w:rsidP="00000000" w:rsidRDefault="00000000" w:rsidRPr="00000000" w14:paraId="0000005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174. En caso de existir costos para obtener la información</w:t>
      </w:r>
      <w:r w:rsidDel="00000000" w:rsidR="00000000" w:rsidRPr="00000000">
        <w:rPr>
          <w:rFonts w:ascii="Palatino Linotype" w:cs="Palatino Linotype" w:eastAsia="Palatino Linotype" w:hAnsi="Palatino Linotype"/>
          <w:i w:val="1"/>
          <w:sz w:val="22"/>
          <w:szCs w:val="22"/>
          <w:rtl w:val="0"/>
        </w:rPr>
        <w:t xml:space="preserve"> deberán cubrirse de manera previa a la entrega y </w:t>
      </w:r>
      <w:r w:rsidDel="00000000" w:rsidR="00000000" w:rsidRPr="00000000">
        <w:rPr>
          <w:rFonts w:ascii="Palatino Linotype" w:cs="Palatino Linotype" w:eastAsia="Palatino Linotype" w:hAnsi="Palatino Linotype"/>
          <w:b w:val="1"/>
          <w:i w:val="1"/>
          <w:sz w:val="22"/>
          <w:szCs w:val="22"/>
          <w:rtl w:val="0"/>
        </w:rPr>
        <w:t xml:space="preserve">no podrán ser superiores a la suma de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costo de los materiales utilizados en la reproducción</w:t>
      </w:r>
      <w:r w:rsidDel="00000000" w:rsidR="00000000" w:rsidRPr="00000000">
        <w:rPr>
          <w:rFonts w:ascii="Palatino Linotype" w:cs="Palatino Linotype" w:eastAsia="Palatino Linotype" w:hAnsi="Palatino Linotype"/>
          <w:i w:val="1"/>
          <w:sz w:val="22"/>
          <w:szCs w:val="22"/>
          <w:rtl w:val="0"/>
        </w:rPr>
        <w:t xml:space="preserve"> de la información;</w:t>
      </w:r>
    </w:p>
    <w:p w:rsidR="00000000" w:rsidDel="00000000" w:rsidP="00000000" w:rsidRDefault="00000000" w:rsidRPr="00000000" w14:paraId="0000006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costo de envío</w:t>
      </w:r>
      <w:r w:rsidDel="00000000" w:rsidR="00000000" w:rsidRPr="00000000">
        <w:rPr>
          <w:rFonts w:ascii="Palatino Linotype" w:cs="Palatino Linotype" w:eastAsia="Palatino Linotype" w:hAnsi="Palatino Linotype"/>
          <w:i w:val="1"/>
          <w:sz w:val="22"/>
          <w:szCs w:val="22"/>
          <w:rtl w:val="0"/>
        </w:rPr>
        <w:t xml:space="preserve">, en su caso; y</w:t>
      </w:r>
    </w:p>
    <w:p w:rsidR="00000000" w:rsidDel="00000000" w:rsidP="00000000" w:rsidRDefault="00000000" w:rsidRPr="00000000" w14:paraId="0000006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pago de la certificación de los documentos</w:t>
      </w:r>
      <w:r w:rsidDel="00000000" w:rsidR="00000000" w:rsidRPr="00000000">
        <w:rPr>
          <w:rFonts w:ascii="Palatino Linotype" w:cs="Palatino Linotype" w:eastAsia="Palatino Linotype" w:hAnsi="Palatino Linotype"/>
          <w:i w:val="1"/>
          <w:sz w:val="22"/>
          <w:szCs w:val="22"/>
          <w:rtl w:val="0"/>
        </w:rPr>
        <w:t xml:space="preserve">, cuando proceda.</w:t>
      </w:r>
    </w:p>
    <w:p w:rsidR="00000000" w:rsidDel="00000000" w:rsidP="00000000" w:rsidRDefault="00000000" w:rsidRPr="00000000" w14:paraId="0000006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cuotas de los derechos aplicables deberán establecerse, en su caso, en el </w:t>
      </w:r>
      <w:r w:rsidDel="00000000" w:rsidR="00000000" w:rsidRPr="00000000">
        <w:rPr>
          <w:rFonts w:ascii="Palatino Linotype" w:cs="Palatino Linotype" w:eastAsia="Palatino Linotype" w:hAnsi="Palatino Linotype"/>
          <w:b w:val="1"/>
          <w:i w:val="1"/>
          <w:sz w:val="22"/>
          <w:szCs w:val="22"/>
          <w:rtl w:val="0"/>
        </w:rPr>
        <w:t xml:space="preserve">Código Financiero del Estado de México y Municipios</w:t>
      </w:r>
      <w:r w:rsidDel="00000000" w:rsidR="00000000" w:rsidRPr="00000000">
        <w:rPr>
          <w:rFonts w:ascii="Palatino Linotype" w:cs="Palatino Linotype" w:eastAsia="Palatino Linotype" w:hAnsi="Palatino Linotype"/>
          <w:i w:val="1"/>
          <w:sz w:val="22"/>
          <w:szCs w:val="22"/>
          <w:rtl w:val="0"/>
        </w:rPr>
        <w:t xml:space="preserve"> y demás disposiciones jurídicas aplicables, las cuales se publicarán en los sitios de internet de los sujetos obligados…” </w:t>
      </w:r>
    </w:p>
    <w:p w:rsidR="00000000" w:rsidDel="00000000" w:rsidP="00000000" w:rsidRDefault="00000000" w:rsidRPr="00000000" w14:paraId="0000006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175. </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ningún caso, el pago de derechos deberá exceder el</w:t>
      </w:r>
      <w:r w:rsidDel="00000000" w:rsidR="00000000" w:rsidRPr="00000000">
        <w:rPr>
          <w:rFonts w:ascii="Palatino Linotype" w:cs="Palatino Linotype" w:eastAsia="Palatino Linotype" w:hAnsi="Palatino Linotype"/>
          <w:b w:val="1"/>
          <w:i w:val="1"/>
          <w:sz w:val="22"/>
          <w:szCs w:val="22"/>
          <w:rtl w:val="0"/>
        </w:rPr>
        <w:t xml:space="preserve"> costo de reproducción de la información en el material solicitado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4.22</w:t>
      </w:r>
      <w:r w:rsidDel="00000000" w:rsidR="00000000" w:rsidRPr="00000000">
        <w:rPr>
          <w:rFonts w:ascii="Palatino Linotype" w:cs="Palatino Linotype" w:eastAsia="Palatino Linotype" w:hAnsi="Palatino Linotype"/>
          <w:i w:val="1"/>
          <w:sz w:val="22"/>
          <w:szCs w:val="22"/>
          <w:rtl w:val="0"/>
        </w:rPr>
        <w:t xml:space="preserve">.- 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p>
    <w:p w:rsidR="00000000" w:rsidDel="00000000" w:rsidP="00000000" w:rsidRDefault="00000000" w:rsidRPr="00000000" w14:paraId="0000006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efecto, de los preceptos citados se desprende que Ley de la Materia estableció el cobro de derechos para la entrega de la información, con el objeto de que se cubran los costos de los materiales utilizados en la reproducción de la información, el costo por el envío de la misma o el pago por la certificación.</w:t>
      </w:r>
    </w:p>
    <w:p w:rsidR="00000000" w:rsidDel="00000000" w:rsidP="00000000" w:rsidRDefault="00000000" w:rsidRPr="00000000" w14:paraId="0000006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concreto,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pretendió obtener un pago por concepto de derechos para la emisión de copias simples, sin embargo, no justificó el cobro de manera fundada y motivada, así como tampoco señaló el número de fojas que integran la información que es materia de los requerimientos, el costo total, el lugar y procedimiento para realizar el pago correspondiente y los horarios en los cuales estaría a disposición la información solicitada, reiterando que el requerimiento del pago por concepto de derechos no se justificó debidamente.</w:t>
      </w:r>
    </w:p>
    <w:p w:rsidR="00000000" w:rsidDel="00000000" w:rsidP="00000000" w:rsidRDefault="00000000" w:rsidRPr="00000000" w14:paraId="0000006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manera, no se estima por parte de este Organismo Garante que el presente caso actualice alguno de los supuestos previstos en la norma previamente citados, toda vez que la persona solicitante requirió la información en formato electrónico, a través de correo electrónico y del sistema SAIMEX, como se advierte en el antecedente 1 de la presente resolución, por lo tanto no se le está requiriendo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expida copias simples, certificadas o que reproduzca la información que ya asumió poseer, en cualquier otro medio físico, sino que proporcione la información de manera electrónica, en otras palabras, con la finalidad de satisfacer la solicitud, </w:t>
      </w:r>
      <w:r w:rsidDel="00000000" w:rsidR="00000000" w:rsidRPr="00000000">
        <w:rPr>
          <w:rFonts w:ascii="Palatino Linotype" w:cs="Palatino Linotype" w:eastAsia="Palatino Linotype" w:hAnsi="Palatino Linotype"/>
          <w:b w:val="1"/>
          <w:rtl w:val="0"/>
        </w:rPr>
        <w:t xml:space="preserve">no es necesario que el Sujeto Obligado realice una reproducción física de la información que conserva en sus archivos,</w:t>
      </w:r>
      <w:r w:rsidDel="00000000" w:rsidR="00000000" w:rsidRPr="00000000">
        <w:rPr>
          <w:rFonts w:ascii="Palatino Linotype" w:cs="Palatino Linotype" w:eastAsia="Palatino Linotype" w:hAnsi="Palatino Linotype"/>
          <w:rtl w:val="0"/>
        </w:rPr>
        <w:t xml:space="preserve"> más bien implicaría realizar una digitalización o escaneo de aquellos documentos que por su naturaleza pudieran encontrarse en un medio físico.</w:t>
      </w:r>
    </w:p>
    <w:p w:rsidR="00000000" w:rsidDel="00000000" w:rsidP="00000000" w:rsidRDefault="00000000" w:rsidRPr="00000000" w14:paraId="0000006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necesario precisar que la digitalización o escaneo de la información, no conlleva la utilización de materiales que le generen un costo, como podría serlo por ejemplo hojas de papel para la emisión de copias; de igual manera, tampoco se actualiza el cobro por certificación, ya que la parte solicitante no requirió la entrega en dicha modalidad, así tampoco se genera un gasto por el envío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w:t>
      </w:r>
    </w:p>
    <w:p w:rsidR="00000000" w:rsidDel="00000000" w:rsidP="00000000" w:rsidRDefault="00000000" w:rsidRPr="00000000" w14:paraId="0000006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w:t>
      </w:r>
      <w:r w:rsidDel="00000000" w:rsidR="00000000" w:rsidRPr="00000000">
        <w:rPr>
          <w:rFonts w:ascii="Palatino Linotype" w:cs="Palatino Linotype" w:eastAsia="Palatino Linotype" w:hAnsi="Palatino Linotype"/>
          <w:b w:val="1"/>
          <w:rtl w:val="0"/>
        </w:rPr>
        <w:t xml:space="preserve">ningún costo, </w:t>
      </w:r>
      <w:r w:rsidDel="00000000" w:rsidR="00000000" w:rsidRPr="00000000">
        <w:rPr>
          <w:rFonts w:ascii="Palatino Linotype" w:cs="Palatino Linotype" w:eastAsia="Palatino Linotype" w:hAnsi="Palatino Linotype"/>
          <w:rtl w:val="0"/>
        </w:rPr>
        <w:t xml:space="preserve">incluyendo aquella que se hubiera digitalizado previamente por cualquier motivo, y aún menos en aquellos casos en que la modalidad de entrega sea por medio de la plataforma o vía electrónica.</w:t>
      </w:r>
    </w:p>
    <w:p w:rsidR="00000000" w:rsidDel="00000000" w:rsidP="00000000" w:rsidRDefault="00000000" w:rsidRPr="00000000" w14:paraId="0000006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no existe presupuesto jurídico que autorice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requerir un pago para entregar la información vía SAIMEX, debido a que dicho sistema fue creado para facilitar el registro y atención de las solicitudes de información, y es su obligación trasladar la información de un soporte físico a uno electrónico y cuidar que los medios electrónicos o impresos en los que conste tanto información pública, como confidencial y reservada se entreguen en versión pública en los casos que eso resulte necesario.</w:t>
      </w:r>
    </w:p>
    <w:p w:rsidR="00000000" w:rsidDel="00000000" w:rsidP="00000000" w:rsidRDefault="00000000" w:rsidRPr="00000000" w14:paraId="0000006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Pensar lo contrario, sería tanto como reconocer que la utilización del sistema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cierta información no existe la obligación de tenerla digitalizada.</w:t>
      </w:r>
    </w:p>
    <w:p w:rsidR="00000000" w:rsidDel="00000000" w:rsidP="00000000" w:rsidRDefault="00000000" w:rsidRPr="00000000" w14:paraId="0000006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esta óptica, el derecho del particular de acceder a los documentos que obran en posesión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encuentra limitado, en virtud de que no le fue proporcionada la información solicitada, incumpliendo así lo previsto en el artículo 4</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Fonts w:ascii="Palatino Linotype" w:cs="Palatino Linotype" w:eastAsia="Palatino Linotype" w:hAnsi="Palatino Linotype"/>
          <w:rtl w:val="0"/>
        </w:rPr>
        <w:t xml:space="preserve"> de la Ley de la Materia;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rsidR="00000000" w:rsidDel="00000000" w:rsidP="00000000" w:rsidRDefault="00000000" w:rsidRPr="00000000" w14:paraId="0000007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estos argumentos, este Organismo Garante estima procedente ordenar la entrega del soporte documental solicitado, es decir, de las licencias de uso de suelo y licencias de construcción generadas del uno de enero de dos mil veintiuno al treinta y uno de octubre de dos mil veintidós, que ya asumió poseer,  mediante el sistema SAIMEX, sin costo para la solicitante, en los términos del considerando siguiente.</w:t>
      </w:r>
    </w:p>
    <w:p w:rsidR="00000000" w:rsidDel="00000000" w:rsidP="00000000" w:rsidRDefault="00000000" w:rsidRPr="00000000" w14:paraId="00000071">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robustecer dicha determinación, no obsta mencionar que la información que es del interés de la persona solicitante, se encuentra intrínsecamente relacionada con la obligación de transparencia prevista en el artículo 92, fracción XXXII de la Ley de Transparencia y Acceso a la Información Pública del Estado de México y Municipios, consistente en lo siguiente: </w:t>
      </w:r>
    </w:p>
    <w:p w:rsidR="00000000" w:rsidDel="00000000" w:rsidP="00000000" w:rsidRDefault="00000000" w:rsidRPr="00000000" w14:paraId="0000007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sujetos obligados deberán poner a disposición del público de manera permanente y actualizada de forma sencilla, precisa y entendible</w:t>
      </w:r>
      <w:r w:rsidDel="00000000" w:rsidR="00000000" w:rsidRPr="00000000">
        <w:rPr>
          <w:rFonts w:ascii="Palatino Linotype" w:cs="Palatino Linotype" w:eastAsia="Palatino Linotype" w:hAnsi="Palatino Linotype"/>
          <w:i w:val="1"/>
          <w:sz w:val="22"/>
          <w:szCs w:val="22"/>
          <w:rtl w:val="0"/>
        </w:rPr>
        <w:t xml:space="preserv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7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w:t>
      </w:r>
      <w:r w:rsidDel="00000000" w:rsidR="00000000" w:rsidRPr="00000000">
        <w:rPr>
          <w:rFonts w:ascii="Palatino Linotype" w:cs="Palatino Linotype" w:eastAsia="Palatino Linotype" w:hAnsi="Palatino Linotype"/>
          <w:i w:val="1"/>
          <w:sz w:val="22"/>
          <w:szCs w:val="22"/>
          <w:rtl w:val="0"/>
        </w:rPr>
        <w:t xml:space="preserve"> Las concesiones, contratos, convenios, permisos, </w:t>
      </w:r>
      <w:r w:rsidDel="00000000" w:rsidR="00000000" w:rsidRPr="00000000">
        <w:rPr>
          <w:rFonts w:ascii="Palatino Linotype" w:cs="Palatino Linotype" w:eastAsia="Palatino Linotype" w:hAnsi="Palatino Linotype"/>
          <w:b w:val="1"/>
          <w:i w:val="1"/>
          <w:sz w:val="22"/>
          <w:szCs w:val="22"/>
          <w:u w:val="single"/>
          <w:rtl w:val="0"/>
        </w:rPr>
        <w:t xml:space="preserve">licencias o autorizaciones otorgados</w:t>
      </w:r>
      <w:r w:rsidDel="00000000" w:rsidR="00000000" w:rsidRPr="00000000">
        <w:rPr>
          <w:rFonts w:ascii="Palatino Linotype" w:cs="Palatino Linotype" w:eastAsia="Palatino Linotype" w:hAnsi="Palatino Linotype"/>
          <w:i w:val="1"/>
          <w:sz w:val="22"/>
          <w:szCs w:val="22"/>
          <w:rtl w:val="0"/>
        </w:rPr>
        <w:t xml:space="preserve">,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000000" w:rsidDel="00000000" w:rsidP="00000000" w:rsidRDefault="00000000" w:rsidRPr="00000000" w14:paraId="00000075">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como con la obligación de transparencia especifica prevista en el artículo 94, fracción I, inciso F, de la Ley de Transparencia y Acceso a la Información Pública del Estado de México y Municipios, que es del tenor literal siguiente:</w:t>
      </w:r>
    </w:p>
    <w:p w:rsidR="00000000" w:rsidDel="00000000" w:rsidP="00000000" w:rsidRDefault="00000000" w:rsidRPr="00000000" w14:paraId="00000076">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94</w:t>
      </w:r>
      <w:r w:rsidDel="00000000" w:rsidR="00000000" w:rsidRPr="00000000">
        <w:rPr>
          <w:rFonts w:ascii="Palatino Linotype" w:cs="Palatino Linotype" w:eastAsia="Palatino Linotype" w:hAnsi="Palatino Linotype"/>
          <w:i w:val="1"/>
          <w:sz w:val="22"/>
          <w:szCs w:val="22"/>
          <w:rtl w:val="0"/>
        </w:rPr>
        <w:t xml:space="preserve">. Además de las obligaciones de transparencia común a que se refiere el Capítulo II de este Título, </w:t>
      </w:r>
      <w:r w:rsidDel="00000000" w:rsidR="00000000" w:rsidRPr="00000000">
        <w:rPr>
          <w:rFonts w:ascii="Palatino Linotype" w:cs="Palatino Linotype" w:eastAsia="Palatino Linotype" w:hAnsi="Palatino Linotype"/>
          <w:b w:val="1"/>
          <w:i w:val="1"/>
          <w:sz w:val="22"/>
          <w:szCs w:val="22"/>
          <w:rtl w:val="0"/>
        </w:rPr>
        <w:t xml:space="preserve">los sujetos obligados del Poder Ejecutivo Local y municipales, deberán poner a disposición del público y actualizar</w:t>
      </w:r>
      <w:r w:rsidDel="00000000" w:rsidR="00000000" w:rsidRPr="00000000">
        <w:rPr>
          <w:rFonts w:ascii="Palatino Linotype" w:cs="Palatino Linotype" w:eastAsia="Palatino Linotype" w:hAnsi="Palatino Linotype"/>
          <w:i w:val="1"/>
          <w:sz w:val="22"/>
          <w:szCs w:val="22"/>
          <w:rtl w:val="0"/>
        </w:rPr>
        <w:t xml:space="preserve"> la siguiente información: </w:t>
      </w:r>
    </w:p>
    <w:p w:rsidR="00000000" w:rsidDel="00000000" w:rsidP="00000000" w:rsidRDefault="00000000" w:rsidRPr="00000000" w14:paraId="00000077">
      <w:pPr>
        <w:spacing w:after="240" w:before="24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En el caso del Poder Ejecutivo y </w:t>
      </w:r>
      <w:r w:rsidDel="00000000" w:rsidR="00000000" w:rsidRPr="00000000">
        <w:rPr>
          <w:rFonts w:ascii="Palatino Linotype" w:cs="Palatino Linotype" w:eastAsia="Palatino Linotype" w:hAnsi="Palatino Linotype"/>
          <w:b w:val="1"/>
          <w:i w:val="1"/>
          <w:sz w:val="22"/>
          <w:szCs w:val="22"/>
          <w:rtl w:val="0"/>
        </w:rPr>
        <w:t xml:space="preserve">los Municipios, en el ámbito de su competencia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8">
      <w:pPr>
        <w:spacing w:after="240" w:before="24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9">
      <w:pPr>
        <w:spacing w:after="240" w:before="24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información detallada que contengan</w:t>
      </w:r>
      <w:r w:rsidDel="00000000" w:rsidR="00000000" w:rsidRPr="00000000">
        <w:rPr>
          <w:rFonts w:ascii="Palatino Linotype" w:cs="Palatino Linotype" w:eastAsia="Palatino Linotype" w:hAnsi="Palatino Linotype"/>
          <w:i w:val="1"/>
          <w:sz w:val="22"/>
          <w:szCs w:val="22"/>
          <w:rtl w:val="0"/>
        </w:rPr>
        <w:t xml:space="preserve"> los planes de desarrollo urbano, ordenamiento territorial y ecológico, los tipos y usos de suelo, </w:t>
      </w:r>
      <w:r w:rsidDel="00000000" w:rsidR="00000000" w:rsidRPr="00000000">
        <w:rPr>
          <w:rFonts w:ascii="Palatino Linotype" w:cs="Palatino Linotype" w:eastAsia="Palatino Linotype" w:hAnsi="Palatino Linotype"/>
          <w:b w:val="1"/>
          <w:i w:val="1"/>
          <w:sz w:val="22"/>
          <w:szCs w:val="22"/>
          <w:rtl w:val="0"/>
        </w:rPr>
        <w:t xml:space="preserve">licencias de uso y construcción otorgadas</w:t>
      </w:r>
      <w:r w:rsidDel="00000000" w:rsidR="00000000" w:rsidRPr="00000000">
        <w:rPr>
          <w:rFonts w:ascii="Palatino Linotype" w:cs="Palatino Linotype" w:eastAsia="Palatino Linotype" w:hAnsi="Palatino Linotype"/>
          <w:i w:val="1"/>
          <w:sz w:val="22"/>
          <w:szCs w:val="22"/>
          <w:rtl w:val="0"/>
        </w:rPr>
        <w:t xml:space="preserve"> por los gobiernos municipales;”</w:t>
      </w:r>
    </w:p>
    <w:p w:rsidR="00000000" w:rsidDel="00000000" w:rsidP="00000000" w:rsidRDefault="00000000" w:rsidRPr="00000000" w14:paraId="0000007A">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citados se desprende que los municipios, deben poner a disposición del público la información relacionada con las licencias de suelo y construcción que otorguen, y, para dar cumplimiento a dichas obligaciones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señalan lo siguiente:</w:t>
      </w:r>
    </w:p>
    <w:p w:rsidR="00000000" w:rsidDel="00000000" w:rsidP="00000000" w:rsidRDefault="00000000" w:rsidRPr="00000000" w14:paraId="0000007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 cumplimiento a la obligación prevista en la fracción XXXII, del artículo 92 de la Ley de Transparencia, que los sujetos obligados publicarán información relativa a cualquier tipo de concesión, contratos, convenios, permisos, </w:t>
      </w:r>
      <w:r w:rsidDel="00000000" w:rsidR="00000000" w:rsidRPr="00000000">
        <w:rPr>
          <w:rFonts w:ascii="Palatino Linotype" w:cs="Palatino Linotype" w:eastAsia="Palatino Linotype" w:hAnsi="Palatino Linotype"/>
          <w:b w:val="1"/>
          <w:rtl w:val="0"/>
        </w:rPr>
        <w:t xml:space="preserve">licencias</w:t>
      </w:r>
      <w:r w:rsidDel="00000000" w:rsidR="00000000" w:rsidRPr="00000000">
        <w:rPr>
          <w:rFonts w:ascii="Palatino Linotype" w:cs="Palatino Linotype" w:eastAsia="Palatino Linotype" w:hAnsi="Palatino Linotype"/>
          <w:rtl w:val="0"/>
        </w:rPr>
        <w:t xml:space="preserve"> o autorizaciones otorgados, de acuerdo con sus atribuciones establecidas en la Constitución Política de los Estados Unidos Mexicanos y la constitución de cada entidad federativa, así como la respectiva ley orgánica de las administraciones públicas estatales y municipales.</w:t>
      </w:r>
    </w:p>
    <w:p w:rsidR="00000000" w:rsidDel="00000000" w:rsidP="00000000" w:rsidRDefault="00000000" w:rsidRPr="00000000" w14:paraId="0000007C">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se organizará por acto jurídico y respecto de cada uno se especificará su tipo. Por ejemplo:</w:t>
      </w:r>
    </w:p>
    <w:p w:rsidR="00000000" w:rsidDel="00000000" w:rsidP="00000000" w:rsidRDefault="00000000" w:rsidRPr="00000000" w14:paraId="0000007D">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Concesión</w:t>
      </w:r>
      <w:r w:rsidDel="00000000" w:rsidR="00000000" w:rsidRPr="00000000">
        <w:rPr>
          <w:rFonts w:ascii="Palatino Linotype" w:cs="Palatino Linotype" w:eastAsia="Palatino Linotype" w:hAnsi="Palatino Linotype"/>
          <w:rtl w:val="0"/>
        </w:rPr>
        <w:t xml:space="preserve"> para ejecución y operación de obra pública; prestación de servicio público; radiodifusión; telecomunicaciones; etcétera. </w:t>
      </w:r>
    </w:p>
    <w:p w:rsidR="00000000" w:rsidDel="00000000" w:rsidP="00000000" w:rsidRDefault="00000000" w:rsidRPr="00000000" w14:paraId="0000007E">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Permiso </w:t>
      </w:r>
      <w:r w:rsidDel="00000000" w:rsidR="00000000" w:rsidRPr="00000000">
        <w:rPr>
          <w:rFonts w:ascii="Palatino Linotype" w:cs="Palatino Linotype" w:eastAsia="Palatino Linotype" w:hAnsi="Palatino Linotype"/>
          <w:rtl w:val="0"/>
        </w:rPr>
        <w:t xml:space="preserve">para el tratamiento y refinación del petróleo; para el almacenamiento, el transporte y la distribución por ductos de petróleo, gas, petrolíferos y petroquímicos; de radiodifusión, de telecomunicaciones; de conducir; etcétera.</w:t>
      </w:r>
    </w:p>
    <w:p w:rsidR="00000000" w:rsidDel="00000000" w:rsidP="00000000" w:rsidRDefault="00000000" w:rsidRPr="00000000" w14:paraId="0000007F">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Licencia </w:t>
      </w:r>
      <w:r w:rsidDel="00000000" w:rsidR="00000000" w:rsidRPr="00000000">
        <w:rPr>
          <w:rFonts w:ascii="Palatino Linotype" w:cs="Palatino Linotype" w:eastAsia="Palatino Linotype" w:hAnsi="Palatino Linotype"/>
          <w:b w:val="1"/>
          <w:u w:val="single"/>
          <w:rtl w:val="0"/>
        </w:rPr>
        <w:t xml:space="preserve">de uso de suelo, de construcción</w:t>
      </w:r>
      <w:r w:rsidDel="00000000" w:rsidR="00000000" w:rsidRPr="00000000">
        <w:rPr>
          <w:rFonts w:ascii="Palatino Linotype" w:cs="Palatino Linotype" w:eastAsia="Palatino Linotype" w:hAnsi="Palatino Linotype"/>
          <w:rtl w:val="0"/>
        </w:rPr>
        <w:t xml:space="preserve">, de anuncios, de conducir, de explotación de yacimientos de materiales pétreos, de exploración y extracción del petróleo, etcétera.</w:t>
      </w:r>
    </w:p>
    <w:p w:rsidR="00000000" w:rsidDel="00000000" w:rsidP="00000000" w:rsidRDefault="00000000" w:rsidRPr="00000000" w14:paraId="00000080">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Autorización</w:t>
      </w:r>
      <w:r w:rsidDel="00000000" w:rsidR="00000000" w:rsidRPr="00000000">
        <w:rPr>
          <w:rFonts w:ascii="Palatino Linotype" w:cs="Palatino Linotype" w:eastAsia="Palatino Linotype" w:hAnsi="Palatino Linotype"/>
          <w:rtl w:val="0"/>
        </w:rPr>
        <w:t xml:space="preserve"> de cambio de giro de local en mercado público; de espectáculos en la vía pública, parques o espacios públicos; de uso y ocupación; del Programa Especial de Protección Civil; de juegos pirotécnicos; para impartir educación; para el acceso a la multiprogramación; o las que el sujeto obligado determine.</w:t>
      </w:r>
    </w:p>
    <w:p w:rsidR="00000000" w:rsidDel="00000000" w:rsidP="00000000" w:rsidRDefault="00000000" w:rsidRPr="00000000" w14:paraId="00000081">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Contrato.</w:t>
      </w:r>
      <w:r w:rsidDel="00000000" w:rsidR="00000000" w:rsidRPr="00000000">
        <w:rPr>
          <w:rFonts w:ascii="Palatino Linotype" w:cs="Palatino Linotype" w:eastAsia="Palatino Linotype" w:hAnsi="Palatino Linotype"/>
          <w:rtl w:val="0"/>
        </w:rPr>
        <w:t xml:space="preserve"> Aquellos celebrados por el sujeto obligado y que se realicen con cargo total o parcial a recursos públicos de acuerdo con las leyes que le sean aplicables.</w:t>
      </w:r>
    </w:p>
    <w:p w:rsidR="00000000" w:rsidDel="00000000" w:rsidP="00000000" w:rsidRDefault="00000000" w:rsidRPr="00000000" w14:paraId="00000082">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Convenio</w:t>
      </w:r>
      <w:r w:rsidDel="00000000" w:rsidR="00000000" w:rsidRPr="00000000">
        <w:rPr>
          <w:rFonts w:ascii="Palatino Linotype" w:cs="Palatino Linotype" w:eastAsia="Palatino Linotype" w:hAnsi="Palatino Linotype"/>
          <w:rtl w:val="0"/>
        </w:rPr>
        <w:t xml:space="preserve">. Acuerdo que se firma para desarrollar un asunto concreto destinado a establecer, transferir, modificar o eliminar una obligación.</w:t>
      </w:r>
    </w:p>
    <w:p w:rsidR="00000000" w:rsidDel="00000000" w:rsidP="00000000" w:rsidRDefault="00000000" w:rsidRPr="00000000" w14:paraId="00000083">
      <w:pPr>
        <w:spacing w:after="240" w:before="240" w:line="360" w:lineRule="auto"/>
        <w:ind w:right="51"/>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rtl w:val="0"/>
        </w:rPr>
        <w:t xml:space="preserve">Mientras que para el cumplimiento de la obligación prevista en la fracción I, inciso f, del artículo 94, de la misma Ley, la información se divide para su publicación en dos apartados: el primero, destinado a los planes y programas emitidos por los Poderes Ejecutivos, sea federal, estatal o municipal; </w:t>
      </w:r>
      <w:r w:rsidDel="00000000" w:rsidR="00000000" w:rsidRPr="00000000">
        <w:rPr>
          <w:rFonts w:ascii="Palatino Linotype" w:cs="Palatino Linotype" w:eastAsia="Palatino Linotype" w:hAnsi="Palatino Linotype"/>
          <w:b w:val="1"/>
          <w:rtl w:val="0"/>
        </w:rPr>
        <w:t xml:space="preserve">el segundo es el correspondiente a las licencias de uso de suelo y construcción</w:t>
      </w:r>
      <w:r w:rsidDel="00000000" w:rsidR="00000000" w:rsidRPr="00000000">
        <w:rPr>
          <w:rFonts w:ascii="Palatino Linotype" w:cs="Palatino Linotype" w:eastAsia="Palatino Linotype" w:hAnsi="Palatino Linotype"/>
          <w:rtl w:val="0"/>
        </w:rPr>
        <w:t xml:space="preserve">, apelando a la competencia exclusiva del Municipio, derivado del artículo 115 Constitucional, así como a la Ley General de Asentamientos Humanos, Ordenamiento Territorial y Desarrollo Urbano, artículo 11, fracción 11; en el que señala a los municipios como los responsables de “Expedir las autorizaciones, licencias o permisos de las diversas acciones urbanísticas, con estricto apego a las normas jurídicas locales, planes o programas de Desarrollo Urbano y sus correspondientes Reservas, Usos del Suelo y Destinos de áreas y predios;”.</w:t>
      </w:r>
      <w:r w:rsidDel="00000000" w:rsidR="00000000" w:rsidRPr="00000000">
        <w:rPr>
          <w:rFonts w:ascii="Palatino Linotype" w:cs="Palatino Linotype" w:eastAsia="Palatino Linotype" w:hAnsi="Palatino Linotype"/>
          <w:sz w:val="18"/>
          <w:szCs w:val="18"/>
          <w:rtl w:val="0"/>
        </w:rPr>
        <w:t xml:space="preserve"> </w:t>
      </w:r>
    </w:p>
    <w:p w:rsidR="00000000" w:rsidDel="00000000" w:rsidP="00000000" w:rsidRDefault="00000000" w:rsidRPr="00000000" w14:paraId="0000008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los Sujetos Obligados deben observar los criterios sustantivos de contenido, los criterios adjetivos  de actualización, los criterios adjetivos de confiabilidad, y los criterios adjetivos de formato que establecen los Lineamientos Técnicos Generales para la publicación, homologación y estandarización de la información referidos con antelación, por lo que para el tema que nos ocupa es imprescindible traer a colación los siguientes:</w:t>
      </w:r>
    </w:p>
    <w:p w:rsidR="00000000" w:rsidDel="00000000" w:rsidP="00000000" w:rsidRDefault="00000000" w:rsidRPr="00000000" w14:paraId="00000085">
      <w:pPr>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Artículo 92, fracción XXXII:</w:t>
      </w:r>
    </w:p>
    <w:p w:rsidR="00000000" w:rsidDel="00000000" w:rsidP="00000000" w:rsidRDefault="00000000" w:rsidRPr="00000000" w14:paraId="00000086">
      <w:pPr>
        <w:spacing w:after="120" w:before="120" w:line="276" w:lineRule="auto"/>
        <w:ind w:left="284"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Criterios sustantivos de contenido</w:t>
      </w:r>
    </w:p>
    <w:p w:rsidR="00000000" w:rsidDel="00000000" w:rsidP="00000000" w:rsidRDefault="00000000" w:rsidRPr="00000000" w14:paraId="00000087">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1</w:t>
      </w:r>
      <w:r w:rsidDel="00000000" w:rsidR="00000000" w:rsidRPr="00000000">
        <w:rPr>
          <w:rFonts w:ascii="Palatino Linotype" w:cs="Palatino Linotype" w:eastAsia="Palatino Linotype" w:hAnsi="Palatino Linotype"/>
          <w:sz w:val="22"/>
          <w:szCs w:val="22"/>
          <w:rtl w:val="0"/>
        </w:rPr>
        <w:t xml:space="preserve"> Ejercicio</w:t>
      </w:r>
    </w:p>
    <w:p w:rsidR="00000000" w:rsidDel="00000000" w:rsidP="00000000" w:rsidRDefault="00000000" w:rsidRPr="00000000" w14:paraId="00000088">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2</w:t>
      </w:r>
      <w:r w:rsidDel="00000000" w:rsidR="00000000" w:rsidRPr="00000000">
        <w:rPr>
          <w:rFonts w:ascii="Palatino Linotype" w:cs="Palatino Linotype" w:eastAsia="Palatino Linotype" w:hAnsi="Palatino Linotype"/>
          <w:sz w:val="22"/>
          <w:szCs w:val="22"/>
          <w:rtl w:val="0"/>
        </w:rPr>
        <w:t xml:space="preserve"> Periodo que se informa (fecha de inicio y fecha de término con el formato día/mes/año)</w:t>
      </w:r>
    </w:p>
    <w:p w:rsidR="00000000" w:rsidDel="00000000" w:rsidP="00000000" w:rsidRDefault="00000000" w:rsidRPr="00000000" w14:paraId="00000089">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3</w:t>
      </w:r>
      <w:r w:rsidDel="00000000" w:rsidR="00000000" w:rsidRPr="00000000">
        <w:rPr>
          <w:rFonts w:ascii="Palatino Linotype" w:cs="Palatino Linotype" w:eastAsia="Palatino Linotype" w:hAnsi="Palatino Linotype"/>
          <w:sz w:val="22"/>
          <w:szCs w:val="22"/>
          <w:rtl w:val="0"/>
        </w:rPr>
        <w:t xml:space="preserve"> Tipo de acto jurídico (catálogo): Concesión/Contrato/Convenio/Permiso/Licencia/Autorización/Asignación</w:t>
      </w:r>
    </w:p>
    <w:p w:rsidR="00000000" w:rsidDel="00000000" w:rsidP="00000000" w:rsidRDefault="00000000" w:rsidRPr="00000000" w14:paraId="0000008A">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4</w:t>
      </w:r>
      <w:r w:rsidDel="00000000" w:rsidR="00000000" w:rsidRPr="00000000">
        <w:rPr>
          <w:rFonts w:ascii="Palatino Linotype" w:cs="Palatino Linotype" w:eastAsia="Palatino Linotype" w:hAnsi="Palatino Linotype"/>
          <w:sz w:val="22"/>
          <w:szCs w:val="22"/>
          <w:rtl w:val="0"/>
        </w:rPr>
        <w:t xml:space="preserve"> Número de control interno asignado, en su caso, al contrato, convenio, concesión, permiso, licencia, autorización o asignación</w:t>
      </w:r>
    </w:p>
    <w:p w:rsidR="00000000" w:rsidDel="00000000" w:rsidP="00000000" w:rsidRDefault="00000000" w:rsidRPr="00000000" w14:paraId="0000008B">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5</w:t>
      </w:r>
      <w:r w:rsidDel="00000000" w:rsidR="00000000" w:rsidRPr="00000000">
        <w:rPr>
          <w:rFonts w:ascii="Palatino Linotype" w:cs="Palatino Linotype" w:eastAsia="Palatino Linotype" w:hAnsi="Palatino Linotype"/>
          <w:sz w:val="22"/>
          <w:szCs w:val="22"/>
          <w:rtl w:val="0"/>
        </w:rPr>
        <w:t xml:space="preserve"> Objeto (la finalidad con la que se realizó el acto jurídico)</w:t>
      </w:r>
    </w:p>
    <w:p w:rsidR="00000000" w:rsidDel="00000000" w:rsidP="00000000" w:rsidRDefault="00000000" w:rsidRPr="00000000" w14:paraId="0000008C">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6</w:t>
      </w:r>
      <w:r w:rsidDel="00000000" w:rsidR="00000000" w:rsidRPr="00000000">
        <w:rPr>
          <w:rFonts w:ascii="Palatino Linotype" w:cs="Palatino Linotype" w:eastAsia="Palatino Linotype" w:hAnsi="Palatino Linotype"/>
          <w:sz w:val="22"/>
          <w:szCs w:val="22"/>
          <w:rtl w:val="0"/>
        </w:rPr>
        <w:t xml:space="preserve"> Fundamento jurídico por el cual se llevó a cabo el acto jurídico</w:t>
      </w:r>
    </w:p>
    <w:p w:rsidR="00000000" w:rsidDel="00000000" w:rsidP="00000000" w:rsidRDefault="00000000" w:rsidRPr="00000000" w14:paraId="0000008D">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7</w:t>
      </w:r>
      <w:r w:rsidDel="00000000" w:rsidR="00000000" w:rsidRPr="00000000">
        <w:rPr>
          <w:rFonts w:ascii="Palatino Linotype" w:cs="Palatino Linotype" w:eastAsia="Palatino Linotype" w:hAnsi="Palatino Linotype"/>
          <w:sz w:val="22"/>
          <w:szCs w:val="22"/>
          <w:rtl w:val="0"/>
        </w:rPr>
        <w:t xml:space="preserve"> Unidad(es) o área(s) responsable(s) de instrumentación</w:t>
      </w:r>
    </w:p>
    <w:p w:rsidR="00000000" w:rsidDel="00000000" w:rsidP="00000000" w:rsidRDefault="00000000" w:rsidRPr="00000000" w14:paraId="0000008E">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8</w:t>
      </w:r>
      <w:r w:rsidDel="00000000" w:rsidR="00000000" w:rsidRPr="00000000">
        <w:rPr>
          <w:rFonts w:ascii="Palatino Linotype" w:cs="Palatino Linotype" w:eastAsia="Palatino Linotype" w:hAnsi="Palatino Linotype"/>
          <w:sz w:val="22"/>
          <w:szCs w:val="22"/>
          <w:rtl w:val="0"/>
        </w:rPr>
        <w:t xml:space="preserve"> Sector al cual se otorgó el acto jurídico (catálogo): Público/Privado</w:t>
      </w:r>
    </w:p>
    <w:p w:rsidR="00000000" w:rsidDel="00000000" w:rsidP="00000000" w:rsidRDefault="00000000" w:rsidRPr="00000000" w14:paraId="0000008F">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9</w:t>
      </w:r>
      <w:r w:rsidDel="00000000" w:rsidR="00000000" w:rsidRPr="00000000">
        <w:rPr>
          <w:rFonts w:ascii="Palatino Linotype" w:cs="Palatino Linotype" w:eastAsia="Palatino Linotype" w:hAnsi="Palatino Linotype"/>
          <w:sz w:val="22"/>
          <w:szCs w:val="22"/>
          <w:rtl w:val="0"/>
        </w:rPr>
        <w:t xml:space="preserve"> Nombre completo (nombre[s], primer apellido y segundo apellido) o razón social del titular al cual se otorgó el acto jurídico</w:t>
      </w:r>
    </w:p>
    <w:p w:rsidR="00000000" w:rsidDel="00000000" w:rsidP="00000000" w:rsidRDefault="00000000" w:rsidRPr="00000000" w14:paraId="00000090">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10</w:t>
      </w:r>
      <w:r w:rsidDel="00000000" w:rsidR="00000000" w:rsidRPr="00000000">
        <w:rPr>
          <w:rFonts w:ascii="Palatino Linotype" w:cs="Palatino Linotype" w:eastAsia="Palatino Linotype" w:hAnsi="Palatino Linotype"/>
          <w:sz w:val="22"/>
          <w:szCs w:val="22"/>
          <w:rtl w:val="0"/>
        </w:rPr>
        <w:t xml:space="preserve"> Fecha de inicio de vigencia del acto jurídico con en el formato día/mes/año </w:t>
      </w:r>
    </w:p>
    <w:p w:rsidR="00000000" w:rsidDel="00000000" w:rsidP="00000000" w:rsidRDefault="00000000" w:rsidRPr="00000000" w14:paraId="00000091">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11</w:t>
      </w:r>
      <w:r w:rsidDel="00000000" w:rsidR="00000000" w:rsidRPr="00000000">
        <w:rPr>
          <w:rFonts w:ascii="Palatino Linotype" w:cs="Palatino Linotype" w:eastAsia="Palatino Linotype" w:hAnsi="Palatino Linotype"/>
          <w:sz w:val="22"/>
          <w:szCs w:val="22"/>
          <w:rtl w:val="0"/>
        </w:rPr>
        <w:t xml:space="preserve"> Fecha de término de vigencia del acto jurídico con en el formato día/mes/año</w:t>
      </w:r>
    </w:p>
    <w:p w:rsidR="00000000" w:rsidDel="00000000" w:rsidP="00000000" w:rsidRDefault="00000000" w:rsidRPr="00000000" w14:paraId="00000092">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12 </w:t>
      </w:r>
      <w:r w:rsidDel="00000000" w:rsidR="00000000" w:rsidRPr="00000000">
        <w:rPr>
          <w:rFonts w:ascii="Palatino Linotype" w:cs="Palatino Linotype" w:eastAsia="Palatino Linotype" w:hAnsi="Palatino Linotype"/>
          <w:sz w:val="22"/>
          <w:szCs w:val="22"/>
          <w:rtl w:val="0"/>
        </w:rPr>
        <w:t xml:space="preserve">Cláusula, punto, artículo o fracción en el que se especifican los términos y condiciones del acto jurídico</w:t>
      </w:r>
    </w:p>
    <w:p w:rsidR="00000000" w:rsidDel="00000000" w:rsidP="00000000" w:rsidRDefault="00000000" w:rsidRPr="00000000" w14:paraId="00000093">
      <w:pPr>
        <w:spacing w:after="120" w:before="120" w:line="276" w:lineRule="auto"/>
        <w:ind w:left="56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Criterio 13 Hipervínculo al contrato, convenio, permiso, licencia o concesión, donde se especifiquen los términos y condiciones, incluidos los anexos, en versión pública cuando así corresponda</w:t>
      </w:r>
    </w:p>
    <w:p w:rsidR="00000000" w:rsidDel="00000000" w:rsidP="00000000" w:rsidRDefault="00000000" w:rsidRPr="00000000" w14:paraId="00000094">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1</w:t>
      </w:r>
      <w:r w:rsidDel="00000000" w:rsidR="00000000" w:rsidRPr="00000000">
        <w:rPr>
          <w:rFonts w:ascii="Palatino Linotype" w:cs="Palatino Linotype" w:eastAsia="Palatino Linotype" w:hAnsi="Palatino Linotype"/>
          <w:sz w:val="22"/>
          <w:szCs w:val="22"/>
          <w:rtl w:val="0"/>
        </w:rPr>
        <w:t xml:space="preserve">4 Monto total o beneficio, servicio y/o recurso público aprovechado</w:t>
      </w:r>
    </w:p>
    <w:p w:rsidR="00000000" w:rsidDel="00000000" w:rsidP="00000000" w:rsidRDefault="00000000" w:rsidRPr="00000000" w14:paraId="00000095">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15</w:t>
      </w:r>
      <w:r w:rsidDel="00000000" w:rsidR="00000000" w:rsidRPr="00000000">
        <w:rPr>
          <w:rFonts w:ascii="Palatino Linotype" w:cs="Palatino Linotype" w:eastAsia="Palatino Linotype" w:hAnsi="Palatino Linotype"/>
          <w:sz w:val="22"/>
          <w:szCs w:val="22"/>
          <w:rtl w:val="0"/>
        </w:rPr>
        <w:t xml:space="preserve"> Monto entregado, bien, servicio y/o recurso público aprovechado al periodo que se informa</w:t>
      </w:r>
    </w:p>
    <w:p w:rsidR="00000000" w:rsidDel="00000000" w:rsidP="00000000" w:rsidRDefault="00000000" w:rsidRPr="00000000" w14:paraId="00000096">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97">
      <w:pPr>
        <w:spacing w:after="120" w:before="120" w:line="276" w:lineRule="auto"/>
        <w:ind w:left="284"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Criterios adjetivos de actualización</w:t>
      </w:r>
    </w:p>
    <w:p w:rsidR="00000000" w:rsidDel="00000000" w:rsidP="00000000" w:rsidRDefault="00000000" w:rsidRPr="00000000" w14:paraId="00000098">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21</w:t>
      </w:r>
      <w:r w:rsidDel="00000000" w:rsidR="00000000" w:rsidRPr="00000000">
        <w:rPr>
          <w:rFonts w:ascii="Palatino Linotype" w:cs="Palatino Linotype" w:eastAsia="Palatino Linotype" w:hAnsi="Palatino Linotype"/>
          <w:sz w:val="22"/>
          <w:szCs w:val="22"/>
          <w:rtl w:val="0"/>
        </w:rPr>
        <w:t xml:space="preserve"> Periodo de actualización de la información: trimestral</w:t>
      </w:r>
    </w:p>
    <w:p w:rsidR="00000000" w:rsidDel="00000000" w:rsidP="00000000" w:rsidRDefault="00000000" w:rsidRPr="00000000" w14:paraId="00000099">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22</w:t>
      </w:r>
      <w:r w:rsidDel="00000000" w:rsidR="00000000" w:rsidRPr="00000000">
        <w:rPr>
          <w:rFonts w:ascii="Palatino Linotype" w:cs="Palatino Linotype" w:eastAsia="Palatino Linotype" w:hAnsi="Palatino Linotype"/>
          <w:sz w:val="22"/>
          <w:szCs w:val="22"/>
          <w:rtl w:val="0"/>
        </w:rPr>
        <w:t xml:space="preserve"> La información deberá estar actualizada al periodo que corresponde de acuerdo con la Tabla de actualización y conservación de la información</w:t>
      </w:r>
    </w:p>
    <w:p w:rsidR="00000000" w:rsidDel="00000000" w:rsidP="00000000" w:rsidRDefault="00000000" w:rsidRPr="00000000" w14:paraId="0000009A">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23</w:t>
      </w:r>
      <w:r w:rsidDel="00000000" w:rsidR="00000000" w:rsidRPr="00000000">
        <w:rPr>
          <w:rFonts w:ascii="Palatino Linotype" w:cs="Palatino Linotype" w:eastAsia="Palatino Linotype" w:hAnsi="Palatino Linotype"/>
          <w:sz w:val="22"/>
          <w:szCs w:val="22"/>
          <w:rtl w:val="0"/>
        </w:rPr>
        <w:t xml:space="preserve"> Conservar en el sitio de Internet y a través de la Plataforma Nacional la información vigente de acuerdo con la Tabla de actualización y conservación de la información</w:t>
      </w:r>
    </w:p>
    <w:p w:rsidR="00000000" w:rsidDel="00000000" w:rsidP="00000000" w:rsidRDefault="00000000" w:rsidRPr="00000000" w14:paraId="0000009B">
      <w:pPr>
        <w:spacing w:after="120" w:before="120" w:line="276" w:lineRule="auto"/>
        <w:ind w:left="56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Criterios adjetivos de confiabilidad</w:t>
      </w:r>
    </w:p>
    <w:p w:rsidR="00000000" w:rsidDel="00000000" w:rsidP="00000000" w:rsidRDefault="00000000" w:rsidRPr="00000000" w14:paraId="0000009C">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24</w:t>
      </w:r>
      <w:r w:rsidDel="00000000" w:rsidR="00000000" w:rsidRPr="00000000">
        <w:rPr>
          <w:rFonts w:ascii="Palatino Linotype" w:cs="Palatino Linotype" w:eastAsia="Palatino Linotype" w:hAnsi="Palatino Linotype"/>
          <w:sz w:val="22"/>
          <w:szCs w:val="22"/>
          <w:rtl w:val="0"/>
        </w:rPr>
        <w:t xml:space="preserve"> Área(s) responsable(s) que genera(n), posee(n), publica(n) y/o actualiza(n) la información</w:t>
      </w:r>
    </w:p>
    <w:p w:rsidR="00000000" w:rsidDel="00000000" w:rsidP="00000000" w:rsidRDefault="00000000" w:rsidRPr="00000000" w14:paraId="0000009D">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25</w:t>
      </w:r>
      <w:r w:rsidDel="00000000" w:rsidR="00000000" w:rsidRPr="00000000">
        <w:rPr>
          <w:rFonts w:ascii="Palatino Linotype" w:cs="Palatino Linotype" w:eastAsia="Palatino Linotype" w:hAnsi="Palatino Linotype"/>
          <w:sz w:val="22"/>
          <w:szCs w:val="22"/>
          <w:rtl w:val="0"/>
        </w:rPr>
        <w:t xml:space="preserve"> Fecha de actualización de la información publicada con el formato día/mes/año</w:t>
      </w:r>
    </w:p>
    <w:p w:rsidR="00000000" w:rsidDel="00000000" w:rsidP="00000000" w:rsidRDefault="00000000" w:rsidRPr="00000000" w14:paraId="0000009E">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26</w:t>
      </w:r>
      <w:r w:rsidDel="00000000" w:rsidR="00000000" w:rsidRPr="00000000">
        <w:rPr>
          <w:rFonts w:ascii="Palatino Linotype" w:cs="Palatino Linotype" w:eastAsia="Palatino Linotype" w:hAnsi="Palatino Linotype"/>
          <w:sz w:val="22"/>
          <w:szCs w:val="22"/>
          <w:rtl w:val="0"/>
        </w:rPr>
        <w:t xml:space="preserve"> Fecha de validación de la información publicada con el formato día/mes/año</w:t>
      </w:r>
    </w:p>
    <w:p w:rsidR="00000000" w:rsidDel="00000000" w:rsidP="00000000" w:rsidRDefault="00000000" w:rsidRPr="00000000" w14:paraId="0000009F">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27</w:t>
      </w:r>
      <w:r w:rsidDel="00000000" w:rsidR="00000000" w:rsidRPr="00000000">
        <w:rPr>
          <w:rFonts w:ascii="Palatino Linotype" w:cs="Palatino Linotype" w:eastAsia="Palatino Linotype" w:hAnsi="Palatino Linotype"/>
          <w:sz w:val="22"/>
          <w:szCs w:val="22"/>
          <w:rtl w:val="0"/>
        </w:rPr>
        <w:t xml:space="preserve"> Nota. Este criterio se cumple en caso de que sea necesario que el sujeto obligado incluya alguna aclaración relativa a la información publicada y/o explicación por la falta de información </w:t>
      </w:r>
    </w:p>
    <w:p w:rsidR="00000000" w:rsidDel="00000000" w:rsidP="00000000" w:rsidRDefault="00000000" w:rsidRPr="00000000" w14:paraId="000000A0">
      <w:pPr>
        <w:spacing w:after="120" w:before="120" w:line="276" w:lineRule="auto"/>
        <w:ind w:left="284"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Criterios adjetivos de formato</w:t>
      </w:r>
    </w:p>
    <w:p w:rsidR="00000000" w:rsidDel="00000000" w:rsidP="00000000" w:rsidRDefault="00000000" w:rsidRPr="00000000" w14:paraId="000000A1">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28</w:t>
      </w:r>
      <w:r w:rsidDel="00000000" w:rsidR="00000000" w:rsidRPr="00000000">
        <w:rPr>
          <w:rFonts w:ascii="Palatino Linotype" w:cs="Palatino Linotype" w:eastAsia="Palatino Linotype" w:hAnsi="Palatino Linotype"/>
          <w:sz w:val="22"/>
          <w:szCs w:val="22"/>
          <w:rtl w:val="0"/>
        </w:rPr>
        <w:t xml:space="preserve"> La información publicada se organiza mediante el </w:t>
      </w:r>
      <w:r w:rsidDel="00000000" w:rsidR="00000000" w:rsidRPr="00000000">
        <w:rPr>
          <w:rFonts w:ascii="Palatino Linotype" w:cs="Palatino Linotype" w:eastAsia="Palatino Linotype" w:hAnsi="Palatino Linotype"/>
          <w:b w:val="1"/>
          <w:sz w:val="22"/>
          <w:szCs w:val="22"/>
          <w:rtl w:val="0"/>
        </w:rPr>
        <w:t xml:space="preserve">formato 27</w:t>
      </w:r>
      <w:r w:rsidDel="00000000" w:rsidR="00000000" w:rsidRPr="00000000">
        <w:rPr>
          <w:rFonts w:ascii="Palatino Linotype" w:cs="Palatino Linotype" w:eastAsia="Palatino Linotype" w:hAnsi="Palatino Linotype"/>
          <w:sz w:val="22"/>
          <w:szCs w:val="22"/>
          <w:rtl w:val="0"/>
        </w:rPr>
        <w:t xml:space="preserve">, en el que se incluyen todos los campos especificados en los criterios sustantivos de contenido</w:t>
      </w:r>
    </w:p>
    <w:p w:rsidR="00000000" w:rsidDel="00000000" w:rsidP="00000000" w:rsidRDefault="00000000" w:rsidRPr="00000000" w14:paraId="000000A2">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29</w:t>
      </w:r>
      <w:r w:rsidDel="00000000" w:rsidR="00000000" w:rsidRPr="00000000">
        <w:rPr>
          <w:rFonts w:ascii="Palatino Linotype" w:cs="Palatino Linotype" w:eastAsia="Palatino Linotype" w:hAnsi="Palatino Linotype"/>
          <w:sz w:val="22"/>
          <w:szCs w:val="22"/>
          <w:rtl w:val="0"/>
        </w:rPr>
        <w:t xml:space="preserve"> El soporte de la información permite su reutilización</w:t>
      </w:r>
    </w:p>
    <w:p w:rsidR="00000000" w:rsidDel="00000000" w:rsidP="00000000" w:rsidRDefault="00000000" w:rsidRPr="00000000" w14:paraId="000000A3">
      <w:pPr>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Artículo 94, fracción I, inciso f):</w:t>
      </w:r>
    </w:p>
    <w:p w:rsidR="00000000" w:rsidDel="00000000" w:rsidP="00000000" w:rsidRDefault="00000000" w:rsidRPr="00000000" w14:paraId="000000A4">
      <w:pPr>
        <w:spacing w:after="120" w:before="120" w:line="276" w:lineRule="auto"/>
        <w:ind w:left="284"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Criterios sustantivos de contenido</w:t>
      </w:r>
    </w:p>
    <w:p w:rsidR="00000000" w:rsidDel="00000000" w:rsidP="00000000" w:rsidRDefault="00000000" w:rsidRPr="00000000" w14:paraId="000000A5">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1</w:t>
      </w:r>
      <w:r w:rsidDel="00000000" w:rsidR="00000000" w:rsidRPr="00000000">
        <w:rPr>
          <w:rFonts w:ascii="Palatino Linotype" w:cs="Palatino Linotype" w:eastAsia="Palatino Linotype" w:hAnsi="Palatino Linotype"/>
          <w:sz w:val="22"/>
          <w:szCs w:val="22"/>
          <w:rtl w:val="0"/>
        </w:rPr>
        <w:t xml:space="preserve"> Ejercicio</w:t>
      </w:r>
    </w:p>
    <w:p w:rsidR="00000000" w:rsidDel="00000000" w:rsidP="00000000" w:rsidRDefault="00000000" w:rsidRPr="00000000" w14:paraId="000000A6">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2</w:t>
      </w:r>
      <w:r w:rsidDel="00000000" w:rsidR="00000000" w:rsidRPr="00000000">
        <w:rPr>
          <w:rFonts w:ascii="Palatino Linotype" w:cs="Palatino Linotype" w:eastAsia="Palatino Linotype" w:hAnsi="Palatino Linotype"/>
          <w:sz w:val="22"/>
          <w:szCs w:val="22"/>
          <w:rtl w:val="0"/>
        </w:rPr>
        <w:t xml:space="preserve"> Periodo que se informa (fecha de inicio y fecha de término con el formato día/mes/año)</w:t>
      </w:r>
    </w:p>
    <w:p w:rsidR="00000000" w:rsidDel="00000000" w:rsidP="00000000" w:rsidRDefault="00000000" w:rsidRPr="00000000" w14:paraId="000000A7">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3</w:t>
      </w:r>
      <w:r w:rsidDel="00000000" w:rsidR="00000000" w:rsidRPr="00000000">
        <w:rPr>
          <w:rFonts w:ascii="Palatino Linotype" w:cs="Palatino Linotype" w:eastAsia="Palatino Linotype" w:hAnsi="Palatino Linotype"/>
          <w:sz w:val="22"/>
          <w:szCs w:val="22"/>
          <w:rtl w:val="0"/>
        </w:rPr>
        <w:t xml:space="preserve"> Mensaje: “La publicación y actualización de la información está a cargo de &lt;&lt;incluir la denominación del sujeto obligado&gt;&gt;”</w:t>
      </w:r>
    </w:p>
    <w:p w:rsidR="00000000" w:rsidDel="00000000" w:rsidP="00000000" w:rsidRDefault="00000000" w:rsidRPr="00000000" w14:paraId="000000A8">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4</w:t>
      </w:r>
      <w:r w:rsidDel="00000000" w:rsidR="00000000" w:rsidRPr="00000000">
        <w:rPr>
          <w:rFonts w:ascii="Palatino Linotype" w:cs="Palatino Linotype" w:eastAsia="Palatino Linotype" w:hAnsi="Palatino Linotype"/>
          <w:sz w:val="22"/>
          <w:szCs w:val="22"/>
          <w:rtl w:val="0"/>
        </w:rPr>
        <w:t xml:space="preserve"> Hipervínculo al portal de transparencia del sujeto obligado que hayan referido</w:t>
      </w:r>
    </w:p>
    <w:p w:rsidR="00000000" w:rsidDel="00000000" w:rsidP="00000000" w:rsidRDefault="00000000" w:rsidRPr="00000000" w14:paraId="000000A9">
      <w:pPr>
        <w:spacing w:after="120" w:before="120" w:line="276"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AA">
      <w:pPr>
        <w:spacing w:after="120" w:before="120" w:line="276"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 las </w:t>
      </w:r>
      <w:r w:rsidDel="00000000" w:rsidR="00000000" w:rsidRPr="00000000">
        <w:rPr>
          <w:rFonts w:ascii="Palatino Linotype" w:cs="Palatino Linotype" w:eastAsia="Palatino Linotype" w:hAnsi="Palatino Linotype"/>
          <w:b w:val="1"/>
          <w:sz w:val="22"/>
          <w:szCs w:val="22"/>
          <w:u w:val="single"/>
          <w:rtl w:val="0"/>
        </w:rPr>
        <w:t xml:space="preserve">licencias de uso de suelo</w:t>
      </w:r>
      <w:r w:rsidDel="00000000" w:rsidR="00000000" w:rsidRPr="00000000">
        <w:rPr>
          <w:rFonts w:ascii="Palatino Linotype" w:cs="Palatino Linotype" w:eastAsia="Palatino Linotype" w:hAnsi="Palatino Linotype"/>
          <w:sz w:val="22"/>
          <w:szCs w:val="22"/>
          <w:rtl w:val="0"/>
        </w:rPr>
        <w:t xml:space="preserve"> se publicarán los siguientes datos:</w:t>
      </w:r>
    </w:p>
    <w:p w:rsidR="00000000" w:rsidDel="00000000" w:rsidP="00000000" w:rsidRDefault="00000000" w:rsidRPr="00000000" w14:paraId="000000AB">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29</w:t>
      </w:r>
      <w:r w:rsidDel="00000000" w:rsidR="00000000" w:rsidRPr="00000000">
        <w:rPr>
          <w:rFonts w:ascii="Palatino Linotype" w:cs="Palatino Linotype" w:eastAsia="Palatino Linotype" w:hAnsi="Palatino Linotype"/>
          <w:sz w:val="22"/>
          <w:szCs w:val="22"/>
          <w:rtl w:val="0"/>
        </w:rPr>
        <w:t xml:space="preserve"> Ejercicio</w:t>
      </w:r>
    </w:p>
    <w:p w:rsidR="00000000" w:rsidDel="00000000" w:rsidP="00000000" w:rsidRDefault="00000000" w:rsidRPr="00000000" w14:paraId="000000AC">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30</w:t>
      </w:r>
      <w:r w:rsidDel="00000000" w:rsidR="00000000" w:rsidRPr="00000000">
        <w:rPr>
          <w:rFonts w:ascii="Palatino Linotype" w:cs="Palatino Linotype" w:eastAsia="Palatino Linotype" w:hAnsi="Palatino Linotype"/>
          <w:sz w:val="22"/>
          <w:szCs w:val="22"/>
          <w:rtl w:val="0"/>
        </w:rPr>
        <w:t xml:space="preserve"> Periodo que se informa (fecha de inicio y fecha de término con el formato día/mes/año)</w:t>
      </w:r>
    </w:p>
    <w:p w:rsidR="00000000" w:rsidDel="00000000" w:rsidP="00000000" w:rsidRDefault="00000000" w:rsidRPr="00000000" w14:paraId="000000AD">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31</w:t>
      </w:r>
      <w:r w:rsidDel="00000000" w:rsidR="00000000" w:rsidRPr="00000000">
        <w:rPr>
          <w:rFonts w:ascii="Palatino Linotype" w:cs="Palatino Linotype" w:eastAsia="Palatino Linotype" w:hAnsi="Palatino Linotype"/>
          <w:sz w:val="22"/>
          <w:szCs w:val="22"/>
          <w:rtl w:val="0"/>
        </w:rPr>
        <w:t xml:space="preserve"> Denominación de la licencia de uso de suelo</w:t>
      </w:r>
    </w:p>
    <w:p w:rsidR="00000000" w:rsidDel="00000000" w:rsidP="00000000" w:rsidRDefault="00000000" w:rsidRPr="00000000" w14:paraId="000000AE">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32</w:t>
      </w:r>
      <w:r w:rsidDel="00000000" w:rsidR="00000000" w:rsidRPr="00000000">
        <w:rPr>
          <w:rFonts w:ascii="Palatino Linotype" w:cs="Palatino Linotype" w:eastAsia="Palatino Linotype" w:hAnsi="Palatino Linotype"/>
          <w:sz w:val="22"/>
          <w:szCs w:val="22"/>
          <w:rtl w:val="0"/>
        </w:rPr>
        <w:t xml:space="preserve"> Objeto de las licencias de uso de suelo</w:t>
      </w:r>
    </w:p>
    <w:p w:rsidR="00000000" w:rsidDel="00000000" w:rsidP="00000000" w:rsidRDefault="00000000" w:rsidRPr="00000000" w14:paraId="000000AF">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33</w:t>
      </w:r>
      <w:r w:rsidDel="00000000" w:rsidR="00000000" w:rsidRPr="00000000">
        <w:rPr>
          <w:rFonts w:ascii="Palatino Linotype" w:cs="Palatino Linotype" w:eastAsia="Palatino Linotype" w:hAnsi="Palatino Linotype"/>
          <w:sz w:val="22"/>
          <w:szCs w:val="22"/>
          <w:rtl w:val="0"/>
        </w:rPr>
        <w:t xml:space="preserve"> Nombre o denominación de la persona física o moral que solicita la licencia</w:t>
      </w:r>
    </w:p>
    <w:p w:rsidR="00000000" w:rsidDel="00000000" w:rsidP="00000000" w:rsidRDefault="00000000" w:rsidRPr="00000000" w14:paraId="000000B0">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34</w:t>
      </w:r>
      <w:r w:rsidDel="00000000" w:rsidR="00000000" w:rsidRPr="00000000">
        <w:rPr>
          <w:rFonts w:ascii="Palatino Linotype" w:cs="Palatino Linotype" w:eastAsia="Palatino Linotype" w:hAnsi="Palatino Linotype"/>
          <w:sz w:val="22"/>
          <w:szCs w:val="22"/>
          <w:rtl w:val="0"/>
        </w:rPr>
        <w:t xml:space="preserve">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p w:rsidR="00000000" w:rsidDel="00000000" w:rsidP="00000000" w:rsidRDefault="00000000" w:rsidRPr="00000000" w14:paraId="000000B1">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35</w:t>
      </w:r>
      <w:r w:rsidDel="00000000" w:rsidR="00000000" w:rsidRPr="00000000">
        <w:rPr>
          <w:rFonts w:ascii="Palatino Linotype" w:cs="Palatino Linotype" w:eastAsia="Palatino Linotype" w:hAnsi="Palatino Linotype"/>
          <w:sz w:val="22"/>
          <w:szCs w:val="22"/>
          <w:rtl w:val="0"/>
        </w:rPr>
        <w:t xml:space="preserve"> Periodo de vigencia expresado en el formato día/mes/año</w:t>
      </w:r>
    </w:p>
    <w:p w:rsidR="00000000" w:rsidDel="00000000" w:rsidP="00000000" w:rsidRDefault="00000000" w:rsidRPr="00000000" w14:paraId="000000B2">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36</w:t>
      </w:r>
      <w:r w:rsidDel="00000000" w:rsidR="00000000" w:rsidRPr="00000000">
        <w:rPr>
          <w:rFonts w:ascii="Palatino Linotype" w:cs="Palatino Linotype" w:eastAsia="Palatino Linotype" w:hAnsi="Palatino Linotype"/>
          <w:sz w:val="22"/>
          <w:szCs w:val="22"/>
          <w:rtl w:val="0"/>
        </w:rPr>
        <w:t xml:space="preserve"> Fecha de inicio de la licencia, con el formato mes año</w:t>
      </w:r>
    </w:p>
    <w:p w:rsidR="00000000" w:rsidDel="00000000" w:rsidP="00000000" w:rsidRDefault="00000000" w:rsidRPr="00000000" w14:paraId="000000B3">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37</w:t>
      </w:r>
      <w:r w:rsidDel="00000000" w:rsidR="00000000" w:rsidRPr="00000000">
        <w:rPr>
          <w:rFonts w:ascii="Palatino Linotype" w:cs="Palatino Linotype" w:eastAsia="Palatino Linotype" w:hAnsi="Palatino Linotype"/>
          <w:sz w:val="22"/>
          <w:szCs w:val="22"/>
          <w:rtl w:val="0"/>
        </w:rPr>
        <w:t xml:space="preserve"> Fecha de término de la licencia, con el formato mes año</w:t>
      </w:r>
    </w:p>
    <w:p w:rsidR="00000000" w:rsidDel="00000000" w:rsidP="00000000" w:rsidRDefault="00000000" w:rsidRPr="00000000" w14:paraId="000000B4">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38</w:t>
      </w:r>
      <w:r w:rsidDel="00000000" w:rsidR="00000000" w:rsidRPr="00000000">
        <w:rPr>
          <w:rFonts w:ascii="Palatino Linotype" w:cs="Palatino Linotype" w:eastAsia="Palatino Linotype" w:hAnsi="Palatino Linotype"/>
          <w:sz w:val="22"/>
          <w:szCs w:val="22"/>
          <w:rtl w:val="0"/>
        </w:rPr>
        <w:t xml:space="preserve"> Bienes, servicios y/o recursos públicos que aprovechará el titular de la licencia o, en su caso, señalar que no hay aprovechamiento de bien alguno</w:t>
      </w:r>
    </w:p>
    <w:p w:rsidR="00000000" w:rsidDel="00000000" w:rsidP="00000000" w:rsidRDefault="00000000" w:rsidRPr="00000000" w14:paraId="000000B5">
      <w:pPr>
        <w:spacing w:after="120" w:before="120" w:line="276"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 las </w:t>
      </w:r>
      <w:r w:rsidDel="00000000" w:rsidR="00000000" w:rsidRPr="00000000">
        <w:rPr>
          <w:rFonts w:ascii="Palatino Linotype" w:cs="Palatino Linotype" w:eastAsia="Palatino Linotype" w:hAnsi="Palatino Linotype"/>
          <w:b w:val="1"/>
          <w:sz w:val="22"/>
          <w:szCs w:val="22"/>
          <w:u w:val="single"/>
          <w:rtl w:val="0"/>
        </w:rPr>
        <w:t xml:space="preserve">licencias de construcción</w:t>
      </w:r>
      <w:r w:rsidDel="00000000" w:rsidR="00000000" w:rsidRPr="00000000">
        <w:rPr>
          <w:rFonts w:ascii="Palatino Linotype" w:cs="Palatino Linotype" w:eastAsia="Palatino Linotype" w:hAnsi="Palatino Linotype"/>
          <w:sz w:val="22"/>
          <w:szCs w:val="22"/>
          <w:rtl w:val="0"/>
        </w:rPr>
        <w:t xml:space="preserve">, se incluirán los siguientes datos:</w:t>
      </w:r>
    </w:p>
    <w:p w:rsidR="00000000" w:rsidDel="00000000" w:rsidP="00000000" w:rsidRDefault="00000000" w:rsidRPr="00000000" w14:paraId="000000B6">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39</w:t>
      </w:r>
      <w:r w:rsidDel="00000000" w:rsidR="00000000" w:rsidRPr="00000000">
        <w:rPr>
          <w:rFonts w:ascii="Palatino Linotype" w:cs="Palatino Linotype" w:eastAsia="Palatino Linotype" w:hAnsi="Palatino Linotype"/>
          <w:sz w:val="22"/>
          <w:szCs w:val="22"/>
          <w:rtl w:val="0"/>
        </w:rPr>
        <w:t xml:space="preserve"> Ejercicio</w:t>
      </w:r>
    </w:p>
    <w:p w:rsidR="00000000" w:rsidDel="00000000" w:rsidP="00000000" w:rsidRDefault="00000000" w:rsidRPr="00000000" w14:paraId="000000B7">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40</w:t>
      </w:r>
      <w:r w:rsidDel="00000000" w:rsidR="00000000" w:rsidRPr="00000000">
        <w:rPr>
          <w:rFonts w:ascii="Palatino Linotype" w:cs="Palatino Linotype" w:eastAsia="Palatino Linotype" w:hAnsi="Palatino Linotype"/>
          <w:sz w:val="22"/>
          <w:szCs w:val="22"/>
          <w:rtl w:val="0"/>
        </w:rPr>
        <w:t xml:space="preserve"> Periodo que se informa (fecha de inicio y fecha de término con el formato día/mes/año)</w:t>
      </w:r>
    </w:p>
    <w:p w:rsidR="00000000" w:rsidDel="00000000" w:rsidP="00000000" w:rsidRDefault="00000000" w:rsidRPr="00000000" w14:paraId="000000B8">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41</w:t>
      </w:r>
      <w:r w:rsidDel="00000000" w:rsidR="00000000" w:rsidRPr="00000000">
        <w:rPr>
          <w:rFonts w:ascii="Palatino Linotype" w:cs="Palatino Linotype" w:eastAsia="Palatino Linotype" w:hAnsi="Palatino Linotype"/>
          <w:sz w:val="22"/>
          <w:szCs w:val="22"/>
          <w:rtl w:val="0"/>
        </w:rPr>
        <w:t xml:space="preserve"> Denominación y/o tipo de licencia de construcción autorizada</w:t>
      </w:r>
    </w:p>
    <w:p w:rsidR="00000000" w:rsidDel="00000000" w:rsidP="00000000" w:rsidRDefault="00000000" w:rsidRPr="00000000" w14:paraId="000000B9">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42</w:t>
      </w:r>
      <w:r w:rsidDel="00000000" w:rsidR="00000000" w:rsidRPr="00000000">
        <w:rPr>
          <w:rFonts w:ascii="Palatino Linotype" w:cs="Palatino Linotype" w:eastAsia="Palatino Linotype" w:hAnsi="Palatino Linotype"/>
          <w:sz w:val="22"/>
          <w:szCs w:val="22"/>
          <w:rtl w:val="0"/>
        </w:rPr>
        <w:t xml:space="preserve"> Objeto de las licencias de construcción</w:t>
      </w:r>
    </w:p>
    <w:p w:rsidR="00000000" w:rsidDel="00000000" w:rsidP="00000000" w:rsidRDefault="00000000" w:rsidRPr="00000000" w14:paraId="000000BA">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43</w:t>
      </w:r>
      <w:r w:rsidDel="00000000" w:rsidR="00000000" w:rsidRPr="00000000">
        <w:rPr>
          <w:rFonts w:ascii="Palatino Linotype" w:cs="Palatino Linotype" w:eastAsia="Palatino Linotype" w:hAnsi="Palatino Linotype"/>
          <w:sz w:val="22"/>
          <w:szCs w:val="22"/>
          <w:rtl w:val="0"/>
        </w:rPr>
        <w:t xml:space="preserve"> Nombre o denominación de la persona física o moral que solicita la licencia </w:t>
      </w:r>
    </w:p>
    <w:p w:rsidR="00000000" w:rsidDel="00000000" w:rsidP="00000000" w:rsidRDefault="00000000" w:rsidRPr="00000000" w14:paraId="000000BB">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44</w:t>
      </w:r>
      <w:r w:rsidDel="00000000" w:rsidR="00000000" w:rsidRPr="00000000">
        <w:rPr>
          <w:rFonts w:ascii="Palatino Linotype" w:cs="Palatino Linotype" w:eastAsia="Palatino Linotype" w:hAnsi="Palatino Linotype"/>
          <w:sz w:val="22"/>
          <w:szCs w:val="22"/>
          <w:rtl w:val="0"/>
        </w:rPr>
        <w:t xml:space="preserve">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p w:rsidR="00000000" w:rsidDel="00000000" w:rsidP="00000000" w:rsidRDefault="00000000" w:rsidRPr="00000000" w14:paraId="000000BC">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45</w:t>
      </w:r>
      <w:r w:rsidDel="00000000" w:rsidR="00000000" w:rsidRPr="00000000">
        <w:rPr>
          <w:rFonts w:ascii="Palatino Linotype" w:cs="Palatino Linotype" w:eastAsia="Palatino Linotype" w:hAnsi="Palatino Linotype"/>
          <w:sz w:val="22"/>
          <w:szCs w:val="22"/>
          <w:rtl w:val="0"/>
        </w:rPr>
        <w:t xml:space="preserve"> Hipervínculo a la solicitud de licencia</w:t>
      </w:r>
    </w:p>
    <w:p w:rsidR="00000000" w:rsidDel="00000000" w:rsidP="00000000" w:rsidRDefault="00000000" w:rsidRPr="00000000" w14:paraId="000000BD">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46</w:t>
      </w:r>
      <w:r w:rsidDel="00000000" w:rsidR="00000000" w:rsidRPr="00000000">
        <w:rPr>
          <w:rFonts w:ascii="Palatino Linotype" w:cs="Palatino Linotype" w:eastAsia="Palatino Linotype" w:hAnsi="Palatino Linotype"/>
          <w:sz w:val="22"/>
          <w:szCs w:val="22"/>
          <w:rtl w:val="0"/>
        </w:rPr>
        <w:t xml:space="preserve"> Periodo de vigencia señalando inicio y término en el formato día/mes/año</w:t>
      </w:r>
    </w:p>
    <w:p w:rsidR="00000000" w:rsidDel="00000000" w:rsidP="00000000" w:rsidRDefault="00000000" w:rsidRPr="00000000" w14:paraId="000000BE">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47</w:t>
      </w:r>
      <w:r w:rsidDel="00000000" w:rsidR="00000000" w:rsidRPr="00000000">
        <w:rPr>
          <w:rFonts w:ascii="Palatino Linotype" w:cs="Palatino Linotype" w:eastAsia="Palatino Linotype" w:hAnsi="Palatino Linotype"/>
          <w:sz w:val="22"/>
          <w:szCs w:val="22"/>
          <w:rtl w:val="0"/>
        </w:rPr>
        <w:t xml:space="preserve"> Especificación de los bienes, servicios y/o recursos públicos que aprovechará el titular o, en su caso, señalar que no hay aprovechamiento de bien alguno</w:t>
      </w:r>
    </w:p>
    <w:p w:rsidR="00000000" w:rsidDel="00000000" w:rsidP="00000000" w:rsidRDefault="00000000" w:rsidRPr="00000000" w14:paraId="000000BF">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48</w:t>
      </w:r>
      <w:r w:rsidDel="00000000" w:rsidR="00000000" w:rsidRPr="00000000">
        <w:rPr>
          <w:rFonts w:ascii="Palatino Linotype" w:cs="Palatino Linotype" w:eastAsia="Palatino Linotype" w:hAnsi="Palatino Linotype"/>
          <w:sz w:val="22"/>
          <w:szCs w:val="22"/>
          <w:rtl w:val="0"/>
        </w:rPr>
        <w:t xml:space="preserve"> Hipervínculo a los documentos con los contenidos completos de la licencia</w:t>
      </w:r>
    </w:p>
    <w:p w:rsidR="00000000" w:rsidDel="00000000" w:rsidP="00000000" w:rsidRDefault="00000000" w:rsidRPr="00000000" w14:paraId="000000C0">
      <w:pPr>
        <w:spacing w:after="120" w:before="120" w:line="276" w:lineRule="auto"/>
        <w:ind w:left="284"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C1">
      <w:pPr>
        <w:spacing w:after="120" w:before="120" w:line="276" w:lineRule="auto"/>
        <w:ind w:left="284"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Criterios adjetivos de actualización</w:t>
      </w:r>
    </w:p>
    <w:p w:rsidR="00000000" w:rsidDel="00000000" w:rsidP="00000000" w:rsidRDefault="00000000" w:rsidRPr="00000000" w14:paraId="000000C2">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49</w:t>
      </w:r>
      <w:r w:rsidDel="00000000" w:rsidR="00000000" w:rsidRPr="00000000">
        <w:rPr>
          <w:rFonts w:ascii="Palatino Linotype" w:cs="Palatino Linotype" w:eastAsia="Palatino Linotype" w:hAnsi="Palatino Linotype"/>
          <w:sz w:val="22"/>
          <w:szCs w:val="22"/>
          <w:rtl w:val="0"/>
        </w:rPr>
        <w:t xml:space="preserve"> Periodo de actualización de la información: anual. En el caso del Poder Ejecutivo Federal, Estatales y de la Ciudad de México, trianual o cuatrienal. Los municipios actualizarán sus planes cada tres o cuatro años según corresponda. Respecto a los tipos de uso del suelo, licencias de uso y construcción: trimestral</w:t>
      </w:r>
    </w:p>
    <w:p w:rsidR="00000000" w:rsidDel="00000000" w:rsidP="00000000" w:rsidRDefault="00000000" w:rsidRPr="00000000" w14:paraId="000000C3">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50</w:t>
      </w:r>
      <w:r w:rsidDel="00000000" w:rsidR="00000000" w:rsidRPr="00000000">
        <w:rPr>
          <w:rFonts w:ascii="Palatino Linotype" w:cs="Palatino Linotype" w:eastAsia="Palatino Linotype" w:hAnsi="Palatino Linotype"/>
          <w:sz w:val="22"/>
          <w:szCs w:val="22"/>
          <w:rtl w:val="0"/>
        </w:rPr>
        <w:t xml:space="preserve"> La información publicada deberá estar actualizada al periodo que corresponde de acuerdo con la Tabla de actualización y conservación de la información</w:t>
      </w:r>
    </w:p>
    <w:p w:rsidR="00000000" w:rsidDel="00000000" w:rsidP="00000000" w:rsidRDefault="00000000" w:rsidRPr="00000000" w14:paraId="000000C4">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51</w:t>
      </w:r>
      <w:r w:rsidDel="00000000" w:rsidR="00000000" w:rsidRPr="00000000">
        <w:rPr>
          <w:rFonts w:ascii="Palatino Linotype" w:cs="Palatino Linotype" w:eastAsia="Palatino Linotype" w:hAnsi="Palatino Linotype"/>
          <w:sz w:val="22"/>
          <w:szCs w:val="22"/>
          <w:rtl w:val="0"/>
        </w:rPr>
        <w:t xml:space="preserve"> Conservar en el sitio de Internet y a través de la Plataforma Nacional la información de acuerdo con la Tabla de actualización y conservación de la información</w:t>
      </w:r>
    </w:p>
    <w:p w:rsidR="00000000" w:rsidDel="00000000" w:rsidP="00000000" w:rsidRDefault="00000000" w:rsidRPr="00000000" w14:paraId="000000C5">
      <w:pPr>
        <w:spacing w:after="120" w:before="120" w:line="276" w:lineRule="auto"/>
        <w:ind w:left="284"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Criterios adjetivos de confiabilidad</w:t>
      </w:r>
    </w:p>
    <w:p w:rsidR="00000000" w:rsidDel="00000000" w:rsidP="00000000" w:rsidRDefault="00000000" w:rsidRPr="00000000" w14:paraId="000000C6">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52</w:t>
      </w:r>
      <w:r w:rsidDel="00000000" w:rsidR="00000000" w:rsidRPr="00000000">
        <w:rPr>
          <w:rFonts w:ascii="Palatino Linotype" w:cs="Palatino Linotype" w:eastAsia="Palatino Linotype" w:hAnsi="Palatino Linotype"/>
          <w:sz w:val="22"/>
          <w:szCs w:val="22"/>
          <w:rtl w:val="0"/>
        </w:rPr>
        <w:t xml:space="preserve"> Área(s) responsable(s) que genera(n) posee(n), publica(n) y/o actualiza(n) la información</w:t>
      </w:r>
    </w:p>
    <w:p w:rsidR="00000000" w:rsidDel="00000000" w:rsidP="00000000" w:rsidRDefault="00000000" w:rsidRPr="00000000" w14:paraId="000000C7">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53</w:t>
      </w:r>
      <w:r w:rsidDel="00000000" w:rsidR="00000000" w:rsidRPr="00000000">
        <w:rPr>
          <w:rFonts w:ascii="Palatino Linotype" w:cs="Palatino Linotype" w:eastAsia="Palatino Linotype" w:hAnsi="Palatino Linotype"/>
          <w:sz w:val="22"/>
          <w:szCs w:val="22"/>
          <w:rtl w:val="0"/>
        </w:rPr>
        <w:t xml:space="preserve"> Fecha de actualización de la información publicada con el formato día/mes/año</w:t>
      </w:r>
    </w:p>
    <w:p w:rsidR="00000000" w:rsidDel="00000000" w:rsidP="00000000" w:rsidRDefault="00000000" w:rsidRPr="00000000" w14:paraId="000000C8">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54 </w:t>
      </w:r>
      <w:r w:rsidDel="00000000" w:rsidR="00000000" w:rsidRPr="00000000">
        <w:rPr>
          <w:rFonts w:ascii="Palatino Linotype" w:cs="Palatino Linotype" w:eastAsia="Palatino Linotype" w:hAnsi="Palatino Linotype"/>
          <w:sz w:val="22"/>
          <w:szCs w:val="22"/>
          <w:rtl w:val="0"/>
        </w:rPr>
        <w:t xml:space="preserve">Fecha de validación de la información publicada con el formato día/mes/año</w:t>
      </w:r>
    </w:p>
    <w:p w:rsidR="00000000" w:rsidDel="00000000" w:rsidP="00000000" w:rsidRDefault="00000000" w:rsidRPr="00000000" w14:paraId="000000C9">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55</w:t>
      </w:r>
      <w:r w:rsidDel="00000000" w:rsidR="00000000" w:rsidRPr="00000000">
        <w:rPr>
          <w:rFonts w:ascii="Palatino Linotype" w:cs="Palatino Linotype" w:eastAsia="Palatino Linotype" w:hAnsi="Palatino Linotype"/>
          <w:sz w:val="22"/>
          <w:szCs w:val="22"/>
          <w:rtl w:val="0"/>
        </w:rPr>
        <w:t xml:space="preserve"> Nota. Este criterio se cumple en caso de que sea necesario que el sujeto obligado incluya alguna aclaración relativa a la información publicada y/o explicación por la falta de información</w:t>
      </w:r>
    </w:p>
    <w:p w:rsidR="00000000" w:rsidDel="00000000" w:rsidP="00000000" w:rsidRDefault="00000000" w:rsidRPr="00000000" w14:paraId="000000CA">
      <w:pPr>
        <w:spacing w:after="120" w:before="120" w:line="276" w:lineRule="auto"/>
        <w:ind w:left="284"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Criterios adjetivos de formato</w:t>
      </w:r>
    </w:p>
    <w:p w:rsidR="00000000" w:rsidDel="00000000" w:rsidP="00000000" w:rsidRDefault="00000000" w:rsidRPr="00000000" w14:paraId="000000CB">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56</w:t>
      </w:r>
      <w:r w:rsidDel="00000000" w:rsidR="00000000" w:rsidRPr="00000000">
        <w:rPr>
          <w:rFonts w:ascii="Palatino Linotype" w:cs="Palatino Linotype" w:eastAsia="Palatino Linotype" w:hAnsi="Palatino Linotype"/>
          <w:sz w:val="22"/>
          <w:szCs w:val="22"/>
          <w:rtl w:val="0"/>
        </w:rPr>
        <w:t xml:space="preserve"> La información publicada se organiza mediante el </w:t>
      </w:r>
      <w:r w:rsidDel="00000000" w:rsidR="00000000" w:rsidRPr="00000000">
        <w:rPr>
          <w:rFonts w:ascii="Palatino Linotype" w:cs="Palatino Linotype" w:eastAsia="Palatino Linotype" w:hAnsi="Palatino Linotype"/>
          <w:b w:val="1"/>
          <w:sz w:val="22"/>
          <w:szCs w:val="22"/>
          <w:u w:val="single"/>
          <w:rtl w:val="0"/>
        </w:rPr>
        <w:t xml:space="preserve">formato</w:t>
      </w:r>
      <w:r w:rsidDel="00000000" w:rsidR="00000000" w:rsidRPr="00000000">
        <w:rPr>
          <w:rFonts w:ascii="Palatino Linotype" w:cs="Palatino Linotype" w:eastAsia="Palatino Linotype" w:hAnsi="Palatino Linotype"/>
          <w:sz w:val="22"/>
          <w:szCs w:val="22"/>
          <w:rtl w:val="0"/>
        </w:rPr>
        <w:t xml:space="preserve"> 1f, 2f 3f, 4f, 5f, </w:t>
      </w:r>
      <w:r w:rsidDel="00000000" w:rsidR="00000000" w:rsidRPr="00000000">
        <w:rPr>
          <w:rFonts w:ascii="Palatino Linotype" w:cs="Palatino Linotype" w:eastAsia="Palatino Linotype" w:hAnsi="Palatino Linotype"/>
          <w:b w:val="1"/>
          <w:sz w:val="22"/>
          <w:szCs w:val="22"/>
          <w:u w:val="single"/>
          <w:rtl w:val="0"/>
        </w:rPr>
        <w:t xml:space="preserve">6f y 7f</w:t>
      </w:r>
      <w:r w:rsidDel="00000000" w:rsidR="00000000" w:rsidRPr="00000000">
        <w:rPr>
          <w:rFonts w:ascii="Palatino Linotype" w:cs="Palatino Linotype" w:eastAsia="Palatino Linotype" w:hAnsi="Palatino Linotype"/>
          <w:sz w:val="22"/>
          <w:szCs w:val="22"/>
          <w:rtl w:val="0"/>
        </w:rPr>
        <w:t xml:space="preserve"> en los que se incluyen todos los campos especificados en los criterios sustantivos de contenido</w:t>
      </w:r>
    </w:p>
    <w:p w:rsidR="00000000" w:rsidDel="00000000" w:rsidP="00000000" w:rsidRDefault="00000000" w:rsidRPr="00000000" w14:paraId="000000CC">
      <w:pPr>
        <w:spacing w:after="120" w:before="120" w:line="276"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Criterio 57</w:t>
      </w:r>
      <w:r w:rsidDel="00000000" w:rsidR="00000000" w:rsidRPr="00000000">
        <w:rPr>
          <w:rFonts w:ascii="Palatino Linotype" w:cs="Palatino Linotype" w:eastAsia="Palatino Linotype" w:hAnsi="Palatino Linotype"/>
          <w:sz w:val="22"/>
          <w:szCs w:val="22"/>
          <w:rtl w:val="0"/>
        </w:rPr>
        <w:t xml:space="preserve"> El soporte de la información permite su reutilización</w:t>
      </w:r>
    </w:p>
    <w:p w:rsidR="00000000" w:rsidDel="00000000" w:rsidP="00000000" w:rsidRDefault="00000000" w:rsidRPr="00000000" w14:paraId="000000C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los Lineamientos establecen los siguientes formatos para la publicación de la información, en cumplimiento a las obligaciones previstas en los artículos 92, fracción XXXII, y 94, fracción I, inciso f) de la Ley de Transparencia y Acceso a la Información Pública del Estado de México y Municipios:</w:t>
      </w:r>
    </w:p>
    <w:p w:rsidR="00000000" w:rsidDel="00000000" w:rsidP="00000000" w:rsidRDefault="00000000" w:rsidRPr="00000000" w14:paraId="000000C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225" cy="1476375"/>
            <wp:effectExtent b="0" l="0" r="0" t="0"/>
            <wp:docPr id="1132223906" name="image15.png"/>
            <a:graphic>
              <a:graphicData uri="http://schemas.openxmlformats.org/drawingml/2006/picture">
                <pic:pic>
                  <pic:nvPicPr>
                    <pic:cNvPr id="0" name="image15.png"/>
                    <pic:cNvPicPr preferRelativeResize="0"/>
                  </pic:nvPicPr>
                  <pic:blipFill>
                    <a:blip r:embed="rId15"/>
                    <a:srcRect b="78763" l="0" r="0" t="403"/>
                    <a:stretch>
                      <a:fillRect/>
                    </a:stretch>
                  </pic:blipFill>
                  <pic:spPr>
                    <a:xfrm>
                      <a:off x="0" y="0"/>
                      <a:ext cx="5610225" cy="1476375"/>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5610225" cy="1990725"/>
            <wp:effectExtent b="0" l="0" r="0" t="0"/>
            <wp:docPr id="1132223905" name="image15.png"/>
            <a:graphic>
              <a:graphicData uri="http://schemas.openxmlformats.org/drawingml/2006/picture">
                <pic:pic>
                  <pic:nvPicPr>
                    <pic:cNvPr id="0" name="image15.png"/>
                    <pic:cNvPicPr preferRelativeResize="0"/>
                  </pic:nvPicPr>
                  <pic:blipFill>
                    <a:blip r:embed="rId15"/>
                    <a:srcRect b="0" l="0" r="0" t="71909"/>
                    <a:stretch>
                      <a:fillRect/>
                    </a:stretch>
                  </pic:blipFill>
                  <pic:spPr>
                    <a:xfrm>
                      <a:off x="0" y="0"/>
                      <a:ext cx="5610225" cy="1990725"/>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00700" cy="1975449"/>
            <wp:effectExtent b="0" l="0" r="0" t="0"/>
            <wp:docPr id="1132223909" name="image12.png"/>
            <a:graphic>
              <a:graphicData uri="http://schemas.openxmlformats.org/drawingml/2006/picture">
                <pic:pic>
                  <pic:nvPicPr>
                    <pic:cNvPr id="0" name="image12.png"/>
                    <pic:cNvPicPr preferRelativeResize="0"/>
                  </pic:nvPicPr>
                  <pic:blipFill>
                    <a:blip r:embed="rId16"/>
                    <a:srcRect b="45848" l="0" r="0" t="0"/>
                    <a:stretch>
                      <a:fillRect/>
                    </a:stretch>
                  </pic:blipFill>
                  <pic:spPr>
                    <a:xfrm>
                      <a:off x="0" y="0"/>
                      <a:ext cx="5600700" cy="1975449"/>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00700" cy="1517889"/>
            <wp:effectExtent b="0" l="0" r="0" t="0"/>
            <wp:docPr id="1132223908" name="image12.png"/>
            <a:graphic>
              <a:graphicData uri="http://schemas.openxmlformats.org/drawingml/2006/picture">
                <pic:pic>
                  <pic:nvPicPr>
                    <pic:cNvPr id="0" name="image12.png"/>
                    <pic:cNvPicPr preferRelativeResize="0"/>
                  </pic:nvPicPr>
                  <pic:blipFill>
                    <a:blip r:embed="rId16"/>
                    <a:srcRect b="261" l="0" r="0" t="58131"/>
                    <a:stretch>
                      <a:fillRect/>
                    </a:stretch>
                  </pic:blipFill>
                  <pic:spPr>
                    <a:xfrm>
                      <a:off x="0" y="0"/>
                      <a:ext cx="5600700" cy="1517889"/>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225" cy="409575"/>
            <wp:effectExtent b="0" l="0" r="0" t="0"/>
            <wp:docPr id="1132223912"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610225" cy="409575"/>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5600700" cy="3524250"/>
            <wp:effectExtent b="0" l="0" r="0" t="0"/>
            <wp:docPr id="1132223910"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600700" cy="352425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la información que corresponde con las obligaciones de transparencia multicitadas, se relaciona con la información que es materia de la solicitud de información, tan es así que en la sustanciación del recurso de revisión,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través de</w:t>
      </w:r>
      <w:r w:rsidDel="00000000" w:rsidR="00000000" w:rsidRPr="00000000">
        <w:rPr>
          <w:rFonts w:ascii="Palatino Linotype" w:cs="Palatino Linotype" w:eastAsia="Palatino Linotype" w:hAnsi="Palatino Linotype"/>
          <w:b w:val="1"/>
          <w:rtl w:val="0"/>
        </w:rPr>
        <w:t xml:space="preserve">l </w:t>
      </w:r>
      <w:r w:rsidDel="00000000" w:rsidR="00000000" w:rsidRPr="00000000">
        <w:rPr>
          <w:rFonts w:ascii="Palatino Linotype" w:cs="Palatino Linotype" w:eastAsia="Palatino Linotype" w:hAnsi="Palatino Linotype"/>
          <w:rtl w:val="0"/>
        </w:rPr>
        <w:t xml:space="preserve">Director General de Ordenamiento Territorial y Desarrollo Urbano indicó que podía realizarse la consulta en la página de internet: </w:t>
      </w:r>
      <w:hyperlink r:id="rId19">
        <w:r w:rsidDel="00000000" w:rsidR="00000000" w:rsidRPr="00000000">
          <w:rPr>
            <w:rFonts w:ascii="Palatino Linotype" w:cs="Palatino Linotype" w:eastAsia="Palatino Linotype" w:hAnsi="Palatino Linotype"/>
            <w:color w:val="000000"/>
            <w:u w:val="single"/>
            <w:rtl w:val="0"/>
          </w:rPr>
          <w:t xml:space="preserve">https://atizapan.gob.mx/</w:t>
        </w:r>
      </w:hyperlink>
      <w:r w:rsidDel="00000000" w:rsidR="00000000" w:rsidRPr="00000000">
        <w:rPr>
          <w:rFonts w:ascii="Palatino Linotype" w:cs="Palatino Linotype" w:eastAsia="Palatino Linotype" w:hAnsi="Palatino Linotype"/>
          <w:rtl w:val="0"/>
        </w:rPr>
        <w:t xml:space="preserve">, en el apartado de transparencia, ubicar el apartado IPOMEX, y posicionarse en el artículo 94, fracción I, que corresponde al numeral F6 Licencias de Uso del Suelo y fracción F7 Licencias de Construcción.</w:t>
      </w:r>
    </w:p>
    <w:p w:rsidR="00000000" w:rsidDel="00000000" w:rsidP="00000000" w:rsidRDefault="00000000" w:rsidRPr="00000000" w14:paraId="000000D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tomando en consideración dicho pronunciamiento, este Organismo Garante procedió a realizar la consulta, con la finalidad de determinar si dicha orientación cumplía con las formalidades que contempla el artículo 161</w:t>
      </w:r>
      <w:r w:rsidDel="00000000" w:rsidR="00000000" w:rsidRPr="00000000">
        <w:rPr>
          <w:rFonts w:ascii="Palatino Linotype" w:cs="Palatino Linotype" w:eastAsia="Palatino Linotype" w:hAnsi="Palatino Linotype"/>
          <w:vertAlign w:val="superscript"/>
        </w:rPr>
        <w:footnoteReference w:customMarkFollows="0" w:id="4"/>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000000" w:rsidDel="00000000" w:rsidP="00000000" w:rsidRDefault="00000000" w:rsidRPr="00000000" w14:paraId="000000D4">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La fuente</w:t>
      </w:r>
    </w:p>
    <w:p w:rsidR="00000000" w:rsidDel="00000000" w:rsidP="00000000" w:rsidRDefault="00000000" w:rsidRPr="00000000" w14:paraId="000000D5">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El lugar y</w:t>
      </w:r>
    </w:p>
    <w:p w:rsidR="00000000" w:rsidDel="00000000" w:rsidP="00000000" w:rsidRDefault="00000000" w:rsidRPr="00000000" w14:paraId="000000D6">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La forma</w:t>
      </w:r>
    </w:p>
    <w:p w:rsidR="00000000" w:rsidDel="00000000" w:rsidP="00000000" w:rsidRDefault="00000000" w:rsidRPr="00000000" w14:paraId="000000D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 establece que la fuente de la información deberá ser:</w:t>
      </w:r>
    </w:p>
    <w:p w:rsidR="00000000" w:rsidDel="00000000" w:rsidP="00000000" w:rsidRDefault="00000000" w:rsidRPr="00000000" w14:paraId="000000D8">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Precisa</w:t>
      </w:r>
    </w:p>
    <w:p w:rsidR="00000000" w:rsidDel="00000000" w:rsidP="00000000" w:rsidRDefault="00000000" w:rsidRPr="00000000" w14:paraId="000000D9">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Concreta</w:t>
      </w:r>
    </w:p>
    <w:p w:rsidR="00000000" w:rsidDel="00000000" w:rsidP="00000000" w:rsidRDefault="00000000" w:rsidRPr="00000000" w14:paraId="000000DA">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Y no debe implicar que el solicitante realice una búsqueda en toda la información que se encuentre disponible.</w:t>
      </w:r>
    </w:p>
    <w:p w:rsidR="00000000" w:rsidDel="00000000" w:rsidP="00000000" w:rsidRDefault="00000000" w:rsidRPr="00000000" w14:paraId="000000D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Imperativos legales que establecen el procedimiento que deben seguir los Sujetos Obligados para que pueda tomarse como válida su orientación sobre la forma en que puede consultar la información requerida.</w:t>
      </w:r>
    </w:p>
    <w:p w:rsidR="00000000" w:rsidDel="00000000" w:rsidP="00000000" w:rsidRDefault="00000000" w:rsidRPr="00000000" w14:paraId="000000D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derivado de la consulta, una vez ubicados en la página oficial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haber localizado el hipervínculo “Transparencia”, posteriormente “IPOMEX”, y posicionados en el portal de Información Pública de Oficio Mexiquense, IPOMEX, del Sujeto Obligado, se localizaron los incisos F6 y F7 del artículo 94, referidos por el servidor público habilitado, como se observa a continuación:</w:t>
      </w:r>
    </w:p>
    <w:p w:rsidR="00000000" w:rsidDel="00000000" w:rsidP="00000000" w:rsidRDefault="00000000" w:rsidRPr="00000000" w14:paraId="000000DD">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500000" cy="3088525"/>
            <wp:effectExtent b="0" l="0" r="0" t="0"/>
            <wp:docPr id="1132223911" name="image4.png"/>
            <a:graphic>
              <a:graphicData uri="http://schemas.openxmlformats.org/drawingml/2006/picture">
                <pic:pic>
                  <pic:nvPicPr>
                    <pic:cNvPr id="0" name="image4.png"/>
                    <pic:cNvPicPr preferRelativeResize="0"/>
                  </pic:nvPicPr>
                  <pic:blipFill>
                    <a:blip r:embed="rId20"/>
                    <a:srcRect b="16129" l="0" r="0" t="0"/>
                    <a:stretch>
                      <a:fillRect/>
                    </a:stretch>
                  </pic:blipFill>
                  <pic:spPr>
                    <a:xfrm>
                      <a:off x="0" y="0"/>
                      <a:ext cx="4500000" cy="30885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2476500</wp:posOffset>
                </wp:positionV>
                <wp:extent cx="2124075" cy="381000"/>
                <wp:effectExtent b="0" l="0" r="0" t="0"/>
                <wp:wrapNone/>
                <wp:docPr id="1132223897" name=""/>
                <a:graphic>
                  <a:graphicData uri="http://schemas.microsoft.com/office/word/2010/wordprocessingShape">
                    <wps:wsp>
                      <wps:cNvSpPr/>
                      <wps:cNvPr id="4" name="Shape 4"/>
                      <wps:spPr>
                        <a:xfrm>
                          <a:off x="4303013" y="3608550"/>
                          <a:ext cx="2085975" cy="342900"/>
                        </a:xfrm>
                        <a:prstGeom prst="rect">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2476500</wp:posOffset>
                </wp:positionV>
                <wp:extent cx="2124075" cy="381000"/>
                <wp:effectExtent b="0" l="0" r="0" t="0"/>
                <wp:wrapNone/>
                <wp:docPr id="1132223897" name="image21.png"/>
                <a:graphic>
                  <a:graphicData uri="http://schemas.openxmlformats.org/drawingml/2006/picture">
                    <pic:pic>
                      <pic:nvPicPr>
                        <pic:cNvPr id="0" name="image21.png"/>
                        <pic:cNvPicPr preferRelativeResize="0"/>
                      </pic:nvPicPr>
                      <pic:blipFill>
                        <a:blip r:embed="rId21"/>
                        <a:srcRect/>
                        <a:stretch>
                          <a:fillRect/>
                        </a:stretch>
                      </pic:blipFill>
                      <pic:spPr>
                        <a:xfrm>
                          <a:off x="0" y="0"/>
                          <a:ext cx="2124075" cy="381000"/>
                        </a:xfrm>
                        <a:prstGeom prst="rect"/>
                        <a:ln/>
                      </pic:spPr>
                    </pic:pic>
                  </a:graphicData>
                </a:graphic>
              </wp:anchor>
            </w:drawing>
          </mc:Fallback>
        </mc:AlternateContent>
      </w:r>
    </w:p>
    <w:p w:rsidR="00000000" w:rsidDel="00000000" w:rsidP="00000000" w:rsidRDefault="00000000" w:rsidRPr="00000000" w14:paraId="000000D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Posteriormente, se procedió a consultar la información contenida en cada uno de los incisos, observando lo siguiente:</w:t>
      </w:r>
    </w:p>
    <w:tbl>
      <w:tblPr>
        <w:tblStyle w:val="Table1"/>
        <w:tblW w:w="882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0D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2628000" cy="2082676"/>
                  <wp:effectExtent b="0" l="0" r="0" t="0"/>
                  <wp:docPr id="1132223913"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2628000" cy="208267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1193800</wp:posOffset>
                      </wp:positionV>
                      <wp:extent cx="2003378" cy="270026"/>
                      <wp:effectExtent b="0" l="0" r="0" t="0"/>
                      <wp:wrapNone/>
                      <wp:docPr id="1132223896" name=""/>
                      <a:graphic>
                        <a:graphicData uri="http://schemas.microsoft.com/office/word/2010/wordprocessingShape">
                          <wps:wsp>
                            <wps:cNvSpPr/>
                            <wps:cNvPr id="3" name="Shape 3"/>
                            <wps:spPr>
                              <a:xfrm>
                                <a:off x="4363361" y="3664037"/>
                                <a:ext cx="1965278" cy="231926"/>
                              </a:xfrm>
                              <a:prstGeom prst="rect">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1193800</wp:posOffset>
                      </wp:positionV>
                      <wp:extent cx="2003378" cy="270026"/>
                      <wp:effectExtent b="0" l="0" r="0" t="0"/>
                      <wp:wrapNone/>
                      <wp:docPr id="1132223896" name="image20.png"/>
                      <a:graphic>
                        <a:graphicData uri="http://schemas.openxmlformats.org/drawingml/2006/picture">
                          <pic:pic>
                            <pic:nvPicPr>
                              <pic:cNvPr id="0" name="image20.png"/>
                              <pic:cNvPicPr preferRelativeResize="0"/>
                            </pic:nvPicPr>
                            <pic:blipFill>
                              <a:blip r:embed="rId23"/>
                              <a:srcRect/>
                              <a:stretch>
                                <a:fillRect/>
                              </a:stretch>
                            </pic:blipFill>
                            <pic:spPr>
                              <a:xfrm>
                                <a:off x="0" y="0"/>
                                <a:ext cx="2003378" cy="270026"/>
                              </a:xfrm>
                              <a:prstGeom prst="rect"/>
                              <a:ln/>
                            </pic:spPr>
                          </pic:pic>
                        </a:graphicData>
                      </a:graphic>
                    </wp:anchor>
                  </w:drawing>
                </mc:Fallback>
              </mc:AlternateContent>
            </w:r>
          </w:p>
        </w:tc>
        <w:tc>
          <w:tcPr/>
          <w:p w:rsidR="00000000" w:rsidDel="00000000" w:rsidP="00000000" w:rsidRDefault="00000000" w:rsidRPr="00000000" w14:paraId="000000E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2628000" cy="1938503"/>
                  <wp:effectExtent b="0" l="0" r="0" t="0"/>
                  <wp:docPr id="1132223914"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2628000" cy="193850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1168400</wp:posOffset>
                      </wp:positionV>
                      <wp:extent cx="2003378" cy="270026"/>
                      <wp:effectExtent b="0" l="0" r="0" t="0"/>
                      <wp:wrapNone/>
                      <wp:docPr id="1132223895" name=""/>
                      <a:graphic>
                        <a:graphicData uri="http://schemas.microsoft.com/office/word/2010/wordprocessingShape">
                          <wps:wsp>
                            <wps:cNvSpPr/>
                            <wps:cNvPr id="2" name="Shape 2"/>
                            <wps:spPr>
                              <a:xfrm>
                                <a:off x="4363361" y="3664037"/>
                                <a:ext cx="1965278" cy="231926"/>
                              </a:xfrm>
                              <a:prstGeom prst="rect">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1168400</wp:posOffset>
                      </wp:positionV>
                      <wp:extent cx="2003378" cy="270026"/>
                      <wp:effectExtent b="0" l="0" r="0" t="0"/>
                      <wp:wrapNone/>
                      <wp:docPr id="1132223895" name="image19.png"/>
                      <a:graphic>
                        <a:graphicData uri="http://schemas.openxmlformats.org/drawingml/2006/picture">
                          <pic:pic>
                            <pic:nvPicPr>
                              <pic:cNvPr id="0" name="image19.png"/>
                              <pic:cNvPicPr preferRelativeResize="0"/>
                            </pic:nvPicPr>
                            <pic:blipFill>
                              <a:blip r:embed="rId25"/>
                              <a:srcRect/>
                              <a:stretch>
                                <a:fillRect/>
                              </a:stretch>
                            </pic:blipFill>
                            <pic:spPr>
                              <a:xfrm>
                                <a:off x="0" y="0"/>
                                <a:ext cx="2003378" cy="270026"/>
                              </a:xfrm>
                              <a:prstGeom prst="rect"/>
                              <a:ln/>
                            </pic:spPr>
                          </pic:pic>
                        </a:graphicData>
                      </a:graphic>
                    </wp:anchor>
                  </w:drawing>
                </mc:Fallback>
              </mc:AlternateContent>
            </w:r>
          </w:p>
        </w:tc>
      </w:tr>
    </w:tbl>
    <w:p w:rsidR="00000000" w:rsidDel="00000000" w:rsidP="00000000" w:rsidRDefault="00000000" w:rsidRPr="00000000" w14:paraId="000000E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puede advertirse, por cuanto hace a las licencias de uso de suelo, los ejercicios 2021 y 2020 contienen 1307 y 838 registros respectivamente, mientras que en el caso de las licencias de construcción, los ejercicios 2021 y 2022 alojan 1244 y 309 registros, respectivamente, sin embargo, no debe perderse de vista que la solicitud de información se relaciona concretamente con proyectos u obras de la Colonia Calacoaya, por lo que es evidente que la fuente proporcionada no es concreta, al implicar que la persona solicitante realice una búsqueda en toda la información disponible.</w:t>
      </w:r>
    </w:p>
    <w:p w:rsidR="00000000" w:rsidDel="00000000" w:rsidP="00000000" w:rsidRDefault="00000000" w:rsidRPr="00000000" w14:paraId="000000E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de la consulta efectuada por este Organismo Garante, no se advirtió que los registros que corresponden con la Colonia Calacoaya, incluyan la digitalización de la licencia respectiva, como se ilustra a continuación para mayor referencia:</w:t>
      </w:r>
    </w:p>
    <w:p w:rsidR="00000000" w:rsidDel="00000000" w:rsidP="00000000" w:rsidRDefault="00000000" w:rsidRPr="00000000" w14:paraId="000000E3">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Licencias de Uso de Suelo</w:t>
      </w:r>
    </w:p>
    <w:p w:rsidR="00000000" w:rsidDel="00000000" w:rsidP="00000000" w:rsidRDefault="00000000" w:rsidRPr="00000000" w14:paraId="000000E4">
      <w:pPr>
        <w:rPr>
          <w:rFonts w:ascii="Palatino Linotype" w:cs="Palatino Linotype" w:eastAsia="Palatino Linotype" w:hAnsi="Palatino Linotype"/>
          <w:b w:val="1"/>
        </w:rPr>
      </w:pPr>
      <w:r w:rsidDel="00000000" w:rsidR="00000000" w:rsidRPr="00000000">
        <w:rPr>
          <w:rtl w:val="0"/>
        </w:rPr>
      </w:r>
    </w:p>
    <w:tbl>
      <w:tblPr>
        <w:tblStyle w:val="Table2"/>
        <w:tblW w:w="882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0E5">
            <w:pPr>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Ejercicio 2021</w:t>
            </w:r>
          </w:p>
        </w:tc>
        <w:tc>
          <w:tcPr/>
          <w:p w:rsidR="00000000" w:rsidDel="00000000" w:rsidP="00000000" w:rsidRDefault="00000000" w:rsidRPr="00000000" w14:paraId="000000E6">
            <w:pPr>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Ejercicio 2022</w:t>
            </w:r>
          </w:p>
        </w:tc>
      </w:tr>
      <w:tr>
        <w:trPr>
          <w:cantSplit w:val="0"/>
          <w:tblHeader w:val="0"/>
        </w:trPr>
        <w:tc>
          <w:tcPr/>
          <w:p w:rsidR="00000000" w:rsidDel="00000000" w:rsidP="00000000" w:rsidRDefault="00000000" w:rsidRPr="00000000" w14:paraId="000000E7">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i w:val="1"/>
              </w:rPr>
              <w:drawing>
                <wp:inline distB="0" distT="0" distL="0" distR="0">
                  <wp:extent cx="2628000" cy="2675437"/>
                  <wp:effectExtent b="0" l="0" r="0" t="0"/>
                  <wp:docPr id="1132223915"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2628000" cy="267543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8">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Pr>
              <w:drawing>
                <wp:inline distB="0" distT="0" distL="0" distR="0">
                  <wp:extent cx="2628000" cy="2699543"/>
                  <wp:effectExtent b="0" l="0" r="0" t="0"/>
                  <wp:docPr id="1132223916"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2628000" cy="269954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9">
      <w:pP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EA">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Licencias de Construcción</w:t>
      </w:r>
    </w:p>
    <w:p w:rsidR="00000000" w:rsidDel="00000000" w:rsidP="00000000" w:rsidRDefault="00000000" w:rsidRPr="00000000" w14:paraId="000000EB">
      <w:pPr>
        <w:rPr>
          <w:rFonts w:ascii="Palatino Linotype" w:cs="Palatino Linotype" w:eastAsia="Palatino Linotype" w:hAnsi="Palatino Linotype"/>
          <w:b w:val="1"/>
        </w:rPr>
      </w:pPr>
      <w:r w:rsidDel="00000000" w:rsidR="00000000" w:rsidRPr="00000000">
        <w:rPr>
          <w:rtl w:val="0"/>
        </w:rPr>
      </w:r>
    </w:p>
    <w:tbl>
      <w:tblPr>
        <w:tblStyle w:val="Table3"/>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362"/>
        <w:gridCol w:w="4476"/>
        <w:tblGridChange w:id="0">
          <w:tblGrid>
            <w:gridCol w:w="4362"/>
            <w:gridCol w:w="4476"/>
          </w:tblGrid>
        </w:tblGridChange>
      </w:tblGrid>
      <w:tr>
        <w:trPr>
          <w:cantSplit w:val="0"/>
          <w:tblHeader w:val="0"/>
        </w:trPr>
        <w:tc>
          <w:tcPr/>
          <w:p w:rsidR="00000000" w:rsidDel="00000000" w:rsidP="00000000" w:rsidRDefault="00000000" w:rsidRPr="00000000" w14:paraId="000000EC">
            <w:pPr>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Ejercicio 2021</w:t>
            </w:r>
          </w:p>
        </w:tc>
        <w:tc>
          <w:tcPr/>
          <w:p w:rsidR="00000000" w:rsidDel="00000000" w:rsidP="00000000" w:rsidRDefault="00000000" w:rsidRPr="00000000" w14:paraId="000000ED">
            <w:pPr>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Ejercicio 2022</w:t>
            </w:r>
          </w:p>
        </w:tc>
      </w:tr>
      <w:tr>
        <w:trPr>
          <w:cantSplit w:val="0"/>
          <w:tblHeader w:val="0"/>
        </w:trPr>
        <w:tc>
          <w:tcPr/>
          <w:p w:rsidR="00000000" w:rsidDel="00000000" w:rsidP="00000000" w:rsidRDefault="00000000" w:rsidRPr="00000000" w14:paraId="000000EE">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Pr>
              <w:drawing>
                <wp:inline distB="0" distT="0" distL="0" distR="0">
                  <wp:extent cx="2628000" cy="2552238"/>
                  <wp:effectExtent b="0" l="0" r="0" t="0"/>
                  <wp:docPr id="1132223917"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2628000" cy="255223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F">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Pr>
              <w:drawing>
                <wp:inline distB="0" distT="0" distL="0" distR="0">
                  <wp:extent cx="2700000" cy="2763472"/>
                  <wp:effectExtent b="0" l="0" r="0" t="0"/>
                  <wp:docPr id="1132223918"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2700000" cy="276347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0">
      <w:pPr>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el Derecho humano de acceso a la información de la persona solicitante no puede tenerse por colmado, máxime que esta, mediante su recurso de revisión </w:t>
      </w:r>
      <w:r w:rsidDel="00000000" w:rsidR="00000000" w:rsidRPr="00000000">
        <w:rPr>
          <w:rFonts w:ascii="Palatino Linotype" w:cs="Palatino Linotype" w:eastAsia="Palatino Linotype" w:hAnsi="Palatino Linotype"/>
          <w:b w:val="1"/>
          <w:rtl w:val="0"/>
        </w:rPr>
        <w:t xml:space="preserve">reiteró que la información entregada, misma que consistió en una lista de las licencias de uso de suelo y las licencias de construcción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 correspondía con la información que solicitó, que consistió en la copia de los documentos, por lo que a su parecer, no existía identidad entre lo entregado y lo requerido, </w:t>
      </w:r>
      <w:r w:rsidDel="00000000" w:rsidR="00000000" w:rsidRPr="00000000">
        <w:rPr>
          <w:rFonts w:ascii="Palatino Linotype" w:cs="Palatino Linotype" w:eastAsia="Palatino Linotype" w:hAnsi="Palatino Linotype"/>
          <w:rtl w:val="0"/>
        </w:rPr>
        <w:t xml:space="preserve">siendo evidente, por tanto, que la información contenida en el portal IPOMEX, si bien se relaciona con lo solicitado, es insuficiente para atender el requerimiento de información.</w:t>
      </w:r>
    </w:p>
    <w:p w:rsidR="00000000" w:rsidDel="00000000" w:rsidP="00000000" w:rsidRDefault="00000000" w:rsidRPr="00000000" w14:paraId="000000F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en observancia del principio de máxima publicidad, se estima que para tener por colmada la solicitud de información, es dable ordenar, la entrega, en formato electrónico sin costo para la persona solicitante, de las licencias de uso de suelo y las licencias de construcción referidas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mediante el listado remitido en respuesta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versión pública conforme al considerando siguiente.</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Finalmente, no debe pasar desapercibido que la parte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eligió que la modalidad de entrega de la información fuera en formato electrónico, es decir, vía SAIMEX, sin embargo, dentro del texto de la solicitud precisó le fueran expedidas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copias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por tanto, este Instituto considera que la entrega de la información a través del Sistema de Acceso a la Información Mexiquense (SAIMEX) puede homologarse a la modalidad elegida por la parte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Toda vez que la impresión del archivo digital que remita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cumplimiento de la resolución comparte la misma naturaleza de una copia simple, adicionalmente, la entrega de información vía SAIMEX otorga el beneficio de disponer inmediata y gratuitamente de la información solicitada; consecuentemente, se determina que en aras de privilegiar el derecho del particular y toda vez que el ejercicio de la acción fue a través del Sistema y preciso en el apartado respectivo la entrega a través del sistema referido, por lo que atendiendo a los principios de máxima publicidad y pro persona, es que se considera viable que la información se entregue a través del SAIMEX. </w:t>
      </w:r>
    </w:p>
    <w:p w:rsidR="00000000" w:rsidDel="00000000" w:rsidP="00000000" w:rsidRDefault="00000000" w:rsidRPr="00000000" w14:paraId="000000F6">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fundados, siendo procedente </w:t>
      </w:r>
      <w:r w:rsidDel="00000000" w:rsidR="00000000" w:rsidRPr="00000000">
        <w:rPr>
          <w:rFonts w:ascii="Palatino Linotype" w:cs="Palatino Linotype" w:eastAsia="Palatino Linotype" w:hAnsi="Palatino Linotype"/>
          <w:i w:val="1"/>
          <w:rtl w:val="0"/>
        </w:rPr>
        <w:t xml:space="preserve">revoca </w:t>
      </w:r>
      <w:r w:rsidDel="00000000" w:rsidR="00000000" w:rsidRPr="00000000">
        <w:rPr>
          <w:rFonts w:ascii="Palatino Linotype" w:cs="Palatino Linotype" w:eastAsia="Palatino Linotype" w:hAnsi="Palatino Linotype"/>
          <w:rtl w:val="0"/>
        </w:rPr>
        <w:t xml:space="preserve">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0F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Finalmente, debe señalarse que de ser el caso en que los documentos que vayan a ser entregados para dar cumplimiento a la presente resolución, contengan datos que deban ser clasificados,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hacer la elaboración de la versión pública de los mismos a fin de satisfacer el derecho de acceso a la información pública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sin menoscabo al derecho a la protección de los datos personales de terceros.</w:t>
      </w:r>
    </w:p>
    <w:p w:rsidR="00000000" w:rsidDel="00000000" w:rsidP="00000000" w:rsidRDefault="00000000" w:rsidRPr="00000000" w14:paraId="000000F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0F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F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0F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0F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w:t>
      </w:r>
      <w:r w:rsidDel="00000000" w:rsidR="00000000" w:rsidRPr="00000000">
        <w:rPr>
          <w:rFonts w:ascii="Palatino Linotype" w:cs="Palatino Linotype" w:eastAsia="Palatino Linotype" w:hAnsi="Palatino Linotype"/>
          <w:i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F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F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0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0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10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0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10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0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0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0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10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0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0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0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los Lineamientos Quincuagésimo sexto, Quincuagésimo séptimo y Quincuagésimo octavo, establecen lo siguiente:</w:t>
      </w:r>
    </w:p>
    <w:p w:rsidR="00000000" w:rsidDel="00000000" w:rsidP="00000000" w:rsidRDefault="00000000" w:rsidRPr="00000000" w14:paraId="0000010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sexto.</w:t>
      </w:r>
      <w:r w:rsidDel="00000000" w:rsidR="00000000" w:rsidRPr="00000000">
        <w:rPr>
          <w:rFonts w:ascii="Palatino Linotype" w:cs="Palatino Linotype" w:eastAsia="Palatino Linotype" w:hAnsi="Palatino Linotype"/>
          <w:i w:val="1"/>
          <w:sz w:val="22"/>
          <w:szCs w:val="22"/>
          <w:rtl w:val="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000000" w:rsidDel="00000000" w:rsidP="00000000" w:rsidRDefault="00000000" w:rsidRPr="00000000" w14:paraId="0000010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1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1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servidores públicos en los documentos, y sus firmas autógrafas, cuando sean utilizados en el ejercicio de las facultades conferidas para el desempeño del servicio público, y </w:t>
      </w:r>
    </w:p>
    <w:p w:rsidR="00000000" w:rsidDel="00000000" w:rsidP="00000000" w:rsidRDefault="00000000" w:rsidRPr="00000000" w14:paraId="0000011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000000" w:rsidDel="00000000" w:rsidP="00000000" w:rsidRDefault="00000000" w:rsidRPr="00000000" w14:paraId="0000011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internaciones suscritos por el Estado mexicano. </w:t>
      </w:r>
    </w:p>
    <w:p w:rsidR="00000000" w:rsidDel="00000000" w:rsidP="00000000" w:rsidRDefault="00000000" w:rsidRPr="00000000" w14:paraId="0000011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no permitan la recuperación o visualización de la misma.”</w:t>
      </w:r>
    </w:p>
    <w:p w:rsidR="00000000" w:rsidDel="00000000" w:rsidP="00000000" w:rsidRDefault="00000000" w:rsidRPr="00000000" w14:paraId="0000011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w:t>
      </w:r>
      <w:r w:rsidDel="00000000" w:rsidR="00000000" w:rsidRPr="00000000">
        <w:rPr>
          <w:rFonts w:ascii="Palatino Linotype" w:cs="Palatino Linotype" w:eastAsia="Palatino Linotype" w:hAnsi="Palatino Linotype"/>
          <w:b w:val="1"/>
          <w:rtl w:val="0"/>
        </w:rPr>
        <w:t xml:space="preserve">domicilio particular, clave catastral</w:t>
      </w:r>
      <w:r w:rsidDel="00000000" w:rsidR="00000000" w:rsidRPr="00000000">
        <w:rPr>
          <w:rFonts w:ascii="Palatino Linotype" w:cs="Palatino Linotype" w:eastAsia="Palatino Linotype" w:hAnsi="Palatino Linotype"/>
          <w:rtl w:val="0"/>
        </w:rPr>
        <w:t xml:space="preserve">, entre otros.</w:t>
      </w:r>
    </w:p>
    <w:p w:rsidR="00000000" w:rsidDel="00000000" w:rsidP="00000000" w:rsidRDefault="00000000" w:rsidRPr="00000000" w14:paraId="0000011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virtud, en lo que se refiere al </w:t>
      </w:r>
      <w:r w:rsidDel="00000000" w:rsidR="00000000" w:rsidRPr="00000000">
        <w:rPr>
          <w:rFonts w:ascii="Palatino Linotype" w:cs="Palatino Linotype" w:eastAsia="Palatino Linotype" w:hAnsi="Palatino Linotype"/>
          <w:b w:val="1"/>
          <w:rtl w:val="0"/>
        </w:rPr>
        <w:t xml:space="preserve">domicilio particular</w:t>
      </w:r>
      <w:r w:rsidDel="00000000" w:rsidR="00000000" w:rsidRPr="00000000">
        <w:rPr>
          <w:rFonts w:ascii="Palatino Linotype" w:cs="Palatino Linotype" w:eastAsia="Palatino Linotype" w:hAnsi="Palatino Linotype"/>
          <w:i w:val="1"/>
          <w:rtl w:val="0"/>
        </w:rPr>
        <w:t xml:space="preserve">, d</w:t>
      </w:r>
      <w:r w:rsidDel="00000000" w:rsidR="00000000" w:rsidRPr="00000000">
        <w:rPr>
          <w:rFonts w:ascii="Palatino Linotype" w:cs="Palatino Linotype" w:eastAsia="Palatino Linotype" w:hAnsi="Palatino Linotype"/>
          <w:rtl w:val="0"/>
        </w:rPr>
        <w:t xml:space="preserve">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w:t>
      </w:r>
    </w:p>
    <w:p w:rsidR="00000000" w:rsidDel="00000000" w:rsidP="00000000" w:rsidRDefault="00000000" w:rsidRPr="00000000" w14:paraId="000001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misma manera, lo establece el artículo 29 del Código Civil Federal, al precisar que el domicilio de personas físicas, es el lugar donde residen habitualmente, el lugar del centro principal de sus negocios, donde residan o el lugar donde se encuentren.</w:t>
      </w:r>
    </w:p>
    <w:p w:rsidR="00000000" w:rsidDel="00000000" w:rsidP="00000000" w:rsidRDefault="00000000" w:rsidRPr="00000000" w14:paraId="0000011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del domicilio y su comprobante, de conformidad con la fracción I, del artículo 143 de la Ley de Transparencia y Acceso a la Información Pública del Estado de México y Municipios.</w:t>
      </w:r>
    </w:p>
    <w:p w:rsidR="00000000" w:rsidDel="00000000" w:rsidP="00000000" w:rsidRDefault="00000000" w:rsidRPr="00000000" w14:paraId="000001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w:t>
      </w:r>
      <w:r w:rsidDel="00000000" w:rsidR="00000000" w:rsidRPr="00000000">
        <w:rPr>
          <w:rFonts w:ascii="Palatino Linotype" w:cs="Palatino Linotype" w:eastAsia="Palatino Linotype" w:hAnsi="Palatino Linotype"/>
          <w:b w:val="1"/>
          <w:rtl w:val="0"/>
        </w:rPr>
        <w:t xml:space="preserve">clave catastral</w:t>
      </w:r>
      <w:r w:rsidDel="00000000" w:rsidR="00000000" w:rsidRPr="00000000">
        <w:rPr>
          <w:rFonts w:ascii="Palatino Linotype" w:cs="Palatino Linotype" w:eastAsia="Palatino Linotype" w:hAnsi="Palatino Linotype"/>
          <w:rtl w:val="0"/>
        </w:rPr>
        <w:t xml:space="preserve">, de conformidad con el artículo 179, fracción I, del Código Financiero del Estado de México y Municipios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posiciones identifican el número de lote o predio, por lo que, se colige que hace identificable al titular del inmueble y, por ende, esta debe ser clasificada en términos de la fracción I del artículo 143 de la Ley de Transparencia y Acceso a la Información Pública del Estado de México.</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240" w:before="240" w:line="360" w:lineRule="auto"/>
        <w:ind w:left="0" w:right="34"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lo que atañe 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nombre del titular</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 los permisos, licencias o autorizaciones otorgados por las autoridades competentes, es de mencionar que de conformidad con los argumentos de derecho expuestos en líneas anteriores, en cumplimiento a las obligaciones de transparencia previstas en la normativa aplicable, los Sujetos Obligados deben publicitar, entre otros datos,  el nombre o razón social del titular al cual se otorgó el acto jurídico, no obstante, dicho criterio es aplicable únicamente en aquellos casos en los que se encuentra involucrado el aprovechamiento de bienes, servicios y/o recursos públicos, por lo que a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contrario sensu</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dicha información constituye un dato personal que debe ser clasificado como confidencial.</w:t>
      </w:r>
    </w:p>
    <w:p w:rsidR="00000000" w:rsidDel="00000000" w:rsidP="00000000" w:rsidRDefault="00000000" w:rsidRPr="00000000" w14:paraId="0000011B">
      <w:pPr>
        <w:tabs>
          <w:tab w:val="left" w:leader="none" w:pos="0"/>
          <w:tab w:val="left" w:leader="none" w:pos="426"/>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sustento a lo anterior, el Criterio Relevante 01/18 emitido por el Pleno de este Organismo Garante en la Segunda Época, que establece que el nombre del titular de una licencia, como en el caso que nos ocupa, es información confidencial, cuando no involucra aprovechamiento de recursos públicos, a saber:</w:t>
      </w:r>
    </w:p>
    <w:p w:rsidR="00000000" w:rsidDel="00000000" w:rsidP="00000000" w:rsidRDefault="00000000" w:rsidRPr="00000000" w14:paraId="0000011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“Nombre del titular de una licencia que no involucre el aprovechamiento de bienes, servicios y/o recursos públicos, constituye un dato personal susceptible de clasificar como confidencial.</w:t>
      </w:r>
      <w:r w:rsidDel="00000000" w:rsidR="00000000" w:rsidRPr="00000000">
        <w:rPr>
          <w:rFonts w:ascii="Palatino Linotype" w:cs="Palatino Linotype" w:eastAsia="Palatino Linotype" w:hAnsi="Palatino Linotype"/>
          <w:i w:val="1"/>
          <w:sz w:val="22"/>
          <w:szCs w:val="22"/>
          <w:rtl w:val="0"/>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rsidR="00000000" w:rsidDel="00000000" w:rsidP="00000000" w:rsidRDefault="00000000" w:rsidRPr="00000000" w14:paraId="0000011D">
      <w:pPr>
        <w:tabs>
          <w:tab w:val="left" w:leader="none" w:pos="0"/>
          <w:tab w:val="left" w:leader="none" w:pos="426"/>
        </w:tabs>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Criterio en cita, se argumenta que si bien el nombre de los titulares de las licencias es un dato de carácter público, en términos del artículo 92, fracción XXXII de la Ley de Transparencia y Acceso a la Información Pública del Estado de México y Municipios, dicho precepto legal debe ser interpretado de manera armónica y sistemática, pues la intromisión a los datos personales de particulares únicamente se verá justificada cuando involucre el aprovechamiento de bienes, servicios o recursos públicos; por lo que constituye un dato personal, a menos que se actualice alguno de los supuestos previamente señalados.</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34"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esa tesitura se insiste que si los proyectos u obras materia de la solicitud que motivó el presente recurso de revisión no involucra aprovechamientos o recursos públicos, no es susceptible de hacerse del conocimiento público el nombre del titular de la licencia, debiendo elaborar la versión pública correspondiente.</w:t>
      </w:r>
    </w:p>
    <w:p w:rsidR="00000000" w:rsidDel="00000000" w:rsidP="00000000" w:rsidRDefault="00000000" w:rsidRPr="00000000" w14:paraId="0000011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rsidR="00000000" w:rsidDel="00000000" w:rsidP="00000000" w:rsidRDefault="00000000" w:rsidRPr="00000000" w14:paraId="0000012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 destaca que la versión pública que elabore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2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la versión pública que elabore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debe acompañarse del</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Del="00000000" w:rsidR="00000000" w:rsidRPr="00000000">
        <w:rPr>
          <w:rFonts w:ascii="Palatino Linotype" w:cs="Palatino Linotype" w:eastAsia="Palatino Linotype" w:hAnsi="Palatino Linotype"/>
          <w:b w:val="1"/>
          <w:u w:val="single"/>
          <w:rtl w:val="0"/>
        </w:rPr>
        <w:t xml:space="preserve">razones, motivos o circunstancias especiales</w:t>
      </w:r>
      <w:r w:rsidDel="00000000" w:rsidR="00000000" w:rsidRPr="00000000">
        <w:rPr>
          <w:rFonts w:ascii="Palatino Linotype" w:cs="Palatino Linotype" w:eastAsia="Palatino Linotype" w:hAnsi="Palatino Linotype"/>
          <w:rtl w:val="0"/>
        </w:rPr>
        <w:t xml:space="preserve"> que lo llevaron a concluir que el caso concreto, se ajustó a los supuestos previstos en la normatividad legal invocada como fundamento.</w:t>
      </w:r>
    </w:p>
    <w:p w:rsidR="00000000" w:rsidDel="00000000" w:rsidP="00000000" w:rsidRDefault="00000000" w:rsidRPr="00000000" w14:paraId="0000012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el Lineamiento Quincuagésimo segundo de los Lineamientos Generales en Materia de Clasificación y Desclasificación de la Información, así como para la Elaboración de Versiones Públicas, establece lo siguiente:</w:t>
      </w:r>
    </w:p>
    <w:p w:rsidR="00000000" w:rsidDel="00000000" w:rsidP="00000000" w:rsidRDefault="00000000" w:rsidRPr="00000000" w14:paraId="00000123">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24">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especifico de la clasificación y elaboración de versiones públicas de documentos que contengan información confidencial, las áreas de los sujetos obligados deberán: </w:t>
      </w:r>
    </w:p>
    <w:p w:rsidR="00000000" w:rsidDel="00000000" w:rsidP="00000000" w:rsidRDefault="00000000" w:rsidRPr="00000000" w14:paraId="00000125">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Fijar la fecha en que se elaboró la versión pública y la fecha en la cual el Comité de Transparencia confirmó dicha versión;</w:t>
      </w:r>
    </w:p>
    <w:p w:rsidR="00000000" w:rsidDel="00000000" w:rsidP="00000000" w:rsidRDefault="00000000" w:rsidRPr="00000000" w14:paraId="00000126">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Señalar dentro del documento el tipo de información confidencial que fue testada en cada caso específico, de conformidad con el lineamiento trigésimo octavo; y</w:t>
      </w:r>
    </w:p>
    <w:p w:rsidR="00000000" w:rsidDel="00000000" w:rsidP="00000000" w:rsidRDefault="00000000" w:rsidRPr="00000000" w14:paraId="00000127">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Señalar las personas o instancias autorizadas a acceder a la información clasificada.</w:t>
      </w:r>
    </w:p>
    <w:p w:rsidR="00000000" w:rsidDel="00000000" w:rsidP="00000000" w:rsidRDefault="00000000" w:rsidRPr="00000000" w14:paraId="00000128">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29">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Deberá observar el Lineamiento Quincuagésimo tercero de los Lineamientos Generales en Materia de Clasificación y Desclasificación de la Información supraindicados, que establece los formatos para la clasificación de los documentos, conforme a lo siguiente: </w:t>
      </w:r>
      <w:r w:rsidDel="00000000" w:rsidR="00000000" w:rsidRPr="00000000">
        <w:rPr>
          <w:rtl w:val="0"/>
        </w:rPr>
      </w:r>
    </w:p>
    <w:p w:rsidR="00000000" w:rsidDel="00000000" w:rsidP="00000000" w:rsidRDefault="00000000" w:rsidRPr="00000000" w14:paraId="0000012A">
      <w:pPr>
        <w:ind w:left="851" w:right="900"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p>
    <w:p w:rsidR="00000000" w:rsidDel="00000000" w:rsidP="00000000" w:rsidRDefault="00000000" w:rsidRPr="00000000" w14:paraId="0000012B">
      <w:pPr>
        <w:ind w:left="851" w:right="900"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 </w:t>
      </w:r>
    </w:p>
    <w:p w:rsidR="00000000" w:rsidDel="00000000" w:rsidP="00000000" w:rsidRDefault="00000000" w:rsidRPr="00000000" w14:paraId="0000012C">
      <w:pPr>
        <w:ind w:left="851" w:right="900"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tercero. </w:t>
      </w:r>
      <w:r w:rsidDel="00000000" w:rsidR="00000000" w:rsidRPr="00000000">
        <w:rPr>
          <w:rFonts w:ascii="Palatino Linotype" w:cs="Palatino Linotype" w:eastAsia="Palatino Linotype" w:hAnsi="Palatino Linotype"/>
          <w:b w:val="1"/>
          <w:i w:val="1"/>
          <w:sz w:val="22"/>
          <w:szCs w:val="22"/>
          <w:u w:val="single"/>
          <w:rtl w:val="0"/>
        </w:rPr>
        <w:t xml:space="preserve">El formato para señalar la clasificación de un documento o expediente que contenga información reservada</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es el siguiente: </w:t>
      </w:r>
    </w:p>
    <w:p w:rsidR="00000000" w:rsidDel="00000000" w:rsidP="00000000" w:rsidRDefault="00000000" w:rsidRPr="00000000" w14:paraId="0000012E">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295775" cy="295275"/>
            <wp:effectExtent b="0" l="0" r="0" t="0"/>
            <wp:docPr id="1132223919" name="image3.png"/>
            <a:graphic>
              <a:graphicData uri="http://schemas.openxmlformats.org/drawingml/2006/picture">
                <pic:pic>
                  <pic:nvPicPr>
                    <pic:cNvPr id="0" name="image3.png"/>
                    <pic:cNvPicPr preferRelativeResize="0"/>
                  </pic:nvPicPr>
                  <pic:blipFill>
                    <a:blip r:embed="rId30"/>
                    <a:srcRect b="95731" l="0" r="0" t="0"/>
                    <a:stretch>
                      <a:fillRect/>
                    </a:stretch>
                  </pic:blipFill>
                  <pic:spPr>
                    <a:xfrm>
                      <a:off x="0" y="0"/>
                      <a:ext cx="42957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333875" cy="2957517"/>
            <wp:effectExtent b="0" l="0" r="0" t="0"/>
            <wp:docPr id="1132223920" name="image3.png"/>
            <a:graphic>
              <a:graphicData uri="http://schemas.openxmlformats.org/drawingml/2006/picture">
                <pic:pic>
                  <pic:nvPicPr>
                    <pic:cNvPr id="0" name="image3.png"/>
                    <pic:cNvPicPr preferRelativeResize="0"/>
                  </pic:nvPicPr>
                  <pic:blipFill>
                    <a:blip r:embed="rId30"/>
                    <a:srcRect b="26259" l="0" r="0" t="30909"/>
                    <a:stretch>
                      <a:fillRect/>
                    </a:stretch>
                  </pic:blipFill>
                  <pic:spPr>
                    <a:xfrm>
                      <a:off x="0" y="0"/>
                      <a:ext cx="4333875" cy="2957517"/>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333875" cy="1785547"/>
            <wp:effectExtent b="0" l="0" r="0" t="0"/>
            <wp:docPr id="1132223899" name="image3.png"/>
            <a:graphic>
              <a:graphicData uri="http://schemas.openxmlformats.org/drawingml/2006/picture">
                <pic:pic>
                  <pic:nvPicPr>
                    <pic:cNvPr id="0" name="image3.png"/>
                    <pic:cNvPicPr preferRelativeResize="0"/>
                  </pic:nvPicPr>
                  <pic:blipFill>
                    <a:blip r:embed="rId30"/>
                    <a:srcRect b="832" l="0" r="0" t="73315"/>
                    <a:stretch>
                      <a:fillRect/>
                    </a:stretch>
                  </pic:blipFill>
                  <pic:spPr>
                    <a:xfrm>
                      <a:off x="0" y="0"/>
                      <a:ext cx="4333875" cy="1785547"/>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que integren un expediente reservado en su totalidad no deberán marcarse en lo individual.</w:t>
      </w:r>
    </w:p>
    <w:p w:rsidR="00000000" w:rsidDel="00000000" w:rsidP="00000000" w:rsidRDefault="00000000" w:rsidRPr="00000000" w14:paraId="0000013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Una vez desclasificados los expedientes, si existieren documentos que tuvieran el carácter de reservados deberán permanecer o ser marcados.”</w:t>
      </w:r>
    </w:p>
    <w:p w:rsidR="00000000" w:rsidDel="00000000" w:rsidP="00000000" w:rsidRDefault="00000000" w:rsidRPr="00000000" w14:paraId="000001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deberá observar los Lineamientos Quincuagésimo sexto, Quincuagésimo séptimo y Quincuagésimo octavo, establecen lo siguiente:</w:t>
      </w:r>
    </w:p>
    <w:p w:rsidR="00000000" w:rsidDel="00000000" w:rsidP="00000000" w:rsidRDefault="00000000" w:rsidRPr="00000000" w14:paraId="0000013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sexto</w:t>
      </w:r>
      <w:r w:rsidDel="00000000" w:rsidR="00000000" w:rsidRPr="00000000">
        <w:rPr>
          <w:rFonts w:ascii="Palatino Linotype" w:cs="Palatino Linotype" w:eastAsia="Palatino Linotype" w:hAnsi="Palatino Linotype"/>
          <w:i w:val="1"/>
          <w:sz w:val="22"/>
          <w:szCs w:val="22"/>
          <w:rtl w:val="0"/>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rsidR="00000000" w:rsidDel="00000000" w:rsidP="00000000" w:rsidRDefault="00000000" w:rsidRPr="00000000" w14:paraId="0000013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3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3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3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3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3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3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3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3D">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E">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140">
      <w:pPr>
        <w:spacing w:after="240" w:before="240" w:line="360" w:lineRule="auto"/>
        <w:jc w:val="both"/>
        <w:rPr>
          <w:rFonts w:ascii="Palatino Linotype" w:cs="Palatino Linotype" w:eastAsia="Palatino Linotype" w:hAnsi="Palatino Linotype"/>
          <w:b w:val="1"/>
        </w:rPr>
      </w:pPr>
      <w:bookmarkStart w:colFirst="0" w:colLast="0" w:name="_heading=h.lnxbz9" w:id="7"/>
      <w:bookmarkEnd w:id="7"/>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rtl w:val="0"/>
        </w:rPr>
        <w:t xml:space="preserve"> 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rtl w:val="0"/>
        </w:rPr>
        <w:t xml:space="preserve">16899/INFOEM/IP/RR/2022,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 se</w:t>
      </w:r>
      <w:r w:rsidDel="00000000" w:rsidR="00000000" w:rsidRPr="00000000">
        <w:rPr>
          <w:rFonts w:ascii="Palatino Linotype" w:cs="Palatino Linotype" w:eastAsia="Palatino Linotype" w:hAnsi="Palatino Linotype"/>
          <w:b w:val="1"/>
          <w:rtl w:val="0"/>
        </w:rPr>
        <w:t xml:space="preserve"> Revoca </w:t>
      </w:r>
      <w:r w:rsidDel="00000000" w:rsidR="00000000" w:rsidRPr="00000000">
        <w:rPr>
          <w:rFonts w:ascii="Palatino Linotype" w:cs="Palatino Linotype" w:eastAsia="Palatino Linotype" w:hAnsi="Palatino Linotype"/>
          <w:rtl w:val="0"/>
        </w:rPr>
        <w:t xml:space="preserve">la respuesta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141">
      <w:pPr>
        <w:spacing w:after="240" w:before="240" w:line="360" w:lineRule="auto"/>
        <w:jc w:val="both"/>
        <w:rPr>
          <w:rFonts w:ascii="Palatino Linotype" w:cs="Palatino Linotype" w:eastAsia="Palatino Linotype" w:hAnsi="Palatino Linotype"/>
        </w:rPr>
      </w:pPr>
      <w:bookmarkStart w:colFirst="0" w:colLast="0" w:name="_heading=h.4d34og8" w:id="8"/>
      <w:bookmarkEnd w:id="8"/>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 los Considerandos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Quinto </w:t>
      </w:r>
      <w:r w:rsidDel="00000000" w:rsidR="00000000" w:rsidRPr="00000000">
        <w:rPr>
          <w:rFonts w:ascii="Palatino Linotype" w:cs="Palatino Linotype" w:eastAsia="Palatino Linotype" w:hAnsi="Palatino Linotype"/>
          <w:rtl w:val="0"/>
        </w:rPr>
        <w:t xml:space="preserve">de esta resolución, haga entrega, vía SAIMEX y correo electrónico, en versión pública de:</w:t>
      </w:r>
    </w:p>
    <w:p w:rsidR="00000000" w:rsidDel="00000000" w:rsidP="00000000" w:rsidRDefault="00000000" w:rsidRPr="00000000" w14:paraId="00000142">
      <w:pPr>
        <w:numPr>
          <w:ilvl w:val="0"/>
          <w:numId w:val="1"/>
        </w:numPr>
        <w:pBdr>
          <w:top w:space="0" w:sz="0" w:val="nil"/>
          <w:left w:space="0" w:sz="0" w:val="nil"/>
          <w:bottom w:space="0" w:sz="0" w:val="nil"/>
          <w:right w:space="0" w:sz="0" w:val="nil"/>
          <w:between w:space="0" w:sz="0" w:val="nil"/>
        </w:pBdr>
        <w:spacing w:after="240" w:before="240" w:line="360" w:lineRule="auto"/>
        <w:ind w:left="786" w:hanging="360"/>
        <w:jc w:val="both"/>
        <w:rPr>
          <w:rFonts w:ascii="Palatino Linotype" w:cs="Palatino Linotype" w:eastAsia="Palatino Linotype" w:hAnsi="Palatino Linotype"/>
        </w:rPr>
      </w:pPr>
      <w:bookmarkStart w:colFirst="0" w:colLast="0" w:name="_heading=h.44sinio" w:id="9"/>
      <w:bookmarkEnd w:id="9"/>
      <w:r w:rsidDel="00000000" w:rsidR="00000000" w:rsidRPr="00000000">
        <w:rPr>
          <w:rFonts w:ascii="Palatino Linotype" w:cs="Palatino Linotype" w:eastAsia="Palatino Linotype" w:hAnsi="Palatino Linotype"/>
          <w:rtl w:val="0"/>
        </w:rPr>
        <w:t xml:space="preserve">Licencias de uso de suelo y licencias de construcción, de conformidad con el listado remitido en respuesta.</w:t>
      </w:r>
    </w:p>
    <w:p w:rsidR="00000000" w:rsidDel="00000000" w:rsidP="00000000" w:rsidRDefault="00000000" w:rsidRPr="00000000" w14:paraId="00000143">
      <w:pPr>
        <w:spacing w:after="240" w:before="240" w:lineRule="auto"/>
        <w:ind w:left="426"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que se deberá poner a disposición de la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w:t>
      </w:r>
    </w:p>
    <w:p w:rsidR="00000000" w:rsidDel="00000000" w:rsidP="00000000" w:rsidRDefault="00000000" w:rsidRPr="00000000" w14:paraId="0000014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14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4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correo electrónico</w:t>
      </w:r>
      <w:r w:rsidDel="00000000" w:rsidR="00000000" w:rsidRPr="00000000">
        <w:rPr>
          <w:rFonts w:ascii="Palatino Linotype" w:cs="Palatino Linotype" w:eastAsia="Palatino Linotype" w:hAnsi="Palatino Linotype"/>
          <w:rtl w:val="0"/>
        </w:rPr>
        <w:t xml:space="preserve">,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4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Y GUADALUPE RAMÍREZ PEÑA, EN LA VIGÉSIMO QUINTA SESION ORDINARIA CELEBRADA EL CINCO DE JULIO DE DOS MIL VEINTITRES, ANTE EL SECRETARIO TÉCNICO DEL PLENO ALEXIS TAPIA RAMÍREZ.</w:t>
      </w:r>
    </w:p>
    <w:p w:rsidR="00000000" w:rsidDel="00000000" w:rsidP="00000000" w:rsidRDefault="00000000" w:rsidRPr="00000000" w14:paraId="00000148">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9">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A">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C">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D">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E">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F">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0">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1">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2">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3">
      <w:pPr>
        <w:spacing w:line="360" w:lineRule="auto"/>
        <w:jc w:val="both"/>
        <w:rPr>
          <w:rFonts w:ascii="Palatino Linotype" w:cs="Palatino Linotype" w:eastAsia="Palatino Linotype" w:hAnsi="Palatino Linotype"/>
        </w:rPr>
      </w:pPr>
      <w:bookmarkStart w:colFirst="0" w:colLast="0" w:name="_heading=h.3rdcrjn" w:id="10"/>
      <w:bookmarkEnd w:id="10"/>
      <w:r w:rsidDel="00000000" w:rsidR="00000000" w:rsidRPr="00000000">
        <w:rPr>
          <w:rtl w:val="0"/>
        </w:rPr>
      </w:r>
    </w:p>
    <w:p w:rsidR="00000000" w:rsidDel="00000000" w:rsidP="00000000" w:rsidRDefault="00000000" w:rsidRPr="00000000" w14:paraId="0000015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6">
      <w:pPr>
        <w:spacing w:line="360" w:lineRule="auto"/>
        <w:jc w:val="both"/>
        <w:rPr>
          <w:rFonts w:ascii="Palatino Linotype" w:cs="Palatino Linotype" w:eastAsia="Palatino Linotype" w:hAnsi="Palatino Linotype"/>
        </w:rPr>
      </w:pPr>
      <w:bookmarkStart w:colFirst="0" w:colLast="0" w:name="_heading=h.1t3h5sf" w:id="11"/>
      <w:bookmarkEnd w:id="11"/>
      <w:r w:rsidDel="00000000" w:rsidR="00000000" w:rsidRPr="00000000">
        <w:rPr>
          <w:rtl w:val="0"/>
        </w:rPr>
      </w:r>
    </w:p>
    <w:p w:rsidR="00000000" w:rsidDel="00000000" w:rsidP="00000000" w:rsidRDefault="00000000" w:rsidRPr="00000000" w14:paraId="0000015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1">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31" w:type="default"/>
      <w:headerReference r:id="rId32" w:type="first"/>
      <w:footerReference r:id="rId33" w:type="default"/>
      <w:footerReference r:id="rId34"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6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163">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 w:id="1">
    <w:p w:rsidR="00000000" w:rsidDel="00000000" w:rsidP="00000000" w:rsidRDefault="00000000" w:rsidRPr="00000000" w14:paraId="0000016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53. Las Unidades de Transparencia tendrán las siguientes funciones:</w:t>
      </w:r>
    </w:p>
    <w:p w:rsidR="00000000" w:rsidDel="00000000" w:rsidP="00000000" w:rsidRDefault="00000000" w:rsidRPr="00000000" w14:paraId="00000165">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Recibir, tramitar y dar respuesta a las solicitudes de acceso a la información;</w:t>
      </w:r>
    </w:p>
    <w:p w:rsidR="00000000" w:rsidDel="00000000" w:rsidP="00000000" w:rsidRDefault="00000000" w:rsidRPr="00000000" w14:paraId="00000166">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IV. Realizar, con efectividad, los trámites internos necesarios para la atención de las solicitudes de acceso a la información;</w:t>
      </w:r>
    </w:p>
  </w:footnote>
  <w:footnote w:id="2">
    <w:p w:rsidR="00000000" w:rsidDel="00000000" w:rsidP="00000000" w:rsidRDefault="00000000" w:rsidRPr="00000000" w14:paraId="0000016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3">
    <w:p w:rsidR="00000000" w:rsidDel="00000000" w:rsidP="00000000" w:rsidRDefault="00000000" w:rsidRPr="00000000" w14:paraId="00000168">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4.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16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000000" w:rsidDel="00000000" w:rsidP="00000000" w:rsidRDefault="00000000" w:rsidRPr="00000000" w14:paraId="0000016A">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Los sujetos obligados deben poner en práctica, políticas y programas de acceso a la información que se apeguen a criterios de publicidad, veracidad, oportunidad, precisión y suficiencia en beneficio de los solicitantes.</w:t>
      </w:r>
    </w:p>
  </w:footnote>
  <w:footnote w:id="4">
    <w:p w:rsidR="00000000" w:rsidDel="00000000" w:rsidP="00000000" w:rsidRDefault="00000000" w:rsidRPr="00000000" w14:paraId="0000016B">
      <w:pP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161</w:t>
      </w:r>
      <w:r w:rsidDel="00000000" w:rsidR="00000000" w:rsidRPr="00000000">
        <w:rPr>
          <w:rFonts w:ascii="Palatino Linotype" w:cs="Palatino Linotype" w:eastAsia="Palatino Linotype" w:hAnsi="Palatino Linotype"/>
          <w:color w:val="000000"/>
          <w:sz w:val="16"/>
          <w:szCs w:val="16"/>
          <w:rtl w:val="0"/>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-1080121</wp:posOffset>
          </wp:positionH>
          <wp:positionV relativeFrom="paragraph">
            <wp:posOffset>-262864</wp:posOffset>
          </wp:positionV>
          <wp:extent cx="7809865" cy="10165715"/>
          <wp:effectExtent b="0" l="0" r="0" t="0"/>
          <wp:wrapNone/>
          <wp:docPr id="113222389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4"/>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16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6E">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16899/INFOEM/IP/RR/2022</w:t>
          </w:r>
        </w:p>
      </w:tc>
    </w:tr>
    <w:tr>
      <w:trPr>
        <w:cantSplit w:val="0"/>
        <w:trHeight w:val="130" w:hRule="atLeast"/>
        <w:tblHeader w:val="0"/>
      </w:trPr>
      <w:tc>
        <w:tcPr>
          <w:shd w:fill="auto" w:val="clear"/>
          <w:vAlign w:val="center"/>
        </w:tcPr>
        <w:p w:rsidR="00000000" w:rsidDel="00000000" w:rsidP="00000000" w:rsidRDefault="00000000" w:rsidRPr="00000000" w14:paraId="0000016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70">
          <w:pPr>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XXXXXXXXX XXXXXXX XXXXXXXX</w:t>
          </w:r>
        </w:p>
      </w:tc>
    </w:tr>
    <w:tr>
      <w:trPr>
        <w:cantSplit w:val="0"/>
        <w:trHeight w:val="228" w:hRule="atLeast"/>
        <w:tblHeader w:val="0"/>
      </w:trPr>
      <w:tc>
        <w:tcPr>
          <w:shd w:fill="auto" w:val="clear"/>
          <w:vAlign w:val="center"/>
        </w:tcPr>
        <w:p w:rsidR="00000000" w:rsidDel="00000000" w:rsidP="00000000" w:rsidRDefault="00000000" w:rsidRPr="00000000" w14:paraId="0000017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72">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Atizapán de Zaragoza</w:t>
          </w:r>
        </w:p>
      </w:tc>
    </w:tr>
    <w:tr>
      <w:trPr>
        <w:cantSplit w:val="0"/>
        <w:tblHeader w:val="0"/>
      </w:trPr>
      <w:tc>
        <w:tcPr>
          <w:shd w:fill="auto" w:val="clear"/>
          <w:vAlign w:val="center"/>
        </w:tcPr>
        <w:p w:rsidR="00000000" w:rsidDel="00000000" w:rsidP="00000000" w:rsidRDefault="00000000" w:rsidRPr="00000000" w14:paraId="0000017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74">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7">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-1080115</wp:posOffset>
          </wp:positionH>
          <wp:positionV relativeFrom="paragraph">
            <wp:posOffset>-488292</wp:posOffset>
          </wp:positionV>
          <wp:extent cx="7809865" cy="10165715"/>
          <wp:effectExtent b="0" l="0" r="0" t="0"/>
          <wp:wrapNone/>
          <wp:docPr id="113222390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5"/>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7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79">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16899/INFOEM/IP/RR/2022</w:t>
          </w:r>
        </w:p>
      </w:tc>
    </w:tr>
    <w:tr>
      <w:trPr>
        <w:cantSplit w:val="0"/>
        <w:trHeight w:val="228" w:hRule="atLeast"/>
        <w:tblHeader w:val="0"/>
      </w:trPr>
      <w:tc>
        <w:tcPr>
          <w:shd w:fill="auto" w:val="clear"/>
          <w:vAlign w:val="center"/>
        </w:tcPr>
        <w:p w:rsidR="00000000" w:rsidDel="00000000" w:rsidP="00000000" w:rsidRDefault="00000000" w:rsidRPr="00000000" w14:paraId="0000017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7B">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Atizapán de Zaragoza</w:t>
          </w:r>
        </w:p>
      </w:tc>
    </w:tr>
    <w:tr>
      <w:trPr>
        <w:cantSplit w:val="0"/>
        <w:tblHeader w:val="0"/>
      </w:trPr>
      <w:tc>
        <w:tcPr>
          <w:shd w:fill="auto" w:val="clear"/>
          <w:vAlign w:val="center"/>
        </w:tcPr>
        <w:p w:rsidR="00000000" w:rsidDel="00000000" w:rsidP="00000000" w:rsidRDefault="00000000" w:rsidRPr="00000000" w14:paraId="0000017C">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7D">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7E">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86" w:hanging="360.00000000000006"/>
      </w:pPr>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2">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9"/>
    <w:tblPr>
      <w:tblCellMar>
        <w:top w:w="0.0" w:type="dxa"/>
        <w:left w:w="0.0" w:type="dxa"/>
        <w:bottom w:w="0.0" w:type="dxa"/>
        <w:right w:w="0.0" w:type="dxa"/>
      </w:tblCellMar>
    </w:tblPr>
  </w:style>
  <w:style w:type="table" w:styleId="TableNormal80" w:customStyle="1">
    <w:name w:val="Table Normal8"/>
    <w:tblPr>
      <w:tblCellMar>
        <w:top w:w="0.0" w:type="dxa"/>
        <w:left w:w="0.0" w:type="dxa"/>
        <w:bottom w:w="0.0" w:type="dxa"/>
        <w:right w:w="0.0" w:type="dxa"/>
      </w:tblCellMar>
    </w:tblPr>
  </w:style>
  <w:style w:type="table" w:styleId="TableNormal70" w:customStyle="1">
    <w:name w:val="Table Normal7"/>
    <w:tblPr>
      <w:tblCellMar>
        <w:top w:w="0.0" w:type="dxa"/>
        <w:left w:w="0.0" w:type="dxa"/>
        <w:bottom w:w="0.0" w:type="dxa"/>
        <w:right w:w="0.0" w:type="dxa"/>
      </w:tblCellMar>
    </w:tblPr>
  </w:style>
  <w:style w:type="table" w:styleId="TableNormal60" w:customStyle="1">
    <w:name w:val="Table Normal6"/>
    <w:tblPr>
      <w:tblCellMar>
        <w:top w:w="0.0" w:type="dxa"/>
        <w:left w:w="0.0" w:type="dxa"/>
        <w:bottom w:w="0.0" w:type="dxa"/>
        <w:right w:w="0.0" w:type="dxa"/>
      </w:tblCellMar>
    </w:tblPr>
  </w:style>
  <w:style w:type="table" w:styleId="TableNormal50" w:customStyle="1">
    <w:name w:val="Table Normal5"/>
    <w:tblPr>
      <w:tblCellMar>
        <w:top w:w="0.0" w:type="dxa"/>
        <w:left w:w="0.0" w:type="dxa"/>
        <w:bottom w:w="0.0" w:type="dxa"/>
        <w:right w:w="0.0" w:type="dxa"/>
      </w:tblCellMar>
    </w:tblPr>
  </w:style>
  <w:style w:type="table" w:styleId="TableNormal40" w:customStyle="1">
    <w:name w:val="Table Normal4"/>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INAI"/>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INAI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5" w:customStyle="1">
    <w:name w:val="5"/>
    <w:basedOn w:val="TableNormal10"/>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left w:w="115.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table" w:styleId="2" w:customStyle="1">
    <w:name w:val="2"/>
    <w:basedOn w:val="TableNormal10"/>
    <w:tblPr>
      <w:tblStyleRowBandSize w:val="1"/>
      <w:tblStyleColBandSize w:val="1"/>
      <w:tblCellMar>
        <w:left w:w="115.0" w:type="dxa"/>
        <w:right w:w="115.0" w:type="dxa"/>
      </w:tblCellMar>
    </w:tblPr>
  </w:style>
  <w:style w:type="table" w:styleId="1" w:customStyle="1">
    <w:name w:val="1"/>
    <w:basedOn w:val="TableNormal10"/>
    <w:tblPr>
      <w:tblStyleRowBandSize w:val="1"/>
      <w:tblStyleColBandSize w:val="1"/>
      <w:tblCellMar>
        <w:left w:w="115.0" w:type="dxa"/>
        <w:right w:w="115.0" w:type="dxa"/>
      </w:tblCellMar>
    </w:tblPr>
  </w:style>
  <w:style w:type="table" w:styleId="9" w:customStyle="1">
    <w:name w:val="9"/>
    <w:basedOn w:val="TableNormal20"/>
    <w:tblPr>
      <w:tblStyleRowBandSize w:val="1"/>
      <w:tblStyleColBandSize w:val="1"/>
      <w:tblCellMar>
        <w:left w:w="115.0" w:type="dxa"/>
        <w:right w:w="115.0" w:type="dxa"/>
      </w:tblCellMar>
    </w:tblPr>
  </w:style>
  <w:style w:type="table" w:styleId="8" w:customStyle="1">
    <w:name w:val="8"/>
    <w:basedOn w:val="TableNormal20"/>
    <w:tblPr>
      <w:tblStyleRowBandSize w:val="1"/>
      <w:tblStyleColBandSize w:val="1"/>
      <w:tblCellMar>
        <w:left w:w="115.0" w:type="dxa"/>
        <w:right w:w="115.0" w:type="dxa"/>
      </w:tblCellMar>
    </w:tblPr>
  </w:style>
  <w:style w:type="table" w:styleId="7" w:customStyle="1">
    <w:name w:val="7"/>
    <w:basedOn w:val="TableNormal30"/>
    <w:tblPr>
      <w:tblStyleRowBandSize w:val="1"/>
      <w:tblStyleColBandSize w:val="1"/>
      <w:tblCellMar>
        <w:left w:w="115.0" w:type="dxa"/>
        <w:right w:w="115.0" w:type="dxa"/>
      </w:tblCellMar>
    </w:tblPr>
  </w:style>
  <w:style w:type="table" w:styleId="6" w:customStyle="1">
    <w:name w:val="6"/>
    <w:basedOn w:val="TableNormal30"/>
    <w:tblPr>
      <w:tblStyleRowBandSize w:val="1"/>
      <w:tblStyleColBandSize w:val="1"/>
      <w:tblCellMar>
        <w:left w:w="115.0" w:type="dxa"/>
        <w:right w:w="115.0" w:type="dxa"/>
      </w:tblCellMar>
    </w:tblPr>
  </w:style>
  <w:style w:type="table" w:styleId="20" w:customStyle="1">
    <w:name w:val="20"/>
    <w:basedOn w:val="TableNormal40"/>
    <w:tblPr>
      <w:tblStyleRowBandSize w:val="1"/>
      <w:tblStyleColBandSize w:val="1"/>
      <w:tblCellMar>
        <w:left w:w="115.0" w:type="dxa"/>
        <w:right w:w="115.0" w:type="dxa"/>
      </w:tblCellMar>
    </w:tblPr>
  </w:style>
  <w:style w:type="table" w:styleId="19" w:customStyle="1">
    <w:name w:val="19"/>
    <w:basedOn w:val="TableNormal40"/>
    <w:tblPr>
      <w:tblStyleRowBandSize w:val="1"/>
      <w:tblStyleColBandSize w:val="1"/>
      <w:tblCellMar>
        <w:left w:w="115.0" w:type="dxa"/>
        <w:right w:w="115.0" w:type="dxa"/>
      </w:tblCellMar>
    </w:tblPr>
  </w:style>
  <w:style w:type="table" w:styleId="18" w:customStyle="1">
    <w:name w:val="18"/>
    <w:basedOn w:val="TableNormal50"/>
    <w:tblPr>
      <w:tblStyleRowBandSize w:val="1"/>
      <w:tblStyleColBandSize w:val="1"/>
      <w:tblCellMar>
        <w:left w:w="115.0" w:type="dxa"/>
        <w:right w:w="115.0" w:type="dxa"/>
      </w:tblCellMar>
    </w:tblPr>
  </w:style>
  <w:style w:type="table" w:styleId="17" w:customStyle="1">
    <w:name w:val="17"/>
    <w:basedOn w:val="TableNormal50"/>
    <w:tblPr>
      <w:tblStyleRowBandSize w:val="1"/>
      <w:tblStyleColBandSize w:val="1"/>
      <w:tblCellMar>
        <w:left w:w="115.0" w:type="dxa"/>
        <w:right w:w="115.0" w:type="dxa"/>
      </w:tblCellMar>
    </w:tblPr>
  </w:style>
  <w:style w:type="table" w:styleId="16" w:customStyle="1">
    <w:name w:val="16"/>
    <w:basedOn w:val="TableNormal60"/>
    <w:tblPr>
      <w:tblStyleRowBandSize w:val="1"/>
      <w:tblStyleColBandSize w:val="1"/>
      <w:tblCellMar>
        <w:left w:w="115.0" w:type="dxa"/>
        <w:right w:w="115.0" w:type="dxa"/>
      </w:tblCellMar>
    </w:tblPr>
  </w:style>
  <w:style w:type="table" w:styleId="15" w:customStyle="1">
    <w:name w:val="15"/>
    <w:basedOn w:val="TableNormal60"/>
    <w:tblPr>
      <w:tblStyleRowBandSize w:val="1"/>
      <w:tblStyleColBandSize w:val="1"/>
      <w:tblCellMar>
        <w:left w:w="115.0" w:type="dxa"/>
        <w:right w:w="115.0" w:type="dxa"/>
      </w:tblCellMar>
    </w:tblPr>
  </w:style>
  <w:style w:type="table" w:styleId="14" w:customStyle="1">
    <w:name w:val="14"/>
    <w:basedOn w:val="TableNormal70"/>
    <w:tblPr>
      <w:tblStyleRowBandSize w:val="1"/>
      <w:tblStyleColBandSize w:val="1"/>
      <w:tblCellMar>
        <w:left w:w="115.0" w:type="dxa"/>
        <w:right w:w="115.0" w:type="dxa"/>
      </w:tblCellMar>
    </w:tblPr>
  </w:style>
  <w:style w:type="table" w:styleId="13" w:customStyle="1">
    <w:name w:val="13"/>
    <w:basedOn w:val="TableNormal70"/>
    <w:tblPr>
      <w:tblStyleRowBandSize w:val="1"/>
      <w:tblStyleColBandSize w:val="1"/>
      <w:tblCellMar>
        <w:left w:w="115.0" w:type="dxa"/>
        <w:right w:w="115.0" w:type="dxa"/>
      </w:tblCellMar>
    </w:tblPr>
  </w:style>
  <w:style w:type="character" w:styleId="rse6dlih" w:customStyle="1">
    <w:name w:val="rse6dlih"/>
    <w:basedOn w:val="Fuentedeprrafopredeter"/>
    <w:rsid w:val="00190860"/>
  </w:style>
  <w:style w:type="table" w:styleId="12" w:customStyle="1">
    <w:name w:val="12"/>
    <w:basedOn w:val="TableNormal80"/>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1" w:customStyle="1">
    <w:name w:val="11"/>
    <w:basedOn w:val="TableNormal80"/>
    <w:tblPr>
      <w:tblStyleRowBandSize w:val="1"/>
      <w:tblStyleColBandSize w:val="1"/>
      <w:tblCellMar>
        <w:left w:w="115.0" w:type="dxa"/>
        <w:right w:w="115.0" w:type="dxa"/>
      </w:tblCellMar>
    </w:tblPr>
  </w:style>
  <w:style w:type="table" w:styleId="10" w:customStyle="1">
    <w:name w:val="10"/>
    <w:basedOn w:val="TableNormal80"/>
    <w:tblPr>
      <w:tblStyleRowBandSize w:val="1"/>
      <w:tblStyleColBandSize w:val="1"/>
      <w:tblCellMar>
        <w:left w:w="115.0" w:type="dxa"/>
        <w:right w:w="115.0" w:type="dxa"/>
      </w:tblCellMar>
    </w:tblPr>
  </w:style>
  <w:style w:type="table" w:styleId="24" w:customStyle="1">
    <w:name w:val="24"/>
    <w:basedOn w:val="TableNormal9"/>
    <w:tblPr>
      <w:tblStyleRowBandSize w:val="1"/>
      <w:tblStyleColBandSize w:val="1"/>
      <w:tblCellMar>
        <w:left w:w="115.0" w:type="dxa"/>
        <w:right w:w="115.0" w:type="dxa"/>
      </w:tblCellMar>
    </w:tblPr>
  </w:style>
  <w:style w:type="table" w:styleId="23" w:customStyle="1">
    <w:name w:val="23"/>
    <w:basedOn w:val="TableNormal9"/>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22" w:customStyle="1">
    <w:name w:val="22"/>
    <w:basedOn w:val="TableNormal9"/>
    <w:tblPr>
      <w:tblStyleRowBandSize w:val="1"/>
      <w:tblStyleColBandSize w:val="1"/>
      <w:tblCellMar>
        <w:left w:w="115.0" w:type="dxa"/>
        <w:right w:w="115.0" w:type="dxa"/>
      </w:tblCellMar>
    </w:tblPr>
  </w:style>
  <w:style w:type="table" w:styleId="21" w:customStyle="1">
    <w:name w:val="21"/>
    <w:basedOn w:val="TableNormal9"/>
    <w:tblPr>
      <w:tblStyleRowBandSize w:val="1"/>
      <w:tblStyleColBandSize w:val="1"/>
      <w:tblCellMar>
        <w:left w:w="115.0" w:type="dxa"/>
        <w:right w:w="115.0" w:type="dxa"/>
      </w:tblCellMar>
    </w:tblPr>
  </w:style>
  <w:style w:type="table" w:styleId="a" w:customStyle="1">
    <w:basedOn w:val="TableNormal8"/>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8"/>
    <w:tblPr>
      <w:tblStyleRowBandSize w:val="1"/>
      <w:tblStyleColBandSize w:val="1"/>
      <w:tblCellMar>
        <w:left w:w="115.0" w:type="dxa"/>
        <w:right w:w="115.0" w:type="dxa"/>
      </w:tblCellMar>
    </w:tblPr>
  </w:style>
  <w:style w:type="table" w:styleId="a2" w:customStyle="1">
    <w:basedOn w:val="TableNormal8"/>
    <w:tblPr>
      <w:tblStyleRowBandSize w:val="1"/>
      <w:tblStyleColBandSize w:val="1"/>
      <w:tblCellMar>
        <w:left w:w="115.0" w:type="dxa"/>
        <w:right w:w="115.0" w:type="dxa"/>
      </w:tblCellMar>
    </w:tblPr>
  </w:style>
  <w:style w:type="table" w:styleId="a3" w:customStyle="1">
    <w:basedOn w:val="TableNormal7"/>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4" w:customStyle="1">
    <w:basedOn w:val="TableNormal7"/>
    <w:tblPr>
      <w:tblStyleRowBandSize w:val="1"/>
      <w:tblStyleColBandSize w:val="1"/>
      <w:tblCellMar>
        <w:left w:w="115.0" w:type="dxa"/>
        <w:right w:w="115.0" w:type="dxa"/>
      </w:tblCellMar>
    </w:tblPr>
  </w:style>
  <w:style w:type="table" w:styleId="a5" w:customStyle="1">
    <w:basedOn w:val="TableNormal7"/>
    <w:tblPr>
      <w:tblStyleRowBandSize w:val="1"/>
      <w:tblStyleColBandSize w:val="1"/>
      <w:tblCellMar>
        <w:left w:w="115.0" w:type="dxa"/>
        <w:right w:w="115.0" w:type="dxa"/>
      </w:tblCellMar>
    </w:tblPr>
  </w:style>
  <w:style w:type="table" w:styleId="a6" w:customStyle="1">
    <w:basedOn w:val="TableNormal6"/>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7" w:customStyle="1">
    <w:basedOn w:val="TableNormal6"/>
    <w:tblPr>
      <w:tblStyleRowBandSize w:val="1"/>
      <w:tblStyleColBandSize w:val="1"/>
      <w:tblCellMar>
        <w:left w:w="115.0" w:type="dxa"/>
        <w:right w:w="115.0" w:type="dxa"/>
      </w:tblCellMar>
    </w:tblPr>
  </w:style>
  <w:style w:type="table" w:styleId="a8" w:customStyle="1">
    <w:basedOn w:val="TableNormal6"/>
    <w:tblPr>
      <w:tblStyleRowBandSize w:val="1"/>
      <w:tblStyleColBandSize w:val="1"/>
      <w:tblCellMar>
        <w:left w:w="115.0" w:type="dxa"/>
        <w:right w:w="115.0" w:type="dxa"/>
      </w:tblCellMar>
    </w:tblPr>
  </w:style>
  <w:style w:type="character" w:styleId="Mencinsinresolver4" w:customStyle="1">
    <w:name w:val="Mención sin resolver4"/>
    <w:basedOn w:val="Fuentedeprrafopredeter"/>
    <w:uiPriority w:val="99"/>
    <w:semiHidden w:val="1"/>
    <w:unhideWhenUsed w:val="1"/>
    <w:rsid w:val="00B70D09"/>
    <w:rPr>
      <w:color w:val="605e5c"/>
      <w:shd w:color="auto" w:fill="e1dfdd" w:val="clear"/>
    </w:rPr>
  </w:style>
  <w:style w:type="table" w:styleId="a9" w:customStyle="1">
    <w:basedOn w:val="TableNormal5"/>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paragraph" w:styleId="Saludo">
    <w:name w:val="Salutation"/>
    <w:basedOn w:val="Normal"/>
    <w:next w:val="Normal"/>
    <w:link w:val="SaludoCar"/>
    <w:uiPriority w:val="99"/>
    <w:unhideWhenUsed w:val="1"/>
    <w:rsid w:val="00E47E56"/>
  </w:style>
  <w:style w:type="character" w:styleId="SaludoCar" w:customStyle="1">
    <w:name w:val="Saludo Car"/>
    <w:basedOn w:val="Fuentedeprrafopredeter"/>
    <w:link w:val="Saludo"/>
    <w:uiPriority w:val="99"/>
    <w:rsid w:val="00E47E56"/>
  </w:style>
  <w:style w:type="paragraph" w:styleId="Listaconvietas">
    <w:name w:val="List Bullet"/>
    <w:basedOn w:val="Normal"/>
    <w:uiPriority w:val="99"/>
    <w:unhideWhenUsed w:val="1"/>
    <w:rsid w:val="00E47E56"/>
    <w:pPr>
      <w:tabs>
        <w:tab w:val="num" w:pos="720"/>
      </w:tabs>
      <w:ind w:left="720" w:hanging="720"/>
      <w:contextualSpacing w:val="1"/>
    </w:pPr>
  </w:style>
  <w:style w:type="paragraph" w:styleId="Listaconvietas2">
    <w:name w:val="List Bullet 2"/>
    <w:basedOn w:val="Normal"/>
    <w:uiPriority w:val="99"/>
    <w:unhideWhenUsed w:val="1"/>
    <w:rsid w:val="00E47E56"/>
    <w:pPr>
      <w:tabs>
        <w:tab w:val="num" w:pos="720"/>
      </w:tabs>
      <w:ind w:left="720" w:hanging="720"/>
      <w:contextualSpacing w:val="1"/>
    </w:pPr>
  </w:style>
  <w:style w:type="paragraph" w:styleId="Descripcin">
    <w:name w:val="caption"/>
    <w:basedOn w:val="Normal"/>
    <w:next w:val="Normal"/>
    <w:uiPriority w:val="35"/>
    <w:unhideWhenUsed w:val="1"/>
    <w:qFormat w:val="1"/>
    <w:rsid w:val="00E47E56"/>
    <w:pPr>
      <w:spacing w:after="200"/>
    </w:pPr>
    <w:rPr>
      <w:i w:val="1"/>
      <w:iCs w:val="1"/>
      <w:color w:val="1f497d" w:themeColor="text2"/>
      <w:sz w:val="18"/>
      <w:szCs w:val="18"/>
    </w:rPr>
  </w:style>
  <w:style w:type="table" w:styleId="ac" w:customStyle="1">
    <w:basedOn w:val="TableNormal4"/>
    <w:tblPr>
      <w:tblStyleRowBandSize w:val="1"/>
      <w:tblStyleColBandSize w:val="1"/>
      <w:tblCellMar>
        <w:left w:w="108.0" w:type="dxa"/>
        <w:right w:w="108.0" w:type="dxa"/>
      </w:tblCellMar>
    </w:tblPr>
  </w:style>
  <w:style w:type="table" w:styleId="ad" w:customStyle="1">
    <w:basedOn w:val="TableNormal4"/>
    <w:tblPr>
      <w:tblStyleRowBandSize w:val="1"/>
      <w:tblStyleColBandSize w:val="1"/>
      <w:tblCellMar>
        <w:left w:w="108.0" w:type="dxa"/>
        <w:right w:w="108.0" w:type="dxa"/>
      </w:tblCellMar>
    </w:tblPr>
  </w:style>
  <w:style w:type="table" w:styleId="ae" w:customStyle="1">
    <w:basedOn w:val="TableNormal4"/>
    <w:tblPr>
      <w:tblStyleRowBandSize w:val="1"/>
      <w:tblStyleColBandSize w:val="1"/>
      <w:tblCellMar>
        <w:left w:w="108.0" w:type="dxa"/>
        <w:right w:w="108.0" w:type="dxa"/>
      </w:tblCellMar>
    </w:tblPr>
  </w:style>
  <w:style w:type="table" w:styleId="af" w:customStyle="1">
    <w:basedOn w:val="TableNormal4"/>
    <w:tblPr>
      <w:tblStyleRowBandSize w:val="1"/>
      <w:tblStyleColBandSize w:val="1"/>
      <w:tblCellMar>
        <w:left w:w="115.0" w:type="dxa"/>
        <w:right w:w="115.0" w:type="dxa"/>
      </w:tblCellMar>
    </w:tblPr>
  </w:style>
  <w:style w:type="table" w:styleId="af0" w:customStyle="1">
    <w:basedOn w:val="TableNormal4"/>
    <w:tblPr>
      <w:tblStyleRowBandSize w:val="1"/>
      <w:tblStyleColBandSize w:val="1"/>
      <w:tblCellMar>
        <w:left w:w="115.0" w:type="dxa"/>
        <w:right w:w="115.0" w:type="dxa"/>
      </w:tblCellMar>
    </w:tblPr>
  </w:style>
  <w:style w:type="table" w:styleId="af1" w:customStyle="1">
    <w:basedOn w:val="TableNormal3"/>
    <w:tblPr>
      <w:tblStyleRowBandSize w:val="1"/>
      <w:tblStyleColBandSize w:val="1"/>
      <w:tblCellMar>
        <w:left w:w="115.0" w:type="dxa"/>
        <w:right w:w="115.0" w:type="dxa"/>
      </w:tblCellMar>
    </w:tblPr>
  </w:style>
  <w:style w:type="table" w:styleId="af2" w:customStyle="1">
    <w:basedOn w:val="TableNormal3"/>
    <w:tblPr>
      <w:tblStyleRowBandSize w:val="1"/>
      <w:tblStyleColBandSize w:val="1"/>
      <w:tblCellMar>
        <w:left w:w="115.0" w:type="dxa"/>
        <w:right w:w="115.0" w:type="dxa"/>
      </w:tblCellMar>
    </w:tblPr>
  </w:style>
  <w:style w:type="table" w:styleId="af3" w:customStyle="1">
    <w:basedOn w:val="TableNormal2"/>
    <w:tblPr>
      <w:tblStyleRowBandSize w:val="1"/>
      <w:tblStyleColBandSize w:val="1"/>
      <w:tblCellMar>
        <w:left w:w="115.0" w:type="dxa"/>
        <w:right w:w="115.0" w:type="dxa"/>
      </w:tblCellMar>
    </w:tblPr>
  </w:style>
  <w:style w:type="table" w:styleId="af4" w:customStyle="1">
    <w:basedOn w:val="TableNormal2"/>
    <w:tblPr>
      <w:tblStyleRowBandSize w:val="1"/>
      <w:tblStyleColBandSize w:val="1"/>
      <w:tblCellMar>
        <w:left w:w="115.0" w:type="dxa"/>
        <w:right w:w="115.0" w:type="dxa"/>
      </w:tblCellMar>
    </w:tblPr>
  </w:style>
  <w:style w:type="character" w:styleId="Mencinsinresolver5" w:customStyle="1">
    <w:name w:val="Mención sin resolver5"/>
    <w:basedOn w:val="Fuentedeprrafopredeter"/>
    <w:uiPriority w:val="99"/>
    <w:semiHidden w:val="1"/>
    <w:unhideWhenUsed w:val="1"/>
    <w:rsid w:val="00C70AEE"/>
    <w:rPr>
      <w:color w:val="605e5c"/>
      <w:shd w:color="auto" w:fill="e1dfdd" w:val="clear"/>
    </w:rPr>
  </w:style>
  <w:style w:type="table" w:styleId="af5" w:customStyle="1">
    <w:basedOn w:val="TableNormal1"/>
    <w:tblPr>
      <w:tblStyleRowBandSize w:val="1"/>
      <w:tblStyleColBandSize w:val="1"/>
      <w:tblCellMar>
        <w:left w:w="115.0" w:type="dxa"/>
        <w:right w:w="115.0" w:type="dxa"/>
      </w:tblCellMar>
    </w:tblPr>
  </w:style>
  <w:style w:type="table" w:styleId="af6" w:customStyle="1">
    <w:basedOn w:val="TableNormal1"/>
    <w:tblPr>
      <w:tblStyleRowBandSize w:val="1"/>
      <w:tblStyleColBandSize w:val="1"/>
      <w:tblCellMar>
        <w:left w:w="115.0" w:type="dxa"/>
        <w:right w:w="115.0" w:type="dxa"/>
      </w:tblCellMar>
    </w:tblPr>
  </w:style>
  <w:style w:type="table" w:styleId="af7" w:customStyle="1">
    <w:basedOn w:val="TableNormal0"/>
    <w:tblPr>
      <w:tblStyleRowBandSize w:val="1"/>
      <w:tblStyleColBandSize w:val="1"/>
      <w:tblCellMar>
        <w:left w:w="115.0" w:type="dxa"/>
        <w:right w:w="115.0" w:type="dxa"/>
      </w:tblCellMar>
    </w:tblPr>
  </w:style>
  <w:style w:type="table" w:styleId="af8"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2.png"/><Relationship Id="rId21" Type="http://schemas.openxmlformats.org/officeDocument/2006/relationships/image" Target="media/image21.png"/><Relationship Id="rId24" Type="http://schemas.openxmlformats.org/officeDocument/2006/relationships/image" Target="media/image17.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8.png"/><Relationship Id="rId26" Type="http://schemas.openxmlformats.org/officeDocument/2006/relationships/image" Target="media/image7.png"/><Relationship Id="rId25" Type="http://schemas.openxmlformats.org/officeDocument/2006/relationships/image" Target="media/image19.png"/><Relationship Id="rId28" Type="http://schemas.openxmlformats.org/officeDocument/2006/relationships/image" Target="media/image11.png"/><Relationship Id="rId27" Type="http://schemas.openxmlformats.org/officeDocument/2006/relationships/image" Target="media/image16.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8.png"/><Relationship Id="rId7" Type="http://schemas.openxmlformats.org/officeDocument/2006/relationships/customXml" Target="../customXML/item1.xml"/><Relationship Id="rId8" Type="http://schemas.openxmlformats.org/officeDocument/2006/relationships/image" Target="media/image5.png"/><Relationship Id="rId31" Type="http://schemas.openxmlformats.org/officeDocument/2006/relationships/header" Target="header2.xml"/><Relationship Id="rId30" Type="http://schemas.openxmlformats.org/officeDocument/2006/relationships/image" Target="media/image3.png"/><Relationship Id="rId11" Type="http://schemas.openxmlformats.org/officeDocument/2006/relationships/image" Target="media/image13.png"/><Relationship Id="rId33" Type="http://schemas.openxmlformats.org/officeDocument/2006/relationships/footer" Target="footer2.xml"/><Relationship Id="rId10" Type="http://schemas.openxmlformats.org/officeDocument/2006/relationships/image" Target="media/image9.png"/><Relationship Id="rId32" Type="http://schemas.openxmlformats.org/officeDocument/2006/relationships/header" Target="header1.xml"/><Relationship Id="rId13" Type="http://schemas.openxmlformats.org/officeDocument/2006/relationships/hyperlink" Target="https://atizapan.gob.mx/" TargetMode="External"/><Relationship Id="rId12" Type="http://schemas.openxmlformats.org/officeDocument/2006/relationships/image" Target="media/image14.png"/><Relationship Id="rId34" Type="http://schemas.openxmlformats.org/officeDocument/2006/relationships/footer" Target="footer1.xml"/><Relationship Id="rId15" Type="http://schemas.openxmlformats.org/officeDocument/2006/relationships/image" Target="media/image15.png"/><Relationship Id="rId14" Type="http://schemas.openxmlformats.org/officeDocument/2006/relationships/hyperlink" Target="https://atizapan.gob.mx/" TargetMode="External"/><Relationship Id="rId17" Type="http://schemas.openxmlformats.org/officeDocument/2006/relationships/image" Target="media/image10.png"/><Relationship Id="rId16" Type="http://schemas.openxmlformats.org/officeDocument/2006/relationships/image" Target="media/image12.png"/><Relationship Id="rId19" Type="http://schemas.openxmlformats.org/officeDocument/2006/relationships/hyperlink" Target="https://atizapan.gob.mx/" TargetMode="External"/><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tO1J/wmXhLH8bNERZdXT6YMrvw==">CgMxLjAyCGguZ2pkZ3hzMgloLjNkeTZ2a20yCWguMzBqMHpsbDIJaC4yczhleW8xMghoLnR5amN3dDIJaC4zem55c2g3MgloLjJldDkycDAyCGgubG54Yno5MgloLjRkMzRvZzgyCWguNDRzaW5pbzIJaC4zcmRjcmpuMgloLjF0M2g1c2Y4AHIhMTJNb3NrQmFNNXptTWVyeGpfR1h4MHZPVFhNOVI3RUtX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2023-08-04T18:28:00Z</dcterms:created>
  <dc:creator>iMac</dc:creator>
</cp:coreProperties>
</file>