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6A2F" w:rsidRPr="00732A17" w:rsidRDefault="00CB7B04">
      <w:pPr>
        <w:spacing w:before="240" w:after="24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Resolución del Pleno del Instituto de Transparencia, Acceso a la Información Pública y Protección de Datos Personales del Estado de México y Municipios, con domicilio en Metepec, Estado de México, a veinticinco de octubre de dos mil veintitrés.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bookmarkStart w:id="0" w:name="_heading=h.30j0zll" w:colFirst="0" w:colLast="0"/>
      <w:bookmarkEnd w:id="0"/>
      <w:r w:rsidRPr="00732A17">
        <w:rPr>
          <w:rFonts w:ascii="Palatino Linotype" w:eastAsia="Palatino Linotype" w:hAnsi="Palatino Linotype" w:cs="Palatino Linotype"/>
          <w:b/>
          <w:sz w:val="24"/>
          <w:szCs w:val="24"/>
        </w:rPr>
        <w:t xml:space="preserve">Visto </w:t>
      </w:r>
      <w:r w:rsidRPr="00732A17">
        <w:rPr>
          <w:rFonts w:ascii="Palatino Linotype" w:eastAsia="Palatino Linotype" w:hAnsi="Palatino Linotype" w:cs="Palatino Linotype"/>
          <w:sz w:val="24"/>
          <w:szCs w:val="24"/>
        </w:rPr>
        <w:t xml:space="preserve">el expediente relativo al recurso de revisión </w:t>
      </w:r>
      <w:r w:rsidRPr="00732A17">
        <w:rPr>
          <w:rFonts w:ascii="Palatino Linotype" w:eastAsia="Palatino Linotype" w:hAnsi="Palatino Linotype" w:cs="Palatino Linotype"/>
          <w:b/>
          <w:sz w:val="24"/>
          <w:szCs w:val="24"/>
        </w:rPr>
        <w:t>03704/INFOEM/IP/RR/2023</w:t>
      </w:r>
      <w:r w:rsidRPr="00732A17">
        <w:rPr>
          <w:rFonts w:ascii="Palatino Linotype" w:eastAsia="Palatino Linotype" w:hAnsi="Palatino Linotype" w:cs="Palatino Linotype"/>
          <w:sz w:val="24"/>
          <w:szCs w:val="24"/>
        </w:rPr>
        <w:t xml:space="preserve">, interpuesto por </w:t>
      </w:r>
      <w:r w:rsidR="00114B99">
        <w:rPr>
          <w:rFonts w:ascii="Palatino Linotype" w:eastAsia="Palatino Linotype" w:hAnsi="Palatino Linotype" w:cs="Palatino Linotype"/>
          <w:b/>
          <w:sz w:val="24"/>
          <w:szCs w:val="24"/>
        </w:rPr>
        <w:t>XXXXXX XXXXXXX XXXXXXX</w:t>
      </w:r>
      <w:bookmarkStart w:id="1" w:name="_GoBack"/>
      <w:bookmarkEnd w:id="1"/>
      <w:r w:rsidRPr="00732A17">
        <w:rPr>
          <w:rFonts w:ascii="Palatino Linotype" w:eastAsia="Palatino Linotype" w:hAnsi="Palatino Linotype" w:cs="Palatino Linotype"/>
          <w:sz w:val="24"/>
          <w:szCs w:val="24"/>
        </w:rPr>
        <w:t>,</w:t>
      </w:r>
      <w:r w:rsidRPr="00732A17">
        <w:rPr>
          <w:rFonts w:ascii="Palatino Linotype" w:eastAsia="Palatino Linotype" w:hAnsi="Palatino Linotype" w:cs="Palatino Linotype"/>
          <w:b/>
          <w:sz w:val="24"/>
          <w:szCs w:val="24"/>
        </w:rPr>
        <w:t xml:space="preserve"> </w:t>
      </w:r>
      <w:r w:rsidRPr="00732A17">
        <w:rPr>
          <w:rFonts w:ascii="Palatino Linotype" w:eastAsia="Palatino Linotype" w:hAnsi="Palatino Linotype" w:cs="Palatino Linotype"/>
          <w:sz w:val="24"/>
          <w:szCs w:val="24"/>
        </w:rPr>
        <w:t xml:space="preserve">a quien en lo sucesivo se le denominara </w:t>
      </w:r>
      <w:r w:rsidRPr="00732A17">
        <w:rPr>
          <w:rFonts w:ascii="Palatino Linotype" w:eastAsia="Palatino Linotype" w:hAnsi="Palatino Linotype" w:cs="Palatino Linotype"/>
          <w:b/>
          <w:sz w:val="24"/>
          <w:szCs w:val="24"/>
        </w:rPr>
        <w:t>LA PARTE RECURRENTE</w:t>
      </w:r>
      <w:r w:rsidRPr="00732A17">
        <w:rPr>
          <w:rFonts w:ascii="Palatino Linotype" w:eastAsia="Palatino Linotype" w:hAnsi="Palatino Linotype" w:cs="Palatino Linotype"/>
          <w:sz w:val="24"/>
          <w:szCs w:val="24"/>
        </w:rPr>
        <w:t xml:space="preserve">, en contra de la respuesta a la solicitud de información con número de folio </w:t>
      </w:r>
      <w:r w:rsidRPr="00732A17">
        <w:rPr>
          <w:rFonts w:ascii="Palatino Linotype" w:eastAsia="Palatino Linotype" w:hAnsi="Palatino Linotype" w:cs="Palatino Linotype"/>
          <w:b/>
          <w:sz w:val="24"/>
          <w:szCs w:val="24"/>
        </w:rPr>
        <w:t>00170/ATLACOM/IP/2023</w:t>
      </w:r>
      <w:r w:rsidRPr="00732A17">
        <w:rPr>
          <w:rFonts w:ascii="Palatino Linotype" w:eastAsia="Palatino Linotype" w:hAnsi="Palatino Linotype" w:cs="Palatino Linotype"/>
          <w:sz w:val="24"/>
          <w:szCs w:val="24"/>
        </w:rPr>
        <w:t xml:space="preserve">, por parte del </w:t>
      </w:r>
      <w:r w:rsidRPr="00732A17">
        <w:rPr>
          <w:rFonts w:ascii="Palatino Linotype" w:eastAsia="Palatino Linotype" w:hAnsi="Palatino Linotype" w:cs="Palatino Linotype"/>
          <w:b/>
          <w:sz w:val="24"/>
          <w:szCs w:val="24"/>
        </w:rPr>
        <w:t>Ayuntamiento de Atlacomulco</w:t>
      </w:r>
      <w:r w:rsidRPr="00732A17">
        <w:rPr>
          <w:rFonts w:ascii="Palatino Linotype" w:eastAsia="Palatino Linotype" w:hAnsi="Palatino Linotype" w:cs="Palatino Linotype"/>
          <w:sz w:val="24"/>
          <w:szCs w:val="24"/>
        </w:rPr>
        <w:t xml:space="preserve">, en lo sucesivo </w:t>
      </w:r>
      <w:r w:rsidRPr="00732A17">
        <w:rPr>
          <w:rFonts w:ascii="Palatino Linotype" w:eastAsia="Palatino Linotype" w:hAnsi="Palatino Linotype" w:cs="Palatino Linotype"/>
          <w:b/>
          <w:sz w:val="24"/>
          <w:szCs w:val="24"/>
        </w:rPr>
        <w:t>EL</w:t>
      </w:r>
      <w:r w:rsidRPr="00732A17">
        <w:rPr>
          <w:rFonts w:ascii="Palatino Linotype" w:eastAsia="Palatino Linotype" w:hAnsi="Palatino Linotype" w:cs="Palatino Linotype"/>
          <w:sz w:val="24"/>
          <w:szCs w:val="24"/>
        </w:rPr>
        <w:t xml:space="preserve">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se procede a dictar la presente resolución, con base en lo siguiente.</w:t>
      </w:r>
    </w:p>
    <w:p w:rsidR="00866A2F" w:rsidRPr="00732A17" w:rsidRDefault="00CB7B04">
      <w:pPr>
        <w:spacing w:before="240" w:after="240" w:line="360" w:lineRule="auto"/>
        <w:jc w:val="center"/>
        <w:rPr>
          <w:rFonts w:ascii="Palatino Linotype" w:eastAsia="Palatino Linotype" w:hAnsi="Palatino Linotype" w:cs="Palatino Linotype"/>
          <w:b/>
        </w:rPr>
      </w:pPr>
      <w:r w:rsidRPr="00732A17">
        <w:rPr>
          <w:rFonts w:ascii="Palatino Linotype" w:eastAsia="Palatino Linotype" w:hAnsi="Palatino Linotype" w:cs="Palatino Linotype"/>
          <w:b/>
        </w:rPr>
        <w:t xml:space="preserve">A N T E C E D E N T E S </w:t>
      </w:r>
    </w:p>
    <w:p w:rsidR="00866A2F" w:rsidRPr="00732A17" w:rsidRDefault="00CB7B04">
      <w:pPr>
        <w:spacing w:before="240" w:after="24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1.</w:t>
      </w:r>
      <w:r w:rsidRPr="00732A17">
        <w:rPr>
          <w:rFonts w:ascii="Palatino Linotype" w:eastAsia="Palatino Linotype" w:hAnsi="Palatino Linotype" w:cs="Palatino Linotype"/>
          <w:sz w:val="24"/>
          <w:szCs w:val="24"/>
        </w:rPr>
        <w:t xml:space="preserve"> </w:t>
      </w:r>
      <w:r w:rsidRPr="00732A17">
        <w:rPr>
          <w:rFonts w:ascii="Palatino Linotype" w:eastAsia="Palatino Linotype" w:hAnsi="Palatino Linotype" w:cs="Palatino Linotype"/>
          <w:b/>
          <w:sz w:val="24"/>
          <w:szCs w:val="24"/>
        </w:rPr>
        <w:t xml:space="preserve">SOLICITUD DE INFORMACIÓN. </w:t>
      </w:r>
      <w:r w:rsidRPr="00732A17">
        <w:rPr>
          <w:rFonts w:ascii="Palatino Linotype" w:eastAsia="Palatino Linotype" w:hAnsi="Palatino Linotype" w:cs="Palatino Linotype"/>
          <w:sz w:val="24"/>
          <w:szCs w:val="24"/>
        </w:rPr>
        <w:t xml:space="preserve">Con fecha veintinueve de mayo de dos mil veintitrés, </w:t>
      </w:r>
      <w:r w:rsidRPr="00732A17">
        <w:rPr>
          <w:rFonts w:ascii="Palatino Linotype" w:eastAsia="Palatino Linotype" w:hAnsi="Palatino Linotype" w:cs="Palatino Linotype"/>
          <w:b/>
          <w:sz w:val="24"/>
          <w:szCs w:val="24"/>
        </w:rPr>
        <w:t>LA PARTE RECURRENTE</w:t>
      </w:r>
      <w:r w:rsidRPr="00732A17">
        <w:rPr>
          <w:rFonts w:ascii="Palatino Linotype" w:eastAsia="Palatino Linotype" w:hAnsi="Palatino Linotype" w:cs="Palatino Linotype"/>
          <w:sz w:val="24"/>
          <w:szCs w:val="24"/>
        </w:rPr>
        <w:t>, presentó a través del Sistema de Acceso a la Información Mexiquense (</w:t>
      </w:r>
      <w:r w:rsidRPr="00732A17">
        <w:rPr>
          <w:rFonts w:ascii="Palatino Linotype" w:eastAsia="Palatino Linotype" w:hAnsi="Palatino Linotype" w:cs="Palatino Linotype"/>
          <w:b/>
          <w:sz w:val="24"/>
          <w:szCs w:val="24"/>
        </w:rPr>
        <w:t>SAIMEX)</w:t>
      </w:r>
      <w:r w:rsidRPr="00732A17">
        <w:rPr>
          <w:rFonts w:ascii="Palatino Linotype" w:eastAsia="Palatino Linotype" w:hAnsi="Palatino Linotype" w:cs="Palatino Linotype"/>
          <w:sz w:val="24"/>
          <w:szCs w:val="24"/>
        </w:rPr>
        <w:t xml:space="preserve"> ante </w:t>
      </w:r>
      <w:r w:rsidRPr="00732A17">
        <w:rPr>
          <w:rFonts w:ascii="Palatino Linotype" w:eastAsia="Palatino Linotype" w:hAnsi="Palatino Linotype" w:cs="Palatino Linotype"/>
          <w:b/>
          <w:sz w:val="24"/>
          <w:szCs w:val="24"/>
        </w:rPr>
        <w:t>EL SUJETO OBLIGADO</w:t>
      </w:r>
      <w:r w:rsidRPr="00732A17">
        <w:rPr>
          <w:rFonts w:ascii="Palatino Linotype" w:eastAsia="Palatino Linotype" w:hAnsi="Palatino Linotype" w:cs="Palatino Linotype"/>
          <w:sz w:val="24"/>
          <w:szCs w:val="24"/>
        </w:rPr>
        <w:t>, solicitud de acceso a la información pública, registrada bajo el número de expediente</w:t>
      </w:r>
      <w:r w:rsidRPr="00732A17">
        <w:rPr>
          <w:rFonts w:ascii="Verdana" w:eastAsia="Verdana" w:hAnsi="Verdana" w:cs="Verdana"/>
          <w:b/>
        </w:rPr>
        <w:t> </w:t>
      </w:r>
      <w:r w:rsidRPr="00732A17">
        <w:rPr>
          <w:rFonts w:ascii="Palatino Linotype" w:eastAsia="Palatino Linotype" w:hAnsi="Palatino Linotype" w:cs="Palatino Linotype"/>
          <w:b/>
          <w:sz w:val="24"/>
          <w:szCs w:val="24"/>
        </w:rPr>
        <w:t>00170/ATLACOM/IP/2023</w:t>
      </w:r>
      <w:r w:rsidRPr="00732A17">
        <w:rPr>
          <w:rFonts w:ascii="Palatino Linotype" w:eastAsia="Palatino Linotype" w:hAnsi="Palatino Linotype" w:cs="Palatino Linotype"/>
          <w:sz w:val="24"/>
          <w:szCs w:val="24"/>
        </w:rPr>
        <w:t>,</w:t>
      </w:r>
      <w:r w:rsidRPr="00732A17">
        <w:rPr>
          <w:rFonts w:ascii="Palatino Linotype" w:eastAsia="Palatino Linotype" w:hAnsi="Palatino Linotype" w:cs="Palatino Linotype"/>
          <w:b/>
          <w:sz w:val="24"/>
          <w:szCs w:val="24"/>
        </w:rPr>
        <w:t xml:space="preserve"> </w:t>
      </w:r>
      <w:r w:rsidRPr="00732A17">
        <w:rPr>
          <w:rFonts w:ascii="Palatino Linotype" w:eastAsia="Palatino Linotype" w:hAnsi="Palatino Linotype" w:cs="Palatino Linotype"/>
          <w:sz w:val="24"/>
          <w:szCs w:val="24"/>
        </w:rPr>
        <w:t>mediante la cual solicitó la siguiente información:</w:t>
      </w:r>
    </w:p>
    <w:p w:rsidR="00866A2F" w:rsidRPr="00732A17" w:rsidRDefault="00CB7B04">
      <w:pPr>
        <w:tabs>
          <w:tab w:val="left" w:pos="7938"/>
        </w:tabs>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“Solicito la lista de todo el personal del registro civil del Ayuntamiento de Atlacomulco que incluya nombre con apellidos, cargo, fecha de ingreso y sueldo quincenal neto</w:t>
      </w:r>
      <w:proofErr w:type="gramStart"/>
      <w:r w:rsidRPr="00732A17">
        <w:rPr>
          <w:rFonts w:ascii="Palatino Linotype" w:eastAsia="Palatino Linotype" w:hAnsi="Palatino Linotype" w:cs="Palatino Linotype"/>
          <w:i/>
        </w:rPr>
        <w:t>..”</w:t>
      </w:r>
      <w:proofErr w:type="gramEnd"/>
      <w:r w:rsidRPr="00732A17">
        <w:rPr>
          <w:rFonts w:ascii="Palatino Linotype" w:eastAsia="Palatino Linotype" w:hAnsi="Palatino Linotype" w:cs="Palatino Linotype"/>
          <w:i/>
        </w:rPr>
        <w:t xml:space="preserve"> (Sic).</w:t>
      </w:r>
    </w:p>
    <w:p w:rsidR="00866A2F" w:rsidRPr="00732A17" w:rsidRDefault="00866A2F">
      <w:pPr>
        <w:tabs>
          <w:tab w:val="left" w:pos="7938"/>
        </w:tabs>
        <w:spacing w:before="120" w:after="120" w:line="240" w:lineRule="auto"/>
        <w:ind w:left="851" w:right="902"/>
        <w:jc w:val="both"/>
        <w:rPr>
          <w:rFonts w:ascii="Palatino Linotype" w:eastAsia="Palatino Linotype" w:hAnsi="Palatino Linotype" w:cs="Palatino Linotype"/>
          <w:i/>
        </w:rPr>
      </w:pPr>
    </w:p>
    <w:p w:rsidR="00866A2F" w:rsidRPr="00732A17" w:rsidRDefault="00CB7B04">
      <w:pPr>
        <w:spacing w:after="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Modalidad de entrega: A través del </w:t>
      </w:r>
      <w:r w:rsidRPr="00732A17">
        <w:rPr>
          <w:rFonts w:ascii="Palatino Linotype" w:eastAsia="Palatino Linotype" w:hAnsi="Palatino Linotype" w:cs="Palatino Linotype"/>
          <w:b/>
          <w:sz w:val="24"/>
          <w:szCs w:val="24"/>
        </w:rPr>
        <w:t>SAIMEX</w:t>
      </w:r>
      <w:r w:rsidRPr="00732A17">
        <w:rPr>
          <w:rFonts w:ascii="Palatino Linotype" w:eastAsia="Palatino Linotype" w:hAnsi="Palatino Linotype" w:cs="Palatino Linotype"/>
          <w:sz w:val="24"/>
          <w:szCs w:val="24"/>
        </w:rPr>
        <w:t>.</w:t>
      </w:r>
    </w:p>
    <w:p w:rsidR="00866A2F" w:rsidRPr="00732A17" w:rsidRDefault="00CB7B04">
      <w:pPr>
        <w:spacing w:after="0" w:line="360" w:lineRule="auto"/>
        <w:jc w:val="both"/>
      </w:pPr>
      <w:r w:rsidRPr="00732A17">
        <w:rPr>
          <w:rFonts w:ascii="Palatino Linotype" w:eastAsia="Palatino Linotype" w:hAnsi="Palatino Linotype" w:cs="Palatino Linotype"/>
          <w:b/>
          <w:sz w:val="24"/>
          <w:szCs w:val="24"/>
        </w:rPr>
        <w:lastRenderedPageBreak/>
        <w:t xml:space="preserve">2. RESPUESTA.  </w:t>
      </w:r>
      <w:r w:rsidRPr="00732A17">
        <w:rPr>
          <w:rFonts w:ascii="Palatino Linotype" w:eastAsia="Palatino Linotype" w:hAnsi="Palatino Linotype" w:cs="Palatino Linotype"/>
          <w:sz w:val="24"/>
          <w:szCs w:val="24"/>
        </w:rPr>
        <w:t xml:space="preserve">Con fecha diecinueve de junio del dos mil veintitrés, </w:t>
      </w:r>
      <w:r w:rsidRPr="00732A17">
        <w:rPr>
          <w:rFonts w:ascii="Palatino Linotype" w:eastAsia="Palatino Linotype" w:hAnsi="Palatino Linotype" w:cs="Palatino Linotype"/>
          <w:b/>
          <w:sz w:val="24"/>
          <w:szCs w:val="24"/>
        </w:rPr>
        <w:t>EL SUJETO OBLIGADO</w:t>
      </w:r>
      <w:r w:rsidRPr="00732A17">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732A17">
        <w:t xml:space="preserve"> </w:t>
      </w:r>
    </w:p>
    <w:p w:rsidR="00866A2F" w:rsidRPr="00732A17" w:rsidRDefault="00866A2F">
      <w:pPr>
        <w:spacing w:after="0" w:line="360" w:lineRule="auto"/>
        <w:jc w:val="both"/>
      </w:pPr>
    </w:p>
    <w:p w:rsidR="00866A2F" w:rsidRPr="00732A17" w:rsidRDefault="00CB7B04">
      <w:pPr>
        <w:spacing w:after="0" w:line="276" w:lineRule="auto"/>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i/>
        </w:rPr>
        <w:t>“… Se atiende requerimiento y se anexa oficios de respuesta…” (</w:t>
      </w:r>
      <w:proofErr w:type="gramStart"/>
      <w:r w:rsidRPr="00732A17">
        <w:rPr>
          <w:rFonts w:ascii="Palatino Linotype" w:eastAsia="Palatino Linotype" w:hAnsi="Palatino Linotype" w:cs="Palatino Linotype"/>
          <w:i/>
        </w:rPr>
        <w:t>sic</w:t>
      </w:r>
      <w:proofErr w:type="gramEnd"/>
      <w:r w:rsidRPr="00732A17">
        <w:rPr>
          <w:rFonts w:ascii="Palatino Linotype" w:eastAsia="Palatino Linotype" w:hAnsi="Palatino Linotype" w:cs="Palatino Linotype"/>
          <w:i/>
        </w:rPr>
        <w:t>)</w:t>
      </w:r>
    </w:p>
    <w:p w:rsidR="00866A2F" w:rsidRPr="00732A17" w:rsidRDefault="00866A2F">
      <w:pPr>
        <w:spacing w:after="0" w:line="276" w:lineRule="auto"/>
        <w:ind w:left="851" w:right="900"/>
        <w:jc w:val="both"/>
        <w:rPr>
          <w:rFonts w:ascii="Palatino Linotype" w:eastAsia="Palatino Linotype" w:hAnsi="Palatino Linotype" w:cs="Palatino Linotype"/>
          <w:sz w:val="24"/>
          <w:szCs w:val="24"/>
        </w:rPr>
      </w:pPr>
    </w:p>
    <w:p w:rsidR="00866A2F" w:rsidRPr="00732A17" w:rsidRDefault="00CB7B04">
      <w:pPr>
        <w:spacing w:after="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EL SUJETO OBLIGADO</w:t>
      </w:r>
      <w:r w:rsidRPr="00732A17">
        <w:rPr>
          <w:rFonts w:ascii="Palatino Linotype" w:eastAsia="Palatino Linotype" w:hAnsi="Palatino Linotype" w:cs="Palatino Linotype"/>
          <w:sz w:val="24"/>
          <w:szCs w:val="24"/>
        </w:rPr>
        <w:t xml:space="preserve"> adjuntó a su respuesta los archivos electrónicos siguientes</w:t>
      </w:r>
    </w:p>
    <w:p w:rsidR="00866A2F" w:rsidRPr="00732A17" w:rsidRDefault="00CB7B04">
      <w:pPr>
        <w:spacing w:after="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w:t>
      </w:r>
      <w:r w:rsidRPr="00732A17">
        <w:rPr>
          <w:rFonts w:ascii="Palatino Linotype" w:eastAsia="Palatino Linotype" w:hAnsi="Palatino Linotype" w:cs="Palatino Linotype"/>
          <w:b/>
          <w:i/>
          <w:sz w:val="24"/>
          <w:szCs w:val="24"/>
          <w:u w:val="single"/>
        </w:rPr>
        <w:t>0170_RSOL_TM_2023_PERS_REGCIV.pdf</w:t>
      </w:r>
      <w:r w:rsidRPr="00732A17">
        <w:rPr>
          <w:rFonts w:ascii="Palatino Linotype" w:eastAsia="Palatino Linotype" w:hAnsi="Palatino Linotype" w:cs="Palatino Linotype"/>
          <w:sz w:val="24"/>
          <w:szCs w:val="24"/>
        </w:rPr>
        <w:t>”: Oficio de fecha siete de junio de dos mil veintitrés, signado por la Tesorera Municipal, mediante el cual informa al ciudadano que la información solicitada sobre los servidores públicos que laboran en el Registro Civil, es información pública de las obligaciones comunes de acuerdo con el artículo 92 fracción VIII A, por lo que proporciona link donde puede ser consultada de manera directa la información, seleccionando el área que desea consultar.</w:t>
      </w:r>
    </w:p>
    <w:p w:rsidR="00866A2F" w:rsidRPr="00732A17" w:rsidRDefault="00CB7B04">
      <w:pPr>
        <w:spacing w:after="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 “</w:t>
      </w:r>
      <w:r w:rsidRPr="00732A17">
        <w:rPr>
          <w:rFonts w:ascii="Palatino Linotype" w:eastAsia="Palatino Linotype" w:hAnsi="Palatino Linotype" w:cs="Palatino Linotype"/>
          <w:b/>
          <w:sz w:val="24"/>
          <w:szCs w:val="24"/>
          <w:u w:val="single"/>
        </w:rPr>
        <w:t>170_ANEXO_RESP_ADMON_2023.pdf”:</w:t>
      </w:r>
      <w:r w:rsidRPr="00732A17">
        <w:rPr>
          <w:rFonts w:ascii="Palatino Linotype" w:eastAsia="Palatino Linotype" w:hAnsi="Palatino Linotype" w:cs="Palatino Linotype"/>
          <w:sz w:val="24"/>
          <w:szCs w:val="24"/>
        </w:rPr>
        <w:t xml:space="preserve"> Documento que contiene veintiún registros de las personas que laboran en el Registro Civil, especificando fecha de alta, apellido paterno, apellido materno, nombre y cargo, como se muestra a continuación, para mejor referencia: </w:t>
      </w:r>
    </w:p>
    <w:p w:rsidR="00866A2F" w:rsidRPr="00732A17" w:rsidRDefault="00CB7B04">
      <w:pPr>
        <w:spacing w:after="0" w:line="360" w:lineRule="auto"/>
        <w:jc w:val="center"/>
        <w:rPr>
          <w:rFonts w:ascii="Palatino Linotype" w:eastAsia="Palatino Linotype" w:hAnsi="Palatino Linotype" w:cs="Palatino Linotype"/>
          <w:sz w:val="24"/>
          <w:szCs w:val="24"/>
        </w:rPr>
      </w:pPr>
      <w:r w:rsidRPr="00732A17">
        <w:rPr>
          <w:rFonts w:ascii="Palatino Linotype" w:eastAsia="Palatino Linotype" w:hAnsi="Palatino Linotype" w:cs="Palatino Linotype"/>
          <w:noProof/>
          <w:sz w:val="24"/>
          <w:szCs w:val="24"/>
        </w:rPr>
        <w:drawing>
          <wp:inline distT="0" distB="0" distL="0" distR="0">
            <wp:extent cx="3600000" cy="2258600"/>
            <wp:effectExtent l="0" t="0" r="0" b="0"/>
            <wp:docPr id="20675916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b="58671"/>
                    <a:stretch>
                      <a:fillRect/>
                    </a:stretch>
                  </pic:blipFill>
                  <pic:spPr>
                    <a:xfrm>
                      <a:off x="0" y="0"/>
                      <a:ext cx="3600000" cy="2258600"/>
                    </a:xfrm>
                    <a:prstGeom prst="rect">
                      <a:avLst/>
                    </a:prstGeom>
                    <a:ln/>
                  </pic:spPr>
                </pic:pic>
              </a:graphicData>
            </a:graphic>
          </wp:inline>
        </w:drawing>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u w:val="single"/>
        </w:rPr>
        <w:lastRenderedPageBreak/>
        <w:t>- “170_SOL_RESP_ADMON_2023.pdf”:</w:t>
      </w:r>
      <w:r w:rsidRPr="00732A17">
        <w:rPr>
          <w:rFonts w:ascii="Palatino Linotype" w:eastAsia="Palatino Linotype" w:hAnsi="Palatino Linotype" w:cs="Palatino Linotype"/>
          <w:sz w:val="24"/>
          <w:szCs w:val="24"/>
        </w:rPr>
        <w:t xml:space="preserve"> Oficio de fecha catorce de junio de dos mil veintitrés, signado por la Directora de Administración, mediante el cual informa que atendiendo el requerimiento de información, hace de su conocimiento que anexa el listado del personal del Registro Civil.</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bookmarkStart w:id="2" w:name="_heading=h.1fob9te" w:colFirst="0" w:colLast="0"/>
      <w:bookmarkEnd w:id="2"/>
      <w:r w:rsidRPr="00732A17">
        <w:rPr>
          <w:rFonts w:ascii="Palatino Linotype" w:eastAsia="Palatino Linotype" w:hAnsi="Palatino Linotype" w:cs="Palatino Linotype"/>
          <w:b/>
          <w:sz w:val="24"/>
          <w:szCs w:val="24"/>
          <w:u w:val="single"/>
        </w:rPr>
        <w:t>- “0170_RES _2023.pdf”:</w:t>
      </w:r>
      <w:r w:rsidRPr="00732A17">
        <w:rPr>
          <w:rFonts w:ascii="Palatino Linotype" w:eastAsia="Palatino Linotype" w:hAnsi="Palatino Linotype" w:cs="Palatino Linotype"/>
          <w:sz w:val="24"/>
          <w:szCs w:val="24"/>
        </w:rPr>
        <w:t xml:space="preserve"> Oficio de fecha diecinueve de junio de dos mil veintitrés, signado por la Titular de la Unidad de Transparencia, mediante el cual hace del conocimiento del recurrente que se anexa la respuesta a su requerimiento emitida por las Áreas Administrativas correspondientes, una vez turnada al Servidor Público habilitado, así mismo hace de su conocimiento que el recurso de revisión, es una garantía secundaria, mediante la cual, se puede subsanar cualquier posible afectación a su derecho de acceso a la información.</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 </w:t>
      </w:r>
      <w:r w:rsidRPr="00732A17">
        <w:rPr>
          <w:rFonts w:ascii="Palatino Linotype" w:eastAsia="Palatino Linotype" w:hAnsi="Palatino Linotype" w:cs="Palatino Linotype"/>
          <w:b/>
          <w:sz w:val="24"/>
          <w:szCs w:val="24"/>
          <w:u w:val="single"/>
        </w:rPr>
        <w:t>“0170_RES _2023.pdf”:</w:t>
      </w:r>
      <w:r w:rsidRPr="00732A17">
        <w:rPr>
          <w:rFonts w:ascii="Palatino Linotype" w:eastAsia="Palatino Linotype" w:hAnsi="Palatino Linotype" w:cs="Palatino Linotype"/>
          <w:sz w:val="24"/>
          <w:szCs w:val="24"/>
        </w:rPr>
        <w:t xml:space="preserve"> Oficio de fecha diecinueve de junio de dos mil veintitrés, signado por la Titular de la Unidad de Transparencia, mediante el cual hace del conocimiento del recurrente que se anexa la respuesta a su requerimiento emitida por las Áreas Administrativas correspondientes, una vez turnada al Servidor Público habilitado, así mismo hace de su conocimiento que el recurso de revisión, es una garantía secundaria, mediante la cual, se puede subsanar cualquier posible afectación a su derecho de acceso a la información.</w:t>
      </w:r>
    </w:p>
    <w:p w:rsidR="00866A2F" w:rsidRPr="00732A17" w:rsidRDefault="00CB7B04">
      <w:pPr>
        <w:spacing w:before="240" w:after="240" w:line="360" w:lineRule="auto"/>
        <w:ind w:right="-234"/>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 xml:space="preserve">3. DEL RECURSO DE REVISIÓN. </w:t>
      </w:r>
      <w:r w:rsidRPr="00732A17">
        <w:rPr>
          <w:rFonts w:ascii="Palatino Linotype" w:eastAsia="Palatino Linotype" w:hAnsi="Palatino Linotype" w:cs="Palatino Linotype"/>
          <w:sz w:val="24"/>
          <w:szCs w:val="24"/>
        </w:rPr>
        <w:t>Inconforme con la respuesta del</w:t>
      </w:r>
      <w:r w:rsidRPr="00732A17">
        <w:rPr>
          <w:rFonts w:ascii="Palatino Linotype" w:eastAsia="Palatino Linotype" w:hAnsi="Palatino Linotype" w:cs="Palatino Linotype"/>
          <w:b/>
          <w:sz w:val="24"/>
          <w:szCs w:val="24"/>
        </w:rPr>
        <w:t xml:space="preserve"> SUJETO OBLIGADO, </w:t>
      </w:r>
      <w:r w:rsidRPr="00732A17">
        <w:rPr>
          <w:rFonts w:ascii="Palatino Linotype" w:eastAsia="Palatino Linotype" w:hAnsi="Palatino Linotype" w:cs="Palatino Linotype"/>
          <w:sz w:val="24"/>
          <w:szCs w:val="24"/>
        </w:rPr>
        <w:t>en fecha veintisiete de junio de dos mil veintitrés</w:t>
      </w:r>
      <w:r w:rsidRPr="00732A17">
        <w:rPr>
          <w:rFonts w:ascii="Palatino Linotype" w:eastAsia="Palatino Linotype" w:hAnsi="Palatino Linotype" w:cs="Palatino Linotype"/>
          <w:b/>
          <w:sz w:val="24"/>
          <w:szCs w:val="24"/>
        </w:rPr>
        <w:t xml:space="preserve">, LA PARTE RECURRENTE </w:t>
      </w:r>
      <w:r w:rsidRPr="00732A17">
        <w:rPr>
          <w:rFonts w:ascii="Palatino Linotype" w:eastAsia="Palatino Linotype" w:hAnsi="Palatino Linotype" w:cs="Palatino Linotype"/>
          <w:sz w:val="24"/>
          <w:szCs w:val="24"/>
        </w:rPr>
        <w:t>interpuso el recurso de revisión, el cuales fue registrado</w:t>
      </w:r>
      <w:r w:rsidRPr="00732A17">
        <w:rPr>
          <w:rFonts w:ascii="Palatino Linotype" w:eastAsia="Palatino Linotype" w:hAnsi="Palatino Linotype" w:cs="Palatino Linotype"/>
          <w:b/>
          <w:sz w:val="24"/>
          <w:szCs w:val="24"/>
        </w:rPr>
        <w:t xml:space="preserve"> </w:t>
      </w:r>
      <w:r w:rsidRPr="00732A17">
        <w:rPr>
          <w:rFonts w:ascii="Palatino Linotype" w:eastAsia="Palatino Linotype" w:hAnsi="Palatino Linotype" w:cs="Palatino Linotype"/>
          <w:sz w:val="24"/>
          <w:szCs w:val="24"/>
        </w:rPr>
        <w:t xml:space="preserve">en el sistema electrónico con el expediente número </w:t>
      </w:r>
      <w:r w:rsidRPr="00732A17">
        <w:rPr>
          <w:rFonts w:ascii="Palatino Linotype" w:eastAsia="Palatino Linotype" w:hAnsi="Palatino Linotype" w:cs="Palatino Linotype"/>
          <w:b/>
          <w:sz w:val="24"/>
          <w:szCs w:val="24"/>
        </w:rPr>
        <w:t>03714/INFOEM/IP/RR/2023</w:t>
      </w:r>
      <w:r w:rsidRPr="00732A17">
        <w:rPr>
          <w:rFonts w:ascii="Palatino Linotype" w:eastAsia="Palatino Linotype" w:hAnsi="Palatino Linotype" w:cs="Palatino Linotype"/>
          <w:sz w:val="24"/>
          <w:szCs w:val="24"/>
        </w:rPr>
        <w:t xml:space="preserve">, en el cual manifiesta, lo siguiente: </w:t>
      </w:r>
    </w:p>
    <w:p w:rsidR="00866A2F" w:rsidRPr="00732A17" w:rsidRDefault="00CB7B04">
      <w:pPr>
        <w:numPr>
          <w:ilvl w:val="0"/>
          <w:numId w:val="2"/>
        </w:numPr>
        <w:pBdr>
          <w:top w:val="nil"/>
          <w:left w:val="nil"/>
          <w:bottom w:val="nil"/>
          <w:right w:val="nil"/>
          <w:between w:val="nil"/>
        </w:pBdr>
        <w:spacing w:after="240" w:line="360" w:lineRule="auto"/>
        <w:jc w:val="both"/>
        <w:rPr>
          <w:rFonts w:ascii="Palatino Linotype" w:eastAsia="Palatino Linotype" w:hAnsi="Palatino Linotype" w:cs="Palatino Linotype"/>
          <w:b/>
          <w:i/>
          <w:sz w:val="24"/>
          <w:szCs w:val="24"/>
        </w:rPr>
      </w:pPr>
      <w:r w:rsidRPr="00732A17">
        <w:rPr>
          <w:rFonts w:ascii="Palatino Linotype" w:eastAsia="Palatino Linotype" w:hAnsi="Palatino Linotype" w:cs="Palatino Linotype"/>
          <w:b/>
          <w:i/>
          <w:sz w:val="24"/>
          <w:szCs w:val="24"/>
        </w:rPr>
        <w:lastRenderedPageBreak/>
        <w:t>Acto Impugnado:</w:t>
      </w:r>
    </w:p>
    <w:p w:rsidR="00866A2F" w:rsidRPr="00732A17" w:rsidRDefault="00CB7B04">
      <w:pPr>
        <w:tabs>
          <w:tab w:val="left" w:pos="8222"/>
        </w:tabs>
        <w:spacing w:before="240" w:after="240" w:line="276" w:lineRule="auto"/>
        <w:ind w:left="851" w:right="616"/>
        <w:jc w:val="both"/>
        <w:rPr>
          <w:rFonts w:ascii="Palatino Linotype" w:eastAsia="Palatino Linotype" w:hAnsi="Palatino Linotype" w:cs="Palatino Linotype"/>
          <w:i/>
        </w:rPr>
      </w:pPr>
      <w:r w:rsidRPr="00732A17">
        <w:rPr>
          <w:rFonts w:ascii="Palatino Linotype" w:eastAsia="Palatino Linotype" w:hAnsi="Palatino Linotype" w:cs="Palatino Linotype"/>
          <w:i/>
        </w:rPr>
        <w:t>“Sin acceso a la liga.” [</w:t>
      </w:r>
      <w:proofErr w:type="gramStart"/>
      <w:r w:rsidRPr="00732A17">
        <w:rPr>
          <w:rFonts w:ascii="Palatino Linotype" w:eastAsia="Palatino Linotype" w:hAnsi="Palatino Linotype" w:cs="Palatino Linotype"/>
          <w:i/>
        </w:rPr>
        <w:t>sic</w:t>
      </w:r>
      <w:proofErr w:type="gramEnd"/>
      <w:r w:rsidRPr="00732A17">
        <w:rPr>
          <w:rFonts w:ascii="Palatino Linotype" w:eastAsia="Palatino Linotype" w:hAnsi="Palatino Linotype" w:cs="Palatino Linotype"/>
          <w:i/>
        </w:rPr>
        <w:t>]</w:t>
      </w:r>
    </w:p>
    <w:p w:rsidR="00866A2F" w:rsidRPr="00732A17" w:rsidRDefault="00CB7B04">
      <w:pPr>
        <w:numPr>
          <w:ilvl w:val="0"/>
          <w:numId w:val="2"/>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732A17">
        <w:rPr>
          <w:rFonts w:ascii="Palatino Linotype" w:eastAsia="Palatino Linotype" w:hAnsi="Palatino Linotype" w:cs="Palatino Linotype"/>
          <w:b/>
          <w:i/>
          <w:sz w:val="24"/>
          <w:szCs w:val="24"/>
        </w:rPr>
        <w:t>Razones o Motivos de Inconformidad</w:t>
      </w:r>
      <w:r w:rsidRPr="00732A17">
        <w:rPr>
          <w:rFonts w:ascii="Palatino Linotype" w:eastAsia="Palatino Linotype" w:hAnsi="Palatino Linotype" w:cs="Palatino Linotype"/>
          <w:i/>
          <w:sz w:val="24"/>
          <w:szCs w:val="24"/>
        </w:rPr>
        <w:t>:</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sz w:val="24"/>
          <w:szCs w:val="24"/>
        </w:rPr>
        <w:t>“</w:t>
      </w:r>
      <w:r w:rsidRPr="00732A17">
        <w:rPr>
          <w:rFonts w:ascii="Palatino Linotype" w:eastAsia="Palatino Linotype" w:hAnsi="Palatino Linotype" w:cs="Palatino Linotype"/>
          <w:i/>
        </w:rPr>
        <w:t xml:space="preserve">Solicito de la manera más atenta </w:t>
      </w:r>
      <w:r w:rsidRPr="00732A17">
        <w:rPr>
          <w:rFonts w:ascii="Palatino Linotype" w:eastAsia="Palatino Linotype" w:hAnsi="Palatino Linotype" w:cs="Palatino Linotype"/>
          <w:b/>
          <w:i/>
        </w:rPr>
        <w:t>colocar la liga con el acceso en el que se pueda acceder fácilmente</w:t>
      </w:r>
      <w:r w:rsidRPr="00732A17">
        <w:rPr>
          <w:rFonts w:ascii="Palatino Linotype" w:eastAsia="Palatino Linotype" w:hAnsi="Palatino Linotype" w:cs="Palatino Linotype"/>
          <w:i/>
        </w:rPr>
        <w:t xml:space="preserve">, ya que ponen la liga para entrar a ver la información solicitada en una hoja escaneada donde no se puede acceder ni copiar la liga, considero que es demasiado grande la liga para ir anotando letra por letra para poder entrar, si la lista solicitada era solo una hoja, </w:t>
      </w:r>
      <w:r w:rsidRPr="00732A17">
        <w:rPr>
          <w:rFonts w:ascii="Palatino Linotype" w:eastAsia="Palatino Linotype" w:hAnsi="Palatino Linotype" w:cs="Palatino Linotype"/>
          <w:b/>
          <w:i/>
        </w:rPr>
        <w:t>por qué eliminar la columna de sueldos</w:t>
      </w:r>
      <w:r w:rsidRPr="00732A17">
        <w:rPr>
          <w:rFonts w:ascii="Palatino Linotype" w:eastAsia="Palatino Linotype" w:hAnsi="Palatino Linotype" w:cs="Palatino Linotype"/>
          <w:i/>
        </w:rPr>
        <w:t xml:space="preserve"> si no es tan grande el archivo.” [</w:t>
      </w:r>
      <w:proofErr w:type="gramStart"/>
      <w:r w:rsidRPr="00732A17">
        <w:rPr>
          <w:rFonts w:ascii="Palatino Linotype" w:eastAsia="Palatino Linotype" w:hAnsi="Palatino Linotype" w:cs="Palatino Linotype"/>
          <w:i/>
        </w:rPr>
        <w:t>sic</w:t>
      </w:r>
      <w:proofErr w:type="gramEnd"/>
      <w:r w:rsidRPr="00732A17">
        <w:rPr>
          <w:rFonts w:ascii="Palatino Linotype" w:eastAsia="Palatino Linotype" w:hAnsi="Palatino Linotype" w:cs="Palatino Linotype"/>
          <w:i/>
        </w:rPr>
        <w:t>]</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 xml:space="preserve">4. TURNO. </w:t>
      </w:r>
      <w:r w:rsidRPr="00732A17">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732A17">
        <w:rPr>
          <w:rFonts w:ascii="Palatino Linotype" w:eastAsia="Palatino Linotype" w:hAnsi="Palatino Linotype" w:cs="Palatino Linotype"/>
          <w:b/>
          <w:sz w:val="24"/>
          <w:szCs w:val="24"/>
        </w:rPr>
        <w:t xml:space="preserve">Guadalupe Ramírez Peña, </w:t>
      </w:r>
      <w:r w:rsidRPr="00732A17">
        <w:rPr>
          <w:rFonts w:ascii="Palatino Linotype" w:eastAsia="Palatino Linotype" w:hAnsi="Palatino Linotype" w:cs="Palatino Linotype"/>
          <w:sz w:val="24"/>
          <w:szCs w:val="24"/>
        </w:rPr>
        <w:t xml:space="preserve">a efecto de que analizara sobre su admisión o su </w:t>
      </w:r>
      <w:proofErr w:type="spellStart"/>
      <w:r w:rsidRPr="00732A17">
        <w:rPr>
          <w:rFonts w:ascii="Palatino Linotype" w:eastAsia="Palatino Linotype" w:hAnsi="Palatino Linotype" w:cs="Palatino Linotype"/>
          <w:sz w:val="24"/>
          <w:szCs w:val="24"/>
        </w:rPr>
        <w:t>desechamiento</w:t>
      </w:r>
      <w:proofErr w:type="spellEnd"/>
      <w:r w:rsidRPr="00732A17">
        <w:rPr>
          <w:rFonts w:ascii="Palatino Linotype" w:eastAsia="Palatino Linotype" w:hAnsi="Palatino Linotype" w:cs="Palatino Linotype"/>
          <w:sz w:val="24"/>
          <w:szCs w:val="24"/>
        </w:rPr>
        <w:t>.</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5. ADMISIÓN DEL RECURSO DE REVISIÓN.</w:t>
      </w:r>
      <w:r w:rsidRPr="00732A17">
        <w:rPr>
          <w:rFonts w:ascii="Palatino Linotype" w:eastAsia="Palatino Linotype" w:hAnsi="Palatino Linotype" w:cs="Palatino Linotype"/>
          <w:sz w:val="24"/>
          <w:szCs w:val="24"/>
        </w:rPr>
        <w:t xml:space="preserve"> Con fecha</w:t>
      </w:r>
      <w:r w:rsidRPr="00732A17">
        <w:rPr>
          <w:rFonts w:ascii="Palatino Linotype" w:eastAsia="Palatino Linotype" w:hAnsi="Palatino Linotype" w:cs="Palatino Linotype"/>
          <w:b/>
          <w:sz w:val="24"/>
          <w:szCs w:val="24"/>
        </w:rPr>
        <w:t xml:space="preserve"> treinta de junio de dos mil veintitrés, </w:t>
      </w:r>
      <w:r w:rsidRPr="00732A17">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presentara su informe justificado.</w:t>
      </w:r>
    </w:p>
    <w:p w:rsidR="00866A2F" w:rsidRPr="00732A17" w:rsidRDefault="00CB7B04">
      <w:pPr>
        <w:spacing w:before="240" w:after="24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7. MANIFESTACIONES.</w:t>
      </w:r>
      <w:r w:rsidRPr="00732A17">
        <w:rPr>
          <w:rFonts w:ascii="Palatino Linotype" w:eastAsia="Palatino Linotype" w:hAnsi="Palatino Linotype" w:cs="Palatino Linotype"/>
          <w:sz w:val="24"/>
          <w:szCs w:val="24"/>
        </w:rPr>
        <w:t xml:space="preserve"> El seis de julio de dos mil veintitrés se recibió, a través del Sistema de Acceso a la Información Mexiquense (SAIMEX), el Informe </w:t>
      </w:r>
      <w:r w:rsidRPr="00732A17">
        <w:rPr>
          <w:rFonts w:ascii="Palatino Linotype" w:eastAsia="Palatino Linotype" w:hAnsi="Palatino Linotype" w:cs="Palatino Linotype"/>
          <w:sz w:val="24"/>
          <w:szCs w:val="24"/>
        </w:rPr>
        <w:lastRenderedPageBreak/>
        <w:t xml:space="preserve">Justificado del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w:t>
      </w:r>
      <w:r w:rsidRPr="00732A17">
        <w:rPr>
          <w:rFonts w:ascii="Palatino Linotype" w:eastAsia="Palatino Linotype" w:hAnsi="Palatino Linotype" w:cs="Palatino Linotype"/>
          <w:b/>
          <w:sz w:val="24"/>
          <w:szCs w:val="24"/>
        </w:rPr>
        <w:t xml:space="preserve"> </w:t>
      </w:r>
      <w:r w:rsidRPr="00732A17">
        <w:rPr>
          <w:rFonts w:ascii="Palatino Linotype" w:eastAsia="Palatino Linotype" w:hAnsi="Palatino Linotype" w:cs="Palatino Linotype"/>
          <w:sz w:val="24"/>
          <w:szCs w:val="24"/>
        </w:rPr>
        <w:t xml:space="preserve">a través de los siguientes archivos electrónicos: </w:t>
      </w:r>
    </w:p>
    <w:p w:rsidR="00866A2F" w:rsidRPr="00732A17" w:rsidRDefault="00CB7B04">
      <w:pPr>
        <w:spacing w:after="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w:t>
      </w:r>
      <w:r w:rsidRPr="00732A17">
        <w:rPr>
          <w:rFonts w:ascii="Palatino Linotype" w:eastAsia="Palatino Linotype" w:hAnsi="Palatino Linotype" w:cs="Palatino Linotype"/>
          <w:b/>
          <w:i/>
          <w:sz w:val="24"/>
          <w:szCs w:val="24"/>
          <w:u w:val="single"/>
        </w:rPr>
        <w:t>informe justificado SOL_0170_RR_03704_2023 (1) (1).</w:t>
      </w:r>
      <w:proofErr w:type="spellStart"/>
      <w:r w:rsidRPr="00732A17">
        <w:rPr>
          <w:rFonts w:ascii="Palatino Linotype" w:eastAsia="Palatino Linotype" w:hAnsi="Palatino Linotype" w:cs="Palatino Linotype"/>
          <w:b/>
          <w:i/>
          <w:sz w:val="24"/>
          <w:szCs w:val="24"/>
          <w:u w:val="single"/>
        </w:rPr>
        <w:t>pdf</w:t>
      </w:r>
      <w:proofErr w:type="spellEnd"/>
      <w:r w:rsidRPr="00732A17">
        <w:rPr>
          <w:rFonts w:ascii="Palatino Linotype" w:eastAsia="Palatino Linotype" w:hAnsi="Palatino Linotype" w:cs="Palatino Linotype"/>
          <w:sz w:val="24"/>
          <w:szCs w:val="24"/>
        </w:rPr>
        <w:t xml:space="preserve">”: Oficio signado por la Titular de la Unidad de Transparencia, mediante el cual describe las constancias que obran en el SAIMEX, y manifiesta que mediante el oficio TMA/STE/571/07/2023, de fecha cuatro de julio de dos mil veintitrés, el servidor público habilitado, siendo la tesorera municipal, modifica su respuesta. </w:t>
      </w:r>
    </w:p>
    <w:p w:rsidR="00866A2F" w:rsidRPr="00732A17" w:rsidRDefault="00CB7B04">
      <w:pPr>
        <w:spacing w:after="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i/>
          <w:sz w:val="24"/>
          <w:szCs w:val="24"/>
          <w:u w:val="single"/>
        </w:rPr>
        <w:t>- “0170_SOL_3704_RR_RESP_TESORERIA_2023.pdf</w:t>
      </w:r>
      <w:r w:rsidRPr="00732A17">
        <w:rPr>
          <w:rFonts w:ascii="Palatino Linotype" w:eastAsia="Palatino Linotype" w:hAnsi="Palatino Linotype" w:cs="Palatino Linotype"/>
          <w:b/>
          <w:sz w:val="24"/>
          <w:szCs w:val="24"/>
          <w:u w:val="single"/>
        </w:rPr>
        <w:t>”</w:t>
      </w:r>
      <w:r w:rsidRPr="00732A17">
        <w:rPr>
          <w:rFonts w:ascii="Palatino Linotype" w:eastAsia="Palatino Linotype" w:hAnsi="Palatino Linotype" w:cs="Palatino Linotype"/>
          <w:sz w:val="24"/>
          <w:szCs w:val="24"/>
        </w:rPr>
        <w:t>: Oficio de fecha cuatro de julio de dos mil veintitrés, signado por la tesorera municipal, mediante el cual y en atención a los motivos de inconformidad expuestos por el recurrente, proporciona un link más corto y con mayor facilidad de acceso, mencionando que dicho link direcciona a la información publicada en la plataforma IPOMEX, información que se proporcionó en la respuesta de inicio, agregando la siguiente captura de pantalla:</w:t>
      </w:r>
    </w:p>
    <w:p w:rsidR="00866A2F" w:rsidRPr="00732A17" w:rsidRDefault="00CB7B04">
      <w:pPr>
        <w:spacing w:after="0" w:line="360" w:lineRule="auto"/>
        <w:jc w:val="center"/>
        <w:rPr>
          <w:rFonts w:ascii="Palatino Linotype" w:eastAsia="Palatino Linotype" w:hAnsi="Palatino Linotype" w:cs="Palatino Linotype"/>
          <w:sz w:val="24"/>
          <w:szCs w:val="24"/>
        </w:rPr>
      </w:pPr>
      <w:r w:rsidRPr="00732A17">
        <w:rPr>
          <w:noProof/>
        </w:rPr>
        <w:drawing>
          <wp:inline distT="0" distB="0" distL="0" distR="0">
            <wp:extent cx="4383434" cy="3021913"/>
            <wp:effectExtent l="0" t="0" r="0" b="0"/>
            <wp:docPr id="206759162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9"/>
                    <a:srcRect l="33797" t="28968" r="34564" b="43573"/>
                    <a:stretch>
                      <a:fillRect/>
                    </a:stretch>
                  </pic:blipFill>
                  <pic:spPr>
                    <a:xfrm>
                      <a:off x="0" y="0"/>
                      <a:ext cx="4383434" cy="3021913"/>
                    </a:xfrm>
                    <a:prstGeom prst="rect">
                      <a:avLst/>
                    </a:prstGeom>
                    <a:ln/>
                  </pic:spPr>
                </pic:pic>
              </a:graphicData>
            </a:graphic>
          </wp:inline>
        </w:drawing>
      </w:r>
    </w:p>
    <w:p w:rsidR="00866A2F" w:rsidRPr="00732A17" w:rsidRDefault="00866A2F">
      <w:pPr>
        <w:spacing w:before="240" w:after="240" w:line="360" w:lineRule="auto"/>
        <w:jc w:val="both"/>
        <w:rPr>
          <w:rFonts w:ascii="Palatino Linotype" w:eastAsia="Palatino Linotype" w:hAnsi="Palatino Linotype" w:cs="Palatino Linotype"/>
          <w:sz w:val="24"/>
          <w:szCs w:val="24"/>
        </w:rPr>
      </w:pP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lastRenderedPageBreak/>
        <w:t xml:space="preserve">Mismo que se puso a la vista de </w:t>
      </w:r>
      <w:r w:rsidRPr="00732A17">
        <w:rPr>
          <w:rFonts w:ascii="Palatino Linotype" w:eastAsia="Palatino Linotype" w:hAnsi="Palatino Linotype" w:cs="Palatino Linotype"/>
          <w:b/>
          <w:sz w:val="24"/>
          <w:szCs w:val="24"/>
        </w:rPr>
        <w:t xml:space="preserve">LA PARTE RECURRENTE </w:t>
      </w:r>
      <w:r w:rsidRPr="00732A17">
        <w:rPr>
          <w:rFonts w:ascii="Palatino Linotype" w:eastAsia="Palatino Linotype" w:hAnsi="Palatino Linotype" w:cs="Palatino Linotype"/>
          <w:sz w:val="24"/>
          <w:szCs w:val="24"/>
        </w:rPr>
        <w:t xml:space="preserve">en fecha cuatro de octubre de dos mil veintitrés, misma que resultó omisa de emitir sus manifestaciones conforme a derecho le corresponde. </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8. AMPLIACIÓN DEL TÉRMINO PARA RESOLVER</w:t>
      </w:r>
      <w:r w:rsidRPr="00732A17">
        <w:rPr>
          <w:rFonts w:ascii="Palatino Linotype" w:eastAsia="Palatino Linotype" w:hAnsi="Palatino Linotype" w:cs="Palatino Linotype"/>
          <w:sz w:val="24"/>
          <w:szCs w:val="24"/>
        </w:rPr>
        <w:t>.</w:t>
      </w:r>
      <w:r w:rsidRPr="00732A17">
        <w:rPr>
          <w:rFonts w:ascii="Palatino Linotype" w:eastAsia="Palatino Linotype" w:hAnsi="Palatino Linotype" w:cs="Palatino Linotype"/>
        </w:rPr>
        <w:t xml:space="preserve"> </w:t>
      </w:r>
      <w:r w:rsidRPr="00732A17">
        <w:rPr>
          <w:rFonts w:ascii="Palatino Linotype" w:eastAsia="Palatino Linotype" w:hAnsi="Palatino Linotype" w:cs="Palatino Linotype"/>
          <w:sz w:val="24"/>
          <w:szCs w:val="24"/>
        </w:rPr>
        <w:t xml:space="preserve">El doce de octubre de dos mil veintitrés, se amplió el término para resolver el recurso de revisión en términos del artículo 181 párrafo tercero de la Ley de Transparencia y Acceso a la Información Pública del Estado de México y Municipios. </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personal encargado de la proyección de las resoluciones a dichos medios de impugnación.</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Así, en términos de lo que establecen los artículos 8.1 y 25 de la Convención Americana sobre Derechos Humanos, los recursos deben ser sencillos y resolverse </w:t>
      </w:r>
      <w:r w:rsidRPr="00732A17">
        <w:rPr>
          <w:rFonts w:ascii="Palatino Linotype" w:eastAsia="Palatino Linotype" w:hAnsi="Palatino Linotype" w:cs="Palatino Linotype"/>
          <w:sz w:val="24"/>
          <w:szCs w:val="24"/>
        </w:rPr>
        <w:lastRenderedPageBreak/>
        <w:t>en el menor tiempo posible, tomando en consideración la dilación total del procedimiento; esto es, en un plazo razonable.</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866A2F" w:rsidRPr="00732A17" w:rsidRDefault="00CB7B04">
      <w:pPr>
        <w:spacing w:before="240" w:after="240" w:line="360" w:lineRule="auto"/>
        <w:jc w:val="both"/>
        <w:rPr>
          <w:rFonts w:ascii="Palatino Linotype" w:eastAsia="Palatino Linotype" w:hAnsi="Palatino Linotype" w:cs="Palatino Linotype"/>
          <w:strike/>
          <w:sz w:val="24"/>
          <w:szCs w:val="24"/>
        </w:rPr>
      </w:pPr>
      <w:r w:rsidRPr="00732A17">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866A2F" w:rsidRPr="00732A17" w:rsidRDefault="00CB7B04">
      <w:pPr>
        <w:numPr>
          <w:ilvl w:val="0"/>
          <w:numId w:val="1"/>
        </w:num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rsidR="00866A2F" w:rsidRPr="00732A17" w:rsidRDefault="00CB7B04">
      <w:pPr>
        <w:numPr>
          <w:ilvl w:val="0"/>
          <w:numId w:val="1"/>
        </w:num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Actividad Procesal del interesado. Acciones u omisiones del interesado.</w:t>
      </w:r>
    </w:p>
    <w:p w:rsidR="00866A2F" w:rsidRPr="00732A17" w:rsidRDefault="00CB7B04">
      <w:pPr>
        <w:numPr>
          <w:ilvl w:val="0"/>
          <w:numId w:val="1"/>
        </w:num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866A2F" w:rsidRPr="00732A17" w:rsidRDefault="00CB7B04">
      <w:pPr>
        <w:spacing w:before="240" w:after="240" w:line="360" w:lineRule="auto"/>
        <w:ind w:left="567"/>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w:t>
      </w:r>
      <w:r w:rsidRPr="00732A17">
        <w:rPr>
          <w:rFonts w:ascii="Palatino Linotype" w:eastAsia="Palatino Linotype" w:hAnsi="Palatino Linotype" w:cs="Palatino Linotype"/>
          <w:sz w:val="24"/>
          <w:szCs w:val="24"/>
        </w:rPr>
        <w:lastRenderedPageBreak/>
        <w:t>relación con la actuación del funcionario, como ha acontecido en el caso que nos ocupa.</w:t>
      </w:r>
    </w:p>
    <w:p w:rsidR="00866A2F" w:rsidRPr="00732A17" w:rsidRDefault="00CB7B04">
      <w:pPr>
        <w:spacing w:before="240" w:after="240" w:line="360" w:lineRule="auto"/>
        <w:jc w:val="both"/>
        <w:rPr>
          <w:rFonts w:ascii="Palatino Linotype" w:eastAsia="Palatino Linotype" w:hAnsi="Palatino Linotype" w:cs="Palatino Linotype"/>
          <w:b/>
          <w:sz w:val="24"/>
          <w:szCs w:val="24"/>
        </w:rPr>
      </w:pPr>
      <w:r w:rsidRPr="00732A17">
        <w:rPr>
          <w:rFonts w:ascii="Palatino Linotype" w:eastAsia="Palatino Linotype" w:hAnsi="Palatino Linotype" w:cs="Palatino Linotype"/>
          <w:sz w:val="24"/>
          <w:szCs w:val="24"/>
        </w:rPr>
        <w:t>Argumento que encuentra sustento en la jurisprudencia P</w:t>
      </w:r>
      <w:proofErr w:type="gramStart"/>
      <w:r w:rsidRPr="00732A17">
        <w:rPr>
          <w:rFonts w:ascii="Palatino Linotype" w:eastAsia="Palatino Linotype" w:hAnsi="Palatino Linotype" w:cs="Palatino Linotype"/>
          <w:sz w:val="24"/>
          <w:szCs w:val="24"/>
        </w:rPr>
        <w:t>./</w:t>
      </w:r>
      <w:proofErr w:type="gramEnd"/>
      <w:r w:rsidRPr="00732A17">
        <w:rPr>
          <w:rFonts w:ascii="Palatino Linotype" w:eastAsia="Palatino Linotype" w:hAnsi="Palatino Linotype" w:cs="Palatino Linotype"/>
          <w:sz w:val="24"/>
          <w:szCs w:val="24"/>
        </w:rPr>
        <w:t xml:space="preserve">J. 32/92 emitida por el Pleno de la Suprema Corte de Justicia de la Nación de rubro </w:t>
      </w:r>
      <w:r w:rsidRPr="00732A17">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sidRPr="00732A17">
        <w:rPr>
          <w:rFonts w:ascii="Palatino Linotype" w:eastAsia="Palatino Linotype" w:hAnsi="Palatino Linotype" w:cs="Palatino Linotype"/>
          <w:sz w:val="24"/>
          <w:szCs w:val="24"/>
        </w:rPr>
        <w:t>, visible en la Gaceta del Seminario Judicial de la Federación con el registro digital 205635.</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866A2F" w:rsidRPr="00732A17" w:rsidRDefault="00CB7B04">
      <w:pPr>
        <w:spacing w:before="240" w:after="240"/>
        <w:ind w:left="851" w:right="902"/>
        <w:jc w:val="both"/>
        <w:rPr>
          <w:rFonts w:ascii="Palatino Linotype" w:eastAsia="Palatino Linotype" w:hAnsi="Palatino Linotype" w:cs="Palatino Linotype"/>
        </w:rPr>
      </w:pPr>
      <w:r w:rsidRPr="00732A17">
        <w:rPr>
          <w:rFonts w:ascii="Palatino Linotype" w:eastAsia="Palatino Linotype" w:hAnsi="Palatino Linotype" w:cs="Palatino Linotype"/>
        </w:rPr>
        <w:lastRenderedPageBreak/>
        <w:t xml:space="preserve"> </w:t>
      </w: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PLAZO RAZONABLE PARA RESOLVER. DIMENSIÓN Y EFECTOS DE ESTE CONCEPTO CUANDO SE ADUCE EXCESIVA CARGA DE TRABAJO</w:t>
      </w:r>
      <w:r w:rsidRPr="00732A17">
        <w:rPr>
          <w:rFonts w:ascii="Palatino Linotype" w:eastAsia="Palatino Linotype" w:hAnsi="Palatino Linotype" w:cs="Palatino Linotype"/>
          <w:i/>
        </w:rPr>
        <w:t>.”</w:t>
      </w:r>
      <w:r w:rsidRPr="00732A17">
        <w:rPr>
          <w:rFonts w:ascii="Palatino Linotype" w:eastAsia="Palatino Linotype" w:hAnsi="Palatino Linotype" w:cs="Palatino Linotype"/>
        </w:rPr>
        <w:t xml:space="preserve"> consultable en el Seminario Judicial de la Federación y su gaceta, con el registro digital 2002351.</w:t>
      </w:r>
    </w:p>
    <w:p w:rsidR="00866A2F" w:rsidRPr="00732A17" w:rsidRDefault="00CB7B04">
      <w:pPr>
        <w:spacing w:before="240" w:after="240"/>
        <w:ind w:left="851" w:right="902"/>
        <w:jc w:val="both"/>
        <w:rPr>
          <w:rFonts w:ascii="Palatino Linotype" w:eastAsia="Palatino Linotype" w:hAnsi="Palatino Linotype" w:cs="Palatino Linotype"/>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PLAZO RAZONABLE PARA RESOLVER. CONCEPTO Y ELEMENTOS QUE LO INTEGRAN A LA LUZ DEL DERECHO INTERNACIONAL DE LOS DERECHOS HUMANOS</w:t>
      </w:r>
      <w:r w:rsidRPr="00732A17">
        <w:rPr>
          <w:rFonts w:ascii="Palatino Linotype" w:eastAsia="Palatino Linotype" w:hAnsi="Palatino Linotype" w:cs="Palatino Linotype"/>
          <w:i/>
        </w:rPr>
        <w:t>.”</w:t>
      </w:r>
      <w:r w:rsidRPr="00732A17">
        <w:rPr>
          <w:rFonts w:ascii="Palatino Linotype" w:eastAsia="Palatino Linotype" w:hAnsi="Palatino Linotype" w:cs="Palatino Linotype"/>
        </w:rPr>
        <w:t>, visible en el Seminario Judicial de la Federación y su gaceta, con el registro digital 2002350.</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 xml:space="preserve">9. DEL CIERRE DE INSTRUCCIÓN. </w:t>
      </w:r>
      <w:r w:rsidRPr="00732A17">
        <w:rPr>
          <w:rFonts w:ascii="Palatino Linotype" w:eastAsia="Palatino Linotype" w:hAnsi="Palatino Linotype" w:cs="Palatino Linotype"/>
          <w:sz w:val="24"/>
          <w:szCs w:val="24"/>
        </w:rPr>
        <w:t>El doce de octubre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866A2F" w:rsidRPr="00732A17" w:rsidRDefault="00CB7B04">
      <w:pPr>
        <w:widowControl w:val="0"/>
        <w:spacing w:before="240" w:after="240" w:line="360" w:lineRule="auto"/>
        <w:jc w:val="center"/>
        <w:rPr>
          <w:rFonts w:ascii="Palatino Linotype" w:eastAsia="Palatino Linotype" w:hAnsi="Palatino Linotype" w:cs="Palatino Linotype"/>
          <w:b/>
          <w:sz w:val="24"/>
          <w:szCs w:val="24"/>
        </w:rPr>
      </w:pPr>
      <w:r w:rsidRPr="00732A17">
        <w:rPr>
          <w:rFonts w:ascii="Palatino Linotype" w:eastAsia="Palatino Linotype" w:hAnsi="Palatino Linotype" w:cs="Palatino Linotype"/>
          <w:b/>
          <w:sz w:val="24"/>
          <w:szCs w:val="24"/>
        </w:rPr>
        <w:t>C O N S I D E R A N D O 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PRIMERO. COMPETENCIA.</w:t>
      </w:r>
      <w:r w:rsidRPr="00732A17">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w:t>
      </w:r>
      <w:r w:rsidRPr="00732A17">
        <w:rPr>
          <w:rFonts w:ascii="Palatino Linotype" w:eastAsia="Palatino Linotype" w:hAnsi="Palatino Linotype" w:cs="Palatino Linotype"/>
          <w:sz w:val="24"/>
          <w:szCs w:val="24"/>
        </w:rPr>
        <w:lastRenderedPageBreak/>
        <w:t xml:space="preserve">interpuesto por la parte recurrente, conforme a lo dispuesto en los artículos 6, apartado A de la Constitución Política de los Estados Unidos Mexicanos; 5 párrafos </w:t>
      </w:r>
      <w:proofErr w:type="spellStart"/>
      <w:r w:rsidRPr="00732A17">
        <w:rPr>
          <w:rFonts w:ascii="Palatino Linotype" w:eastAsia="Palatino Linotype" w:hAnsi="Palatino Linotype" w:cs="Palatino Linotype"/>
          <w:sz w:val="24"/>
          <w:szCs w:val="24"/>
        </w:rPr>
        <w:t>párrafos</w:t>
      </w:r>
      <w:proofErr w:type="spellEnd"/>
      <w:r w:rsidRPr="00732A17">
        <w:rPr>
          <w:rFonts w:ascii="Palatino Linotype" w:eastAsia="Palatino Linotype" w:hAnsi="Palatino Linotype" w:cs="Palatino Linotype"/>
          <w:sz w:val="24"/>
          <w:szCs w:val="24"/>
        </w:rPr>
        <w:t xml:space="preserve">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866A2F" w:rsidRPr="00732A17" w:rsidRDefault="00CB7B04">
      <w:pPr>
        <w:spacing w:before="240" w:after="240" w:line="360" w:lineRule="auto"/>
        <w:ind w:right="-234"/>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 xml:space="preserve">SEGUNDO. OPORTUNIDAD Y PROCEDIBILIDAD DEL RECURSO DE REVISIÓN.  </w:t>
      </w:r>
      <w:r w:rsidRPr="00732A17">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732A17">
        <w:rPr>
          <w:rFonts w:ascii="Palatino Linotype" w:eastAsia="Palatino Linotype" w:hAnsi="Palatino Linotype" w:cs="Palatino Linotype"/>
          <w:sz w:val="24"/>
          <w:szCs w:val="24"/>
        </w:rPr>
        <w:t>procedibilidad</w:t>
      </w:r>
      <w:proofErr w:type="spellEnd"/>
      <w:r w:rsidRPr="00732A17">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732A17">
        <w:rPr>
          <w:rFonts w:ascii="Palatino Linotype" w:eastAsia="Palatino Linotype" w:hAnsi="Palatino Linotype" w:cs="Palatino Linotype"/>
          <w:b/>
          <w:sz w:val="24"/>
          <w:szCs w:val="24"/>
        </w:rPr>
        <w:t xml:space="preserve"> EL SUJETO OBLIGADO </w:t>
      </w:r>
      <w:r w:rsidRPr="00732A17">
        <w:rPr>
          <w:rFonts w:ascii="Palatino Linotype" w:eastAsia="Palatino Linotype" w:hAnsi="Palatino Linotype" w:cs="Palatino Linotype"/>
          <w:sz w:val="24"/>
          <w:szCs w:val="24"/>
        </w:rPr>
        <w:t xml:space="preserve">emitió la respuesta, toda vez que esta fue pronunciada el día diecinueve de junio del año dos mil veintitrés, mientras que </w:t>
      </w:r>
      <w:r w:rsidRPr="00732A17">
        <w:rPr>
          <w:rFonts w:ascii="Palatino Linotype" w:eastAsia="Palatino Linotype" w:hAnsi="Palatino Linotype" w:cs="Palatino Linotype"/>
          <w:b/>
          <w:sz w:val="24"/>
          <w:szCs w:val="24"/>
        </w:rPr>
        <w:t>LA PARTE RECURRENTE</w:t>
      </w:r>
      <w:r w:rsidRPr="00732A17">
        <w:rPr>
          <w:rFonts w:ascii="Palatino Linotype" w:eastAsia="Palatino Linotype" w:hAnsi="Palatino Linotype" w:cs="Palatino Linotype"/>
          <w:sz w:val="24"/>
          <w:szCs w:val="24"/>
        </w:rPr>
        <w:t xml:space="preserve"> interpuso el recurso de revisión en fecha veintisiete de junio de dos mil veintitrés, esto es al sexto día hábil de haber recibido la respuesta.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ese sentido, al considerar la fecha en que se formuló la solicitud y la fecha en la que respondió a esta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así como, en la que se interpuso el </w:t>
      </w:r>
      <w:r w:rsidRPr="00732A17">
        <w:rPr>
          <w:rFonts w:ascii="Palatino Linotype" w:eastAsia="Palatino Linotype" w:hAnsi="Palatino Linotype" w:cs="Palatino Linotype"/>
          <w:sz w:val="24"/>
          <w:szCs w:val="24"/>
        </w:rPr>
        <w:lastRenderedPageBreak/>
        <w:t>recurso de revisión, este se encuentra dentro de los márgenes temporales previstos en el citado precepto legal.</w:t>
      </w:r>
    </w:p>
    <w:p w:rsidR="00866A2F" w:rsidRPr="00732A17" w:rsidRDefault="00CB7B04">
      <w:pPr>
        <w:spacing w:before="240" w:after="240" w:line="360" w:lineRule="auto"/>
        <w:jc w:val="both"/>
        <w:rPr>
          <w:rFonts w:ascii="Palatino Linotype" w:eastAsia="Palatino Linotype" w:hAnsi="Palatino Linotype" w:cs="Palatino Linotype"/>
          <w:b/>
          <w:sz w:val="24"/>
          <w:szCs w:val="24"/>
        </w:rPr>
      </w:pPr>
      <w:r w:rsidRPr="00732A17">
        <w:rPr>
          <w:rFonts w:ascii="Palatino Linotype" w:eastAsia="Palatino Linotype" w:hAnsi="Palatino Linotype" w:cs="Palatino Linotype"/>
          <w:sz w:val="24"/>
          <w:szCs w:val="24"/>
        </w:rPr>
        <w:t xml:space="preserve">De acuerdo al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732A17">
        <w:rPr>
          <w:rFonts w:ascii="Palatino Linotype" w:eastAsia="Palatino Linotype" w:hAnsi="Palatino Linotype" w:cs="Palatino Linotype"/>
          <w:b/>
          <w:sz w:val="24"/>
          <w:szCs w:val="24"/>
        </w:rPr>
        <w:t>EL SAIMEX.</w:t>
      </w:r>
    </w:p>
    <w:p w:rsidR="00866A2F" w:rsidRPr="00732A17" w:rsidRDefault="00CB7B04">
      <w:pPr>
        <w:pBdr>
          <w:top w:val="nil"/>
          <w:left w:val="nil"/>
          <w:bottom w:val="nil"/>
          <w:right w:val="nil"/>
          <w:between w:val="nil"/>
        </w:pBdr>
        <w:spacing w:before="240" w:after="240" w:line="360" w:lineRule="auto"/>
        <w:ind w:right="-147"/>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Finalmente, resulta procedente la interposición del recurso, según lo aducido por </w:t>
      </w:r>
      <w:r w:rsidRPr="00732A17">
        <w:rPr>
          <w:rFonts w:ascii="Palatino Linotype" w:eastAsia="Palatino Linotype" w:hAnsi="Palatino Linotype" w:cs="Palatino Linotype"/>
          <w:b/>
          <w:sz w:val="24"/>
          <w:szCs w:val="24"/>
        </w:rPr>
        <w:t>LA PARTE RECURRENTE</w:t>
      </w:r>
      <w:r w:rsidRPr="00732A17">
        <w:rPr>
          <w:rFonts w:ascii="Palatino Linotype" w:eastAsia="Palatino Linotype" w:hAnsi="Palatino Linotype" w:cs="Palatino Linotype"/>
          <w:sz w:val="24"/>
          <w:szCs w:val="24"/>
        </w:rPr>
        <w:t xml:space="preserve"> en sus razones o motivos de inconformidad, de acuerdo al artículo 179, fracciones V y IX de la Ley de Transparencia y Acceso a la Información Pública del Estado de México y Municipios; que a la letra dice:</w:t>
      </w:r>
    </w:p>
    <w:p w:rsidR="00866A2F" w:rsidRPr="00732A17" w:rsidRDefault="00CB7B04">
      <w:pPr>
        <w:spacing w:before="120" w:after="120" w:line="240" w:lineRule="auto"/>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Artículo 179.</w:t>
      </w:r>
      <w:r w:rsidRPr="00732A17">
        <w:rPr>
          <w:rFonts w:ascii="Palatino Linotype" w:eastAsia="Palatino Linotype" w:hAnsi="Palatino Linotype" w:cs="Palatino Linotype"/>
          <w:i/>
        </w:rPr>
        <w:t xml:space="preserve"> El recurso de revisión es un medio de protección que la Ley otorga a los particulares, para hacer valer su derecho de acceso a la información pública, y procederá en contra de las siguientes causas:</w:t>
      </w:r>
    </w:p>
    <w:p w:rsidR="00866A2F" w:rsidRPr="00732A17" w:rsidRDefault="00CB7B04">
      <w:pPr>
        <w:spacing w:before="120" w:after="120" w:line="240" w:lineRule="auto"/>
        <w:ind w:left="1134" w:right="902"/>
        <w:jc w:val="both"/>
        <w:rPr>
          <w:rFonts w:ascii="Palatino Linotype" w:eastAsia="Palatino Linotype" w:hAnsi="Palatino Linotype" w:cs="Palatino Linotype"/>
          <w:b/>
          <w:i/>
        </w:rPr>
      </w:pPr>
      <w:r w:rsidRPr="00732A17">
        <w:rPr>
          <w:rFonts w:ascii="Palatino Linotype" w:eastAsia="Palatino Linotype" w:hAnsi="Palatino Linotype" w:cs="Palatino Linotype"/>
          <w:b/>
          <w:i/>
        </w:rPr>
        <w:t>…</w:t>
      </w:r>
    </w:p>
    <w:p w:rsidR="00866A2F" w:rsidRPr="00732A17" w:rsidRDefault="00CB7B04">
      <w:pPr>
        <w:spacing w:before="120" w:after="120" w:line="240" w:lineRule="auto"/>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V.</w:t>
      </w:r>
      <w:r w:rsidRPr="00732A17">
        <w:rPr>
          <w:rFonts w:ascii="Palatino Linotype" w:eastAsia="Palatino Linotype" w:hAnsi="Palatino Linotype" w:cs="Palatino Linotype"/>
          <w:i/>
        </w:rPr>
        <w:t xml:space="preserve"> La entrega de información incompleta;</w:t>
      </w:r>
    </w:p>
    <w:p w:rsidR="00866A2F" w:rsidRPr="00732A17" w:rsidRDefault="00CB7B04">
      <w:pPr>
        <w:spacing w:before="120" w:after="120" w:line="240" w:lineRule="auto"/>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w:t>
      </w:r>
    </w:p>
    <w:p w:rsidR="00866A2F" w:rsidRPr="00732A17" w:rsidRDefault="00CB7B04">
      <w:pPr>
        <w:spacing w:before="120" w:after="120" w:line="240" w:lineRule="auto"/>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IX.</w:t>
      </w:r>
      <w:r w:rsidRPr="00732A17">
        <w:rPr>
          <w:rFonts w:ascii="Palatino Linotype" w:eastAsia="Palatino Linotype" w:hAnsi="Palatino Linotype" w:cs="Palatino Linotype"/>
          <w:i/>
        </w:rPr>
        <w:t xml:space="preserve"> La entrega o puesta a disposición de información en un formato incomprensible y/o no accesible para el solicitante;  “</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 xml:space="preserve">TERCERO. MATERIA DE LA REVISIÓN. </w:t>
      </w:r>
      <w:r w:rsidRPr="00732A17">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e informe justificado otorgado por </w:t>
      </w:r>
      <w:r w:rsidRPr="00732A17">
        <w:rPr>
          <w:rFonts w:ascii="Palatino Linotype" w:eastAsia="Palatino Linotype" w:hAnsi="Palatino Linotype" w:cs="Palatino Linotype"/>
          <w:b/>
          <w:sz w:val="24"/>
          <w:szCs w:val="24"/>
        </w:rPr>
        <w:t>EL</w:t>
      </w:r>
      <w:r w:rsidRPr="00732A17">
        <w:rPr>
          <w:rFonts w:ascii="Palatino Linotype" w:eastAsia="Palatino Linotype" w:hAnsi="Palatino Linotype" w:cs="Palatino Linotype"/>
          <w:sz w:val="24"/>
          <w:szCs w:val="24"/>
        </w:rPr>
        <w:t xml:space="preserve">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es adecuada y suficiente para satisfacer el derecho de acceso </w:t>
      </w:r>
      <w:r w:rsidRPr="00732A17">
        <w:rPr>
          <w:rFonts w:ascii="Palatino Linotype" w:eastAsia="Palatino Linotype" w:hAnsi="Palatino Linotype" w:cs="Palatino Linotype"/>
          <w:sz w:val="24"/>
          <w:szCs w:val="24"/>
        </w:rPr>
        <w:lastRenderedPageBreak/>
        <w:t xml:space="preserve">a la información pública de </w:t>
      </w:r>
      <w:r w:rsidRPr="00732A17">
        <w:rPr>
          <w:rFonts w:ascii="Palatino Linotype" w:eastAsia="Palatino Linotype" w:hAnsi="Palatino Linotype" w:cs="Palatino Linotype"/>
          <w:b/>
          <w:sz w:val="24"/>
          <w:szCs w:val="24"/>
        </w:rPr>
        <w:t>LA PARTE</w:t>
      </w:r>
      <w:r w:rsidRPr="00732A17">
        <w:rPr>
          <w:rFonts w:ascii="Palatino Linotype" w:eastAsia="Palatino Linotype" w:hAnsi="Palatino Linotype" w:cs="Palatino Linotype"/>
          <w:sz w:val="24"/>
          <w:szCs w:val="24"/>
        </w:rPr>
        <w:t xml:space="preserve"> </w:t>
      </w:r>
      <w:r w:rsidRPr="00732A17">
        <w:rPr>
          <w:rFonts w:ascii="Palatino Linotype" w:eastAsia="Palatino Linotype" w:hAnsi="Palatino Linotype" w:cs="Palatino Linotype"/>
          <w:b/>
          <w:sz w:val="24"/>
          <w:szCs w:val="24"/>
        </w:rPr>
        <w:t>RECURRENTE</w:t>
      </w:r>
      <w:r w:rsidRPr="00732A17">
        <w:rPr>
          <w:rFonts w:ascii="Palatino Linotype" w:eastAsia="Palatino Linotype" w:hAnsi="Palatino Linotype" w:cs="Palatino Linotype"/>
          <w:sz w:val="24"/>
          <w:szCs w:val="24"/>
        </w:rPr>
        <w:t>, o en su defecto, en caso de ser procedente, ordenar la entrega de información oportuna.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 xml:space="preserve">CUARTO. ESTUDIO Y RESOLUCIÓN DEL ASUNTO.  </w:t>
      </w:r>
      <w:r w:rsidRPr="00732A17">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866A2F" w:rsidRPr="00732A17" w:rsidRDefault="00CB7B04">
      <w:pPr>
        <w:tabs>
          <w:tab w:val="left" w:pos="709"/>
        </w:tabs>
        <w:spacing w:before="120" w:after="120" w:line="240" w:lineRule="auto"/>
        <w:ind w:left="851" w:right="850"/>
        <w:jc w:val="both"/>
        <w:rPr>
          <w:rFonts w:ascii="Palatino Linotype" w:eastAsia="Palatino Linotype" w:hAnsi="Palatino Linotype" w:cs="Palatino Linotype"/>
          <w:i/>
        </w:rPr>
      </w:pPr>
      <w:r w:rsidRPr="00732A17">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732A17">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866A2F" w:rsidRPr="00732A17" w:rsidRDefault="00CB7B04">
      <w:pPr>
        <w:tabs>
          <w:tab w:val="left" w:pos="709"/>
        </w:tabs>
        <w:spacing w:before="120" w:after="120" w:line="240" w:lineRule="auto"/>
        <w:ind w:left="851" w:right="850"/>
        <w:jc w:val="both"/>
        <w:rPr>
          <w:rFonts w:ascii="Palatino Linotype" w:eastAsia="Palatino Linotype" w:hAnsi="Palatino Linotype" w:cs="Palatino Linotype"/>
          <w:b/>
          <w:i/>
        </w:rPr>
      </w:pPr>
      <w:r w:rsidRPr="00732A17">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866A2F" w:rsidRPr="00732A17" w:rsidRDefault="00CB7B04">
      <w:pPr>
        <w:tabs>
          <w:tab w:val="left" w:pos="709"/>
        </w:tabs>
        <w:spacing w:before="120" w:after="120" w:line="240" w:lineRule="auto"/>
        <w:ind w:left="851" w:right="850"/>
        <w:jc w:val="both"/>
        <w:rPr>
          <w:rFonts w:ascii="Palatino Linotype" w:eastAsia="Palatino Linotype" w:hAnsi="Palatino Linotype" w:cs="Palatino Linotype"/>
          <w:i/>
        </w:rPr>
      </w:pPr>
      <w:r w:rsidRPr="00732A17">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32A17">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866A2F" w:rsidRPr="00732A17" w:rsidRDefault="00CB7B04">
      <w:pPr>
        <w:tabs>
          <w:tab w:val="left" w:pos="709"/>
        </w:tabs>
        <w:spacing w:before="120" w:after="120" w:line="240" w:lineRule="auto"/>
        <w:ind w:left="851" w:right="850"/>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spacing w:before="120" w:after="120" w:line="240" w:lineRule="auto"/>
        <w:ind w:left="851" w:right="901"/>
        <w:jc w:val="both"/>
        <w:rPr>
          <w:rFonts w:ascii="Palatino Linotype" w:eastAsia="Palatino Linotype" w:hAnsi="Palatino Linotype" w:cs="Palatino Linotype"/>
          <w:i/>
        </w:rPr>
      </w:pPr>
      <w:r w:rsidRPr="00732A17">
        <w:rPr>
          <w:rFonts w:ascii="Palatino Linotype" w:eastAsia="Palatino Linotype" w:hAnsi="Palatino Linotype" w:cs="Palatino Linotype"/>
          <w:b/>
          <w:i/>
        </w:rPr>
        <w:t>“Artículo 6o.</w:t>
      </w:r>
    </w:p>
    <w:p w:rsidR="00866A2F" w:rsidRPr="00732A17" w:rsidRDefault="00CB7B04">
      <w:pPr>
        <w:spacing w:before="120" w:after="120" w:line="240" w:lineRule="auto"/>
        <w:ind w:left="851" w:right="901"/>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spacing w:before="120" w:after="120" w:line="240"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A. Para el ejercicio del derecho de acceso a la información, la Federación y </w:t>
      </w:r>
      <w:r w:rsidRPr="00732A17">
        <w:rPr>
          <w:rFonts w:ascii="Palatino Linotype" w:eastAsia="Palatino Linotype" w:hAnsi="Palatino Linotype" w:cs="Palatino Linotype"/>
          <w:b/>
          <w:i/>
          <w:u w:val="single"/>
        </w:rPr>
        <w:t>las entidades federativas</w:t>
      </w:r>
      <w:r w:rsidRPr="00732A17">
        <w:rPr>
          <w:rFonts w:ascii="Palatino Linotype" w:eastAsia="Palatino Linotype" w:hAnsi="Palatino Linotype" w:cs="Palatino Linotype"/>
          <w:b/>
          <w:i/>
        </w:rPr>
        <w:t>,</w:t>
      </w:r>
      <w:r w:rsidRPr="00732A17">
        <w:rPr>
          <w:rFonts w:ascii="Palatino Linotype" w:eastAsia="Palatino Linotype" w:hAnsi="Palatino Linotype" w:cs="Palatino Linotype"/>
          <w:i/>
        </w:rPr>
        <w:t xml:space="preserve"> en el ámbito de sus respectivas competencias, se regirán por los siguientes principios y bases:</w:t>
      </w:r>
    </w:p>
    <w:p w:rsidR="00866A2F" w:rsidRPr="00732A17" w:rsidRDefault="00CB7B04">
      <w:pPr>
        <w:spacing w:before="120" w:after="120" w:line="240"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i/>
        </w:rPr>
        <w:lastRenderedPageBreak/>
        <w:t> </w:t>
      </w:r>
      <w:r w:rsidRPr="00732A17">
        <w:rPr>
          <w:rFonts w:ascii="Palatino Linotype" w:eastAsia="Palatino Linotype" w:hAnsi="Palatino Linotype" w:cs="Palatino Linotype"/>
          <w:b/>
          <w:i/>
        </w:rPr>
        <w:t xml:space="preserve">I. </w:t>
      </w:r>
      <w:r w:rsidRPr="00732A17">
        <w:rPr>
          <w:rFonts w:ascii="Palatino Linotype" w:eastAsia="Palatino Linotype" w:hAnsi="Palatino Linotype" w:cs="Palatino Linotype"/>
          <w:b/>
          <w:i/>
          <w:u w:val="single"/>
        </w:rPr>
        <w:t>Toda la información en posesión de cualquier autoridad, entidad, órgano y organismo de los Poderes</w:t>
      </w:r>
      <w:r w:rsidRPr="00732A17">
        <w:rPr>
          <w:rFonts w:ascii="Palatino Linotype" w:eastAsia="Palatino Linotype" w:hAnsi="Palatino Linotype" w:cs="Palatino Linotype"/>
          <w:i/>
        </w:rPr>
        <w:t xml:space="preserve"> Ejecutivo, Legislativo </w:t>
      </w:r>
      <w:r w:rsidRPr="00732A17">
        <w:rPr>
          <w:rFonts w:ascii="Palatino Linotype" w:eastAsia="Palatino Linotype" w:hAnsi="Palatino Linotype" w:cs="Palatino Linotype"/>
          <w:b/>
          <w:i/>
          <w:u w:val="single"/>
        </w:rPr>
        <w:t>y Judicial</w:t>
      </w:r>
      <w:r w:rsidRPr="00732A17">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732A17">
        <w:rPr>
          <w:rFonts w:ascii="Palatino Linotype" w:eastAsia="Palatino Linotype" w:hAnsi="Palatino Linotype" w:cs="Palatino Linotype"/>
          <w:b/>
          <w:i/>
        </w:rPr>
        <w:t>es pública y sólo podrá ser reservada temporalmente por razones de interés público y seguridad nacional,</w:t>
      </w:r>
      <w:r w:rsidRPr="00732A17">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66A2F" w:rsidRPr="00732A17" w:rsidRDefault="00CB7B04">
      <w:pPr>
        <w:spacing w:before="120" w:after="120" w:line="240" w:lineRule="auto"/>
        <w:ind w:left="851" w:right="851"/>
        <w:jc w:val="both"/>
        <w:rPr>
          <w:rFonts w:ascii="Palatino Linotype" w:eastAsia="Palatino Linotype" w:hAnsi="Palatino Linotype" w:cs="Palatino Linotype"/>
          <w:b/>
          <w:i/>
        </w:rPr>
      </w:pPr>
      <w:r w:rsidRPr="00732A17">
        <w:rPr>
          <w:rFonts w:ascii="Palatino Linotype" w:eastAsia="Palatino Linotype" w:hAnsi="Palatino Linotype" w:cs="Palatino Linotype"/>
          <w:i/>
        </w:rPr>
        <w:t> </w:t>
      </w:r>
      <w:r w:rsidRPr="00732A17">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866A2F" w:rsidRPr="00732A17" w:rsidRDefault="00CB7B04">
      <w:pPr>
        <w:spacing w:before="120" w:after="120" w:line="240"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III. </w:t>
      </w:r>
      <w:r w:rsidRPr="00732A17">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732A17">
        <w:rPr>
          <w:rFonts w:ascii="Palatino Linotype" w:eastAsia="Palatino Linotype" w:hAnsi="Palatino Linotype" w:cs="Palatino Linotype"/>
          <w:i/>
        </w:rPr>
        <w:t xml:space="preserve"> a sus datos personales o a la rectificación de éstos.</w:t>
      </w:r>
    </w:p>
    <w:p w:rsidR="00866A2F" w:rsidRPr="00732A17" w:rsidRDefault="00CB7B04">
      <w:pPr>
        <w:spacing w:before="120" w:after="120" w:line="240"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i/>
        </w:rPr>
        <w:t> </w:t>
      </w:r>
      <w:r w:rsidRPr="00732A17">
        <w:rPr>
          <w:rFonts w:ascii="Palatino Linotype" w:eastAsia="Palatino Linotype" w:hAnsi="Palatino Linotype" w:cs="Palatino Linotype"/>
          <w:b/>
          <w:i/>
        </w:rPr>
        <w:t xml:space="preserve">IV. </w:t>
      </w:r>
      <w:r w:rsidRPr="00732A17">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866A2F" w:rsidRPr="00732A17" w:rsidRDefault="00CB7B04">
      <w:pPr>
        <w:spacing w:before="120" w:after="120" w:line="240"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V. </w:t>
      </w:r>
      <w:r w:rsidRPr="00732A17">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866A2F" w:rsidRPr="00732A17" w:rsidRDefault="00CB7B04">
      <w:pPr>
        <w:spacing w:before="120" w:after="120" w:line="240"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i/>
        </w:rPr>
        <w:t> </w:t>
      </w:r>
      <w:r w:rsidRPr="00732A17">
        <w:rPr>
          <w:rFonts w:ascii="Palatino Linotype" w:eastAsia="Palatino Linotype" w:hAnsi="Palatino Linotype" w:cs="Palatino Linotype"/>
          <w:b/>
          <w:i/>
        </w:rPr>
        <w:t xml:space="preserve">VI. </w:t>
      </w:r>
      <w:r w:rsidRPr="00732A17">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 </w:t>
      </w:r>
    </w:p>
    <w:p w:rsidR="00866A2F" w:rsidRPr="00732A17" w:rsidRDefault="00CB7B04">
      <w:pPr>
        <w:spacing w:before="120" w:after="120" w:line="240"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VII. </w:t>
      </w:r>
      <w:r w:rsidRPr="00732A17">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866A2F" w:rsidRPr="00732A17" w:rsidRDefault="00CB7B04">
      <w:pPr>
        <w:tabs>
          <w:tab w:val="left" w:pos="709"/>
        </w:tabs>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w:t>
      </w:r>
      <w:r w:rsidRPr="00732A17">
        <w:rPr>
          <w:rFonts w:ascii="Palatino Linotype" w:eastAsia="Palatino Linotype" w:hAnsi="Palatino Linotype" w:cs="Palatino Linotype"/>
          <w:sz w:val="24"/>
          <w:szCs w:val="24"/>
        </w:rPr>
        <w:lastRenderedPageBreak/>
        <w:t>con las excepciones enmarcadas, para lo cual queda demostrado que el presente sujeto obligado debe cumplir con dichos dispositivos legales.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primer lugar, es conveniente analizar si la respuesta del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Artículo 4.</w:t>
      </w:r>
      <w:r w:rsidRPr="00732A17">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732A17">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732A17">
        <w:rPr>
          <w:rFonts w:ascii="Palatino Linotype" w:eastAsia="Palatino Linotype" w:hAnsi="Palatino Linotype" w:cs="Palatino Linotype"/>
          <w:i/>
        </w:rPr>
        <w:t>.”(Sic)</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lastRenderedPageBreak/>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Artículo 12.-</w:t>
      </w:r>
      <w:r w:rsidRPr="00732A17">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r w:rsidRPr="00732A17">
        <w:rPr>
          <w:rFonts w:ascii="Palatino Linotype" w:eastAsia="Palatino Linotype" w:hAnsi="Palatino Linotype" w:cs="Palatino Linotype"/>
          <w:strike/>
          <w:sz w:val="24"/>
          <w:szCs w:val="24"/>
        </w:rPr>
        <w:t xml:space="preserve"> </w:t>
      </w:r>
    </w:p>
    <w:p w:rsidR="00866A2F" w:rsidRPr="00732A17" w:rsidRDefault="00CB7B04">
      <w:pPr>
        <w:spacing w:before="240" w:after="24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w:t>
      </w:r>
      <w:r w:rsidRPr="00732A17">
        <w:rPr>
          <w:rFonts w:ascii="Palatino Linotype" w:eastAsia="Palatino Linotype" w:hAnsi="Palatino Linotype" w:cs="Palatino Linotype"/>
          <w:sz w:val="24"/>
          <w:szCs w:val="24"/>
        </w:rPr>
        <w:lastRenderedPageBreak/>
        <w:t>Ley de Transparencia y Acceso a la Información Pública del Estado de México y Municipios.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866A2F" w:rsidRPr="00732A17" w:rsidRDefault="00CB7B04">
      <w:pPr>
        <w:spacing w:before="120" w:after="120" w:line="240"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b/>
          <w:i/>
        </w:rPr>
        <w:t>“Artículo 18.</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732A17">
        <w:rPr>
          <w:rFonts w:ascii="Palatino Linotype" w:eastAsia="Palatino Linotype" w:hAnsi="Palatino Linotype" w:cs="Palatino Linotype"/>
          <w:i/>
        </w:rPr>
        <w:t xml:space="preserve"> y reutilización de la información que generen.</w:t>
      </w:r>
    </w:p>
    <w:p w:rsidR="00866A2F" w:rsidRPr="00732A17" w:rsidRDefault="00CB7B04">
      <w:pPr>
        <w:spacing w:before="120" w:after="120" w:line="240"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Artículo 19. </w:t>
      </w:r>
      <w:r w:rsidRPr="00732A17">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Pr="00732A17">
        <w:rPr>
          <w:rFonts w:ascii="Palatino Linotype" w:eastAsia="Palatino Linotype" w:hAnsi="Palatino Linotype" w:cs="Palatino Linotype"/>
          <w:i/>
        </w:rPr>
        <w:t>.</w:t>
      </w:r>
    </w:p>
    <w:p w:rsidR="00866A2F" w:rsidRPr="00732A17" w:rsidRDefault="00CB7B04">
      <w:pPr>
        <w:spacing w:line="276"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866A2F" w:rsidRPr="00732A17" w:rsidRDefault="00CB7B04">
      <w:pPr>
        <w:spacing w:after="0" w:line="276" w:lineRule="auto"/>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866A2F" w:rsidRPr="00732A17" w:rsidRDefault="00866A2F">
      <w:pPr>
        <w:spacing w:after="0" w:line="276" w:lineRule="auto"/>
        <w:ind w:left="851" w:right="851"/>
        <w:jc w:val="both"/>
        <w:rPr>
          <w:rFonts w:ascii="Palatino Linotype" w:eastAsia="Palatino Linotype" w:hAnsi="Palatino Linotype" w:cs="Palatino Linotype"/>
          <w:i/>
        </w:rPr>
      </w:pP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lastRenderedPageBreak/>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“Artículo 3. </w:t>
      </w:r>
      <w:r w:rsidRPr="00732A17">
        <w:rPr>
          <w:rFonts w:ascii="Palatino Linotype" w:eastAsia="Palatino Linotype" w:hAnsi="Palatino Linotype" w:cs="Palatino Linotype"/>
          <w:i/>
        </w:rPr>
        <w:t>Para los efectos de la presente Ley se entenderá por:</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XI. Documento:</w:t>
      </w:r>
      <w:r w:rsidRPr="00732A17">
        <w:rPr>
          <w:rFonts w:ascii="Palatino Linotype" w:eastAsia="Palatino Linotype" w:hAnsi="Palatino Linotype" w:cs="Palatino Linotype"/>
          <w:i/>
        </w:rPr>
        <w:t xml:space="preserve"> Los expedientes, reportes, estudios, actas</w:t>
      </w:r>
      <w:r w:rsidRPr="00732A17">
        <w:rPr>
          <w:rFonts w:ascii="Palatino Linotype" w:eastAsia="Palatino Linotype" w:hAnsi="Palatino Linotype" w:cs="Palatino Linotype"/>
          <w:b/>
          <w:i/>
        </w:rPr>
        <w:t>,</w:t>
      </w:r>
      <w:r w:rsidRPr="00732A17">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866A2F" w:rsidRPr="00732A17" w:rsidRDefault="00866A2F">
      <w:pPr>
        <w:spacing w:after="0" w:line="276" w:lineRule="auto"/>
        <w:ind w:left="851" w:right="899"/>
        <w:jc w:val="both"/>
        <w:rPr>
          <w:rFonts w:ascii="Palatino Linotype" w:eastAsia="Palatino Linotype" w:hAnsi="Palatino Linotype" w:cs="Palatino Linotype"/>
          <w:i/>
        </w:rPr>
      </w:pPr>
    </w:p>
    <w:p w:rsidR="00866A2F" w:rsidRPr="00732A17" w:rsidRDefault="00CB7B04">
      <w:pPr>
        <w:spacing w:after="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rPr>
        <w:t>“</w:t>
      </w:r>
      <w:r w:rsidRPr="00732A17">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732A17">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w:t>
      </w:r>
      <w:r w:rsidRPr="00732A17">
        <w:rPr>
          <w:rFonts w:ascii="Palatino Linotype" w:eastAsia="Palatino Linotype" w:hAnsi="Palatino Linotype" w:cs="Palatino Linotype"/>
          <w:i/>
        </w:rPr>
        <w:lastRenderedPageBreak/>
        <w:t>archivos, registros y documentos públicos, administrados, generados o en posesión de los órganos u organismos públicos, en virtud del ejercicio de sus funciones de derecho público, sin importar su fuente, soporte o fecha de elaboración.</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En consecuencia el acceso a la información se refiere a que se cumplan cualquiera de los siguientes tres supuestos:</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De ahí que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732A17">
        <w:rPr>
          <w:rFonts w:ascii="Palatino Linotype" w:eastAsia="Palatino Linotype" w:hAnsi="Palatino Linotype" w:cs="Palatino Linotype"/>
          <w:sz w:val="24"/>
          <w:szCs w:val="24"/>
          <w:vertAlign w:val="superscript"/>
        </w:rPr>
        <w:footnoteReference w:id="1"/>
      </w:r>
      <w:r w:rsidRPr="00732A17">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732A17">
        <w:rPr>
          <w:rFonts w:ascii="Palatino Linotype" w:eastAsia="Palatino Linotype" w:hAnsi="Palatino Linotype" w:cs="Palatino Linotype"/>
          <w:sz w:val="24"/>
          <w:szCs w:val="24"/>
          <w:vertAlign w:val="superscript"/>
        </w:rPr>
        <w:footnoteReference w:id="2"/>
      </w:r>
      <w:r w:rsidRPr="00732A17">
        <w:rPr>
          <w:rFonts w:ascii="Palatino Linotype" w:eastAsia="Palatino Linotype" w:hAnsi="Palatino Linotype" w:cs="Palatino Linotype"/>
          <w:sz w:val="24"/>
          <w:szCs w:val="24"/>
        </w:rPr>
        <w:t xml:space="preserve">, como pudiera tratarse de </w:t>
      </w:r>
      <w:r w:rsidRPr="00732A17">
        <w:rPr>
          <w:rFonts w:ascii="Palatino Linotype" w:eastAsia="Palatino Linotype" w:hAnsi="Palatino Linotype" w:cs="Palatino Linotype"/>
          <w:sz w:val="24"/>
          <w:szCs w:val="24"/>
        </w:rPr>
        <w:lastRenderedPageBreak/>
        <w:t>aquella relacionada con las obligaciones de transparencia señaladas en los artículos 92 y 94 de la Ley de la Materia.</w:t>
      </w:r>
    </w:p>
    <w:p w:rsidR="00866A2F" w:rsidRPr="00732A17" w:rsidRDefault="00CB7B04">
      <w:pPr>
        <w:spacing w:before="240" w:after="240" w:line="360" w:lineRule="auto"/>
        <w:jc w:val="both"/>
        <w:rPr>
          <w:rFonts w:ascii="Palatino Linotype" w:eastAsia="Palatino Linotype" w:hAnsi="Palatino Linotype" w:cs="Palatino Linotype"/>
          <w:b/>
          <w:sz w:val="24"/>
          <w:szCs w:val="24"/>
        </w:rPr>
      </w:pPr>
      <w:r w:rsidRPr="00732A17">
        <w:rPr>
          <w:rFonts w:ascii="Palatino Linotype" w:eastAsia="Palatino Linotype" w:hAnsi="Palatino Linotype" w:cs="Palatino Linotype"/>
          <w:sz w:val="24"/>
          <w:szCs w:val="24"/>
        </w:rPr>
        <w:t xml:space="preserve">En este sentido, cabe reiterar que la persona solicitante requirió al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lo siguiente</w:t>
      </w:r>
      <w:r w:rsidRPr="00732A17">
        <w:rPr>
          <w:rFonts w:ascii="Palatino Linotype" w:eastAsia="Palatino Linotype" w:hAnsi="Palatino Linotype" w:cs="Palatino Linotype"/>
          <w:b/>
          <w:sz w:val="24"/>
          <w:szCs w:val="24"/>
        </w:rPr>
        <w:t>:</w:t>
      </w:r>
    </w:p>
    <w:p w:rsidR="00866A2F" w:rsidRPr="00732A17" w:rsidRDefault="00CB7B04">
      <w:pPr>
        <w:pBdr>
          <w:top w:val="nil"/>
          <w:left w:val="nil"/>
          <w:bottom w:val="nil"/>
          <w:right w:val="nil"/>
          <w:between w:val="nil"/>
        </w:pBdr>
        <w:spacing w:before="240" w:after="240" w:line="360" w:lineRule="auto"/>
        <w:ind w:left="426"/>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1. La lista del personal del Registro Civil, que incluya nombre completo, fecha de ingreso y sueldo quincenal neto.</w:t>
      </w:r>
    </w:p>
    <w:p w:rsidR="00866A2F" w:rsidRPr="00732A17" w:rsidRDefault="00CB7B04">
      <w:pPr>
        <w:spacing w:before="240" w:after="240" w:line="360" w:lineRule="auto"/>
        <w:jc w:val="both"/>
      </w:pPr>
      <w:r w:rsidRPr="00732A17">
        <w:rPr>
          <w:rFonts w:ascii="Palatino Linotype" w:eastAsia="Palatino Linotype" w:hAnsi="Palatino Linotype" w:cs="Palatino Linotype"/>
          <w:sz w:val="24"/>
          <w:szCs w:val="24"/>
        </w:rPr>
        <w:t xml:space="preserve">En respuesta, </w:t>
      </w:r>
      <w:r w:rsidRPr="00732A17">
        <w:rPr>
          <w:rFonts w:ascii="Palatino Linotype" w:eastAsia="Palatino Linotype" w:hAnsi="Palatino Linotype" w:cs="Palatino Linotype"/>
          <w:b/>
          <w:sz w:val="24"/>
          <w:szCs w:val="24"/>
        </w:rPr>
        <w:t xml:space="preserve">EL SUJETO OBLIGADO </w:t>
      </w:r>
      <w:r w:rsidRPr="00732A17">
        <w:rPr>
          <w:rFonts w:ascii="Palatino Linotype" w:eastAsia="Palatino Linotype" w:hAnsi="Palatino Linotype" w:cs="Palatino Linotype"/>
          <w:sz w:val="24"/>
          <w:szCs w:val="24"/>
        </w:rPr>
        <w:t xml:space="preserve">por medio de la Dirección de Administración y Servidora Pública Habilitada, proporcionó un listado que contiene nombre con apellidos, cargo y fecha de alta, de veintiún servidores públicos, como se muestra a continuación: </w:t>
      </w:r>
    </w:p>
    <w:p w:rsidR="00866A2F" w:rsidRPr="00732A17" w:rsidRDefault="00CB7B04">
      <w:pPr>
        <w:spacing w:after="0" w:line="360" w:lineRule="auto"/>
        <w:jc w:val="center"/>
        <w:rPr>
          <w:rFonts w:ascii="Palatino Linotype" w:eastAsia="Palatino Linotype" w:hAnsi="Palatino Linotype" w:cs="Palatino Linotype"/>
          <w:sz w:val="24"/>
          <w:szCs w:val="24"/>
        </w:rPr>
      </w:pPr>
      <w:r w:rsidRPr="00732A17">
        <w:rPr>
          <w:noProof/>
        </w:rPr>
        <w:drawing>
          <wp:inline distT="0" distB="0" distL="0" distR="0">
            <wp:extent cx="3770630" cy="3562350"/>
            <wp:effectExtent l="0" t="0" r="1270" b="0"/>
            <wp:docPr id="20675916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rotWithShape="1">
                    <a:blip r:embed="rId10"/>
                    <a:srcRect l="33051" t="16270" r="47014" b="50243"/>
                    <a:stretch/>
                  </pic:blipFill>
                  <pic:spPr bwMode="auto">
                    <a:xfrm>
                      <a:off x="0" y="0"/>
                      <a:ext cx="3771737" cy="3563396"/>
                    </a:xfrm>
                    <a:prstGeom prst="rect">
                      <a:avLst/>
                    </a:prstGeom>
                    <a:ln>
                      <a:noFill/>
                    </a:ln>
                    <a:extLst>
                      <a:ext uri="{53640926-AAD7-44D8-BBD7-CCE9431645EC}">
                        <a14:shadowObscured xmlns:a14="http://schemas.microsoft.com/office/drawing/2010/main"/>
                      </a:ext>
                    </a:extLst>
                  </pic:spPr>
                </pic:pic>
              </a:graphicData>
            </a:graphic>
          </wp:inline>
        </w:drawing>
      </w:r>
    </w:p>
    <w:p w:rsidR="00866A2F" w:rsidRPr="00732A17" w:rsidRDefault="00CB7B04">
      <w:pPr>
        <w:spacing w:after="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lastRenderedPageBreak/>
        <w:t>Por otro lado la Tesorería Municipal y Servidora Pública Habilitada, manifestó que la información solicitada es información pública de oficio, de conformidad con el artículo 92, fracción VIII A Remuneraciones, razón por la cual proporcionó una dirección electrónica con la finalidad de que la persona solicitante pudiera consultar la información, como se ilustra a continuación para mejor referencia:</w:t>
      </w:r>
    </w:p>
    <w:p w:rsidR="00866A2F" w:rsidRPr="00732A17" w:rsidRDefault="00CB7B04">
      <w:pPr>
        <w:spacing w:after="0" w:line="360" w:lineRule="auto"/>
        <w:jc w:val="both"/>
        <w:rPr>
          <w:rFonts w:ascii="Palatino Linotype" w:eastAsia="Palatino Linotype" w:hAnsi="Palatino Linotype" w:cs="Palatino Linotype"/>
          <w:sz w:val="24"/>
          <w:szCs w:val="24"/>
        </w:rPr>
      </w:pPr>
      <w:r w:rsidRPr="00732A17">
        <w:rPr>
          <w:noProof/>
        </w:rPr>
        <w:drawing>
          <wp:inline distT="0" distB="0" distL="0" distR="0">
            <wp:extent cx="5327467" cy="3569140"/>
            <wp:effectExtent l="0" t="0" r="0" b="0"/>
            <wp:docPr id="20675916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32418" t="30778" r="33129" b="28183"/>
                    <a:stretch>
                      <a:fillRect/>
                    </a:stretch>
                  </pic:blipFill>
                  <pic:spPr>
                    <a:xfrm>
                      <a:off x="0" y="0"/>
                      <a:ext cx="5327467" cy="3569140"/>
                    </a:xfrm>
                    <a:prstGeom prst="rect">
                      <a:avLst/>
                    </a:prstGeom>
                    <a:ln/>
                  </pic:spPr>
                </pic:pic>
              </a:graphicData>
            </a:graphic>
          </wp:inline>
        </w:drawing>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Conocida la respuesta por la persona solicitante, al no estar conforme con los términos de la misma, presentó el recurso de revisión que nos ocupa, mediante el cual señaló en lo medular como motivo de inconformidad, que no puede la liga que le proporcionó para acceder a la información, ya que no se puede copiar de la hoja escaneada siendo necesario anotar letra por letra, lo cual se dificulta al ser demasiado grande, por lo que solicita una liga para acceder fácilmente a los sueldos que a su parecer se eliminaron de la lista proporcionada. </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lastRenderedPageBreak/>
        <w:t xml:space="preserve">En este sentido, no pasa inadvertido para este Organismo Garante que los motivos de inconformidad aducidos, no versan sobre la totalidad de la información proporcionada por el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 xml:space="preserve">pues la </w:t>
      </w:r>
      <w:r w:rsidRPr="00732A17">
        <w:rPr>
          <w:rFonts w:ascii="Palatino Linotype" w:eastAsia="Palatino Linotype" w:hAnsi="Palatino Linotype" w:cs="Palatino Linotype"/>
          <w:b/>
          <w:sz w:val="24"/>
          <w:szCs w:val="24"/>
        </w:rPr>
        <w:t>PARTE RECURRENTE</w:t>
      </w:r>
      <w:r w:rsidRPr="00732A17">
        <w:rPr>
          <w:rFonts w:ascii="Palatino Linotype" w:eastAsia="Palatino Linotype" w:hAnsi="Palatino Linotype" w:cs="Palatino Linotype"/>
          <w:sz w:val="24"/>
          <w:szCs w:val="24"/>
        </w:rPr>
        <w:t xml:space="preserve"> no manifestó inconformidad respecto de la información proporcionada por la Dirección de Administración consistente en la fecha de alta, nombre y cargo de los servidores públicos adscritos a las Oficialías de Registro Civil, sino por la dirección electrónica proporcionada por la Tesorería Municipal, al no haberse proporcionado los sueldos de los servidores públicos, mismos que a su consideración fueron eliminados de la lista remitida.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este orden de ideas, la parte de la respuesta que no fue impugnada debe declararse consentida, toda vez que, al no haber realizado manifestaciones de inconformidad al respecto, no pueden producirse efectos jurídicos tendentes a revocar, confirmar o modificar el acto reclamado, ya que, en el caso concreto se infiere que la información proporcionada por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satisface la solicitud presentada, respecto de los requerimientos que no fueron combatidos.</w:t>
      </w:r>
    </w:p>
    <w:p w:rsidR="00866A2F" w:rsidRPr="00732A17" w:rsidRDefault="00CB7B04">
      <w:pPr>
        <w:spacing w:before="240" w:after="36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Lo anterior es así, debido a que cuando la </w:t>
      </w:r>
      <w:r w:rsidRPr="00732A17">
        <w:rPr>
          <w:rFonts w:ascii="Palatino Linotype" w:eastAsia="Palatino Linotype" w:hAnsi="Palatino Linotype" w:cs="Palatino Linotype"/>
          <w:b/>
          <w:sz w:val="24"/>
          <w:szCs w:val="24"/>
        </w:rPr>
        <w:t>PARTE RECURRENTE</w:t>
      </w:r>
      <w:r w:rsidRPr="00732A17">
        <w:rPr>
          <w:rFonts w:ascii="Palatino Linotype" w:eastAsia="Palatino Linotype" w:hAnsi="Palatino Linotype" w:cs="Palatino Linotype"/>
          <w:sz w:val="24"/>
          <w:szCs w:val="24"/>
        </w:rPr>
        <w:t xml:space="preserve"> impugna la respuesta del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y este no expresa Razón o Motivo de Inconformidad en contra de todos los rubros solicitados, dichos rubros deben declararse atendidos, pues se entiende que la parte Recurrente ésta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866A2F" w:rsidRPr="00732A17" w:rsidRDefault="00CB7B04">
      <w:pP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lastRenderedPageBreak/>
        <w:t xml:space="preserve">“REVISIÓN EN AMPARO. LOS RESOLUTIVOS NO COMBATIDOS DEBEN DECLARARSE FIRMES. </w:t>
      </w:r>
      <w:r w:rsidRPr="00732A17">
        <w:rPr>
          <w:rFonts w:ascii="Palatino Linotype" w:eastAsia="Palatino Linotype" w:hAnsi="Palatino Linotype" w:cs="Palatino Linotype"/>
          <w:i/>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bookmarkStart w:id="3" w:name="_heading=h.3znysh7" w:colFirst="0" w:colLast="0"/>
      <w:bookmarkEnd w:id="3"/>
      <w:r w:rsidRPr="00732A17">
        <w:rPr>
          <w:rFonts w:ascii="Palatino Linotype" w:eastAsia="Palatino Linotype" w:hAnsi="Palatino Linotype" w:cs="Palatino Linotype"/>
          <w:sz w:val="24"/>
          <w:szCs w:val="24"/>
        </w:rPr>
        <w:t>Consecuentemente, se insiste, ante la falta de impugnación eficaz, la respuesta entregada debe declararse consentida por la persona solicitante.</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Lo anterior se sustenta con lo plasmado en el criterio 01/20 emitido por el Instituto Nacional de Transparencia, Acceso a la Información, y Protección de Datos Personales, INAI, que lleva por rubro y texto los siguientes: </w:t>
      </w:r>
    </w:p>
    <w:p w:rsidR="00866A2F" w:rsidRPr="00732A17" w:rsidRDefault="00CB7B04">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 xml:space="preserve">Actos consentidos tácitamente. Improcedencia de su análisis. </w:t>
      </w:r>
      <w:r w:rsidRPr="00732A17">
        <w:rPr>
          <w:rFonts w:ascii="Palatino Linotype" w:eastAsia="Palatino Linotype" w:hAnsi="Palatino Linotype" w:cs="Palatino Linotype"/>
          <w:i/>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Asimismo, resulta aplicable por analogía la tesis jurisprudencial número VI.3o.C. J/60, publicada en el Semanario Judicial de la Federación y su Gaceta bajo el número de registro 176,608 que a la letra dice:</w:t>
      </w:r>
    </w:p>
    <w:p w:rsidR="00866A2F" w:rsidRPr="00732A17" w:rsidRDefault="00CB7B04">
      <w:pPr>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smallCaps/>
        </w:rPr>
        <w:t xml:space="preserve">“ACTOS CONSENTIDOS. SON LOS QUE NO SE IMPUGNAN MEDIANTE EL RECURSO IDÓNEO. </w:t>
      </w:r>
      <w:r w:rsidRPr="00732A17">
        <w:rPr>
          <w:rFonts w:ascii="Palatino Linotype" w:eastAsia="Palatino Linotype" w:hAnsi="Palatino Linotype" w:cs="Palatino Linotype"/>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866A2F" w:rsidRPr="00732A17" w:rsidRDefault="00CB7B04">
      <w:pPr>
        <w:spacing w:after="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lastRenderedPageBreak/>
        <w:t>Ahora bien, durante la etapa de manifestaciones el</w:t>
      </w:r>
      <w:r w:rsidRPr="00732A17">
        <w:rPr>
          <w:rFonts w:ascii="Palatino Linotype" w:eastAsia="Palatino Linotype" w:hAnsi="Palatino Linotype" w:cs="Palatino Linotype"/>
          <w:b/>
          <w:sz w:val="24"/>
          <w:szCs w:val="24"/>
        </w:rPr>
        <w:t xml:space="preserve"> SUJETO OBLIGADO,</w:t>
      </w:r>
      <w:r w:rsidRPr="00732A17">
        <w:rPr>
          <w:rFonts w:ascii="Palatino Linotype" w:eastAsia="Palatino Linotype" w:hAnsi="Palatino Linotype" w:cs="Palatino Linotype"/>
          <w:sz w:val="24"/>
          <w:szCs w:val="24"/>
        </w:rPr>
        <w:t xml:space="preserve"> a través de la Servidora Pública Habilitada de la Tesorería Municipal modificó su respuesta, y  proporcionó un link más corto y con mayor facilidad de acceso, como de advierte a continuación:</w:t>
      </w:r>
    </w:p>
    <w:p w:rsidR="00866A2F" w:rsidRPr="00732A17" w:rsidRDefault="00CB7B04">
      <w:pPr>
        <w:spacing w:after="0" w:line="360" w:lineRule="auto"/>
        <w:jc w:val="both"/>
        <w:rPr>
          <w:rFonts w:ascii="Palatino Linotype" w:eastAsia="Palatino Linotype" w:hAnsi="Palatino Linotype" w:cs="Palatino Linotype"/>
          <w:sz w:val="24"/>
          <w:szCs w:val="24"/>
        </w:rPr>
      </w:pPr>
      <w:r w:rsidRPr="00732A17">
        <w:rPr>
          <w:noProof/>
        </w:rPr>
        <w:drawing>
          <wp:inline distT="0" distB="0" distL="0" distR="0">
            <wp:extent cx="5612130" cy="875030"/>
            <wp:effectExtent l="0" t="0" r="0" b="0"/>
            <wp:docPr id="20675916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612130" cy="875030"/>
                    </a:xfrm>
                    <a:prstGeom prst="rect">
                      <a:avLst/>
                    </a:prstGeom>
                    <a:ln/>
                  </pic:spPr>
                </pic:pic>
              </a:graphicData>
            </a:graphic>
          </wp:inline>
        </w:drawing>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Atento a lo anterior, tomando en consideración las constancias que integran el expediente electrónico  relacionado con el recurso de revisión materia de estudio, se colige que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no niega la competencia para conocer de la información solicitada, sino por el contrario, con la respuesta pronunciada asevera que es competente para conocer de la solicitud de información, motivo por el cual se actualiza el supuesto previsto en el artículo 12 de la legislación aplicable en la materia. </w:t>
      </w:r>
    </w:p>
    <w:p w:rsidR="00866A2F" w:rsidRPr="00732A17" w:rsidRDefault="00CB7B04">
      <w:pPr>
        <w:spacing w:before="240" w:after="24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“Artículo 12. Quienes generen, recopilen, administren, manejen, procesen, archiven o conserven información pública serán responsables de la misma</w:t>
      </w:r>
      <w:r w:rsidRPr="00732A17">
        <w:rPr>
          <w:rFonts w:ascii="Palatino Linotype" w:eastAsia="Palatino Linotype" w:hAnsi="Palatino Linotype" w:cs="Palatino Linotype"/>
          <w:i/>
        </w:rPr>
        <w:t xml:space="preserve"> en los términos de las disposiciones jurídicas aplicables. </w:t>
      </w:r>
    </w:p>
    <w:p w:rsidR="00866A2F" w:rsidRPr="00732A17" w:rsidRDefault="00CB7B04">
      <w:pPr>
        <w:spacing w:before="240" w:after="24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732A17">
        <w:rPr>
          <w:rFonts w:ascii="Palatino Linotype" w:eastAsia="Palatino Linotype" w:hAnsi="Palatino Linotype" w:cs="Palatino Linotype"/>
          <w:i/>
        </w:rPr>
        <w:t>. La obligación de proporcionar información no comprende el procesamiento de la misma, ni el presentarla conforme al interés del solicitante; no estarán obligados a generarla, resumirla, efectuar cálculos o practicar investigaciones.”</w:t>
      </w:r>
    </w:p>
    <w:p w:rsidR="00866A2F" w:rsidRPr="00732A17" w:rsidRDefault="00CB7B04">
      <w:pPr>
        <w:pBdr>
          <w:top w:val="nil"/>
          <w:left w:val="nil"/>
          <w:bottom w:val="nil"/>
          <w:right w:val="nil"/>
          <w:between w:val="nil"/>
        </w:pBdr>
        <w:spacing w:before="280" w:after="28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Por consiguiente, se procede al análisis del requerimiento combatido por la</w:t>
      </w:r>
      <w:r w:rsidRPr="00732A17">
        <w:rPr>
          <w:rFonts w:ascii="Palatino Linotype" w:eastAsia="Palatino Linotype" w:hAnsi="Palatino Linotype" w:cs="Palatino Linotype"/>
          <w:b/>
          <w:sz w:val="24"/>
          <w:szCs w:val="24"/>
        </w:rPr>
        <w:t xml:space="preserve"> PARTE RECURRENTE</w:t>
      </w:r>
      <w:r w:rsidRPr="00732A17">
        <w:rPr>
          <w:rFonts w:ascii="Palatino Linotype" w:eastAsia="Palatino Linotype" w:hAnsi="Palatino Linotype" w:cs="Palatino Linotype"/>
          <w:sz w:val="24"/>
          <w:szCs w:val="24"/>
        </w:rPr>
        <w:t xml:space="preserve"> y la respuesta proporcionada por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a efecto de determinar si el derecho de acceso se satisfizo con la misma, o en su defecto, </w:t>
      </w:r>
      <w:r w:rsidRPr="00732A17">
        <w:rPr>
          <w:rFonts w:ascii="Palatino Linotype" w:eastAsia="Palatino Linotype" w:hAnsi="Palatino Linotype" w:cs="Palatino Linotype"/>
          <w:sz w:val="24"/>
          <w:szCs w:val="24"/>
        </w:rPr>
        <w:lastRenderedPageBreak/>
        <w:t>señalar los documentos que en el ejercicio de sus atribuciones pudo haber generado, y que, de manera enunciativa más no limitativa, pudieran cumplir dicho fin.</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En esta tesitura, como ya ha sido referido, la Tesorería Municipal manifestó que la información solicitada es información púbica de oficio de conformidad con el artículo 92, fracción VIII de la Ley de Transparencia y Acceso a la Información Pública del Estado de México y Municipios, que es del tenor literal siguiente:</w:t>
      </w:r>
    </w:p>
    <w:p w:rsidR="00866A2F" w:rsidRPr="00732A17" w:rsidRDefault="00CB7B04">
      <w:pPr>
        <w:tabs>
          <w:tab w:val="left" w:pos="1140"/>
        </w:tabs>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Artículo 92.</w:t>
      </w:r>
      <w:r w:rsidRPr="00732A17">
        <w:rPr>
          <w:rFonts w:ascii="Palatino Linotype" w:eastAsia="Palatino Linotype" w:hAnsi="Palatino Linotype" w:cs="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66A2F" w:rsidRPr="00732A17" w:rsidRDefault="00CB7B04">
      <w:pPr>
        <w:tabs>
          <w:tab w:val="left" w:pos="1140"/>
        </w:tabs>
        <w:spacing w:before="120" w:after="120" w:line="240" w:lineRule="auto"/>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tabs>
          <w:tab w:val="left" w:pos="1140"/>
        </w:tabs>
        <w:spacing w:before="120" w:after="120" w:line="240" w:lineRule="auto"/>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VIII</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La remuneración</w:t>
      </w:r>
      <w:r w:rsidRPr="00732A17">
        <w:rPr>
          <w:rFonts w:ascii="Palatino Linotype" w:eastAsia="Palatino Linotype" w:hAnsi="Palatino Linotype" w:cs="Palatino Linotype"/>
          <w:i/>
        </w:rPr>
        <w:t xml:space="preserve"> bruta y </w:t>
      </w:r>
      <w:r w:rsidRPr="00732A17">
        <w:rPr>
          <w:rFonts w:ascii="Palatino Linotype" w:eastAsia="Palatino Linotype" w:hAnsi="Palatino Linotype" w:cs="Palatino Linotype"/>
          <w:b/>
          <w:i/>
        </w:rPr>
        <w:t>neta</w:t>
      </w:r>
      <w:r w:rsidRPr="00732A17">
        <w:rPr>
          <w:rFonts w:ascii="Palatino Linotype" w:eastAsia="Palatino Linotype" w:hAnsi="Palatino Linotype" w:cs="Palatino Linotype"/>
          <w:i/>
        </w:rPr>
        <w:t xml:space="preserve">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Y, con la finalidad de que la </w:t>
      </w:r>
      <w:r w:rsidRPr="00732A17">
        <w:rPr>
          <w:rFonts w:ascii="Palatino Linotype" w:eastAsia="Palatino Linotype" w:hAnsi="Palatino Linotype" w:cs="Palatino Linotype"/>
          <w:b/>
          <w:sz w:val="24"/>
          <w:szCs w:val="24"/>
        </w:rPr>
        <w:t xml:space="preserve">PARTE RECURRENTE </w:t>
      </w:r>
      <w:r w:rsidRPr="00732A17">
        <w:rPr>
          <w:rFonts w:ascii="Palatino Linotype" w:eastAsia="Palatino Linotype" w:hAnsi="Palatino Linotype" w:cs="Palatino Linotype"/>
          <w:sz w:val="24"/>
          <w:szCs w:val="24"/>
        </w:rPr>
        <w:t xml:space="preserve">consultara las remuneraciones de los servidores públicos adscritos a las Oficialías de Registro Civil, proporcionó la siguiente liga electrónica: </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noProof/>
        </w:rPr>
        <w:drawing>
          <wp:inline distT="0" distB="0" distL="0" distR="0">
            <wp:extent cx="5327467" cy="2172603"/>
            <wp:effectExtent l="0" t="0" r="0" b="0"/>
            <wp:docPr id="206759162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32418" t="46835" r="33129" b="28183"/>
                    <a:stretch>
                      <a:fillRect/>
                    </a:stretch>
                  </pic:blipFill>
                  <pic:spPr>
                    <a:xfrm>
                      <a:off x="0" y="0"/>
                      <a:ext cx="5327467" cy="2172603"/>
                    </a:xfrm>
                    <a:prstGeom prst="rect">
                      <a:avLst/>
                    </a:prstGeom>
                    <a:ln/>
                  </pic:spPr>
                </pic:pic>
              </a:graphicData>
            </a:graphic>
          </wp:inline>
        </w:drawing>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lastRenderedPageBreak/>
        <w:t>Por lo que se estima necesario traer a colación el artículo 161</w:t>
      </w:r>
      <w:r w:rsidRPr="00732A17">
        <w:rPr>
          <w:rFonts w:ascii="Palatino Linotype" w:eastAsia="Palatino Linotype" w:hAnsi="Palatino Linotype" w:cs="Palatino Linotype"/>
          <w:sz w:val="24"/>
          <w:szCs w:val="24"/>
          <w:vertAlign w:val="superscript"/>
        </w:rPr>
        <w:footnoteReference w:id="3"/>
      </w:r>
      <w:r w:rsidRPr="00732A17">
        <w:rPr>
          <w:rFonts w:ascii="Palatino Linotype" w:eastAsia="Palatino Linotype" w:hAnsi="Palatino Linotype" w:cs="Palatino Linotype"/>
          <w:sz w:val="24"/>
          <w:szCs w:val="24"/>
        </w:rPr>
        <w:t xml:space="preserve"> de la Ley de Transparencia y Acceso a la Información Pública del Estado de México y Municipios</w:t>
      </w:r>
      <w:r w:rsidRPr="00732A17">
        <w:rPr>
          <w:rFonts w:ascii="Palatino Linotype" w:eastAsia="Palatino Linotype" w:hAnsi="Palatino Linotype" w:cs="Palatino Linotype"/>
          <w:i/>
          <w:sz w:val="24"/>
          <w:szCs w:val="24"/>
        </w:rPr>
        <w:t xml:space="preserve">, </w:t>
      </w:r>
      <w:r w:rsidRPr="00732A17">
        <w:rPr>
          <w:rFonts w:ascii="Palatino Linotype" w:eastAsia="Palatino Linotype" w:hAnsi="Palatino Linotype" w:cs="Palatino Linotype"/>
          <w:sz w:val="24"/>
          <w:szCs w:val="24"/>
        </w:rPr>
        <w:t>el cual establece las características que debe tener la información desde el momento en el que se genera, su publicación y entrega; así como el procedimiento a seguir por los Sujetos Obligados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866A2F" w:rsidRPr="00732A17" w:rsidRDefault="00CB7B04">
      <w:pPr>
        <w:spacing w:before="120" w:after="120" w:line="276" w:lineRule="auto"/>
        <w:ind w:left="284" w:right="51"/>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a) La fuente</w:t>
      </w:r>
    </w:p>
    <w:p w:rsidR="00866A2F" w:rsidRPr="00732A17" w:rsidRDefault="00CB7B04">
      <w:pPr>
        <w:spacing w:before="120" w:after="120" w:line="276" w:lineRule="auto"/>
        <w:ind w:left="284" w:right="51"/>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b) El lugar y</w:t>
      </w:r>
    </w:p>
    <w:p w:rsidR="00866A2F" w:rsidRPr="00732A17" w:rsidRDefault="00CB7B04">
      <w:pPr>
        <w:spacing w:before="120" w:after="120" w:line="276" w:lineRule="auto"/>
        <w:ind w:left="284" w:right="51"/>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c) La forma</w:t>
      </w:r>
    </w:p>
    <w:p w:rsidR="00866A2F" w:rsidRPr="00732A17" w:rsidRDefault="00CB7B04">
      <w:pPr>
        <w:spacing w:before="240" w:after="24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Asimismo, se establece que la fuente de la información deberá ser:</w:t>
      </w:r>
    </w:p>
    <w:p w:rsidR="00866A2F" w:rsidRPr="00732A17" w:rsidRDefault="00CB7B04">
      <w:pPr>
        <w:spacing w:before="120" w:after="120" w:line="276" w:lineRule="auto"/>
        <w:ind w:left="284" w:right="51"/>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a) Precisa</w:t>
      </w:r>
    </w:p>
    <w:p w:rsidR="00866A2F" w:rsidRPr="00732A17" w:rsidRDefault="00CB7B04">
      <w:pPr>
        <w:spacing w:before="120" w:after="120" w:line="276" w:lineRule="auto"/>
        <w:ind w:left="284" w:right="51"/>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b) Concreta</w:t>
      </w:r>
    </w:p>
    <w:p w:rsidR="00866A2F" w:rsidRPr="00732A17" w:rsidRDefault="00CB7B04">
      <w:pPr>
        <w:spacing w:before="120" w:after="120" w:line="276" w:lineRule="auto"/>
        <w:ind w:left="284" w:right="51"/>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c) Y no debe implicar que el solicitante realice una búsqueda en toda la información que se encuentre disponible.</w:t>
      </w:r>
    </w:p>
    <w:p w:rsidR="00866A2F" w:rsidRPr="00732A17" w:rsidRDefault="00CB7B04">
      <w:pPr>
        <w:spacing w:before="240" w:after="240" w:line="360" w:lineRule="auto"/>
        <w:ind w:right="49"/>
        <w:jc w:val="both"/>
        <w:rPr>
          <w:rFonts w:ascii="Palatino Linotype" w:eastAsia="Palatino Linotype" w:hAnsi="Palatino Linotype" w:cs="Palatino Linotype"/>
        </w:rPr>
      </w:pPr>
      <w:r w:rsidRPr="00732A17">
        <w:rPr>
          <w:rFonts w:ascii="Palatino Linotype" w:eastAsia="Palatino Linotype" w:hAnsi="Palatino Linotype" w:cs="Palatino Linotype"/>
          <w:sz w:val="24"/>
          <w:szCs w:val="24"/>
        </w:rPr>
        <w:t>Imperativos legales que establecen el procedimiento que deben seguir los Sujetos Obligados para que pueda tomarse como válida su orientación sobre la forma en que puede consultar la información requerida</w:t>
      </w:r>
      <w:r w:rsidRPr="00732A17">
        <w:rPr>
          <w:rFonts w:ascii="Palatino Linotype" w:eastAsia="Palatino Linotype" w:hAnsi="Palatino Linotype" w:cs="Palatino Linotype"/>
        </w:rPr>
        <w:t>.</w:t>
      </w:r>
    </w:p>
    <w:p w:rsidR="00866A2F" w:rsidRPr="00732A17" w:rsidRDefault="00866A2F">
      <w:pPr>
        <w:spacing w:before="240" w:after="240" w:line="360" w:lineRule="auto"/>
        <w:ind w:right="51"/>
        <w:jc w:val="both"/>
        <w:rPr>
          <w:rFonts w:ascii="Palatino Linotype" w:eastAsia="Palatino Linotype" w:hAnsi="Palatino Linotype" w:cs="Palatino Linotype"/>
          <w:sz w:val="24"/>
          <w:szCs w:val="24"/>
        </w:rPr>
      </w:pP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lastRenderedPageBreak/>
        <w:t xml:space="preserve">Cabe señalar que para efectos de la consulta de la información contenida la liga electrónica proporcionada, como lo señaló la </w:t>
      </w:r>
      <w:r w:rsidRPr="00732A17">
        <w:rPr>
          <w:rFonts w:ascii="Palatino Linotype" w:eastAsia="Palatino Linotype" w:hAnsi="Palatino Linotype" w:cs="Palatino Linotype"/>
          <w:b/>
          <w:sz w:val="24"/>
          <w:szCs w:val="24"/>
        </w:rPr>
        <w:t xml:space="preserve">PARTE RECURRENTE </w:t>
      </w:r>
      <w:r w:rsidRPr="00732A17">
        <w:rPr>
          <w:rFonts w:ascii="Palatino Linotype" w:eastAsia="Palatino Linotype" w:hAnsi="Palatino Linotype" w:cs="Palatino Linotype"/>
          <w:sz w:val="24"/>
          <w:szCs w:val="24"/>
        </w:rPr>
        <w:t xml:space="preserve">en su recurso de revisión, es necesario capturar la dirección electrónica carácter por carácter, ya que el documento digitalizado a través del cual se proporcionó el link no permite editar, modificar o procesar su contenido, asimismo, es imprescindible mencionar que dicha liga electrónica está compuesta por diversos caracteres, así como por mayúsculas y minúsculas, como se advierte en la imagen inserta en la página 24 de la presente resolución, no obstante, no pasa desapercibido para este Organismo Garante que el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empleo la fuente Arial en el documento mediante el cual da respuesta, por lo que no es posible distinguir, por ejemplo, entre el carácter “i” mayúscula del carácter “L” minúscula, como se muestra a continuación para un mejor entendimiento:</w:t>
      </w:r>
    </w:p>
    <w:tbl>
      <w:tblPr>
        <w:tblStyle w:val="a4"/>
        <w:tblW w:w="882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732A17" w:rsidRPr="00732A17">
        <w:trPr>
          <w:jc w:val="center"/>
        </w:trPr>
        <w:tc>
          <w:tcPr>
            <w:tcW w:w="2942" w:type="dxa"/>
            <w:shd w:val="clear" w:color="auto" w:fill="BFBFBF"/>
            <w:vAlign w:val="center"/>
          </w:tcPr>
          <w:p w:rsidR="00866A2F" w:rsidRPr="00732A17" w:rsidRDefault="00CB7B04">
            <w:pPr>
              <w:tabs>
                <w:tab w:val="left" w:pos="1140"/>
                <w:tab w:val="left" w:pos="2014"/>
              </w:tabs>
              <w:jc w:val="center"/>
              <w:rPr>
                <w:rFonts w:ascii="Palatino Linotype" w:eastAsia="Palatino Linotype" w:hAnsi="Palatino Linotype" w:cs="Palatino Linotype"/>
                <w:b/>
                <w:sz w:val="24"/>
                <w:szCs w:val="24"/>
              </w:rPr>
            </w:pPr>
            <w:r w:rsidRPr="00732A17">
              <w:rPr>
                <w:rFonts w:ascii="Palatino Linotype" w:eastAsia="Palatino Linotype" w:hAnsi="Palatino Linotype" w:cs="Palatino Linotype"/>
                <w:b/>
                <w:sz w:val="24"/>
                <w:szCs w:val="24"/>
              </w:rPr>
              <w:t>Carácter</w:t>
            </w:r>
          </w:p>
          <w:p w:rsidR="00866A2F" w:rsidRPr="00732A17" w:rsidRDefault="00CB7B04">
            <w:pPr>
              <w:tabs>
                <w:tab w:val="left" w:pos="1140"/>
                <w:tab w:val="left" w:pos="2014"/>
              </w:tabs>
              <w:jc w:val="center"/>
              <w:rPr>
                <w:rFonts w:ascii="Palatino Linotype" w:eastAsia="Palatino Linotype" w:hAnsi="Palatino Linotype" w:cs="Palatino Linotype"/>
                <w:b/>
                <w:sz w:val="24"/>
                <w:szCs w:val="24"/>
              </w:rPr>
            </w:pPr>
            <w:r w:rsidRPr="00732A17">
              <w:rPr>
                <w:rFonts w:ascii="Palatino Linotype" w:eastAsia="Palatino Linotype" w:hAnsi="Palatino Linotype" w:cs="Palatino Linotype"/>
                <w:b/>
                <w:sz w:val="20"/>
                <w:szCs w:val="20"/>
              </w:rPr>
              <w:t xml:space="preserve">Fuente: Palatino </w:t>
            </w:r>
            <w:proofErr w:type="spellStart"/>
            <w:r w:rsidRPr="00732A17">
              <w:rPr>
                <w:rFonts w:ascii="Palatino Linotype" w:eastAsia="Palatino Linotype" w:hAnsi="Palatino Linotype" w:cs="Palatino Linotype"/>
                <w:b/>
                <w:sz w:val="20"/>
                <w:szCs w:val="20"/>
              </w:rPr>
              <w:t>Linotype</w:t>
            </w:r>
            <w:proofErr w:type="spellEnd"/>
          </w:p>
        </w:tc>
        <w:tc>
          <w:tcPr>
            <w:tcW w:w="2943" w:type="dxa"/>
            <w:shd w:val="clear" w:color="auto" w:fill="BFBFBF"/>
            <w:vAlign w:val="center"/>
          </w:tcPr>
          <w:p w:rsidR="00866A2F" w:rsidRPr="00732A17" w:rsidRDefault="00CB7B04">
            <w:pPr>
              <w:tabs>
                <w:tab w:val="left" w:pos="1140"/>
              </w:tabs>
              <w:jc w:val="center"/>
              <w:rPr>
                <w:rFonts w:ascii="Arial" w:eastAsia="Arial" w:hAnsi="Arial" w:cs="Arial"/>
                <w:b/>
                <w:sz w:val="24"/>
                <w:szCs w:val="24"/>
              </w:rPr>
            </w:pPr>
            <w:r w:rsidRPr="00732A17">
              <w:rPr>
                <w:rFonts w:ascii="Arial" w:eastAsia="Arial" w:hAnsi="Arial" w:cs="Arial"/>
                <w:b/>
                <w:sz w:val="24"/>
                <w:szCs w:val="24"/>
              </w:rPr>
              <w:t>Mayúscula</w:t>
            </w:r>
          </w:p>
          <w:p w:rsidR="00866A2F" w:rsidRPr="00732A17" w:rsidRDefault="00CB7B04">
            <w:pPr>
              <w:tabs>
                <w:tab w:val="left" w:pos="1140"/>
              </w:tabs>
              <w:jc w:val="center"/>
              <w:rPr>
                <w:rFonts w:ascii="Arial" w:eastAsia="Arial" w:hAnsi="Arial" w:cs="Arial"/>
                <w:b/>
                <w:sz w:val="24"/>
                <w:szCs w:val="24"/>
              </w:rPr>
            </w:pPr>
            <w:r w:rsidRPr="00732A17">
              <w:rPr>
                <w:rFonts w:ascii="Arial" w:eastAsia="Arial" w:hAnsi="Arial" w:cs="Arial"/>
                <w:b/>
                <w:sz w:val="20"/>
                <w:szCs w:val="20"/>
              </w:rPr>
              <w:t>Fuente: Arial</w:t>
            </w:r>
          </w:p>
        </w:tc>
        <w:tc>
          <w:tcPr>
            <w:tcW w:w="2943" w:type="dxa"/>
            <w:shd w:val="clear" w:color="auto" w:fill="BFBFBF"/>
            <w:vAlign w:val="center"/>
          </w:tcPr>
          <w:p w:rsidR="00866A2F" w:rsidRPr="00732A17" w:rsidRDefault="00CB7B04">
            <w:pPr>
              <w:tabs>
                <w:tab w:val="left" w:pos="1140"/>
              </w:tabs>
              <w:jc w:val="center"/>
              <w:rPr>
                <w:rFonts w:ascii="Arial" w:eastAsia="Arial" w:hAnsi="Arial" w:cs="Arial"/>
                <w:b/>
                <w:sz w:val="24"/>
                <w:szCs w:val="24"/>
              </w:rPr>
            </w:pPr>
            <w:r w:rsidRPr="00732A17">
              <w:rPr>
                <w:rFonts w:ascii="Arial" w:eastAsia="Arial" w:hAnsi="Arial" w:cs="Arial"/>
                <w:b/>
                <w:sz w:val="24"/>
                <w:szCs w:val="24"/>
              </w:rPr>
              <w:t>Minúscula</w:t>
            </w:r>
          </w:p>
          <w:p w:rsidR="00866A2F" w:rsidRPr="00732A17" w:rsidRDefault="00CB7B04">
            <w:pPr>
              <w:tabs>
                <w:tab w:val="left" w:pos="1140"/>
              </w:tabs>
              <w:jc w:val="center"/>
              <w:rPr>
                <w:rFonts w:ascii="Arial" w:eastAsia="Arial" w:hAnsi="Arial" w:cs="Arial"/>
                <w:b/>
                <w:sz w:val="24"/>
                <w:szCs w:val="24"/>
              </w:rPr>
            </w:pPr>
            <w:r w:rsidRPr="00732A17">
              <w:rPr>
                <w:rFonts w:ascii="Arial" w:eastAsia="Arial" w:hAnsi="Arial" w:cs="Arial"/>
                <w:b/>
                <w:sz w:val="20"/>
                <w:szCs w:val="20"/>
              </w:rPr>
              <w:t>Fuente: Arial</w:t>
            </w:r>
          </w:p>
        </w:tc>
      </w:tr>
      <w:tr w:rsidR="00732A17" w:rsidRPr="00732A17">
        <w:trPr>
          <w:jc w:val="center"/>
        </w:trPr>
        <w:tc>
          <w:tcPr>
            <w:tcW w:w="2942" w:type="dxa"/>
            <w:vAlign w:val="center"/>
          </w:tcPr>
          <w:p w:rsidR="00866A2F" w:rsidRPr="00732A17" w:rsidRDefault="00CB7B04">
            <w:pPr>
              <w:tabs>
                <w:tab w:val="left" w:pos="1140"/>
              </w:tabs>
              <w:jc w:val="center"/>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I / i</w:t>
            </w:r>
          </w:p>
        </w:tc>
        <w:tc>
          <w:tcPr>
            <w:tcW w:w="2943" w:type="dxa"/>
            <w:shd w:val="clear" w:color="auto" w:fill="FBE5D5"/>
            <w:vAlign w:val="center"/>
          </w:tcPr>
          <w:p w:rsidR="00866A2F" w:rsidRPr="00732A17" w:rsidRDefault="00CB7B04">
            <w:pPr>
              <w:tabs>
                <w:tab w:val="left" w:pos="1140"/>
              </w:tabs>
              <w:jc w:val="center"/>
              <w:rPr>
                <w:rFonts w:ascii="Arial" w:eastAsia="Arial" w:hAnsi="Arial" w:cs="Arial"/>
                <w:sz w:val="24"/>
                <w:szCs w:val="24"/>
              </w:rPr>
            </w:pPr>
            <w:r w:rsidRPr="00732A17">
              <w:rPr>
                <w:rFonts w:ascii="Arial" w:eastAsia="Arial" w:hAnsi="Arial" w:cs="Arial"/>
                <w:sz w:val="24"/>
                <w:szCs w:val="24"/>
              </w:rPr>
              <w:t>I</w:t>
            </w:r>
          </w:p>
        </w:tc>
        <w:tc>
          <w:tcPr>
            <w:tcW w:w="2943" w:type="dxa"/>
            <w:shd w:val="clear" w:color="auto" w:fill="auto"/>
            <w:vAlign w:val="center"/>
          </w:tcPr>
          <w:p w:rsidR="00866A2F" w:rsidRPr="00732A17" w:rsidRDefault="00CB7B04">
            <w:pPr>
              <w:tabs>
                <w:tab w:val="left" w:pos="1140"/>
              </w:tabs>
              <w:jc w:val="center"/>
              <w:rPr>
                <w:rFonts w:ascii="Arial" w:eastAsia="Arial" w:hAnsi="Arial" w:cs="Arial"/>
                <w:sz w:val="24"/>
                <w:szCs w:val="24"/>
              </w:rPr>
            </w:pPr>
            <w:r w:rsidRPr="00732A17">
              <w:rPr>
                <w:rFonts w:ascii="Arial" w:eastAsia="Arial" w:hAnsi="Arial" w:cs="Arial"/>
                <w:sz w:val="24"/>
                <w:szCs w:val="24"/>
              </w:rPr>
              <w:t>i</w:t>
            </w:r>
          </w:p>
        </w:tc>
      </w:tr>
      <w:tr w:rsidR="00732A17" w:rsidRPr="00732A17">
        <w:trPr>
          <w:jc w:val="center"/>
        </w:trPr>
        <w:tc>
          <w:tcPr>
            <w:tcW w:w="2942" w:type="dxa"/>
            <w:vAlign w:val="center"/>
          </w:tcPr>
          <w:p w:rsidR="00866A2F" w:rsidRPr="00732A17" w:rsidRDefault="00CB7B04">
            <w:pPr>
              <w:tabs>
                <w:tab w:val="left" w:pos="1140"/>
              </w:tabs>
              <w:jc w:val="center"/>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L / l</w:t>
            </w:r>
          </w:p>
        </w:tc>
        <w:tc>
          <w:tcPr>
            <w:tcW w:w="2943" w:type="dxa"/>
            <w:shd w:val="clear" w:color="auto" w:fill="auto"/>
            <w:vAlign w:val="center"/>
          </w:tcPr>
          <w:p w:rsidR="00866A2F" w:rsidRPr="00732A17" w:rsidRDefault="00CB7B04">
            <w:pPr>
              <w:tabs>
                <w:tab w:val="left" w:pos="1140"/>
              </w:tabs>
              <w:jc w:val="center"/>
              <w:rPr>
                <w:rFonts w:ascii="Arial" w:eastAsia="Arial" w:hAnsi="Arial" w:cs="Arial"/>
                <w:sz w:val="24"/>
                <w:szCs w:val="24"/>
              </w:rPr>
            </w:pPr>
            <w:r w:rsidRPr="00732A17">
              <w:rPr>
                <w:rFonts w:ascii="Arial" w:eastAsia="Arial" w:hAnsi="Arial" w:cs="Arial"/>
                <w:sz w:val="24"/>
                <w:szCs w:val="24"/>
              </w:rPr>
              <w:t>L</w:t>
            </w:r>
          </w:p>
        </w:tc>
        <w:tc>
          <w:tcPr>
            <w:tcW w:w="2943" w:type="dxa"/>
            <w:shd w:val="clear" w:color="auto" w:fill="FBE5D5"/>
            <w:vAlign w:val="center"/>
          </w:tcPr>
          <w:p w:rsidR="00866A2F" w:rsidRPr="00732A17" w:rsidRDefault="00CB7B04">
            <w:pPr>
              <w:tabs>
                <w:tab w:val="left" w:pos="1140"/>
              </w:tabs>
              <w:jc w:val="center"/>
              <w:rPr>
                <w:rFonts w:ascii="Arial" w:eastAsia="Arial" w:hAnsi="Arial" w:cs="Arial"/>
                <w:sz w:val="24"/>
                <w:szCs w:val="24"/>
              </w:rPr>
            </w:pPr>
            <w:r w:rsidRPr="00732A17">
              <w:rPr>
                <w:rFonts w:ascii="Arial" w:eastAsia="Arial" w:hAnsi="Arial" w:cs="Arial"/>
                <w:sz w:val="24"/>
                <w:szCs w:val="24"/>
              </w:rPr>
              <w:t>l</w:t>
            </w:r>
          </w:p>
        </w:tc>
      </w:tr>
    </w:tbl>
    <w:p w:rsidR="00CA60C8" w:rsidRPr="00732A17" w:rsidRDefault="00CA60C8">
      <w:pPr>
        <w:spacing w:line="360" w:lineRule="auto"/>
        <w:jc w:val="both"/>
        <w:rPr>
          <w:rFonts w:ascii="Palatino Linotype" w:eastAsia="Palatino Linotype" w:hAnsi="Palatino Linotype" w:cs="Palatino Linotype"/>
          <w:sz w:val="24"/>
          <w:szCs w:val="24"/>
        </w:rPr>
      </w:pPr>
    </w:p>
    <w:p w:rsidR="00866A2F" w:rsidRPr="00732A17" w:rsidRDefault="00CB7B04">
      <w:pPr>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No obstante, con la finalidad de verificar si la liga electrónica permite o no acceder a la información que es del interés de la persona solicitante, </w:t>
      </w:r>
      <w:r w:rsidR="00232F12" w:rsidRPr="00732A17">
        <w:rPr>
          <w:rFonts w:ascii="Palatino Linotype" w:eastAsia="Palatino Linotype" w:hAnsi="Palatino Linotype" w:cs="Palatino Linotype"/>
          <w:sz w:val="24"/>
          <w:szCs w:val="24"/>
        </w:rPr>
        <w:t xml:space="preserve">tal y como fue proporcionada, </w:t>
      </w:r>
      <w:r w:rsidRPr="00732A17">
        <w:rPr>
          <w:rFonts w:ascii="Palatino Linotype" w:eastAsia="Palatino Linotype" w:hAnsi="Palatino Linotype" w:cs="Palatino Linotype"/>
          <w:sz w:val="24"/>
          <w:szCs w:val="24"/>
        </w:rPr>
        <w:t>es</w:t>
      </w:r>
      <w:r w:rsidR="00232F12" w:rsidRPr="00732A17">
        <w:rPr>
          <w:rFonts w:ascii="Palatino Linotype" w:eastAsia="Palatino Linotype" w:hAnsi="Palatino Linotype" w:cs="Palatino Linotype"/>
          <w:sz w:val="24"/>
          <w:szCs w:val="24"/>
        </w:rPr>
        <w:t xml:space="preserve">te Organismo Garante procedió a </w:t>
      </w:r>
      <w:r w:rsidRPr="00732A17">
        <w:rPr>
          <w:rFonts w:ascii="Palatino Linotype" w:eastAsia="Palatino Linotype" w:hAnsi="Palatino Linotype" w:cs="Palatino Linotype"/>
          <w:sz w:val="24"/>
          <w:szCs w:val="24"/>
        </w:rPr>
        <w:t xml:space="preserve">capturar carácter por carácter </w:t>
      </w:r>
      <w:r w:rsidR="00232F12" w:rsidRPr="00732A17">
        <w:rPr>
          <w:rFonts w:ascii="Palatino Linotype" w:eastAsia="Palatino Linotype" w:hAnsi="Palatino Linotype" w:cs="Palatino Linotype"/>
          <w:sz w:val="24"/>
          <w:szCs w:val="24"/>
        </w:rPr>
        <w:t>el link</w:t>
      </w:r>
      <w:r w:rsidRPr="00732A17">
        <w:rPr>
          <w:rFonts w:ascii="Palatino Linotype" w:eastAsia="Palatino Linotype" w:hAnsi="Palatino Linotype" w:cs="Palatino Linotype"/>
          <w:sz w:val="24"/>
          <w:szCs w:val="24"/>
        </w:rPr>
        <w:t xml:space="preserve"> y consultar la información, como se muestra a continuación:</w:t>
      </w:r>
    </w:p>
    <w:p w:rsidR="00866A2F" w:rsidRPr="00732A17" w:rsidRDefault="00CB7B04">
      <w:pPr>
        <w:jc w:val="center"/>
      </w:pPr>
      <w:r w:rsidRPr="00732A17">
        <w:rPr>
          <w:rFonts w:ascii="Palatino Linotype" w:hAnsi="Palatino Linotype"/>
        </w:rPr>
        <w:t>https://www.ipomex.org.mx/ipo3/Igt/indice/ATLACOMULCO/art_92_viii/5.web?token =03AL8dmw9og1eDY4gLmPk1gGHsZ-TYBMXQcON1yMIQs4OK4tuVf3Yr6Z64LS9KqTw4SPDyP7de1F_IYTyBQie-Lg_gLM9w1o1G4dNjmCL157ixGF9iKpQtAW_YoZjsBYctnKAOAhEyKFSaHpBQ1jSil2AE2HY u3w1mhKAOTaFEmIb-EAhP10dT9z5Tu0C6015sAFF2rIYqlYU-8S-vLY_TU0UdEfraJfbdEMnqNWEVYzULsAsLgEIP2wk-u_-bURlivRJorb4F7hknMcFE8J2EiCYCHvrPNvpi6CmIfIPw41yZ2EWcJg0PKwK7TL4Uqsi9w</w:t>
      </w:r>
      <w:r w:rsidRPr="00732A17">
        <w:rPr>
          <w:rFonts w:ascii="Palatino Linotype" w:hAnsi="Palatino Linotype"/>
        </w:rPr>
        <w:lastRenderedPageBreak/>
        <w:t>H9oCILJ19dxhrTeQatNaa-Qkpr5_RDHV2b_l5lOl89Nw7JnKPf6QTk6PQWQWOLzM9рауF-Px4vltulj6F1tPwyHQrttlXqWSBToHWlx6FLj7kusCdwHJMmvPtmG_5CQyU7cOlaHktwmCNmf-Ju2k_StG8R6tXTHV3NpPozaJqOxMhzpJ5dZA3Ze6Vsl07ndWlNygrJe1vXdzsXy5lgrGIXa18fAaHa9r631x3NS8FrDd-hrKIWOFttcMCWhOAcsn1VsuXBLA9CaOEISg_р7XE2CT3Z64LirGBXYW7NeuA6GP8X_8Maym-</w:t>
      </w:r>
      <w:r w:rsidRPr="00732A17">
        <w:t xml:space="preserve">U </w:t>
      </w:r>
    </w:p>
    <w:p w:rsidR="00CA60C8" w:rsidRPr="00732A17" w:rsidRDefault="00CA60C8" w:rsidP="00CA60C8">
      <w:pPr>
        <w:jc w:val="both"/>
        <w:rPr>
          <w:rFonts w:ascii="Palatino Linotype" w:hAnsi="Palatino Linotype"/>
          <w:sz w:val="24"/>
        </w:rPr>
      </w:pPr>
      <w:r w:rsidRPr="00732A17">
        <w:rPr>
          <w:rFonts w:ascii="Palatino Linotype" w:hAnsi="Palatino Linotype"/>
          <w:sz w:val="24"/>
        </w:rPr>
        <w:t>Obteniendo como resultado, lo siguiente:</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noProof/>
        </w:rPr>
        <w:drawing>
          <wp:inline distT="0" distB="0" distL="0" distR="0">
            <wp:extent cx="5612130" cy="2012315"/>
            <wp:effectExtent l="0" t="0" r="0" b="0"/>
            <wp:docPr id="20675916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612130" cy="2012315"/>
                    </a:xfrm>
                    <a:prstGeom prst="rect">
                      <a:avLst/>
                    </a:prstGeom>
                    <a:ln/>
                  </pic:spPr>
                </pic:pic>
              </a:graphicData>
            </a:graphic>
          </wp:inline>
        </w:drawing>
      </w:r>
    </w:p>
    <w:p w:rsidR="00CA60C8"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De lo anterior se colige que, </w:t>
      </w:r>
      <w:r w:rsidR="00232F12" w:rsidRPr="00732A17">
        <w:rPr>
          <w:rFonts w:ascii="Palatino Linotype" w:eastAsia="Palatino Linotype" w:hAnsi="Palatino Linotype" w:cs="Palatino Linotype"/>
          <w:sz w:val="24"/>
          <w:szCs w:val="24"/>
        </w:rPr>
        <w:t>al</w:t>
      </w:r>
      <w:r w:rsidRPr="00732A17">
        <w:rPr>
          <w:rFonts w:ascii="Palatino Linotype" w:eastAsia="Palatino Linotype" w:hAnsi="Palatino Linotype" w:cs="Palatino Linotype"/>
          <w:sz w:val="24"/>
          <w:szCs w:val="24"/>
        </w:rPr>
        <w:t xml:space="preserve"> haberse proporcionado la dirección electróni</w:t>
      </w:r>
      <w:r w:rsidR="00232F12" w:rsidRPr="00732A17">
        <w:rPr>
          <w:rFonts w:ascii="Palatino Linotype" w:eastAsia="Palatino Linotype" w:hAnsi="Palatino Linotype" w:cs="Palatino Linotype"/>
          <w:sz w:val="24"/>
          <w:szCs w:val="24"/>
        </w:rPr>
        <w:t xml:space="preserve">ca en un documento digitalizado y estar </w:t>
      </w:r>
      <w:r w:rsidR="00CA60C8" w:rsidRPr="00732A17">
        <w:rPr>
          <w:rFonts w:ascii="Palatino Linotype" w:eastAsia="Palatino Linotype" w:hAnsi="Palatino Linotype" w:cs="Palatino Linotype"/>
          <w:sz w:val="24"/>
          <w:szCs w:val="24"/>
        </w:rPr>
        <w:t>conformada</w:t>
      </w:r>
      <w:r w:rsidR="00232F12" w:rsidRPr="00732A17">
        <w:rPr>
          <w:rFonts w:ascii="Palatino Linotype" w:eastAsia="Palatino Linotype" w:hAnsi="Palatino Linotype" w:cs="Palatino Linotype"/>
          <w:sz w:val="24"/>
          <w:szCs w:val="24"/>
        </w:rPr>
        <w:t xml:space="preserve"> por </w:t>
      </w:r>
      <w:r w:rsidRPr="00732A17">
        <w:rPr>
          <w:rFonts w:ascii="Palatino Linotype" w:eastAsia="Palatino Linotype" w:hAnsi="Palatino Linotype" w:cs="Palatino Linotype"/>
          <w:sz w:val="24"/>
          <w:szCs w:val="24"/>
        </w:rPr>
        <w:t>una longitud considerable</w:t>
      </w:r>
      <w:r w:rsidR="00232F12" w:rsidRPr="00732A17">
        <w:rPr>
          <w:rFonts w:ascii="Palatino Linotype" w:eastAsia="Palatino Linotype" w:hAnsi="Palatino Linotype" w:cs="Palatino Linotype"/>
          <w:sz w:val="24"/>
          <w:szCs w:val="24"/>
        </w:rPr>
        <w:t xml:space="preserve"> de símbolos y caracteres que no pueden distinguirse de manera clara</w:t>
      </w:r>
      <w:r w:rsidR="00CA60C8" w:rsidRPr="00732A17">
        <w:rPr>
          <w:rFonts w:ascii="Palatino Linotype" w:eastAsia="Palatino Linotype" w:hAnsi="Palatino Linotype" w:cs="Palatino Linotype"/>
          <w:sz w:val="24"/>
          <w:szCs w:val="24"/>
        </w:rPr>
        <w:t xml:space="preserve"> para ser capturados con certeza, </w:t>
      </w:r>
      <w:r w:rsidR="00232F12" w:rsidRPr="00732A17">
        <w:rPr>
          <w:rFonts w:ascii="Palatino Linotype" w:eastAsia="Palatino Linotype" w:hAnsi="Palatino Linotype" w:cs="Palatino Linotype"/>
          <w:sz w:val="24"/>
          <w:szCs w:val="24"/>
        </w:rPr>
        <w:t>dificulta sobremanera acceder a la informaci</w:t>
      </w:r>
      <w:r w:rsidR="00CA60C8" w:rsidRPr="00732A17">
        <w:rPr>
          <w:rFonts w:ascii="Palatino Linotype" w:eastAsia="Palatino Linotype" w:hAnsi="Palatino Linotype" w:cs="Palatino Linotype"/>
          <w:sz w:val="24"/>
          <w:szCs w:val="24"/>
        </w:rPr>
        <w:t xml:space="preserve">ón en virtud de que </w:t>
      </w:r>
      <w:r w:rsidRPr="00732A17">
        <w:rPr>
          <w:rFonts w:ascii="Palatino Linotype" w:eastAsia="Palatino Linotype" w:hAnsi="Palatino Linotype" w:cs="Palatino Linotype"/>
          <w:sz w:val="24"/>
          <w:szCs w:val="24"/>
        </w:rPr>
        <w:t xml:space="preserve">no dirige al portal de Información Pública de Oficio Mexiquense, IPOMEX, y mucho menos al apartado donde se encuentran publicadas las remuneraciones, </w:t>
      </w:r>
      <w:r w:rsidR="00CA60C8" w:rsidRPr="00732A17">
        <w:rPr>
          <w:rFonts w:ascii="Palatino Linotype" w:eastAsia="Palatino Linotype" w:hAnsi="Palatino Linotype" w:cs="Palatino Linotype"/>
          <w:sz w:val="24"/>
          <w:szCs w:val="24"/>
        </w:rPr>
        <w:t>como ha quedado demostrado.</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atención a ello, los motivos de inconformidad aducidos por la </w:t>
      </w:r>
      <w:r w:rsidRPr="00732A17">
        <w:rPr>
          <w:rFonts w:ascii="Palatino Linotype" w:eastAsia="Palatino Linotype" w:hAnsi="Palatino Linotype" w:cs="Palatino Linotype"/>
          <w:b/>
          <w:sz w:val="24"/>
          <w:szCs w:val="24"/>
        </w:rPr>
        <w:t xml:space="preserve">PARTE RECURRENTE, </w:t>
      </w:r>
      <w:r w:rsidRPr="00732A17">
        <w:rPr>
          <w:rFonts w:ascii="Palatino Linotype" w:eastAsia="Palatino Linotype" w:hAnsi="Palatino Linotype" w:cs="Palatino Linotype"/>
          <w:sz w:val="24"/>
          <w:szCs w:val="24"/>
        </w:rPr>
        <w:t>devienen fundados.</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este sentido, se menciona que de conformidad con el artículo 24, fracción V de la Ley de Transparencia y Acceso a la Información Pública del Estado de México y </w:t>
      </w:r>
      <w:r w:rsidRPr="00732A17">
        <w:rPr>
          <w:rFonts w:ascii="Palatino Linotype" w:eastAsia="Palatino Linotype" w:hAnsi="Palatino Linotype" w:cs="Palatino Linotype"/>
          <w:sz w:val="24"/>
          <w:szCs w:val="24"/>
        </w:rPr>
        <w:lastRenderedPageBreak/>
        <w:t xml:space="preserve">Municipios, los entes públicos se encuentran obligados </w:t>
      </w:r>
      <w:r w:rsidRPr="00732A17">
        <w:rPr>
          <w:rFonts w:ascii="Palatino Linotype" w:eastAsia="Palatino Linotype" w:hAnsi="Palatino Linotype" w:cs="Palatino Linotype"/>
          <w:b/>
          <w:sz w:val="24"/>
          <w:szCs w:val="24"/>
          <w:u w:val="single"/>
        </w:rPr>
        <w:t>a promover</w:t>
      </w:r>
      <w:r w:rsidRPr="00732A17">
        <w:rPr>
          <w:rFonts w:ascii="Palatino Linotype" w:eastAsia="Palatino Linotype" w:hAnsi="Palatino Linotype" w:cs="Palatino Linotype"/>
          <w:sz w:val="24"/>
          <w:szCs w:val="24"/>
        </w:rPr>
        <w:t xml:space="preserve"> la generación, documentación y publicación de la información </w:t>
      </w:r>
      <w:r w:rsidRPr="00732A17">
        <w:rPr>
          <w:rFonts w:ascii="Palatino Linotype" w:eastAsia="Palatino Linotype" w:hAnsi="Palatino Linotype" w:cs="Palatino Linotype"/>
          <w:b/>
          <w:sz w:val="24"/>
          <w:szCs w:val="24"/>
          <w:u w:val="single"/>
        </w:rPr>
        <w:t>en formatos abiertos y accesibles</w:t>
      </w:r>
      <w:r w:rsidRPr="00732A17">
        <w:rPr>
          <w:rFonts w:ascii="Palatino Linotype" w:eastAsia="Palatino Linotype" w:hAnsi="Palatino Linotype" w:cs="Palatino Linotype"/>
          <w:sz w:val="24"/>
          <w:szCs w:val="24"/>
        </w:rPr>
        <w:t xml:space="preserve">, es decir, se debe procurar, en la medida de lo posible, que la información que se genere permita su reproducción y reutilización electrónica, de manera libre sin ninguna restricción. </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Razón por la cual se insta al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para que en próximas ocasiones,  en la medida de lo posible, cuando haga entrega de información pública de manera electrónica, garantice la interoperabilidad de esta, es decir, que esta contenga datos en formatos y estándares abiertos para su reproducción y reutilización electrónica por parte de los solicitantes, con la finalidad de asegurar el acceso a la información que es de su interés.</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Siguiendo con el análisis, en la etapa de manifestaciones, en atención al motivo de inconformidad de la </w:t>
      </w:r>
      <w:r w:rsidRPr="00732A17">
        <w:rPr>
          <w:rFonts w:ascii="Palatino Linotype" w:eastAsia="Palatino Linotype" w:hAnsi="Palatino Linotype" w:cs="Palatino Linotype"/>
          <w:b/>
          <w:sz w:val="24"/>
          <w:szCs w:val="24"/>
        </w:rPr>
        <w:t xml:space="preserve">PARTE RECURRENTE </w:t>
      </w:r>
      <w:r w:rsidRPr="00732A17">
        <w:rPr>
          <w:rFonts w:ascii="Palatino Linotype" w:eastAsia="Palatino Linotype" w:hAnsi="Palatino Linotype" w:cs="Palatino Linotype"/>
          <w:sz w:val="24"/>
          <w:szCs w:val="24"/>
        </w:rPr>
        <w:t xml:space="preserve">proporcionó la dirección electrónica: </w:t>
      </w:r>
      <w:hyperlink r:id="rId14">
        <w:r w:rsidRPr="00732A17">
          <w:rPr>
            <w:rFonts w:ascii="Palatino Linotype" w:eastAsia="Palatino Linotype" w:hAnsi="Palatino Linotype" w:cs="Palatino Linotype"/>
            <w:sz w:val="24"/>
            <w:szCs w:val="24"/>
            <w:u w:val="single"/>
          </w:rPr>
          <w:t>https://goo.su/I6dUss</w:t>
        </w:r>
      </w:hyperlink>
      <w:r w:rsidRPr="00732A17">
        <w:rPr>
          <w:rFonts w:ascii="Palatino Linotype" w:eastAsia="Palatino Linotype" w:hAnsi="Palatino Linotype" w:cs="Palatino Linotype"/>
          <w:sz w:val="24"/>
          <w:szCs w:val="24"/>
        </w:rPr>
        <w:t xml:space="preserve"> señalando que la misma era más corta y con mayor facilidad de acceso.</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En este orden de ideas, de la consulta efectuada por este Organismo Garante, en la segunda liga electrónica, se advirtió lo siguiente:</w:t>
      </w:r>
    </w:p>
    <w:p w:rsidR="00866A2F" w:rsidRPr="00732A17" w:rsidRDefault="00CA60C8">
      <w:pPr>
        <w:tabs>
          <w:tab w:val="left" w:pos="1140"/>
        </w:tabs>
        <w:spacing w:line="360" w:lineRule="auto"/>
        <w:jc w:val="both"/>
        <w:rPr>
          <w:rFonts w:ascii="Palatino Linotype" w:eastAsia="Palatino Linotype" w:hAnsi="Palatino Linotype" w:cs="Palatino Linotype"/>
          <w:sz w:val="24"/>
          <w:szCs w:val="24"/>
        </w:rPr>
      </w:pPr>
      <w:r w:rsidRPr="00732A17">
        <w:rPr>
          <w:noProof/>
        </w:rPr>
        <mc:AlternateContent>
          <mc:Choice Requires="wps">
            <w:drawing>
              <wp:anchor distT="0" distB="0" distL="114300" distR="114300" simplePos="0" relativeHeight="251658240" behindDoc="0" locked="0" layoutInCell="1" hidden="0" allowOverlap="1">
                <wp:simplePos x="0" y="0"/>
                <wp:positionH relativeFrom="margin">
                  <wp:align>right</wp:align>
                </wp:positionH>
                <wp:positionV relativeFrom="paragraph">
                  <wp:posOffset>27305</wp:posOffset>
                </wp:positionV>
                <wp:extent cx="5572125" cy="2066925"/>
                <wp:effectExtent l="19050" t="19050" r="28575" b="28575"/>
                <wp:wrapNone/>
                <wp:docPr id="2067591620" name="Conector recto de flecha 2067591620"/>
                <wp:cNvGraphicFramePr/>
                <a:graphic xmlns:a="http://schemas.openxmlformats.org/drawingml/2006/main">
                  <a:graphicData uri="http://schemas.microsoft.com/office/word/2010/wordprocessingShape">
                    <wps:wsp>
                      <wps:cNvCnPr/>
                      <wps:spPr>
                        <a:xfrm>
                          <a:off x="0" y="0"/>
                          <a:ext cx="5572125" cy="2066925"/>
                        </a:xfrm>
                        <a:prstGeom prst="straightConnector1">
                          <a:avLst/>
                        </a:prstGeom>
                        <a:noFill/>
                        <a:ln w="28575"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3B5D7E7B" id="_x0000_t32" coordsize="21600,21600" o:spt="32" o:oned="t" path="m,l21600,21600e" filled="f">
                <v:path arrowok="t" fillok="f" o:connecttype="none"/>
                <o:lock v:ext="edit" shapetype="t"/>
              </v:shapetype>
              <v:shape id="Conector recto de flecha 2067591620" o:spid="_x0000_s1026" type="#_x0000_t32" style="position:absolute;margin-left:387.55pt;margin-top:2.15pt;width:438.75pt;height:162.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" strokecolor="black [3200]" strokeweight="2.25pt">
                <v:stroke startarrowwidth="narrow" startarrowlength="short" endarrowwidth="narrow" endarrowlength="short" joinstyle="miter"/>
                <w10:wrap anchorx="margin"/>
              </v:shape>
            </w:pict>
          </mc:Fallback>
        </mc:AlternateConten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noProof/>
        </w:rPr>
        <w:lastRenderedPageBreak/>
        <w:drawing>
          <wp:inline distT="0" distB="0" distL="0" distR="0">
            <wp:extent cx="5612130" cy="4739005"/>
            <wp:effectExtent l="0" t="0" r="0" b="0"/>
            <wp:docPr id="20675916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5612130" cy="4739005"/>
                    </a:xfrm>
                    <a:prstGeom prst="rect">
                      <a:avLst/>
                    </a:prstGeom>
                    <a:ln/>
                  </pic:spPr>
                </pic:pic>
              </a:graphicData>
            </a:graphic>
          </wp:inline>
        </w:drawing>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Como se observa, la segunda dirección electrónica dirige a la información publicada por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en el primer trimestre del ejercicio 2023, en cumplimiento a la obligación de transparencia prevista en el artículo 92, fracción VIII de la Ley de la Materia, respecto a las Oficialías del Registro Civil.</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Cabe señalar que dicho apartado,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w:t>
      </w:r>
      <w:r w:rsidRPr="00732A17">
        <w:rPr>
          <w:rFonts w:ascii="Palatino Linotype" w:eastAsia="Palatino Linotype" w:hAnsi="Palatino Linotype" w:cs="Palatino Linotype"/>
          <w:sz w:val="24"/>
          <w:szCs w:val="24"/>
        </w:rPr>
        <w:lastRenderedPageBreak/>
        <w:t>de Transparencia, debe incluir la información de todos(as) los(as) servidores(as) públicos(as) de base, de confianza, integrantes, miembros del sujeto obligado y/o toda persona que desempeñe un empleo, cargo o comisión y/o ejerza actos de autoridad, relativa a: la remuneración mensual bruta y neta de conformidad con el tabulador de sueldos y salarios aplicable a cada sujeto obligado, así como todos los conceptos que sean adicionales y distintos a las remuneraciones y que, de conformidad con la normatividad aplicable a cada sujeto obligado, se entreguen, entre otros: percepciones en efectivo o en especie, prestaciones, gratificaciones, primas, comisiones, dietas, bonos, estímulos, apoyos económicos, sistemas de compensación e ingresos, especificando la periodicidad con que se otorga cada uno de éstos (quincenal, mensual, semestral, anual, por única ocasión, etcétera).</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Asimismo, debe cumplir con los criterios sustantivos de contenido, criterios adjetivos de actualización, criterios adjetivos de confiabilidad y los criterios adjetivos de formato.</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Respecto a las remuneraciones netas, el criterio sustantivo de contenido número 12, señala que debe publicarse de manera mensual, y que se refiere a la remuneración mensual bruta, menos las deducciones genéricas previstas por ley:</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noProof/>
        </w:rPr>
        <w:drawing>
          <wp:inline distT="0" distB="0" distL="0" distR="0">
            <wp:extent cx="5400675" cy="561975"/>
            <wp:effectExtent l="0" t="0" r="0" b="0"/>
            <wp:docPr id="206759163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t="50832"/>
                    <a:stretch>
                      <a:fillRect/>
                    </a:stretch>
                  </pic:blipFill>
                  <pic:spPr>
                    <a:xfrm>
                      <a:off x="0" y="0"/>
                      <a:ext cx="5400675" cy="561975"/>
                    </a:xfrm>
                    <a:prstGeom prst="rect">
                      <a:avLst/>
                    </a:prstGeom>
                    <a:ln/>
                  </pic:spPr>
                </pic:pic>
              </a:graphicData>
            </a:graphic>
          </wp:inline>
        </w:drawing>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En el caso que nos ocupa, no pasa desapercibido que la persona solicitante requirió el sueldo quincenal neto, sin embargo, a pesar de que en el portal IPOMEX, se publica la información de manera mensual, es posible deducir el monto de las percepciones quincenales, al dividir o fraccionar dicho monto en las dos quincenas que conforman un mes.</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lastRenderedPageBreak/>
        <w:t xml:space="preserve">No obstante de lo anterior, si bien a través del informe justificado el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pretendió complementar su respuesta, proporcionando una liga electrónica que es más accesible, con la finalidad de que la persona solicitante pudiera conocer el sueldo de los servidores públicos adscritos a las Oficialías de Registro Civil,  la información contenida en el portal IPOMEX es insuficiente para tener por colmado el Derecho de acceso, en virtud de que el listado remitido por la Dirección de Administración da cuenta de veintiún servidores públicos que se encuentran adscritos a las Oficialías de Registro Civil, mientras que en el portal IPOMEX, solo obran seis registros.</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En tal sentido, lo procedente es ordenar la entrega del documento que dé cuenta del último sueldo neto quincenal percibido por los servidores públicos adscritos a las Oficialías del Registro Civil al veintinueve de mayo de dos mil veintitrés, de ser procedente en versión pública conforme al considerando siguiente.</w:t>
      </w:r>
    </w:p>
    <w:p w:rsidR="00866A2F" w:rsidRPr="00732A17" w:rsidRDefault="00CB7B04">
      <w:pPr>
        <w:spacing w:before="24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Para  efectos de lo anterior, no obsta mencionar que el documento a través del cual pudiera atenderse la solicitud, de manera enunciativa, más no limitativa, son los recibos de nómina o Comprobantes Fiscales Digitales por Internet.</w:t>
      </w:r>
    </w:p>
    <w:p w:rsidR="00866A2F" w:rsidRPr="00732A17" w:rsidRDefault="00CB7B04">
      <w:pPr>
        <w:pBdr>
          <w:top w:val="nil"/>
          <w:left w:val="nil"/>
          <w:bottom w:val="nil"/>
          <w:right w:val="nil"/>
          <w:between w:val="nil"/>
        </w:pBdr>
        <w:spacing w:before="280" w:after="280" w:line="360" w:lineRule="auto"/>
        <w:jc w:val="both"/>
        <w:rPr>
          <w:rFonts w:ascii="Palatino Linotype" w:eastAsia="Palatino Linotype" w:hAnsi="Palatino Linotype" w:cs="Palatino Linotype"/>
          <w:i/>
          <w:sz w:val="24"/>
          <w:szCs w:val="24"/>
        </w:rPr>
      </w:pPr>
      <w:r w:rsidRPr="00732A17">
        <w:rPr>
          <w:rFonts w:ascii="Palatino Linotype" w:eastAsia="Palatino Linotype" w:hAnsi="Palatino Linotype" w:cs="Palatino Linotype"/>
          <w:sz w:val="24"/>
          <w:szCs w:val="24"/>
        </w:rPr>
        <w:t>Respecto de la nómina de los servidores públicos, si bien es cierto, el término “</w:t>
      </w:r>
      <w:r w:rsidRPr="00732A17">
        <w:rPr>
          <w:rFonts w:ascii="Palatino Linotype" w:eastAsia="Palatino Linotype" w:hAnsi="Palatino Linotype" w:cs="Palatino Linotype"/>
          <w:i/>
          <w:sz w:val="24"/>
          <w:szCs w:val="24"/>
        </w:rPr>
        <w:t xml:space="preserve">nómina” </w:t>
      </w:r>
      <w:r w:rsidRPr="00732A17">
        <w:rPr>
          <w:rFonts w:ascii="Palatino Linotype" w:eastAsia="Palatino Linotype" w:hAnsi="Palatino Linotype" w:cs="Palatino Linotype"/>
          <w:sz w:val="24"/>
          <w:szCs w:val="24"/>
        </w:rPr>
        <w:t xml:space="preserve">no está definido en nuestra legislación, también lo es que el “Glosario de Términos para el Proceso de Planeación, Programación, </w:t>
      </w:r>
      <w:proofErr w:type="spellStart"/>
      <w:r w:rsidRPr="00732A17">
        <w:rPr>
          <w:rFonts w:ascii="Palatino Linotype" w:eastAsia="Palatino Linotype" w:hAnsi="Palatino Linotype" w:cs="Palatino Linotype"/>
          <w:sz w:val="24"/>
          <w:szCs w:val="24"/>
        </w:rPr>
        <w:t>Presupuestación</w:t>
      </w:r>
      <w:proofErr w:type="spellEnd"/>
      <w:r w:rsidRPr="00732A17">
        <w:rPr>
          <w:rFonts w:ascii="Palatino Linotype" w:eastAsia="Palatino Linotype" w:hAnsi="Palatino Linotype" w:cs="Palatino Linotype"/>
          <w:sz w:val="24"/>
          <w:szCs w:val="24"/>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la definen como el </w:t>
      </w:r>
      <w:r w:rsidRPr="00732A17">
        <w:rPr>
          <w:rFonts w:ascii="Palatino Linotype" w:eastAsia="Palatino Linotype" w:hAnsi="Palatino Linotype" w:cs="Palatino Linotype"/>
          <w:i/>
          <w:sz w:val="24"/>
          <w:szCs w:val="24"/>
        </w:rPr>
        <w:t>listado general de los trabajadores de una institución, en</w:t>
      </w:r>
      <w:r w:rsidRPr="00732A17">
        <w:rPr>
          <w:rFonts w:ascii="Palatino Linotype" w:eastAsia="Palatino Linotype" w:hAnsi="Palatino Linotype" w:cs="Palatino Linotype"/>
          <w:b/>
          <w:i/>
          <w:sz w:val="24"/>
          <w:szCs w:val="24"/>
        </w:rPr>
        <w:t xml:space="preserve"> </w:t>
      </w:r>
      <w:r w:rsidRPr="00732A17">
        <w:rPr>
          <w:rFonts w:ascii="Palatino Linotype" w:eastAsia="Palatino Linotype" w:hAnsi="Palatino Linotype" w:cs="Palatino Linotype"/>
          <w:i/>
          <w:sz w:val="24"/>
          <w:szCs w:val="24"/>
        </w:rPr>
        <w:t xml:space="preserve">el cual se </w:t>
      </w:r>
      <w:r w:rsidRPr="00732A17">
        <w:rPr>
          <w:rFonts w:ascii="Palatino Linotype" w:eastAsia="Palatino Linotype" w:hAnsi="Palatino Linotype" w:cs="Palatino Linotype"/>
          <w:b/>
          <w:i/>
          <w:sz w:val="24"/>
          <w:szCs w:val="24"/>
        </w:rPr>
        <w:t xml:space="preserve">asientan las </w:t>
      </w:r>
      <w:r w:rsidRPr="00732A17">
        <w:rPr>
          <w:rFonts w:ascii="Palatino Linotype" w:eastAsia="Palatino Linotype" w:hAnsi="Palatino Linotype" w:cs="Palatino Linotype"/>
          <w:b/>
          <w:i/>
          <w:sz w:val="24"/>
          <w:szCs w:val="24"/>
          <w:u w:val="single"/>
        </w:rPr>
        <w:t xml:space="preserve">percepciones brutas, deducciones y alcance </w:t>
      </w:r>
      <w:r w:rsidRPr="00732A17">
        <w:rPr>
          <w:rFonts w:ascii="Palatino Linotype" w:eastAsia="Palatino Linotype" w:hAnsi="Palatino Linotype" w:cs="Palatino Linotype"/>
          <w:b/>
          <w:i/>
          <w:sz w:val="24"/>
          <w:szCs w:val="24"/>
          <w:u w:val="single"/>
        </w:rPr>
        <w:lastRenderedPageBreak/>
        <w:t>neto de las mismas</w:t>
      </w:r>
      <w:r w:rsidRPr="00732A17">
        <w:rPr>
          <w:rFonts w:ascii="Palatino Linotype" w:eastAsia="Palatino Linotype" w:hAnsi="Palatino Linotype" w:cs="Palatino Linotype"/>
          <w:i/>
          <w:sz w:val="24"/>
          <w:szCs w:val="24"/>
        </w:rPr>
        <w:t>; la nómina es utilizada para</w:t>
      </w:r>
      <w:r w:rsidRPr="00732A17">
        <w:rPr>
          <w:rFonts w:ascii="Palatino Linotype" w:eastAsia="Palatino Linotype" w:hAnsi="Palatino Linotype" w:cs="Palatino Linotype"/>
          <w:b/>
          <w:i/>
          <w:sz w:val="24"/>
          <w:szCs w:val="24"/>
        </w:rPr>
        <w:t xml:space="preserve"> efectuar los pagos periódicos</w:t>
      </w:r>
      <w:r w:rsidRPr="00732A17">
        <w:rPr>
          <w:rFonts w:ascii="Palatino Linotype" w:eastAsia="Palatino Linotype" w:hAnsi="Palatino Linotype" w:cs="Palatino Linotype"/>
          <w:i/>
          <w:sz w:val="24"/>
          <w:szCs w:val="24"/>
        </w:rPr>
        <w:t xml:space="preserve"> (semanales, quincenales o</w:t>
      </w:r>
      <w:r w:rsidRPr="00732A17">
        <w:rPr>
          <w:rFonts w:ascii="Palatino Linotype" w:eastAsia="Palatino Linotype" w:hAnsi="Palatino Linotype" w:cs="Palatino Linotype"/>
          <w:b/>
          <w:i/>
          <w:sz w:val="24"/>
          <w:szCs w:val="24"/>
        </w:rPr>
        <w:t xml:space="preserve"> </w:t>
      </w:r>
      <w:r w:rsidRPr="00732A17">
        <w:rPr>
          <w:rFonts w:ascii="Palatino Linotype" w:eastAsia="Palatino Linotype" w:hAnsi="Palatino Linotype" w:cs="Palatino Linotype"/>
          <w:i/>
          <w:sz w:val="24"/>
          <w:szCs w:val="24"/>
        </w:rPr>
        <w:t xml:space="preserve">mensuales) a los trabajadores por concepto de </w:t>
      </w:r>
      <w:r w:rsidRPr="00732A17">
        <w:rPr>
          <w:rFonts w:ascii="Palatino Linotype" w:eastAsia="Palatino Linotype" w:hAnsi="Palatino Linotype" w:cs="Palatino Linotype"/>
          <w:b/>
          <w:i/>
          <w:sz w:val="24"/>
          <w:szCs w:val="24"/>
        </w:rPr>
        <w:t>sueldos y salarios</w:t>
      </w:r>
      <w:r w:rsidRPr="00732A17">
        <w:rPr>
          <w:rFonts w:ascii="Palatino Linotype" w:eastAsia="Palatino Linotype" w:hAnsi="Palatino Linotype" w:cs="Palatino Linotype"/>
          <w:i/>
          <w:sz w:val="24"/>
          <w:szCs w:val="24"/>
        </w:rPr>
        <w:t>.</w:t>
      </w:r>
    </w:p>
    <w:p w:rsidR="00866A2F" w:rsidRPr="00732A17" w:rsidRDefault="00CB7B04">
      <w:pPr>
        <w:spacing w:before="240" w:after="360" w:line="360" w:lineRule="auto"/>
        <w:jc w:val="both"/>
        <w:rPr>
          <w:rFonts w:ascii="Palatino Linotype" w:eastAsia="Palatino Linotype" w:hAnsi="Palatino Linotype" w:cs="Palatino Linotype"/>
          <w:i/>
          <w:sz w:val="24"/>
          <w:szCs w:val="24"/>
        </w:rPr>
      </w:pPr>
      <w:r w:rsidRPr="00732A17">
        <w:rPr>
          <w:rFonts w:ascii="Palatino Linotype" w:eastAsia="Palatino Linotype" w:hAnsi="Palatino Linotype" w:cs="Palatino Linotype"/>
          <w:sz w:val="24"/>
          <w:szCs w:val="24"/>
        </w:rPr>
        <w:t xml:space="preserve">Documento o término que ha sido mencionado en diferentes ordenamientos legales, tal es el caso, de la </w:t>
      </w:r>
      <w:r w:rsidRPr="00732A17">
        <w:rPr>
          <w:rFonts w:ascii="Palatino Linotype" w:eastAsia="Palatino Linotype" w:hAnsi="Palatino Linotype" w:cs="Palatino Linotype"/>
          <w:i/>
          <w:sz w:val="24"/>
          <w:szCs w:val="24"/>
        </w:rPr>
        <w:t>Ley Federal del Trabajo</w:t>
      </w:r>
      <w:r w:rsidRPr="00732A17">
        <w:rPr>
          <w:rFonts w:ascii="Palatino Linotype" w:eastAsia="Palatino Linotype" w:hAnsi="Palatino Linotype" w:cs="Palatino Linotype"/>
          <w:sz w:val="24"/>
          <w:szCs w:val="24"/>
        </w:rPr>
        <w:t xml:space="preserve"> en el artículo 804 fracción II, que además reconoce los recibos de pagos de salarios, por lo que resulta indispensable citar el artículo de referencia.</w:t>
      </w:r>
    </w:p>
    <w:p w:rsidR="00866A2F" w:rsidRPr="00732A17" w:rsidRDefault="00CB7B04">
      <w:pPr>
        <w:pBdr>
          <w:top w:val="nil"/>
          <w:left w:val="nil"/>
          <w:bottom w:val="nil"/>
          <w:right w:val="nil"/>
          <w:between w:val="nil"/>
        </w:pBdr>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“Artículo 804.-</w:t>
      </w:r>
      <w:r w:rsidRPr="00732A17">
        <w:rPr>
          <w:rFonts w:ascii="Palatino Linotype" w:eastAsia="Palatino Linotype" w:hAnsi="Palatino Linotype" w:cs="Palatino Linotype"/>
          <w:i/>
        </w:rPr>
        <w:t xml:space="preserve"> El patrón tiene obligación de conservar y exhibir en juicio los documentos que a continuación se precisan:</w:t>
      </w:r>
    </w:p>
    <w:p w:rsidR="00866A2F" w:rsidRPr="00732A17" w:rsidRDefault="00CB7B04">
      <w:pPr>
        <w:pBdr>
          <w:top w:val="nil"/>
          <w:left w:val="nil"/>
          <w:bottom w:val="nil"/>
          <w:right w:val="nil"/>
          <w:between w:val="nil"/>
        </w:pBdr>
        <w:spacing w:before="120" w:after="120" w:line="240" w:lineRule="auto"/>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w:t>
      </w:r>
    </w:p>
    <w:p w:rsidR="00866A2F" w:rsidRPr="00732A17" w:rsidRDefault="00CB7B04">
      <w:pPr>
        <w:pBdr>
          <w:top w:val="nil"/>
          <w:left w:val="nil"/>
          <w:bottom w:val="nil"/>
          <w:right w:val="nil"/>
          <w:between w:val="nil"/>
        </w:pBdr>
        <w:spacing w:before="120" w:after="120" w:line="240" w:lineRule="auto"/>
        <w:ind w:left="993" w:right="902"/>
        <w:jc w:val="both"/>
        <w:rPr>
          <w:rFonts w:ascii="Palatino Linotype" w:eastAsia="Palatino Linotype" w:hAnsi="Palatino Linotype" w:cs="Palatino Linotype"/>
          <w:b/>
          <w:i/>
        </w:rPr>
      </w:pPr>
      <w:r w:rsidRPr="00732A17">
        <w:rPr>
          <w:rFonts w:ascii="Palatino Linotype" w:eastAsia="Palatino Linotype" w:hAnsi="Palatino Linotype" w:cs="Palatino Linotype"/>
          <w:b/>
          <w:i/>
        </w:rPr>
        <w:t>II.</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Listas de raya o nómina de personal</w:t>
      </w:r>
      <w:r w:rsidRPr="00732A17">
        <w:rPr>
          <w:rFonts w:ascii="Palatino Linotype" w:eastAsia="Palatino Linotype" w:hAnsi="Palatino Linotype" w:cs="Palatino Linotype"/>
          <w:i/>
        </w:rPr>
        <w:t xml:space="preserve">, cuando se lleven en el centro de trabajo; </w:t>
      </w:r>
      <w:r w:rsidRPr="00732A17">
        <w:rPr>
          <w:rFonts w:ascii="Palatino Linotype" w:eastAsia="Palatino Linotype" w:hAnsi="Palatino Linotype" w:cs="Palatino Linotype"/>
          <w:b/>
          <w:i/>
        </w:rPr>
        <w:t>o recibos de pagos de salarios;</w:t>
      </w:r>
    </w:p>
    <w:p w:rsidR="00866A2F" w:rsidRPr="00732A17" w:rsidRDefault="00CB7B04">
      <w:pPr>
        <w:pBdr>
          <w:top w:val="nil"/>
          <w:left w:val="nil"/>
          <w:bottom w:val="nil"/>
          <w:right w:val="nil"/>
          <w:between w:val="nil"/>
        </w:pBdr>
        <w:spacing w:before="120" w:after="120" w:line="240" w:lineRule="auto"/>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pBdr>
          <w:top w:val="nil"/>
          <w:left w:val="nil"/>
          <w:bottom w:val="nil"/>
          <w:right w:val="nil"/>
          <w:between w:val="nil"/>
        </w:pBdr>
        <w:spacing w:before="120" w:after="120" w:line="240" w:lineRule="auto"/>
        <w:ind w:left="855"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 xml:space="preserve">Los documentos señalados en la fracción I deberán conservarse mientras dure la relación laboral y hasta un año después; los señalados en las fracciones </w:t>
      </w:r>
      <w:r w:rsidRPr="00732A17">
        <w:rPr>
          <w:rFonts w:ascii="Palatino Linotype" w:eastAsia="Palatino Linotype" w:hAnsi="Palatino Linotype" w:cs="Palatino Linotype"/>
          <w:b/>
          <w:i/>
        </w:rPr>
        <w:t>II</w:t>
      </w:r>
      <w:r w:rsidRPr="00732A17">
        <w:rPr>
          <w:rFonts w:ascii="Palatino Linotype" w:eastAsia="Palatino Linotype" w:hAnsi="Palatino Linotype" w:cs="Palatino Linotype"/>
          <w:i/>
        </w:rPr>
        <w:t>, III y IV, durante el último año y un año después de que se extinga la relación laboral; y los mencionados en la fracción V, conforme lo señalen las Leyes que los rijan.”</w:t>
      </w:r>
    </w:p>
    <w:p w:rsidR="00866A2F" w:rsidRPr="00732A17" w:rsidRDefault="00CB7B04">
      <w:pPr>
        <w:spacing w:before="240" w:after="36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De lo anteriormente citado, se puede llegar a la conclusión de que la nómina, es el documento que contiene el registro de los trabajadores a los cuales se va a remunerar por los </w:t>
      </w:r>
      <w:hyperlink r:id="rId17">
        <w:r w:rsidRPr="00732A17">
          <w:rPr>
            <w:rFonts w:ascii="Palatino Linotype" w:eastAsia="Palatino Linotype" w:hAnsi="Palatino Linotype" w:cs="Palatino Linotype"/>
            <w:sz w:val="24"/>
            <w:szCs w:val="24"/>
          </w:rPr>
          <w:t>servicios</w:t>
        </w:r>
      </w:hyperlink>
      <w:r w:rsidRPr="00732A17">
        <w:rPr>
          <w:rFonts w:ascii="Palatino Linotype" w:eastAsia="Palatino Linotype" w:hAnsi="Palatino Linotype" w:cs="Palatino Linotype"/>
          <w:sz w:val="24"/>
          <w:szCs w:val="24"/>
        </w:rPr>
        <w:t xml:space="preserve"> que éstos le prestan al patrón, en el cual </w:t>
      </w:r>
      <w:r w:rsidRPr="00732A17">
        <w:rPr>
          <w:rFonts w:ascii="Palatino Linotype" w:eastAsia="Palatino Linotype" w:hAnsi="Palatino Linotype" w:cs="Palatino Linotype"/>
          <w:b/>
          <w:sz w:val="24"/>
          <w:szCs w:val="24"/>
        </w:rPr>
        <w:t>se asientan las percepciones brutas, deducciones y el neto</w:t>
      </w:r>
      <w:r w:rsidRPr="00732A17">
        <w:rPr>
          <w:rFonts w:ascii="Palatino Linotype" w:eastAsia="Palatino Linotype" w:hAnsi="Palatino Linotype" w:cs="Palatino Linotype"/>
          <w:sz w:val="24"/>
          <w:szCs w:val="24"/>
        </w:rPr>
        <w:t xml:space="preserve"> a recibir de dichos trabajadores.</w:t>
      </w:r>
    </w:p>
    <w:p w:rsidR="00866A2F" w:rsidRPr="00732A17" w:rsidRDefault="00CB7B04">
      <w:pPr>
        <w:spacing w:before="240" w:after="360" w:line="360" w:lineRule="auto"/>
        <w:jc w:val="both"/>
        <w:rPr>
          <w:rFonts w:ascii="Palatino Linotype" w:eastAsia="Palatino Linotype" w:hAnsi="Palatino Linotype" w:cs="Palatino Linotype"/>
          <w:sz w:val="24"/>
          <w:szCs w:val="24"/>
        </w:rPr>
      </w:pPr>
      <w:bookmarkStart w:id="4" w:name="_heading=h.2et92p0" w:colFirst="0" w:colLast="0"/>
      <w:bookmarkEnd w:id="4"/>
      <w:r w:rsidRPr="00732A17">
        <w:rPr>
          <w:rFonts w:ascii="Palatino Linotype" w:eastAsia="Palatino Linotype" w:hAnsi="Palatino Linotype" w:cs="Palatino Linotype"/>
          <w:sz w:val="24"/>
          <w:szCs w:val="24"/>
        </w:rPr>
        <w:t>En ese contexto, tratándose de servidores públicos de los Municipios, la Ley del Trabajo de los Servidores Públicos del Estado y Municipios, en su artículo 220-K fracciones II y IV y último párrafo, establecen lo siguiente:</w:t>
      </w:r>
    </w:p>
    <w:p w:rsidR="00866A2F" w:rsidRPr="00732A17" w:rsidRDefault="00CB7B04">
      <w:pPr>
        <w:tabs>
          <w:tab w:val="left" w:pos="9072"/>
        </w:tabs>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lastRenderedPageBreak/>
        <w:t>“ARTÍCULO 220 K.-</w:t>
      </w:r>
      <w:r w:rsidRPr="00732A17">
        <w:rPr>
          <w:rFonts w:ascii="Palatino Linotype" w:eastAsia="Palatino Linotype" w:hAnsi="Palatino Linotype" w:cs="Palatino Linotype"/>
          <w:i/>
        </w:rPr>
        <w:t xml:space="preserve"> La institución o dependencia pública tiene la obligación de conservar y exhibir en el proceso los documentos que a continuación se precisan:</w:t>
      </w:r>
    </w:p>
    <w:p w:rsidR="00866A2F" w:rsidRPr="00732A17" w:rsidRDefault="00CB7B04">
      <w:pPr>
        <w:tabs>
          <w:tab w:val="left" w:pos="9072"/>
        </w:tabs>
        <w:spacing w:before="120" w:after="120" w:line="240" w:lineRule="auto"/>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tabs>
          <w:tab w:val="left" w:pos="9072"/>
        </w:tabs>
        <w:spacing w:before="120" w:after="120" w:line="240" w:lineRule="auto"/>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 xml:space="preserve">II. </w:t>
      </w:r>
      <w:r w:rsidRPr="00732A17">
        <w:rPr>
          <w:rFonts w:ascii="Palatino Linotype" w:eastAsia="Palatino Linotype" w:hAnsi="Palatino Linotype" w:cs="Palatino Linotype"/>
          <w:b/>
          <w:i/>
          <w:u w:val="single"/>
        </w:rPr>
        <w:t>Recibos de pagos de salarios</w:t>
      </w:r>
      <w:r w:rsidRPr="00732A17">
        <w:rPr>
          <w:rFonts w:ascii="Palatino Linotype" w:eastAsia="Palatino Linotype" w:hAnsi="Palatino Linotype" w:cs="Palatino Linotype"/>
          <w:b/>
          <w:i/>
        </w:rPr>
        <w:t xml:space="preserve"> o las constancias documentales del pago de salario cuando sea por depósito o mediante información electrónica</w:t>
      </w:r>
      <w:r w:rsidRPr="00732A17">
        <w:rPr>
          <w:rFonts w:ascii="Palatino Linotype" w:eastAsia="Palatino Linotype" w:hAnsi="Palatino Linotype" w:cs="Palatino Linotype"/>
          <w:i/>
        </w:rPr>
        <w:t>;</w:t>
      </w:r>
    </w:p>
    <w:p w:rsidR="00866A2F" w:rsidRPr="00732A17" w:rsidRDefault="00CB7B04">
      <w:pPr>
        <w:tabs>
          <w:tab w:val="left" w:pos="9072"/>
        </w:tabs>
        <w:spacing w:before="120" w:after="120" w:line="240" w:lineRule="auto"/>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tabs>
          <w:tab w:val="left" w:pos="9072"/>
        </w:tabs>
        <w:spacing w:before="120" w:after="120" w:line="240" w:lineRule="auto"/>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IV. </w:t>
      </w:r>
      <w:r w:rsidRPr="00732A17">
        <w:rPr>
          <w:rFonts w:ascii="Palatino Linotype" w:eastAsia="Palatino Linotype" w:hAnsi="Palatino Linotype" w:cs="Palatino Linotype"/>
          <w:b/>
          <w:i/>
          <w:u w:val="single"/>
        </w:rPr>
        <w:t>Recibos o las constancias de depósito o del medio de información magnética o electrónica que sean utilizadas para el pago de salarios</w:t>
      </w:r>
      <w:r w:rsidRPr="00732A17">
        <w:rPr>
          <w:rFonts w:ascii="Palatino Linotype" w:eastAsia="Palatino Linotype" w:hAnsi="Palatino Linotype" w:cs="Palatino Linotype"/>
          <w:b/>
          <w:i/>
        </w:rPr>
        <w:t>, prima vacacional, aguinaldo</w:t>
      </w:r>
      <w:r w:rsidRPr="00732A17">
        <w:rPr>
          <w:rFonts w:ascii="Palatino Linotype" w:eastAsia="Palatino Linotype" w:hAnsi="Palatino Linotype" w:cs="Palatino Linotype"/>
          <w:i/>
        </w:rPr>
        <w:t xml:space="preserve"> y demás prestaciones establecidas en la presente ley; y…</w:t>
      </w:r>
    </w:p>
    <w:p w:rsidR="00866A2F" w:rsidRPr="00732A17" w:rsidRDefault="00CB7B04">
      <w:pPr>
        <w:tabs>
          <w:tab w:val="left" w:pos="9072"/>
        </w:tabs>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Los documentos señalados en la fracción I de este artículo, deberán conservarse mientras dure la relación laboral y hasta un año después; los señalados por las fracciones II, III, IV durante el último año y un año después de que se extinga la relación laboral, y los mencionados en la fracción V, conforme lo señalen las leyes que los rijan.</w:t>
      </w:r>
    </w:p>
    <w:p w:rsidR="00866A2F" w:rsidRPr="00732A17" w:rsidRDefault="00CB7B04">
      <w:pPr>
        <w:tabs>
          <w:tab w:val="left" w:pos="9072"/>
        </w:tabs>
        <w:spacing w:before="120" w:after="120" w:line="240" w:lineRule="auto"/>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866A2F" w:rsidRPr="00732A17" w:rsidRDefault="00CB7B04">
      <w:pPr>
        <w:spacing w:before="12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Sobre la base del precepto legal citado, se advierte que </w:t>
      </w:r>
      <w:r w:rsidRPr="00732A17">
        <w:rPr>
          <w:rFonts w:ascii="Palatino Linotype" w:eastAsia="Palatino Linotype" w:hAnsi="Palatino Linotype" w:cs="Palatino Linotype"/>
          <w:i/>
          <w:sz w:val="24"/>
          <w:szCs w:val="24"/>
        </w:rPr>
        <w:t>toda institución pública o dependencia pública del Estado de México debe conservar las constancias de pago de salarios, prima vacacional, aguinaldo y demás prestaciones legales de acuerdo con la forma en que se haya realizado el pago; es decir, en efectivo, cheque, depósito, transferencia u otra, debiendo conservar dicha documentación durante el último año y un año después de que se extingue la relación laboral a través de los sistemas de digitalización o de información magnética o electrónica</w:t>
      </w:r>
      <w:r w:rsidRPr="00732A17">
        <w:rPr>
          <w:rFonts w:ascii="Palatino Linotype" w:eastAsia="Palatino Linotype" w:hAnsi="Palatino Linotype" w:cs="Palatino Linotype"/>
          <w:sz w:val="24"/>
          <w:szCs w:val="24"/>
        </w:rPr>
        <w:t>.</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Por tanto, los </w:t>
      </w:r>
      <w:r w:rsidRPr="00732A17">
        <w:rPr>
          <w:rFonts w:ascii="Palatino Linotype" w:eastAsia="Palatino Linotype" w:hAnsi="Palatino Linotype" w:cs="Palatino Linotype"/>
          <w:i/>
          <w:sz w:val="24"/>
          <w:szCs w:val="24"/>
        </w:rPr>
        <w:t xml:space="preserve">recibos de nómina o comprobantes digitales por concepto de nómina </w:t>
      </w:r>
      <w:r w:rsidRPr="00732A17">
        <w:rPr>
          <w:rFonts w:ascii="Palatino Linotype" w:eastAsia="Palatino Linotype" w:hAnsi="Palatino Linotype" w:cs="Palatino Linotype"/>
          <w:sz w:val="24"/>
          <w:szCs w:val="24"/>
        </w:rPr>
        <w:t xml:space="preserve">tienen como objetivo presentar la información del pago de las remuneraciones de cada uno </w:t>
      </w:r>
      <w:r w:rsidRPr="00732A17">
        <w:rPr>
          <w:rFonts w:ascii="Palatino Linotype" w:eastAsia="Palatino Linotype" w:hAnsi="Palatino Linotype" w:cs="Palatino Linotype"/>
          <w:sz w:val="24"/>
          <w:szCs w:val="24"/>
        </w:rPr>
        <w:lastRenderedPageBreak/>
        <w:t>de los servidores públicos de la entidad fiscalizable de que se trate correspondiente a un periodo determinado.</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Evidenciando que el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debe contar con documentos que den cuenta del sueldo neto quincenal de los servidores públicos, pues si bien el cumplimiento de dicha obligación debe hacerse en medios electrónicos con la finalidad de que esté disponible para cualquier persona, no es óbice para que sea el único medio por el cual puede atenderse el derecho de acceso a la información, pues los Sujetos Obligados se encuentran constreñidos a documentar todo acto que derive del ejercicio sus facultades, competencias o funciones, considerando desde su origen la eventual publicidad y reutilización de la información que generen, según lo dispuesto en los artículos 18, 24 fracción XXII y 160 párrafo primero de la Ley de la Materia, que son del tenor literal siguiente:</w:t>
      </w:r>
    </w:p>
    <w:p w:rsidR="00866A2F" w:rsidRPr="00732A17" w:rsidRDefault="00CB7B0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“Artículo 18</w:t>
      </w:r>
      <w:r w:rsidRPr="00732A17">
        <w:rPr>
          <w:rFonts w:ascii="Palatino Linotype" w:eastAsia="Palatino Linotype" w:hAnsi="Palatino Linotype" w:cs="Palatino Linotype"/>
          <w:i/>
        </w:rPr>
        <w:t>. Los sujetos obligados deberán documentar todo acto que derive del ejercicio de sus facultades, competencias o funciones, considerando desde su origen la eventual publicidad y reutilización de la información que generen.</w:t>
      </w:r>
    </w:p>
    <w:p w:rsidR="00866A2F" w:rsidRPr="00732A17" w:rsidRDefault="00CB7B0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Artículo 24.</w:t>
      </w:r>
      <w:r w:rsidRPr="00732A17">
        <w:rPr>
          <w:rFonts w:ascii="Palatino Linotype" w:eastAsia="Palatino Linotype" w:hAnsi="Palatino Linotype" w:cs="Palatino Linotype"/>
          <w:i/>
        </w:rPr>
        <w:t xml:space="preserve"> Para el cumplimiento de los objetivos de esta Ley, los sujetos obligados deberán cumplir con las siguientes obligaciones, según corresponda, de acuerdo a su naturaleza:</w:t>
      </w:r>
    </w:p>
    <w:p w:rsidR="00866A2F" w:rsidRPr="00732A17" w:rsidRDefault="00CB7B04">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XXII.</w:t>
      </w:r>
      <w:r w:rsidRPr="00732A17">
        <w:rPr>
          <w:rFonts w:ascii="Palatino Linotype" w:eastAsia="Palatino Linotype" w:hAnsi="Palatino Linotype" w:cs="Palatino Linotype"/>
          <w:i/>
        </w:rPr>
        <w:t xml:space="preserve"> Documentar todo acto que derive del ejercicio de sus facultades, competencias o funciones y abstenerse de destruirlos u ocultarlos, dentro de los que destacan los procesos deliberativos y de decisión definitiva;</w:t>
      </w:r>
    </w:p>
    <w:p w:rsidR="00866A2F" w:rsidRPr="00732A17" w:rsidRDefault="00CB7B04">
      <w:pPr>
        <w:spacing w:before="120" w:after="120"/>
        <w:ind w:left="851" w:right="902"/>
        <w:jc w:val="both"/>
        <w:rPr>
          <w:rFonts w:ascii="Palatino Linotype" w:eastAsia="Palatino Linotype" w:hAnsi="Palatino Linotype" w:cs="Palatino Linotype"/>
          <w:b/>
          <w:i/>
        </w:rPr>
      </w:pPr>
      <w:r w:rsidRPr="00732A17">
        <w:rPr>
          <w:rFonts w:ascii="Palatino Linotype" w:eastAsia="Palatino Linotype" w:hAnsi="Palatino Linotype" w:cs="Palatino Linotype"/>
          <w:b/>
          <w:i/>
        </w:rPr>
        <w:t>…</w:t>
      </w:r>
    </w:p>
    <w:p w:rsidR="00866A2F" w:rsidRPr="00732A17" w:rsidRDefault="00CB7B04">
      <w:pPr>
        <w:spacing w:before="120" w:after="120"/>
        <w:ind w:left="851" w:right="902"/>
        <w:jc w:val="both"/>
        <w:rPr>
          <w:rFonts w:ascii="Palatino Linotype" w:eastAsia="Palatino Linotype" w:hAnsi="Palatino Linotype" w:cs="Palatino Linotype"/>
          <w:i/>
          <w:sz w:val="36"/>
          <w:szCs w:val="36"/>
        </w:rPr>
      </w:pPr>
      <w:r w:rsidRPr="00732A17">
        <w:rPr>
          <w:rFonts w:ascii="Palatino Linotype" w:eastAsia="Palatino Linotype" w:hAnsi="Palatino Linotype" w:cs="Palatino Linotype"/>
          <w:b/>
          <w:i/>
        </w:rPr>
        <w:t>Artículo 160</w:t>
      </w:r>
      <w:r w:rsidRPr="00732A17">
        <w:rPr>
          <w:rFonts w:ascii="Palatino Linotype" w:eastAsia="Palatino Linotype" w:hAnsi="Palatino Linotype" w:cs="Palatino Linotype"/>
          <w:i/>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lastRenderedPageBreak/>
        <w:t xml:space="preserve">Finalmente, es de mencionar que la información solicitada trata de una Obligación de Transparencia, prevista en la fracción VIII del artículo 92 de la Ley en la materia y, debe estar publicada de forma permanente y actualizada en la Plataforma de Información Pública de Oficio Mexiquense. </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Por lo tanto, toda vez que la información solicitada no se encuentra actualizada en la liga electrónica proporcionada por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este Organismo Garante determina girar oficio al titular de la Dirección General Jurídica y de Verificación de este Instituto, para que, en ejercicio de sus atribuciones, determine lo conducente. </w:t>
      </w:r>
    </w:p>
    <w:p w:rsidR="00866A2F" w:rsidRPr="00732A17" w:rsidRDefault="00CB7B04">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De lo hasta aquí expuesto, se concluye que los motivos de inconformidad de la </w:t>
      </w:r>
      <w:r w:rsidRPr="00732A17">
        <w:rPr>
          <w:rFonts w:ascii="Palatino Linotype" w:eastAsia="Palatino Linotype" w:hAnsi="Palatino Linotype" w:cs="Palatino Linotype"/>
          <w:b/>
          <w:sz w:val="24"/>
          <w:szCs w:val="24"/>
        </w:rPr>
        <w:t xml:space="preserve">PARTE RECURRENTE </w:t>
      </w:r>
      <w:r w:rsidRPr="00732A17">
        <w:rPr>
          <w:rFonts w:ascii="Palatino Linotype" w:eastAsia="Palatino Linotype" w:hAnsi="Palatino Linotype" w:cs="Palatino Linotype"/>
          <w:sz w:val="24"/>
          <w:szCs w:val="24"/>
        </w:rPr>
        <w:t xml:space="preserve">devienen fundados, siendo procedente </w:t>
      </w:r>
      <w:r w:rsidRPr="00732A17">
        <w:rPr>
          <w:rFonts w:ascii="Palatino Linotype" w:eastAsia="Palatino Linotype" w:hAnsi="Palatino Linotype" w:cs="Palatino Linotype"/>
          <w:i/>
          <w:sz w:val="24"/>
          <w:szCs w:val="24"/>
        </w:rPr>
        <w:t xml:space="preserve">Modificar </w:t>
      </w:r>
      <w:r w:rsidRPr="00732A17">
        <w:rPr>
          <w:rFonts w:ascii="Palatino Linotype" w:eastAsia="Palatino Linotype" w:hAnsi="Palatino Linotype" w:cs="Palatino Linotype"/>
          <w:sz w:val="24"/>
          <w:szCs w:val="24"/>
        </w:rPr>
        <w:t xml:space="preserve">la respuesta proporcionada por el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en términos del artículo 186 fracción III de la Ley de Transparencia y Acceso a la Información Pública del Estado de México y Municipios.</w:t>
      </w:r>
    </w:p>
    <w:p w:rsidR="00866A2F" w:rsidRPr="00732A17" w:rsidRDefault="00CB7B04">
      <w:pPr>
        <w:spacing w:before="240" w:after="240" w:line="360" w:lineRule="auto"/>
        <w:ind w:right="51"/>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 xml:space="preserve">QUINTO. Versión Pública. </w:t>
      </w:r>
      <w:r w:rsidRPr="00732A17">
        <w:rPr>
          <w:rFonts w:ascii="Palatino Linotype" w:eastAsia="Palatino Linotype" w:hAnsi="Palatino Linotype" w:cs="Palatino Linotype"/>
          <w:sz w:val="24"/>
          <w:szCs w:val="24"/>
        </w:rPr>
        <w:t>Como fue debidamente apuntado,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debe satisfacer la solicitud de acceso a la información; sin embargo, dada la naturaleza de la información de la cual se ordena su entrega, deberá hacerse en versión pública, toda vez que en los documentos que se ordenan, existe la posibilidad de que obren datos que son considerados confidenciales, cuyo acceso debe ser restringido que deben testarse al momento de la versión pública, atento a lo siguiente:</w:t>
      </w:r>
    </w:p>
    <w:p w:rsidR="00866A2F" w:rsidRPr="00732A17" w:rsidRDefault="00CB7B04">
      <w:pPr>
        <w:spacing w:before="240" w:after="24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El derecho de acceso a la información pública tiene como limitante el respeto a la intimidad y a la vida privada de las personas, es por ello que este Instituto debe </w:t>
      </w:r>
      <w:r w:rsidRPr="00732A17">
        <w:rPr>
          <w:rFonts w:ascii="Palatino Linotype" w:eastAsia="Palatino Linotype" w:hAnsi="Palatino Linotype" w:cs="Palatino Linotype"/>
          <w:sz w:val="24"/>
          <w:szCs w:val="24"/>
        </w:rPr>
        <w:lastRenderedPageBreak/>
        <w:t>cuidar que los datos personales que obren en poder de los Sujetos Obligados sean protegidos y únicamente se den a conocer aquéllos que garanticen la rendición de cuentas y la transparencia en el ejercicio de las atribuciones que tienen conferidas.</w:t>
      </w:r>
    </w:p>
    <w:p w:rsidR="00866A2F" w:rsidRPr="00732A17" w:rsidRDefault="00CB7B04">
      <w:pPr>
        <w:spacing w:before="240" w:after="24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De este modo, en armonía entre los principios constitucionales de máxima publicidad y de protección de datos personales, la ley permite la elaboración de versiones públicas en las que se suprima aquella información relacionada con la vida privada de las personas.</w:t>
      </w:r>
    </w:p>
    <w:p w:rsidR="00866A2F" w:rsidRPr="00732A17" w:rsidRDefault="00CB7B04">
      <w:pPr>
        <w:spacing w:before="240" w:after="24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Al respecto, los artículos 3, fracciones IX, XX, XXI, XXXII, XLV; 6, 91, 137, 143 </w:t>
      </w:r>
      <w:proofErr w:type="gramStart"/>
      <w:r w:rsidRPr="00732A17">
        <w:rPr>
          <w:rFonts w:ascii="Palatino Linotype" w:eastAsia="Palatino Linotype" w:hAnsi="Palatino Linotype" w:cs="Palatino Linotype"/>
          <w:sz w:val="24"/>
          <w:szCs w:val="24"/>
        </w:rPr>
        <w:t>fracción</w:t>
      </w:r>
      <w:proofErr w:type="gramEnd"/>
      <w:r w:rsidRPr="00732A17">
        <w:rPr>
          <w:rFonts w:ascii="Palatino Linotype" w:eastAsia="Palatino Linotype" w:hAnsi="Palatino Linotype" w:cs="Palatino Linotype"/>
          <w:sz w:val="24"/>
          <w:szCs w:val="24"/>
        </w:rPr>
        <w:t xml:space="preserve"> I, de la Ley de Transparencia y Acceso a la Información Pública del Estado de México y Municipios vigente establecen:</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rPr>
        <w:t> </w:t>
      </w: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Artículo 3.</w:t>
      </w:r>
      <w:r w:rsidRPr="00732A17">
        <w:rPr>
          <w:rFonts w:ascii="Palatino Linotype" w:eastAsia="Palatino Linotype" w:hAnsi="Palatino Linotype" w:cs="Palatino Linotype"/>
          <w:i/>
        </w:rPr>
        <w:t xml:space="preserve"> Para los efectos de la presente Ley se entenderá por:</w:t>
      </w:r>
    </w:p>
    <w:p w:rsidR="00866A2F" w:rsidRPr="00732A17" w:rsidRDefault="00CB7B04">
      <w:pPr>
        <w:tabs>
          <w:tab w:val="left" w:pos="1276"/>
        </w:tabs>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tabs>
          <w:tab w:val="left" w:pos="1276"/>
        </w:tabs>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IX. Datos personales</w:t>
      </w:r>
      <w:r w:rsidRPr="00732A17">
        <w:rPr>
          <w:rFonts w:ascii="Palatino Linotype" w:eastAsia="Palatino Linotype" w:hAnsi="Palatino Linotype" w:cs="Palatino Linotype"/>
          <w:i/>
        </w:rPr>
        <w:t>: La información concerniente a una persona, identificada o identificable según lo dispuesto por la Ley de Protección de Datos Personales del Estado de México;</w:t>
      </w:r>
    </w:p>
    <w:p w:rsidR="00866A2F" w:rsidRPr="00732A17" w:rsidRDefault="00CB7B04">
      <w:pPr>
        <w:tabs>
          <w:tab w:val="left" w:pos="1276"/>
        </w:tabs>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tabs>
          <w:tab w:val="left" w:pos="1276"/>
        </w:tabs>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XX. Información clasificada</w:t>
      </w:r>
      <w:r w:rsidRPr="00732A17">
        <w:rPr>
          <w:rFonts w:ascii="Palatino Linotype" w:eastAsia="Palatino Linotype" w:hAnsi="Palatino Linotype" w:cs="Palatino Linotype"/>
          <w:i/>
        </w:rPr>
        <w:t>: Aquella considerada por la presente Ley como reservada o confidencial;</w:t>
      </w:r>
    </w:p>
    <w:p w:rsidR="00866A2F" w:rsidRPr="00732A17" w:rsidRDefault="00CB7B04">
      <w:pPr>
        <w:tabs>
          <w:tab w:val="left" w:pos="1276"/>
        </w:tabs>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XXI. Información confidencial</w:t>
      </w:r>
      <w:r w:rsidRPr="00732A17">
        <w:rPr>
          <w:rFonts w:ascii="Palatino Linotype" w:eastAsia="Palatino Linotype" w:hAnsi="Palatino Linotype" w:cs="Palatino Linotype"/>
          <w:i/>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66A2F" w:rsidRPr="00732A17" w:rsidRDefault="00CB7B04">
      <w:pPr>
        <w:tabs>
          <w:tab w:val="left" w:pos="1276"/>
        </w:tabs>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tabs>
          <w:tab w:val="left" w:pos="1276"/>
        </w:tabs>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XXXII. Protección de Datos Personales</w:t>
      </w:r>
      <w:r w:rsidRPr="00732A17">
        <w:rPr>
          <w:rFonts w:ascii="Palatino Linotype" w:eastAsia="Palatino Linotype" w:hAnsi="Palatino Linotype" w:cs="Palatino Linotype"/>
          <w:i/>
        </w:rPr>
        <w:t>: Derecho humano que tutela la privacidad de datos personales en poder de los sujetos obligados y sujetos particulares;</w:t>
      </w:r>
    </w:p>
    <w:p w:rsidR="00866A2F" w:rsidRPr="00732A17" w:rsidRDefault="00CB7B04">
      <w:pPr>
        <w:tabs>
          <w:tab w:val="left" w:pos="1276"/>
        </w:tabs>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lastRenderedPageBreak/>
        <w:t>(…)</w:t>
      </w:r>
    </w:p>
    <w:p w:rsidR="00866A2F" w:rsidRPr="00732A17" w:rsidRDefault="00CB7B04">
      <w:pPr>
        <w:tabs>
          <w:tab w:val="left" w:pos="1276"/>
        </w:tabs>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XLV. Versión pública</w:t>
      </w:r>
      <w:r w:rsidRPr="00732A17">
        <w:rPr>
          <w:rFonts w:ascii="Palatino Linotype" w:eastAsia="Palatino Linotype" w:hAnsi="Palatino Linotype" w:cs="Palatino Linotype"/>
          <w:i/>
        </w:rPr>
        <w:t>: Documento en el que se elimine, suprime o borra la información clasificada como reservada o confidencial para permitir su acceso.</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 Artículo 6</w:t>
      </w:r>
      <w:r w:rsidRPr="00732A17">
        <w:rPr>
          <w:rFonts w:ascii="Palatino Linotype" w:eastAsia="Palatino Linotype" w:hAnsi="Palatino Linotype" w:cs="Palatino Linotype"/>
          <w:i/>
        </w:rPr>
        <w:t>.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 (…)</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Artículo 91.</w:t>
      </w:r>
      <w:r w:rsidRPr="00732A17">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Artículo 137.</w:t>
      </w:r>
      <w:r w:rsidRPr="00732A17">
        <w:rPr>
          <w:rFonts w:ascii="Palatino Linotype" w:eastAsia="Palatino Linotype" w:hAnsi="Palatino Linotype" w:cs="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 Artículo 143.</w:t>
      </w:r>
      <w:r w:rsidRPr="00732A17">
        <w:rPr>
          <w:rFonts w:ascii="Palatino Linotype" w:eastAsia="Palatino Linotype" w:hAnsi="Palatino Linotype" w:cs="Palatino Linotype"/>
          <w:i/>
        </w:rPr>
        <w:t xml:space="preserve"> Para los efectos de esta Ley se considera información confidencial, la clasificada como tal, de manera permanente, por su naturaleza, cuando:</w:t>
      </w:r>
    </w:p>
    <w:p w:rsidR="00866A2F" w:rsidRPr="00732A17" w:rsidRDefault="00CB7B04">
      <w:pP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w:t>
      </w:r>
      <w:r w:rsidRPr="00732A17">
        <w:rPr>
          <w:rFonts w:ascii="Palatino Linotype" w:eastAsia="Palatino Linotype" w:hAnsi="Palatino Linotype" w:cs="Palatino Linotype"/>
          <w:i/>
        </w:rPr>
        <w:t xml:space="preserve"> Se refiera a la información privada y los datos personales concernientes a una persona física o jurídico colectiva identificada o identificable...”</w:t>
      </w:r>
    </w:p>
    <w:p w:rsidR="00866A2F" w:rsidRPr="00732A17" w:rsidRDefault="00CB7B04">
      <w:pPr>
        <w:spacing w:before="240" w:after="240" w:line="360" w:lineRule="auto"/>
        <w:ind w:right="50"/>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deberá proceder a testar los datos personales que se encuentre contenidos en los documentos a entregar para satisfacer el derecho de acceso a la información pública de la parte Recurrente, esto es, los datos </w:t>
      </w:r>
      <w:r w:rsidRPr="00732A17">
        <w:rPr>
          <w:rFonts w:ascii="Palatino Linotype" w:eastAsia="Palatino Linotype" w:hAnsi="Palatino Linotype" w:cs="Palatino Linotype"/>
          <w:sz w:val="24"/>
          <w:szCs w:val="24"/>
        </w:rPr>
        <w:lastRenderedPageBreak/>
        <w:t>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los que señala la fracción XII del artículo 4 de la Ley de Protección de Datos Personales en posesión de Sujeto Obligados del Estado de México.</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el caso específico, dada la naturaleza de la información que se ordena, si bien tiene el carácter información pública en razón de que se trata de documentos que se encuentran en posesión del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derivado del ejercicio de sus atribuciones, tal como quedo acotado en el cuerpo de la presente Resolución, también contienen los datos personales de servidores públicos,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732A17">
        <w:rPr>
          <w:rFonts w:ascii="Palatino Linotype" w:eastAsia="Palatino Linotype" w:hAnsi="Palatino Linotype" w:cs="Palatino Linotype"/>
          <w:b/>
          <w:sz w:val="24"/>
          <w:szCs w:val="24"/>
        </w:rPr>
        <w:t>Registro Federal de Contribuyentes</w:t>
      </w:r>
      <w:r w:rsidRPr="00732A17">
        <w:rPr>
          <w:rFonts w:ascii="Palatino Linotype" w:eastAsia="Palatino Linotype" w:hAnsi="Palatino Linotype" w:cs="Palatino Linotype"/>
          <w:sz w:val="24"/>
          <w:szCs w:val="24"/>
        </w:rPr>
        <w:t xml:space="preserve"> (RFC), la </w:t>
      </w:r>
      <w:r w:rsidRPr="00732A17">
        <w:rPr>
          <w:rFonts w:ascii="Palatino Linotype" w:eastAsia="Palatino Linotype" w:hAnsi="Palatino Linotype" w:cs="Palatino Linotype"/>
          <w:b/>
          <w:sz w:val="24"/>
          <w:szCs w:val="24"/>
        </w:rPr>
        <w:t>Clave Única de Registro de Población</w:t>
      </w:r>
      <w:r w:rsidRPr="00732A17">
        <w:rPr>
          <w:rFonts w:ascii="Palatino Linotype" w:eastAsia="Palatino Linotype" w:hAnsi="Palatino Linotype" w:cs="Palatino Linotype"/>
          <w:sz w:val="24"/>
          <w:szCs w:val="24"/>
        </w:rPr>
        <w:t xml:space="preserve"> (CURP), la </w:t>
      </w:r>
      <w:r w:rsidRPr="00732A17">
        <w:rPr>
          <w:rFonts w:ascii="Palatino Linotype" w:eastAsia="Palatino Linotype" w:hAnsi="Palatino Linotype" w:cs="Palatino Linotype"/>
          <w:b/>
          <w:sz w:val="24"/>
          <w:szCs w:val="24"/>
        </w:rPr>
        <w:t>Clave de cualquier tipo de seguridad social</w:t>
      </w:r>
      <w:r w:rsidRPr="00732A17">
        <w:rPr>
          <w:rFonts w:ascii="Palatino Linotype" w:eastAsia="Palatino Linotype" w:hAnsi="Palatino Linotype" w:cs="Palatino Linotype"/>
          <w:sz w:val="24"/>
          <w:szCs w:val="24"/>
        </w:rPr>
        <w:t xml:space="preserve"> (ISSEMYM, u otros), los </w:t>
      </w:r>
      <w:r w:rsidRPr="00732A17">
        <w:rPr>
          <w:rFonts w:ascii="Palatino Linotype" w:eastAsia="Palatino Linotype" w:hAnsi="Palatino Linotype" w:cs="Palatino Linotype"/>
          <w:b/>
          <w:sz w:val="24"/>
          <w:szCs w:val="24"/>
        </w:rPr>
        <w:t>números de cuentas bancarias</w:t>
      </w:r>
      <w:r w:rsidRPr="00732A17">
        <w:rPr>
          <w:rFonts w:ascii="Palatino Linotype" w:eastAsia="Palatino Linotype" w:hAnsi="Palatino Linotype" w:cs="Palatino Linotype"/>
          <w:sz w:val="24"/>
          <w:szCs w:val="24"/>
        </w:rPr>
        <w:t xml:space="preserve">, claves estandarizadas – interbancarias - (CLABES) y de tarjetas, los </w:t>
      </w:r>
      <w:r w:rsidRPr="00732A17">
        <w:rPr>
          <w:rFonts w:ascii="Palatino Linotype" w:eastAsia="Palatino Linotype" w:hAnsi="Palatino Linotype" w:cs="Palatino Linotype"/>
          <w:b/>
          <w:sz w:val="24"/>
          <w:szCs w:val="24"/>
        </w:rPr>
        <w:t>préstamos o descuentos</w:t>
      </w:r>
      <w:r w:rsidRPr="00732A17">
        <w:rPr>
          <w:rFonts w:ascii="Palatino Linotype" w:eastAsia="Palatino Linotype" w:hAnsi="Palatino Linotype" w:cs="Palatino Linotype"/>
          <w:sz w:val="24"/>
          <w:szCs w:val="24"/>
        </w:rPr>
        <w:t xml:space="preserve"> que se le hagan a la persona y que no tengan relación con los impuestos o la cuota por seguridad social, el</w:t>
      </w:r>
      <w:r w:rsidRPr="00732A17">
        <w:rPr>
          <w:rFonts w:ascii="Palatino Linotype" w:eastAsia="Palatino Linotype" w:hAnsi="Palatino Linotype" w:cs="Palatino Linotype"/>
          <w:b/>
          <w:sz w:val="24"/>
          <w:szCs w:val="24"/>
        </w:rPr>
        <w:t xml:space="preserve"> número de empleado</w:t>
      </w:r>
      <w:r w:rsidRPr="00732A17">
        <w:rPr>
          <w:rFonts w:ascii="Palatino Linotype" w:eastAsia="Palatino Linotype" w:hAnsi="Palatino Linotype" w:cs="Palatino Linotype"/>
          <w:sz w:val="24"/>
          <w:szCs w:val="24"/>
        </w:rPr>
        <w:t xml:space="preserve">, bajo las siguientes consideraciones. </w:t>
      </w:r>
    </w:p>
    <w:p w:rsidR="00866A2F" w:rsidRPr="00732A17" w:rsidRDefault="00CB7B04">
      <w:pPr>
        <w:spacing w:before="240" w:after="240" w:line="360" w:lineRule="auto"/>
        <w:ind w:right="50"/>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Datos que deberá clasificar como confidenciales por tratarse precisamente de información privada, puesto que los datos personales son irrenunciables, </w:t>
      </w:r>
      <w:r w:rsidRPr="00732A17">
        <w:rPr>
          <w:rFonts w:ascii="Palatino Linotype" w:eastAsia="Palatino Linotype" w:hAnsi="Palatino Linotype" w:cs="Palatino Linotype"/>
          <w:sz w:val="24"/>
          <w:szCs w:val="24"/>
        </w:rPr>
        <w:lastRenderedPageBreak/>
        <w:t>intransferibles e indelegables y los Sujetos Obligados no deberán hacer entrega de los mismos a personas ajenas a su titular.</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Por cuanto hace al Registro Federal de Contribuyentes de las personas físicas, constituye un dato personal, pues se genera con caracteres alfanuméricos a partir del nombre y la fecha de nacimiento de cada persona, y finalmente la </w:t>
      </w:r>
      <w:proofErr w:type="spellStart"/>
      <w:r w:rsidRPr="00732A17">
        <w:rPr>
          <w:rFonts w:ascii="Palatino Linotype" w:eastAsia="Palatino Linotype" w:hAnsi="Palatino Linotype" w:cs="Palatino Linotype"/>
          <w:sz w:val="24"/>
          <w:szCs w:val="24"/>
        </w:rPr>
        <w:t>homoclave</w:t>
      </w:r>
      <w:proofErr w:type="spellEnd"/>
      <w:r w:rsidRPr="00732A17">
        <w:rPr>
          <w:rFonts w:ascii="Palatino Linotype" w:eastAsia="Palatino Linotype" w:hAnsi="Palatino Linotype" w:cs="Palatino Linotype"/>
          <w:sz w:val="24"/>
          <w:szCs w:val="24"/>
        </w:rPr>
        <w:t>, por lo que para su obtención es necesario acreditar ante la autoridad fiscal previamente la identidad de la persona, su fecha de nacimiento, entre otros aspectos.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Lo anterior es compartido por el Instituto Nacional de Transparencia, Acceso a la Información y Protección de Datos Personales, INAI, a través del Criterio 19/17, el cual es del tenor literal siguiente:</w:t>
      </w:r>
    </w:p>
    <w:p w:rsidR="00866A2F" w:rsidRPr="00732A17" w:rsidRDefault="00CB7B04">
      <w:pPr>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 “Registro Federal de Contribuyentes (RFC) de personas físicas</w:t>
      </w:r>
      <w:r w:rsidRPr="00732A17">
        <w:rPr>
          <w:rFonts w:ascii="Palatino Linotype" w:eastAsia="Palatino Linotype" w:hAnsi="Palatino Linotype" w:cs="Palatino Linotype"/>
          <w:i/>
        </w:rPr>
        <w:t>. El RFC es una clave de carácter fiscal, única e irrepetible, que permite identificar al titular, su edad y fecha de nacimiento, por lo que es un dato personal de carácter confidencial.”</w:t>
      </w:r>
    </w:p>
    <w:p w:rsidR="00866A2F" w:rsidRPr="00732A17" w:rsidRDefault="00CB7B04">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Así, el Registro Federal de Contribuyentes, RFC, se vincula al nombre de su titular y permite identificar la edad de la persona, su fecha de nacimiento, así como su </w:t>
      </w:r>
      <w:proofErr w:type="spellStart"/>
      <w:r w:rsidRPr="00732A17">
        <w:rPr>
          <w:rFonts w:ascii="Palatino Linotype" w:eastAsia="Palatino Linotype" w:hAnsi="Palatino Linotype" w:cs="Palatino Linotype"/>
          <w:sz w:val="24"/>
          <w:szCs w:val="24"/>
        </w:rPr>
        <w:t>homoclave</w:t>
      </w:r>
      <w:proofErr w:type="spellEnd"/>
      <w:r w:rsidRPr="00732A17">
        <w:rPr>
          <w:rFonts w:ascii="Palatino Linotype" w:eastAsia="Palatino Linotype" w:hAnsi="Palatino Linotype" w:cs="Palatino Linotype"/>
          <w:sz w:val="24"/>
          <w:szCs w:val="24"/>
        </w:rPr>
        <w:t xml:space="preser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w:t>
      </w:r>
      <w:r w:rsidRPr="00732A17">
        <w:rPr>
          <w:rFonts w:ascii="Palatino Linotype" w:eastAsia="Palatino Linotype" w:hAnsi="Palatino Linotype" w:cs="Palatino Linotype"/>
          <w:sz w:val="24"/>
          <w:szCs w:val="24"/>
        </w:rPr>
        <w:lastRenderedPageBreak/>
        <w:t>de México y Municipios, y  4 fracciones XI y XII de la Ley de Protección de Datos Personales en Posesión de los Sujetos Obligados del Estado de México y Municipios.</w:t>
      </w:r>
    </w:p>
    <w:p w:rsidR="00866A2F" w:rsidRPr="00732A17" w:rsidRDefault="00CB7B04">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De igual manera la Clave Única de Registro de Población, CURP,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rsidR="00866A2F" w:rsidRPr="00732A17" w:rsidRDefault="00CB7B04">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Argumento que es compartido por el Instituto Nacional de Transparencia, Acceso a la Información y Protección de Datos Personales, INAI, conforme al criterio 18/17, el cual refiere:</w:t>
      </w:r>
    </w:p>
    <w:p w:rsidR="00866A2F" w:rsidRPr="00732A17" w:rsidRDefault="00CB7B04">
      <w:pPr>
        <w:ind w:left="851" w:right="851"/>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 “Clave Única de Registro de Población (CURP). </w:t>
      </w:r>
      <w:r w:rsidRPr="00732A17">
        <w:rPr>
          <w:rFonts w:ascii="Palatino Linotype" w:eastAsia="Palatino Linotype" w:hAnsi="Palatino Linotype" w:cs="Palatino Linotype"/>
          <w:i/>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Respecto de los números de cuentas bancarias, claves estandarizadas –interbancarias- (CLABES) y de tarjetas, el Pleno de este Instituto ha determinado que </w:t>
      </w:r>
      <w:r w:rsidRPr="00732A17">
        <w:rPr>
          <w:rFonts w:ascii="Palatino Linotype" w:eastAsia="Palatino Linotype" w:hAnsi="Palatino Linotype" w:cs="Palatino Linotype"/>
          <w:sz w:val="24"/>
          <w:szCs w:val="24"/>
        </w:rPr>
        <w:lastRenderedPageBreak/>
        <w:t>esa información debe clasificarse como confidencial, y elaborarse una versión pública en la que se teste la misma.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Por lo anterior, el número de cuenta bancaria debe ser clasificado como confidencial con fundamento en las fracciones I y II del artículo 143 de la Ley de la Materia vigente en la Entidad; en razón de que con su difusión se estaría poniendo en riesgo la seguridad de su titular.</w:t>
      </w:r>
    </w:p>
    <w:p w:rsidR="00866A2F" w:rsidRPr="00732A17" w:rsidRDefault="00CB7B04">
      <w:pPr>
        <w:pBdr>
          <w:top w:val="nil"/>
          <w:left w:val="nil"/>
          <w:bottom w:val="nil"/>
          <w:right w:val="nil"/>
          <w:between w:val="nil"/>
        </w:pBd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esa virtud, este Pleno determina que dicha información no puede ser del dominio público, toda vez que se podría dar un uso inadecuado a la misma o cometer algún ilícito o fraude como ya ha sido expuesto. </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Lo anterior no es así tratándose de las cuentas bancarias o claves interbancarias de los Sujetos Obligados ya que su publicidad cede a la rendición de cuentas al transparentar la forma en que son administrados los recursos públicos.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Lo argumentado encuentra sustento en los criterios 10/17 y 11/17 emitidos por el Instituto Nacional de Transparencia, Acceso a la Información y Protección de Datos Personales, INAI, que llevan por rubro y texto los siguientes:</w:t>
      </w:r>
    </w:p>
    <w:p w:rsidR="00866A2F" w:rsidRPr="00732A17" w:rsidRDefault="00CB7B04">
      <w:pPr>
        <w:spacing w:before="240" w:after="24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i/>
          <w:sz w:val="21"/>
          <w:szCs w:val="21"/>
        </w:rPr>
        <w:t>“</w:t>
      </w:r>
      <w:r w:rsidRPr="00732A17">
        <w:rPr>
          <w:rFonts w:ascii="Palatino Linotype" w:eastAsia="Palatino Linotype" w:hAnsi="Palatino Linotype" w:cs="Palatino Linotype"/>
          <w:b/>
          <w:i/>
        </w:rPr>
        <w:t>Cuentas bancarias y/o CLABE interbancaria de personas físicas y morales privadas.</w:t>
      </w:r>
      <w:r w:rsidRPr="00732A17">
        <w:rPr>
          <w:rFonts w:ascii="Palatino Linotype" w:eastAsia="Palatino Linotype" w:hAnsi="Palatino Linotype" w:cs="Palatino Linotype"/>
          <w:i/>
        </w:rPr>
        <w:t xml:space="preserve"> El número de cuenta bancaria y/o CLABE interbancaria de particulares es información confidencial, al tratarse de un conjunto de caracteres </w:t>
      </w:r>
      <w:r w:rsidRPr="00732A17">
        <w:rPr>
          <w:rFonts w:ascii="Palatino Linotype" w:eastAsia="Palatino Linotype" w:hAnsi="Palatino Linotype" w:cs="Palatino Linotype"/>
          <w:i/>
        </w:rPr>
        <w:lastRenderedPageBreak/>
        <w:t>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66A2F" w:rsidRPr="00732A17" w:rsidRDefault="00CB7B04">
      <w:pPr>
        <w:spacing w:before="240" w:after="24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Cuentas bancarias y/o CLABE interbancaria de sujetos obligados que reciben y/o transfieren recursos públicos, son información pública.</w:t>
      </w:r>
      <w:r w:rsidRPr="00732A17">
        <w:rPr>
          <w:rFonts w:ascii="Palatino Linotype" w:eastAsia="Palatino Linotype" w:hAnsi="Palatino Linotype" w:cs="Palatino Linotype"/>
          <w:i/>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Por cuanto hace a los </w:t>
      </w:r>
      <w:r w:rsidRPr="00732A17">
        <w:rPr>
          <w:rFonts w:ascii="Palatino Linotype" w:eastAsia="Palatino Linotype" w:hAnsi="Palatino Linotype" w:cs="Palatino Linotype"/>
          <w:b/>
          <w:sz w:val="24"/>
          <w:szCs w:val="24"/>
        </w:rPr>
        <w:t>préstamos o descuentos de carácter personal</w:t>
      </w:r>
      <w:r w:rsidRPr="00732A17">
        <w:rPr>
          <w:rFonts w:ascii="Palatino Linotype" w:eastAsia="Palatino Linotype" w:hAnsi="Palatino Linotype" w:cs="Palatino Linotype"/>
          <w:sz w:val="24"/>
          <w:szCs w:val="24"/>
        </w:rPr>
        <w:t>, en virtud de no tener relación con la prestación del servicio y al no involucrar instituciones públicas, se consideran datos confidenciales.</w:t>
      </w:r>
    </w:p>
    <w:p w:rsidR="00866A2F" w:rsidRPr="00732A17" w:rsidRDefault="00CB7B04">
      <w:pPr>
        <w:spacing w:before="240" w:after="240" w:line="360" w:lineRule="auto"/>
        <w:jc w:val="both"/>
        <w:rPr>
          <w:rFonts w:ascii="Palatino Linotype" w:eastAsia="Palatino Linotype" w:hAnsi="Palatino Linotype" w:cs="Palatino Linotype"/>
        </w:rPr>
      </w:pPr>
      <w:r w:rsidRPr="00732A17">
        <w:rPr>
          <w:rFonts w:ascii="Palatino Linotype" w:eastAsia="Palatino Linotype" w:hAnsi="Palatino Linotype" w:cs="Palatino Linotype"/>
          <w:sz w:val="24"/>
          <w:szCs w:val="24"/>
        </w:rPr>
        <w:t>Para entender los límites y alcances de esta restricción, es oportuno recurrir al artículo 84 de la Ley del Trabajo de los Servidores Públicos del Estado y Municipios</w:t>
      </w:r>
      <w:r w:rsidRPr="00732A17">
        <w:rPr>
          <w:rFonts w:ascii="Palatino Linotype" w:eastAsia="Palatino Linotype" w:hAnsi="Palatino Linotype" w:cs="Palatino Linotype"/>
        </w:rPr>
        <w:t>:</w:t>
      </w:r>
    </w:p>
    <w:p w:rsidR="00866A2F" w:rsidRPr="00732A17" w:rsidRDefault="00CB7B04">
      <w:pPr>
        <w:spacing w:before="240" w:after="240"/>
        <w:ind w:left="851" w:right="900"/>
        <w:jc w:val="both"/>
        <w:rPr>
          <w:rFonts w:ascii="Palatino Linotype" w:eastAsia="Palatino Linotype" w:hAnsi="Palatino Linotype" w:cs="Palatino Linotype"/>
          <w:b/>
          <w:i/>
        </w:rPr>
      </w:pPr>
      <w:r w:rsidRPr="00732A17">
        <w:rPr>
          <w:rFonts w:ascii="Palatino Linotype" w:eastAsia="Palatino Linotype" w:hAnsi="Palatino Linotype" w:cs="Palatino Linotype"/>
          <w:b/>
          <w:i/>
        </w:rPr>
        <w:t xml:space="preserve">“ARTÍCULO 84. </w:t>
      </w:r>
      <w:r w:rsidRPr="00732A17">
        <w:rPr>
          <w:rFonts w:ascii="Palatino Linotype" w:eastAsia="Palatino Linotype" w:hAnsi="Palatino Linotype" w:cs="Palatino Linotype"/>
          <w:i/>
        </w:rPr>
        <w:t>Sólo podrán hacerse retenciones, descuentos o deducciones al sueldo de los servidores públicos por concepto de:</w:t>
      </w:r>
    </w:p>
    <w:p w:rsidR="00866A2F" w:rsidRPr="00732A17" w:rsidRDefault="00CB7B04">
      <w:pPr>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I. Gravámenes fiscales relacionados con el sueldo;</w:t>
      </w:r>
    </w:p>
    <w:p w:rsidR="00866A2F" w:rsidRPr="00732A17" w:rsidRDefault="00CB7B04">
      <w:pPr>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II. Deudas contraídas con las instituciones públicas o dependencias por concepto de anticipos de sueldo, pagos hechos con exceso, errores o pérdidas debidamente comprobados;</w:t>
      </w:r>
    </w:p>
    <w:p w:rsidR="00866A2F" w:rsidRPr="00732A17" w:rsidRDefault="00CB7B04">
      <w:pPr>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III. Cuotas sindicales;</w:t>
      </w:r>
    </w:p>
    <w:p w:rsidR="00866A2F" w:rsidRPr="00732A17" w:rsidRDefault="00CB7B04">
      <w:pPr>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IV. Cuotas de aportación a fondos para la constitución de cooperativas y de cajas de ahorro, siempre que el servidor público hubiese manifestado previamente, de manera expresa, su conformidad;</w:t>
      </w:r>
    </w:p>
    <w:p w:rsidR="00866A2F" w:rsidRPr="00732A17" w:rsidRDefault="00CB7B04">
      <w:pPr>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lastRenderedPageBreak/>
        <w:t>V. Descuentos ordenados por el Instituto de Seguridad Social del Estado de México y Municipios, con motivo de cuotas y obligaciones contraídas con éste por los servidores públicos;</w:t>
      </w:r>
    </w:p>
    <w:p w:rsidR="00866A2F" w:rsidRPr="00732A17" w:rsidRDefault="00CB7B04">
      <w:pPr>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VI. Obligaciones a cargo del servidor público con las que haya consentido, derivadas de la adquisición o del uso de habitaciones consideradas como de interés social;</w:t>
      </w:r>
    </w:p>
    <w:p w:rsidR="00866A2F" w:rsidRPr="00732A17" w:rsidRDefault="00CB7B04">
      <w:pPr>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VII. Faltas de puntualidad o de asistencia injustificadas;</w:t>
      </w:r>
    </w:p>
    <w:p w:rsidR="00866A2F" w:rsidRPr="00732A17" w:rsidRDefault="00CB7B04">
      <w:pPr>
        <w:ind w:left="993"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VIII. Pensiones alimenticias ordenadas por la autoridad judicial;</w:t>
      </w:r>
      <w:r w:rsidRPr="00732A17">
        <w:rPr>
          <w:rFonts w:ascii="Palatino Linotype" w:eastAsia="Palatino Linotype" w:hAnsi="Palatino Linotype" w:cs="Palatino Linotype"/>
          <w:i/>
        </w:rPr>
        <w:t xml:space="preserve"> o</w:t>
      </w:r>
    </w:p>
    <w:p w:rsidR="00866A2F" w:rsidRPr="00732A17" w:rsidRDefault="00CB7B04">
      <w:pPr>
        <w:ind w:left="993" w:right="902"/>
        <w:jc w:val="both"/>
        <w:rPr>
          <w:rFonts w:ascii="Palatino Linotype" w:eastAsia="Palatino Linotype" w:hAnsi="Palatino Linotype" w:cs="Palatino Linotype"/>
          <w:b/>
          <w:i/>
        </w:rPr>
      </w:pPr>
      <w:r w:rsidRPr="00732A17">
        <w:rPr>
          <w:rFonts w:ascii="Palatino Linotype" w:eastAsia="Palatino Linotype" w:hAnsi="Palatino Linotype" w:cs="Palatino Linotype"/>
          <w:b/>
          <w:i/>
        </w:rPr>
        <w:t>IX. Cualquier otro convenido con instituciones de servicios y aceptado por el servidor público.</w:t>
      </w:r>
    </w:p>
    <w:p w:rsidR="00866A2F" w:rsidRPr="00732A17" w:rsidRDefault="00CB7B04">
      <w:pPr>
        <w:spacing w:before="240" w:after="24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i/>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Con relación al </w:t>
      </w:r>
      <w:r w:rsidRPr="00732A17">
        <w:rPr>
          <w:rFonts w:ascii="Palatino Linotype" w:eastAsia="Palatino Linotype" w:hAnsi="Palatino Linotype" w:cs="Palatino Linotype"/>
          <w:b/>
          <w:sz w:val="24"/>
          <w:szCs w:val="24"/>
        </w:rPr>
        <w:t>número de empleado</w:t>
      </w:r>
      <w:r w:rsidRPr="00732A17">
        <w:rPr>
          <w:rFonts w:ascii="Palatino Linotype" w:eastAsia="Palatino Linotype" w:hAnsi="Palatino Linotype" w:cs="Palatino Linotype"/>
          <w:sz w:val="24"/>
          <w:szCs w:val="24"/>
        </w:rPr>
        <w:t xml:space="preserve"> debe precisarse que este constituye un código, en virtud del cual, los trabajadores pueden acceder a un sistema de datos o información de la dependencia o entidad a la que pertenecen, a fin de presentar </w:t>
      </w:r>
      <w:r w:rsidRPr="00732A17">
        <w:rPr>
          <w:rFonts w:ascii="Palatino Linotype" w:eastAsia="Palatino Linotype" w:hAnsi="Palatino Linotype" w:cs="Palatino Linotype"/>
          <w:sz w:val="24"/>
          <w:szCs w:val="24"/>
        </w:rPr>
        <w:lastRenderedPageBreak/>
        <w:t>consultas relacionadas con su situación laboral particular, siendo un número único, permanente e intransferible que se asigna para llevar un registro de los trabajadores</w:t>
      </w:r>
      <w:r w:rsidRPr="00732A17">
        <w:rPr>
          <w:rFonts w:ascii="Palatino Linotype" w:eastAsia="Palatino Linotype" w:hAnsi="Palatino Linotype" w:cs="Palatino Linotype"/>
          <w:sz w:val="24"/>
          <w:szCs w:val="24"/>
          <w:vertAlign w:val="superscript"/>
        </w:rPr>
        <w:footnoteReference w:id="4"/>
      </w:r>
      <w:r w:rsidRPr="00732A17">
        <w:rPr>
          <w:rFonts w:ascii="Palatino Linotype" w:eastAsia="Palatino Linotype" w:hAnsi="Palatino Linotype" w:cs="Palatino Linotype"/>
          <w:sz w:val="24"/>
          <w:szCs w:val="24"/>
        </w:rPr>
        <w:t>.</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Bajo esos argumentos, se entendería que la información relativa al número de empleado constituye información confidencial al tratarse de un número de identificación personal a través del cual se puede consultar la situación laboral personal, empero el Pleno del el Instituto Nacional de Transparencia, Acceso a la Información, y Protección de Datos Personales, INAI  se ha pronunciado sobre su publicidad, a través del criterio 06/19, que indica lo siguiente:</w:t>
      </w:r>
    </w:p>
    <w:p w:rsidR="00866A2F" w:rsidRPr="00732A17" w:rsidRDefault="00CB7B04">
      <w:pPr>
        <w:tabs>
          <w:tab w:val="left" w:pos="7655"/>
        </w:tabs>
        <w:spacing w:before="240" w:after="240"/>
        <w:ind w:left="993" w:right="992"/>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“Número de empleado. </w:t>
      </w:r>
      <w:r w:rsidRPr="00732A17">
        <w:rPr>
          <w:rFonts w:ascii="Palatino Linotype" w:eastAsia="Palatino Linotype" w:hAnsi="Palatino Linotype" w:cs="Palatino Linotype"/>
          <w:i/>
        </w:rPr>
        <w:t>Cuando el número de empleado o su equivalente, se integra con datos personales de los trabajadores o funciona como una clave de acceso que no requiere adicionalmente de una contraseña para ingresar a sistemas o bases de datos personales, procede su clasificación como información confidencial.”</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atención al criterio de interpretación, se advierten dos supuestos para catalogar la información concerniente al número de empleado o equivalente, el primero es considerar la información como confidencial, siempre y cuando se integre con datos personales o que permita acceder a ellos sin necesidad de alguna contraseña, y el segundo supuesto es considerar que la información es susceptible de entregarse siempre que requiera una contraseña para acceder a los datos personales o cuando su conformación no revele los mismos, por consiguiente, en el caso concreto,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deberá acatar lo establecido y de ser procedente, entregará el número de empleado o equivalente de los servidores públicos materia de la </w:t>
      </w:r>
      <w:r w:rsidRPr="00732A17">
        <w:rPr>
          <w:rFonts w:ascii="Palatino Linotype" w:eastAsia="Palatino Linotype" w:hAnsi="Palatino Linotype" w:cs="Palatino Linotype"/>
          <w:sz w:val="24"/>
          <w:szCs w:val="24"/>
        </w:rPr>
        <w:lastRenderedPageBreak/>
        <w:t>solicitud, o en su caso, los clasificará como información confidencial, a través del Acuerdo emitido por su Comité de Transparencia conforme a la Ley de la Materia.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De la información fiscal</w:t>
      </w:r>
      <w:r w:rsidRPr="00732A17">
        <w:rPr>
          <w:rFonts w:ascii="Palatino Linotype" w:eastAsia="Palatino Linotype" w:hAnsi="Palatino Linotype" w:cs="Palatino Linotype"/>
          <w:sz w:val="24"/>
          <w:szCs w:val="24"/>
        </w:rPr>
        <w:t xml:space="preserve">: </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La </w:t>
      </w:r>
      <w:r w:rsidRPr="00732A17">
        <w:rPr>
          <w:rFonts w:ascii="Palatino Linotype" w:eastAsia="Palatino Linotype" w:hAnsi="Palatino Linotype" w:cs="Palatino Linotype"/>
          <w:b/>
          <w:sz w:val="24"/>
          <w:szCs w:val="24"/>
        </w:rPr>
        <w:t>Cadena Original</w:t>
      </w:r>
      <w:r w:rsidRPr="00732A17">
        <w:rPr>
          <w:rFonts w:ascii="Palatino Linotype" w:eastAsia="Palatino Linotype" w:hAnsi="Palatino Linotype" w:cs="Palatino Linotype"/>
          <w:sz w:val="24"/>
          <w:szCs w:val="24"/>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analizar dicha circunstancia con la finalidad de proteger, de ser el caso, la información a través de su clasificación por actualizarse el supuesto de confidencialidad.</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Los </w:t>
      </w:r>
      <w:r w:rsidRPr="00732A17">
        <w:rPr>
          <w:rFonts w:ascii="Palatino Linotype" w:eastAsia="Palatino Linotype" w:hAnsi="Palatino Linotype" w:cs="Palatino Linotype"/>
          <w:b/>
          <w:sz w:val="24"/>
          <w:szCs w:val="24"/>
        </w:rPr>
        <w:t>códigos bidimensionales</w:t>
      </w:r>
      <w:r w:rsidRPr="00732A17">
        <w:rPr>
          <w:rFonts w:ascii="Palatino Linotype" w:eastAsia="Palatino Linotype" w:hAnsi="Palatino Linotype" w:cs="Palatino Linotype"/>
          <w:sz w:val="24"/>
          <w:szCs w:val="24"/>
        </w:rPr>
        <w:t xml:space="preserve"> o </w:t>
      </w:r>
      <w:r w:rsidRPr="00732A17">
        <w:rPr>
          <w:rFonts w:ascii="Palatino Linotype" w:eastAsia="Palatino Linotype" w:hAnsi="Palatino Linotype" w:cs="Palatino Linotype"/>
          <w:b/>
          <w:sz w:val="24"/>
          <w:szCs w:val="24"/>
        </w:rPr>
        <w:t xml:space="preserve">códigos QR, </w:t>
      </w:r>
      <w:r w:rsidRPr="00732A17">
        <w:rPr>
          <w:rFonts w:ascii="Palatino Linotype" w:eastAsia="Palatino Linotype" w:hAnsi="Palatino Linotype" w:cs="Palatino Linotype"/>
          <w:sz w:val="24"/>
          <w:szCs w:val="24"/>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contener datos personales, no susceptibles de conocimiento público, debiendo el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analizar dicha circunstancia con la finalidad de determinar si se actualiza algún supuesto de confidencialidad.</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tal sentido, si derivado del análisis efectuado por </w:t>
      </w:r>
      <w:r w:rsidRPr="00732A17">
        <w:rPr>
          <w:rFonts w:ascii="Palatino Linotype" w:eastAsia="Palatino Linotype" w:hAnsi="Palatino Linotype" w:cs="Palatino Linotype"/>
          <w:b/>
          <w:sz w:val="24"/>
          <w:szCs w:val="24"/>
        </w:rPr>
        <w:t xml:space="preserve">SUJETO OBLIGADO </w:t>
      </w:r>
      <w:r w:rsidRPr="00732A17">
        <w:rPr>
          <w:rFonts w:ascii="Palatino Linotype" w:eastAsia="Palatino Linotype" w:hAnsi="Palatino Linotype" w:cs="Palatino Linotype"/>
          <w:sz w:val="24"/>
          <w:szCs w:val="24"/>
        </w:rPr>
        <w:t xml:space="preserve">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w:t>
      </w:r>
      <w:r w:rsidRPr="00732A17">
        <w:rPr>
          <w:rFonts w:ascii="Palatino Linotype" w:eastAsia="Palatino Linotype" w:hAnsi="Palatino Linotype" w:cs="Palatino Linotype"/>
          <w:sz w:val="24"/>
          <w:szCs w:val="24"/>
        </w:rPr>
        <w:lastRenderedPageBreak/>
        <w:t>identificable a una persona, deberá clasificarla como confidencial, de manera fundada y motivada en términos del artículo 143, fracción I de la Ley de Transparencia y Acceso a la Información Pública del Estado de México y Municipios.</w:t>
      </w:r>
    </w:p>
    <w:p w:rsidR="00866A2F" w:rsidRPr="00732A17" w:rsidRDefault="00CB7B04">
      <w:pPr>
        <w:spacing w:before="240" w:after="240" w:line="360" w:lineRule="auto"/>
        <w:ind w:right="50"/>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En tal contexto, es de señalar que la clasificación de la información no opera con la simple supresión de datos que se haga en los documentos de que se trate o con la simple decisión que tome el Servidor Público Habilitado o el Responsable de la Unidad de Transparencia del Sujeto Obligado, sino que ello deberá realizarse en términos de lo que disponen los artículos 49 fracción VIII, 53, fracción X y 59, fracción V, de la Ley en consulta, cuyo sentido literal es el siguiente:</w:t>
      </w:r>
    </w:p>
    <w:p w:rsidR="00866A2F" w:rsidRPr="00732A17" w:rsidRDefault="00CB7B04">
      <w:pPr>
        <w:spacing w:before="120" w:after="12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“Artículo 49.</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Los Comités de Transparencia</w:t>
      </w:r>
      <w:r w:rsidRPr="00732A17">
        <w:rPr>
          <w:rFonts w:ascii="Palatino Linotype" w:eastAsia="Palatino Linotype" w:hAnsi="Palatino Linotype" w:cs="Palatino Linotype"/>
          <w:i/>
        </w:rPr>
        <w:t xml:space="preserve"> tendrán las siguientes atribuciones:</w:t>
      </w:r>
    </w:p>
    <w:p w:rsidR="00866A2F" w:rsidRPr="00732A17" w:rsidRDefault="00CB7B04">
      <w:pPr>
        <w:spacing w:before="120" w:after="120"/>
        <w:ind w:left="993"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VIII. Aprobar, modificar o revocar la clasificación de la información</w:t>
      </w:r>
      <w:r w:rsidRPr="00732A17">
        <w:rPr>
          <w:rFonts w:ascii="Palatino Linotype" w:eastAsia="Palatino Linotype" w:hAnsi="Palatino Linotype" w:cs="Palatino Linotype"/>
          <w:i/>
        </w:rPr>
        <w:t>…”</w:t>
      </w:r>
    </w:p>
    <w:p w:rsidR="00866A2F" w:rsidRPr="00732A17" w:rsidRDefault="00CB7B04">
      <w:pPr>
        <w:spacing w:before="120" w:after="12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Artículo 53.</w:t>
      </w:r>
      <w:r w:rsidRPr="00732A17">
        <w:rPr>
          <w:rFonts w:ascii="Palatino Linotype" w:eastAsia="Palatino Linotype" w:hAnsi="Palatino Linotype" w:cs="Palatino Linotype"/>
          <w:i/>
        </w:rPr>
        <w:t xml:space="preserve"> Las </w:t>
      </w:r>
      <w:r w:rsidRPr="00732A17">
        <w:rPr>
          <w:rFonts w:ascii="Palatino Linotype" w:eastAsia="Palatino Linotype" w:hAnsi="Palatino Linotype" w:cs="Palatino Linotype"/>
          <w:b/>
          <w:i/>
        </w:rPr>
        <w:t>Unidades de Transparencia</w:t>
      </w:r>
      <w:r w:rsidRPr="00732A17">
        <w:rPr>
          <w:rFonts w:ascii="Palatino Linotype" w:eastAsia="Palatino Linotype" w:hAnsi="Palatino Linotype" w:cs="Palatino Linotype"/>
          <w:i/>
        </w:rPr>
        <w:t xml:space="preserve"> tendrán las siguientes </w:t>
      </w:r>
      <w:r w:rsidRPr="00732A17">
        <w:rPr>
          <w:rFonts w:ascii="Palatino Linotype" w:eastAsia="Palatino Linotype" w:hAnsi="Palatino Linotype" w:cs="Palatino Linotype"/>
          <w:b/>
          <w:i/>
        </w:rPr>
        <w:t>funciones</w:t>
      </w:r>
      <w:r w:rsidRPr="00732A17">
        <w:rPr>
          <w:rFonts w:ascii="Palatino Linotype" w:eastAsia="Palatino Linotype" w:hAnsi="Palatino Linotype" w:cs="Palatino Linotype"/>
          <w:i/>
        </w:rPr>
        <w:t>:</w:t>
      </w:r>
    </w:p>
    <w:p w:rsidR="00866A2F" w:rsidRPr="00732A17" w:rsidRDefault="00CB7B04">
      <w:pPr>
        <w:spacing w:before="120" w:after="120"/>
        <w:ind w:left="993"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X. Presentar ante el Comité, el proyecto de clasificación de información</w:t>
      </w:r>
      <w:r w:rsidRPr="00732A17">
        <w:rPr>
          <w:rFonts w:ascii="Palatino Linotype" w:eastAsia="Palatino Linotype" w:hAnsi="Palatino Linotype" w:cs="Palatino Linotype"/>
          <w:i/>
        </w:rPr>
        <w:t xml:space="preserve">…” </w:t>
      </w:r>
    </w:p>
    <w:p w:rsidR="00866A2F" w:rsidRPr="00732A17" w:rsidRDefault="00CB7B04">
      <w:pPr>
        <w:spacing w:before="120" w:after="12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“Artículo 59.</w:t>
      </w:r>
      <w:r w:rsidRPr="00732A17">
        <w:rPr>
          <w:rFonts w:ascii="Palatino Linotype" w:eastAsia="Palatino Linotype" w:hAnsi="Palatino Linotype" w:cs="Palatino Linotype"/>
          <w:i/>
        </w:rPr>
        <w:t xml:space="preserve"> Los </w:t>
      </w:r>
      <w:r w:rsidRPr="00732A17">
        <w:rPr>
          <w:rFonts w:ascii="Palatino Linotype" w:eastAsia="Palatino Linotype" w:hAnsi="Palatino Linotype" w:cs="Palatino Linotype"/>
          <w:b/>
          <w:i/>
        </w:rPr>
        <w:t>servidores públicos habilitados</w:t>
      </w:r>
      <w:r w:rsidRPr="00732A17">
        <w:rPr>
          <w:rFonts w:ascii="Palatino Linotype" w:eastAsia="Palatino Linotype" w:hAnsi="Palatino Linotype" w:cs="Palatino Linotype"/>
          <w:i/>
        </w:rPr>
        <w:t xml:space="preserve"> tendrán las </w:t>
      </w:r>
      <w:r w:rsidRPr="00732A17">
        <w:rPr>
          <w:rFonts w:ascii="Palatino Linotype" w:eastAsia="Palatino Linotype" w:hAnsi="Palatino Linotype" w:cs="Palatino Linotype"/>
          <w:b/>
          <w:i/>
        </w:rPr>
        <w:t>funciones</w:t>
      </w:r>
      <w:r w:rsidRPr="00732A17">
        <w:rPr>
          <w:rFonts w:ascii="Palatino Linotype" w:eastAsia="Palatino Linotype" w:hAnsi="Palatino Linotype" w:cs="Palatino Linotype"/>
          <w:i/>
        </w:rPr>
        <w:t xml:space="preserve"> siguientes:</w:t>
      </w:r>
    </w:p>
    <w:p w:rsidR="00866A2F" w:rsidRPr="00732A17" w:rsidRDefault="00CB7B04">
      <w:pPr>
        <w:spacing w:before="120" w:after="12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V. Integrar y presentar al responsable de la Unidad de Transparencia la propuesta de clasificación de información</w:t>
      </w:r>
      <w:r w:rsidRPr="00732A17">
        <w:rPr>
          <w:rFonts w:ascii="Palatino Linotype" w:eastAsia="Palatino Linotype" w:hAnsi="Palatino Linotype" w:cs="Palatino Linotype"/>
          <w:i/>
        </w:rPr>
        <w:t>, la cual tendrá los fundamentos y argumentos en que se basa dicha propuesta…”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w:t>
      </w:r>
      <w:r w:rsidRPr="00732A17">
        <w:rPr>
          <w:rFonts w:ascii="Palatino Linotype" w:eastAsia="Palatino Linotype" w:hAnsi="Palatino Linotype" w:cs="Palatino Linotype"/>
          <w:sz w:val="24"/>
          <w:szCs w:val="24"/>
        </w:rPr>
        <w:lastRenderedPageBreak/>
        <w:t>ésta presente ante al Comité de Transparencia de así resultar procedente el proyecto de clasificación de la información y finalmente sea éste último quien apruebe, modifique o revoque la clasificación de la información solicitada.</w:t>
      </w:r>
    </w:p>
    <w:p w:rsidR="00866A2F" w:rsidRPr="00732A17" w:rsidRDefault="00CB7B04">
      <w:pPr>
        <w:spacing w:before="240" w:after="240" w:line="360" w:lineRule="auto"/>
        <w:jc w:val="both"/>
        <w:rPr>
          <w:rFonts w:ascii="Palatino Linotype" w:eastAsia="Palatino Linotype" w:hAnsi="Palatino Linotype" w:cs="Palatino Linotype"/>
        </w:rPr>
      </w:pPr>
      <w:r w:rsidRPr="00732A17">
        <w:rPr>
          <w:rFonts w:ascii="Palatino Linotype" w:eastAsia="Palatino Linotype" w:hAnsi="Palatino Linotype" w:cs="Palatino Linotype"/>
          <w:sz w:val="24"/>
          <w:szCs w:val="24"/>
        </w:rPr>
        <w:t>Para lo cual, a su vez en el caso de información de carácter confidencial, se debe atender a lo que señala el artículo 149 de la Ley de Transparencia Local vigente, que se lee como sigue</w:t>
      </w:r>
      <w:r w:rsidRPr="00732A17">
        <w:rPr>
          <w:rFonts w:ascii="Palatino Linotype" w:eastAsia="Palatino Linotype" w:hAnsi="Palatino Linotype" w:cs="Palatino Linotype"/>
        </w:rPr>
        <w:t>:</w:t>
      </w:r>
    </w:p>
    <w:p w:rsidR="00866A2F" w:rsidRPr="00732A17" w:rsidRDefault="00CB7B04">
      <w:pPr>
        <w:spacing w:after="24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Artículo 149.</w:t>
      </w:r>
      <w:r w:rsidRPr="00732A17">
        <w:rPr>
          <w:rFonts w:ascii="Palatino Linotype" w:eastAsia="Palatino Linotype" w:hAnsi="Palatino Linotype" w:cs="Palatino Linotype"/>
          <w:i/>
        </w:rPr>
        <w:t xml:space="preserve"> El </w:t>
      </w:r>
      <w:r w:rsidRPr="00732A17">
        <w:rPr>
          <w:rFonts w:ascii="Palatino Linotype" w:eastAsia="Palatino Linotype" w:hAnsi="Palatino Linotype" w:cs="Palatino Linotype"/>
          <w:b/>
          <w:i/>
        </w:rPr>
        <w:t>acuerdo que clasifique la información como confidencial</w:t>
      </w:r>
      <w:r w:rsidRPr="00732A17">
        <w:rPr>
          <w:rFonts w:ascii="Palatino Linotype" w:eastAsia="Palatino Linotype" w:hAnsi="Palatino Linotype" w:cs="Palatino Linotype"/>
          <w:i/>
        </w:rPr>
        <w:t xml:space="preserve"> deberá contener un razonamiento lógico en el que demuestre que la información se encuentra en alguna o algunas de las hipótesis previstas en la presente Ley.” </w:t>
      </w:r>
    </w:p>
    <w:p w:rsidR="00866A2F" w:rsidRPr="00732A17" w:rsidRDefault="00CB7B04">
      <w:pPr>
        <w:spacing w:before="240" w:after="240" w:line="360" w:lineRule="auto"/>
        <w:ind w:right="51"/>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Es decir,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866A2F" w:rsidRPr="00732A17" w:rsidRDefault="00CB7B04">
      <w:pPr>
        <w:spacing w:before="240" w:after="240" w:line="360" w:lineRule="auto"/>
        <w:ind w:right="49"/>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Por último, respecto a la versión pública de los documentos que contenga la información solicitada, cabe señalar que el Comité de Transparencia del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deberá emitir el acuerdo de clasificación de información debidamente fundado y motivado, en términos del numeral 132, fracciones II y III de la Ley de Transparencia y Acceso a la Información Pública del Estado de México y Municipios, así como los Lineamientos Segundo, fracción XVIII, y del Cuarto al </w:t>
      </w:r>
      <w:r w:rsidRPr="00732A17">
        <w:rPr>
          <w:rFonts w:ascii="Palatino Linotype" w:eastAsia="Palatino Linotype" w:hAnsi="Palatino Linotype" w:cs="Palatino Linotype"/>
          <w:sz w:val="24"/>
          <w:szCs w:val="24"/>
        </w:rPr>
        <w:lastRenderedPageBreak/>
        <w:t>Décimo Primero de los “Lineamientos Generales en materia de Clasificación y Desclasificación de la Información, así como para la elaboración de Versiones Públicas”, que literalmente expresan:</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b/>
          <w:i/>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Artículo 132.</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La clasificación de la información se llevará a cabo en el momento en que:</w:t>
      </w:r>
    </w:p>
    <w:p w:rsidR="00866A2F" w:rsidRPr="00732A17" w:rsidRDefault="00CB7B04">
      <w:pPr>
        <w:tabs>
          <w:tab w:val="left" w:pos="8222"/>
        </w:tabs>
        <w:spacing w:before="120" w:after="120"/>
        <w:ind w:left="1134" w:right="1134"/>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tabs>
          <w:tab w:val="left" w:pos="8222"/>
        </w:tabs>
        <w:spacing w:before="120" w:after="120"/>
        <w:ind w:left="1134"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II.</w:t>
      </w:r>
      <w:r w:rsidRPr="00732A17">
        <w:rPr>
          <w:rFonts w:ascii="Palatino Linotype" w:eastAsia="Palatino Linotype" w:hAnsi="Palatino Linotype" w:cs="Palatino Linotype"/>
          <w:i/>
        </w:rPr>
        <w:t xml:space="preserve"> Se determine mediante resolución de autoridad competente; o</w:t>
      </w:r>
    </w:p>
    <w:p w:rsidR="00866A2F" w:rsidRPr="00732A17" w:rsidRDefault="00CB7B04">
      <w:pPr>
        <w:tabs>
          <w:tab w:val="left" w:pos="8222"/>
        </w:tabs>
        <w:spacing w:before="120" w:after="120"/>
        <w:ind w:left="1134"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III</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Se generen versiones públicas para dar cumplimiento a las obligaciones de transparencia previstas en esta Ley</w:t>
      </w:r>
      <w:r w:rsidRPr="00732A17">
        <w:rPr>
          <w:rFonts w:ascii="Palatino Linotype" w:eastAsia="Palatino Linotype" w:hAnsi="Palatino Linotype" w:cs="Palatino Linotype"/>
          <w:i/>
        </w:rPr>
        <w:t>.”</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Segundo.-</w:t>
      </w:r>
      <w:r w:rsidRPr="00732A17">
        <w:rPr>
          <w:rFonts w:ascii="Palatino Linotype" w:eastAsia="Palatino Linotype" w:hAnsi="Palatino Linotype" w:cs="Palatino Linotype"/>
          <w:i/>
        </w:rPr>
        <w:t xml:space="preserve"> Para efectos de los presentes Lineamientos Generales, se entenderá por:</w:t>
      </w:r>
    </w:p>
    <w:p w:rsidR="00866A2F" w:rsidRPr="00732A17" w:rsidRDefault="00CB7B04">
      <w:pPr>
        <w:tabs>
          <w:tab w:val="left" w:pos="8222"/>
        </w:tabs>
        <w:spacing w:before="120" w:after="120"/>
        <w:ind w:left="1134"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XVIII.</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Versión pública:</w:t>
      </w:r>
      <w:r w:rsidRPr="00732A17">
        <w:rPr>
          <w:rFonts w:ascii="Palatino Linotype" w:eastAsia="Palatino Linotype" w:hAnsi="Palatino Linotype" w:cs="Palatino Linotype"/>
          <w:i/>
        </w:rPr>
        <w:t xml:space="preserve"> El documento a partir del que se otorga acceso a la información, en el que se testan partes o secciones clasificadas, indicando el contenido de éstas de manera genérica, </w:t>
      </w:r>
      <w:r w:rsidRPr="00732A17">
        <w:rPr>
          <w:rFonts w:ascii="Palatino Linotype" w:eastAsia="Palatino Linotype" w:hAnsi="Palatino Linotype" w:cs="Palatino Linotype"/>
          <w:b/>
          <w:i/>
        </w:rPr>
        <w:t>fundando y motivando la</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reserva o confidencialidad</w:t>
      </w:r>
      <w:r w:rsidRPr="00732A17">
        <w:rPr>
          <w:rFonts w:ascii="Palatino Linotype" w:eastAsia="Palatino Linotype" w:hAnsi="Palatino Linotype" w:cs="Palatino Linotype"/>
          <w:i/>
        </w:rPr>
        <w:t>, a través de la resolución que para tal efecto emita el Comité de Transparencia.</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b/>
          <w:i/>
        </w:rPr>
      </w:pPr>
      <w:r w:rsidRPr="00732A17">
        <w:rPr>
          <w:rFonts w:ascii="Palatino Linotype" w:eastAsia="Palatino Linotype" w:hAnsi="Palatino Linotype" w:cs="Palatino Linotype"/>
          <w:b/>
          <w:i/>
        </w:rPr>
        <w:t>...</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Cuarto.</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Para clasificar la información como</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reservada o</w:t>
      </w:r>
      <w:r w:rsidRPr="00732A17">
        <w:rPr>
          <w:rFonts w:ascii="Palatino Linotype" w:eastAsia="Palatino Linotype" w:hAnsi="Palatino Linotype" w:cs="Palatino Linotype"/>
          <w:i/>
        </w:rPr>
        <w:t xml:space="preserve"> </w:t>
      </w:r>
      <w:r w:rsidRPr="00732A17">
        <w:rPr>
          <w:rFonts w:ascii="Palatino Linotype" w:eastAsia="Palatino Linotype" w:hAnsi="Palatino Linotype" w:cs="Palatino Linotype"/>
          <w:b/>
          <w:i/>
        </w:rPr>
        <w:t>confidencial, de manera total o parcial, el titular del área del sujeto obligado deberá atender lo dispuesto por el Título Sexto de la Ley General</w:t>
      </w:r>
      <w:r w:rsidRPr="00732A17">
        <w:rPr>
          <w:rFonts w:ascii="Palatino Linotype" w:eastAsia="Palatino Linotype" w:hAnsi="Palatino Linotype" w:cs="Palatino Linotype"/>
          <w:i/>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i/>
        </w:rPr>
        <w:t>Los sujetos obligados deberán aplicar, de manera estricta, las excepciones al derecho de acceso a la información y sólo podrán invocarlas cuando acrediten su procedencia.</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Quinto.</w:t>
      </w:r>
      <w:r w:rsidRPr="00732A17">
        <w:rPr>
          <w:rFonts w:ascii="Palatino Linotype" w:eastAsia="Palatino Linotype" w:hAnsi="Palatino Linotype" w:cs="Palatino Linotype"/>
          <w:i/>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w:t>
      </w:r>
      <w:r w:rsidRPr="00732A17">
        <w:rPr>
          <w:rFonts w:ascii="Palatino Linotype" w:eastAsia="Palatino Linotype" w:hAnsi="Palatino Linotype" w:cs="Palatino Linotype"/>
          <w:i/>
        </w:rPr>
        <w:lastRenderedPageBreak/>
        <w:t>que generen versiones públicas para dar cumplimiento a las obligaciones de transparencia, observando lo dispuesto en la Ley General y las demás disposiciones aplicables en la materia.</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Sexto.</w:t>
      </w:r>
      <w:r w:rsidRPr="00732A17">
        <w:rPr>
          <w:rFonts w:ascii="Palatino Linotype" w:eastAsia="Palatino Linotype" w:hAnsi="Palatino Linotype" w:cs="Palatino Linotype"/>
          <w:i/>
        </w:rPr>
        <w:t xml:space="preserve"> Se deroga.</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Séptimo.</w:t>
      </w:r>
      <w:r w:rsidRPr="00732A17">
        <w:rPr>
          <w:rFonts w:ascii="Palatino Linotype" w:eastAsia="Palatino Linotype" w:hAnsi="Palatino Linotype" w:cs="Palatino Linotype"/>
          <w:i/>
        </w:rPr>
        <w:t xml:space="preserve"> La clasificación de la información se llevará a cabo en el momento en que:</w:t>
      </w:r>
    </w:p>
    <w:p w:rsidR="00866A2F" w:rsidRPr="00732A17" w:rsidRDefault="00CB7B04">
      <w:pPr>
        <w:tabs>
          <w:tab w:val="left" w:pos="8222"/>
        </w:tabs>
        <w:spacing w:before="120" w:after="120"/>
        <w:ind w:left="1134"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I.</w:t>
      </w:r>
      <w:r w:rsidRPr="00732A17">
        <w:rPr>
          <w:rFonts w:ascii="Palatino Linotype" w:eastAsia="Palatino Linotype" w:hAnsi="Palatino Linotype" w:cs="Palatino Linotype"/>
          <w:i/>
        </w:rPr>
        <w:t xml:space="preserve"> Se reciba una solicitud de acceso a la información;</w:t>
      </w:r>
    </w:p>
    <w:p w:rsidR="00866A2F" w:rsidRPr="00732A17" w:rsidRDefault="00CB7B04">
      <w:pPr>
        <w:tabs>
          <w:tab w:val="left" w:pos="8222"/>
        </w:tabs>
        <w:spacing w:before="120" w:after="120"/>
        <w:ind w:left="1134"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II.</w:t>
      </w:r>
      <w:r w:rsidRPr="00732A17">
        <w:rPr>
          <w:rFonts w:ascii="Palatino Linotype" w:eastAsia="Palatino Linotype" w:hAnsi="Palatino Linotype" w:cs="Palatino Linotype"/>
          <w:i/>
        </w:rPr>
        <w:t xml:space="preserve"> Se determine mediante resolución del Comité de Transparencia, el órgano garante competente, o en cumplimiento a una sentencia del Poder Judicial; o</w:t>
      </w:r>
    </w:p>
    <w:p w:rsidR="00866A2F" w:rsidRPr="00732A17" w:rsidRDefault="00CB7B04">
      <w:pPr>
        <w:tabs>
          <w:tab w:val="left" w:pos="8222"/>
        </w:tabs>
        <w:spacing w:before="120" w:after="120"/>
        <w:ind w:left="1134"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III.</w:t>
      </w:r>
      <w:r w:rsidRPr="00732A17">
        <w:rPr>
          <w:rFonts w:ascii="Palatino Linotype" w:eastAsia="Palatino Linotype" w:hAnsi="Palatino Linotype" w:cs="Palatino Linotype"/>
          <w:i/>
        </w:rPr>
        <w:t xml:space="preserve"> Se generen versiones públicas para dar cumplimiento a las obligaciones de transparencia previstas en la Ley General, la Ley Federal y las correspondientes de las entidades federativas.</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i/>
        </w:rPr>
        <w:t>Los titulares de las áreas deberán revisar la clasificación al momento de la recepción de una solicitud de acceso, para verificar</w:t>
      </w:r>
      <w:r w:rsidRPr="00732A17">
        <w:t xml:space="preserve">, </w:t>
      </w:r>
      <w:r w:rsidRPr="00732A17">
        <w:rPr>
          <w:rFonts w:ascii="Palatino Linotype" w:eastAsia="Palatino Linotype" w:hAnsi="Palatino Linotype" w:cs="Palatino Linotype"/>
          <w:i/>
        </w:rPr>
        <w:t>conforme a su naturaleza, si encuadra en una causal de reserva o de confidencialidad.</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Octavo.</w:t>
      </w:r>
      <w:r w:rsidRPr="00732A17">
        <w:rPr>
          <w:rFonts w:ascii="Palatino Linotype" w:eastAsia="Palatino Linotype" w:hAnsi="Palatino Linotype" w:cs="Palatino Linotype"/>
          <w:i/>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i/>
        </w:rPr>
        <w:t>Para motivar la clasificación se deberán señalar las razones o circunstancias especiales que lo llevaron a concluir que el caso particular se ajusta al supuesto previsto por la norma legal invocada como fundamento.</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i/>
        </w:rPr>
        <w:t>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Noveno.</w:t>
      </w:r>
      <w:r w:rsidRPr="00732A17">
        <w:rPr>
          <w:rFonts w:ascii="Palatino Linotype" w:eastAsia="Palatino Linotype" w:hAnsi="Palatino Linotype" w:cs="Palatino Linotype"/>
          <w:i/>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lastRenderedPageBreak/>
        <w:t>Décimo.</w:t>
      </w:r>
      <w:r w:rsidRPr="00732A17">
        <w:rPr>
          <w:rFonts w:ascii="Palatino Linotype" w:eastAsia="Palatino Linotype" w:hAnsi="Palatino Linotype" w:cs="Palatino Linotype"/>
          <w:i/>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w:t>
      </w:r>
      <w:proofErr w:type="spellStart"/>
      <w:r w:rsidRPr="00732A17">
        <w:rPr>
          <w:rFonts w:ascii="Palatino Linotype" w:eastAsia="Palatino Linotype" w:hAnsi="Palatino Linotype" w:cs="Palatino Linotype"/>
          <w:i/>
        </w:rPr>
        <w:t>wn</w:t>
      </w:r>
      <w:proofErr w:type="spellEnd"/>
      <w:r w:rsidRPr="00732A17">
        <w:rPr>
          <w:rFonts w:ascii="Palatino Linotype" w:eastAsia="Palatino Linotype" w:hAnsi="Palatino Linotype" w:cs="Palatino Linotype"/>
          <w:i/>
        </w:rPr>
        <w:t xml:space="preserve"> los términos de la Ley General de Archivos, Lineamientos para la Organización y Conservación de Archivos y demás normatividad aplicable.</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i/>
        </w:rPr>
        <w:t>En ausencia de los titulares de las áreas, la información será clasificada o desclasificada por la persona que lo supla, en términos de la normativa que rija la actuación del sujeto obligado.</w:t>
      </w:r>
    </w:p>
    <w:p w:rsidR="00866A2F" w:rsidRPr="00732A17" w:rsidRDefault="00CB7B04">
      <w:pPr>
        <w:tabs>
          <w:tab w:val="left" w:pos="8222"/>
        </w:tabs>
        <w:spacing w:before="120" w:after="120"/>
        <w:ind w:left="851" w:right="1134"/>
        <w:jc w:val="both"/>
        <w:rPr>
          <w:rFonts w:ascii="Palatino Linotype" w:eastAsia="Palatino Linotype" w:hAnsi="Palatino Linotype" w:cs="Palatino Linotype"/>
          <w:i/>
        </w:rPr>
      </w:pPr>
      <w:r w:rsidRPr="00732A17">
        <w:rPr>
          <w:rFonts w:ascii="Palatino Linotype" w:eastAsia="Palatino Linotype" w:hAnsi="Palatino Linotype" w:cs="Palatino Linotype"/>
          <w:b/>
          <w:i/>
        </w:rPr>
        <w:t>Décimo primero.</w:t>
      </w:r>
      <w:r w:rsidRPr="00732A17">
        <w:rPr>
          <w:rFonts w:ascii="Palatino Linotype" w:eastAsia="Palatino Linotype" w:hAnsi="Palatino Linotype" w:cs="Palatino Linotype"/>
          <w:i/>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p>
    <w:p w:rsidR="00866A2F" w:rsidRPr="00732A17" w:rsidRDefault="00CB7B04">
      <w:pPr>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Asimismo,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siendo estas las siguientes:</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 “Quincuagésimo. </w:t>
      </w:r>
      <w:r w:rsidRPr="00732A17">
        <w:rPr>
          <w:rFonts w:ascii="Palatino Linotype" w:eastAsia="Palatino Linotype" w:hAnsi="Palatino Linotype" w:cs="Palatino Linotype"/>
          <w:i/>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866A2F" w:rsidRPr="00732A17" w:rsidRDefault="00CB7B0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Quincuagésimo primero. </w:t>
      </w:r>
      <w:r w:rsidRPr="00732A17">
        <w:rPr>
          <w:rFonts w:ascii="Palatino Linotype" w:eastAsia="Palatino Linotype" w:hAnsi="Palatino Linotype" w:cs="Palatino Linotype"/>
          <w:i/>
        </w:rPr>
        <w:t xml:space="preserve">Toda acta del Comité de Transparencia deberá contener: </w:t>
      </w:r>
    </w:p>
    <w:p w:rsidR="00866A2F" w:rsidRPr="00732A17" w:rsidRDefault="00CB7B04">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w:t>
      </w:r>
      <w:r w:rsidRPr="00732A17">
        <w:rPr>
          <w:rFonts w:ascii="Palatino Linotype" w:eastAsia="Palatino Linotype" w:hAnsi="Palatino Linotype" w:cs="Palatino Linotype"/>
          <w:i/>
        </w:rPr>
        <w:t xml:space="preserve"> El número de sesión y fecha; </w:t>
      </w:r>
    </w:p>
    <w:p w:rsidR="00866A2F" w:rsidRPr="00732A17" w:rsidRDefault="00CB7B04">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II</w:t>
      </w:r>
      <w:r w:rsidRPr="00732A17">
        <w:rPr>
          <w:rFonts w:ascii="Palatino Linotype" w:eastAsia="Palatino Linotype" w:hAnsi="Palatino Linotype" w:cs="Palatino Linotype"/>
          <w:i/>
        </w:rPr>
        <w:t xml:space="preserve">. El nombre del área que solicitó la clasificación de información; </w:t>
      </w:r>
    </w:p>
    <w:p w:rsidR="00866A2F" w:rsidRPr="00732A17" w:rsidRDefault="00CB7B04">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III</w:t>
      </w:r>
      <w:r w:rsidRPr="00732A17">
        <w:rPr>
          <w:rFonts w:ascii="Palatino Linotype" w:eastAsia="Palatino Linotype" w:hAnsi="Palatino Linotype" w:cs="Palatino Linotype"/>
          <w:i/>
        </w:rPr>
        <w:t xml:space="preserve">. La fundamentación legal y motivación correspondiente; </w:t>
      </w:r>
    </w:p>
    <w:p w:rsidR="00866A2F" w:rsidRPr="00732A17" w:rsidRDefault="00CB7B04">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IV</w:t>
      </w:r>
      <w:r w:rsidRPr="00732A17">
        <w:rPr>
          <w:rFonts w:ascii="Palatino Linotype" w:eastAsia="Palatino Linotype" w:hAnsi="Palatino Linotype" w:cs="Palatino Linotype"/>
          <w:i/>
        </w:rPr>
        <w:t xml:space="preserve">. La resolución o resoluciones aprobadas; y </w:t>
      </w:r>
    </w:p>
    <w:p w:rsidR="00866A2F" w:rsidRPr="00732A17" w:rsidRDefault="00CB7B04">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V</w:t>
      </w:r>
      <w:r w:rsidRPr="00732A17">
        <w:rPr>
          <w:rFonts w:ascii="Palatino Linotype" w:eastAsia="Palatino Linotype" w:hAnsi="Palatino Linotype" w:cs="Palatino Linotype"/>
          <w:i/>
        </w:rPr>
        <w:t xml:space="preserve">. La rúbrica o firma digital de cada integrante del Comité de Transparencia. </w:t>
      </w:r>
    </w:p>
    <w:p w:rsidR="00866A2F" w:rsidRPr="00732A17" w:rsidRDefault="00CB7B0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lastRenderedPageBreak/>
        <w:t xml:space="preserve">Las resoluciones del Comité en las que se haya determinado confirmar o modificar la clasificación de información pública como reservada, deberán incluir, cuando menos: </w:t>
      </w:r>
    </w:p>
    <w:p w:rsidR="00866A2F" w:rsidRPr="00732A17" w:rsidRDefault="00CB7B04">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w:t>
      </w:r>
      <w:r w:rsidRPr="00732A17">
        <w:rPr>
          <w:rFonts w:ascii="Palatino Linotype" w:eastAsia="Palatino Linotype" w:hAnsi="Palatino Linotype" w:cs="Palatino Linotype"/>
          <w:i/>
        </w:rPr>
        <w:t xml:space="preserve"> Los motivos y razonamientos que sustenten la confirmación o modificación de la prueba de daño;</w:t>
      </w:r>
    </w:p>
    <w:p w:rsidR="00866A2F" w:rsidRPr="00732A17" w:rsidRDefault="00CB7B04">
      <w:pPr>
        <w:pBdr>
          <w:top w:val="nil"/>
          <w:left w:val="nil"/>
          <w:bottom w:val="nil"/>
          <w:right w:val="nil"/>
          <w:between w:val="nil"/>
        </w:pBdr>
        <w:spacing w:before="120" w:after="120"/>
        <w:ind w:left="1134" w:right="902"/>
        <w:jc w:val="both"/>
        <w:rPr>
          <w:rFonts w:ascii="Palatino Linotype" w:eastAsia="Palatino Linotype" w:hAnsi="Palatino Linotype" w:cs="Palatino Linotype"/>
          <w:b/>
          <w:i/>
        </w:rPr>
      </w:pPr>
      <w:r w:rsidRPr="00732A17">
        <w:rPr>
          <w:rFonts w:ascii="Palatino Linotype" w:eastAsia="Palatino Linotype" w:hAnsi="Palatino Linotype" w:cs="Palatino Linotype"/>
          <w:b/>
          <w:i/>
        </w:rPr>
        <w:t>II</w:t>
      </w:r>
      <w:r w:rsidRPr="00732A17">
        <w:rPr>
          <w:rFonts w:ascii="Palatino Linotype" w:eastAsia="Palatino Linotype" w:hAnsi="Palatino Linotype" w:cs="Palatino Linotype"/>
          <w:i/>
        </w:rPr>
        <w:t>. Descripción de las partes o secciones reservadas, en caso de clasificación parcial</w:t>
      </w:r>
      <w:r w:rsidRPr="00732A17">
        <w:rPr>
          <w:rFonts w:ascii="Palatino Linotype" w:eastAsia="Palatino Linotype" w:hAnsi="Palatino Linotype" w:cs="Palatino Linotype"/>
          <w:b/>
          <w:i/>
        </w:rPr>
        <w:t xml:space="preserve">; </w:t>
      </w:r>
    </w:p>
    <w:p w:rsidR="00866A2F" w:rsidRPr="00732A17" w:rsidRDefault="00CB7B04">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III.</w:t>
      </w:r>
      <w:r w:rsidRPr="00732A17">
        <w:rPr>
          <w:rFonts w:ascii="Palatino Linotype" w:eastAsia="Palatino Linotype" w:hAnsi="Palatino Linotype" w:cs="Palatino Linotype"/>
          <w:i/>
        </w:rPr>
        <w:t xml:space="preserve"> El periodo por el que mantendrá su clasificación y fecha de expiración; y </w:t>
      </w:r>
    </w:p>
    <w:p w:rsidR="00866A2F" w:rsidRPr="00732A17" w:rsidRDefault="00CB7B04">
      <w:pPr>
        <w:pBdr>
          <w:top w:val="nil"/>
          <w:left w:val="nil"/>
          <w:bottom w:val="nil"/>
          <w:right w:val="nil"/>
          <w:between w:val="nil"/>
        </w:pBd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IV.</w:t>
      </w:r>
      <w:r w:rsidRPr="00732A17">
        <w:rPr>
          <w:rFonts w:ascii="Palatino Linotype" w:eastAsia="Palatino Linotype" w:hAnsi="Palatino Linotype" w:cs="Palatino Linotype"/>
          <w:i/>
        </w:rPr>
        <w:t xml:space="preserve"> El nombre del titular y área encargada de realizar la versión pública del documento, en su caso. </w:t>
      </w:r>
    </w:p>
    <w:p w:rsidR="00866A2F" w:rsidRPr="00732A17" w:rsidRDefault="00CB7B0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rsidR="00866A2F" w:rsidRPr="00732A17" w:rsidRDefault="00CB7B04">
      <w:pPr>
        <w:pBdr>
          <w:top w:val="nil"/>
          <w:left w:val="nil"/>
          <w:bottom w:val="nil"/>
          <w:right w:val="nil"/>
          <w:between w:val="nil"/>
        </w:pBd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rsidR="00866A2F" w:rsidRPr="00732A17" w:rsidRDefault="00CB7B04">
      <w:pPr>
        <w:spacing w:before="120" w:after="12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 Quincuagésimo segundo</w:t>
      </w:r>
      <w:r w:rsidRPr="00732A17">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732A17">
        <w:rPr>
          <w:rFonts w:ascii="Palatino Linotype" w:eastAsia="Palatino Linotype" w:hAnsi="Palatino Linotype" w:cs="Palatino Linotype"/>
          <w:i/>
        </w:rPr>
        <w:t>sobreposición</w:t>
      </w:r>
      <w:proofErr w:type="spellEnd"/>
      <w:r w:rsidRPr="00732A17">
        <w:rPr>
          <w:rFonts w:ascii="Palatino Linotype" w:eastAsia="Palatino Linotype" w:hAnsi="Palatino Linotype" w:cs="Palatino Linotype"/>
          <w:i/>
        </w:rPr>
        <w:t xml:space="preserve"> de contenido distinto al autorizado por el Comité.</w:t>
      </w:r>
    </w:p>
    <w:p w:rsidR="00866A2F" w:rsidRPr="00732A17" w:rsidRDefault="00CB7B04">
      <w:pPr>
        <w:spacing w:before="120" w:after="12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i/>
        </w:rPr>
        <w:t xml:space="preserve">En el caso </w:t>
      </w:r>
      <w:proofErr w:type="spellStart"/>
      <w:r w:rsidRPr="00732A17">
        <w:rPr>
          <w:rFonts w:ascii="Palatino Linotype" w:eastAsia="Palatino Linotype" w:hAnsi="Palatino Linotype" w:cs="Palatino Linotype"/>
          <w:i/>
        </w:rPr>
        <w:t>especifico</w:t>
      </w:r>
      <w:proofErr w:type="spellEnd"/>
      <w:r w:rsidRPr="00732A17">
        <w:rPr>
          <w:rFonts w:ascii="Palatino Linotype" w:eastAsia="Palatino Linotype" w:hAnsi="Palatino Linotype" w:cs="Palatino Linotype"/>
          <w:i/>
        </w:rPr>
        <w:t xml:space="preserve"> de la clasificación y elaboración de versiones públicas de documentos que contengan información confidencial, las áreas de los sujetos obligados deberán: </w:t>
      </w:r>
    </w:p>
    <w:p w:rsidR="00866A2F" w:rsidRPr="00732A17" w:rsidRDefault="00CB7B04">
      <w:pPr>
        <w:spacing w:before="120" w:after="120"/>
        <w:ind w:left="1134"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I.</w:t>
      </w:r>
      <w:r w:rsidRPr="00732A17">
        <w:rPr>
          <w:rFonts w:ascii="Palatino Linotype" w:eastAsia="Palatino Linotype" w:hAnsi="Palatino Linotype" w:cs="Palatino Linotype"/>
          <w:i/>
        </w:rPr>
        <w:t xml:space="preserve"> Fijar la fecha en que se elaboró la versión pública y la fecha en la cual el Comité de Transparencia confirmó dicha versión;</w:t>
      </w:r>
    </w:p>
    <w:p w:rsidR="00866A2F" w:rsidRPr="00732A17" w:rsidRDefault="00CB7B04">
      <w:pPr>
        <w:spacing w:before="120" w:after="120"/>
        <w:ind w:left="1134"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II.</w:t>
      </w:r>
      <w:r w:rsidRPr="00732A17">
        <w:rPr>
          <w:rFonts w:ascii="Palatino Linotype" w:eastAsia="Palatino Linotype" w:hAnsi="Palatino Linotype" w:cs="Palatino Linotype"/>
          <w:i/>
        </w:rPr>
        <w:t xml:space="preserve"> Señalar dentro del documento el tipo de información confidencial que fue testada en cada caso específico, de conformidad con el lineamiento trigésimo octavo; y</w:t>
      </w:r>
    </w:p>
    <w:p w:rsidR="00866A2F" w:rsidRPr="00732A17" w:rsidRDefault="00CB7B04">
      <w:pPr>
        <w:spacing w:before="120" w:after="120"/>
        <w:ind w:left="1134" w:right="900"/>
        <w:jc w:val="both"/>
        <w:rPr>
          <w:rFonts w:ascii="Palatino Linotype" w:eastAsia="Palatino Linotype" w:hAnsi="Palatino Linotype" w:cs="Palatino Linotype"/>
          <w:i/>
        </w:rPr>
      </w:pPr>
      <w:r w:rsidRPr="00732A17">
        <w:rPr>
          <w:rFonts w:ascii="Palatino Linotype" w:eastAsia="Palatino Linotype" w:hAnsi="Palatino Linotype" w:cs="Palatino Linotype"/>
          <w:b/>
          <w:i/>
        </w:rPr>
        <w:t>III.</w:t>
      </w:r>
      <w:r w:rsidRPr="00732A17">
        <w:rPr>
          <w:rFonts w:ascii="Palatino Linotype" w:eastAsia="Palatino Linotype" w:hAnsi="Palatino Linotype" w:cs="Palatino Linotype"/>
          <w:i/>
        </w:rPr>
        <w:t xml:space="preserve"> Señalar las personas o instancias autorizadas a acceder a la información clasificada.</w:t>
      </w:r>
    </w:p>
    <w:p w:rsidR="00866A2F" w:rsidRPr="00732A17" w:rsidRDefault="00CB7B04">
      <w:pPr>
        <w:spacing w:before="120" w:after="120"/>
        <w:ind w:left="851" w:right="900"/>
        <w:jc w:val="both"/>
        <w:rPr>
          <w:rFonts w:ascii="Palatino Linotype" w:eastAsia="Palatino Linotype" w:hAnsi="Palatino Linotype" w:cs="Palatino Linotype"/>
          <w:i/>
        </w:rPr>
      </w:pPr>
      <w:r w:rsidRPr="00732A17">
        <w:rPr>
          <w:rFonts w:ascii="Palatino Linotype" w:eastAsia="Palatino Linotype" w:hAnsi="Palatino Linotype" w:cs="Palatino Linotype"/>
          <w:i/>
        </w:rPr>
        <w:lastRenderedPageBreak/>
        <w:t>En los documentos de difusión electrónica, señalar en la primera hoja y en el nombre del archivo, que la versión pública corresponde a un documento que contiene información confidencial.”</w:t>
      </w:r>
    </w:p>
    <w:p w:rsidR="00866A2F" w:rsidRPr="00732A17" w:rsidRDefault="00CB7B04">
      <w:pPr>
        <w:spacing w:before="240" w:after="240" w:line="360" w:lineRule="auto"/>
        <w:ind w:right="50"/>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En relación directa con ello deberá observar el Lineamiento Quincuagésimo tercero de los Lineamientos Generales en Materia de Clasificación y Desclasificación de la Información </w:t>
      </w:r>
      <w:proofErr w:type="spellStart"/>
      <w:r w:rsidRPr="00732A17">
        <w:rPr>
          <w:rFonts w:ascii="Palatino Linotype" w:eastAsia="Palatino Linotype" w:hAnsi="Palatino Linotype" w:cs="Palatino Linotype"/>
          <w:sz w:val="24"/>
          <w:szCs w:val="24"/>
        </w:rPr>
        <w:t>supraindicados</w:t>
      </w:r>
      <w:proofErr w:type="spellEnd"/>
      <w:r w:rsidRPr="00732A17">
        <w:rPr>
          <w:rFonts w:ascii="Palatino Linotype" w:eastAsia="Palatino Linotype" w:hAnsi="Palatino Linotype" w:cs="Palatino Linotype"/>
          <w:sz w:val="24"/>
          <w:szCs w:val="24"/>
        </w:rPr>
        <w:t xml:space="preserve">, que establece los formatos para la clasificación de los documentos, conforme a lo siguiente: </w:t>
      </w:r>
    </w:p>
    <w:p w:rsidR="00866A2F" w:rsidRPr="00732A17" w:rsidRDefault="00CB7B04">
      <w:pPr>
        <w:ind w:left="851" w:right="900"/>
        <w:jc w:val="center"/>
        <w:rPr>
          <w:rFonts w:ascii="Palatino Linotype" w:eastAsia="Palatino Linotype" w:hAnsi="Palatino Linotype" w:cs="Palatino Linotype"/>
          <w:b/>
          <w:i/>
        </w:rPr>
      </w:pPr>
      <w:r w:rsidRPr="00732A17">
        <w:rPr>
          <w:rFonts w:ascii="Palatino Linotype" w:eastAsia="Palatino Linotype" w:hAnsi="Palatino Linotype" w:cs="Palatino Linotype"/>
          <w:b/>
          <w:i/>
        </w:rPr>
        <w:t>CAPÍTULO VIII</w:t>
      </w:r>
    </w:p>
    <w:p w:rsidR="00866A2F" w:rsidRPr="00732A17" w:rsidRDefault="00CB7B04">
      <w:pPr>
        <w:ind w:left="851" w:right="900"/>
        <w:jc w:val="center"/>
        <w:rPr>
          <w:rFonts w:ascii="Palatino Linotype" w:eastAsia="Palatino Linotype" w:hAnsi="Palatino Linotype" w:cs="Palatino Linotype"/>
          <w:b/>
          <w:i/>
        </w:rPr>
      </w:pPr>
      <w:r w:rsidRPr="00732A17">
        <w:rPr>
          <w:rFonts w:ascii="Palatino Linotype" w:eastAsia="Palatino Linotype" w:hAnsi="Palatino Linotype" w:cs="Palatino Linotype"/>
          <w:b/>
          <w:i/>
        </w:rPr>
        <w:t xml:space="preserve">DE LOS ELEMENTOS PARA LA CLASIFICACIÓN </w:t>
      </w:r>
    </w:p>
    <w:p w:rsidR="00866A2F" w:rsidRPr="00732A17" w:rsidRDefault="00CB7B04">
      <w:pPr>
        <w:ind w:left="851" w:right="900"/>
        <w:rPr>
          <w:rFonts w:ascii="Palatino Linotype" w:eastAsia="Palatino Linotype" w:hAnsi="Palatino Linotype" w:cs="Palatino Linotype"/>
          <w:i/>
        </w:rPr>
      </w:pPr>
      <w:r w:rsidRPr="00732A17">
        <w:rPr>
          <w:rFonts w:ascii="Palatino Linotype" w:eastAsia="Palatino Linotype" w:hAnsi="Palatino Linotype" w:cs="Palatino Linotype"/>
          <w:i/>
        </w:rPr>
        <w:t>…</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Quincuagésimo tercero. </w:t>
      </w:r>
      <w:r w:rsidRPr="00732A17">
        <w:rPr>
          <w:rFonts w:ascii="Palatino Linotype" w:eastAsia="Palatino Linotype" w:hAnsi="Palatino Linotype" w:cs="Palatino Linotype"/>
          <w:b/>
          <w:i/>
          <w:u w:val="single"/>
        </w:rPr>
        <w:t>El formato para señalar la clasificación de un documento o expediente que contenga información reservada</w:t>
      </w:r>
      <w:r w:rsidRPr="00732A17">
        <w:rPr>
          <w:rFonts w:ascii="Palatino Linotype" w:eastAsia="Palatino Linotype" w:hAnsi="Palatino Linotype" w:cs="Palatino Linotype"/>
          <w:b/>
          <w:i/>
        </w:rPr>
        <w:t xml:space="preserve">, </w:t>
      </w:r>
      <w:r w:rsidRPr="00732A17">
        <w:rPr>
          <w:rFonts w:ascii="Palatino Linotype" w:eastAsia="Palatino Linotype" w:hAnsi="Palatino Linotype" w:cs="Palatino Linotype"/>
          <w:i/>
        </w:rPr>
        <w:t xml:space="preserve">es el siguiente: </w:t>
      </w:r>
    </w:p>
    <w:p w:rsidR="00866A2F" w:rsidRPr="00732A17" w:rsidRDefault="00CB7B04">
      <w:pPr>
        <w:spacing w:before="120" w:after="120"/>
        <w:ind w:left="851" w:right="902"/>
        <w:jc w:val="both"/>
        <w:rPr>
          <w:rFonts w:ascii="Palatino Linotype" w:eastAsia="Palatino Linotype" w:hAnsi="Palatino Linotype" w:cs="Palatino Linotype"/>
          <w:b/>
          <w:i/>
        </w:rPr>
      </w:pPr>
      <w:r w:rsidRPr="00732A17">
        <w:rPr>
          <w:rFonts w:ascii="Palatino Linotype" w:eastAsia="Palatino Linotype" w:hAnsi="Palatino Linotype" w:cs="Palatino Linotype"/>
          <w:b/>
          <w:i/>
          <w:noProof/>
        </w:rPr>
        <w:drawing>
          <wp:inline distT="0" distB="0" distL="0" distR="0">
            <wp:extent cx="4320000" cy="295275"/>
            <wp:effectExtent l="0" t="0" r="0" b="0"/>
            <wp:docPr id="206759163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b="95731"/>
                    <a:stretch>
                      <a:fillRect/>
                    </a:stretch>
                  </pic:blipFill>
                  <pic:spPr>
                    <a:xfrm>
                      <a:off x="0" y="0"/>
                      <a:ext cx="4320000" cy="295275"/>
                    </a:xfrm>
                    <a:prstGeom prst="rect">
                      <a:avLst/>
                    </a:prstGeom>
                    <a:ln/>
                  </pic:spPr>
                </pic:pic>
              </a:graphicData>
            </a:graphic>
          </wp:inline>
        </w:drawing>
      </w:r>
    </w:p>
    <w:p w:rsidR="00866A2F" w:rsidRPr="00732A17" w:rsidRDefault="00CB7B04">
      <w:pPr>
        <w:spacing w:before="120" w:after="120"/>
        <w:ind w:left="851" w:right="902"/>
        <w:jc w:val="both"/>
        <w:rPr>
          <w:rFonts w:ascii="Palatino Linotype" w:eastAsia="Palatino Linotype" w:hAnsi="Palatino Linotype" w:cs="Palatino Linotype"/>
          <w:b/>
          <w:i/>
        </w:rPr>
      </w:pPr>
      <w:r w:rsidRPr="00732A17">
        <w:rPr>
          <w:rFonts w:ascii="Palatino Linotype" w:eastAsia="Palatino Linotype" w:hAnsi="Palatino Linotype" w:cs="Palatino Linotype"/>
          <w:b/>
          <w:i/>
          <w:noProof/>
        </w:rPr>
        <w:drawing>
          <wp:inline distT="0" distB="0" distL="0" distR="0">
            <wp:extent cx="4333875" cy="2982636"/>
            <wp:effectExtent l="0" t="0" r="0" b="0"/>
            <wp:docPr id="206759163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30907" b="25900"/>
                    <a:stretch>
                      <a:fillRect/>
                    </a:stretch>
                  </pic:blipFill>
                  <pic:spPr>
                    <a:xfrm>
                      <a:off x="0" y="0"/>
                      <a:ext cx="4333875" cy="2982636"/>
                    </a:xfrm>
                    <a:prstGeom prst="rect">
                      <a:avLst/>
                    </a:prstGeom>
                    <a:ln/>
                  </pic:spPr>
                </pic:pic>
              </a:graphicData>
            </a:graphic>
          </wp:inline>
        </w:drawing>
      </w:r>
    </w:p>
    <w:p w:rsidR="00866A2F" w:rsidRPr="00732A17" w:rsidRDefault="00CB7B04">
      <w:pPr>
        <w:spacing w:before="120" w:after="120"/>
        <w:ind w:left="851" w:right="902"/>
        <w:jc w:val="both"/>
        <w:rPr>
          <w:rFonts w:ascii="Palatino Linotype" w:eastAsia="Palatino Linotype" w:hAnsi="Palatino Linotype" w:cs="Palatino Linotype"/>
          <w:b/>
          <w:i/>
        </w:rPr>
      </w:pPr>
      <w:r w:rsidRPr="00732A17">
        <w:rPr>
          <w:rFonts w:ascii="Palatino Linotype" w:eastAsia="Palatino Linotype" w:hAnsi="Palatino Linotype" w:cs="Palatino Linotype"/>
          <w:b/>
          <w:i/>
          <w:noProof/>
        </w:rPr>
        <w:lastRenderedPageBreak/>
        <w:drawing>
          <wp:inline distT="0" distB="0" distL="0" distR="0">
            <wp:extent cx="4333875" cy="1753369"/>
            <wp:effectExtent l="0" t="0" r="0" b="0"/>
            <wp:docPr id="20675916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t="73134" b="1473"/>
                    <a:stretch>
                      <a:fillRect/>
                    </a:stretch>
                  </pic:blipFill>
                  <pic:spPr>
                    <a:xfrm>
                      <a:off x="0" y="0"/>
                      <a:ext cx="4333875" cy="1753369"/>
                    </a:xfrm>
                    <a:prstGeom prst="rect">
                      <a:avLst/>
                    </a:prstGeom>
                    <a:ln/>
                  </pic:spPr>
                </pic:pic>
              </a:graphicData>
            </a:graphic>
          </wp:inline>
        </w:drawing>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Los documentos que integren un expediente reservado en su totalidad no deberán marcarse en lo individual.</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Una vez desclasificados los expedientes, si existieren documentos que tuvieran el carácter de reservados deberán permanecer o ser marcados.”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Asimismo, deberá observar los Lineamientos Quincuagésimo cuarto, Quincuagésimo quinto, Quincuagésimo sexto, Quincuagésimo séptimo y Quincuagésimo octavo, establecen lo siguiente:</w:t>
      </w:r>
    </w:p>
    <w:p w:rsidR="00866A2F" w:rsidRPr="00732A17" w:rsidRDefault="00CB7B04">
      <w:pPr>
        <w:pBdr>
          <w:top w:val="nil"/>
          <w:left w:val="nil"/>
          <w:bottom w:val="nil"/>
          <w:right w:val="nil"/>
          <w:between w:val="nil"/>
        </w:pBdr>
        <w:spacing w:before="120" w:after="120"/>
        <w:ind w:left="851" w:right="900"/>
        <w:jc w:val="both"/>
        <w:rPr>
          <w:rFonts w:ascii="Palatino Linotype" w:eastAsia="Palatino Linotype" w:hAnsi="Palatino Linotype" w:cs="Palatino Linotype"/>
          <w:b/>
          <w:i/>
        </w:rPr>
      </w:pPr>
      <w:r w:rsidRPr="00732A17">
        <w:rPr>
          <w:rFonts w:ascii="Palatino Linotype" w:eastAsia="Palatino Linotype" w:hAnsi="Palatino Linotype" w:cs="Palatino Linotype"/>
          <w:i/>
        </w:rPr>
        <w:t>“</w:t>
      </w:r>
      <w:r w:rsidRPr="00732A17">
        <w:rPr>
          <w:rFonts w:ascii="Palatino Linotype" w:eastAsia="Palatino Linotype" w:hAnsi="Palatino Linotype" w:cs="Palatino Linotype"/>
          <w:b/>
          <w:i/>
        </w:rPr>
        <w:t xml:space="preserve">Quincuagésimo cuarto. </w:t>
      </w:r>
      <w:r w:rsidRPr="00732A17">
        <w:rPr>
          <w:rFonts w:ascii="Palatino Linotype" w:eastAsia="Palatino Linotype" w:hAnsi="Palatino Linotype" w:cs="Palatino Linotype"/>
          <w:i/>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732A17">
        <w:rPr>
          <w:rFonts w:ascii="Palatino Linotype" w:eastAsia="Palatino Linotype" w:hAnsi="Palatino Linotype" w:cs="Palatino Linotype"/>
          <w:b/>
          <w:i/>
        </w:rPr>
        <w:t xml:space="preserve"> </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 xml:space="preserve">Quincuagésimo quinto. </w:t>
      </w:r>
      <w:r w:rsidRPr="00732A17">
        <w:rPr>
          <w:rFonts w:ascii="Palatino Linotype" w:eastAsia="Palatino Linotype" w:hAnsi="Palatino Linotype" w:cs="Palatino Linotype"/>
          <w:i/>
        </w:rPr>
        <w:t xml:space="preserve">Cada área del sujeto obligado podrá designar formalmente a una o más personas como responsables del </w:t>
      </w:r>
      <w:proofErr w:type="spellStart"/>
      <w:r w:rsidRPr="00732A17">
        <w:rPr>
          <w:rFonts w:ascii="Palatino Linotype" w:eastAsia="Palatino Linotype" w:hAnsi="Palatino Linotype" w:cs="Palatino Linotype"/>
          <w:i/>
        </w:rPr>
        <w:t>testado</w:t>
      </w:r>
      <w:proofErr w:type="spellEnd"/>
      <w:r w:rsidRPr="00732A17">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rsidR="00866A2F" w:rsidRPr="00732A17" w:rsidRDefault="00CB7B04">
      <w:pPr>
        <w:spacing w:before="120" w:after="120"/>
        <w:ind w:left="851" w:right="902"/>
        <w:jc w:val="both"/>
        <w:rPr>
          <w:rFonts w:ascii="Palatino Linotype" w:eastAsia="Palatino Linotype" w:hAnsi="Palatino Linotype" w:cs="Palatino Linotype"/>
          <w:b/>
          <w:i/>
        </w:rPr>
      </w:pPr>
      <w:r w:rsidRPr="00732A17">
        <w:rPr>
          <w:rFonts w:ascii="Palatino Linotype" w:eastAsia="Palatino Linotype" w:hAnsi="Palatino Linotype" w:cs="Palatino Linotype"/>
          <w:b/>
          <w:i/>
        </w:rPr>
        <w:t>...</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Quincuagésimo séptimo</w:t>
      </w:r>
      <w:r w:rsidRPr="00732A17">
        <w:rPr>
          <w:rFonts w:ascii="Palatino Linotype" w:eastAsia="Palatino Linotype" w:hAnsi="Palatino Linotype" w:cs="Palatino Linotype"/>
          <w:i/>
        </w:rPr>
        <w:t xml:space="preserve">. Se considera, en principio, como información pública y no podrá omitirse de las versiones públicas la siguiente: </w:t>
      </w:r>
    </w:p>
    <w:p w:rsidR="00866A2F" w:rsidRPr="00732A17" w:rsidRDefault="00CB7B04">
      <w:pP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w:t>
      </w:r>
      <w:r w:rsidRPr="00732A17">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866A2F" w:rsidRPr="00732A17" w:rsidRDefault="00CB7B04">
      <w:pP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lastRenderedPageBreak/>
        <w:t>II.</w:t>
      </w:r>
      <w:r w:rsidRPr="00732A17">
        <w:rPr>
          <w:rFonts w:ascii="Palatino Linotype" w:eastAsia="Palatino Linotype" w:hAnsi="Palatino Linotype" w:cs="Palatino Linotype"/>
          <w:i/>
        </w:rPr>
        <w:t xml:space="preserve"> El nombre de los integrantes de los sujetos obligados en los documentos, y sus firmas autógrafas o digitales, cuando sean utilizados en el ejercicio de las facultades conferidas para el desempeño del servicio público, y</w:t>
      </w:r>
    </w:p>
    <w:p w:rsidR="00866A2F" w:rsidRPr="00732A17" w:rsidRDefault="00CB7B04">
      <w:pPr>
        <w:spacing w:before="120" w:after="120"/>
        <w:ind w:left="1134"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III</w:t>
      </w:r>
      <w:r w:rsidRPr="00732A17">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rsidR="00866A2F" w:rsidRPr="00732A17" w:rsidRDefault="00CB7B04">
      <w:pPr>
        <w:spacing w:before="120" w:after="120"/>
        <w:ind w:left="851" w:right="902"/>
        <w:jc w:val="both"/>
        <w:rPr>
          <w:rFonts w:ascii="Palatino Linotype" w:eastAsia="Palatino Linotype" w:hAnsi="Palatino Linotype" w:cs="Palatino Linotype"/>
          <w:i/>
        </w:rPr>
      </w:pPr>
      <w:r w:rsidRPr="00732A17">
        <w:rPr>
          <w:rFonts w:ascii="Palatino Linotype" w:eastAsia="Palatino Linotype" w:hAnsi="Palatino Linotype" w:cs="Palatino Linotype"/>
          <w:b/>
          <w:i/>
        </w:rPr>
        <w:t>Quincuagésimo octavo</w:t>
      </w:r>
      <w:r w:rsidRPr="00732A17">
        <w:rPr>
          <w:rFonts w:ascii="Palatino Linotype" w:eastAsia="Palatino Linotype" w:hAnsi="Palatino Linotype" w:cs="Palatino Linotype"/>
          <w:i/>
        </w:rPr>
        <w:t>. Los sujetos obligados garantizarán que los sistemas o medios empleados para eliminar la información en las versiones públicas sean irreversibles, de tal forma que no permitan su recuperación o la visualización de la misma.”</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866A2F" w:rsidRPr="00732A17" w:rsidRDefault="00CB7B04">
      <w:pPr>
        <w:tabs>
          <w:tab w:val="left" w:pos="1140"/>
        </w:tabs>
        <w:spacing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Así, con fundamento en lo prescrito en los artículos 5 párrafos trigésimo segundo, trigésimo tercero y trigésimo cuarto, fracciones IV y V de la Constitución Política del Estado Libre y Soberano de México; 2, fracción II; 29, 36 fracciones I y II; 176, 178, </w:t>
      </w:r>
      <w:r w:rsidRPr="00732A17">
        <w:rPr>
          <w:rFonts w:ascii="Palatino Linotype" w:eastAsia="Palatino Linotype" w:hAnsi="Palatino Linotype" w:cs="Palatino Linotype"/>
          <w:sz w:val="24"/>
          <w:szCs w:val="24"/>
        </w:rPr>
        <w:lastRenderedPageBreak/>
        <w:t>181, 185, fracción I, 186 y 188 de la Ley de Transparencia y Acceso a la Información Pública del Estado de México y Municipios, este Pleno:</w:t>
      </w:r>
    </w:p>
    <w:p w:rsidR="00866A2F" w:rsidRPr="00732A17" w:rsidRDefault="00CB7B04">
      <w:pPr>
        <w:spacing w:after="0" w:line="360" w:lineRule="auto"/>
        <w:ind w:right="-93"/>
        <w:jc w:val="center"/>
        <w:rPr>
          <w:rFonts w:ascii="Palatino Linotype" w:eastAsia="Palatino Linotype" w:hAnsi="Palatino Linotype" w:cs="Palatino Linotype"/>
          <w:b/>
          <w:sz w:val="24"/>
          <w:szCs w:val="24"/>
        </w:rPr>
      </w:pPr>
      <w:r w:rsidRPr="00732A17">
        <w:rPr>
          <w:rFonts w:ascii="Palatino Linotype" w:eastAsia="Palatino Linotype" w:hAnsi="Palatino Linotype" w:cs="Palatino Linotype"/>
          <w:b/>
          <w:sz w:val="24"/>
          <w:szCs w:val="24"/>
        </w:rPr>
        <w:t>R E S U E L V E:</w:t>
      </w:r>
    </w:p>
    <w:p w:rsidR="00866A2F" w:rsidRPr="00732A17" w:rsidRDefault="00CB7B04">
      <w:pPr>
        <w:spacing w:before="240" w:after="240" w:line="360" w:lineRule="auto"/>
        <w:jc w:val="both"/>
        <w:rPr>
          <w:rFonts w:ascii="Palatino Linotype" w:eastAsia="Palatino Linotype" w:hAnsi="Palatino Linotype" w:cs="Palatino Linotype"/>
          <w:b/>
          <w:sz w:val="24"/>
          <w:szCs w:val="24"/>
        </w:rPr>
      </w:pPr>
      <w:r w:rsidRPr="00732A17">
        <w:rPr>
          <w:rFonts w:ascii="Palatino Linotype" w:eastAsia="Palatino Linotype" w:hAnsi="Palatino Linotype" w:cs="Palatino Linotype"/>
          <w:b/>
          <w:sz w:val="24"/>
          <w:szCs w:val="24"/>
        </w:rPr>
        <w:t xml:space="preserve">PRIMERO. </w:t>
      </w:r>
      <w:r w:rsidRPr="00732A17">
        <w:rPr>
          <w:rFonts w:ascii="Palatino Linotype" w:eastAsia="Palatino Linotype" w:hAnsi="Palatino Linotype" w:cs="Palatino Linotype"/>
          <w:sz w:val="24"/>
          <w:szCs w:val="24"/>
        </w:rPr>
        <w:t xml:space="preserve">Resultan fundados los motivos de inconformidad hechos valer por la </w:t>
      </w:r>
      <w:r w:rsidRPr="00732A17">
        <w:rPr>
          <w:rFonts w:ascii="Palatino Linotype" w:eastAsia="Palatino Linotype" w:hAnsi="Palatino Linotype" w:cs="Palatino Linotype"/>
          <w:b/>
          <w:sz w:val="24"/>
          <w:szCs w:val="24"/>
        </w:rPr>
        <w:t>PARTE RECURRENTE</w:t>
      </w:r>
      <w:r w:rsidRPr="00732A17">
        <w:rPr>
          <w:rFonts w:ascii="Palatino Linotype" w:eastAsia="Palatino Linotype" w:hAnsi="Palatino Linotype" w:cs="Palatino Linotype"/>
          <w:sz w:val="24"/>
          <w:szCs w:val="24"/>
        </w:rPr>
        <w:t xml:space="preserve"> en el Recurso de Revisión </w:t>
      </w:r>
      <w:r w:rsidRPr="00732A17">
        <w:rPr>
          <w:rFonts w:ascii="Palatino Linotype" w:eastAsia="Palatino Linotype" w:hAnsi="Palatino Linotype" w:cs="Palatino Linotype"/>
          <w:b/>
          <w:sz w:val="24"/>
          <w:szCs w:val="24"/>
        </w:rPr>
        <w:t xml:space="preserve">03704/INFOEM/IP/RR/2023, </w:t>
      </w:r>
      <w:r w:rsidRPr="00732A17">
        <w:rPr>
          <w:rFonts w:ascii="Palatino Linotype" w:eastAsia="Palatino Linotype" w:hAnsi="Palatino Linotype" w:cs="Palatino Linotype"/>
          <w:sz w:val="24"/>
          <w:szCs w:val="24"/>
        </w:rPr>
        <w:t xml:space="preserve">por lo que, en términos del considerando </w:t>
      </w:r>
      <w:r w:rsidRPr="00732A17">
        <w:rPr>
          <w:rFonts w:ascii="Palatino Linotype" w:eastAsia="Palatino Linotype" w:hAnsi="Palatino Linotype" w:cs="Palatino Linotype"/>
          <w:b/>
          <w:sz w:val="24"/>
          <w:szCs w:val="24"/>
        </w:rPr>
        <w:t xml:space="preserve">Cuarto </w:t>
      </w:r>
      <w:r w:rsidRPr="00732A17">
        <w:rPr>
          <w:rFonts w:ascii="Palatino Linotype" w:eastAsia="Palatino Linotype" w:hAnsi="Palatino Linotype" w:cs="Palatino Linotype"/>
          <w:sz w:val="24"/>
          <w:szCs w:val="24"/>
        </w:rPr>
        <w:t xml:space="preserve">de esta resolución, se </w:t>
      </w:r>
      <w:r w:rsidRPr="00732A17">
        <w:rPr>
          <w:rFonts w:ascii="Palatino Linotype" w:eastAsia="Palatino Linotype" w:hAnsi="Palatino Linotype" w:cs="Palatino Linotype"/>
          <w:b/>
          <w:sz w:val="24"/>
          <w:szCs w:val="24"/>
        </w:rPr>
        <w:t xml:space="preserve">MODIFICA </w:t>
      </w:r>
      <w:r w:rsidRPr="00732A17">
        <w:rPr>
          <w:rFonts w:ascii="Palatino Linotype" w:eastAsia="Palatino Linotype" w:hAnsi="Palatino Linotype" w:cs="Palatino Linotype"/>
          <w:sz w:val="24"/>
          <w:szCs w:val="24"/>
        </w:rPr>
        <w:t xml:space="preserve">la respuesta emitida por 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bookmarkStart w:id="5" w:name="_heading=h.kelgs2428oa6" w:colFirst="0" w:colLast="0"/>
      <w:bookmarkEnd w:id="5"/>
      <w:r w:rsidRPr="00732A17">
        <w:rPr>
          <w:rFonts w:ascii="Palatino Linotype" w:eastAsia="Palatino Linotype" w:hAnsi="Palatino Linotype" w:cs="Palatino Linotype"/>
          <w:b/>
          <w:sz w:val="24"/>
          <w:szCs w:val="24"/>
        </w:rPr>
        <w:t xml:space="preserve">SEGUNDO. </w:t>
      </w:r>
      <w:r w:rsidRPr="00732A17">
        <w:rPr>
          <w:rFonts w:ascii="Palatino Linotype" w:eastAsia="Palatino Linotype" w:hAnsi="Palatino Linotype" w:cs="Palatino Linotype"/>
          <w:sz w:val="24"/>
          <w:szCs w:val="24"/>
        </w:rPr>
        <w:t>Se</w:t>
      </w:r>
      <w:r w:rsidRPr="00732A17">
        <w:rPr>
          <w:rFonts w:ascii="Palatino Linotype" w:eastAsia="Palatino Linotype" w:hAnsi="Palatino Linotype" w:cs="Palatino Linotype"/>
          <w:b/>
          <w:sz w:val="24"/>
          <w:szCs w:val="24"/>
        </w:rPr>
        <w:t xml:space="preserve"> ORDENA </w:t>
      </w:r>
      <w:r w:rsidRPr="00732A17">
        <w:rPr>
          <w:rFonts w:ascii="Palatino Linotype" w:eastAsia="Palatino Linotype" w:hAnsi="Palatino Linotype" w:cs="Palatino Linotype"/>
          <w:sz w:val="24"/>
          <w:szCs w:val="24"/>
        </w:rPr>
        <w:t xml:space="preserve">al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en términos de los Considerandos </w:t>
      </w:r>
      <w:r w:rsidRPr="00732A17">
        <w:rPr>
          <w:rFonts w:ascii="Palatino Linotype" w:eastAsia="Palatino Linotype" w:hAnsi="Palatino Linotype" w:cs="Palatino Linotype"/>
          <w:b/>
          <w:sz w:val="24"/>
          <w:szCs w:val="24"/>
        </w:rPr>
        <w:t xml:space="preserve">Cuarto y Quinto </w:t>
      </w:r>
      <w:r w:rsidRPr="00732A17">
        <w:rPr>
          <w:rFonts w:ascii="Palatino Linotype" w:eastAsia="Palatino Linotype" w:hAnsi="Palatino Linotype" w:cs="Palatino Linotype"/>
          <w:sz w:val="24"/>
          <w:szCs w:val="24"/>
        </w:rPr>
        <w:t xml:space="preserve">de esta resolución, haga entrega vía </w:t>
      </w:r>
      <w:r w:rsidRPr="00732A17">
        <w:rPr>
          <w:rFonts w:ascii="Palatino Linotype" w:eastAsia="Palatino Linotype" w:hAnsi="Palatino Linotype" w:cs="Palatino Linotype"/>
          <w:b/>
          <w:sz w:val="24"/>
          <w:szCs w:val="24"/>
        </w:rPr>
        <w:t>SAIMEX</w:t>
      </w:r>
      <w:r w:rsidRPr="00732A17">
        <w:rPr>
          <w:rFonts w:ascii="Palatino Linotype" w:eastAsia="Palatino Linotype" w:hAnsi="Palatino Linotype" w:cs="Palatino Linotype"/>
          <w:sz w:val="24"/>
          <w:szCs w:val="24"/>
        </w:rPr>
        <w:t>,  en versión pública de ser necesario, de lo siguiente:</w:t>
      </w:r>
    </w:p>
    <w:p w:rsidR="00866A2F" w:rsidRPr="00732A17" w:rsidRDefault="00CB7B04">
      <w:pPr>
        <w:spacing w:after="0" w:line="360" w:lineRule="auto"/>
        <w:ind w:left="426"/>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1. Documento que dé cuenta del último sueldo neto quincenal percibido por el personal adscrito a las Oficialías del Registro Civil referido en respuesta, al veintinueve de mayo de dos mil veintitrés.</w:t>
      </w:r>
    </w:p>
    <w:p w:rsidR="00866A2F" w:rsidRPr="00732A17" w:rsidRDefault="00CB7B04">
      <w:pPr>
        <w:spacing w:before="240" w:after="240"/>
        <w:ind w:left="284"/>
        <w:jc w:val="both"/>
        <w:rPr>
          <w:rFonts w:ascii="Palatino Linotype" w:eastAsia="Palatino Linotype" w:hAnsi="Palatino Linotype" w:cs="Palatino Linotype"/>
          <w:i/>
          <w:sz w:val="20"/>
          <w:szCs w:val="20"/>
        </w:rPr>
      </w:pPr>
      <w:r w:rsidRPr="00732A17">
        <w:rPr>
          <w:rFonts w:ascii="Palatino Linotype" w:eastAsia="Palatino Linotype" w:hAnsi="Palatino Linotype" w:cs="Palatino Linotype"/>
          <w:i/>
          <w:sz w:val="20"/>
          <w:szCs w:val="20"/>
        </w:rPr>
        <w:t xml:space="preserve">Para la entrega en versión pública, se deberá entregar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RPr="00732A17">
        <w:rPr>
          <w:rFonts w:ascii="Palatino Linotype" w:eastAsia="Palatino Linotype" w:hAnsi="Palatino Linotype" w:cs="Palatino Linotype"/>
          <w:b/>
          <w:i/>
          <w:sz w:val="20"/>
          <w:szCs w:val="20"/>
        </w:rPr>
        <w:t>Recurrente</w:t>
      </w:r>
      <w:r w:rsidRPr="00732A17">
        <w:rPr>
          <w:rFonts w:ascii="Palatino Linotype" w:eastAsia="Palatino Linotype" w:hAnsi="Palatino Linotype" w:cs="Palatino Linotype"/>
          <w:i/>
          <w:sz w:val="20"/>
          <w:szCs w:val="20"/>
        </w:rPr>
        <w:t>.</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 xml:space="preserve">TERCERO.  Notifíquese vía SAIMEX, </w:t>
      </w:r>
      <w:r w:rsidRPr="00732A17">
        <w:rPr>
          <w:rFonts w:ascii="Palatino Linotype" w:eastAsia="Palatino Linotype" w:hAnsi="Palatino Linotype" w:cs="Palatino Linotype"/>
          <w:sz w:val="24"/>
          <w:szCs w:val="24"/>
        </w:rPr>
        <w:t xml:space="preserve">la presente resolución al Titular de la Unidad de Transparencia del </w:t>
      </w:r>
      <w:r w:rsidRPr="00732A17">
        <w:rPr>
          <w:rFonts w:ascii="Palatino Linotype" w:eastAsia="Palatino Linotype" w:hAnsi="Palatino Linotype" w:cs="Palatino Linotype"/>
          <w:b/>
          <w:sz w:val="24"/>
          <w:szCs w:val="24"/>
        </w:rPr>
        <w:t>SUJETO OBLIGADO</w:t>
      </w:r>
      <w:r w:rsidRPr="00732A17">
        <w:rPr>
          <w:rFonts w:ascii="Palatino Linotype" w:eastAsia="Palatino Linotype" w:hAnsi="Palatino Linotype" w:cs="Palatino Linotype"/>
          <w:sz w:val="24"/>
          <w:szCs w:val="24"/>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w:t>
      </w:r>
      <w:r w:rsidRPr="00732A17">
        <w:rPr>
          <w:rFonts w:ascii="Palatino Linotype" w:eastAsia="Palatino Linotype" w:hAnsi="Palatino Linotype" w:cs="Palatino Linotype"/>
          <w:sz w:val="24"/>
          <w:szCs w:val="24"/>
        </w:rPr>
        <w:lastRenderedPageBreak/>
        <w:t>manera parcial, se le impondrá una medida de apremio de conformidad con lo previsto en los artículos 198, 200, fracción III; 214, 215 y 216 de la Ley  de Transparencia y Acceso a la Información Pública del Estado de México y Municipios.</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w:t>
      </w:r>
      <w:r w:rsidRPr="00732A17">
        <w:rPr>
          <w:rFonts w:ascii="Palatino Linotype" w:eastAsia="Palatino Linotype" w:hAnsi="Palatino Linotype" w:cs="Palatino Linotype"/>
          <w:b/>
          <w:sz w:val="24"/>
          <w:szCs w:val="24"/>
        </w:rPr>
        <w:t>el SUJETO OBLIGADO</w:t>
      </w:r>
      <w:r w:rsidRPr="00732A17">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 xml:space="preserve">CUARTO. Notifíquese vía SAIMEX, </w:t>
      </w:r>
      <w:r w:rsidRPr="00732A17">
        <w:rPr>
          <w:rFonts w:ascii="Palatino Linotype" w:eastAsia="Palatino Linotype" w:hAnsi="Palatino Linotype" w:cs="Palatino Linotype"/>
          <w:sz w:val="24"/>
          <w:szCs w:val="24"/>
        </w:rPr>
        <w:t>a la</w:t>
      </w:r>
      <w:r w:rsidRPr="00732A17">
        <w:rPr>
          <w:rFonts w:ascii="Palatino Linotype" w:eastAsia="Palatino Linotype" w:hAnsi="Palatino Linotype" w:cs="Palatino Linotype"/>
          <w:b/>
          <w:sz w:val="24"/>
          <w:szCs w:val="24"/>
        </w:rPr>
        <w:t xml:space="preserve"> PARTE RECURRENTE</w:t>
      </w:r>
      <w:r w:rsidRPr="00732A17">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866A2F" w:rsidRPr="00732A17" w:rsidRDefault="00CB7B04">
      <w:pPr>
        <w:spacing w:before="240" w:after="24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b/>
          <w:sz w:val="24"/>
          <w:szCs w:val="24"/>
        </w:rPr>
        <w:t>QUINTO. Gírese</w:t>
      </w:r>
      <w:r w:rsidRPr="00732A17">
        <w:rPr>
          <w:rFonts w:ascii="Palatino Linotype" w:eastAsia="Palatino Linotype" w:hAnsi="Palatino Linotype" w:cs="Palatino Linotype"/>
          <w:sz w:val="24"/>
          <w:szCs w:val="24"/>
        </w:rPr>
        <w:t xml:space="preserve">, oficio al </w:t>
      </w:r>
      <w:r w:rsidRPr="00732A17">
        <w:rPr>
          <w:rFonts w:ascii="Palatino Linotype" w:eastAsia="Palatino Linotype" w:hAnsi="Palatino Linotype" w:cs="Palatino Linotype"/>
          <w:b/>
          <w:sz w:val="24"/>
          <w:szCs w:val="24"/>
        </w:rPr>
        <w:t>Titular de la Dirección General Jurídica y de Verificación</w:t>
      </w:r>
      <w:r w:rsidRPr="00732A17">
        <w:rPr>
          <w:rFonts w:ascii="Palatino Linotype" w:eastAsia="Palatino Linotype" w:hAnsi="Palatino Linotype" w:cs="Palatino Linotype"/>
          <w:sz w:val="24"/>
          <w:szCs w:val="24"/>
        </w:rPr>
        <w:t xml:space="preserve">, de conformidad con el artículo 23, fracción XIV del Reglamento Interior del Instituto de Transparencia y Acceso a la Información Pública del Estado de México y Municipios a fin de que determine lo conducente, en términos del </w:t>
      </w:r>
      <w:r w:rsidRPr="00732A17">
        <w:rPr>
          <w:rFonts w:ascii="Palatino Linotype" w:eastAsia="Palatino Linotype" w:hAnsi="Palatino Linotype" w:cs="Palatino Linotype"/>
          <w:b/>
          <w:sz w:val="24"/>
          <w:szCs w:val="24"/>
        </w:rPr>
        <w:t xml:space="preserve">Considerando Cuarto </w:t>
      </w:r>
      <w:r w:rsidRPr="00732A17">
        <w:rPr>
          <w:rFonts w:ascii="Palatino Linotype" w:eastAsia="Palatino Linotype" w:hAnsi="Palatino Linotype" w:cs="Palatino Linotype"/>
          <w:sz w:val="24"/>
          <w:szCs w:val="24"/>
        </w:rPr>
        <w:t>de la presente resolución.</w:t>
      </w:r>
    </w:p>
    <w:p w:rsidR="00866A2F" w:rsidRPr="00732A17" w:rsidRDefault="00CB7B04">
      <w:pPr>
        <w:spacing w:after="8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sz w:val="24"/>
          <w:szCs w:val="24"/>
        </w:rPr>
        <w:t xml:space="preserve">ASÍ LO RESUELVE, POR UNANIMIDAD DE VOTOS, EL PLENO DEL INSTITUTO DE TRANSPARENCIA, ACCESO A LA INFORMACIÓN PÚBLICA Y </w:t>
      </w:r>
      <w:r w:rsidR="001C5D53" w:rsidRPr="00732A17">
        <w:rPr>
          <w:rFonts w:ascii="Palatino Linotype" w:eastAsia="Palatino Linotype" w:hAnsi="Palatino Linotype" w:cs="Palatino Linotype"/>
          <w:sz w:val="24"/>
          <w:szCs w:val="24"/>
        </w:rPr>
        <w:t xml:space="preserve">PROTECCIÓN DE DATOS PERSONALES DEL ESTADO DE MÉXICO Y MUNICIPIOS, CONFORMADO POR LOS COMISIONADOS JOSÉ MARTÍNEZ VILCHIS; MARÍA DEL ROSARIO MEJÍA AYALA; SHARON CRISTINA MORALES MARTÍNEZ; LUIS GUSTAVO PARRA NORIEGA, EMITIENDO VOTO </w:t>
      </w:r>
      <w:r w:rsidR="001C5D53" w:rsidRPr="00732A17">
        <w:rPr>
          <w:rFonts w:ascii="Palatino Linotype" w:eastAsia="Palatino Linotype" w:hAnsi="Palatino Linotype" w:cs="Palatino Linotype"/>
          <w:sz w:val="24"/>
          <w:szCs w:val="24"/>
        </w:rPr>
        <w:lastRenderedPageBreak/>
        <w:t>PARTICULAR; Y GUADALUPE RAMÍREZ PEÑA; EN LA TRIGÉSIMA OCTAVA SESIÓN ORDINARIA CELEBRADA EL DE VEINTICINCO OCTUBRE DE DOS MIL VEINTITRÉS, ANTE EL SECRETARIO TÉCNICO DEL PLENO ALEXIS TAPIA RAMÍREZ.</w:t>
      </w:r>
    </w:p>
    <w:p w:rsidR="001C5D53" w:rsidRPr="00732A17" w:rsidRDefault="001C5D53">
      <w:pPr>
        <w:spacing w:after="80" w:line="360" w:lineRule="auto"/>
        <w:jc w:val="both"/>
        <w:rPr>
          <w:rFonts w:ascii="Palatino Linotype" w:eastAsia="Palatino Linotype" w:hAnsi="Palatino Linotype" w:cs="Palatino Linotype"/>
          <w:sz w:val="24"/>
          <w:szCs w:val="24"/>
        </w:rPr>
      </w:pPr>
      <w:r w:rsidRPr="00732A17">
        <w:rPr>
          <w:rFonts w:ascii="Palatino Linotype" w:eastAsia="Palatino Linotype" w:hAnsi="Palatino Linotype" w:cs="Palatino Linotype"/>
          <w:noProof/>
          <w:sz w:val="24"/>
          <w:szCs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29210</wp:posOffset>
                </wp:positionV>
                <wp:extent cx="5572125" cy="6429375"/>
                <wp:effectExtent l="19050" t="19050" r="28575" b="28575"/>
                <wp:wrapNone/>
                <wp:docPr id="1" name="Conector recto 1"/>
                <wp:cNvGraphicFramePr/>
                <a:graphic xmlns:a="http://schemas.openxmlformats.org/drawingml/2006/main">
                  <a:graphicData uri="http://schemas.microsoft.com/office/word/2010/wordprocessingShape">
                    <wps:wsp>
                      <wps:cNvCnPr/>
                      <wps:spPr>
                        <a:xfrm>
                          <a:off x="0" y="0"/>
                          <a:ext cx="5572125" cy="6429375"/>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75FC0" id="Conector recto 1" o:spid="_x0000_s1026" style="position:absolute;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7.55pt,2.3pt" to="826.3pt,50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" strokecolor="black [3213]" strokeweight="3pt">
                <v:stroke joinstyle="miter"/>
                <w10:wrap anchorx="margin"/>
              </v:line>
            </w:pict>
          </mc:Fallback>
        </mc:AlternateContent>
      </w:r>
    </w:p>
    <w:p w:rsidR="00866A2F" w:rsidRPr="00732A17" w:rsidRDefault="00866A2F">
      <w:pPr>
        <w:spacing w:before="80" w:after="240" w:line="360" w:lineRule="auto"/>
        <w:jc w:val="both"/>
        <w:rPr>
          <w:rFonts w:ascii="Palatino Linotype" w:eastAsia="Palatino Linotype" w:hAnsi="Palatino Linotype" w:cs="Palatino Linotype"/>
        </w:rPr>
      </w:pPr>
    </w:p>
    <w:p w:rsidR="00866A2F" w:rsidRPr="00732A17" w:rsidRDefault="00866A2F">
      <w:pPr>
        <w:spacing w:line="360" w:lineRule="auto"/>
        <w:jc w:val="both"/>
        <w:rPr>
          <w:rFonts w:ascii="Palatino Linotype" w:eastAsia="Palatino Linotype" w:hAnsi="Palatino Linotype" w:cs="Palatino Linotype"/>
          <w:sz w:val="24"/>
          <w:szCs w:val="24"/>
        </w:rPr>
      </w:pPr>
    </w:p>
    <w:p w:rsidR="00866A2F" w:rsidRPr="00732A17" w:rsidRDefault="00866A2F">
      <w:pPr>
        <w:spacing w:line="360" w:lineRule="auto"/>
        <w:jc w:val="both"/>
        <w:rPr>
          <w:rFonts w:ascii="Palatino Linotype" w:eastAsia="Palatino Linotype" w:hAnsi="Palatino Linotype" w:cs="Palatino Linotype"/>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p w:rsidR="00866A2F" w:rsidRPr="00732A17" w:rsidRDefault="00866A2F">
      <w:pPr>
        <w:spacing w:line="360" w:lineRule="auto"/>
        <w:jc w:val="both"/>
        <w:rPr>
          <w:rFonts w:ascii="Palatino Linotype" w:eastAsia="Palatino Linotype" w:hAnsi="Palatino Linotype" w:cs="Palatino Linotype"/>
          <w:b/>
          <w:sz w:val="24"/>
          <w:szCs w:val="24"/>
        </w:rPr>
      </w:pPr>
    </w:p>
    <w:sectPr w:rsidR="00866A2F" w:rsidRPr="00732A17">
      <w:headerReference w:type="default" r:id="rId19"/>
      <w:footerReference w:type="default" r:id="rId20"/>
      <w:headerReference w:type="first" r:id="rId21"/>
      <w:footerReference w:type="first" r:id="rId2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6E97" w:rsidRDefault="000D6E97">
      <w:pPr>
        <w:spacing w:after="0" w:line="240" w:lineRule="auto"/>
      </w:pPr>
      <w:r>
        <w:separator/>
      </w:r>
    </w:p>
  </w:endnote>
  <w:endnote w:type="continuationSeparator" w:id="0">
    <w:p w:rsidR="000D6E97" w:rsidRDefault="000D6E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A2F" w:rsidRDefault="00CB7B04">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14B99">
      <w:rPr>
        <w:rFonts w:ascii="Arial" w:eastAsia="Arial" w:hAnsi="Arial" w:cs="Arial"/>
        <w:b/>
        <w:noProof/>
        <w:color w:val="000000"/>
        <w:sz w:val="20"/>
        <w:szCs w:val="20"/>
      </w:rPr>
      <w:t>18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14B99">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rsidR="00866A2F" w:rsidRDefault="00866A2F">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A2F" w:rsidRDefault="00CB7B04">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114B99">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114B99">
      <w:rPr>
        <w:rFonts w:ascii="Arial" w:eastAsia="Arial" w:hAnsi="Arial" w:cs="Arial"/>
        <w:b/>
        <w:noProof/>
        <w:color w:val="000000"/>
        <w:sz w:val="20"/>
        <w:szCs w:val="20"/>
      </w:rPr>
      <w:t>58</w:t>
    </w:r>
    <w:r>
      <w:rPr>
        <w:rFonts w:ascii="Arial" w:eastAsia="Arial" w:hAnsi="Arial" w:cs="Arial"/>
        <w:b/>
        <w:color w:val="000000"/>
        <w:sz w:val="20"/>
        <w:szCs w:val="20"/>
      </w:rPr>
      <w:fldChar w:fldCharType="end"/>
    </w:r>
  </w:p>
  <w:p w:rsidR="00866A2F" w:rsidRDefault="00866A2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6E97" w:rsidRDefault="000D6E97">
      <w:pPr>
        <w:spacing w:after="0" w:line="240" w:lineRule="auto"/>
      </w:pPr>
      <w:r>
        <w:separator/>
      </w:r>
    </w:p>
  </w:footnote>
  <w:footnote w:type="continuationSeparator" w:id="0">
    <w:p w:rsidR="000D6E97" w:rsidRDefault="000D6E97">
      <w:pPr>
        <w:spacing w:after="0" w:line="240" w:lineRule="auto"/>
      </w:pPr>
      <w:r>
        <w:continuationSeparator/>
      </w:r>
    </w:p>
  </w:footnote>
  <w:footnote w:id="1">
    <w:p w:rsidR="00866A2F" w:rsidRDefault="00CB7B04">
      <w:pPr>
        <w:pBdr>
          <w:top w:val="nil"/>
          <w:left w:val="nil"/>
          <w:bottom w:val="nil"/>
          <w:right w:val="nil"/>
          <w:between w:val="nil"/>
        </w:pBdr>
        <w:spacing w:after="0" w:line="240" w:lineRule="auto"/>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footnote>
  <w:footnote w:id="2">
    <w:p w:rsidR="00866A2F" w:rsidRDefault="00CB7B04">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rsidR="00866A2F" w:rsidRDefault="00CB7B04">
      <w:pPr>
        <w:pBdr>
          <w:top w:val="nil"/>
          <w:left w:val="nil"/>
          <w:bottom w:val="nil"/>
          <w:right w:val="nil"/>
          <w:between w:val="nil"/>
        </w:pBdr>
        <w:spacing w:after="0" w:line="240" w:lineRule="auto"/>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161</w:t>
      </w:r>
      <w:r>
        <w:rPr>
          <w:rFonts w:ascii="Palatino Linotype" w:eastAsia="Palatino Linotype" w:hAnsi="Palatino Linotype" w:cs="Palatino Linotype"/>
          <w:color w:val="000000"/>
          <w:sz w:val="16"/>
          <w:szCs w:val="16"/>
        </w:rPr>
        <w:t>.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footnote>
  <w:footnote w:id="4">
    <w:p w:rsidR="00866A2F" w:rsidRDefault="00CB7B04">
      <w:pPr>
        <w:pBdr>
          <w:top w:val="nil"/>
          <w:left w:val="nil"/>
          <w:bottom w:val="nil"/>
          <w:right w:val="nil"/>
          <w:between w:val="nil"/>
        </w:pBdr>
        <w:tabs>
          <w:tab w:val="right" w:pos="0"/>
        </w:tabs>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Resolución RRA2431/17 del Instituto Nacional de Transparencia, Acceso a la Información Pública y Protección de Datos Personales.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A2F" w:rsidRDefault="00CB7B04">
    <w:pPr>
      <w:widowControl w:val="0"/>
      <w:pBdr>
        <w:top w:val="nil"/>
        <w:left w:val="nil"/>
        <w:bottom w:val="nil"/>
        <w:right w:val="nil"/>
        <w:between w:val="nil"/>
      </w:pBdr>
      <w:spacing w:after="0" w:line="276" w:lineRule="auto"/>
      <w:rPr>
        <w:color w:val="000000"/>
      </w:rPr>
    </w:pPr>
    <w:r>
      <w:rPr>
        <w:noProof/>
      </w:rPr>
      <w:drawing>
        <wp:anchor distT="0" distB="0" distL="0" distR="0" simplePos="0" relativeHeight="251658240" behindDoc="1" locked="0" layoutInCell="1" hidden="0" allowOverlap="1">
          <wp:simplePos x="0" y="0"/>
          <wp:positionH relativeFrom="column">
            <wp:posOffset>-1045209</wp:posOffset>
          </wp:positionH>
          <wp:positionV relativeFrom="paragraph">
            <wp:posOffset>-538479</wp:posOffset>
          </wp:positionV>
          <wp:extent cx="7867650" cy="10133330"/>
          <wp:effectExtent l="0" t="0" r="0" b="0"/>
          <wp:wrapNone/>
          <wp:docPr id="2067591621"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tbl>
    <w:tblPr>
      <w:tblStyle w:val="a6"/>
      <w:tblW w:w="5953" w:type="dxa"/>
      <w:tblInd w:w="3261" w:type="dxa"/>
      <w:tblLayout w:type="fixed"/>
      <w:tblLook w:val="0400" w:firstRow="0" w:lastRow="0" w:firstColumn="0" w:lastColumn="0" w:noHBand="0" w:noVBand="1"/>
    </w:tblPr>
    <w:tblGrid>
      <w:gridCol w:w="2489"/>
      <w:gridCol w:w="3464"/>
    </w:tblGrid>
    <w:tr w:rsidR="00866A2F">
      <w:tc>
        <w:tcPr>
          <w:tcW w:w="2489" w:type="dxa"/>
          <w:shd w:val="clear" w:color="auto" w:fill="auto"/>
        </w:tcPr>
        <w:p w:rsidR="00866A2F" w:rsidRDefault="00CB7B0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64" w:type="dxa"/>
          <w:shd w:val="clear" w:color="auto" w:fill="auto"/>
          <w:vAlign w:val="center"/>
        </w:tcPr>
        <w:p w:rsidR="00866A2F" w:rsidRDefault="00CB7B04">
          <w:pPr>
            <w:spacing w:after="0" w:line="240" w:lineRule="auto"/>
            <w:ind w:right="175"/>
            <w:jc w:val="both"/>
            <w:rPr>
              <w:rFonts w:ascii="Palatino Linotype" w:eastAsia="Palatino Linotype" w:hAnsi="Palatino Linotype" w:cs="Palatino Linotype"/>
              <w:b/>
            </w:rPr>
          </w:pPr>
          <w:r>
            <w:rPr>
              <w:rFonts w:ascii="Palatino Linotype" w:eastAsia="Palatino Linotype" w:hAnsi="Palatino Linotype" w:cs="Palatino Linotype"/>
              <w:b/>
            </w:rPr>
            <w:t>03704/INFOEM/IP/RR/2023</w:t>
          </w:r>
        </w:p>
      </w:tc>
    </w:tr>
    <w:tr w:rsidR="00866A2F">
      <w:trPr>
        <w:trHeight w:val="228"/>
      </w:trPr>
      <w:tc>
        <w:tcPr>
          <w:tcW w:w="2489" w:type="dxa"/>
          <w:shd w:val="clear" w:color="auto" w:fill="auto"/>
          <w:vAlign w:val="center"/>
        </w:tcPr>
        <w:p w:rsidR="00866A2F" w:rsidRDefault="00CB7B0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64" w:type="dxa"/>
          <w:shd w:val="clear" w:color="auto" w:fill="auto"/>
          <w:vAlign w:val="center"/>
        </w:tcPr>
        <w:p w:rsidR="00866A2F" w:rsidRDefault="00CB7B04">
          <w:pPr>
            <w:spacing w:after="0" w:line="240" w:lineRule="auto"/>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Atlacomulco</w:t>
          </w:r>
        </w:p>
      </w:tc>
    </w:tr>
    <w:tr w:rsidR="00866A2F">
      <w:tc>
        <w:tcPr>
          <w:tcW w:w="2489" w:type="dxa"/>
          <w:shd w:val="clear" w:color="auto" w:fill="auto"/>
          <w:vAlign w:val="center"/>
        </w:tcPr>
        <w:p w:rsidR="00866A2F" w:rsidRDefault="00CB7B04">
          <w:pPr>
            <w:spacing w:after="0" w:line="240" w:lineRule="auto"/>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64" w:type="dxa"/>
          <w:shd w:val="clear" w:color="auto" w:fill="auto"/>
          <w:vAlign w:val="center"/>
        </w:tcPr>
        <w:p w:rsidR="00866A2F" w:rsidRDefault="00CB7B04">
          <w:pPr>
            <w:spacing w:after="0" w:line="240" w:lineRule="auto"/>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866A2F" w:rsidRDefault="00866A2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6A2F" w:rsidRDefault="00CB7B04">
    <w:pPr>
      <w:widowControl w:val="0"/>
      <w:pBdr>
        <w:top w:val="nil"/>
        <w:left w:val="nil"/>
        <w:bottom w:val="nil"/>
        <w:right w:val="nil"/>
        <w:between w:val="nil"/>
      </w:pBdr>
      <w:spacing w:after="0"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simplePos x="0" y="0"/>
          <wp:positionH relativeFrom="column">
            <wp:posOffset>0</wp:posOffset>
          </wp:positionH>
          <wp:positionV relativeFrom="paragraph">
            <wp:posOffset>-314324</wp:posOffset>
          </wp:positionV>
          <wp:extent cx="7353300" cy="8658225"/>
          <wp:effectExtent l="0" t="0" r="0" b="0"/>
          <wp:wrapNone/>
          <wp:docPr id="206759162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
                  <a:srcRect/>
                  <a:stretch>
                    <a:fillRect/>
                  </a:stretch>
                </pic:blipFill>
                <pic:spPr>
                  <a:xfrm>
                    <a:off x="0" y="0"/>
                    <a:ext cx="7353300" cy="8658225"/>
                  </a:xfrm>
                  <a:prstGeom prst="rect">
                    <a:avLst/>
                  </a:prstGeom>
                  <a:ln/>
                </pic:spPr>
              </pic:pic>
            </a:graphicData>
          </a:graphic>
        </wp:anchor>
      </w:drawing>
    </w:r>
  </w:p>
  <w:tbl>
    <w:tblPr>
      <w:tblStyle w:val="a5"/>
      <w:tblW w:w="5670" w:type="dxa"/>
      <w:tblInd w:w="3261" w:type="dxa"/>
      <w:tblLayout w:type="fixed"/>
      <w:tblLook w:val="0400" w:firstRow="0" w:lastRow="0" w:firstColumn="0" w:lastColumn="0" w:noHBand="0" w:noVBand="1"/>
    </w:tblPr>
    <w:tblGrid>
      <w:gridCol w:w="2551"/>
      <w:gridCol w:w="3119"/>
    </w:tblGrid>
    <w:tr w:rsidR="00866A2F">
      <w:tc>
        <w:tcPr>
          <w:tcW w:w="2551" w:type="dxa"/>
          <w:shd w:val="clear" w:color="auto" w:fill="auto"/>
          <w:vAlign w:val="center"/>
        </w:tcPr>
        <w:p w:rsidR="00866A2F" w:rsidRDefault="00CB7B0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119" w:type="dxa"/>
          <w:shd w:val="clear" w:color="auto" w:fill="auto"/>
          <w:vAlign w:val="center"/>
        </w:tcPr>
        <w:p w:rsidR="00866A2F" w:rsidRDefault="00CB7B04">
          <w:pPr>
            <w:tabs>
              <w:tab w:val="left" w:pos="3153"/>
            </w:tabs>
            <w:spacing w:after="0" w:line="240" w:lineRule="auto"/>
            <w:ind w:left="-45"/>
            <w:jc w:val="both"/>
            <w:rPr>
              <w:rFonts w:ascii="Palatino Linotype" w:eastAsia="Palatino Linotype" w:hAnsi="Palatino Linotype" w:cs="Palatino Linotype"/>
              <w:b/>
            </w:rPr>
          </w:pPr>
          <w:r>
            <w:rPr>
              <w:rFonts w:ascii="Palatino Linotype" w:eastAsia="Palatino Linotype" w:hAnsi="Palatino Linotype" w:cs="Palatino Linotype"/>
              <w:b/>
            </w:rPr>
            <w:t>03704/INFOEM/IP/RR/2023</w:t>
          </w:r>
        </w:p>
      </w:tc>
    </w:tr>
    <w:tr w:rsidR="00866A2F">
      <w:trPr>
        <w:trHeight w:val="130"/>
      </w:trPr>
      <w:tc>
        <w:tcPr>
          <w:tcW w:w="2551" w:type="dxa"/>
          <w:shd w:val="clear" w:color="auto" w:fill="auto"/>
          <w:vAlign w:val="center"/>
        </w:tcPr>
        <w:p w:rsidR="00866A2F" w:rsidRDefault="00CB7B0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119" w:type="dxa"/>
          <w:shd w:val="clear" w:color="auto" w:fill="auto"/>
          <w:vAlign w:val="center"/>
        </w:tcPr>
        <w:p w:rsidR="00866A2F" w:rsidRDefault="00114B99" w:rsidP="00114B99">
          <w:pPr>
            <w:spacing w:after="0" w:line="240" w:lineRule="auto"/>
            <w:ind w:left="-45"/>
            <w:jc w:val="both"/>
            <w:rPr>
              <w:rFonts w:ascii="Palatino Linotype" w:eastAsia="Palatino Linotype" w:hAnsi="Palatino Linotype" w:cs="Palatino Linotype"/>
              <w:b/>
            </w:rPr>
          </w:pPr>
          <w:r>
            <w:rPr>
              <w:rFonts w:ascii="Palatino Linotype" w:eastAsia="Palatino Linotype" w:hAnsi="Palatino Linotype" w:cs="Palatino Linotype"/>
              <w:b/>
            </w:rPr>
            <w:t>XXXXXX XXXXXXX XXXXXXX</w:t>
          </w:r>
        </w:p>
      </w:tc>
    </w:tr>
    <w:tr w:rsidR="00866A2F">
      <w:trPr>
        <w:trHeight w:val="228"/>
      </w:trPr>
      <w:tc>
        <w:tcPr>
          <w:tcW w:w="2551" w:type="dxa"/>
          <w:shd w:val="clear" w:color="auto" w:fill="auto"/>
          <w:vAlign w:val="center"/>
        </w:tcPr>
        <w:p w:rsidR="00866A2F" w:rsidRDefault="00CB7B0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119" w:type="dxa"/>
          <w:shd w:val="clear" w:color="auto" w:fill="auto"/>
          <w:vAlign w:val="center"/>
        </w:tcPr>
        <w:p w:rsidR="00866A2F" w:rsidRDefault="00CB7B04">
          <w:pPr>
            <w:spacing w:after="0" w:line="240" w:lineRule="auto"/>
            <w:ind w:left="-45" w:right="176"/>
            <w:jc w:val="both"/>
            <w:rPr>
              <w:rFonts w:ascii="Palatino Linotype" w:eastAsia="Palatino Linotype" w:hAnsi="Palatino Linotype" w:cs="Palatino Linotype"/>
              <w:b/>
            </w:rPr>
          </w:pPr>
          <w:r>
            <w:rPr>
              <w:rFonts w:ascii="Palatino Linotype" w:eastAsia="Palatino Linotype" w:hAnsi="Palatino Linotype" w:cs="Palatino Linotype"/>
              <w:b/>
            </w:rPr>
            <w:t>Ayuntamiento de Atlacomulco</w:t>
          </w:r>
        </w:p>
      </w:tc>
    </w:tr>
    <w:tr w:rsidR="00866A2F">
      <w:tc>
        <w:tcPr>
          <w:tcW w:w="2551" w:type="dxa"/>
          <w:shd w:val="clear" w:color="auto" w:fill="auto"/>
          <w:vAlign w:val="center"/>
        </w:tcPr>
        <w:p w:rsidR="00866A2F" w:rsidRDefault="00CB7B04">
          <w:pPr>
            <w:spacing w:after="0" w:line="240" w:lineRule="auto"/>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119" w:type="dxa"/>
          <w:shd w:val="clear" w:color="auto" w:fill="auto"/>
          <w:vAlign w:val="center"/>
        </w:tcPr>
        <w:p w:rsidR="00866A2F" w:rsidRDefault="00CB7B04">
          <w:pPr>
            <w:spacing w:after="0" w:line="240" w:lineRule="auto"/>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866A2F" w:rsidRDefault="00866A2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3596432"/>
    <w:multiLevelType w:val="multilevel"/>
    <w:tmpl w:val="2012A93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7FFB23E1"/>
    <w:multiLevelType w:val="multilevel"/>
    <w:tmpl w:val="4FA0040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A2F"/>
    <w:rsid w:val="000D6E97"/>
    <w:rsid w:val="00114B99"/>
    <w:rsid w:val="001C5D53"/>
    <w:rsid w:val="00232F12"/>
    <w:rsid w:val="00726759"/>
    <w:rsid w:val="00732A17"/>
    <w:rsid w:val="00866A2F"/>
    <w:rsid w:val="00CA60C8"/>
    <w:rsid w:val="00CB7B04"/>
    <w:rsid w:val="00E722F6"/>
    <w:rsid w:val="00EB3E14"/>
    <w:rsid w:val="00FC576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EA1A3C-C817-46FB-9E1A-FBDFA1D87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1BF9"/>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01B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1BF9"/>
  </w:style>
  <w:style w:type="paragraph" w:styleId="Piedepgina">
    <w:name w:val="footer"/>
    <w:basedOn w:val="Normal"/>
    <w:link w:val="PiedepginaCar"/>
    <w:uiPriority w:val="99"/>
    <w:unhideWhenUsed/>
    <w:rsid w:val="00A01B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1BF9"/>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D3483"/>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7786C"/>
    <w:rPr>
      <w:rFonts w:ascii="Calibri" w:eastAsia="Calibri" w:hAnsi="Calibri" w:cs="Calibri"/>
      <w:lang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character" w:styleId="Hipervnculo">
    <w:name w:val="Hyperlink"/>
    <w:basedOn w:val="Fuentedeprrafopredeter"/>
    <w:uiPriority w:val="99"/>
    <w:unhideWhenUsed/>
    <w:rsid w:val="00782354"/>
    <w:rPr>
      <w:color w:val="0000FF"/>
      <w:u w:val="single"/>
    </w:rPr>
  </w:style>
  <w:style w:type="character" w:styleId="Hipervnculovisitado">
    <w:name w:val="FollowedHyperlink"/>
    <w:basedOn w:val="Fuentedeprrafopredeter"/>
    <w:uiPriority w:val="99"/>
    <w:semiHidden/>
    <w:unhideWhenUsed/>
    <w:rsid w:val="00152263"/>
    <w:rPr>
      <w:color w:val="954F72" w:themeColor="followedHyperlink"/>
      <w:u w:val="single"/>
    </w:rPr>
  </w:style>
  <w:style w:type="paragraph" w:styleId="Sinespaciado">
    <w:name w:val="No Spacing"/>
    <w:aliases w:val="Francesa"/>
    <w:link w:val="SinespaciadoCar"/>
    <w:uiPriority w:val="1"/>
    <w:qFormat/>
    <w:rsid w:val="00925682"/>
    <w:pPr>
      <w:spacing w:after="0" w:line="240" w:lineRule="auto"/>
    </w:pPr>
    <w:rPr>
      <w:rFonts w:asciiTheme="minorHAnsi" w:eastAsiaTheme="minorHAnsi" w:hAnsiTheme="minorHAnsi" w:cstheme="minorBidi"/>
      <w:lang w:eastAsia="en-US"/>
    </w:rPr>
  </w:style>
  <w:style w:type="character" w:customStyle="1" w:styleId="SinespaciadoCar">
    <w:name w:val="Sin espaciado Car"/>
    <w:aliases w:val="Francesa Car"/>
    <w:link w:val="Sinespaciado"/>
    <w:uiPriority w:val="1"/>
    <w:locked/>
    <w:rsid w:val="00925682"/>
    <w:rPr>
      <w:rFonts w:asciiTheme="minorHAnsi" w:eastAsiaTheme="minorHAnsi" w:hAnsiTheme="minorHAnsi" w:cstheme="minorBidi"/>
      <w:lang w:eastAsia="en-US"/>
    </w:rPr>
  </w:style>
  <w:style w:type="paragraph" w:styleId="NormalWeb">
    <w:name w:val="Normal (Web)"/>
    <w:basedOn w:val="Normal"/>
    <w:uiPriority w:val="99"/>
    <w:rsid w:val="004324FC"/>
    <w:pPr>
      <w:spacing w:before="100" w:beforeAutospacing="1" w:after="100" w:afterAutospacing="1" w:line="240" w:lineRule="auto"/>
    </w:pPr>
    <w:rPr>
      <w:rFonts w:ascii="Times New Roman" w:eastAsia="Times New Roman" w:hAnsi="Times New Roman" w:cs="Times New Roman"/>
      <w:sz w:val="24"/>
      <w:szCs w:val="24"/>
      <w:lang w:val="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763147"/>
    <w:pPr>
      <w:spacing w:after="0" w:line="240"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763147"/>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763147"/>
    <w:rPr>
      <w:vertAlign w:val="superscript"/>
    </w:rPr>
  </w:style>
  <w:style w:type="table" w:styleId="Tablaconcuadrcula">
    <w:name w:val="Table Grid"/>
    <w:basedOn w:val="Tablanormal"/>
    <w:uiPriority w:val="39"/>
    <w:rsid w:val="00CC42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monografias.com/trabajos14/verific-servicios/verific-servicios.shtml"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goo.su/l6dUss"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5PDKB+dsoTcwOD04Ad1TR1X0zqg==">CgMxLjAyCWguMzBqMHpsbDIJaC4xZm9iOXRlMgloLjN6bnlzaDcyCWguMmV0OTJwMDIOaC5rZWxnczI0MjhvYTY4AHIhMUpvRHIxSFBxcjd6bnBlazIxUXFlNmdVRnB4QUFTQ2tO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14036</Words>
  <Characters>77204</Characters>
  <Application>Microsoft Office Word</Application>
  <DocSecurity>0</DocSecurity>
  <Lines>643</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cp:lastPrinted>2023-10-27T18:48:00Z</cp:lastPrinted>
  <dcterms:created xsi:type="dcterms:W3CDTF">2023-11-07T20:24:00Z</dcterms:created>
  <dcterms:modified xsi:type="dcterms:W3CDTF">2023-11-07T20:24:00Z</dcterms:modified>
</cp:coreProperties>
</file>