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F3E" w:rsidRPr="00FA12E7" w:rsidRDefault="0013410E">
      <w:pPr>
        <w:spacing w:before="240" w:after="240" w:line="360" w:lineRule="auto"/>
        <w:jc w:val="both"/>
        <w:rPr>
          <w:rFonts w:ascii="Palatino Linotype" w:eastAsia="Palatino Linotype" w:hAnsi="Palatino Linotype" w:cs="Palatino Linotype"/>
        </w:rPr>
      </w:pPr>
      <w:bookmarkStart w:id="0" w:name="_GoBack"/>
      <w:bookmarkEnd w:id="0"/>
      <w:r w:rsidRPr="00FA12E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quince de febrero de dos mil veintitrés. </w:t>
      </w:r>
    </w:p>
    <w:p w:rsidR="00867F3E" w:rsidRPr="00FA12E7" w:rsidRDefault="0013410E">
      <w:pPr>
        <w:spacing w:before="240" w:after="240" w:line="360" w:lineRule="auto"/>
        <w:jc w:val="both"/>
        <w:rPr>
          <w:rFonts w:ascii="Palatino Linotype" w:eastAsia="Palatino Linotype" w:hAnsi="Palatino Linotype" w:cs="Palatino Linotype"/>
        </w:rPr>
      </w:pPr>
      <w:bookmarkStart w:id="1" w:name="_heading=h.35nkun2" w:colFirst="0" w:colLast="0"/>
      <w:bookmarkEnd w:id="1"/>
      <w:r w:rsidRPr="00FA12E7">
        <w:rPr>
          <w:rFonts w:ascii="Palatino Linotype" w:eastAsia="Palatino Linotype" w:hAnsi="Palatino Linotype" w:cs="Palatino Linotype"/>
          <w:b/>
        </w:rPr>
        <w:t>VISTO</w:t>
      </w:r>
      <w:r w:rsidRPr="00FA12E7">
        <w:rPr>
          <w:rFonts w:ascii="Palatino Linotype" w:eastAsia="Palatino Linotype" w:hAnsi="Palatino Linotype" w:cs="Palatino Linotype"/>
        </w:rPr>
        <w:t xml:space="preserve"> el expediente formado con motivo del recurso de revisión </w:t>
      </w:r>
      <w:r w:rsidRPr="00FA12E7">
        <w:rPr>
          <w:rFonts w:ascii="Palatino Linotype" w:eastAsia="Palatino Linotype" w:hAnsi="Palatino Linotype" w:cs="Palatino Linotype"/>
          <w:b/>
        </w:rPr>
        <w:t>13194/INFOEM/IP/RR/2022</w:t>
      </w:r>
      <w:r w:rsidRPr="00FA12E7">
        <w:rPr>
          <w:rFonts w:ascii="Palatino Linotype" w:eastAsia="Palatino Linotype" w:hAnsi="Palatino Linotype" w:cs="Palatino Linotype"/>
        </w:rPr>
        <w:t>, interpuesto por</w:t>
      </w:r>
      <w:r w:rsidRPr="00FA12E7">
        <w:rPr>
          <w:rFonts w:ascii="Palatino Linotype" w:eastAsia="Palatino Linotype" w:hAnsi="Palatino Linotype" w:cs="Palatino Linotype"/>
          <w:b/>
        </w:rPr>
        <w:t xml:space="preserve"> un particular que no proporcionó nombre o seudónimo</w:t>
      </w:r>
      <w:r w:rsidRPr="00FA12E7">
        <w:rPr>
          <w:rFonts w:ascii="Palatino Linotype" w:eastAsia="Palatino Linotype" w:hAnsi="Palatino Linotype" w:cs="Palatino Linotype"/>
        </w:rPr>
        <w:t>, en lo sucesivo</w:t>
      </w:r>
      <w:r w:rsidRPr="00FA12E7">
        <w:rPr>
          <w:rFonts w:ascii="Palatino Linotype" w:eastAsia="Palatino Linotype" w:hAnsi="Palatino Linotype" w:cs="Palatino Linotype"/>
          <w:b/>
        </w:rPr>
        <w:t xml:space="preserve"> </w:t>
      </w:r>
      <w:r w:rsidRPr="00FA12E7">
        <w:rPr>
          <w:rFonts w:ascii="Palatino Linotype" w:eastAsia="Palatino Linotype" w:hAnsi="Palatino Linotype" w:cs="Palatino Linotype"/>
        </w:rPr>
        <w:t xml:space="preserve">la parte </w:t>
      </w:r>
      <w:r w:rsidRPr="00FA12E7">
        <w:rPr>
          <w:rFonts w:ascii="Palatino Linotype" w:eastAsia="Palatino Linotype" w:hAnsi="Palatino Linotype" w:cs="Palatino Linotype"/>
          <w:b/>
        </w:rPr>
        <w:t>Recurrente,</w:t>
      </w:r>
      <w:r w:rsidRPr="00FA12E7">
        <w:rPr>
          <w:rFonts w:ascii="Palatino Linotype" w:eastAsia="Palatino Linotype" w:hAnsi="Palatino Linotype" w:cs="Palatino Linotype"/>
        </w:rPr>
        <w:t xml:space="preserve"> en contra de la respuesta a su solicitud por parte del </w:t>
      </w:r>
      <w:r w:rsidRPr="00FA12E7">
        <w:rPr>
          <w:rFonts w:ascii="Palatino Linotype" w:eastAsia="Palatino Linotype" w:hAnsi="Palatino Linotype" w:cs="Palatino Linotype"/>
          <w:b/>
        </w:rPr>
        <w:t xml:space="preserve">Ayuntamiento de Metepec, </w:t>
      </w:r>
      <w:r w:rsidRPr="00FA12E7">
        <w:rPr>
          <w:rFonts w:ascii="Palatino Linotype" w:eastAsia="Palatino Linotype" w:hAnsi="Palatino Linotype" w:cs="Palatino Linotype"/>
        </w:rPr>
        <w:t xml:space="preserve">en lo sucesivo el </w:t>
      </w:r>
      <w:r w:rsidRPr="00FA12E7">
        <w:rPr>
          <w:rFonts w:ascii="Palatino Linotype" w:eastAsia="Palatino Linotype" w:hAnsi="Palatino Linotype" w:cs="Palatino Linotype"/>
          <w:b/>
        </w:rPr>
        <w:t xml:space="preserve">Sujeto Obligado, </w:t>
      </w:r>
      <w:r w:rsidRPr="00FA12E7">
        <w:rPr>
          <w:rFonts w:ascii="Palatino Linotype" w:eastAsia="Palatino Linotype" w:hAnsi="Palatino Linotype" w:cs="Palatino Linotype"/>
        </w:rPr>
        <w:t xml:space="preserve">se procede a dictar la presente resolución con base en los siguientes: </w:t>
      </w:r>
    </w:p>
    <w:p w:rsidR="00867F3E" w:rsidRPr="00FA12E7" w:rsidRDefault="0013410E">
      <w:pPr>
        <w:spacing w:before="240" w:after="240" w:line="360" w:lineRule="auto"/>
        <w:jc w:val="center"/>
        <w:rPr>
          <w:rFonts w:ascii="Palatino Linotype" w:eastAsia="Palatino Linotype" w:hAnsi="Palatino Linotype" w:cs="Palatino Linotype"/>
          <w:b/>
        </w:rPr>
      </w:pPr>
      <w:r w:rsidRPr="00FA12E7">
        <w:rPr>
          <w:rFonts w:ascii="Palatino Linotype" w:eastAsia="Palatino Linotype" w:hAnsi="Palatino Linotype" w:cs="Palatino Linotype"/>
          <w:b/>
        </w:rPr>
        <w:t>I. A N T E C E D E N T E S</w:t>
      </w:r>
    </w:p>
    <w:p w:rsidR="00867F3E" w:rsidRPr="00FA12E7" w:rsidRDefault="0013410E">
      <w:pPr>
        <w:spacing w:before="240" w:after="240" w:line="360" w:lineRule="auto"/>
        <w:jc w:val="both"/>
        <w:rPr>
          <w:rFonts w:ascii="Palatino Linotype" w:eastAsia="Palatino Linotype" w:hAnsi="Palatino Linotype" w:cs="Palatino Linotype"/>
        </w:rPr>
      </w:pPr>
      <w:bookmarkStart w:id="2" w:name="_heading=h.1ksv4uv" w:colFirst="0" w:colLast="0"/>
      <w:bookmarkEnd w:id="2"/>
      <w:r w:rsidRPr="00FA12E7">
        <w:rPr>
          <w:rFonts w:ascii="Palatino Linotype" w:eastAsia="Palatino Linotype" w:hAnsi="Palatino Linotype" w:cs="Palatino Linotype"/>
          <w:b/>
        </w:rPr>
        <w:t>1. Solicitud de acceso a la información.</w:t>
      </w:r>
      <w:r w:rsidRPr="00FA12E7">
        <w:rPr>
          <w:rFonts w:ascii="Palatino Linotype" w:eastAsia="Palatino Linotype" w:hAnsi="Palatino Linotype" w:cs="Palatino Linotype"/>
        </w:rPr>
        <w:t xml:space="preserve"> Con fecha </w:t>
      </w:r>
      <w:r w:rsidRPr="00FA12E7">
        <w:rPr>
          <w:rFonts w:ascii="Palatino Linotype" w:eastAsia="Palatino Linotype" w:hAnsi="Palatino Linotype" w:cs="Palatino Linotype"/>
          <w:b/>
        </w:rPr>
        <w:t>uno de agosto dos mil veintidós,</w:t>
      </w:r>
      <w:r w:rsidRPr="00FA12E7">
        <w:rPr>
          <w:rFonts w:ascii="Palatino Linotype" w:eastAsia="Palatino Linotype" w:hAnsi="Palatino Linotype" w:cs="Palatino Linotype"/>
        </w:rPr>
        <w:t xml:space="preserve"> la parte </w:t>
      </w:r>
      <w:r w:rsidRPr="00FA12E7">
        <w:rPr>
          <w:rFonts w:ascii="Palatino Linotype" w:eastAsia="Palatino Linotype" w:hAnsi="Palatino Linotype" w:cs="Palatino Linotype"/>
          <w:b/>
        </w:rPr>
        <w:t xml:space="preserve">Recurrente </w:t>
      </w:r>
      <w:r w:rsidRPr="00FA12E7">
        <w:rPr>
          <w:rFonts w:ascii="Palatino Linotype" w:eastAsia="Palatino Linotype" w:hAnsi="Palatino Linotype" w:cs="Palatino Linotype"/>
        </w:rPr>
        <w:t xml:space="preserve">presentó, a través del Sistema de Acceso a la Información Mexiquense, en lo subsecuente el </w:t>
      </w:r>
      <w:r w:rsidRPr="00FA12E7">
        <w:rPr>
          <w:rFonts w:ascii="Palatino Linotype" w:eastAsia="Palatino Linotype" w:hAnsi="Palatino Linotype" w:cs="Palatino Linotype"/>
          <w:b/>
        </w:rPr>
        <w:t>SAIMEX,</w:t>
      </w:r>
      <w:r w:rsidRPr="00FA12E7">
        <w:rPr>
          <w:rFonts w:ascii="Palatino Linotype" w:eastAsia="Palatino Linotype" w:hAnsi="Palatino Linotype" w:cs="Palatino Linotype"/>
        </w:rPr>
        <w:t xml:space="preserve"> ante 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la solicitud de acceso a la información pública, a la que se le asignó el número</w:t>
      </w:r>
      <w:r w:rsidRPr="00FA12E7">
        <w:rPr>
          <w:rFonts w:ascii="Palatino Linotype" w:eastAsia="Palatino Linotype" w:hAnsi="Palatino Linotype" w:cs="Palatino Linotype"/>
          <w:b/>
        </w:rPr>
        <w:t xml:space="preserve"> 04133/METEPEC/IP/2022, </w:t>
      </w:r>
      <w:r w:rsidRPr="00FA12E7">
        <w:rPr>
          <w:rFonts w:ascii="Palatino Linotype" w:eastAsia="Palatino Linotype" w:hAnsi="Palatino Linotype" w:cs="Palatino Linotype"/>
        </w:rPr>
        <w:t xml:space="preserve">mediante la cual requirió la información siguiente: </w:t>
      </w:r>
    </w:p>
    <w:p w:rsidR="00867F3E" w:rsidRPr="00FA12E7" w:rsidRDefault="0013410E">
      <w:pPr>
        <w:spacing w:before="240" w:after="240"/>
        <w:ind w:left="851" w:right="902"/>
        <w:jc w:val="both"/>
        <w:rPr>
          <w:rFonts w:ascii="Palatino Linotype" w:eastAsia="Palatino Linotype" w:hAnsi="Palatino Linotype" w:cs="Palatino Linotype"/>
          <w:b/>
          <w:i/>
          <w:sz w:val="22"/>
          <w:szCs w:val="22"/>
        </w:rPr>
      </w:pPr>
      <w:r w:rsidRPr="00FA12E7">
        <w:rPr>
          <w:rFonts w:ascii="Palatino Linotype" w:eastAsia="Palatino Linotype" w:hAnsi="Palatino Linotype" w:cs="Palatino Linotype"/>
          <w:i/>
          <w:sz w:val="22"/>
          <w:szCs w:val="22"/>
        </w:rPr>
        <w:t>“De los negocios en el municipio se solicitan los expedientes de las personas físicas o morales que soliciten permisos provisionales.</w:t>
      </w:r>
      <w:r w:rsidRPr="00FA12E7">
        <w:rPr>
          <w:rFonts w:ascii="Palatino Linotype" w:eastAsia="Palatino Linotype" w:hAnsi="Palatino Linotype" w:cs="Palatino Linotype"/>
          <w:b/>
          <w:i/>
          <w:sz w:val="22"/>
          <w:szCs w:val="22"/>
        </w:rPr>
        <w:t>”</w:t>
      </w:r>
      <w:r w:rsidRPr="00FA12E7">
        <w:rPr>
          <w:rFonts w:ascii="Palatino Linotype" w:eastAsia="Palatino Linotype" w:hAnsi="Palatino Linotype" w:cs="Palatino Linotype"/>
          <w:i/>
          <w:sz w:val="22"/>
          <w:szCs w:val="22"/>
        </w:rPr>
        <w:t xml:space="preserve"> (</w:t>
      </w:r>
      <w:proofErr w:type="gramStart"/>
      <w:r w:rsidRPr="00FA12E7">
        <w:rPr>
          <w:rFonts w:ascii="Palatino Linotype" w:eastAsia="Palatino Linotype" w:hAnsi="Palatino Linotype" w:cs="Palatino Linotype"/>
          <w:i/>
          <w:sz w:val="22"/>
          <w:szCs w:val="22"/>
        </w:rPr>
        <w:t>sic</w:t>
      </w:r>
      <w:proofErr w:type="gramEnd"/>
      <w:r w:rsidRPr="00FA12E7">
        <w:rPr>
          <w:rFonts w:ascii="Palatino Linotype" w:eastAsia="Palatino Linotype" w:hAnsi="Palatino Linotype" w:cs="Palatino Linotype"/>
          <w:i/>
          <w:sz w:val="22"/>
          <w:szCs w:val="22"/>
        </w:rPr>
        <w:t xml:space="preserve">) </w:t>
      </w:r>
    </w:p>
    <w:p w:rsidR="00867F3E" w:rsidRPr="00FA12E7" w:rsidRDefault="0013410E">
      <w:pPr>
        <w:spacing w:before="240" w:after="240" w:line="360" w:lineRule="auto"/>
        <w:ind w:right="49"/>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La parte </w:t>
      </w:r>
      <w:r w:rsidRPr="00FA12E7">
        <w:rPr>
          <w:rFonts w:ascii="Palatino Linotype" w:eastAsia="Palatino Linotype" w:hAnsi="Palatino Linotype" w:cs="Palatino Linotype"/>
          <w:b/>
        </w:rPr>
        <w:t>Recurrente</w:t>
      </w:r>
      <w:r w:rsidRPr="00FA12E7">
        <w:rPr>
          <w:rFonts w:ascii="Palatino Linotype" w:eastAsia="Palatino Linotype" w:hAnsi="Palatino Linotype" w:cs="Palatino Linotype"/>
        </w:rPr>
        <w:t xml:space="preserve"> no adjuntó archivos.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b/>
        </w:rPr>
        <w:t>Modalidad de Entrega:</w:t>
      </w:r>
      <w:r w:rsidRPr="00FA12E7">
        <w:rPr>
          <w:rFonts w:ascii="Palatino Linotype" w:eastAsia="Palatino Linotype" w:hAnsi="Palatino Linotype" w:cs="Palatino Linotype"/>
        </w:rPr>
        <w:t xml:space="preserve"> a través </w:t>
      </w:r>
      <w:r w:rsidRPr="00FA12E7">
        <w:rPr>
          <w:rFonts w:ascii="Palatino Linotype" w:eastAsia="Palatino Linotype" w:hAnsi="Palatino Linotype" w:cs="Palatino Linotype"/>
          <w:b/>
        </w:rPr>
        <w:t>de SAIMEX</w:t>
      </w:r>
    </w:p>
    <w:p w:rsidR="00867F3E" w:rsidRPr="00FA12E7" w:rsidRDefault="0013410E">
      <w:pPr>
        <w:spacing w:before="240" w:after="240" w:line="360" w:lineRule="auto"/>
        <w:jc w:val="both"/>
        <w:rPr>
          <w:rFonts w:ascii="Palatino Linotype" w:eastAsia="Palatino Linotype" w:hAnsi="Palatino Linotype" w:cs="Palatino Linotype"/>
          <w:b/>
        </w:rPr>
      </w:pPr>
      <w:bookmarkStart w:id="3" w:name="_heading=h.3dy6vkm" w:colFirst="0" w:colLast="0"/>
      <w:bookmarkEnd w:id="3"/>
      <w:r w:rsidRPr="00FA12E7">
        <w:rPr>
          <w:rFonts w:ascii="Palatino Linotype" w:eastAsia="Palatino Linotype" w:hAnsi="Palatino Linotype" w:cs="Palatino Linotype"/>
          <w:b/>
        </w:rPr>
        <w:t xml:space="preserve">2. Respuesta. </w:t>
      </w:r>
      <w:r w:rsidRPr="00FA12E7">
        <w:rPr>
          <w:rFonts w:ascii="Palatino Linotype" w:eastAsia="Palatino Linotype" w:hAnsi="Palatino Linotype" w:cs="Palatino Linotype"/>
        </w:rPr>
        <w:t>Con fecha</w:t>
      </w:r>
      <w:r w:rsidRPr="00FA12E7">
        <w:rPr>
          <w:rFonts w:ascii="Palatino Linotype" w:eastAsia="Palatino Linotype" w:hAnsi="Palatino Linotype" w:cs="Palatino Linotype"/>
          <w:b/>
        </w:rPr>
        <w:t xml:space="preserve"> ocho de agosto de dos mil veintidós</w:t>
      </w:r>
      <w:r w:rsidRPr="00FA12E7">
        <w:rPr>
          <w:rFonts w:ascii="Palatino Linotype" w:eastAsia="Palatino Linotype" w:hAnsi="Palatino Linotype" w:cs="Palatino Linotype"/>
        </w:rPr>
        <w:t xml:space="preserve">, el </w:t>
      </w:r>
      <w:r w:rsidRPr="00FA12E7">
        <w:rPr>
          <w:rFonts w:ascii="Palatino Linotype" w:eastAsia="Palatino Linotype" w:hAnsi="Palatino Linotype" w:cs="Palatino Linotype"/>
          <w:b/>
        </w:rPr>
        <w:t xml:space="preserve">Sujeto Obligado </w:t>
      </w:r>
      <w:r w:rsidRPr="00FA12E7">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867F3E" w:rsidRPr="00FA12E7" w:rsidRDefault="0013410E">
      <w:pPr>
        <w:spacing w:before="240" w:after="240"/>
        <w:ind w:left="851" w:right="902"/>
        <w:jc w:val="both"/>
        <w:rPr>
          <w:rFonts w:ascii="Palatino Linotype" w:eastAsia="Palatino Linotype" w:hAnsi="Palatino Linotype" w:cs="Palatino Linotype"/>
          <w:b/>
          <w:i/>
          <w:sz w:val="22"/>
          <w:szCs w:val="22"/>
        </w:rPr>
      </w:pPr>
      <w:bookmarkStart w:id="4" w:name="_heading=h.17dp8vu" w:colFirst="0" w:colLast="0"/>
      <w:bookmarkEnd w:id="4"/>
      <w:r w:rsidRPr="00FA12E7">
        <w:rPr>
          <w:rFonts w:ascii="Palatino Linotype" w:eastAsia="Palatino Linotype" w:hAnsi="Palatino Linotype" w:cs="Palatino Linotype"/>
          <w:i/>
          <w:sz w:val="22"/>
          <w:szCs w:val="22"/>
        </w:rPr>
        <w:lastRenderedPageBreak/>
        <w:t xml:space="preserve">“…le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w:t>
      </w:r>
      <w:r w:rsidRPr="00FA12E7">
        <w:rPr>
          <w:rFonts w:ascii="Palatino Linotype" w:eastAsia="Palatino Linotype" w:hAnsi="Palatino Linotype" w:cs="Palatino Linotype"/>
          <w:b/>
          <w:i/>
          <w:sz w:val="22"/>
          <w:szCs w:val="22"/>
          <w:u w:val="single"/>
        </w:rPr>
        <w:t>habiendo realizado una búsqueda exhaustiva, se anexa la respuesta del servidor público habilitado</w:t>
      </w:r>
      <w:r w:rsidRPr="00FA12E7">
        <w:rPr>
          <w:rFonts w:ascii="Palatino Linotype" w:eastAsia="Palatino Linotype" w:hAnsi="Palatino Linotype" w:cs="Palatino Linotype"/>
          <w:i/>
          <w:sz w:val="22"/>
          <w:szCs w:val="22"/>
        </w:rPr>
        <w:t>. Lo anterior con fundamento en lo establecido por los artículos 12, 18, 19, 53 fracción VI, 160 y 162 de la Ley de Transparencia y Acceso a la Información Pública del Estado de México...” (</w:t>
      </w:r>
      <w:proofErr w:type="gramStart"/>
      <w:r w:rsidRPr="00FA12E7">
        <w:rPr>
          <w:rFonts w:ascii="Palatino Linotype" w:eastAsia="Palatino Linotype" w:hAnsi="Palatino Linotype" w:cs="Palatino Linotype"/>
          <w:i/>
          <w:sz w:val="22"/>
          <w:szCs w:val="22"/>
        </w:rPr>
        <w:t>sic</w:t>
      </w:r>
      <w:proofErr w:type="gramEnd"/>
      <w:r w:rsidRPr="00FA12E7">
        <w:rPr>
          <w:rFonts w:ascii="Palatino Linotype" w:eastAsia="Palatino Linotype" w:hAnsi="Palatino Linotype" w:cs="Palatino Linotype"/>
          <w:i/>
          <w:sz w:val="22"/>
          <w:szCs w:val="22"/>
        </w:rPr>
        <w:t>)</w:t>
      </w:r>
    </w:p>
    <w:p w:rsidR="0013410E" w:rsidRPr="00FA12E7" w:rsidRDefault="0013410E">
      <w:pPr>
        <w:spacing w:before="240" w:after="240" w:line="360" w:lineRule="auto"/>
        <w:ind w:right="49"/>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adjuntó el oficio número UT/MET/2716/2022 de fecha ocho de agosto de dos mil veintidós, signado por el Titular de la Unidad de Transparencia mediante el cual hace del conocimiento de la persona solicitante que la información es una obligación común, </w:t>
      </w:r>
      <w:proofErr w:type="spellStart"/>
      <w:r w:rsidRPr="00FA12E7">
        <w:rPr>
          <w:rFonts w:ascii="Palatino Linotype" w:eastAsia="Palatino Linotype" w:hAnsi="Palatino Linotype" w:cs="Palatino Linotype"/>
        </w:rPr>
        <w:t>redireccionándole</w:t>
      </w:r>
      <w:proofErr w:type="spellEnd"/>
      <w:r w:rsidRPr="00FA12E7">
        <w:rPr>
          <w:rFonts w:ascii="Palatino Linotype" w:eastAsia="Palatino Linotype" w:hAnsi="Palatino Linotype" w:cs="Palatino Linotype"/>
        </w:rPr>
        <w:t xml:space="preserve"> a la página web de Información Pública de Oficio de los Sujetos Obligados del Estado de México y Municipios, en la siguiente dirección electrónica: </w:t>
      </w:r>
    </w:p>
    <w:p w:rsidR="00867F3E" w:rsidRPr="00FA12E7" w:rsidRDefault="007515AE" w:rsidP="0013410E">
      <w:pPr>
        <w:spacing w:before="240" w:after="240" w:line="360" w:lineRule="auto"/>
        <w:ind w:right="49"/>
        <w:jc w:val="center"/>
        <w:rPr>
          <w:rFonts w:ascii="Palatino Linotype" w:eastAsia="Palatino Linotype" w:hAnsi="Palatino Linotype" w:cs="Palatino Linotype"/>
          <w:i/>
          <w:sz w:val="22"/>
        </w:rPr>
      </w:pPr>
      <w:hyperlink r:id="rId8">
        <w:r w:rsidR="0013410E" w:rsidRPr="00FA12E7">
          <w:rPr>
            <w:rFonts w:ascii="Palatino Linotype" w:eastAsia="Palatino Linotype" w:hAnsi="Palatino Linotype" w:cs="Palatino Linotype"/>
            <w:i/>
            <w:sz w:val="22"/>
            <w:u w:val="single"/>
          </w:rPr>
          <w:t>https://ipomex.org.mx/ipo3/lgt/indice/METEPEC/art_92_xxxii.web?token=03ANYolqvgxq-JcqykXcdZ5NLlqA8d8nQKlmpDvw9sTvR9Hszxc5bEP-ai2OxmEFn0jHrgwg-vuyNs2cBK_95tjnrFWD4C0_4lQ9oCYbkRCbBkJXlEdhhXSggWLusckjvKugzMlxqB8SIDTZhxXThoDRH3bgrn_3sU8YWB_bKukVAd9Tz4HRHFTNHtlAWmJ5D6rXnk1xOc2kosZSeMLyalma-Q1woG9neYKhquAZDKH8yvE3PNbAC-fvKC0I6qP2BQxqFTfMeis551At4tCPozgRshtMckcmZKi7SukfXPihos5ikrHERuRFg6chuguuKq6r0OwpRic1jYokYL5pF1iuRg6JfCQmnQn2Agf79c2lLtr8PXJUOa7XFzQMCRZKhY2WLg4WEnYUr2pDKKJjsY3CEdF-0eYn3jRR78766ZX0SEZyxolk9h3pfCiHX8yLRnEwtanY-1Q5J9ZzPj4bSg2u-llekN4GZDtHbvkovoiA6Y1n6rOUHd9cLiLE2hfJEdEbb8vBL8_gSimtgFiXCPRO2hVIAUcgFDB3RiUq3NZgOHEH8d-mmUBIC4lbnf0SyTuZGbCTpfZWEpZhlQMVPdBaaY5uUwxpPG</w:t>
        </w:r>
      </w:hyperlink>
      <w:r w:rsidR="0013410E" w:rsidRPr="00FA12E7">
        <w:rPr>
          <w:rFonts w:ascii="Palatino Linotype" w:eastAsia="Palatino Linotype" w:hAnsi="Palatino Linotype" w:cs="Palatino Linotype"/>
          <w:i/>
          <w:sz w:val="22"/>
        </w:rPr>
        <w:t>.</w:t>
      </w:r>
    </w:p>
    <w:p w:rsidR="00867F3E" w:rsidRPr="00FA12E7" w:rsidRDefault="0013410E">
      <w:pPr>
        <w:spacing w:before="240" w:after="240" w:line="360" w:lineRule="auto"/>
        <w:ind w:right="49"/>
        <w:jc w:val="both"/>
        <w:rPr>
          <w:rFonts w:ascii="Palatino Linotype" w:eastAsia="Palatino Linotype" w:hAnsi="Palatino Linotype" w:cs="Palatino Linotype"/>
        </w:rPr>
      </w:pPr>
      <w:r w:rsidRPr="00FA12E7">
        <w:rPr>
          <w:rFonts w:ascii="Palatino Linotype" w:eastAsia="Palatino Linotype" w:hAnsi="Palatino Linotype" w:cs="Palatino Linotype"/>
        </w:rPr>
        <w:lastRenderedPageBreak/>
        <w:t>Asimismo, en términos del artículo 150 de la Ley de la Materia sugiere al particular que ingrese al directorio de municipios y buscar el ayuntamiento de Metepec, para poder revisar la información solicitada.</w:t>
      </w:r>
    </w:p>
    <w:p w:rsidR="00867F3E" w:rsidRPr="00FA12E7" w:rsidRDefault="0013410E">
      <w:pPr>
        <w:spacing w:before="240" w:after="240" w:line="360" w:lineRule="auto"/>
        <w:ind w:right="49"/>
        <w:jc w:val="both"/>
        <w:rPr>
          <w:rFonts w:ascii="Palatino Linotype" w:eastAsia="Palatino Linotype" w:hAnsi="Palatino Linotype" w:cs="Palatino Linotype"/>
        </w:rPr>
      </w:pPr>
      <w:r w:rsidRPr="00FA12E7">
        <w:rPr>
          <w:rFonts w:ascii="Palatino Linotype" w:eastAsia="Palatino Linotype" w:hAnsi="Palatino Linotype" w:cs="Palatino Linotype"/>
          <w:b/>
        </w:rPr>
        <w:t xml:space="preserve">3. Interposición del recurso de revisión. </w:t>
      </w:r>
      <w:r w:rsidRPr="00FA12E7">
        <w:rPr>
          <w:rFonts w:ascii="Palatino Linotype" w:eastAsia="Palatino Linotype" w:hAnsi="Palatino Linotype" w:cs="Palatino Linotype"/>
        </w:rPr>
        <w:t xml:space="preserve">Inconforme con los términos de la respuesta emitida por parte del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el </w:t>
      </w:r>
      <w:r w:rsidRPr="00FA12E7">
        <w:rPr>
          <w:rFonts w:ascii="Palatino Linotype" w:eastAsia="Palatino Linotype" w:hAnsi="Palatino Linotype" w:cs="Palatino Linotype"/>
          <w:b/>
        </w:rPr>
        <w:t>nueve de agosto de dos mil veintidós,</w:t>
      </w:r>
      <w:r w:rsidRPr="00FA12E7">
        <w:rPr>
          <w:rFonts w:ascii="Palatino Linotype" w:eastAsia="Palatino Linotype" w:hAnsi="Palatino Linotype" w:cs="Palatino Linotype"/>
        </w:rPr>
        <w:t xml:space="preserve"> la parte </w:t>
      </w:r>
      <w:r w:rsidRPr="00FA12E7">
        <w:rPr>
          <w:rFonts w:ascii="Palatino Linotype" w:eastAsia="Palatino Linotype" w:hAnsi="Palatino Linotype" w:cs="Palatino Linotype"/>
          <w:b/>
        </w:rPr>
        <w:t>Recurrente</w:t>
      </w:r>
      <w:r w:rsidRPr="00FA12E7">
        <w:rPr>
          <w:rFonts w:ascii="Palatino Linotype" w:eastAsia="Palatino Linotype" w:hAnsi="Palatino Linotype" w:cs="Palatino Linotype"/>
        </w:rPr>
        <w:t xml:space="preserve"> interpuso el recurso de revisión a través de </w:t>
      </w:r>
      <w:r w:rsidRPr="00FA12E7">
        <w:rPr>
          <w:rFonts w:ascii="Palatino Linotype" w:eastAsia="Palatino Linotype" w:hAnsi="Palatino Linotype" w:cs="Palatino Linotype"/>
          <w:b/>
        </w:rPr>
        <w:t xml:space="preserve">SAIMEX, </w:t>
      </w:r>
      <w:r w:rsidRPr="00FA12E7">
        <w:rPr>
          <w:rFonts w:ascii="Palatino Linotype" w:eastAsia="Palatino Linotype" w:hAnsi="Palatino Linotype" w:cs="Palatino Linotype"/>
        </w:rPr>
        <w:t>en donde se manifestó de la siguiente manera:</w:t>
      </w:r>
    </w:p>
    <w:p w:rsidR="00867F3E" w:rsidRPr="00FA12E7" w:rsidRDefault="0013410E">
      <w:pPr>
        <w:tabs>
          <w:tab w:val="left" w:pos="2745"/>
        </w:tabs>
        <w:spacing w:before="240" w:after="240" w:line="360" w:lineRule="auto"/>
        <w:jc w:val="both"/>
        <w:rPr>
          <w:rFonts w:ascii="Palatino Linotype" w:eastAsia="Palatino Linotype" w:hAnsi="Palatino Linotype" w:cs="Palatino Linotype"/>
          <w:b/>
        </w:rPr>
      </w:pPr>
      <w:r w:rsidRPr="00FA12E7">
        <w:rPr>
          <w:rFonts w:ascii="Palatino Linotype" w:eastAsia="Palatino Linotype" w:hAnsi="Palatino Linotype" w:cs="Palatino Linotype"/>
          <w:b/>
        </w:rPr>
        <w:t xml:space="preserve">Acto impugnado: </w:t>
      </w:r>
    </w:p>
    <w:p w:rsidR="00867F3E" w:rsidRPr="00FA12E7" w:rsidRDefault="0013410E">
      <w:pPr>
        <w:tabs>
          <w:tab w:val="left" w:pos="2745"/>
        </w:tabs>
        <w:spacing w:before="240" w:after="240"/>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“la respuesta del sujeto obligado” (sic)</w:t>
      </w:r>
    </w:p>
    <w:p w:rsidR="00867F3E" w:rsidRPr="00FA12E7" w:rsidRDefault="0013410E">
      <w:pPr>
        <w:spacing w:line="360" w:lineRule="auto"/>
        <w:jc w:val="both"/>
        <w:rPr>
          <w:rFonts w:ascii="Palatino Linotype" w:eastAsia="Palatino Linotype" w:hAnsi="Palatino Linotype" w:cs="Palatino Linotype"/>
        </w:rPr>
      </w:pPr>
      <w:bookmarkStart w:id="5" w:name="_heading=h.30j0zll" w:colFirst="0" w:colLast="0"/>
      <w:bookmarkEnd w:id="5"/>
      <w:r w:rsidRPr="00FA12E7">
        <w:rPr>
          <w:rFonts w:ascii="Palatino Linotype" w:eastAsia="Palatino Linotype" w:hAnsi="Palatino Linotype" w:cs="Palatino Linotype"/>
          <w:b/>
        </w:rPr>
        <w:t>Y Razones o motivos de inconformidad</w:t>
      </w:r>
      <w:r w:rsidRPr="00FA12E7">
        <w:rPr>
          <w:rFonts w:ascii="Palatino Linotype" w:eastAsia="Palatino Linotype" w:hAnsi="Palatino Linotype" w:cs="Palatino Linotype"/>
        </w:rPr>
        <w:t xml:space="preserve">: </w:t>
      </w:r>
    </w:p>
    <w:p w:rsidR="00867F3E" w:rsidRPr="00FA12E7" w:rsidRDefault="0013410E">
      <w:pPr>
        <w:tabs>
          <w:tab w:val="left" w:pos="2745"/>
        </w:tabs>
        <w:spacing w:before="240" w:after="240"/>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 xml:space="preserve">“no puede ser posible que el titular de la unidad de transparencia no sepa leer, muy claramente estoy solicitando los expedientes, de las personas </w:t>
      </w:r>
      <w:proofErr w:type="spellStart"/>
      <w:r w:rsidRPr="00FA12E7">
        <w:rPr>
          <w:rFonts w:ascii="Palatino Linotype" w:eastAsia="Palatino Linotype" w:hAnsi="Palatino Linotype" w:cs="Palatino Linotype"/>
          <w:i/>
          <w:sz w:val="22"/>
          <w:szCs w:val="22"/>
        </w:rPr>
        <w:t>fisicas</w:t>
      </w:r>
      <w:proofErr w:type="spellEnd"/>
      <w:r w:rsidRPr="00FA12E7">
        <w:rPr>
          <w:rFonts w:ascii="Palatino Linotype" w:eastAsia="Palatino Linotype" w:hAnsi="Palatino Linotype" w:cs="Palatino Linotype"/>
          <w:i/>
          <w:sz w:val="22"/>
          <w:szCs w:val="22"/>
        </w:rPr>
        <w:t xml:space="preserve"> y morales que soliciten permiso provisional, estos expedientes </w:t>
      </w:r>
      <w:proofErr w:type="spellStart"/>
      <w:r w:rsidRPr="00FA12E7">
        <w:rPr>
          <w:rFonts w:ascii="Palatino Linotype" w:eastAsia="Palatino Linotype" w:hAnsi="Palatino Linotype" w:cs="Palatino Linotype"/>
          <w:i/>
          <w:sz w:val="22"/>
          <w:szCs w:val="22"/>
        </w:rPr>
        <w:t>estan</w:t>
      </w:r>
      <w:proofErr w:type="spellEnd"/>
      <w:r w:rsidRPr="00FA12E7">
        <w:rPr>
          <w:rFonts w:ascii="Palatino Linotype" w:eastAsia="Palatino Linotype" w:hAnsi="Palatino Linotype" w:cs="Palatino Linotype"/>
          <w:i/>
          <w:sz w:val="22"/>
          <w:szCs w:val="22"/>
        </w:rPr>
        <w:t xml:space="preserve"> conformados con los siguientes documentos. 1.- Formato de solicitud de Permiso Provisional de Funcionamiento Comercial, Industrial y/o Prestación de Servicios, debidamente </w:t>
      </w:r>
      <w:proofErr w:type="spellStart"/>
      <w:r w:rsidRPr="00FA12E7">
        <w:rPr>
          <w:rFonts w:ascii="Palatino Linotype" w:eastAsia="Palatino Linotype" w:hAnsi="Palatino Linotype" w:cs="Palatino Linotype"/>
          <w:i/>
          <w:sz w:val="22"/>
          <w:szCs w:val="22"/>
        </w:rPr>
        <w:t>requisitado</w:t>
      </w:r>
      <w:proofErr w:type="spellEnd"/>
      <w:r w:rsidRPr="00FA12E7">
        <w:rPr>
          <w:rFonts w:ascii="Palatino Linotype" w:eastAsia="Palatino Linotype" w:hAnsi="Palatino Linotype" w:cs="Palatino Linotype"/>
          <w:i/>
          <w:sz w:val="22"/>
          <w:szCs w:val="22"/>
        </w:rPr>
        <w:t xml:space="preserve"> 2.</w:t>
      </w:r>
      <w:proofErr w:type="gramStart"/>
      <w:r w:rsidRPr="00FA12E7">
        <w:rPr>
          <w:rFonts w:ascii="Palatino Linotype" w:eastAsia="Palatino Linotype" w:hAnsi="Palatino Linotype" w:cs="Palatino Linotype"/>
          <w:i/>
          <w:sz w:val="22"/>
          <w:szCs w:val="22"/>
        </w:rPr>
        <w:t>- :</w:t>
      </w:r>
      <w:proofErr w:type="gramEnd"/>
      <w:r w:rsidRPr="00FA12E7">
        <w:rPr>
          <w:rFonts w:ascii="Palatino Linotype" w:eastAsia="Palatino Linotype" w:hAnsi="Palatino Linotype" w:cs="Palatino Linotype"/>
          <w:i/>
          <w:sz w:val="22"/>
          <w:szCs w:val="22"/>
        </w:rPr>
        <w:t xml:space="preserve"> identificación oficial vigente 3.- documento con el que se acredite la propiedad o </w:t>
      </w:r>
      <w:proofErr w:type="spellStart"/>
      <w:r w:rsidRPr="00FA12E7">
        <w:rPr>
          <w:rFonts w:ascii="Palatino Linotype" w:eastAsia="Palatino Linotype" w:hAnsi="Palatino Linotype" w:cs="Palatino Linotype"/>
          <w:i/>
          <w:sz w:val="22"/>
          <w:szCs w:val="22"/>
        </w:rPr>
        <w:t>posesion</w:t>
      </w:r>
      <w:proofErr w:type="spellEnd"/>
      <w:r w:rsidRPr="00FA12E7">
        <w:rPr>
          <w:rFonts w:ascii="Palatino Linotype" w:eastAsia="Palatino Linotype" w:hAnsi="Palatino Linotype" w:cs="Palatino Linotype"/>
          <w:i/>
          <w:sz w:val="22"/>
          <w:szCs w:val="22"/>
        </w:rPr>
        <w:t xml:space="preserve"> del inmueble 4.- Visto Bueno de la Coordinación de Protección Civil y Bomberos. 5.- Carta responsiva en materia de prohibición del uso y entrega de bolsas y popotes de plástico de un solo uso Dicho lo anterior la </w:t>
      </w:r>
      <w:proofErr w:type="spellStart"/>
      <w:r w:rsidRPr="00FA12E7">
        <w:rPr>
          <w:rFonts w:ascii="Palatino Linotype" w:eastAsia="Palatino Linotype" w:hAnsi="Palatino Linotype" w:cs="Palatino Linotype"/>
          <w:i/>
          <w:sz w:val="22"/>
          <w:szCs w:val="22"/>
        </w:rPr>
        <w:t>informacion</w:t>
      </w:r>
      <w:proofErr w:type="spellEnd"/>
      <w:r w:rsidRPr="00FA12E7">
        <w:rPr>
          <w:rFonts w:ascii="Palatino Linotype" w:eastAsia="Palatino Linotype" w:hAnsi="Palatino Linotype" w:cs="Palatino Linotype"/>
          <w:i/>
          <w:sz w:val="22"/>
          <w:szCs w:val="22"/>
        </w:rPr>
        <w:t xml:space="preserve"> solicitada no </w:t>
      </w:r>
      <w:proofErr w:type="spellStart"/>
      <w:r w:rsidRPr="00FA12E7">
        <w:rPr>
          <w:rFonts w:ascii="Palatino Linotype" w:eastAsia="Palatino Linotype" w:hAnsi="Palatino Linotype" w:cs="Palatino Linotype"/>
          <w:i/>
          <w:sz w:val="22"/>
          <w:szCs w:val="22"/>
        </w:rPr>
        <w:t>esta</w:t>
      </w:r>
      <w:proofErr w:type="spellEnd"/>
      <w:r w:rsidRPr="00FA12E7">
        <w:rPr>
          <w:rFonts w:ascii="Palatino Linotype" w:eastAsia="Palatino Linotype" w:hAnsi="Palatino Linotype" w:cs="Palatino Linotype"/>
          <w:i/>
          <w:sz w:val="22"/>
          <w:szCs w:val="22"/>
        </w:rPr>
        <w:t xml:space="preserve"> en la </w:t>
      </w:r>
      <w:proofErr w:type="spellStart"/>
      <w:r w:rsidRPr="00FA12E7">
        <w:rPr>
          <w:rFonts w:ascii="Palatino Linotype" w:eastAsia="Palatino Linotype" w:hAnsi="Palatino Linotype" w:cs="Palatino Linotype"/>
          <w:i/>
          <w:sz w:val="22"/>
          <w:szCs w:val="22"/>
        </w:rPr>
        <w:t>fraccion</w:t>
      </w:r>
      <w:proofErr w:type="spellEnd"/>
      <w:r w:rsidRPr="00FA12E7">
        <w:rPr>
          <w:rFonts w:ascii="Palatino Linotype" w:eastAsia="Palatino Linotype" w:hAnsi="Palatino Linotype" w:cs="Palatino Linotype"/>
          <w:i/>
          <w:sz w:val="22"/>
          <w:szCs w:val="22"/>
        </w:rPr>
        <w:t xml:space="preserve"> xxxii del </w:t>
      </w:r>
      <w:proofErr w:type="spellStart"/>
      <w:r w:rsidRPr="00FA12E7">
        <w:rPr>
          <w:rFonts w:ascii="Palatino Linotype" w:eastAsia="Palatino Linotype" w:hAnsi="Palatino Linotype" w:cs="Palatino Linotype"/>
          <w:i/>
          <w:sz w:val="22"/>
          <w:szCs w:val="22"/>
        </w:rPr>
        <w:t>ipomex</w:t>
      </w:r>
      <w:proofErr w:type="spellEnd"/>
      <w:r w:rsidRPr="00FA12E7">
        <w:rPr>
          <w:rFonts w:ascii="Palatino Linotype" w:eastAsia="Palatino Linotype" w:hAnsi="Palatino Linotype" w:cs="Palatino Linotype"/>
          <w:i/>
          <w:sz w:val="22"/>
          <w:szCs w:val="22"/>
        </w:rPr>
        <w:t>” (sic)</w:t>
      </w:r>
    </w:p>
    <w:p w:rsidR="00867F3E" w:rsidRPr="00FA12E7" w:rsidRDefault="0013410E">
      <w:pPr>
        <w:spacing w:before="240" w:after="240" w:line="360" w:lineRule="auto"/>
        <w:ind w:right="49"/>
        <w:jc w:val="both"/>
        <w:rPr>
          <w:rFonts w:ascii="Palatino Linotype" w:eastAsia="Palatino Linotype" w:hAnsi="Palatino Linotype" w:cs="Palatino Linotype"/>
        </w:rPr>
      </w:pPr>
      <w:r w:rsidRPr="00FA12E7">
        <w:rPr>
          <w:rFonts w:ascii="Palatino Linotype" w:eastAsia="Palatino Linotype" w:hAnsi="Palatino Linotype" w:cs="Palatino Linotype"/>
          <w:b/>
        </w:rPr>
        <w:t xml:space="preserve">Anexos: </w:t>
      </w:r>
      <w:r w:rsidRPr="00FA12E7">
        <w:rPr>
          <w:rFonts w:ascii="Palatino Linotype" w:eastAsia="Palatino Linotype" w:hAnsi="Palatino Linotype" w:cs="Palatino Linotype"/>
        </w:rPr>
        <w:t xml:space="preserve">La parte </w:t>
      </w:r>
      <w:r w:rsidRPr="00FA12E7">
        <w:rPr>
          <w:rFonts w:ascii="Palatino Linotype" w:eastAsia="Palatino Linotype" w:hAnsi="Palatino Linotype" w:cs="Palatino Linotype"/>
          <w:b/>
        </w:rPr>
        <w:t xml:space="preserve">Recurrente </w:t>
      </w:r>
      <w:r w:rsidRPr="00FA12E7">
        <w:rPr>
          <w:rFonts w:ascii="Palatino Linotype" w:eastAsia="Palatino Linotype" w:hAnsi="Palatino Linotype" w:cs="Palatino Linotype"/>
        </w:rPr>
        <w:t xml:space="preserve">no adjuntó archivos. </w:t>
      </w:r>
    </w:p>
    <w:p w:rsidR="00867F3E" w:rsidRPr="00FA12E7" w:rsidRDefault="0013410E">
      <w:pPr>
        <w:spacing w:before="240" w:after="240" w:line="360" w:lineRule="auto"/>
        <w:ind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 xml:space="preserve">4. Turno. </w:t>
      </w:r>
      <w:r w:rsidRPr="00FA12E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FA12E7">
        <w:rPr>
          <w:rFonts w:ascii="Palatino Linotype" w:eastAsia="Palatino Linotype" w:hAnsi="Palatino Linotype" w:cs="Palatino Linotype"/>
        </w:rPr>
        <w:lastRenderedPageBreak/>
        <w:t xml:space="preserve">del Estado de México y Municipios, a la Comisionada </w:t>
      </w:r>
      <w:r w:rsidRPr="00FA12E7">
        <w:rPr>
          <w:rFonts w:ascii="Palatino Linotype" w:eastAsia="Palatino Linotype" w:hAnsi="Palatino Linotype" w:cs="Palatino Linotype"/>
          <w:b/>
        </w:rPr>
        <w:t xml:space="preserve">Guadalupe Ramírez Peña, </w:t>
      </w:r>
      <w:r w:rsidRPr="00FA12E7">
        <w:rPr>
          <w:rFonts w:ascii="Palatino Linotype" w:eastAsia="Palatino Linotype" w:hAnsi="Palatino Linotype" w:cs="Palatino Linotype"/>
        </w:rPr>
        <w:t xml:space="preserve">a efecto de que analizara sobre su admisión o su </w:t>
      </w:r>
      <w:proofErr w:type="spellStart"/>
      <w:r w:rsidRPr="00FA12E7">
        <w:rPr>
          <w:rFonts w:ascii="Palatino Linotype" w:eastAsia="Palatino Linotype" w:hAnsi="Palatino Linotype" w:cs="Palatino Linotype"/>
        </w:rPr>
        <w:t>desechamiento</w:t>
      </w:r>
      <w:proofErr w:type="spellEnd"/>
      <w:r w:rsidRPr="00FA12E7">
        <w:rPr>
          <w:rFonts w:ascii="Palatino Linotype" w:eastAsia="Palatino Linotype" w:hAnsi="Palatino Linotype" w:cs="Palatino Linotype"/>
        </w:rPr>
        <w:t>.</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b/>
        </w:rPr>
        <w:t>5. Admisión del Recurso de revisión.</w:t>
      </w:r>
      <w:r w:rsidRPr="00FA12E7">
        <w:rPr>
          <w:rFonts w:ascii="Palatino Linotype" w:eastAsia="Palatino Linotype" w:hAnsi="Palatino Linotype" w:cs="Palatino Linotype"/>
        </w:rPr>
        <w:t xml:space="preserve"> Con fecha</w:t>
      </w:r>
      <w:r w:rsidRPr="00FA12E7">
        <w:rPr>
          <w:rFonts w:ascii="Palatino Linotype" w:eastAsia="Palatino Linotype" w:hAnsi="Palatino Linotype" w:cs="Palatino Linotype"/>
          <w:b/>
        </w:rPr>
        <w:t xml:space="preserve"> doce de agosto de dos mil veintidós, </w:t>
      </w:r>
      <w:r w:rsidRPr="00FA12E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A12E7">
        <w:rPr>
          <w:rFonts w:ascii="Palatino Linotype" w:eastAsia="Palatino Linotype" w:hAnsi="Palatino Linotype" w:cs="Palatino Linotype"/>
          <w:b/>
        </w:rPr>
        <w:t xml:space="preserve">Sujeto Obligado </w:t>
      </w:r>
      <w:r w:rsidRPr="00FA12E7">
        <w:rPr>
          <w:rFonts w:ascii="Palatino Linotype" w:eastAsia="Palatino Linotype" w:hAnsi="Palatino Linotype" w:cs="Palatino Linotype"/>
        </w:rPr>
        <w:t>presentara su informe justificado.</w:t>
      </w:r>
    </w:p>
    <w:p w:rsidR="00867F3E" w:rsidRPr="00FA12E7" w:rsidRDefault="0013410E">
      <w:pPr>
        <w:spacing w:before="240" w:after="240" w:line="360" w:lineRule="auto"/>
        <w:jc w:val="both"/>
        <w:rPr>
          <w:rFonts w:ascii="Palatino Linotype" w:eastAsia="Palatino Linotype" w:hAnsi="Palatino Linotype" w:cs="Palatino Linotype"/>
        </w:rPr>
      </w:pPr>
      <w:bookmarkStart w:id="6" w:name="_heading=h.2s8eyo1" w:colFirst="0" w:colLast="0"/>
      <w:bookmarkEnd w:id="6"/>
      <w:r w:rsidRPr="00FA12E7">
        <w:rPr>
          <w:rFonts w:ascii="Palatino Linotype" w:eastAsia="Palatino Linotype" w:hAnsi="Palatino Linotype" w:cs="Palatino Linotype"/>
          <w:b/>
        </w:rPr>
        <w:t>6. Manifestaciones</w:t>
      </w:r>
      <w:r w:rsidRPr="00FA12E7">
        <w:rPr>
          <w:rFonts w:ascii="Palatino Linotype" w:eastAsia="Palatino Linotype" w:hAnsi="Palatino Linotype" w:cs="Palatino Linotype"/>
        </w:rPr>
        <w:t xml:space="preserve">. De las constancias que obran en el expediente electrónico del SAIMEX se desprende que 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no rindió su informe justificado, del mismo modo la parte </w:t>
      </w:r>
      <w:r w:rsidRPr="00FA12E7">
        <w:rPr>
          <w:rFonts w:ascii="Palatino Linotype" w:eastAsia="Palatino Linotype" w:hAnsi="Palatino Linotype" w:cs="Palatino Linotype"/>
          <w:b/>
        </w:rPr>
        <w:t>Recurrente</w:t>
      </w:r>
      <w:r w:rsidRPr="00FA12E7">
        <w:rPr>
          <w:rFonts w:ascii="Palatino Linotype" w:eastAsia="Palatino Linotype" w:hAnsi="Palatino Linotype" w:cs="Palatino Linotype"/>
        </w:rPr>
        <w:t xml:space="preserve"> omitió realizar manifestaciones, como se observa a continuación:</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noProof/>
        </w:rPr>
        <w:drawing>
          <wp:inline distT="0" distB="0" distL="0" distR="0">
            <wp:extent cx="5612130" cy="1477010"/>
            <wp:effectExtent l="0" t="0" r="0" b="0"/>
            <wp:docPr id="9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612130" cy="1477010"/>
                    </a:xfrm>
                    <a:prstGeom prst="rect">
                      <a:avLst/>
                    </a:prstGeom>
                    <a:ln/>
                  </pic:spPr>
                </pic:pic>
              </a:graphicData>
            </a:graphic>
          </wp:inline>
        </w:drawing>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b/>
        </w:rPr>
        <w:t xml:space="preserve">7. Cierre de instrucción. </w:t>
      </w:r>
      <w:r w:rsidRPr="00FA12E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FA12E7">
        <w:rPr>
          <w:rFonts w:ascii="Palatino Linotype" w:eastAsia="Palatino Linotype" w:hAnsi="Palatino Linotype" w:cs="Palatino Linotype"/>
          <w:b/>
        </w:rPr>
        <w:t xml:space="preserve">veinticinco de agosto de dos mil veintidós </w:t>
      </w:r>
      <w:r w:rsidRPr="00FA12E7">
        <w:rPr>
          <w:rFonts w:ascii="Palatino Linotype" w:eastAsia="Palatino Linotype" w:hAnsi="Palatino Linotype" w:cs="Palatino Linotype"/>
        </w:rPr>
        <w:t xml:space="preserve">la Comisionada Ponente determinó el cierre de instrucción en términos de la fracción VI del artículo 185 de </w:t>
      </w:r>
      <w:r w:rsidRPr="00FA12E7">
        <w:rPr>
          <w:rFonts w:ascii="Palatino Linotype" w:eastAsia="Palatino Linotype" w:hAnsi="Palatino Linotype" w:cs="Palatino Linotype"/>
        </w:rPr>
        <w:lastRenderedPageBreak/>
        <w:t>la Ley de Transparencia y Acceso a la Información Pública del Estado de México y Municipios.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b/>
        </w:rPr>
        <w:t>8. Ampliación del término para resolver</w:t>
      </w:r>
      <w:r w:rsidRPr="00FA12E7">
        <w:rPr>
          <w:rFonts w:ascii="Palatino Linotype" w:eastAsia="Palatino Linotype" w:hAnsi="Palatino Linotype" w:cs="Palatino Linotype"/>
        </w:rPr>
        <w:t xml:space="preserve">. En fecha </w:t>
      </w:r>
      <w:r w:rsidRPr="00FA12E7">
        <w:rPr>
          <w:rFonts w:ascii="Palatino Linotype" w:eastAsia="Palatino Linotype" w:hAnsi="Palatino Linotype" w:cs="Palatino Linotype"/>
          <w:b/>
        </w:rPr>
        <w:t>ocho de noviembre de dos mil veintidós</w:t>
      </w:r>
      <w:r w:rsidRPr="00FA12E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67F3E" w:rsidRPr="00FA12E7" w:rsidRDefault="0013410E">
      <w:pPr>
        <w:spacing w:before="240" w:after="240" w:line="360" w:lineRule="auto"/>
        <w:jc w:val="both"/>
        <w:rPr>
          <w:rFonts w:ascii="Palatino Linotype" w:eastAsia="Palatino Linotype" w:hAnsi="Palatino Linotype" w:cs="Palatino Linotype"/>
          <w:strike/>
        </w:rPr>
      </w:pPr>
      <w:r w:rsidRPr="00FA12E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867F3E" w:rsidRPr="00FA12E7" w:rsidRDefault="0013410E">
      <w:pPr>
        <w:numPr>
          <w:ilvl w:val="0"/>
          <w:numId w:val="2"/>
        </w:num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867F3E" w:rsidRPr="00FA12E7" w:rsidRDefault="0013410E">
      <w:pPr>
        <w:numPr>
          <w:ilvl w:val="0"/>
          <w:numId w:val="2"/>
        </w:num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Actividad Procesal del interesado. Acciones u omisiones del interesado.</w:t>
      </w:r>
    </w:p>
    <w:p w:rsidR="00867F3E" w:rsidRPr="00FA12E7" w:rsidRDefault="0013410E">
      <w:pPr>
        <w:numPr>
          <w:ilvl w:val="0"/>
          <w:numId w:val="2"/>
        </w:num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Conducta de la Autoridad: Las Acciones u omisiones realizadas en el procedimiento. Así como si la autoridad actuó con la debida diligencia.</w:t>
      </w:r>
    </w:p>
    <w:p w:rsidR="00867F3E" w:rsidRPr="00FA12E7" w:rsidRDefault="0013410E">
      <w:pPr>
        <w:spacing w:before="240" w:after="240" w:line="360" w:lineRule="auto"/>
        <w:ind w:left="567"/>
        <w:jc w:val="both"/>
        <w:rPr>
          <w:rFonts w:ascii="Palatino Linotype" w:eastAsia="Palatino Linotype" w:hAnsi="Palatino Linotype" w:cs="Palatino Linotype"/>
        </w:rPr>
      </w:pPr>
      <w:r w:rsidRPr="00FA12E7">
        <w:rPr>
          <w:rFonts w:ascii="Palatino Linotype" w:eastAsia="Palatino Linotype" w:hAnsi="Palatino Linotype" w:cs="Palatino Linotype"/>
        </w:rPr>
        <w:t>d) La afectación generada en la situación jurídica de la persona involucrada en el proceso: Violación a sus derechos humanos.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67F3E" w:rsidRPr="00FA12E7" w:rsidRDefault="0013410E">
      <w:pPr>
        <w:spacing w:before="240" w:after="240" w:line="360" w:lineRule="auto"/>
        <w:jc w:val="both"/>
        <w:rPr>
          <w:rFonts w:ascii="Palatino Linotype" w:eastAsia="Palatino Linotype" w:hAnsi="Palatino Linotype" w:cs="Palatino Linotype"/>
          <w:b/>
        </w:rPr>
      </w:pPr>
      <w:r w:rsidRPr="00FA12E7">
        <w:rPr>
          <w:rFonts w:ascii="Palatino Linotype" w:eastAsia="Palatino Linotype" w:hAnsi="Palatino Linotype" w:cs="Palatino Linotype"/>
        </w:rPr>
        <w:lastRenderedPageBreak/>
        <w:t>Argumento que encuentra sustento en la jurisprudencia P</w:t>
      </w:r>
      <w:proofErr w:type="gramStart"/>
      <w:r w:rsidRPr="00FA12E7">
        <w:rPr>
          <w:rFonts w:ascii="Palatino Linotype" w:eastAsia="Palatino Linotype" w:hAnsi="Palatino Linotype" w:cs="Palatino Linotype"/>
        </w:rPr>
        <w:t>./</w:t>
      </w:r>
      <w:proofErr w:type="gramEnd"/>
      <w:r w:rsidRPr="00FA12E7">
        <w:rPr>
          <w:rFonts w:ascii="Palatino Linotype" w:eastAsia="Palatino Linotype" w:hAnsi="Palatino Linotype" w:cs="Palatino Linotype"/>
        </w:rPr>
        <w:t xml:space="preserve">J. 32/92 emitida por el Pleno de la Suprema Corte de Justicia de la Nación de rubro </w:t>
      </w:r>
      <w:r w:rsidRPr="00FA12E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A12E7">
        <w:rPr>
          <w:rFonts w:ascii="Palatino Linotype" w:eastAsia="Palatino Linotype" w:hAnsi="Palatino Linotype" w:cs="Palatino Linotype"/>
        </w:rPr>
        <w:t>, visible en la Gaceta del Seminario Judicial de la Federación con el registro digital 205635.</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867F3E" w:rsidRPr="00FA12E7" w:rsidRDefault="0013410E">
      <w:pPr>
        <w:spacing w:before="240" w:after="240"/>
        <w:ind w:left="851" w:right="902"/>
        <w:jc w:val="both"/>
        <w:rPr>
          <w:rFonts w:ascii="Palatino Linotype" w:eastAsia="Palatino Linotype" w:hAnsi="Palatino Linotype" w:cs="Palatino Linotype"/>
          <w:sz w:val="22"/>
          <w:szCs w:val="22"/>
        </w:rPr>
      </w:pPr>
      <w:r w:rsidRPr="00FA12E7">
        <w:rPr>
          <w:rFonts w:ascii="Palatino Linotype" w:eastAsia="Palatino Linotype" w:hAnsi="Palatino Linotype" w:cs="Palatino Linotype"/>
        </w:rPr>
        <w:t xml:space="preserve"> </w:t>
      </w: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b/>
          <w:i/>
          <w:sz w:val="22"/>
          <w:szCs w:val="22"/>
        </w:rPr>
        <w:t>PLAZO RAZONABLE PARA RESOLVER. DIMENSIÓN Y EFECTOS DE ESTE CONCEPTO CUANDO SE ADUCE EXCESIVA CARGA DE TRABAJO</w:t>
      </w: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sz w:val="22"/>
          <w:szCs w:val="22"/>
        </w:rPr>
        <w:t xml:space="preserve"> consultable en el Seminario Judicial de la Federación y su gaceta, con el registro digital 2002351.</w:t>
      </w:r>
    </w:p>
    <w:p w:rsidR="00867F3E" w:rsidRPr="00FA12E7" w:rsidRDefault="0013410E">
      <w:pPr>
        <w:spacing w:before="240" w:after="240"/>
        <w:ind w:left="851" w:right="902"/>
        <w:jc w:val="both"/>
        <w:rPr>
          <w:rFonts w:ascii="Palatino Linotype" w:eastAsia="Palatino Linotype" w:hAnsi="Palatino Linotype" w:cs="Palatino Linotype"/>
          <w:sz w:val="22"/>
          <w:szCs w:val="22"/>
        </w:rPr>
      </w:pPr>
      <w:r w:rsidRPr="00FA12E7">
        <w:rPr>
          <w:rFonts w:ascii="Palatino Linotype" w:eastAsia="Palatino Linotype" w:hAnsi="Palatino Linotype" w:cs="Palatino Linotype"/>
          <w:i/>
          <w:sz w:val="22"/>
          <w:szCs w:val="22"/>
        </w:rPr>
        <w:lastRenderedPageBreak/>
        <w:t>“</w:t>
      </w:r>
      <w:r w:rsidRPr="00FA12E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sz w:val="22"/>
          <w:szCs w:val="22"/>
        </w:rPr>
        <w:t>, visible en el Seminario Judicial de la Federación y su gaceta, con el registro digital 2002350.</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867F3E" w:rsidRPr="00FA12E7" w:rsidRDefault="0013410E">
      <w:pPr>
        <w:widowControl w:val="0"/>
        <w:spacing w:before="240" w:after="240" w:line="360" w:lineRule="auto"/>
        <w:jc w:val="center"/>
        <w:rPr>
          <w:rFonts w:ascii="Palatino Linotype" w:eastAsia="Palatino Linotype" w:hAnsi="Palatino Linotype" w:cs="Palatino Linotype"/>
          <w:b/>
        </w:rPr>
      </w:pPr>
      <w:r w:rsidRPr="00FA12E7">
        <w:rPr>
          <w:rFonts w:ascii="Palatino Linotype" w:eastAsia="Palatino Linotype" w:hAnsi="Palatino Linotype" w:cs="Palatino Linotype"/>
          <w:b/>
        </w:rPr>
        <w:t>II. C O N S I D E R A N D O 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b/>
        </w:rPr>
        <w:t>Primero. Competencia.</w:t>
      </w:r>
      <w:r w:rsidRPr="00FA12E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67F3E" w:rsidRPr="00FA12E7" w:rsidRDefault="0013410E">
      <w:pPr>
        <w:spacing w:before="240" w:after="240" w:line="360" w:lineRule="auto"/>
        <w:jc w:val="both"/>
        <w:rPr>
          <w:rFonts w:ascii="Palatino Linotype" w:eastAsia="Palatino Linotype" w:hAnsi="Palatino Linotype" w:cs="Palatino Linotype"/>
        </w:rPr>
      </w:pPr>
      <w:bookmarkStart w:id="7" w:name="_heading=h.tyjcwt" w:colFirst="0" w:colLast="0"/>
      <w:bookmarkEnd w:id="7"/>
      <w:r w:rsidRPr="00FA12E7">
        <w:rPr>
          <w:rFonts w:ascii="Palatino Linotype" w:eastAsia="Palatino Linotype" w:hAnsi="Palatino Linotype" w:cs="Palatino Linotype"/>
          <w:b/>
        </w:rPr>
        <w:lastRenderedPageBreak/>
        <w:t xml:space="preserve">Segundo. Oportunidad y </w:t>
      </w:r>
      <w:proofErr w:type="spellStart"/>
      <w:r w:rsidRPr="00FA12E7">
        <w:rPr>
          <w:rFonts w:ascii="Palatino Linotype" w:eastAsia="Palatino Linotype" w:hAnsi="Palatino Linotype" w:cs="Palatino Linotype"/>
          <w:b/>
        </w:rPr>
        <w:t>Procedibilidad</w:t>
      </w:r>
      <w:proofErr w:type="spellEnd"/>
      <w:r w:rsidRPr="00FA12E7">
        <w:rPr>
          <w:rFonts w:ascii="Palatino Linotype" w:eastAsia="Palatino Linotype" w:hAnsi="Palatino Linotype" w:cs="Palatino Linotype"/>
          <w:b/>
        </w:rPr>
        <w:t xml:space="preserve"> del Recurso de Revisión</w:t>
      </w:r>
      <w:r w:rsidRPr="00FA12E7">
        <w:rPr>
          <w:rFonts w:ascii="Palatino Linotype" w:eastAsia="Palatino Linotype" w:hAnsi="Palatino Linotype" w:cs="Palatino Linotype"/>
        </w:rPr>
        <w:t xml:space="preserve">. Previo al estudio del fondo del asunto, se procede a analizar los requisitos de oportunidad y </w:t>
      </w:r>
      <w:proofErr w:type="spellStart"/>
      <w:r w:rsidRPr="00FA12E7">
        <w:rPr>
          <w:rFonts w:ascii="Palatino Linotype" w:eastAsia="Palatino Linotype" w:hAnsi="Palatino Linotype" w:cs="Palatino Linotype"/>
        </w:rPr>
        <w:t>procedibilidad</w:t>
      </w:r>
      <w:proofErr w:type="spellEnd"/>
      <w:r w:rsidRPr="00FA12E7">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A12E7">
        <w:rPr>
          <w:rFonts w:ascii="Palatino Linotype" w:eastAsia="Palatino Linotype" w:hAnsi="Palatino Linotype" w:cs="Palatino Linotype"/>
          <w:b/>
        </w:rPr>
        <w:t xml:space="preserve">Sujeto Obligado </w:t>
      </w:r>
      <w:r w:rsidRPr="00FA12E7">
        <w:rPr>
          <w:rFonts w:ascii="Palatino Linotype" w:eastAsia="Palatino Linotype" w:hAnsi="Palatino Linotype" w:cs="Palatino Linotype"/>
        </w:rPr>
        <w:t xml:space="preserve">remitió la respuesta a la solicitud de información el día </w:t>
      </w:r>
      <w:r w:rsidRPr="00FA12E7">
        <w:rPr>
          <w:rFonts w:ascii="Palatino Linotype" w:eastAsia="Palatino Linotype" w:hAnsi="Palatino Linotype" w:cs="Palatino Linotype"/>
          <w:b/>
        </w:rPr>
        <w:t xml:space="preserve">ocho de agosto dos mil veintidós, </w:t>
      </w:r>
      <w:r w:rsidRPr="00FA12E7">
        <w:rPr>
          <w:rFonts w:ascii="Palatino Linotype" w:eastAsia="Palatino Linotype" w:hAnsi="Palatino Linotype" w:cs="Palatino Linotype"/>
        </w:rPr>
        <w:t xml:space="preserve">mientras que el recurso de revisión interpuesto por la parte </w:t>
      </w:r>
      <w:r w:rsidRPr="00FA12E7">
        <w:rPr>
          <w:rFonts w:ascii="Palatino Linotype" w:eastAsia="Palatino Linotype" w:hAnsi="Palatino Linotype" w:cs="Palatino Linotype"/>
          <w:b/>
        </w:rPr>
        <w:t>Recurrente</w:t>
      </w:r>
      <w:r w:rsidRPr="00FA12E7">
        <w:rPr>
          <w:rFonts w:ascii="Palatino Linotype" w:eastAsia="Palatino Linotype" w:hAnsi="Palatino Linotype" w:cs="Palatino Linotype"/>
        </w:rPr>
        <w:t xml:space="preserve">, se tuvo por presentado el día </w:t>
      </w:r>
      <w:r w:rsidRPr="00FA12E7">
        <w:rPr>
          <w:rFonts w:ascii="Palatino Linotype" w:eastAsia="Palatino Linotype" w:hAnsi="Palatino Linotype" w:cs="Palatino Linotype"/>
          <w:b/>
        </w:rPr>
        <w:t>nueve de agosto de dos mil veintidós</w:t>
      </w:r>
      <w:r w:rsidRPr="00FA12E7">
        <w:rPr>
          <w:rFonts w:ascii="Palatino Linotype" w:eastAsia="Palatino Linotype" w:hAnsi="Palatino Linotype" w:cs="Palatino Linotype"/>
        </w:rPr>
        <w:t>, esto es, al siguiente día hábil posterior en que tuvo conocimiento de la respuesta impugnada.</w:t>
      </w:r>
    </w:p>
    <w:p w:rsidR="00867F3E" w:rsidRPr="00FA12E7" w:rsidRDefault="0013410E">
      <w:pPr>
        <w:tabs>
          <w:tab w:val="left" w:pos="7938"/>
        </w:tabs>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FA12E7">
        <w:rPr>
          <w:rFonts w:ascii="Palatino Linotype" w:eastAsia="Palatino Linotype" w:hAnsi="Palatino Linotype" w:cs="Palatino Linotype"/>
        </w:rPr>
        <w:t xml:space="preserve">Al mismo tiempo, por cuanto hace a la </w:t>
      </w:r>
      <w:proofErr w:type="spellStart"/>
      <w:r w:rsidRPr="00FA12E7">
        <w:rPr>
          <w:rFonts w:ascii="Palatino Linotype" w:eastAsia="Palatino Linotype" w:hAnsi="Palatino Linotype" w:cs="Palatino Linotype"/>
        </w:rPr>
        <w:t>procedibilidad</w:t>
      </w:r>
      <w:proofErr w:type="spellEnd"/>
      <w:r w:rsidRPr="00FA12E7">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A efecto de sustentar lo anterior, es de suma importancia mencionar que si bien la persona solicitante </w:t>
      </w:r>
      <w:r w:rsidRPr="00FA12E7">
        <w:rPr>
          <w:rFonts w:ascii="Palatino Linotype" w:eastAsia="Palatino Linotype" w:hAnsi="Palatino Linotype" w:cs="Palatino Linotype"/>
          <w:b/>
        </w:rPr>
        <w:t xml:space="preserve">no proporcionó nombre, </w:t>
      </w:r>
      <w:r w:rsidRPr="00FA12E7">
        <w:rPr>
          <w:rFonts w:ascii="Palatino Linotype" w:eastAsia="Palatino Linotype" w:hAnsi="Palatino Linotype" w:cs="Palatino Linotype"/>
        </w:rPr>
        <w:t xml:space="preserve">como se advierte en el detalle de seguimiento del SAIMEX, sin embargo, el no proporcionar un nombre no es motivo para archivar la solicitud de acceso a la información pública como concluida, conforme a lo previsto en el artículo 155, penúltimo párrafo de la Ley de </w:t>
      </w:r>
      <w:r w:rsidRPr="00FA12E7">
        <w:rPr>
          <w:rFonts w:ascii="Palatino Linotype" w:eastAsia="Palatino Linotype" w:hAnsi="Palatino Linotype" w:cs="Palatino Linotype"/>
        </w:rPr>
        <w:lastRenderedPageBreak/>
        <w:t>Transparencia y Acceso a la Información Pública del Estado de México y Municipios que establece lo siguiente:</w:t>
      </w:r>
    </w:p>
    <w:p w:rsidR="00867F3E" w:rsidRPr="00FA12E7" w:rsidRDefault="0013410E">
      <w:pPr>
        <w:spacing w:before="120" w:after="120"/>
        <w:ind w:left="851" w:right="902"/>
        <w:jc w:val="both"/>
        <w:rPr>
          <w:rFonts w:ascii="Palatino Linotype" w:eastAsia="Palatino Linotype" w:hAnsi="Palatino Linotype" w:cs="Palatino Linotype"/>
          <w:sz w:val="22"/>
          <w:szCs w:val="22"/>
        </w:rPr>
      </w:pP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b/>
          <w:i/>
          <w:sz w:val="22"/>
          <w:szCs w:val="22"/>
        </w:rPr>
        <w:t>Las solicitudes anónimas</w:t>
      </w:r>
      <w:r w:rsidRPr="00FA12E7">
        <w:rPr>
          <w:rFonts w:ascii="Palatino Linotype" w:eastAsia="Palatino Linotype" w:hAnsi="Palatino Linotype" w:cs="Palatino Linotype"/>
          <w:i/>
          <w:sz w:val="22"/>
          <w:szCs w:val="22"/>
        </w:rPr>
        <w:t xml:space="preserve">, con nombre incompleto o seudónimo </w:t>
      </w:r>
      <w:r w:rsidRPr="00FA12E7">
        <w:rPr>
          <w:rFonts w:ascii="Palatino Linotype" w:eastAsia="Palatino Linotype" w:hAnsi="Palatino Linotype" w:cs="Palatino Linotype"/>
          <w:b/>
          <w:i/>
          <w:sz w:val="22"/>
          <w:szCs w:val="22"/>
        </w:rPr>
        <w:t>serán procedentes para su trámite por parte del sujeto obligado ante quien se presente</w:t>
      </w:r>
      <w:r w:rsidRPr="00FA12E7">
        <w:rPr>
          <w:rFonts w:ascii="Palatino Linotype" w:eastAsia="Palatino Linotype" w:hAnsi="Palatino Linotype" w:cs="Palatino Linotype"/>
          <w:i/>
          <w:sz w:val="22"/>
          <w:szCs w:val="22"/>
        </w:rPr>
        <w:t>. No podrá requerirse información adicional con motivo del nombre proporcionado por el solicitante."</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FA12E7">
        <w:rPr>
          <w:rFonts w:ascii="Palatino Linotype" w:eastAsia="Palatino Linotype" w:hAnsi="Palatino Linotype" w:cs="Palatino Linotype"/>
          <w:b/>
        </w:rPr>
        <w:t>Recurrente</w:t>
      </w:r>
      <w:r w:rsidRPr="00FA12E7">
        <w:rPr>
          <w:rFonts w:ascii="Palatino Linotype" w:eastAsia="Palatino Linotype" w:hAnsi="Palatino Linotype" w:cs="Palatino Linotype"/>
        </w:rPr>
        <w:t>, por lo que, en el presente caso, al haber sido presentado el recurso de revisión vía SAIMEX, dicho requisito resulta innecesario.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Finalmente, se advierte que resulta procedente la interposición del recurso, según lo manifestado por la parte </w:t>
      </w:r>
      <w:r w:rsidRPr="00FA12E7">
        <w:rPr>
          <w:rFonts w:ascii="Palatino Linotype" w:eastAsia="Palatino Linotype" w:hAnsi="Palatino Linotype" w:cs="Palatino Linotype"/>
          <w:b/>
        </w:rPr>
        <w:t>Recurrente</w:t>
      </w:r>
      <w:r w:rsidRPr="00FA12E7">
        <w:rPr>
          <w:rFonts w:ascii="Palatino Linotype" w:eastAsia="Palatino Linotype" w:hAnsi="Palatino Linotype" w:cs="Palatino Linotype"/>
        </w:rPr>
        <w:t xml:space="preserve"> en sus motivos de inconformidad, de acuerdo al artículo 179, fracciones I y VI del ordenamiento legal citado, que a la letra dice: </w:t>
      </w:r>
    </w:p>
    <w:p w:rsidR="00867F3E" w:rsidRPr="00FA12E7" w:rsidRDefault="0013410E">
      <w:pPr>
        <w:spacing w:before="120" w:after="120"/>
        <w:ind w:left="993"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b/>
          <w:i/>
          <w:sz w:val="22"/>
          <w:szCs w:val="22"/>
        </w:rPr>
        <w:t>Artículo 179.</w:t>
      </w:r>
      <w:r w:rsidRPr="00FA12E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867F3E" w:rsidRPr="00FA12E7" w:rsidRDefault="0013410E">
      <w:pPr>
        <w:spacing w:before="120" w:after="120"/>
        <w:ind w:left="1134"/>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I.</w:t>
      </w:r>
      <w:r w:rsidRPr="00FA12E7">
        <w:rPr>
          <w:rFonts w:ascii="Palatino Linotype" w:eastAsia="Palatino Linotype" w:hAnsi="Palatino Linotype" w:cs="Palatino Linotype"/>
          <w:i/>
          <w:sz w:val="22"/>
          <w:szCs w:val="22"/>
        </w:rPr>
        <w:t xml:space="preserve"> La negativa a la información solicitada;</w:t>
      </w:r>
    </w:p>
    <w:p w:rsidR="00867F3E" w:rsidRPr="00FA12E7" w:rsidRDefault="0013410E">
      <w:pPr>
        <w:spacing w:before="120" w:after="120"/>
        <w:ind w:left="1134"/>
        <w:rPr>
          <w:rFonts w:ascii="Palatino Linotype" w:eastAsia="Palatino Linotype" w:hAnsi="Palatino Linotype" w:cs="Palatino Linotype"/>
          <w:b/>
          <w:i/>
          <w:sz w:val="20"/>
          <w:szCs w:val="20"/>
        </w:rPr>
      </w:pPr>
      <w:r w:rsidRPr="00FA12E7">
        <w:rPr>
          <w:rFonts w:ascii="Palatino Linotype" w:eastAsia="Palatino Linotype" w:hAnsi="Palatino Linotype" w:cs="Palatino Linotype"/>
          <w:b/>
          <w:i/>
          <w:sz w:val="20"/>
          <w:szCs w:val="20"/>
        </w:rPr>
        <w:t>…</w:t>
      </w:r>
    </w:p>
    <w:p w:rsidR="00867F3E" w:rsidRPr="00FA12E7" w:rsidRDefault="0013410E">
      <w:pPr>
        <w:spacing w:before="120" w:after="120"/>
        <w:ind w:left="1134"/>
        <w:rPr>
          <w:rFonts w:ascii="Palatino Linotype" w:eastAsia="Palatino Linotype" w:hAnsi="Palatino Linotype" w:cs="Palatino Linotype"/>
          <w:b/>
          <w:i/>
          <w:sz w:val="22"/>
          <w:szCs w:val="22"/>
        </w:rPr>
      </w:pPr>
      <w:r w:rsidRPr="00FA12E7">
        <w:rPr>
          <w:rFonts w:ascii="Palatino Linotype" w:eastAsia="Palatino Linotype" w:hAnsi="Palatino Linotype" w:cs="Palatino Linotype"/>
          <w:b/>
          <w:i/>
          <w:sz w:val="22"/>
          <w:szCs w:val="22"/>
        </w:rPr>
        <w:t xml:space="preserve">VI. </w:t>
      </w:r>
      <w:r w:rsidRPr="00FA12E7">
        <w:rPr>
          <w:rFonts w:ascii="Palatino Linotype" w:eastAsia="Palatino Linotype" w:hAnsi="Palatino Linotype" w:cs="Palatino Linotype"/>
          <w:i/>
          <w:sz w:val="22"/>
          <w:szCs w:val="22"/>
        </w:rPr>
        <w:t>La entrega de información que no corresponda con lo solicitado;”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b/>
        </w:rPr>
        <w:t xml:space="preserve">Tercero. Materia de la revisión. </w:t>
      </w:r>
      <w:r w:rsidRPr="00FA12E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FA12E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A12E7">
        <w:rPr>
          <w:rFonts w:ascii="Palatino Linotype" w:eastAsia="Palatino Linotype" w:hAnsi="Palatino Linotype" w:cs="Palatino Linotype"/>
        </w:rPr>
        <w:t xml:space="preserve">de la parte </w:t>
      </w:r>
      <w:r w:rsidRPr="00FA12E7">
        <w:rPr>
          <w:rFonts w:ascii="Palatino Linotype" w:eastAsia="Palatino Linotype" w:hAnsi="Palatino Linotype" w:cs="Palatino Linotype"/>
          <w:b/>
        </w:rPr>
        <w:lastRenderedPageBreak/>
        <w:t>Recurrente</w:t>
      </w:r>
      <w:r w:rsidRPr="00FA12E7">
        <w:rPr>
          <w:rFonts w:ascii="Palatino Linotype" w:eastAsia="Palatino Linotype" w:hAnsi="Palatino Linotype" w:cs="Palatino Linotype"/>
        </w:rPr>
        <w:t>, o en su defecto, en caso de ser procedente, ordenar la entrega de información oportuna.</w:t>
      </w:r>
    </w:p>
    <w:p w:rsidR="00867F3E" w:rsidRPr="00FA12E7" w:rsidRDefault="0013410E">
      <w:pPr>
        <w:spacing w:before="240" w:after="240" w:line="360" w:lineRule="auto"/>
        <w:ind w:right="51"/>
        <w:jc w:val="both"/>
        <w:rPr>
          <w:rFonts w:ascii="Palatino Linotype" w:eastAsia="Palatino Linotype" w:hAnsi="Palatino Linotype" w:cs="Palatino Linotype"/>
        </w:rPr>
      </w:pPr>
      <w:bookmarkStart w:id="9" w:name="_heading=h.2et92p0" w:colFirst="0" w:colLast="0"/>
      <w:bookmarkEnd w:id="9"/>
      <w:r w:rsidRPr="00FA12E7">
        <w:rPr>
          <w:rFonts w:ascii="Palatino Linotype" w:eastAsia="Palatino Linotype" w:hAnsi="Palatino Linotype" w:cs="Palatino Linotype"/>
          <w:b/>
        </w:rPr>
        <w:t xml:space="preserve">Cuarto. Estudio del asunto. </w:t>
      </w:r>
      <w:r w:rsidRPr="00FA12E7">
        <w:rPr>
          <w:rFonts w:ascii="Palatino Linotype" w:eastAsia="Palatino Linotype" w:hAnsi="Palatino Linotype" w:cs="Palatino Linotype"/>
        </w:rPr>
        <w:t xml:space="preserve">Del análisis de la solicitud de información, motivo del recurso de revisión que ahora se resuelve se advierte que la parte </w:t>
      </w:r>
      <w:r w:rsidRPr="00FA12E7">
        <w:rPr>
          <w:rFonts w:ascii="Palatino Linotype" w:eastAsia="Palatino Linotype" w:hAnsi="Palatino Linotype" w:cs="Palatino Linotype"/>
          <w:b/>
        </w:rPr>
        <w:t>Recurrente</w:t>
      </w:r>
      <w:r w:rsidRPr="00FA12E7">
        <w:rPr>
          <w:rFonts w:ascii="Palatino Linotype" w:eastAsia="Palatino Linotype" w:hAnsi="Palatino Linotype" w:cs="Palatino Linotype"/>
        </w:rPr>
        <w:t xml:space="preserve"> requirió al </w:t>
      </w:r>
      <w:r w:rsidRPr="00FA12E7">
        <w:rPr>
          <w:rFonts w:ascii="Palatino Linotype" w:eastAsia="Palatino Linotype" w:hAnsi="Palatino Linotype" w:cs="Palatino Linotype"/>
          <w:b/>
        </w:rPr>
        <w:t xml:space="preserve">Sujeto Obligado </w:t>
      </w:r>
      <w:r w:rsidRPr="00FA12E7">
        <w:rPr>
          <w:rFonts w:ascii="Palatino Linotype" w:eastAsia="Palatino Linotype" w:hAnsi="Palatino Linotype" w:cs="Palatino Linotype"/>
        </w:rPr>
        <w:t>le proporcione, información consistente en lo siguiente:</w:t>
      </w:r>
    </w:p>
    <w:p w:rsidR="00867F3E" w:rsidRPr="00FA12E7" w:rsidRDefault="0013410E">
      <w:pPr>
        <w:spacing w:before="240" w:after="240" w:line="360" w:lineRule="auto"/>
        <w:ind w:left="284" w:right="49"/>
        <w:jc w:val="both"/>
        <w:rPr>
          <w:rFonts w:ascii="Palatino Linotype" w:eastAsia="Palatino Linotype" w:hAnsi="Palatino Linotype" w:cs="Palatino Linotype"/>
        </w:rPr>
      </w:pPr>
      <w:r w:rsidRPr="00FA12E7">
        <w:rPr>
          <w:rFonts w:ascii="Palatino Linotype" w:eastAsia="Palatino Linotype" w:hAnsi="Palatino Linotype" w:cs="Palatino Linotype"/>
        </w:rPr>
        <w:t>1. De los negocios en el municipio, los expedientes de las personas físicas o morales que soliciten permisos provisionales.</w:t>
      </w:r>
    </w:p>
    <w:p w:rsidR="00867F3E" w:rsidRPr="00FA12E7" w:rsidRDefault="0013410E">
      <w:pPr>
        <w:spacing w:before="240" w:after="240" w:line="360" w:lineRule="auto"/>
        <w:ind w:right="49"/>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En respuesta, 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a través de la Unidad de Transparencia hizo del conocimiento de la persona solicitante que la información era una obligación común, razón por la cual proporcionó la dirección electrónica del portal de Información Pública de Oficio Mexiquense, IPOMEX, concretamente de la fracción XXXII del artículo 92 de la Ley de Transparencia y Acceso a la Información Pública del Estado de México y Municipios, con la finalidad de que realizara la consulta de la información.</w:t>
      </w:r>
    </w:p>
    <w:p w:rsidR="00867F3E" w:rsidRPr="00FA12E7" w:rsidRDefault="0013410E">
      <w:pPr>
        <w:spacing w:before="240" w:after="240" w:line="360" w:lineRule="auto"/>
        <w:ind w:right="49"/>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manifestó, como motivo de inconformidad que se la información solicitada no se encuentra en la fracción XXXII del IPOMEX, por lo que reiteró en sus términos el requerimiento de información, señalando que el expediente se conforma por: el formato de solicitud de Permiso Provisional de Funcionamiento Comercial, Industrial y/o Prestación de Servicios, debidamente </w:t>
      </w:r>
      <w:proofErr w:type="spellStart"/>
      <w:r w:rsidRPr="00FA12E7">
        <w:rPr>
          <w:rFonts w:ascii="Palatino Linotype" w:eastAsia="Palatino Linotype" w:hAnsi="Palatino Linotype" w:cs="Palatino Linotype"/>
        </w:rPr>
        <w:t>requisitado</w:t>
      </w:r>
      <w:proofErr w:type="spellEnd"/>
      <w:r w:rsidRPr="00FA12E7">
        <w:rPr>
          <w:rFonts w:ascii="Palatino Linotype" w:eastAsia="Palatino Linotype" w:hAnsi="Palatino Linotype" w:cs="Palatino Linotype"/>
        </w:rPr>
        <w:t xml:space="preserve">; la identificación oficial vigente; el documento con el que se acredite la propiedad o posesión del inmueble; el visto Bueno de la Coordinación de Protección Civil y Bomberos; y la </w:t>
      </w:r>
      <w:r w:rsidRPr="00FA12E7">
        <w:rPr>
          <w:rFonts w:ascii="Palatino Linotype" w:eastAsia="Palatino Linotype" w:hAnsi="Palatino Linotype" w:cs="Palatino Linotype"/>
        </w:rPr>
        <w:lastRenderedPageBreak/>
        <w:t>carta responsiva en materia de prohibición del uso y entrega de bolsas y popotes de plástico de un solo uso.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Por otro lado, una vez admitido el presente recurso de revisión, en términos del artículo 185 fracción II</w:t>
      </w:r>
      <w:r w:rsidRPr="00FA12E7">
        <w:rPr>
          <w:rFonts w:ascii="Palatino Linotype" w:eastAsia="Palatino Linotype" w:hAnsi="Palatino Linotype" w:cs="Palatino Linotype"/>
          <w:vertAlign w:val="superscript"/>
        </w:rPr>
        <w:footnoteReference w:id="1"/>
      </w:r>
      <w:r w:rsidRPr="00FA12E7">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rsidR="00867F3E" w:rsidRPr="00FA12E7" w:rsidRDefault="0013410E">
      <w:pPr>
        <w:spacing w:before="240" w:after="240" w:line="360" w:lineRule="auto"/>
        <w:ind w:right="51"/>
        <w:jc w:val="both"/>
        <w:rPr>
          <w:rFonts w:ascii="Palatino Linotype" w:eastAsia="Palatino Linotype" w:hAnsi="Palatino Linotype" w:cs="Palatino Linotype"/>
        </w:rPr>
      </w:pPr>
      <w:r w:rsidRPr="00FA12E7">
        <w:rPr>
          <w:rFonts w:ascii="Palatino Linotype" w:eastAsia="Palatino Linotype" w:hAnsi="Palatino Linotype" w:cs="Palatino Linotype"/>
        </w:rPr>
        <w:t>Acotado lo anterior, en primer lugar, es conveniente señalar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867F3E" w:rsidRPr="00FA12E7" w:rsidRDefault="0013410E">
      <w:pPr>
        <w:spacing w:before="240"/>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b/>
          <w:i/>
          <w:sz w:val="22"/>
          <w:szCs w:val="22"/>
        </w:rPr>
        <w:t>Artículo 4.</w:t>
      </w:r>
      <w:r w:rsidRPr="00FA12E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67F3E" w:rsidRPr="00FA12E7" w:rsidRDefault="0013410E">
      <w:pPr>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A12E7">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FA12E7">
        <w:rPr>
          <w:rFonts w:ascii="Palatino Linotype" w:eastAsia="Palatino Linotype" w:hAnsi="Palatino Linotype" w:cs="Palatino Linotype"/>
          <w:i/>
          <w:sz w:val="22"/>
          <w:szCs w:val="22"/>
        </w:rPr>
        <w:lastRenderedPageBreak/>
        <w:t>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67F3E" w:rsidRPr="00FA12E7" w:rsidRDefault="0013410E">
      <w:pPr>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A12E7">
        <w:rPr>
          <w:rFonts w:ascii="Palatino Linotype" w:eastAsia="Palatino Linotype" w:hAnsi="Palatino Linotype" w:cs="Palatino Linotype"/>
          <w:i/>
          <w:sz w:val="22"/>
          <w:szCs w:val="22"/>
        </w:rPr>
        <w:t>.” (Sic)</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867F3E" w:rsidRPr="00FA12E7" w:rsidRDefault="0013410E">
      <w:pPr>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b/>
          <w:i/>
          <w:sz w:val="22"/>
          <w:szCs w:val="22"/>
        </w:rPr>
        <w:t>Artículo12.-</w:t>
      </w:r>
      <w:r w:rsidRPr="00FA12E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867F3E" w:rsidRPr="00FA12E7" w:rsidRDefault="0013410E">
      <w:pPr>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A12E7">
        <w:rPr>
          <w:rFonts w:ascii="Palatino Linotype" w:eastAsia="Palatino Linotype" w:hAnsi="Palatino Linotype" w:cs="Palatino Linotype"/>
          <w:i/>
          <w:sz w:val="22"/>
          <w:szCs w:val="22"/>
        </w:rPr>
        <w:t xml:space="preserve">. </w:t>
      </w:r>
      <w:r w:rsidRPr="00FA12E7">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r w:rsidRPr="00FA12E7">
        <w:rPr>
          <w:rFonts w:ascii="Palatino Linotype" w:eastAsia="Palatino Linotype" w:hAnsi="Palatino Linotype" w:cs="Palatino Linotype"/>
          <w:i/>
          <w:sz w:val="22"/>
          <w:szCs w:val="22"/>
        </w:rPr>
        <w:t>(Sic)</w:t>
      </w:r>
    </w:p>
    <w:p w:rsidR="00867F3E" w:rsidRPr="00FA12E7" w:rsidRDefault="0013410E">
      <w:pPr>
        <w:spacing w:before="240" w:after="240" w:line="360" w:lineRule="auto"/>
        <w:ind w:right="-91"/>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w:t>
      </w:r>
      <w:r w:rsidRPr="00FA12E7">
        <w:rPr>
          <w:rFonts w:ascii="Palatino Linotype" w:eastAsia="Palatino Linotype" w:hAnsi="Palatino Linotype" w:cs="Palatino Linotype"/>
        </w:rPr>
        <w:lastRenderedPageBreak/>
        <w:t>que tengan en su poder en el estado que se encuentran, sin necesidad de concretarse al interés o términos específicos del solicitante.</w:t>
      </w:r>
    </w:p>
    <w:p w:rsidR="00867F3E" w:rsidRPr="00FA12E7" w:rsidRDefault="0013410E">
      <w:pPr>
        <w:spacing w:before="240" w:after="240" w:line="360" w:lineRule="auto"/>
        <w:jc w:val="both"/>
        <w:rPr>
          <w:rFonts w:ascii="Palatino Linotype" w:eastAsia="Palatino Linotype" w:hAnsi="Palatino Linotype" w:cs="Palatino Linotype"/>
          <w:b/>
        </w:rPr>
      </w:pPr>
      <w:r w:rsidRPr="00FA12E7">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FA12E7">
        <w:rPr>
          <w:rFonts w:ascii="Palatino Linotype" w:eastAsia="Palatino Linotype" w:hAnsi="Palatino Linotype" w:cs="Palatino Linotype"/>
          <w:b/>
        </w:rPr>
        <w:t xml:space="preserve"> </w:t>
      </w:r>
    </w:p>
    <w:p w:rsidR="00867F3E" w:rsidRPr="00FA12E7" w:rsidRDefault="0013410E">
      <w:pPr>
        <w:ind w:left="851" w:right="901"/>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b/>
          <w:i/>
          <w:sz w:val="22"/>
          <w:szCs w:val="22"/>
        </w:rPr>
        <w:t>No existe obligación de elaborar documentos ad hoc para atender las solicitudes de acceso a la información.</w:t>
      </w:r>
      <w:r w:rsidRPr="00FA12E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867F3E" w:rsidRPr="00FA12E7" w:rsidRDefault="0013410E">
      <w:pPr>
        <w:spacing w:before="240" w:after="240" w:line="360" w:lineRule="auto"/>
        <w:ind w:right="49"/>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FA12E7">
        <w:rPr>
          <w:rFonts w:ascii="Palatino Linotype" w:eastAsia="Palatino Linotype" w:hAnsi="Palatino Linotype" w:cs="Palatino Linotype"/>
        </w:rPr>
        <w:lastRenderedPageBreak/>
        <w:t>Ley de Transparencia y Acceso a la Información Pública del Estado de México y Municipios.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867F3E" w:rsidRPr="00FA12E7" w:rsidRDefault="0013410E">
      <w:pPr>
        <w:ind w:left="851" w:right="899"/>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b/>
          <w:i/>
          <w:sz w:val="22"/>
          <w:szCs w:val="22"/>
        </w:rPr>
        <w:t xml:space="preserve">Artículo 3. </w:t>
      </w:r>
      <w:r w:rsidRPr="00FA12E7">
        <w:rPr>
          <w:rFonts w:ascii="Palatino Linotype" w:eastAsia="Palatino Linotype" w:hAnsi="Palatino Linotype" w:cs="Palatino Linotype"/>
          <w:i/>
          <w:sz w:val="22"/>
          <w:szCs w:val="22"/>
        </w:rPr>
        <w:t>Para los efectos de la presente Ley se entenderá por:</w:t>
      </w:r>
    </w:p>
    <w:p w:rsidR="00867F3E" w:rsidRPr="00FA12E7" w:rsidRDefault="0013410E">
      <w:pPr>
        <w:ind w:left="1134" w:right="899"/>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p>
    <w:p w:rsidR="00867F3E" w:rsidRPr="00FA12E7" w:rsidRDefault="0013410E">
      <w:pPr>
        <w:ind w:left="1134" w:right="899"/>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XI. Documento:</w:t>
      </w:r>
      <w:r w:rsidRPr="00FA12E7">
        <w:rPr>
          <w:rFonts w:ascii="Palatino Linotype" w:eastAsia="Palatino Linotype" w:hAnsi="Palatino Linotype" w:cs="Palatino Linotype"/>
          <w:i/>
          <w:sz w:val="22"/>
          <w:szCs w:val="22"/>
        </w:rPr>
        <w:t xml:space="preserve"> Los expedientes, reportes, estudios, actas</w:t>
      </w:r>
      <w:r w:rsidRPr="00FA12E7">
        <w:rPr>
          <w:rFonts w:ascii="Palatino Linotype" w:eastAsia="Palatino Linotype" w:hAnsi="Palatino Linotype" w:cs="Palatino Linotype"/>
          <w:b/>
          <w:i/>
          <w:sz w:val="22"/>
          <w:szCs w:val="22"/>
        </w:rPr>
        <w:t>,</w:t>
      </w:r>
      <w:r w:rsidRPr="00FA12E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867F3E" w:rsidRPr="00FA12E7" w:rsidRDefault="00867F3E">
      <w:pPr>
        <w:ind w:left="851" w:right="899"/>
        <w:jc w:val="both"/>
        <w:rPr>
          <w:rFonts w:ascii="Palatino Linotype" w:eastAsia="Palatino Linotype" w:hAnsi="Palatino Linotype" w:cs="Palatino Linotype"/>
          <w:sz w:val="22"/>
          <w:szCs w:val="22"/>
        </w:rPr>
      </w:pPr>
    </w:p>
    <w:p w:rsidR="00867F3E" w:rsidRPr="00FA12E7" w:rsidRDefault="0013410E">
      <w:pPr>
        <w:spacing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867F3E" w:rsidRPr="00FA12E7" w:rsidRDefault="00867F3E">
      <w:pPr>
        <w:ind w:left="851" w:right="899"/>
        <w:jc w:val="both"/>
        <w:rPr>
          <w:rFonts w:ascii="Palatino Linotype" w:eastAsia="Palatino Linotype" w:hAnsi="Palatino Linotype" w:cs="Palatino Linotype"/>
        </w:rPr>
      </w:pPr>
    </w:p>
    <w:p w:rsidR="00867F3E" w:rsidRPr="00FA12E7" w:rsidRDefault="0013410E">
      <w:pPr>
        <w:ind w:left="851" w:right="899"/>
        <w:jc w:val="both"/>
        <w:rPr>
          <w:rFonts w:ascii="Palatino Linotype" w:eastAsia="Palatino Linotype" w:hAnsi="Palatino Linotype" w:cs="Palatino Linotype"/>
          <w:b/>
          <w:i/>
          <w:sz w:val="22"/>
          <w:szCs w:val="22"/>
        </w:rPr>
      </w:pPr>
      <w:r w:rsidRPr="00FA12E7">
        <w:rPr>
          <w:rFonts w:ascii="Palatino Linotype" w:eastAsia="Palatino Linotype" w:hAnsi="Palatino Linotype" w:cs="Palatino Linotype"/>
          <w:b/>
          <w:sz w:val="22"/>
          <w:szCs w:val="22"/>
        </w:rPr>
        <w:lastRenderedPageBreak/>
        <w:t>“</w:t>
      </w:r>
      <w:r w:rsidRPr="00FA12E7">
        <w:rPr>
          <w:rFonts w:ascii="Palatino Linotype" w:eastAsia="Palatino Linotype" w:hAnsi="Palatino Linotype" w:cs="Palatino Linotype"/>
          <w:b/>
          <w:i/>
          <w:sz w:val="22"/>
          <w:szCs w:val="22"/>
        </w:rPr>
        <w:t>CRITERIO 0002-11</w:t>
      </w:r>
    </w:p>
    <w:p w:rsidR="00867F3E" w:rsidRPr="00FA12E7" w:rsidRDefault="0013410E">
      <w:pPr>
        <w:ind w:left="851" w:right="899"/>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A12E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67F3E" w:rsidRPr="00FA12E7" w:rsidRDefault="0013410E">
      <w:pPr>
        <w:ind w:left="851" w:right="899"/>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En consecuencia el acceso a la información se refiere a que se cumplan cualquiera de los siguientes tres supuestos:</w:t>
      </w:r>
    </w:p>
    <w:p w:rsidR="00867F3E" w:rsidRPr="00FA12E7" w:rsidRDefault="0013410E">
      <w:pPr>
        <w:ind w:left="851" w:right="899"/>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867F3E" w:rsidRPr="00FA12E7" w:rsidRDefault="0013410E">
      <w:pPr>
        <w:ind w:left="851" w:right="899"/>
        <w:jc w:val="both"/>
        <w:rPr>
          <w:rFonts w:ascii="Palatino Linotype" w:eastAsia="Palatino Linotype" w:hAnsi="Palatino Linotype" w:cs="Palatino Linotype"/>
          <w:b/>
          <w:i/>
          <w:sz w:val="22"/>
          <w:szCs w:val="22"/>
        </w:rPr>
      </w:pPr>
      <w:r w:rsidRPr="00FA12E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867F3E" w:rsidRPr="00FA12E7" w:rsidRDefault="0013410E">
      <w:pPr>
        <w:ind w:left="851" w:right="899"/>
        <w:jc w:val="both"/>
        <w:rPr>
          <w:rFonts w:ascii="Palatino Linotype" w:eastAsia="Palatino Linotype" w:hAnsi="Palatino Linotype" w:cs="Palatino Linotype"/>
          <w:b/>
          <w:i/>
          <w:sz w:val="22"/>
          <w:szCs w:val="22"/>
        </w:rPr>
      </w:pPr>
      <w:r w:rsidRPr="00FA12E7">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En segundo lugar, es importante 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867F3E" w:rsidRPr="00FA12E7" w:rsidRDefault="0013410E">
      <w:pPr>
        <w:spacing w:before="240" w:after="240" w:line="360" w:lineRule="auto"/>
        <w:ind w:right="51"/>
        <w:jc w:val="both"/>
        <w:rPr>
          <w:rFonts w:ascii="Palatino Linotype" w:eastAsia="Palatino Linotype" w:hAnsi="Palatino Linotype" w:cs="Palatino Linotype"/>
        </w:rPr>
      </w:pPr>
      <w:r w:rsidRPr="00FA12E7">
        <w:rPr>
          <w:rFonts w:ascii="Palatino Linotype" w:eastAsia="Palatino Linotype" w:hAnsi="Palatino Linotype" w:cs="Palatino Linotype"/>
        </w:rPr>
        <w:lastRenderedPageBreak/>
        <w:t>Por todo lo anterior, la reserva de la información implica una clasificación, la cual debe entenderse como el proceso mediante el cual el Sujeto Obligado determina que la información en su poder, actualiza alguno de los supuestos de reserva o confidencialidad, de conformidad con las normas aplicables.</w:t>
      </w:r>
    </w:p>
    <w:p w:rsidR="00867F3E" w:rsidRPr="00FA12E7" w:rsidRDefault="0013410E">
      <w:pPr>
        <w:spacing w:before="240" w:after="240" w:line="360" w:lineRule="auto"/>
        <w:ind w:right="49"/>
        <w:jc w:val="both"/>
        <w:rPr>
          <w:rFonts w:ascii="Palatino Linotype" w:eastAsia="Palatino Linotype" w:hAnsi="Palatino Linotype" w:cs="Palatino Linotype"/>
        </w:rPr>
      </w:pPr>
      <w:r w:rsidRPr="00FA12E7">
        <w:rPr>
          <w:rFonts w:ascii="Palatino Linotype" w:eastAsia="Palatino Linotype" w:hAnsi="Palatino Linotype" w:cs="Palatino Linotype"/>
        </w:rPr>
        <w:t>Ahora bien, resulta de suma importancia invocar el contenido de los artículos 162, 163, 164 y 165 de la Ley de Transparencia y Acceso a la Información Pública del Estado de México y Municipios, que rezan así:</w:t>
      </w:r>
    </w:p>
    <w:p w:rsidR="00867F3E" w:rsidRPr="00FA12E7" w:rsidRDefault="0013410E">
      <w:pPr>
        <w:spacing w:after="120"/>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“Artículo 162.</w:t>
      </w:r>
      <w:r w:rsidRPr="00FA12E7">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867F3E" w:rsidRPr="00FA12E7" w:rsidRDefault="0013410E">
      <w:pPr>
        <w:spacing w:after="120"/>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Artículo 163.</w:t>
      </w:r>
      <w:r w:rsidRPr="00FA12E7">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867F3E" w:rsidRPr="00FA12E7" w:rsidRDefault="0013410E">
      <w:pPr>
        <w:spacing w:after="120"/>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67F3E" w:rsidRPr="00FA12E7" w:rsidRDefault="0013410E">
      <w:pPr>
        <w:spacing w:after="120"/>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Artículo 164.</w:t>
      </w:r>
      <w:r w:rsidRPr="00FA12E7">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867F3E" w:rsidRPr="00FA12E7" w:rsidRDefault="0013410E">
      <w:pPr>
        <w:spacing w:after="120"/>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 xml:space="preserve">En cualquier caso, se deberá fundar y motivar la necesidad de ofrecer otras modalidades.  </w:t>
      </w:r>
    </w:p>
    <w:p w:rsidR="00867F3E" w:rsidRPr="00FA12E7" w:rsidRDefault="0013410E">
      <w:pPr>
        <w:spacing w:after="120"/>
        <w:ind w:left="851" w:right="900"/>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Artículo 165.</w:t>
      </w:r>
      <w:r w:rsidRPr="00FA12E7">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rsidR="00867F3E" w:rsidRPr="00FA12E7" w:rsidRDefault="0013410E">
      <w:pPr>
        <w:spacing w:before="240" w:after="240" w:line="360" w:lineRule="auto"/>
        <w:ind w:right="49"/>
        <w:jc w:val="both"/>
        <w:rPr>
          <w:rFonts w:ascii="Palatino Linotype" w:eastAsia="Palatino Linotype" w:hAnsi="Palatino Linotype" w:cs="Palatino Linotype"/>
        </w:rPr>
      </w:pPr>
      <w:r w:rsidRPr="00FA12E7">
        <w:rPr>
          <w:rFonts w:ascii="Palatino Linotype" w:eastAsia="Palatino Linotype" w:hAnsi="Palatino Linotype" w:cs="Palatino Linotype"/>
        </w:rPr>
        <w:lastRenderedPageBreak/>
        <w:t>Del cuerpo normativo transcrito, se advierte que las unidades de transparencia deberán garantizar que las solicitudes se turnen a todas las áreas que cuenten con la información o que deban tenerla de acuerdo a sus facultades, competencias o funciones.</w:t>
      </w:r>
    </w:p>
    <w:p w:rsidR="00867F3E" w:rsidRPr="00FA12E7" w:rsidRDefault="0013410E">
      <w:pPr>
        <w:spacing w:before="240" w:after="240" w:line="360" w:lineRule="auto"/>
        <w:ind w:right="49"/>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Siendo la Unidad de Transparencia la responsable de hacer las notificaciones correspondientes, además de llevar a </w:t>
      </w:r>
      <w:proofErr w:type="gramStart"/>
      <w:r w:rsidRPr="00FA12E7">
        <w:rPr>
          <w:rFonts w:ascii="Palatino Linotype" w:eastAsia="Palatino Linotype" w:hAnsi="Palatino Linotype" w:cs="Palatino Linotype"/>
        </w:rPr>
        <w:t>cabo todas</w:t>
      </w:r>
      <w:proofErr w:type="gramEnd"/>
      <w:r w:rsidRPr="00FA12E7">
        <w:rPr>
          <w:rFonts w:ascii="Palatino Linotype" w:eastAsia="Palatino Linotype" w:hAnsi="Palatino Linotype" w:cs="Palatino Linotype"/>
        </w:rPr>
        <w:t xml:space="preserve"> las gestiones necesarias para facilitar el acceso a la información; así la respuesta deberá ser notificada al interesado en el menor tiempo posible, que no podrá exceder de quince días hábiles, contados a partir de la presentación de la solicitud.</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En el caso concreto, derivado de las constancias que obran en el expediente, no se advierte que el Titular de la Unidad de Transparencia, hubiera turnado la solicitud de información a las áreas que, de acuerdo a sus atribuciones, competencias o funciones pudieran contar con la información materia de la solicitud, sino que de </w:t>
      </w:r>
      <w:r w:rsidRPr="00FA12E7">
        <w:rPr>
          <w:rFonts w:ascii="Palatino Linotype" w:eastAsia="Palatino Linotype" w:hAnsi="Palatino Linotype" w:cs="Palatino Linotype"/>
          <w:i/>
        </w:rPr>
        <w:t>motu proprio</w:t>
      </w:r>
      <w:r w:rsidRPr="00FA12E7">
        <w:rPr>
          <w:rFonts w:ascii="Palatino Linotype" w:eastAsia="Palatino Linotype" w:hAnsi="Palatino Linotype" w:cs="Palatino Linotype"/>
        </w:rPr>
        <w:t xml:space="preserve"> indicó que la información querida versaba sobre la obligación de transparencia prevista en la fracción XXXII del artículo 92 de la Ley de la materia, mismo que para mayor referencia se inserta a continuación:</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b/>
          <w:i/>
          <w:sz w:val="22"/>
          <w:szCs w:val="22"/>
        </w:rPr>
        <w:t>Artículo 92.</w:t>
      </w:r>
      <w:r w:rsidRPr="00FA12E7">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67F3E" w:rsidRPr="00FA12E7" w:rsidRDefault="0013410E">
      <w:pPr>
        <w:spacing w:before="120" w:after="120"/>
        <w:ind w:left="1134" w:right="902"/>
        <w:jc w:val="both"/>
        <w:rPr>
          <w:rFonts w:ascii="Palatino Linotype" w:eastAsia="Palatino Linotype" w:hAnsi="Palatino Linotype" w:cs="Palatino Linotype"/>
          <w:b/>
          <w:i/>
          <w:sz w:val="22"/>
          <w:szCs w:val="22"/>
        </w:rPr>
      </w:pPr>
      <w:r w:rsidRPr="00FA12E7">
        <w:rPr>
          <w:rFonts w:ascii="Palatino Linotype" w:eastAsia="Palatino Linotype" w:hAnsi="Palatino Linotype" w:cs="Palatino Linotype"/>
          <w:b/>
          <w:i/>
          <w:sz w:val="22"/>
          <w:szCs w:val="22"/>
        </w:rPr>
        <w:t>...</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XXXII.</w:t>
      </w:r>
      <w:r w:rsidRPr="00FA12E7">
        <w:rPr>
          <w:rFonts w:ascii="Palatino Linotype" w:eastAsia="Palatino Linotype" w:hAnsi="Palatino Linotype" w:cs="Palatino Linotype"/>
          <w:i/>
          <w:sz w:val="22"/>
          <w:szCs w:val="22"/>
        </w:rPr>
        <w:t xml:space="preserve"> Las concesiones, contratos, convenios, permisos, licencias o autorizaciones otorgados, especificando los titulares de aquéllos, debiendo publicarse su objeto, nombre o razón social del titular, vigencia, tipo, </w:t>
      </w:r>
      <w:r w:rsidRPr="00FA12E7">
        <w:rPr>
          <w:rFonts w:ascii="Palatino Linotype" w:eastAsia="Palatino Linotype" w:hAnsi="Palatino Linotype" w:cs="Palatino Linotype"/>
          <w:i/>
          <w:sz w:val="22"/>
          <w:szCs w:val="22"/>
        </w:rPr>
        <w:lastRenderedPageBreak/>
        <w:t>términos, condiciones, monto y modificaciones, así como si el procedimiento involucra el aprovechamiento de bienes, servicios y/o recursos públicos;”</w:t>
      </w:r>
    </w:p>
    <w:p w:rsidR="00867F3E" w:rsidRPr="00FA12E7" w:rsidRDefault="0013410E">
      <w:pPr>
        <w:spacing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De manera que, para consultar la información, el Titular de la Unidad de Transparencia proporcionó la dirección electrónica del portal IPOMEX, cuyo contenido es el siguiente:</w:t>
      </w:r>
    </w:p>
    <w:p w:rsidR="00867F3E" w:rsidRPr="00FA12E7" w:rsidRDefault="0013410E">
      <w:pPr>
        <w:spacing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noProof/>
        </w:rPr>
        <w:drawing>
          <wp:inline distT="0" distB="0" distL="0" distR="0">
            <wp:extent cx="5612130" cy="3592830"/>
            <wp:effectExtent l="0" t="0" r="0" b="0"/>
            <wp:docPr id="9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2130" cy="3592830"/>
                    </a:xfrm>
                    <a:prstGeom prst="rect">
                      <a:avLst/>
                    </a:prstGeom>
                    <a:ln/>
                  </pic:spPr>
                </pic:pic>
              </a:graphicData>
            </a:graphic>
          </wp:inline>
        </w:drawing>
      </w:r>
    </w:p>
    <w:p w:rsidR="00867F3E" w:rsidRPr="00FA12E7" w:rsidRDefault="0013410E">
      <w:pPr>
        <w:spacing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Cabe mencionar que para la publicación de las obligaciones de transparencia en los portales de internet, se deben observar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lastRenderedPageBreak/>
        <w:t xml:space="preserve">En tal sentido, respecto de la publicación de las </w:t>
      </w:r>
      <w:r w:rsidRPr="00FA12E7">
        <w:rPr>
          <w:rFonts w:ascii="Palatino Linotype" w:eastAsia="Palatino Linotype" w:hAnsi="Palatino Linotype" w:cs="Palatino Linotype"/>
          <w:i/>
        </w:rPr>
        <w:t xml:space="preserve">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r w:rsidRPr="00FA12E7">
        <w:rPr>
          <w:rFonts w:ascii="Palatino Linotype" w:eastAsia="Palatino Linotype" w:hAnsi="Palatino Linotype" w:cs="Palatino Linotype"/>
        </w:rPr>
        <w:t>los Lineamientos señalan que los sujetos obligados 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La información se organizará por acto jurídico y respecto de cada uno se especificará su tipo. Por ejemplo:</w:t>
      </w:r>
    </w:p>
    <w:p w:rsidR="00867F3E" w:rsidRPr="00FA12E7" w:rsidRDefault="0013410E">
      <w:pPr>
        <w:spacing w:before="240" w:after="240" w:line="360" w:lineRule="auto"/>
        <w:ind w:left="284"/>
        <w:jc w:val="both"/>
        <w:rPr>
          <w:rFonts w:ascii="Palatino Linotype" w:eastAsia="Palatino Linotype" w:hAnsi="Palatino Linotype" w:cs="Palatino Linotype"/>
        </w:rPr>
      </w:pPr>
      <w:r w:rsidRPr="00FA12E7">
        <w:rPr>
          <w:rFonts w:ascii="Palatino Linotype" w:eastAsia="Palatino Linotype" w:hAnsi="Palatino Linotype" w:cs="Palatino Linotype"/>
          <w:b/>
        </w:rPr>
        <w:t>Concesión</w:t>
      </w:r>
      <w:r w:rsidRPr="00FA12E7">
        <w:rPr>
          <w:rFonts w:ascii="Palatino Linotype" w:eastAsia="Palatino Linotype" w:hAnsi="Palatino Linotype" w:cs="Palatino Linotype"/>
        </w:rPr>
        <w:t xml:space="preserve"> para ejecución y operación de obra pública; prestación de servicio público; radiodifusión; telecomunicaciones; etcétera. </w:t>
      </w:r>
    </w:p>
    <w:p w:rsidR="00867F3E" w:rsidRPr="00FA12E7" w:rsidRDefault="0013410E">
      <w:pPr>
        <w:spacing w:before="240" w:after="240" w:line="360" w:lineRule="auto"/>
        <w:ind w:left="284"/>
        <w:jc w:val="both"/>
        <w:rPr>
          <w:rFonts w:ascii="Palatino Linotype" w:eastAsia="Palatino Linotype" w:hAnsi="Palatino Linotype" w:cs="Palatino Linotype"/>
        </w:rPr>
      </w:pPr>
      <w:r w:rsidRPr="00FA12E7">
        <w:rPr>
          <w:rFonts w:ascii="Palatino Linotype" w:eastAsia="Palatino Linotype" w:hAnsi="Palatino Linotype" w:cs="Palatino Linotype"/>
          <w:b/>
        </w:rPr>
        <w:t>Permiso</w:t>
      </w:r>
      <w:r w:rsidRPr="00FA12E7">
        <w:rPr>
          <w:rFonts w:ascii="Palatino Linotype" w:eastAsia="Palatino Linotype" w:hAnsi="Palatino Linotype" w:cs="Palatino Linotype"/>
        </w:rPr>
        <w:t xml:space="preserve"> para el tratamiento y refinación del petróleo; para el almacenamiento, el transporte y la distribución por ductos de petróleo, gas, petrolíferos y petroquímicos; de radiodifusión, de telecomunicaciones; de conducir; etcétera. </w:t>
      </w:r>
    </w:p>
    <w:p w:rsidR="00867F3E" w:rsidRPr="00FA12E7" w:rsidRDefault="0013410E">
      <w:pPr>
        <w:spacing w:before="240" w:after="240" w:line="360" w:lineRule="auto"/>
        <w:ind w:left="284"/>
        <w:jc w:val="both"/>
        <w:rPr>
          <w:rFonts w:ascii="Palatino Linotype" w:eastAsia="Palatino Linotype" w:hAnsi="Palatino Linotype" w:cs="Palatino Linotype"/>
        </w:rPr>
      </w:pPr>
      <w:r w:rsidRPr="00FA12E7">
        <w:rPr>
          <w:rFonts w:ascii="Palatino Linotype" w:eastAsia="Palatino Linotype" w:hAnsi="Palatino Linotype" w:cs="Palatino Linotype"/>
          <w:b/>
        </w:rPr>
        <w:t>Licencia</w:t>
      </w:r>
      <w:r w:rsidRPr="00FA12E7">
        <w:rPr>
          <w:rFonts w:ascii="Palatino Linotype" w:eastAsia="Palatino Linotype" w:hAnsi="Palatino Linotype" w:cs="Palatino Linotype"/>
        </w:rPr>
        <w:t xml:space="preserve"> de uso de suelo, de construcción, de anuncios, de conducir, de explotación de yacimientos de materiales pétreos, de exploración y extracción del petróleo, etcétera. </w:t>
      </w:r>
    </w:p>
    <w:p w:rsidR="00867F3E" w:rsidRPr="00FA12E7" w:rsidRDefault="0013410E">
      <w:pPr>
        <w:spacing w:before="240" w:after="240" w:line="360" w:lineRule="auto"/>
        <w:ind w:left="284"/>
        <w:jc w:val="both"/>
        <w:rPr>
          <w:rFonts w:ascii="Palatino Linotype" w:eastAsia="Palatino Linotype" w:hAnsi="Palatino Linotype" w:cs="Palatino Linotype"/>
        </w:rPr>
      </w:pPr>
      <w:r w:rsidRPr="00FA12E7">
        <w:rPr>
          <w:rFonts w:ascii="Palatino Linotype" w:eastAsia="Palatino Linotype" w:hAnsi="Palatino Linotype" w:cs="Palatino Linotype"/>
          <w:b/>
        </w:rPr>
        <w:t>Autorización</w:t>
      </w:r>
      <w:r w:rsidRPr="00FA12E7">
        <w:rPr>
          <w:rFonts w:ascii="Palatino Linotype" w:eastAsia="Palatino Linotype" w:hAnsi="Palatino Linotype" w:cs="Palatino Linotype"/>
        </w:rPr>
        <w:t xml:space="preserve"> de cambio de giro de local en mercado público; de espectáculos en la vía pública, parques o espacios públicos; de uso y ocupación; del Programa </w:t>
      </w:r>
      <w:r w:rsidRPr="00FA12E7">
        <w:rPr>
          <w:rFonts w:ascii="Palatino Linotype" w:eastAsia="Palatino Linotype" w:hAnsi="Palatino Linotype" w:cs="Palatino Linotype"/>
        </w:rPr>
        <w:lastRenderedPageBreak/>
        <w:t xml:space="preserve">Especial de Protección Civil; de juegos pirotécnicos; para impartir educación; para el acceso a la multiprogramación; o las que el sujeto obligado determine. </w:t>
      </w:r>
    </w:p>
    <w:p w:rsidR="00867F3E" w:rsidRPr="00FA12E7" w:rsidRDefault="0013410E">
      <w:pPr>
        <w:spacing w:before="240" w:after="240" w:line="360" w:lineRule="auto"/>
        <w:ind w:left="284"/>
        <w:jc w:val="both"/>
        <w:rPr>
          <w:rFonts w:ascii="Palatino Linotype" w:eastAsia="Palatino Linotype" w:hAnsi="Palatino Linotype" w:cs="Palatino Linotype"/>
        </w:rPr>
      </w:pPr>
      <w:r w:rsidRPr="00FA12E7">
        <w:rPr>
          <w:rFonts w:ascii="Palatino Linotype" w:eastAsia="Palatino Linotype" w:hAnsi="Palatino Linotype" w:cs="Palatino Linotype"/>
          <w:b/>
        </w:rPr>
        <w:t>Contrato.</w:t>
      </w:r>
      <w:r w:rsidRPr="00FA12E7">
        <w:rPr>
          <w:rFonts w:ascii="Palatino Linotype" w:eastAsia="Palatino Linotype" w:hAnsi="Palatino Linotype" w:cs="Palatino Linotype"/>
        </w:rPr>
        <w:t xml:space="preserve"> Aquellos celebrados por el sujeto obligado y que se realicen con cargo total o parcial a recursos públicos de acuerdo con las leyes que le sean aplicables. </w:t>
      </w:r>
    </w:p>
    <w:p w:rsidR="00867F3E" w:rsidRPr="00FA12E7" w:rsidRDefault="0013410E">
      <w:pPr>
        <w:spacing w:before="240" w:after="240" w:line="360" w:lineRule="auto"/>
        <w:ind w:left="284"/>
        <w:jc w:val="both"/>
        <w:rPr>
          <w:rFonts w:ascii="Palatino Linotype" w:eastAsia="Palatino Linotype" w:hAnsi="Palatino Linotype" w:cs="Palatino Linotype"/>
        </w:rPr>
      </w:pPr>
      <w:r w:rsidRPr="00FA12E7">
        <w:rPr>
          <w:rFonts w:ascii="Palatino Linotype" w:eastAsia="Palatino Linotype" w:hAnsi="Palatino Linotype" w:cs="Palatino Linotype"/>
          <w:b/>
        </w:rPr>
        <w:t>Convenio</w:t>
      </w:r>
      <w:r w:rsidRPr="00FA12E7">
        <w:rPr>
          <w:rFonts w:ascii="Palatino Linotype" w:eastAsia="Palatino Linotype" w:hAnsi="Palatino Linotype" w:cs="Palatino Linotype"/>
        </w:rPr>
        <w:t>. Acuerdo que se firma para desarrollar un asunto concreto destinado a establecer, transferir, modificar o eliminar una obligación.</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Asimismo, se deben observar, entre otros, los criterios sustantivos de contenido: </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noProof/>
        </w:rPr>
        <w:drawing>
          <wp:inline distT="0" distB="0" distL="0" distR="0">
            <wp:extent cx="5603240" cy="2137410"/>
            <wp:effectExtent l="0" t="0" r="0" b="0"/>
            <wp:docPr id="9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603240" cy="2137410"/>
                    </a:xfrm>
                    <a:prstGeom prst="rect">
                      <a:avLst/>
                    </a:prstGeom>
                    <a:ln/>
                  </pic:spPr>
                </pic:pic>
              </a:graphicData>
            </a:graphic>
          </wp:inline>
        </w:drawing>
      </w:r>
      <w:r w:rsidRPr="00FA12E7">
        <w:rPr>
          <w:rFonts w:ascii="Palatino Linotype" w:eastAsia="Palatino Linotype" w:hAnsi="Palatino Linotype" w:cs="Palatino Linotype"/>
          <w:noProof/>
        </w:rPr>
        <w:drawing>
          <wp:inline distT="0" distB="0" distL="0" distR="0">
            <wp:extent cx="5612130" cy="2157730"/>
            <wp:effectExtent l="0" t="0" r="0" b="0"/>
            <wp:docPr id="10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612130" cy="2157730"/>
                    </a:xfrm>
                    <a:prstGeom prst="rect">
                      <a:avLst/>
                    </a:prstGeom>
                    <a:ln/>
                  </pic:spPr>
                </pic:pic>
              </a:graphicData>
            </a:graphic>
          </wp:inline>
        </w:drawing>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lastRenderedPageBreak/>
        <w:t>Así como los criterios adjetivos de formato: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noProof/>
        </w:rPr>
        <w:drawing>
          <wp:inline distT="0" distB="0" distL="0" distR="0">
            <wp:extent cx="5603240" cy="1477645"/>
            <wp:effectExtent l="0" t="0" r="0" b="0"/>
            <wp:docPr id="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603240" cy="1477645"/>
                    </a:xfrm>
                    <a:prstGeom prst="rect">
                      <a:avLst/>
                    </a:prstGeom>
                    <a:ln/>
                  </pic:spPr>
                </pic:pic>
              </a:graphicData>
            </a:graphic>
          </wp:inline>
        </w:drawing>
      </w:r>
      <w:r w:rsidRPr="00FA12E7">
        <w:rPr>
          <w:rFonts w:ascii="Palatino Linotype" w:eastAsia="Palatino Linotype" w:hAnsi="Palatino Linotype" w:cs="Palatino Linotype"/>
          <w:noProof/>
        </w:rPr>
        <w:drawing>
          <wp:inline distT="0" distB="0" distL="0" distR="0">
            <wp:extent cx="5603240" cy="1977390"/>
            <wp:effectExtent l="0" t="0" r="0" b="0"/>
            <wp:docPr id="1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603240" cy="1977390"/>
                    </a:xfrm>
                    <a:prstGeom prst="rect">
                      <a:avLst/>
                    </a:prstGeom>
                    <a:ln/>
                  </pic:spPr>
                </pic:pic>
              </a:graphicData>
            </a:graphic>
          </wp:inline>
        </w:drawing>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De lo anterior se desprende que en cumplimiento a la obligación de transparencia relativa a la publicación de </w:t>
      </w:r>
      <w:r w:rsidRPr="00FA12E7">
        <w:rPr>
          <w:rFonts w:ascii="Palatino Linotype" w:eastAsia="Palatino Linotype" w:hAnsi="Palatino Linotype" w:cs="Palatino Linotype"/>
          <w:i/>
        </w:rPr>
        <w:t xml:space="preserve">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r w:rsidRPr="00FA12E7">
        <w:rPr>
          <w:rFonts w:ascii="Palatino Linotype" w:eastAsia="Palatino Linotype" w:hAnsi="Palatino Linotype" w:cs="Palatino Linotype"/>
        </w:rPr>
        <w:t>los Sujetos Obligados deben poner a disposición del público aquella información relacionada con el otorgamiento de dichos documentos, entre la que destaca el tipo del acto jurídico, el objeto, sector al cual se le otorgó el acto jurídico, el nombre del titular, la razón social del titular y el hipervínculo al contrato, convenio, permiso, licencia o concesión, sin embargo, dicha información no corresponde con los documentos que integran el expediente respectivo.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lastRenderedPageBreak/>
        <w:t>Asimismo, no obsta mencionar que, de conformidad con el artículo 161 de Ley de Transparencia y Acceso a la Información Pública del Estado de México y Municipios, en aquellos casos en lo que la información requerida por los solicitantes se encuentre disponible al público en medios impresos o formatos electrónicos disponibles en internet o en cualquier otro medio, los Sujetos Obligados cuentan con la prerrogativa de hacer saber a los solicitantes dentro de los  cinco días hábiles posteriores a la presentación de la solicitud, por el medio requerido, la fuente, el lugar y la forma en que pueden consultar, reproducir o adquirir la información, sin embargo, la fuente proporcionada debe ser precisa y concreta, y no debe implicar que los solicitantes realicen una búsqueda en la totalidad de la información que se encuentre disponible.</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En el presente caso, en el supuesto de que la información requerida efectivamente obrara en el portal IPOMEX, la orientación proporcionada por 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hubiera resultado insuficiente para tener por atendido el derecho de acceso a la información de la persona solicitante, toda vez que si bien se cumplió con el plazo previsto en el precepto legal, el Titular de la Unidad de Transparencia se limitó a proporcionar la dirección electrónica sin proporcionar datos de localización o precisar el método para proceder a la consulta de la información, por lo que se le conmina  a que en próximas ocasiones observe puntualmente las disposiciones de la materia, a efecto de dar atención oportuna a las solicitudes de información que se le presenten.</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En esta tesitura, atendiendo a la materia de la solicitud, es preciso referir que, de conformidad con el artículo 9.20 del Código de Reglamentación Municipal de Metepec, la Dirección de Desarrollo Económico, Turístico y Artesanal cuenta con la atribución de expedir permisos provisionales de funcionamiento, a saber:</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lastRenderedPageBreak/>
        <w:t>“</w:t>
      </w:r>
      <w:r w:rsidRPr="00FA12E7">
        <w:rPr>
          <w:rFonts w:ascii="Palatino Linotype" w:eastAsia="Palatino Linotype" w:hAnsi="Palatino Linotype" w:cs="Palatino Linotype"/>
          <w:b/>
          <w:i/>
          <w:sz w:val="22"/>
          <w:szCs w:val="22"/>
        </w:rPr>
        <w:t>Artículo 9.20</w:t>
      </w:r>
      <w:r w:rsidRPr="00FA12E7">
        <w:rPr>
          <w:rFonts w:ascii="Palatino Linotype" w:eastAsia="Palatino Linotype" w:hAnsi="Palatino Linotype" w:cs="Palatino Linotype"/>
          <w:i/>
          <w:sz w:val="22"/>
          <w:szCs w:val="22"/>
        </w:rPr>
        <w:t xml:space="preserve">. La </w:t>
      </w:r>
      <w:r w:rsidRPr="00FA12E7">
        <w:rPr>
          <w:rFonts w:ascii="Palatino Linotype" w:eastAsia="Palatino Linotype" w:hAnsi="Palatino Linotype" w:cs="Palatino Linotype"/>
          <w:b/>
          <w:i/>
          <w:sz w:val="22"/>
          <w:szCs w:val="22"/>
        </w:rPr>
        <w:t>Dirección de Desarrollo Económico, Turístico y Artesanal podrá expedir permisos provisionales de funcionamiento</w:t>
      </w:r>
      <w:r w:rsidRPr="00FA12E7">
        <w:rPr>
          <w:rFonts w:ascii="Palatino Linotype" w:eastAsia="Palatino Linotype" w:hAnsi="Palatino Linotype" w:cs="Palatino Linotype"/>
          <w:i/>
          <w:sz w:val="22"/>
          <w:szCs w:val="22"/>
        </w:rPr>
        <w:t xml:space="preserve"> con vigencia de 1 a 12 meses, mismos que podrán ser renovados, siempre y cuando lo solicite el titular de la unidad económica y cumplan con los requisitos aplicables. El permiso provisional será válido durante la vigencia y en los días calendario que especifique.”</w:t>
      </w:r>
    </w:p>
    <w:p w:rsidR="00867F3E" w:rsidRPr="00FA12E7" w:rsidRDefault="0013410E">
      <w:pPr>
        <w:spacing w:before="240" w:after="240" w:line="360" w:lineRule="auto"/>
        <w:ind w:right="51"/>
        <w:jc w:val="both"/>
        <w:rPr>
          <w:rFonts w:ascii="Palatino Linotype" w:eastAsia="Palatino Linotype" w:hAnsi="Palatino Linotype" w:cs="Palatino Linotype"/>
        </w:rPr>
      </w:pPr>
      <w:r w:rsidRPr="00FA12E7">
        <w:rPr>
          <w:rFonts w:ascii="Palatino Linotype" w:eastAsia="Palatino Linotype" w:hAnsi="Palatino Linotype" w:cs="Palatino Linotype"/>
        </w:rPr>
        <w:t>Dicho trámite consiste en otorgar al solicitante un documento que autoriza la operación de las unidades económicas, que para su funcionamiento requieran y no cuentan con: Licencia Uso de Suelo y Constancia de Visto Bueno de Protección Civil, o cuando la unidad económica tenga planeado operar por un tiempo determinado menor a 1 año.</w:t>
      </w:r>
    </w:p>
    <w:p w:rsidR="00867F3E" w:rsidRPr="00FA12E7" w:rsidRDefault="0013410E">
      <w:pPr>
        <w:spacing w:before="240" w:after="240" w:line="360" w:lineRule="auto"/>
        <w:ind w:right="51"/>
        <w:jc w:val="both"/>
        <w:rPr>
          <w:rFonts w:ascii="Palatino Linotype" w:eastAsia="Palatino Linotype" w:hAnsi="Palatino Linotype" w:cs="Palatino Linotype"/>
        </w:rPr>
      </w:pPr>
      <w:r w:rsidRPr="00FA12E7">
        <w:rPr>
          <w:rFonts w:ascii="Palatino Linotype" w:eastAsia="Palatino Linotype" w:hAnsi="Palatino Linotype" w:cs="Palatino Linotype"/>
        </w:rPr>
        <w:t>En tal contexto, las solicitudes de alta o renovación de permiso provisional de funcionamiento, son atendidas por el Centro Municipal de Atención Empresarial dependiente de la Dirección de Desarrollo Económico, para lo cual los interesados deben presentar los siguientes requisitos, de conformidad con el artículo 9.21 del Código de Reglamentación:</w:t>
      </w:r>
    </w:p>
    <w:p w:rsidR="00867F3E" w:rsidRPr="00FA12E7" w:rsidRDefault="0013410E">
      <w:pPr>
        <w:spacing w:before="240" w:after="240" w:line="276" w:lineRule="auto"/>
        <w:ind w:left="284" w:right="51"/>
        <w:jc w:val="both"/>
        <w:rPr>
          <w:rFonts w:ascii="Palatino Linotype" w:eastAsia="Palatino Linotype" w:hAnsi="Palatino Linotype" w:cs="Palatino Linotype"/>
          <w:b/>
        </w:rPr>
      </w:pPr>
      <w:r w:rsidRPr="00FA12E7">
        <w:rPr>
          <w:rFonts w:ascii="Palatino Linotype" w:eastAsia="Palatino Linotype" w:hAnsi="Palatino Linotype" w:cs="Palatino Linotype"/>
          <w:b/>
        </w:rPr>
        <w:t xml:space="preserve">I. Alta: </w:t>
      </w:r>
    </w:p>
    <w:p w:rsidR="00867F3E" w:rsidRPr="00FA12E7" w:rsidRDefault="0013410E">
      <w:pPr>
        <w:spacing w:before="240" w:after="240" w:line="276" w:lineRule="auto"/>
        <w:ind w:left="567"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a)</w:t>
      </w:r>
      <w:r w:rsidRPr="00FA12E7">
        <w:rPr>
          <w:rFonts w:ascii="Palatino Linotype" w:eastAsia="Palatino Linotype" w:hAnsi="Palatino Linotype" w:cs="Palatino Linotype"/>
        </w:rPr>
        <w:t xml:space="preserve"> Formato de Solicitud de Permiso debidamente </w:t>
      </w:r>
      <w:proofErr w:type="spellStart"/>
      <w:r w:rsidRPr="00FA12E7">
        <w:rPr>
          <w:rFonts w:ascii="Palatino Linotype" w:eastAsia="Palatino Linotype" w:hAnsi="Palatino Linotype" w:cs="Palatino Linotype"/>
        </w:rPr>
        <w:t>requisitados</w:t>
      </w:r>
      <w:proofErr w:type="spellEnd"/>
      <w:r w:rsidRPr="00FA12E7">
        <w:rPr>
          <w:rFonts w:ascii="Palatino Linotype" w:eastAsia="Palatino Linotype" w:hAnsi="Palatino Linotype" w:cs="Palatino Linotype"/>
        </w:rPr>
        <w:t xml:space="preserve">; </w:t>
      </w:r>
    </w:p>
    <w:p w:rsidR="00867F3E" w:rsidRPr="00FA12E7" w:rsidRDefault="0013410E">
      <w:pPr>
        <w:spacing w:before="240" w:after="240" w:line="276" w:lineRule="auto"/>
        <w:ind w:left="567"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b)</w:t>
      </w:r>
      <w:r w:rsidRPr="00FA12E7">
        <w:rPr>
          <w:rFonts w:ascii="Palatino Linotype" w:eastAsia="Palatino Linotype" w:hAnsi="Palatino Linotype" w:cs="Palatino Linotype"/>
        </w:rPr>
        <w:t xml:space="preserve"> Acreditar la personalidad: </w:t>
      </w:r>
    </w:p>
    <w:p w:rsidR="00867F3E" w:rsidRPr="00FA12E7" w:rsidRDefault="0013410E">
      <w:pPr>
        <w:spacing w:before="240" w:after="240" w:line="276" w:lineRule="auto"/>
        <w:ind w:left="851"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 Persona Física</w:t>
      </w:r>
      <w:r w:rsidRPr="00FA12E7">
        <w:rPr>
          <w:rFonts w:ascii="Palatino Linotype" w:eastAsia="Palatino Linotype" w:hAnsi="Palatino Linotype" w:cs="Palatino Linotype"/>
        </w:rPr>
        <w:t xml:space="preserve">: Identificación oficial vigente del propietario, cuando no es el titular presentar carta poder simple (con dos testigos e identificaciones oficiales vigentes de las partes que intervienen) o en su caso, poder notarial. </w:t>
      </w:r>
    </w:p>
    <w:p w:rsidR="00867F3E" w:rsidRPr="00FA12E7" w:rsidRDefault="0013410E">
      <w:pPr>
        <w:spacing w:before="240" w:after="240" w:line="276" w:lineRule="auto"/>
        <w:ind w:left="851"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 Personas Jurídico-Colectivas</w:t>
      </w:r>
      <w:r w:rsidRPr="00FA12E7">
        <w:rPr>
          <w:rFonts w:ascii="Palatino Linotype" w:eastAsia="Palatino Linotype" w:hAnsi="Palatino Linotype" w:cs="Palatino Linotype"/>
        </w:rPr>
        <w:t xml:space="preserve">: Acta constitutiva de la empresa. El apoderado Legal deberá anexar identificación oficial vigente, así como </w:t>
      </w:r>
      <w:r w:rsidRPr="00FA12E7">
        <w:rPr>
          <w:rFonts w:ascii="Palatino Linotype" w:eastAsia="Palatino Linotype" w:hAnsi="Palatino Linotype" w:cs="Palatino Linotype"/>
        </w:rPr>
        <w:lastRenderedPageBreak/>
        <w:t xml:space="preserve">poder notarial; asimismo, podrá otorgar carta poder simple (dos testigos con identificaciones oficiales vigentes de las partes que intervienen); </w:t>
      </w:r>
    </w:p>
    <w:p w:rsidR="00867F3E" w:rsidRPr="00FA12E7" w:rsidRDefault="0013410E">
      <w:pPr>
        <w:spacing w:before="240" w:after="240" w:line="276" w:lineRule="auto"/>
        <w:ind w:left="567"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c)</w:t>
      </w:r>
      <w:r w:rsidRPr="00FA12E7">
        <w:rPr>
          <w:rFonts w:ascii="Palatino Linotype" w:eastAsia="Palatino Linotype" w:hAnsi="Palatino Linotype" w:cs="Palatino Linotype"/>
        </w:rPr>
        <w:t xml:space="preserve"> Documento que acredite la propiedad o posesión del inmueble: Escrituras, contrato de arrendamiento o contrato de comodato, anexando copia de la identificación oficial vigente de quien firma como arrendatario; </w:t>
      </w:r>
    </w:p>
    <w:p w:rsidR="00867F3E" w:rsidRPr="00FA12E7" w:rsidRDefault="0013410E">
      <w:pPr>
        <w:spacing w:before="240" w:after="240" w:line="276" w:lineRule="auto"/>
        <w:ind w:left="567"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d)</w:t>
      </w:r>
      <w:r w:rsidRPr="00FA12E7">
        <w:rPr>
          <w:rFonts w:ascii="Palatino Linotype" w:eastAsia="Palatino Linotype" w:hAnsi="Palatino Linotype" w:cs="Palatino Linotype"/>
        </w:rPr>
        <w:t xml:space="preserve"> Fotografías a color: Dos de la fachada y dos de interior del establecimiento en diferentes ángulos; </w:t>
      </w:r>
    </w:p>
    <w:p w:rsidR="00867F3E" w:rsidRPr="00FA12E7" w:rsidRDefault="0013410E">
      <w:pPr>
        <w:spacing w:before="240" w:after="240" w:line="276" w:lineRule="auto"/>
        <w:ind w:left="567"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e)</w:t>
      </w:r>
      <w:r w:rsidRPr="00FA12E7">
        <w:rPr>
          <w:rFonts w:ascii="Palatino Linotype" w:eastAsia="Palatino Linotype" w:hAnsi="Palatino Linotype" w:cs="Palatino Linotype"/>
        </w:rPr>
        <w:t xml:space="preserve"> Carta Responsiva en Materia de Protección Civil u Orden de Verificación para la Constancia de Visto Bueno y la Coordinación de Protección Civil y Bomberos; </w:t>
      </w:r>
    </w:p>
    <w:p w:rsidR="00867F3E" w:rsidRPr="00FA12E7" w:rsidRDefault="0013410E">
      <w:pPr>
        <w:spacing w:before="240" w:after="240" w:line="276" w:lineRule="auto"/>
        <w:ind w:left="567"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f)</w:t>
      </w:r>
      <w:r w:rsidRPr="00FA12E7">
        <w:rPr>
          <w:rFonts w:ascii="Palatino Linotype" w:eastAsia="Palatino Linotype" w:hAnsi="Palatino Linotype" w:cs="Palatino Linotype"/>
        </w:rPr>
        <w:t xml:space="preserve"> Carta Responsiva en materia de prohibición del uso y entrega de bolsas y popotes de plástico de un solo uso; y </w:t>
      </w:r>
    </w:p>
    <w:p w:rsidR="00867F3E" w:rsidRPr="00FA12E7" w:rsidRDefault="0013410E">
      <w:pPr>
        <w:spacing w:before="240" w:after="240" w:line="276" w:lineRule="auto"/>
        <w:ind w:left="567"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g)</w:t>
      </w:r>
      <w:r w:rsidRPr="00FA12E7">
        <w:rPr>
          <w:rFonts w:ascii="Palatino Linotype" w:eastAsia="Palatino Linotype" w:hAnsi="Palatino Linotype" w:cs="Palatino Linotype"/>
        </w:rPr>
        <w:t xml:space="preserve"> Carta Compromiso de realización de los trámites legales aplicables, según corresponde de acuerdo al giro.</w:t>
      </w:r>
    </w:p>
    <w:p w:rsidR="00867F3E" w:rsidRPr="00FA12E7" w:rsidRDefault="0013410E">
      <w:pPr>
        <w:spacing w:before="240" w:after="240" w:line="276" w:lineRule="auto"/>
        <w:ind w:left="284" w:right="51"/>
        <w:jc w:val="both"/>
        <w:rPr>
          <w:rFonts w:ascii="Palatino Linotype" w:eastAsia="Palatino Linotype" w:hAnsi="Palatino Linotype" w:cs="Palatino Linotype"/>
          <w:b/>
        </w:rPr>
      </w:pPr>
      <w:r w:rsidRPr="00FA12E7">
        <w:rPr>
          <w:rFonts w:ascii="Palatino Linotype" w:eastAsia="Palatino Linotype" w:hAnsi="Palatino Linotype" w:cs="Palatino Linotype"/>
          <w:b/>
        </w:rPr>
        <w:t>II. Renovación:</w:t>
      </w:r>
    </w:p>
    <w:p w:rsidR="00867F3E" w:rsidRPr="00FA12E7" w:rsidRDefault="0013410E">
      <w:pPr>
        <w:spacing w:before="240" w:after="240" w:line="276" w:lineRule="auto"/>
        <w:ind w:left="567"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a)</w:t>
      </w:r>
      <w:r w:rsidRPr="00FA12E7">
        <w:rPr>
          <w:rFonts w:ascii="Palatino Linotype" w:eastAsia="Palatino Linotype" w:hAnsi="Palatino Linotype" w:cs="Palatino Linotype"/>
        </w:rPr>
        <w:t xml:space="preserve"> Formato de Solicitud de Permiso debidamente </w:t>
      </w:r>
      <w:proofErr w:type="spellStart"/>
      <w:r w:rsidRPr="00FA12E7">
        <w:rPr>
          <w:rFonts w:ascii="Palatino Linotype" w:eastAsia="Palatino Linotype" w:hAnsi="Palatino Linotype" w:cs="Palatino Linotype"/>
        </w:rPr>
        <w:t>requisitados</w:t>
      </w:r>
      <w:proofErr w:type="spellEnd"/>
      <w:r w:rsidRPr="00FA12E7">
        <w:rPr>
          <w:rFonts w:ascii="Palatino Linotype" w:eastAsia="Palatino Linotype" w:hAnsi="Palatino Linotype" w:cs="Palatino Linotype"/>
        </w:rPr>
        <w:t xml:space="preserve">; </w:t>
      </w:r>
    </w:p>
    <w:p w:rsidR="00867F3E" w:rsidRPr="00FA12E7" w:rsidRDefault="0013410E">
      <w:pPr>
        <w:spacing w:before="240" w:after="240" w:line="276" w:lineRule="auto"/>
        <w:ind w:left="567"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b)</w:t>
      </w:r>
      <w:r w:rsidRPr="00FA12E7">
        <w:rPr>
          <w:rFonts w:ascii="Palatino Linotype" w:eastAsia="Palatino Linotype" w:hAnsi="Palatino Linotype" w:cs="Palatino Linotype"/>
        </w:rPr>
        <w:t xml:space="preserve"> Acreditar la personalidad en términos de la fracción anterior; </w:t>
      </w:r>
    </w:p>
    <w:p w:rsidR="00867F3E" w:rsidRPr="00FA12E7" w:rsidRDefault="0013410E">
      <w:pPr>
        <w:spacing w:before="240" w:after="240" w:line="276" w:lineRule="auto"/>
        <w:ind w:left="567"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c)</w:t>
      </w:r>
      <w:r w:rsidRPr="00FA12E7">
        <w:rPr>
          <w:rFonts w:ascii="Palatino Linotype" w:eastAsia="Palatino Linotype" w:hAnsi="Palatino Linotype" w:cs="Palatino Linotype"/>
        </w:rPr>
        <w:t xml:space="preserve"> La actualización de las cartas responsivas a que se refiere la fracción I; </w:t>
      </w:r>
    </w:p>
    <w:p w:rsidR="00867F3E" w:rsidRPr="00FA12E7" w:rsidRDefault="0013410E">
      <w:pPr>
        <w:spacing w:before="240" w:after="240" w:line="276" w:lineRule="auto"/>
        <w:ind w:left="567"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d)</w:t>
      </w:r>
      <w:r w:rsidRPr="00FA12E7">
        <w:rPr>
          <w:rFonts w:ascii="Palatino Linotype" w:eastAsia="Palatino Linotype" w:hAnsi="Palatino Linotype" w:cs="Palatino Linotype"/>
        </w:rPr>
        <w:t xml:space="preserve"> Permiso provisional vencido o por vencer; y </w:t>
      </w:r>
    </w:p>
    <w:p w:rsidR="00867F3E" w:rsidRPr="00FA12E7" w:rsidRDefault="0013410E">
      <w:pPr>
        <w:spacing w:before="240" w:after="240" w:line="276" w:lineRule="auto"/>
        <w:ind w:left="567" w:right="51"/>
        <w:jc w:val="both"/>
        <w:rPr>
          <w:rFonts w:ascii="Palatino Linotype" w:eastAsia="Palatino Linotype" w:hAnsi="Palatino Linotype" w:cs="Palatino Linotype"/>
        </w:rPr>
      </w:pPr>
      <w:r w:rsidRPr="00FA12E7">
        <w:rPr>
          <w:rFonts w:ascii="Palatino Linotype" w:eastAsia="Palatino Linotype" w:hAnsi="Palatino Linotype" w:cs="Palatino Linotype"/>
          <w:b/>
        </w:rPr>
        <w:t>e)</w:t>
      </w:r>
      <w:r w:rsidRPr="00FA12E7">
        <w:rPr>
          <w:rFonts w:ascii="Palatino Linotype" w:eastAsia="Palatino Linotype" w:hAnsi="Palatino Linotype" w:cs="Palatino Linotype"/>
        </w:rPr>
        <w:t xml:space="preserve"> Acreditar la realización de los trámites legales aplicables, de acuerdo al giro.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Conforme a lo anterior se logra advertir que toda persona interesada en obtener un Permiso Provisional de Funcionamiento Comercial, Industrial y/o Prestación de Servicios, al momento de iniciar el trámite debe presentar diversas documentales, </w:t>
      </w:r>
      <w:r w:rsidRPr="00FA12E7">
        <w:rPr>
          <w:rFonts w:ascii="Palatino Linotype" w:eastAsia="Palatino Linotype" w:hAnsi="Palatino Linotype" w:cs="Palatino Linotype"/>
        </w:rPr>
        <w:lastRenderedPageBreak/>
        <w:t>entre las que sobresalen aquellas para acreditar la personalidad, como identificación oficial vigente, carta poder simple o poder notarial, y de ser el caso acta constitutiva de la empresa; el documento que acredite la propiedad o posesión del inmueble, como escrituras, contrato de arrendamiento o comodato, acompañado de la identificación del arrendatario o comodatario; entre otros.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En este sentido, es de mencionar que el Ayuntamiento de Metepec, como Sujeto Obligado se encuentra constreñido a trasparentar y permitir el acceso a su información, no debe perderse de vista que también se encuentra obligado a proteger los datos personales y la información cuya titularidad corresponda a los particulares, que obre en su poder, según lo dispuesto en los artículos 23 fracción IV y 24 fracciones VI, IX, </w:t>
      </w:r>
      <w:proofErr w:type="gramStart"/>
      <w:r w:rsidRPr="00FA12E7">
        <w:rPr>
          <w:rFonts w:ascii="Palatino Linotype" w:eastAsia="Palatino Linotype" w:hAnsi="Palatino Linotype" w:cs="Palatino Linotype"/>
        </w:rPr>
        <w:t>XIV  y</w:t>
      </w:r>
      <w:proofErr w:type="gramEnd"/>
      <w:r w:rsidRPr="00FA12E7">
        <w:rPr>
          <w:rFonts w:ascii="Palatino Linotype" w:eastAsia="Palatino Linotype" w:hAnsi="Palatino Linotype" w:cs="Palatino Linotype"/>
        </w:rPr>
        <w:t xml:space="preserve"> XIX de la Ley de Transparencia Local, a saber:</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b/>
          <w:i/>
          <w:sz w:val="22"/>
          <w:szCs w:val="22"/>
        </w:rPr>
        <w:t>Artículo 23</w:t>
      </w:r>
      <w:r w:rsidRPr="00FA12E7">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rsidR="00867F3E" w:rsidRPr="00FA12E7" w:rsidRDefault="0013410E">
      <w:pPr>
        <w:spacing w:before="120" w:after="120"/>
        <w:ind w:left="1134" w:right="902"/>
        <w:jc w:val="both"/>
        <w:rPr>
          <w:rFonts w:ascii="Palatino Linotype" w:eastAsia="Palatino Linotype" w:hAnsi="Palatino Linotype" w:cs="Palatino Linotype"/>
          <w:b/>
          <w:i/>
          <w:sz w:val="22"/>
          <w:szCs w:val="22"/>
        </w:rPr>
      </w:pPr>
      <w:r w:rsidRPr="00FA12E7">
        <w:rPr>
          <w:rFonts w:ascii="Palatino Linotype" w:eastAsia="Palatino Linotype" w:hAnsi="Palatino Linotype" w:cs="Palatino Linotype"/>
          <w:b/>
          <w:i/>
          <w:sz w:val="22"/>
          <w:szCs w:val="22"/>
        </w:rPr>
        <w:t>...</w:t>
      </w:r>
    </w:p>
    <w:p w:rsidR="00867F3E" w:rsidRPr="00FA12E7" w:rsidRDefault="0013410E">
      <w:pPr>
        <w:spacing w:before="120" w:after="120"/>
        <w:ind w:left="1134" w:right="902"/>
        <w:jc w:val="both"/>
        <w:rPr>
          <w:rFonts w:ascii="Palatino Linotype" w:eastAsia="Palatino Linotype" w:hAnsi="Palatino Linotype" w:cs="Palatino Linotype"/>
          <w:b/>
          <w:i/>
          <w:sz w:val="22"/>
          <w:szCs w:val="22"/>
        </w:rPr>
      </w:pPr>
      <w:r w:rsidRPr="00FA12E7">
        <w:rPr>
          <w:rFonts w:ascii="Palatino Linotype" w:eastAsia="Palatino Linotype" w:hAnsi="Palatino Linotype" w:cs="Palatino Linotype"/>
          <w:b/>
          <w:i/>
          <w:sz w:val="22"/>
          <w:szCs w:val="22"/>
        </w:rPr>
        <w:t xml:space="preserve">IV. </w:t>
      </w:r>
      <w:r w:rsidRPr="00FA12E7">
        <w:rPr>
          <w:rFonts w:ascii="Palatino Linotype" w:eastAsia="Palatino Linotype" w:hAnsi="Palatino Linotype" w:cs="Palatino Linotype"/>
          <w:i/>
          <w:sz w:val="22"/>
          <w:szCs w:val="22"/>
        </w:rPr>
        <w:t xml:space="preserve">Los </w:t>
      </w:r>
      <w:r w:rsidRPr="00FA12E7">
        <w:rPr>
          <w:rFonts w:ascii="Palatino Linotype" w:eastAsia="Palatino Linotype" w:hAnsi="Palatino Linotype" w:cs="Palatino Linotype"/>
          <w:b/>
          <w:i/>
          <w:sz w:val="22"/>
          <w:szCs w:val="22"/>
        </w:rPr>
        <w:t xml:space="preserve">ayuntamientos </w:t>
      </w:r>
      <w:r w:rsidRPr="00FA12E7">
        <w:rPr>
          <w:rFonts w:ascii="Palatino Linotype" w:eastAsia="Palatino Linotype" w:hAnsi="Palatino Linotype" w:cs="Palatino Linotype"/>
          <w:i/>
          <w:sz w:val="22"/>
          <w:szCs w:val="22"/>
        </w:rPr>
        <w:t>y las dependencias, organismos, órganos y entidades de la administración municipal;”</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Artículo 24</w:t>
      </w:r>
      <w:r w:rsidRPr="00FA12E7">
        <w:rPr>
          <w:rFonts w:ascii="Palatino Linotype" w:eastAsia="Palatino Linotype" w:hAnsi="Palatino Linotype" w:cs="Palatino Linotype"/>
          <w:i/>
          <w:sz w:val="22"/>
          <w:szCs w:val="22"/>
        </w:rPr>
        <w:t>. Para el cumplimiento de los objetivos de esta Ley, los sujetos obligados deberán cumplir con las siguientes obligaciones, según corresponda, de acuerdo a su naturaleza:</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VI.</w:t>
      </w:r>
      <w:r w:rsidRPr="00FA12E7">
        <w:rPr>
          <w:rFonts w:ascii="Palatino Linotype" w:eastAsia="Palatino Linotype" w:hAnsi="Palatino Linotype" w:cs="Palatino Linotype"/>
          <w:i/>
          <w:sz w:val="22"/>
          <w:szCs w:val="22"/>
        </w:rPr>
        <w:t xml:space="preserve"> Proteger y resguardar la información clasificada como reservada o confidencial;</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XI</w:t>
      </w:r>
      <w:r w:rsidRPr="00FA12E7">
        <w:rPr>
          <w:rFonts w:ascii="Palatino Linotype" w:eastAsia="Palatino Linotype" w:hAnsi="Palatino Linotype" w:cs="Palatino Linotype"/>
          <w:i/>
          <w:sz w:val="22"/>
          <w:szCs w:val="22"/>
        </w:rPr>
        <w:t>. Dar acceso a la información pública que le sea requerida, en los términos de la Ley General, esta Ley y demás disposiciones jurídicas aplicables;</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XIV</w:t>
      </w:r>
      <w:r w:rsidRPr="00FA12E7">
        <w:rPr>
          <w:rFonts w:ascii="Palatino Linotype" w:eastAsia="Palatino Linotype" w:hAnsi="Palatino Linotype" w:cs="Palatino Linotype"/>
          <w:i/>
          <w:sz w:val="22"/>
          <w:szCs w:val="22"/>
        </w:rPr>
        <w:t>. Asegurar la protección de los datos personales en su posesión, en términos de la Ley de Protección de Datos Personales del Estado de México;</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lastRenderedPageBreak/>
        <w:t>...</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XIX.</w:t>
      </w:r>
      <w:r w:rsidRPr="00FA12E7">
        <w:rPr>
          <w:rFonts w:ascii="Palatino Linotype" w:eastAsia="Palatino Linotype" w:hAnsi="Palatino Linotype" w:cs="Palatino Linotype"/>
          <w:i/>
          <w:sz w:val="22"/>
          <w:szCs w:val="22"/>
        </w:rPr>
        <w:t xml:space="preserve"> Transparentar sus acciones, así como garantizar y respetar el derecho a la información pública;”</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En tal sentido, no debe perderse de vista que en el presente asunto la persona solicitante requirió información relativa al expediente relacionado con los Permisos Provisionales de Funcionamiento Comercial, Industrial y/o Prestación de Servicios, vía acceso a la información, motivo por el cual este Organismo Garante en uso de sus atribuciones y funciones que la Ley de Transparencia, Ley de Protección de Datos Personales y demás normatividad vigente aplicable, es el encargado de garantizar el pleno ejercicio del derecho de acceso a la información pública</w:t>
      </w:r>
      <w:r w:rsidRPr="00FA12E7">
        <w:t xml:space="preserve"> </w:t>
      </w:r>
      <w:r w:rsidRPr="00FA12E7">
        <w:rPr>
          <w:rFonts w:ascii="Palatino Linotype" w:eastAsia="Palatino Linotype" w:hAnsi="Palatino Linotype" w:cs="Palatino Linotype"/>
        </w:rPr>
        <w:t>y la protección de datos personales en posesión de los sujetos obligados, debiendo verificar la naturaleza jurídica de la información que les es requerida a los Sujetos Obligados con la finalidad de determinar si es procedente o no la entrega de la misma y en qué términos debe hacerse, sin que ello implique la invasión de sus esferas competenciales.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Así las cosas, como se desprende del artículo 9.21 del Código Reglamentario citado con antelación, las personas interesadas deben proporcionar diversos documentos, mismos que de manera inmediata, reflejan información relacionada con el patrimonio de particulares, así como diversos datos personales que no son de dominio público.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En este orden de ideas, el artículo 6°, Apartado A), fracción II, de la Constitución Política de los Estados Unidos Mexicanos, prevé que la información que se refiere a la vida privada y los datos personales será protegida en los términos y con las excepciones que fijen las leyes. </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lastRenderedPageBreak/>
        <w:t>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Acorde con lo anterior, la Ley General de Transparencia y Acceso a la Información Pública, en su artículo 116, dispone que se considera información confidencial la que contenga datos personales concernientes a una persona física identificada o identificable.</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rsidR="00867F3E" w:rsidRPr="00FA12E7" w:rsidRDefault="0013410E">
      <w:pPr>
        <w:numPr>
          <w:ilvl w:val="0"/>
          <w:numId w:val="1"/>
        </w:numPr>
        <w:spacing w:before="240" w:after="240" w:line="360" w:lineRule="auto"/>
        <w:ind w:left="426" w:firstLine="0"/>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Se trate de datos personales o información privada; esto es, información concerniente a una persona física o jurídico colectiva y que esta sea identificada o identificable. </w:t>
      </w:r>
    </w:p>
    <w:p w:rsidR="00867F3E" w:rsidRPr="00FA12E7" w:rsidRDefault="0013410E">
      <w:pPr>
        <w:numPr>
          <w:ilvl w:val="0"/>
          <w:numId w:val="1"/>
        </w:numPr>
        <w:spacing w:before="240" w:after="240" w:line="360" w:lineRule="auto"/>
        <w:ind w:left="426" w:firstLine="0"/>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Para la difusión de los datos, se requiera el consentimiento del titular. </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w:t>
      </w:r>
      <w:r w:rsidRPr="00FA12E7">
        <w:rPr>
          <w:rFonts w:ascii="Palatino Linotype" w:eastAsia="Palatino Linotype" w:hAnsi="Palatino Linotype" w:cs="Palatino Linotype"/>
        </w:rPr>
        <w:lastRenderedPageBreak/>
        <w:t xml:space="preserve">determinarse directa o indirectamente a través de cualquier documento informativo físico o electrónico), establecida en cualquier formato o modalidad. </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Además, en el artículo 5° de dicho ordenamiento jurídico, establece que es la Ley aplicable para todo tratamiento de datos personales.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Por su parte,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w:t>
      </w:r>
      <w:r w:rsidRPr="00FA12E7">
        <w:rPr>
          <w:rFonts w:ascii="Palatino Linotype" w:eastAsia="Palatino Linotype" w:hAnsi="Palatino Linotype" w:cs="Palatino Linotype"/>
        </w:rPr>
        <w:lastRenderedPageBreak/>
        <w:t>y de recursos públicos de las instituciones y es a partir de ahí, en donde las instituciones públicas deben determinar la publicidad de su información.</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De tal suerte, las instituciones públicas tienen la doble responsabilidad, por un lado, de proteger los datos personales y por otro, darles publicidad cuando la relevancia de esos datos sea de interés público.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En este tenor,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w:t>
      </w:r>
      <w:r w:rsidRPr="00FA12E7">
        <w:rPr>
          <w:rFonts w:ascii="Palatino Linotype" w:eastAsia="Palatino Linotype" w:hAnsi="Palatino Linotype" w:cs="Palatino Linotype"/>
        </w:rPr>
        <w:lastRenderedPageBreak/>
        <w:t>que el beneficio de su publicidad es mayor que el beneficio de su clasificación, aun tratándose de información personal.</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Bajo ese contexto, se analizarán de manera enunciativa más no limitativa algunos datos personales que pueden encontrarse dentro de los documentos que pueden dar cuenta de lo requerido por el Particular; esto es, verificar si actualizan la causal de clasificación establecida en el artículo 143, fracción I, de la Ley de Transparencia y Acceso a la Información Pública del Estado de México y Municipios.</w:t>
      </w:r>
    </w:p>
    <w:p w:rsidR="00867F3E" w:rsidRPr="00FA12E7" w:rsidRDefault="0013410E">
      <w:pPr>
        <w:spacing w:before="240" w:after="240" w:line="360" w:lineRule="auto"/>
        <w:jc w:val="both"/>
        <w:rPr>
          <w:rFonts w:ascii="Palatino Linotype" w:eastAsia="Palatino Linotype" w:hAnsi="Palatino Linotype" w:cs="Palatino Linotype"/>
        </w:rPr>
      </w:pPr>
      <w:bookmarkStart w:id="10" w:name="_heading=h.44sinio" w:colFirst="0" w:colLast="0"/>
      <w:bookmarkEnd w:id="10"/>
      <w:r w:rsidRPr="00FA12E7">
        <w:rPr>
          <w:rFonts w:ascii="Palatino Linotype" w:eastAsia="Palatino Linotype" w:hAnsi="Palatino Linotype" w:cs="Palatino Linotype"/>
        </w:rPr>
        <w:t xml:space="preserve">Por lo que se refiere a la </w:t>
      </w:r>
      <w:r w:rsidRPr="00FA12E7">
        <w:rPr>
          <w:rFonts w:ascii="Palatino Linotype" w:eastAsia="Palatino Linotype" w:hAnsi="Palatino Linotype" w:cs="Palatino Linotype"/>
          <w:i/>
        </w:rPr>
        <w:t>identificación oficial,</w:t>
      </w:r>
      <w:r w:rsidRPr="00FA12E7">
        <w:rPr>
          <w:rFonts w:ascii="Palatino Linotype" w:eastAsia="Palatino Linotype" w:hAnsi="Palatino Linotype" w:cs="Palatino Linotype"/>
        </w:rPr>
        <w:t xml:space="preserve"> se considera como un documento mediante el cual una persona física puede acreditar su identidad, pudiendo ser la credencial para votar, cédula profesional, pasaporte, licencia de conducir, o la tarjeta de residencia temporal o permanente, mismos que por su naturaleza, contienen datos personales como nombre, fotografía, fecha y lugar de nacimiento, edad, sexo, grupo sanguíneo o tipo de sangre, clave única del registro de población, nacionalidad, domicilio, huella digital, firma, número identificador, entre otros, información que, por tratarse de una persona física que actúa en ejercicio de sus derechos personales, al darle publicidad, se vulneraria su ámbito de privacidad </w:t>
      </w:r>
      <w:r w:rsidRPr="00FA12E7">
        <w:rPr>
          <w:rFonts w:ascii="Palatino Linotype" w:eastAsia="Palatino Linotype" w:hAnsi="Palatino Linotype" w:cs="Palatino Linotype"/>
        </w:rPr>
        <w:lastRenderedPageBreak/>
        <w:t>afectando esfera más íntima de su titular, en virtud de que le haría identificable, y su utilización indebida pueda dar origen a un riesgo grave para éste.</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Respecto a la </w:t>
      </w:r>
      <w:r w:rsidRPr="00FA12E7">
        <w:rPr>
          <w:rFonts w:ascii="Palatino Linotype" w:eastAsia="Palatino Linotype" w:hAnsi="Palatino Linotype" w:cs="Palatino Linotype"/>
          <w:i/>
        </w:rPr>
        <w:t xml:space="preserve">fotografía, </w:t>
      </w:r>
      <w:r w:rsidRPr="00FA12E7">
        <w:rPr>
          <w:rFonts w:ascii="Palatino Linotype" w:eastAsia="Palatino Linotype" w:hAnsi="Palatino Linotype" w:cs="Palatino Linotype"/>
        </w:rPr>
        <w:t>constituye la reproducción fiel de la imagen de una persona, obtenida en papel a través de la impresión en un rollo o placa por medio de cámara fotográfica, o en formato digital. En este sentido, la fotografía constituye el primer elemento de la esfera personal de todo individuo, en cuanto instrumento básico de identificación y proyección exterior y factor imprescindible para su propio reconocimiento como sujeto individual; por lo tanto, es un dato personal.</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La </w:t>
      </w:r>
      <w:r w:rsidRPr="00FA12E7">
        <w:rPr>
          <w:rFonts w:ascii="Palatino Linotype" w:eastAsia="Palatino Linotype" w:hAnsi="Palatino Linotype" w:cs="Palatino Linotype"/>
          <w:i/>
        </w:rPr>
        <w:t xml:space="preserve">fecha de nacimiento, </w:t>
      </w:r>
      <w:r w:rsidRPr="00FA12E7">
        <w:rPr>
          <w:rFonts w:ascii="Palatino Linotype" w:eastAsia="Palatino Linotype" w:hAnsi="Palatino Linotype" w:cs="Palatino Linotype"/>
        </w:rPr>
        <w:t>data o referencia del alumbramiento de una persona, su publicidad permitiría determinar el tiempo que ha vivido su titular; al ser por ello un dato personal que incide en la esfera privada de las personas, requiere de su protección.</w:t>
      </w:r>
    </w:p>
    <w:p w:rsidR="00867F3E" w:rsidRPr="00FA12E7" w:rsidRDefault="0013410E">
      <w:pPr>
        <w:spacing w:before="240" w:after="240" w:line="360" w:lineRule="auto"/>
        <w:jc w:val="both"/>
        <w:rPr>
          <w:rFonts w:ascii="Palatino Linotype" w:eastAsia="Palatino Linotype" w:hAnsi="Palatino Linotype" w:cs="Palatino Linotype"/>
          <w:i/>
        </w:rPr>
      </w:pPr>
      <w:r w:rsidRPr="00FA12E7">
        <w:rPr>
          <w:rFonts w:ascii="Palatino Linotype" w:eastAsia="Palatino Linotype" w:hAnsi="Palatino Linotype" w:cs="Palatino Linotype"/>
        </w:rPr>
        <w:t xml:space="preserve">El </w:t>
      </w:r>
      <w:r w:rsidRPr="00FA12E7">
        <w:rPr>
          <w:rFonts w:ascii="Palatino Linotype" w:eastAsia="Palatino Linotype" w:hAnsi="Palatino Linotype" w:cs="Palatino Linotype"/>
          <w:i/>
        </w:rPr>
        <w:t xml:space="preserve">lugar de nacimiento </w:t>
      </w:r>
      <w:r w:rsidRPr="00FA12E7">
        <w:rPr>
          <w:rFonts w:ascii="Palatino Linotype" w:eastAsia="Palatino Linotype" w:hAnsi="Palatino Linotype" w:cs="Palatino Linotype"/>
        </w:rPr>
        <w:t>revelaría el estado o país del cual es originario un individuo, lo que permitiría relacionar a una persona física identificada con su origen geográfico o territorial, por lo que se afectaría la intimidad de la persona titular de los mismos</w:t>
      </w:r>
      <w:r w:rsidRPr="00FA12E7">
        <w:rPr>
          <w:rFonts w:ascii="Palatino Linotype" w:eastAsia="Palatino Linotype" w:hAnsi="Palatino Linotype" w:cs="Palatino Linotype"/>
          <w:i/>
        </w:rPr>
        <w:t>.</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La </w:t>
      </w:r>
      <w:r w:rsidRPr="00FA12E7">
        <w:rPr>
          <w:rFonts w:ascii="Palatino Linotype" w:eastAsia="Palatino Linotype" w:hAnsi="Palatino Linotype" w:cs="Palatino Linotype"/>
          <w:i/>
        </w:rPr>
        <w:t>edad</w:t>
      </w:r>
      <w:r w:rsidRPr="00FA12E7">
        <w:rPr>
          <w:rFonts w:ascii="Palatino Linotype" w:eastAsia="Palatino Linotype" w:hAnsi="Palatino Linotype" w:cs="Palatino Linotype"/>
        </w:rPr>
        <w:t>, se refiere a la información natural del tiempo que ha vivido una persona, que por su propia naturaleza incide en la esfera privada la misma; si el dato corresponde a los años cumplidos por una persona física identificable, o si en el caso, a través de su composición por la referencia o data en que ocurrió el nacimiento, o meramente el año de registro, se actualiza la necesidad de protección al ser un dato personal.</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lastRenderedPageBreak/>
        <w:t xml:space="preserve">El </w:t>
      </w:r>
      <w:r w:rsidRPr="00FA12E7">
        <w:rPr>
          <w:rFonts w:ascii="Palatino Linotype" w:eastAsia="Palatino Linotype" w:hAnsi="Palatino Linotype" w:cs="Palatino Linotype"/>
          <w:i/>
        </w:rPr>
        <w:t xml:space="preserve">sexo </w:t>
      </w:r>
      <w:r w:rsidRPr="00FA12E7">
        <w:rPr>
          <w:rFonts w:ascii="Palatino Linotype" w:eastAsia="Palatino Linotype" w:hAnsi="Palatino Linotype" w:cs="Palatino Linotype"/>
        </w:rPr>
        <w:t>es considerado un dato personal, pues con él se distinguen las características biológicas y fisiológicas de una persona y que la harían identificada o identificable, por ejemplo, sus órganos reproductivos, cromosomas, hormonas, etcétera; de esta manera se considera que este dato incide directamente en su ámbito privado y, por ende, en su intimidad.</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La </w:t>
      </w:r>
      <w:r w:rsidRPr="00FA12E7">
        <w:rPr>
          <w:rFonts w:ascii="Palatino Linotype" w:eastAsia="Palatino Linotype" w:hAnsi="Palatino Linotype" w:cs="Palatino Linotype"/>
          <w:i/>
        </w:rPr>
        <w:t xml:space="preserve">nacionalidad </w:t>
      </w:r>
      <w:r w:rsidRPr="00FA12E7">
        <w:rPr>
          <w:rFonts w:ascii="Palatino Linotype" w:eastAsia="Palatino Linotype" w:hAnsi="Palatino Linotype" w:cs="Palatino Linotype"/>
        </w:rPr>
        <w:t xml:space="preserve">es un atributo de la personalidad que señala al individuo como miembro de un Estado, es decir, es el vínculo legal que relaciona a una persona con su nación de origen. En este, sentido la nacionalidad de una persona se considera como información confidencial, en virtud de que su difusión afectaría su esfera de privacidad, revelaría el país del cual es originaria, identificar su origen geográfico, territorial o étnico. </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El </w:t>
      </w:r>
      <w:r w:rsidRPr="00FA12E7">
        <w:rPr>
          <w:rFonts w:ascii="Palatino Linotype" w:eastAsia="Palatino Linotype" w:hAnsi="Palatino Linotype" w:cs="Palatino Linotype"/>
          <w:i/>
        </w:rPr>
        <w:t xml:space="preserve">domicilio particular </w:t>
      </w:r>
      <w:r w:rsidRPr="00FA12E7">
        <w:rPr>
          <w:rFonts w:ascii="Palatino Linotype" w:eastAsia="Palatino Linotype" w:hAnsi="Palatino Linotype" w:cs="Palatino Linotype"/>
        </w:rPr>
        <w:t>al ser el lugar en donde reside habitualmente una persona física, constituye un dato personal y, por ende, confidencial, ya que su difusión podría afectar la esfera privada de la misma. Dicha información se considera confidencial, en virtud de tratarse de datos personales que reflejan cuestiones de la vida privada de las personas.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La </w:t>
      </w:r>
      <w:r w:rsidRPr="00FA12E7">
        <w:rPr>
          <w:rFonts w:ascii="Palatino Linotype" w:eastAsia="Palatino Linotype" w:hAnsi="Palatino Linotype" w:cs="Palatino Linotype"/>
          <w:i/>
        </w:rPr>
        <w:t xml:space="preserve">firma </w:t>
      </w:r>
      <w:r w:rsidRPr="00FA12E7">
        <w:rPr>
          <w:rFonts w:ascii="Palatino Linotype" w:eastAsia="Palatino Linotype" w:hAnsi="Palatino Linotype" w:cs="Palatino Linotype"/>
        </w:rPr>
        <w:t>es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La </w:t>
      </w:r>
      <w:r w:rsidRPr="00FA12E7">
        <w:rPr>
          <w:rFonts w:ascii="Palatino Linotype" w:eastAsia="Palatino Linotype" w:hAnsi="Palatino Linotype" w:cs="Palatino Linotype"/>
          <w:i/>
        </w:rPr>
        <w:t xml:space="preserve">huella dactilar o digital </w:t>
      </w:r>
      <w:r w:rsidRPr="00FA12E7">
        <w:rPr>
          <w:rFonts w:ascii="Palatino Linotype" w:eastAsia="Palatino Linotype" w:hAnsi="Palatino Linotype" w:cs="Palatino Linotype"/>
        </w:rPr>
        <w:t xml:space="preserve">es un dato biométrico consistente en la impresión visible o moldeada que produce el contacto de las crestas papilares de un dedo de la mano </w:t>
      </w:r>
      <w:r w:rsidRPr="00FA12E7">
        <w:rPr>
          <w:rFonts w:ascii="Palatino Linotype" w:eastAsia="Palatino Linotype" w:hAnsi="Palatino Linotype" w:cs="Palatino Linotype"/>
        </w:rPr>
        <w:lastRenderedPageBreak/>
        <w:t>sobre una superficie, por tanto, se considera que es una característica individual que se utiliza como medio de identificación de las personas y constituye un dato personal.</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La </w:t>
      </w:r>
      <w:r w:rsidRPr="00FA12E7">
        <w:rPr>
          <w:rFonts w:ascii="Palatino Linotype" w:eastAsia="Palatino Linotype" w:hAnsi="Palatino Linotype" w:cs="Palatino Linotype"/>
          <w:i/>
        </w:rPr>
        <w:t>clave de elector</w:t>
      </w:r>
      <w:r w:rsidRPr="00FA12E7">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FA12E7">
        <w:rPr>
          <w:rFonts w:ascii="Palatino Linotype" w:eastAsia="Palatino Linotype" w:hAnsi="Palatino Linotype" w:cs="Palatino Linotype"/>
        </w:rPr>
        <w:t>homoclave</w:t>
      </w:r>
      <w:proofErr w:type="spellEnd"/>
      <w:r w:rsidRPr="00FA12E7">
        <w:rPr>
          <w:rFonts w:ascii="Palatino Linotype" w:eastAsia="Palatino Linotype" w:hAnsi="Palatino Linotype" w:cs="Palatino Linotype"/>
        </w:rPr>
        <w:t xml:space="preserve"> que distingue a su titular de cualquier otro homónimo, por lo tanto, se trata de un dato personal que debe ser protegido.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El </w:t>
      </w:r>
      <w:r w:rsidRPr="00FA12E7">
        <w:rPr>
          <w:rFonts w:ascii="Palatino Linotype" w:eastAsia="Palatino Linotype" w:hAnsi="Palatino Linotype" w:cs="Palatino Linotype"/>
          <w:i/>
        </w:rPr>
        <w:t>número de OCR</w:t>
      </w:r>
      <w:r w:rsidRPr="00FA12E7">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FA12E7">
        <w:rPr>
          <w:rFonts w:ascii="Palatino Linotype" w:eastAsia="Palatino Linotype" w:hAnsi="Palatino Linotype" w:cs="Palatino Linotype"/>
        </w:rPr>
        <w:t>geoelectoral</w:t>
      </w:r>
      <w:proofErr w:type="spellEnd"/>
      <w:r w:rsidRPr="00FA12E7">
        <w:rPr>
          <w:rFonts w:ascii="Palatino Linotype" w:eastAsia="Palatino Linotype" w:hAnsi="Palatino Linotype" w:cs="Palatino Linotype"/>
        </w:rPr>
        <w:t xml:space="preserve"> ahí contenida, por lo que es susceptible de resguardarse.</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La </w:t>
      </w:r>
      <w:r w:rsidRPr="00FA12E7">
        <w:rPr>
          <w:rFonts w:ascii="Palatino Linotype" w:eastAsia="Palatino Linotype" w:hAnsi="Palatino Linotype" w:cs="Palatino Linotype"/>
          <w:i/>
        </w:rPr>
        <w:t xml:space="preserve">clave única del registro de población, </w:t>
      </w:r>
      <w:r w:rsidRPr="00FA12E7">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El </w:t>
      </w:r>
      <w:r w:rsidRPr="00FA12E7">
        <w:rPr>
          <w:rFonts w:ascii="Palatino Linotype" w:eastAsia="Palatino Linotype" w:hAnsi="Palatino Linotype" w:cs="Palatino Linotype"/>
          <w:i/>
        </w:rPr>
        <w:t xml:space="preserve">registro federal de contribuyentes, </w:t>
      </w:r>
      <w:r w:rsidRPr="00FA12E7">
        <w:rPr>
          <w:rFonts w:ascii="Palatino Linotype" w:eastAsia="Palatino Linotype" w:hAnsi="Palatino Linotype" w:cs="Palatino Linotype"/>
        </w:rPr>
        <w:t xml:space="preserve">es una clave alfanumérica que constituye un dato personal, pues se genera con caracteres alfanuméricos a partir del nombre y la fecha de nacimiento de cada persona, y finalmente la </w:t>
      </w:r>
      <w:proofErr w:type="spellStart"/>
      <w:r w:rsidRPr="00FA12E7">
        <w:rPr>
          <w:rFonts w:ascii="Palatino Linotype" w:eastAsia="Palatino Linotype" w:hAnsi="Palatino Linotype" w:cs="Palatino Linotype"/>
        </w:rPr>
        <w:t>homoclave</w:t>
      </w:r>
      <w:proofErr w:type="spellEnd"/>
      <w:r w:rsidRPr="00FA12E7">
        <w:rPr>
          <w:rFonts w:ascii="Palatino Linotype" w:eastAsia="Palatino Linotype" w:hAnsi="Palatino Linotype" w:cs="Palatino Linotype"/>
        </w:rPr>
        <w:t xml:space="preserve"> que es única e irrepetible, </w:t>
      </w:r>
      <w:r w:rsidRPr="00FA12E7">
        <w:rPr>
          <w:rFonts w:ascii="Palatino Linotype" w:eastAsia="Palatino Linotype" w:hAnsi="Palatino Linotype" w:cs="Palatino Linotype"/>
        </w:rPr>
        <w:lastRenderedPageBreak/>
        <w:t>por lo que para su obtención es necesario acreditar ante la autoridad fiscal previamente la identidad de la persona, su fecha de nacimiento, entre otros aspectos.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Por cuanto hace a el </w:t>
      </w:r>
      <w:r w:rsidRPr="00FA12E7">
        <w:rPr>
          <w:rFonts w:ascii="Palatino Linotype" w:eastAsia="Palatino Linotype" w:hAnsi="Palatino Linotype" w:cs="Palatino Linotype"/>
          <w:i/>
        </w:rPr>
        <w:t xml:space="preserve">documento que acredite la propiedad o posesión del inmueble, </w:t>
      </w:r>
      <w:r w:rsidRPr="00FA12E7">
        <w:rPr>
          <w:rFonts w:ascii="Palatino Linotype" w:eastAsia="Palatino Linotype" w:hAnsi="Palatino Linotype" w:cs="Palatino Linotype"/>
        </w:rPr>
        <w:t>se considera que los datos contenidos en dichos documentos están asociados al patrimonio de una persona física, entendiendo este como el conjunto de bienes, derechos y obligaciones correspondientes a una persona (física o moral) y que constituyen una universalidad jurídica, que incumbe en esencia únicamente a sus titulares o personas autorizadas para conocer la misma. En este sentido, el Sujeto Obligado se encuentra, obligado a proteger el carácter de confidencial de la información, aunado a que su divulgación facilitaría que cualquier persona pudiera afectar el patrimonio de los particulares.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Asimismo, las escrituras, contrato de arrendamiento o contrato de comodato, como los documentos que acrediten la propiedad o posesión de un inmueble contienen datos personales, como el nombre de las partes -vendedor, comprador, arrendador, arrendatario, comodante, comodatario-, nombre de terceros, domicilio, registro federal de contribuyentes, clave única de registro de población,  firma, entre otros, mismos que, al pertenecer a una persona física identificada o identificable en ejercicio de sus derechos subjetivos, no son de dominio público.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Lo mismo ocurre respecto de la </w:t>
      </w:r>
      <w:r w:rsidRPr="00FA12E7">
        <w:rPr>
          <w:rFonts w:ascii="Palatino Linotype" w:eastAsia="Palatino Linotype" w:hAnsi="Palatino Linotype" w:cs="Palatino Linotype"/>
          <w:i/>
        </w:rPr>
        <w:t>carta poder</w:t>
      </w:r>
      <w:r w:rsidRPr="00FA12E7">
        <w:rPr>
          <w:rFonts w:ascii="Palatino Linotype" w:eastAsia="Palatino Linotype" w:hAnsi="Palatino Linotype" w:cs="Palatino Linotype"/>
        </w:rPr>
        <w:t xml:space="preserve"> o </w:t>
      </w:r>
      <w:r w:rsidRPr="00FA12E7">
        <w:rPr>
          <w:rFonts w:ascii="Palatino Linotype" w:eastAsia="Palatino Linotype" w:hAnsi="Palatino Linotype" w:cs="Palatino Linotype"/>
          <w:i/>
        </w:rPr>
        <w:t>poder notarial</w:t>
      </w:r>
      <w:r w:rsidRPr="00FA12E7">
        <w:rPr>
          <w:rFonts w:ascii="Palatino Linotype" w:eastAsia="Palatino Linotype" w:hAnsi="Palatino Linotype" w:cs="Palatino Linotype"/>
        </w:rPr>
        <w:t xml:space="preserve">, en virtud de que la finalidad de dichos documentos es la posibilidad de que una persona autorice a otra para actuar en su nombre en distintos actos jurídicos o materiales, por tanto, al ser un acto celebrado entre particulares relacionado con el derecho civil y no con el </w:t>
      </w:r>
      <w:r w:rsidRPr="00FA12E7">
        <w:rPr>
          <w:rFonts w:ascii="Palatino Linotype" w:eastAsia="Palatino Linotype" w:hAnsi="Palatino Linotype" w:cs="Palatino Linotype"/>
        </w:rPr>
        <w:lastRenderedPageBreak/>
        <w:t>derecho público, se le considera un documento privado, que solo incumbe a las partes, razón por la cual no debe ser de dominio público.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Por cuanto hace al nombre de la persona física o moral en favor de quien se hubiera otorgado el permiso provisional, es de señalar que dicho dato no constituye información confidencial, de conformidad con los criterios sustantivos de contenido de la información que debe publicarse en cumplimiento de la obligación de transparencia prevista en la fracción XXXII del artículo 92 de la Ley de la materia, citados con antelación.</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Lo mismo ocurre respecto del domicilio en el que se encuentre ubicado el establecimiento, toda vez que al tratarse de información comercial su publicidad no afecta el ámbito de privacidad de su titular. </w:t>
      </w:r>
    </w:p>
    <w:p w:rsidR="00867F3E" w:rsidRPr="00FA12E7" w:rsidRDefault="0013410E">
      <w:pPr>
        <w:spacing w:before="240" w:after="240" w:line="360" w:lineRule="auto"/>
        <w:jc w:val="both"/>
        <w:rPr>
          <w:rFonts w:ascii="Palatino Linotype" w:eastAsia="Palatino Linotype" w:hAnsi="Palatino Linotype" w:cs="Palatino Linotype"/>
          <w:b/>
          <w:u w:val="single"/>
        </w:rPr>
      </w:pPr>
      <w:r w:rsidRPr="00FA12E7">
        <w:rPr>
          <w:rFonts w:ascii="Palatino Linotype" w:eastAsia="Palatino Linotype" w:hAnsi="Palatino Linotype" w:cs="Palatino Linotype"/>
        </w:rPr>
        <w:t xml:space="preserve">Derivado de lo anterior,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w:t>
      </w:r>
      <w:r w:rsidRPr="00FA12E7">
        <w:rPr>
          <w:rFonts w:ascii="Palatino Linotype" w:eastAsia="Palatino Linotype" w:hAnsi="Palatino Linotype" w:cs="Palatino Linotype"/>
          <w:b/>
          <w:u w:val="single"/>
        </w:rPr>
        <w:t>deberá elaborar una versión Pública en la que se testen las partes o secciones clasificadas, indicando su contenido de manera genérica y fundando y motivando su clasificación.</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Como se logra observar, 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debe proporcionar los expedientes de las personas físicas o morales que solicitaron Permisos Provisionales de Funcionamiento Comercial, Industrial y/o Prestación de Servicios, en versión pública en donde deberá clasificar, en términos de lo previamente referido, </w:t>
      </w:r>
      <w:r w:rsidRPr="00FA12E7">
        <w:rPr>
          <w:rFonts w:ascii="Palatino Linotype" w:eastAsia="Palatino Linotype" w:hAnsi="Palatino Linotype" w:cs="Palatino Linotype"/>
          <w:b/>
        </w:rPr>
        <w:t xml:space="preserve">las </w:t>
      </w:r>
      <w:r w:rsidRPr="00FA12E7">
        <w:rPr>
          <w:rFonts w:ascii="Palatino Linotype" w:eastAsia="Palatino Linotype" w:hAnsi="Palatino Linotype" w:cs="Palatino Linotype"/>
          <w:b/>
        </w:rPr>
        <w:lastRenderedPageBreak/>
        <w:t>documentales relacionada con la vida privada de los particulares, o dentro de la esfera particular en razón que, es información que debe protegerse.</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Para tal situación, 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Así entonces, conforme a lo hasta aquí expuesto, la actuación del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no satisface la pretensión de la persona solicitante, en razón que no fueron entregados los documentos que dan cuenta del cumplimiento de los documentos contenidos en el expediente relacionado con los Permisos Provisionales de Funcionamiento Comercial, Industrial y/o Prestación de Servicios solicitados por personas físicas o morales, siendo procedente en consecuencia ordenar la entrega de los expedientes que se hubieran generado, en los términos precisados con anterioridad así como del considerando siguiente.</w:t>
      </w:r>
    </w:p>
    <w:p w:rsidR="00867F3E" w:rsidRPr="00FA12E7" w:rsidRDefault="0013410E">
      <w:pPr>
        <w:spacing w:before="280" w:after="28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Asimismo, toda vez que la parte solicitante fue omisa en señalar el periodo sobre el cual requería la información, en ejercicio de la facultad de suplencia prevista en los artículos 13</w:t>
      </w:r>
      <w:r w:rsidRPr="00FA12E7">
        <w:rPr>
          <w:rFonts w:ascii="Palatino Linotype" w:eastAsia="Palatino Linotype" w:hAnsi="Palatino Linotype" w:cs="Palatino Linotype"/>
          <w:vertAlign w:val="superscript"/>
        </w:rPr>
        <w:footnoteReference w:id="2"/>
      </w:r>
      <w:r w:rsidRPr="00FA12E7">
        <w:rPr>
          <w:rFonts w:ascii="Palatino Linotype" w:eastAsia="Palatino Linotype" w:hAnsi="Palatino Linotype" w:cs="Palatino Linotype"/>
        </w:rPr>
        <w:t xml:space="preserve"> y 181</w:t>
      </w:r>
      <w:r w:rsidRPr="00FA12E7">
        <w:rPr>
          <w:rFonts w:ascii="Palatino Linotype" w:eastAsia="Palatino Linotype" w:hAnsi="Palatino Linotype" w:cs="Palatino Linotype"/>
          <w:vertAlign w:val="superscript"/>
        </w:rPr>
        <w:footnoteReference w:id="3"/>
      </w:r>
      <w:r w:rsidRPr="00FA12E7">
        <w:rPr>
          <w:rFonts w:ascii="Palatino Linotype" w:eastAsia="Palatino Linotype" w:hAnsi="Palatino Linotype" w:cs="Palatino Linotype"/>
        </w:rPr>
        <w:t xml:space="preserve"> párrafo cuarto de la Ley de Transparencia y Acceso a la Información Pública del Estado de México y Municipios, este Organismo Garante </w:t>
      </w:r>
      <w:r w:rsidRPr="00FA12E7">
        <w:rPr>
          <w:rFonts w:ascii="Palatino Linotype" w:eastAsia="Palatino Linotype" w:hAnsi="Palatino Linotype" w:cs="Palatino Linotype"/>
        </w:rPr>
        <w:lastRenderedPageBreak/>
        <w:t>estima adecuado, ordenar la entrega, de ser el caso, del soporte documental generado en el año inmediato anterior contado a partir de la fecha de presentación de la solicitud, es decir, del uno de agosto de dos mil veintiuno al uno de agosto de dos mil veintidós.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Lo anterior se robustece con el criterio de interpretación 03/19 emitido por el Instituto Nacional de Transparencia Acceso a la Información y Protección de Datos Personales, INAI, en el cual es del tenor literal siguiente:</w:t>
      </w:r>
    </w:p>
    <w:p w:rsidR="00867F3E" w:rsidRPr="00FA12E7" w:rsidRDefault="0013410E">
      <w:pPr>
        <w:pBdr>
          <w:top w:val="nil"/>
          <w:left w:val="nil"/>
          <w:bottom w:val="nil"/>
          <w:right w:val="nil"/>
          <w:between w:val="nil"/>
        </w:pBdr>
        <w:spacing w:before="120" w:after="120"/>
        <w:ind w:left="851" w:right="900"/>
        <w:jc w:val="both"/>
        <w:rPr>
          <w:rFonts w:ascii="Palatino Linotype" w:eastAsia="Palatino Linotype" w:hAnsi="Palatino Linotype" w:cs="Palatino Linotype"/>
          <w:i/>
        </w:rPr>
      </w:pP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b/>
          <w:i/>
          <w:sz w:val="22"/>
          <w:szCs w:val="22"/>
        </w:rPr>
        <w:t>Periodo de búsqueda de la información</w:t>
      </w:r>
      <w:r w:rsidRPr="00FA12E7">
        <w:rPr>
          <w:rFonts w:ascii="Palatino Linotype" w:eastAsia="Palatino Linotype" w:hAnsi="Palatino Linotype" w:cs="Palatino Linotype"/>
          <w:i/>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sidRPr="00FA12E7">
        <w:rPr>
          <w:rFonts w:ascii="Palatino Linotype" w:eastAsia="Palatino Linotype" w:hAnsi="Palatino Linotype" w:cs="Palatino Linotype"/>
          <w:i/>
        </w:rPr>
        <w:t xml:space="preserve">  </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Asimismo, sin contrariar lo anterior, toda vez que de la normatividad aplicable al caso concreto se advierte que la existencia de la información se encuentra condicionada a la solicitud previa del trámite por parte de los interesados, para el caso de que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b/>
          <w:i/>
          <w:sz w:val="22"/>
          <w:szCs w:val="22"/>
        </w:rPr>
        <w:t>Artículo 19</w:t>
      </w:r>
      <w:r w:rsidRPr="00FA12E7">
        <w:rPr>
          <w:rFonts w:ascii="Palatino Linotype" w:eastAsia="Palatino Linotype" w:hAnsi="Palatino Linotype" w:cs="Palatino Linotype"/>
          <w:i/>
          <w:sz w:val="22"/>
          <w:szCs w:val="22"/>
        </w:rPr>
        <w:t>…</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rsidR="00867F3E" w:rsidRPr="00FA12E7" w:rsidRDefault="0013410E">
      <w:pPr>
        <w:spacing w:before="240" w:after="240" w:line="360" w:lineRule="auto"/>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rPr>
        <w:lastRenderedPageBreak/>
        <w:t xml:space="preserve">Siendo improcedente, en tal supuesto, la entrega de documento alguno, o en su caso, el Acuerdo de Inexistencia, toda vez que el pronunciamiento del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w:t>
      </w:r>
      <w:r w:rsidRPr="00FA12E7">
        <w:rPr>
          <w:rFonts w:ascii="Palatino Linotype" w:eastAsia="Palatino Linotype" w:hAnsi="Palatino Linotype" w:cs="Palatino Linotype"/>
          <w:vertAlign w:val="superscript"/>
        </w:rPr>
        <w:footnoteReference w:id="4"/>
      </w:r>
      <w:r w:rsidRPr="00FA12E7">
        <w:rPr>
          <w:rFonts w:ascii="Palatino Linotype" w:eastAsia="Palatino Linotype" w:hAnsi="Palatino Linotype" w:cs="Palatino Linotype"/>
        </w:rPr>
        <w:t xml:space="preserve"> de la Ley de Transparencia y Acceso a la Información Pública del Estado de México y Municipios.</w:t>
      </w:r>
    </w:p>
    <w:p w:rsidR="00867F3E" w:rsidRPr="00FA12E7" w:rsidRDefault="0013410E">
      <w:pPr>
        <w:spacing w:before="240" w:after="240" w:line="360" w:lineRule="auto"/>
        <w:ind w:right="51"/>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De lo hasta aquí expuesto, se concluye que los motivos de inconformidad de la parte </w:t>
      </w:r>
      <w:r w:rsidRPr="00FA12E7">
        <w:rPr>
          <w:rFonts w:ascii="Palatino Linotype" w:eastAsia="Palatino Linotype" w:hAnsi="Palatino Linotype" w:cs="Palatino Linotype"/>
          <w:b/>
        </w:rPr>
        <w:t xml:space="preserve">Recurrente </w:t>
      </w:r>
      <w:r w:rsidRPr="00FA12E7">
        <w:rPr>
          <w:rFonts w:ascii="Palatino Linotype" w:eastAsia="Palatino Linotype" w:hAnsi="Palatino Linotype" w:cs="Palatino Linotype"/>
        </w:rPr>
        <w:t xml:space="preserve">devienen fundados, siendo procedente </w:t>
      </w:r>
      <w:r w:rsidRPr="00FA12E7">
        <w:rPr>
          <w:rFonts w:ascii="Palatino Linotype" w:eastAsia="Palatino Linotype" w:hAnsi="Palatino Linotype" w:cs="Palatino Linotype"/>
          <w:i/>
        </w:rPr>
        <w:t>Revocar</w:t>
      </w:r>
      <w:r w:rsidRPr="00FA12E7">
        <w:rPr>
          <w:rFonts w:ascii="Palatino Linotype" w:eastAsia="Palatino Linotype" w:hAnsi="Palatino Linotype" w:cs="Palatino Linotype"/>
        </w:rPr>
        <w:t xml:space="preserve"> la respuesta proporcionada por el </w:t>
      </w:r>
      <w:r w:rsidRPr="00FA12E7">
        <w:rPr>
          <w:rFonts w:ascii="Palatino Linotype" w:eastAsia="Palatino Linotype" w:hAnsi="Palatino Linotype" w:cs="Palatino Linotype"/>
          <w:b/>
        </w:rPr>
        <w:t xml:space="preserve">Sujeto Obligado </w:t>
      </w:r>
      <w:r w:rsidRPr="00FA12E7">
        <w:rPr>
          <w:rFonts w:ascii="Palatino Linotype" w:eastAsia="Palatino Linotype" w:hAnsi="Palatino Linotype" w:cs="Palatino Linotype"/>
        </w:rPr>
        <w:t>en términos del artículo 186 fracción III de la Ley de Transparencia y Acceso a la Información Pública del Estado de México y Municipios.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b/>
        </w:rPr>
        <w:t>Quinto. Versión Pública.</w:t>
      </w:r>
      <w:r w:rsidRPr="00FA12E7">
        <w:rPr>
          <w:rFonts w:ascii="Palatino Linotype" w:eastAsia="Palatino Linotype" w:hAnsi="Palatino Linotype" w:cs="Palatino Linotype"/>
          <w:sz w:val="28"/>
          <w:szCs w:val="28"/>
        </w:rPr>
        <w:t xml:space="preserve"> </w:t>
      </w:r>
      <w:r w:rsidRPr="00FA12E7">
        <w:rPr>
          <w:rFonts w:ascii="Palatino Linotype" w:eastAsia="Palatino Linotype" w:hAnsi="Palatino Linotype" w:cs="Palatino Linotype"/>
        </w:rPr>
        <w:t>Finalmente, debe señalarse que de ser el caso en que los documentos que vayan a ser entregados por el</w:t>
      </w:r>
      <w:r w:rsidRPr="00FA12E7">
        <w:rPr>
          <w:rFonts w:ascii="Palatino Linotype" w:eastAsia="Palatino Linotype" w:hAnsi="Palatino Linotype" w:cs="Palatino Linotype"/>
          <w:b/>
        </w:rPr>
        <w:t xml:space="preserve"> </w:t>
      </w:r>
      <w:r w:rsidRPr="00FA12E7">
        <w:rPr>
          <w:rFonts w:ascii="Palatino Linotype" w:eastAsia="Palatino Linotype" w:hAnsi="Palatino Linotype" w:cs="Palatino Linotype"/>
        </w:rPr>
        <w:t xml:space="preserve">sujeto obligado, para dar cumplimiento a la presente resolución, contengan datos que deban ser clasificados, 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FA12E7">
        <w:rPr>
          <w:rFonts w:ascii="Palatino Linotype" w:eastAsia="Palatino Linotype" w:hAnsi="Palatino Linotype" w:cs="Palatino Linotype"/>
        </w:rPr>
        <w:lastRenderedPageBreak/>
        <w:t>fracción</w:t>
      </w:r>
      <w:proofErr w:type="gramEnd"/>
      <w:r w:rsidRPr="00FA12E7">
        <w:rPr>
          <w:rFonts w:ascii="Palatino Linotype" w:eastAsia="Palatino Linotype" w:hAnsi="Palatino Linotype" w:cs="Palatino Linotype"/>
        </w:rPr>
        <w:t xml:space="preserve"> I de la Ley de Transparencia y Acceso a la Información Pública del Estado de México y Municipios que establecen:</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r w:rsidRPr="00FA12E7">
        <w:rPr>
          <w:rFonts w:ascii="Palatino Linotype" w:eastAsia="Palatino Linotype" w:hAnsi="Palatino Linotype" w:cs="Palatino Linotype"/>
          <w:b/>
          <w:i/>
          <w:sz w:val="22"/>
          <w:szCs w:val="22"/>
        </w:rPr>
        <w:t>Artículo 3</w:t>
      </w:r>
      <w:r w:rsidRPr="00FA12E7">
        <w:rPr>
          <w:rFonts w:ascii="Palatino Linotype" w:eastAsia="Palatino Linotype" w:hAnsi="Palatino Linotype" w:cs="Palatino Linotype"/>
          <w:i/>
          <w:sz w:val="22"/>
          <w:szCs w:val="22"/>
        </w:rPr>
        <w:t>. Para los efectos de la presente Ley se entenderá por:</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IX. Datos personales</w:t>
      </w:r>
      <w:r w:rsidRPr="00FA12E7">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XX. Información clasificada</w:t>
      </w:r>
      <w:r w:rsidRPr="00FA12E7">
        <w:rPr>
          <w:rFonts w:ascii="Palatino Linotype" w:eastAsia="Palatino Linotype" w:hAnsi="Palatino Linotype" w:cs="Palatino Linotype"/>
          <w:i/>
          <w:sz w:val="22"/>
          <w:szCs w:val="22"/>
        </w:rPr>
        <w:t>: Aquella considerada por la presente Ley como reservada o confidencial;</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 xml:space="preserve">XXI. Información confidencial: </w:t>
      </w:r>
      <w:r w:rsidRPr="00FA12E7">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XLV. Versión pública:</w:t>
      </w:r>
      <w:r w:rsidRPr="00FA12E7">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Artículo 91.</w:t>
      </w:r>
      <w:r w:rsidRPr="00FA12E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Artículo 132.</w:t>
      </w:r>
      <w:r w:rsidRPr="00FA12E7">
        <w:rPr>
          <w:rFonts w:ascii="Palatino Linotype" w:eastAsia="Palatino Linotype" w:hAnsi="Palatino Linotype" w:cs="Palatino Linotype"/>
          <w:i/>
          <w:sz w:val="22"/>
          <w:szCs w:val="22"/>
        </w:rPr>
        <w:t xml:space="preserve"> La clasificación de la información se llevará a cabo en el momento en que:</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I</w:t>
      </w:r>
      <w:r w:rsidRPr="00FA12E7">
        <w:rPr>
          <w:rFonts w:ascii="Palatino Linotype" w:eastAsia="Palatino Linotype" w:hAnsi="Palatino Linotype" w:cs="Palatino Linotype"/>
          <w:i/>
          <w:sz w:val="22"/>
          <w:szCs w:val="22"/>
        </w:rPr>
        <w:t>. Se reciba una solicitud de acceso a la información;</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II.</w:t>
      </w:r>
      <w:r w:rsidRPr="00FA12E7">
        <w:rPr>
          <w:rFonts w:ascii="Palatino Linotype" w:eastAsia="Palatino Linotype" w:hAnsi="Palatino Linotype" w:cs="Palatino Linotype"/>
          <w:i/>
          <w:sz w:val="22"/>
          <w:szCs w:val="22"/>
        </w:rPr>
        <w:t xml:space="preserve"> Se determine mediante resolución de autoridad competente; o</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III.</w:t>
      </w:r>
      <w:r w:rsidRPr="00FA12E7">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Artículo 143</w:t>
      </w:r>
      <w:r w:rsidRPr="00FA12E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I.</w:t>
      </w:r>
      <w:r w:rsidRPr="00FA12E7">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FA12E7">
        <w:rPr>
          <w:rFonts w:ascii="Palatino Linotype" w:eastAsia="Palatino Linotype" w:hAnsi="Palatino Linotype" w:cs="Palatino Linotype"/>
          <w:i/>
          <w:sz w:val="22"/>
          <w:szCs w:val="22"/>
        </w:rPr>
        <w:t>jurídico</w:t>
      </w:r>
      <w:proofErr w:type="gramEnd"/>
      <w:r w:rsidRPr="00FA12E7">
        <w:rPr>
          <w:rFonts w:ascii="Palatino Linotype" w:eastAsia="Palatino Linotype" w:hAnsi="Palatino Linotype" w:cs="Palatino Linotype"/>
          <w:i/>
          <w:sz w:val="22"/>
          <w:szCs w:val="22"/>
        </w:rPr>
        <w:t xml:space="preserve"> colectiva identificada o identificable;</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II.</w:t>
      </w:r>
      <w:r w:rsidRPr="00FA12E7">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w:t>
      </w:r>
      <w:r w:rsidRPr="00FA12E7">
        <w:rPr>
          <w:rFonts w:ascii="Palatino Linotype" w:eastAsia="Palatino Linotype" w:hAnsi="Palatino Linotype" w:cs="Palatino Linotype"/>
          <w:i/>
          <w:sz w:val="22"/>
          <w:szCs w:val="22"/>
        </w:rPr>
        <w:lastRenderedPageBreak/>
        <w:t>internacional o a sujetos obligados cuando no involucren el ejercicio de recursos públicos; y</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III.</w:t>
      </w:r>
      <w:r w:rsidRPr="00FA12E7">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“Quincuagésimo sexto</w:t>
      </w:r>
      <w:r w:rsidRPr="00FA12E7">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Quincuagésimo séptimo</w:t>
      </w:r>
      <w:r w:rsidRPr="00FA12E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lastRenderedPageBreak/>
        <w:t>I.</w:t>
      </w:r>
      <w:r w:rsidRPr="00FA12E7">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II.</w:t>
      </w:r>
      <w:r w:rsidRPr="00FA12E7">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867F3E" w:rsidRPr="00FA12E7" w:rsidRDefault="0013410E">
      <w:pPr>
        <w:spacing w:before="120" w:after="120"/>
        <w:ind w:left="1134"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III.</w:t>
      </w:r>
      <w:r w:rsidRPr="00FA12E7">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867F3E" w:rsidRPr="00FA12E7" w:rsidRDefault="0013410E">
      <w:pPr>
        <w:spacing w:before="120" w:after="120"/>
        <w:ind w:left="851" w:right="902"/>
        <w:jc w:val="both"/>
        <w:rPr>
          <w:rFonts w:ascii="Palatino Linotype" w:eastAsia="Palatino Linotype" w:hAnsi="Palatino Linotype" w:cs="Palatino Linotype"/>
          <w:i/>
          <w:sz w:val="22"/>
          <w:szCs w:val="22"/>
        </w:rPr>
      </w:pPr>
      <w:r w:rsidRPr="00FA12E7">
        <w:rPr>
          <w:rFonts w:ascii="Palatino Linotype" w:eastAsia="Palatino Linotype" w:hAnsi="Palatino Linotype" w:cs="Palatino Linotype"/>
          <w:b/>
          <w:i/>
          <w:sz w:val="22"/>
          <w:szCs w:val="22"/>
        </w:rPr>
        <w:t>Quincuagésimo octavo</w:t>
      </w:r>
      <w:r w:rsidRPr="00FA12E7">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p w:rsidR="0013410E" w:rsidRPr="00FA12E7" w:rsidRDefault="0013410E">
      <w:pPr>
        <w:spacing w:before="240" w:after="240" w:line="360" w:lineRule="auto"/>
        <w:jc w:val="both"/>
        <w:rPr>
          <w:rFonts w:ascii="Palatino Linotype" w:eastAsia="Palatino Linotype" w:hAnsi="Palatino Linotype" w:cs="Palatino Linotype"/>
        </w:rPr>
      </w:pPr>
    </w:p>
    <w:tbl>
      <w:tblPr>
        <w:tblStyle w:val="ad"/>
        <w:tblW w:w="8828" w:type="dxa"/>
        <w:tblInd w:w="-113" w:type="dxa"/>
        <w:tblLayout w:type="fixed"/>
        <w:tblLook w:val="04A0" w:firstRow="1" w:lastRow="0" w:firstColumn="1" w:lastColumn="0" w:noHBand="0" w:noVBand="1"/>
      </w:tblPr>
      <w:tblGrid>
        <w:gridCol w:w="993"/>
        <w:gridCol w:w="3421"/>
        <w:gridCol w:w="968"/>
        <w:gridCol w:w="3446"/>
      </w:tblGrid>
      <w:tr w:rsidR="00FA12E7" w:rsidRPr="00FA12E7" w:rsidTr="00867F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867F3E" w:rsidRPr="00FA12E7" w:rsidRDefault="0013410E">
            <w:pPr>
              <w:jc w:val="center"/>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lastRenderedPageBreak/>
              <w:t>Parcial</w:t>
            </w:r>
          </w:p>
        </w:tc>
        <w:tc>
          <w:tcPr>
            <w:tcW w:w="4414" w:type="dxa"/>
            <w:gridSpan w:val="2"/>
          </w:tcPr>
          <w:p w:rsidR="00867F3E" w:rsidRPr="00FA12E7" w:rsidRDefault="0013410E">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Total</w:t>
            </w:r>
          </w:p>
        </w:tc>
      </w:tr>
      <w:tr w:rsidR="00FA12E7" w:rsidRPr="00FA12E7" w:rsidTr="00867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13410E">
            <w:pPr>
              <w:jc w:val="center"/>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Concepto</w:t>
            </w:r>
          </w:p>
        </w:tc>
        <w:tc>
          <w:tcPr>
            <w:tcW w:w="3421" w:type="dxa"/>
          </w:tcPr>
          <w:p w:rsidR="00867F3E" w:rsidRPr="00FA12E7" w:rsidRDefault="0013410E">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Dónde</w:t>
            </w:r>
          </w:p>
        </w:tc>
        <w:tc>
          <w:tcPr>
            <w:tcW w:w="968" w:type="dxa"/>
          </w:tcPr>
          <w:p w:rsidR="00867F3E" w:rsidRPr="00FA12E7" w:rsidRDefault="0013410E">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Concepto</w:t>
            </w:r>
          </w:p>
        </w:tc>
        <w:tc>
          <w:tcPr>
            <w:tcW w:w="3446" w:type="dxa"/>
          </w:tcPr>
          <w:p w:rsidR="00867F3E" w:rsidRPr="00FA12E7" w:rsidRDefault="0013410E">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Dónde</w:t>
            </w:r>
          </w:p>
        </w:tc>
      </w:tr>
      <w:tr w:rsidR="00FA12E7" w:rsidRPr="00FA12E7" w:rsidTr="00867F3E">
        <w:tc>
          <w:tcPr>
            <w:cnfStyle w:val="001000000000" w:firstRow="0" w:lastRow="0" w:firstColumn="1" w:lastColumn="0" w:oddVBand="0" w:evenVBand="0" w:oddHBand="0" w:evenHBand="0" w:firstRowFirstColumn="0" w:firstRowLastColumn="0" w:lastRowFirstColumn="0" w:lastRowLastColumn="0"/>
            <w:tcW w:w="8828" w:type="dxa"/>
            <w:gridSpan w:val="4"/>
          </w:tcPr>
          <w:p w:rsidR="00867F3E" w:rsidRPr="00FA12E7" w:rsidRDefault="0013410E">
            <w:pPr>
              <w:jc w:val="center"/>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Sello oficial o logotipo del sujeto obligado</w:t>
            </w:r>
          </w:p>
        </w:tc>
      </w:tr>
      <w:tr w:rsidR="00FA12E7" w:rsidRPr="00FA12E7" w:rsidTr="00867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13410E">
            <w:pPr>
              <w:jc w:val="both"/>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Fecha de clasificación</w:t>
            </w:r>
          </w:p>
        </w:tc>
        <w:tc>
          <w:tcPr>
            <w:tcW w:w="3421"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Fecha de clasificación</w:t>
            </w:r>
          </w:p>
        </w:tc>
        <w:tc>
          <w:tcPr>
            <w:tcW w:w="3446"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FA12E7" w:rsidRPr="00FA12E7" w:rsidTr="00867F3E">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13410E">
            <w:pPr>
              <w:jc w:val="both"/>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Área</w:t>
            </w:r>
          </w:p>
        </w:tc>
        <w:tc>
          <w:tcPr>
            <w:tcW w:w="3421"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 señalará el nombre del área del cual es titular quien clasifica.</w:t>
            </w:r>
          </w:p>
        </w:tc>
        <w:tc>
          <w:tcPr>
            <w:tcW w:w="968"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Área</w:t>
            </w:r>
          </w:p>
        </w:tc>
        <w:tc>
          <w:tcPr>
            <w:tcW w:w="3446"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 señalará el nombre del área de la cual es el titular quien clasifica.</w:t>
            </w:r>
          </w:p>
        </w:tc>
      </w:tr>
      <w:tr w:rsidR="00FA12E7" w:rsidRPr="00FA12E7" w:rsidTr="00867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13410E">
            <w:pPr>
              <w:jc w:val="both"/>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Información reservada</w:t>
            </w:r>
          </w:p>
        </w:tc>
        <w:tc>
          <w:tcPr>
            <w:tcW w:w="3421"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FA12E7">
              <w:rPr>
                <w:rFonts w:ascii="Palatino Linotype" w:eastAsia="Palatino Linotype" w:hAnsi="Palatino Linotype" w:cs="Palatino Linotype"/>
                <w:sz w:val="12"/>
                <w:szCs w:val="12"/>
              </w:rPr>
              <w:t>anotarán</w:t>
            </w:r>
            <w:proofErr w:type="gramEnd"/>
            <w:r w:rsidRPr="00FA12E7">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Reservado</w:t>
            </w:r>
          </w:p>
        </w:tc>
        <w:tc>
          <w:tcPr>
            <w:tcW w:w="3446"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Leyenda de información RESERVADA.</w:t>
            </w:r>
          </w:p>
        </w:tc>
      </w:tr>
      <w:tr w:rsidR="00FA12E7" w:rsidRPr="00FA12E7" w:rsidTr="00867F3E">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13410E">
            <w:pPr>
              <w:jc w:val="both"/>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Fundamento legal</w:t>
            </w:r>
          </w:p>
        </w:tc>
        <w:tc>
          <w:tcPr>
            <w:tcW w:w="3421"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Periodo de reserva</w:t>
            </w:r>
          </w:p>
        </w:tc>
        <w:tc>
          <w:tcPr>
            <w:tcW w:w="3446"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FA12E7" w:rsidRPr="00FA12E7" w:rsidTr="00867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13410E">
            <w:pPr>
              <w:jc w:val="both"/>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Ampliación del periodo de reserva</w:t>
            </w:r>
          </w:p>
        </w:tc>
        <w:tc>
          <w:tcPr>
            <w:tcW w:w="3421"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Fundamento legal</w:t>
            </w:r>
          </w:p>
        </w:tc>
        <w:tc>
          <w:tcPr>
            <w:tcW w:w="3446"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FA12E7" w:rsidRPr="00FA12E7" w:rsidTr="00867F3E">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13410E">
            <w:pPr>
              <w:jc w:val="both"/>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Confidencial</w:t>
            </w:r>
          </w:p>
        </w:tc>
        <w:tc>
          <w:tcPr>
            <w:tcW w:w="3421"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Ampliación del periodo de reserva</w:t>
            </w:r>
          </w:p>
        </w:tc>
        <w:tc>
          <w:tcPr>
            <w:tcW w:w="3446"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FA12E7" w:rsidRPr="00FA12E7" w:rsidTr="00867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13410E">
            <w:pPr>
              <w:jc w:val="both"/>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Fundamento legal</w:t>
            </w:r>
          </w:p>
        </w:tc>
        <w:tc>
          <w:tcPr>
            <w:tcW w:w="3421"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Confidencial</w:t>
            </w:r>
          </w:p>
        </w:tc>
        <w:tc>
          <w:tcPr>
            <w:tcW w:w="3446"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Leyenda de información CONFIDENCIAL.</w:t>
            </w:r>
          </w:p>
        </w:tc>
      </w:tr>
      <w:tr w:rsidR="00FA12E7" w:rsidRPr="00FA12E7" w:rsidTr="00867F3E">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13410E">
            <w:pPr>
              <w:jc w:val="both"/>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Rúbrica del titular del área</w:t>
            </w:r>
          </w:p>
        </w:tc>
        <w:tc>
          <w:tcPr>
            <w:tcW w:w="3421"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Rúbrica autógrafa de quien clasifica.</w:t>
            </w:r>
          </w:p>
        </w:tc>
        <w:tc>
          <w:tcPr>
            <w:tcW w:w="968"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Fundamento legal</w:t>
            </w:r>
          </w:p>
        </w:tc>
        <w:tc>
          <w:tcPr>
            <w:tcW w:w="3446"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FA12E7" w:rsidRPr="00FA12E7" w:rsidTr="00867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13410E">
            <w:pPr>
              <w:jc w:val="both"/>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Fecha de desclasificación</w:t>
            </w:r>
          </w:p>
        </w:tc>
        <w:tc>
          <w:tcPr>
            <w:tcW w:w="3421"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 anotará la fecha en que se desclasifica el documento.</w:t>
            </w:r>
          </w:p>
        </w:tc>
        <w:tc>
          <w:tcPr>
            <w:tcW w:w="968"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Rúbrica del titular del área</w:t>
            </w:r>
          </w:p>
        </w:tc>
        <w:tc>
          <w:tcPr>
            <w:tcW w:w="3446"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Rúbrica autógrafa de quien clasifica.</w:t>
            </w:r>
          </w:p>
        </w:tc>
      </w:tr>
      <w:tr w:rsidR="00FA12E7" w:rsidRPr="00FA12E7" w:rsidTr="00867F3E">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13410E">
            <w:pPr>
              <w:jc w:val="both"/>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Rúbrica y cargo del servidor público</w:t>
            </w:r>
          </w:p>
        </w:tc>
        <w:tc>
          <w:tcPr>
            <w:tcW w:w="3421"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Rúbrica autógrafa de quien desclasifica.</w:t>
            </w:r>
          </w:p>
        </w:tc>
        <w:tc>
          <w:tcPr>
            <w:tcW w:w="968"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Fecha de desclasificación</w:t>
            </w:r>
          </w:p>
        </w:tc>
        <w:tc>
          <w:tcPr>
            <w:tcW w:w="3446"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Se anotará la fecha en que se desclasifica.</w:t>
            </w:r>
          </w:p>
        </w:tc>
      </w:tr>
      <w:tr w:rsidR="00FA12E7" w:rsidRPr="00FA12E7" w:rsidTr="00867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867F3E">
            <w:pPr>
              <w:jc w:val="both"/>
              <w:rPr>
                <w:rFonts w:ascii="Palatino Linotype" w:eastAsia="Palatino Linotype" w:hAnsi="Palatino Linotype" w:cs="Palatino Linotype"/>
                <w:sz w:val="12"/>
                <w:szCs w:val="12"/>
              </w:rPr>
            </w:pPr>
          </w:p>
        </w:tc>
        <w:tc>
          <w:tcPr>
            <w:tcW w:w="3421" w:type="dxa"/>
          </w:tcPr>
          <w:p w:rsidR="00867F3E" w:rsidRPr="00FA12E7" w:rsidRDefault="00867F3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Partes o secciones reservadas o confidenciales</w:t>
            </w:r>
          </w:p>
        </w:tc>
        <w:tc>
          <w:tcPr>
            <w:tcW w:w="3446" w:type="dxa"/>
          </w:tcPr>
          <w:p w:rsidR="00867F3E" w:rsidRPr="00FA12E7" w:rsidRDefault="0013410E">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 xml:space="preserve">En caso que una vez desclasificado el expediente, </w:t>
            </w:r>
            <w:proofErr w:type="spellStart"/>
            <w:r w:rsidRPr="00FA12E7">
              <w:rPr>
                <w:rFonts w:ascii="Palatino Linotype" w:eastAsia="Palatino Linotype" w:hAnsi="Palatino Linotype" w:cs="Palatino Linotype"/>
                <w:sz w:val="12"/>
                <w:szCs w:val="12"/>
              </w:rPr>
              <w:t>subsistanpartes</w:t>
            </w:r>
            <w:proofErr w:type="spellEnd"/>
            <w:r w:rsidRPr="00FA12E7">
              <w:rPr>
                <w:rFonts w:ascii="Palatino Linotype" w:eastAsia="Palatino Linotype" w:hAnsi="Palatino Linotype" w:cs="Palatino Linotype"/>
                <w:sz w:val="12"/>
                <w:szCs w:val="12"/>
              </w:rPr>
              <w:t xml:space="preserve"> o secciones del mismo reservadas o confidenciales, se señalará este hecho.</w:t>
            </w:r>
          </w:p>
        </w:tc>
      </w:tr>
      <w:tr w:rsidR="00FA12E7" w:rsidRPr="00FA12E7" w:rsidTr="00867F3E">
        <w:tc>
          <w:tcPr>
            <w:cnfStyle w:val="001000000000" w:firstRow="0" w:lastRow="0" w:firstColumn="1" w:lastColumn="0" w:oddVBand="0" w:evenVBand="0" w:oddHBand="0" w:evenHBand="0" w:firstRowFirstColumn="0" w:firstRowLastColumn="0" w:lastRowFirstColumn="0" w:lastRowLastColumn="0"/>
            <w:tcW w:w="993" w:type="dxa"/>
          </w:tcPr>
          <w:p w:rsidR="00867F3E" w:rsidRPr="00FA12E7" w:rsidRDefault="00867F3E">
            <w:pPr>
              <w:jc w:val="both"/>
              <w:rPr>
                <w:rFonts w:ascii="Palatino Linotype" w:eastAsia="Palatino Linotype" w:hAnsi="Palatino Linotype" w:cs="Palatino Linotype"/>
                <w:sz w:val="12"/>
                <w:szCs w:val="12"/>
              </w:rPr>
            </w:pPr>
          </w:p>
        </w:tc>
        <w:tc>
          <w:tcPr>
            <w:tcW w:w="3421" w:type="dxa"/>
          </w:tcPr>
          <w:p w:rsidR="00867F3E" w:rsidRPr="00FA12E7" w:rsidRDefault="00867F3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FA12E7">
              <w:rPr>
                <w:rFonts w:ascii="Palatino Linotype" w:eastAsia="Palatino Linotype" w:hAnsi="Palatino Linotype" w:cs="Palatino Linotype"/>
                <w:b/>
                <w:sz w:val="12"/>
                <w:szCs w:val="12"/>
              </w:rPr>
              <w:t>Rúbrica y cargo del servidor público</w:t>
            </w:r>
          </w:p>
        </w:tc>
        <w:tc>
          <w:tcPr>
            <w:tcW w:w="3446" w:type="dxa"/>
          </w:tcPr>
          <w:p w:rsidR="00867F3E" w:rsidRPr="00FA12E7" w:rsidRDefault="0013410E">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FA12E7">
              <w:rPr>
                <w:rFonts w:ascii="Palatino Linotype" w:eastAsia="Palatino Linotype" w:hAnsi="Palatino Linotype" w:cs="Palatino Linotype"/>
                <w:sz w:val="12"/>
                <w:szCs w:val="12"/>
              </w:rPr>
              <w:t>Rúbrica autógrafa de quien desclasifica.</w:t>
            </w:r>
          </w:p>
        </w:tc>
      </w:tr>
    </w:tbl>
    <w:p w:rsidR="00867F3E" w:rsidRPr="00FA12E7" w:rsidRDefault="0013410E">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FA12E7">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867F3E" w:rsidRPr="00FA12E7" w:rsidRDefault="0013410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A12E7">
        <w:rPr>
          <w:rFonts w:ascii="Palatino Linotype" w:eastAsia="Palatino Linotype" w:hAnsi="Palatino Linotype" w:cs="Palatino Linotype"/>
          <w:b/>
        </w:rPr>
        <w:t>III. R E S U E L V E</w:t>
      </w:r>
    </w:p>
    <w:p w:rsidR="00867F3E" w:rsidRPr="00FA12E7" w:rsidRDefault="0013410E">
      <w:pPr>
        <w:spacing w:before="240" w:after="240" w:line="360" w:lineRule="auto"/>
        <w:jc w:val="both"/>
        <w:rPr>
          <w:rFonts w:ascii="Palatino Linotype" w:eastAsia="Palatino Linotype" w:hAnsi="Palatino Linotype" w:cs="Palatino Linotype"/>
          <w:b/>
        </w:rPr>
      </w:pPr>
      <w:bookmarkStart w:id="11" w:name="_heading=h.1fob9te" w:colFirst="0" w:colLast="0"/>
      <w:bookmarkEnd w:id="11"/>
      <w:r w:rsidRPr="00FA12E7">
        <w:rPr>
          <w:rFonts w:ascii="Palatino Linotype" w:eastAsia="Palatino Linotype" w:hAnsi="Palatino Linotype" w:cs="Palatino Linotype"/>
          <w:b/>
        </w:rPr>
        <w:t xml:space="preserve">Primero. </w:t>
      </w:r>
      <w:r w:rsidRPr="00FA12E7">
        <w:rPr>
          <w:rFonts w:ascii="Palatino Linotype" w:eastAsia="Palatino Linotype" w:hAnsi="Palatino Linotype" w:cs="Palatino Linotype"/>
        </w:rPr>
        <w:t>Resultan</w:t>
      </w:r>
      <w:r w:rsidRPr="00FA12E7">
        <w:rPr>
          <w:rFonts w:ascii="Palatino Linotype" w:eastAsia="Palatino Linotype" w:hAnsi="Palatino Linotype" w:cs="Palatino Linotype"/>
          <w:b/>
        </w:rPr>
        <w:t xml:space="preserve"> fundados</w:t>
      </w:r>
      <w:r w:rsidRPr="00FA12E7">
        <w:rPr>
          <w:rFonts w:ascii="Palatino Linotype" w:eastAsia="Palatino Linotype" w:hAnsi="Palatino Linotype" w:cs="Palatino Linotype"/>
        </w:rPr>
        <w:t xml:space="preserve"> los motivos de inconformidad hechos valer por la parte </w:t>
      </w:r>
      <w:r w:rsidRPr="00FA12E7">
        <w:rPr>
          <w:rFonts w:ascii="Palatino Linotype" w:eastAsia="Palatino Linotype" w:hAnsi="Palatino Linotype" w:cs="Palatino Linotype"/>
          <w:b/>
        </w:rPr>
        <w:t xml:space="preserve">Recurrente </w:t>
      </w:r>
      <w:r w:rsidRPr="00FA12E7">
        <w:rPr>
          <w:rFonts w:ascii="Palatino Linotype" w:eastAsia="Palatino Linotype" w:hAnsi="Palatino Linotype" w:cs="Palatino Linotype"/>
        </w:rPr>
        <w:t xml:space="preserve">en el recurso de revisión </w:t>
      </w:r>
      <w:r w:rsidRPr="00FA12E7">
        <w:rPr>
          <w:rFonts w:ascii="Palatino Linotype" w:eastAsia="Palatino Linotype" w:hAnsi="Palatino Linotype" w:cs="Palatino Linotype"/>
          <w:b/>
        </w:rPr>
        <w:t xml:space="preserve">13194/INFOEM/IP/RR/2022, </w:t>
      </w:r>
      <w:r w:rsidRPr="00FA12E7">
        <w:rPr>
          <w:rFonts w:ascii="Palatino Linotype" w:eastAsia="Palatino Linotype" w:hAnsi="Palatino Linotype" w:cs="Palatino Linotype"/>
        </w:rPr>
        <w:t xml:space="preserve">por lo que, en </w:t>
      </w:r>
      <w:r w:rsidRPr="00FA12E7">
        <w:rPr>
          <w:rFonts w:ascii="Palatino Linotype" w:eastAsia="Palatino Linotype" w:hAnsi="Palatino Linotype" w:cs="Palatino Linotype"/>
        </w:rPr>
        <w:lastRenderedPageBreak/>
        <w:t xml:space="preserve">términos del Considerando </w:t>
      </w:r>
      <w:r w:rsidRPr="00FA12E7">
        <w:rPr>
          <w:rFonts w:ascii="Palatino Linotype" w:eastAsia="Palatino Linotype" w:hAnsi="Palatino Linotype" w:cs="Palatino Linotype"/>
          <w:b/>
        </w:rPr>
        <w:t>Cuarto</w:t>
      </w:r>
      <w:r w:rsidRPr="00FA12E7">
        <w:rPr>
          <w:rFonts w:ascii="Palatino Linotype" w:eastAsia="Palatino Linotype" w:hAnsi="Palatino Linotype" w:cs="Palatino Linotype"/>
        </w:rPr>
        <w:t xml:space="preserve"> de la presente resolución, se</w:t>
      </w:r>
      <w:r w:rsidRPr="00FA12E7">
        <w:rPr>
          <w:rFonts w:ascii="Palatino Linotype" w:eastAsia="Palatino Linotype" w:hAnsi="Palatino Linotype" w:cs="Palatino Linotype"/>
          <w:b/>
        </w:rPr>
        <w:t xml:space="preserve"> Revoca </w:t>
      </w:r>
      <w:r w:rsidRPr="00FA12E7">
        <w:rPr>
          <w:rFonts w:ascii="Palatino Linotype" w:eastAsia="Palatino Linotype" w:hAnsi="Palatino Linotype" w:cs="Palatino Linotype"/>
        </w:rPr>
        <w:t>la respuesta</w:t>
      </w:r>
      <w:r w:rsidRPr="00FA12E7">
        <w:rPr>
          <w:rFonts w:ascii="Palatino Linotype" w:eastAsia="Palatino Linotype" w:hAnsi="Palatino Linotype" w:cs="Palatino Linotype"/>
          <w:b/>
        </w:rPr>
        <w:t xml:space="preserve"> </w:t>
      </w:r>
      <w:r w:rsidRPr="00FA12E7">
        <w:rPr>
          <w:rFonts w:ascii="Palatino Linotype" w:eastAsia="Palatino Linotype" w:hAnsi="Palatino Linotype" w:cs="Palatino Linotype"/>
        </w:rPr>
        <w:t xml:space="preserve">del </w:t>
      </w:r>
      <w:r w:rsidRPr="00FA12E7">
        <w:rPr>
          <w:rFonts w:ascii="Palatino Linotype" w:eastAsia="Palatino Linotype" w:hAnsi="Palatino Linotype" w:cs="Palatino Linotype"/>
          <w:b/>
        </w:rPr>
        <w:t>Sujeto Obligado.</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b/>
        </w:rPr>
        <w:t xml:space="preserve">Segundo. </w:t>
      </w:r>
      <w:r w:rsidRPr="00FA12E7">
        <w:rPr>
          <w:rFonts w:ascii="Palatino Linotype" w:eastAsia="Palatino Linotype" w:hAnsi="Palatino Linotype" w:cs="Palatino Linotype"/>
        </w:rPr>
        <w:t xml:space="preserve">Se </w:t>
      </w:r>
      <w:r w:rsidRPr="00FA12E7">
        <w:rPr>
          <w:rFonts w:ascii="Palatino Linotype" w:eastAsia="Palatino Linotype" w:hAnsi="Palatino Linotype" w:cs="Palatino Linotype"/>
          <w:b/>
        </w:rPr>
        <w:t>Ordena</w:t>
      </w:r>
      <w:r w:rsidRPr="00FA12E7">
        <w:rPr>
          <w:rFonts w:ascii="Palatino Linotype" w:eastAsia="Palatino Linotype" w:hAnsi="Palatino Linotype" w:cs="Palatino Linotype"/>
        </w:rPr>
        <w:t xml:space="preserve"> al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en términos de los Considerandos </w:t>
      </w:r>
      <w:r w:rsidRPr="00FA12E7">
        <w:rPr>
          <w:rFonts w:ascii="Palatino Linotype" w:eastAsia="Palatino Linotype" w:hAnsi="Palatino Linotype" w:cs="Palatino Linotype"/>
          <w:b/>
        </w:rPr>
        <w:t xml:space="preserve">Cuarto </w:t>
      </w:r>
      <w:r w:rsidRPr="00FA12E7">
        <w:rPr>
          <w:rFonts w:ascii="Palatino Linotype" w:eastAsia="Palatino Linotype" w:hAnsi="Palatino Linotype" w:cs="Palatino Linotype"/>
        </w:rPr>
        <w:t xml:space="preserve">y </w:t>
      </w:r>
      <w:r w:rsidRPr="00FA12E7">
        <w:rPr>
          <w:rFonts w:ascii="Palatino Linotype" w:eastAsia="Palatino Linotype" w:hAnsi="Palatino Linotype" w:cs="Palatino Linotype"/>
          <w:b/>
        </w:rPr>
        <w:t xml:space="preserve">Quinto </w:t>
      </w:r>
      <w:r w:rsidRPr="00FA12E7">
        <w:rPr>
          <w:rFonts w:ascii="Palatino Linotype" w:eastAsia="Palatino Linotype" w:hAnsi="Palatino Linotype" w:cs="Palatino Linotype"/>
        </w:rPr>
        <w:t>de esta resolución, haga entrega, vía SAIMEX, en versión pública, de lo siguiente:</w:t>
      </w:r>
    </w:p>
    <w:p w:rsidR="00867F3E" w:rsidRPr="00FA12E7" w:rsidRDefault="0013410E">
      <w:pPr>
        <w:spacing w:before="240" w:after="240" w:line="360" w:lineRule="auto"/>
        <w:ind w:left="284" w:right="49"/>
        <w:jc w:val="both"/>
        <w:rPr>
          <w:rFonts w:ascii="Palatino Linotype" w:eastAsia="Palatino Linotype" w:hAnsi="Palatino Linotype" w:cs="Palatino Linotype"/>
        </w:rPr>
      </w:pPr>
      <w:bookmarkStart w:id="12" w:name="_heading=h.kelgs2428oa6" w:colFirst="0" w:colLast="0"/>
      <w:bookmarkEnd w:id="12"/>
      <w:r w:rsidRPr="00FA12E7">
        <w:rPr>
          <w:rFonts w:ascii="Palatino Linotype" w:eastAsia="Palatino Linotype" w:hAnsi="Palatino Linotype" w:cs="Palatino Linotype"/>
        </w:rPr>
        <w:t>1. Expedientes de las personas físicas o morales con Permisos Provisionales de Funcionamiento Comercial, Industrial y/o Prestación de Servicios generados del uno de agosto de dos mil veintiuno al uno de agosto de dos mil veintidós.</w:t>
      </w:r>
    </w:p>
    <w:p w:rsidR="00867F3E" w:rsidRPr="00FA12E7" w:rsidRDefault="0013410E">
      <w:pPr>
        <w:spacing w:before="120" w:after="120"/>
        <w:ind w:right="-28"/>
        <w:jc w:val="both"/>
        <w:rPr>
          <w:rFonts w:ascii="Palatino Linotype" w:eastAsia="Palatino Linotype" w:hAnsi="Palatino Linotype" w:cs="Palatino Linotype"/>
          <w:i/>
          <w:sz w:val="20"/>
          <w:szCs w:val="20"/>
        </w:rPr>
      </w:pPr>
      <w:bookmarkStart w:id="13" w:name="_heading=h.gjdgxs" w:colFirst="0" w:colLast="0"/>
      <w:bookmarkEnd w:id="13"/>
      <w:r w:rsidRPr="00FA12E7">
        <w:rPr>
          <w:rFonts w:ascii="Palatino Linotype" w:eastAsia="Palatino Linotype" w:hAnsi="Palatino Linotype" w:cs="Palatino Linotype"/>
          <w:i/>
          <w:sz w:val="20"/>
          <w:szCs w:val="20"/>
        </w:rPr>
        <w:t>Para el caso de las versiones públicas, se deberá entregar el Acuerdo del Comité de Transparencia mediante el cual se funde y motive la eliminación de los datos y documentos clasificados en su totalidad como confidencial, en términos de los artículos 49, fracción VIII, 143, fracción I y 149 de la Ley de Transparencia y Acceso a la Información Pública del Estado de México y Municipios.</w:t>
      </w:r>
    </w:p>
    <w:p w:rsidR="00867F3E" w:rsidRPr="00FA12E7" w:rsidRDefault="0013410E">
      <w:pPr>
        <w:spacing w:before="120" w:after="120"/>
        <w:ind w:right="-28"/>
        <w:jc w:val="both"/>
        <w:rPr>
          <w:rFonts w:ascii="Palatino Linotype" w:eastAsia="Palatino Linotype" w:hAnsi="Palatino Linotype" w:cs="Palatino Linotype"/>
          <w:i/>
          <w:sz w:val="20"/>
          <w:szCs w:val="20"/>
        </w:rPr>
      </w:pPr>
      <w:r w:rsidRPr="00FA12E7">
        <w:rPr>
          <w:rFonts w:ascii="Palatino Linotype" w:eastAsia="Palatino Linotype" w:hAnsi="Palatino Linotype" w:cs="Palatino Linotype"/>
          <w:i/>
          <w:sz w:val="20"/>
          <w:szCs w:val="20"/>
        </w:rPr>
        <w:t xml:space="preserve">En el supuesto que la información ordenada no obre en los archivos del </w:t>
      </w:r>
      <w:r w:rsidRPr="00FA12E7">
        <w:rPr>
          <w:rFonts w:ascii="Palatino Linotype" w:eastAsia="Palatino Linotype" w:hAnsi="Palatino Linotype" w:cs="Palatino Linotype"/>
          <w:b/>
          <w:i/>
          <w:sz w:val="20"/>
          <w:szCs w:val="20"/>
        </w:rPr>
        <w:t xml:space="preserve">Sujeto Obligado </w:t>
      </w:r>
      <w:r w:rsidRPr="00FA12E7">
        <w:rPr>
          <w:rFonts w:ascii="Palatino Linotype" w:eastAsia="Palatino Linotype" w:hAnsi="Palatino Linotype" w:cs="Palatino Linotype"/>
          <w:i/>
          <w:sz w:val="20"/>
          <w:szCs w:val="20"/>
        </w:rPr>
        <w:t xml:space="preserve">por no haberse generado, bastará con que así lo haga del conocimiento de la parte </w:t>
      </w:r>
      <w:r w:rsidRPr="00FA12E7">
        <w:rPr>
          <w:rFonts w:ascii="Palatino Linotype" w:eastAsia="Palatino Linotype" w:hAnsi="Palatino Linotype" w:cs="Palatino Linotype"/>
          <w:b/>
          <w:i/>
          <w:sz w:val="20"/>
          <w:szCs w:val="20"/>
        </w:rPr>
        <w:t>Recurrente</w:t>
      </w:r>
      <w:r w:rsidRPr="00FA12E7">
        <w:rPr>
          <w:rFonts w:ascii="Palatino Linotype" w:eastAsia="Palatino Linotype" w:hAnsi="Palatino Linotype" w:cs="Palatino Linotype"/>
          <w:i/>
          <w:sz w:val="20"/>
          <w:szCs w:val="20"/>
        </w:rPr>
        <w:t>, de manera fundada y motivada, en términos del artículo 19, párrafo segundo de la Ley de Transparencia y Acceso a la Información Pública del Estado de México y Municipios, para tener por colmado el requerimiento de información.</w:t>
      </w:r>
    </w:p>
    <w:p w:rsidR="00867F3E" w:rsidRPr="00FA12E7" w:rsidRDefault="0013410E">
      <w:pPr>
        <w:spacing w:before="240" w:after="240" w:line="360" w:lineRule="auto"/>
        <w:jc w:val="both"/>
        <w:rPr>
          <w:rFonts w:ascii="Palatino Linotype" w:eastAsia="Palatino Linotype" w:hAnsi="Palatino Linotype" w:cs="Palatino Linotype"/>
          <w:b/>
        </w:rPr>
      </w:pPr>
      <w:r w:rsidRPr="00FA12E7">
        <w:rPr>
          <w:rFonts w:ascii="Palatino Linotype" w:eastAsia="Palatino Linotype" w:hAnsi="Palatino Linotype" w:cs="Palatino Linotype"/>
          <w:b/>
        </w:rPr>
        <w:t xml:space="preserve">Tercero. Notifíquese, </w:t>
      </w:r>
      <w:r w:rsidRPr="00FA12E7">
        <w:rPr>
          <w:rFonts w:ascii="Palatino Linotype" w:eastAsia="Palatino Linotype" w:hAnsi="Palatino Linotype" w:cs="Palatino Linotype"/>
        </w:rPr>
        <w:t>vía</w:t>
      </w:r>
      <w:r w:rsidRPr="00FA12E7">
        <w:rPr>
          <w:rFonts w:ascii="Palatino Linotype" w:eastAsia="Palatino Linotype" w:hAnsi="Palatino Linotype" w:cs="Palatino Linotype"/>
          <w:b/>
        </w:rPr>
        <w:t xml:space="preserve"> SAIMEX, </w:t>
      </w:r>
      <w:r w:rsidRPr="00FA12E7">
        <w:rPr>
          <w:rFonts w:ascii="Palatino Linotype" w:eastAsia="Palatino Linotype" w:hAnsi="Palatino Linotype" w:cs="Palatino Linotype"/>
        </w:rPr>
        <w:t xml:space="preserve">al Responsable de la Unidad de Transparencia del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FA12E7">
        <w:rPr>
          <w:rFonts w:ascii="Palatino Linotype" w:eastAsia="Palatino Linotype" w:hAnsi="Palatino Linotype" w:cs="Palatino Linotype"/>
          <w:b/>
        </w:rPr>
        <w:t>.</w:t>
      </w:r>
    </w:p>
    <w:p w:rsidR="00867F3E" w:rsidRPr="00FA12E7" w:rsidRDefault="0013410E">
      <w:pPr>
        <w:spacing w:before="240" w:after="240" w:line="360" w:lineRule="auto"/>
        <w:jc w:val="both"/>
        <w:rPr>
          <w:rFonts w:ascii="Palatino Linotype" w:eastAsia="Palatino Linotype" w:hAnsi="Palatino Linotype" w:cs="Palatino Linotype"/>
        </w:rPr>
      </w:pPr>
      <w:r w:rsidRPr="00FA12E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FA12E7">
        <w:rPr>
          <w:rFonts w:ascii="Palatino Linotype" w:eastAsia="Palatino Linotype" w:hAnsi="Palatino Linotype" w:cs="Palatino Linotype"/>
        </w:rPr>
        <w:lastRenderedPageBreak/>
        <w:t xml:space="preserve">procedente, el </w:t>
      </w:r>
      <w:r w:rsidRPr="00FA12E7">
        <w:rPr>
          <w:rFonts w:ascii="Palatino Linotype" w:eastAsia="Palatino Linotype" w:hAnsi="Palatino Linotype" w:cs="Palatino Linotype"/>
          <w:b/>
        </w:rPr>
        <w:t>Sujeto Obligado</w:t>
      </w:r>
      <w:r w:rsidRPr="00FA12E7">
        <w:rPr>
          <w:rFonts w:ascii="Palatino Linotype" w:eastAsia="Palatino Linotype" w:hAnsi="Palatino Linotype" w:cs="Palatino Linotype"/>
        </w:rPr>
        <w:t xml:space="preserve"> de manera fundada y motivada, podrá solicitar una ampliación de plazo para el cumplimiento de la presente resolución.</w:t>
      </w:r>
    </w:p>
    <w:p w:rsidR="00867F3E" w:rsidRPr="00FA12E7" w:rsidRDefault="0013410E">
      <w:pPr>
        <w:spacing w:before="240" w:after="240" w:line="360" w:lineRule="auto"/>
        <w:jc w:val="both"/>
        <w:rPr>
          <w:rFonts w:ascii="Palatino Linotype" w:eastAsia="Palatino Linotype" w:hAnsi="Palatino Linotype" w:cs="Palatino Linotype"/>
        </w:rPr>
      </w:pPr>
      <w:bookmarkStart w:id="14" w:name="_heading=h.2jxsxqh" w:colFirst="0" w:colLast="0"/>
      <w:bookmarkEnd w:id="14"/>
      <w:r w:rsidRPr="00FA12E7">
        <w:rPr>
          <w:rFonts w:ascii="Palatino Linotype" w:eastAsia="Palatino Linotype" w:hAnsi="Palatino Linotype" w:cs="Palatino Linotype"/>
          <w:b/>
        </w:rPr>
        <w:t xml:space="preserve">Cuarto.  Notifíquese, </w:t>
      </w:r>
      <w:r w:rsidRPr="00FA12E7">
        <w:rPr>
          <w:rFonts w:ascii="Palatino Linotype" w:eastAsia="Palatino Linotype" w:hAnsi="Palatino Linotype" w:cs="Palatino Linotype"/>
        </w:rPr>
        <w:t xml:space="preserve">vía </w:t>
      </w:r>
      <w:r w:rsidRPr="00FA12E7">
        <w:rPr>
          <w:rFonts w:ascii="Palatino Linotype" w:eastAsia="Palatino Linotype" w:hAnsi="Palatino Linotype" w:cs="Palatino Linotype"/>
          <w:b/>
        </w:rPr>
        <w:t>SAIMEX</w:t>
      </w:r>
      <w:r w:rsidRPr="00FA12E7">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67F3E" w:rsidRPr="00FA12E7" w:rsidRDefault="0013410E">
      <w:pPr>
        <w:spacing w:line="360" w:lineRule="auto"/>
        <w:jc w:val="both"/>
        <w:rPr>
          <w:rFonts w:ascii="Palatino Linotype" w:eastAsia="Palatino Linotype" w:hAnsi="Palatino Linotype" w:cs="Palatino Linotype"/>
        </w:rPr>
      </w:pPr>
      <w:bookmarkStart w:id="15" w:name="_heading=h.4d34og8" w:colFirst="0" w:colLast="0"/>
      <w:bookmarkEnd w:id="15"/>
      <w:r w:rsidRPr="00FA12E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DE FEBRERO DE DOS MIL VEINTITRÉS, ANTE EL SECRETARIO TÉCNICO DEL PLENO ALEXIS TAPIA RAMÍREZ.</w:t>
      </w:r>
    </w:p>
    <w:p w:rsidR="00867F3E" w:rsidRPr="00FA12E7" w:rsidRDefault="0013410E">
      <w:pPr>
        <w:rPr>
          <w:rFonts w:ascii="Palatino Linotype" w:eastAsia="Palatino Linotype" w:hAnsi="Palatino Linotype" w:cs="Palatino Linotype"/>
        </w:rPr>
      </w:pPr>
      <w:r w:rsidRPr="00FA12E7">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FD373FF" wp14:editId="5E15DCDE">
                <wp:simplePos x="0" y="0"/>
                <wp:positionH relativeFrom="margin">
                  <wp:align>right</wp:align>
                </wp:positionH>
                <wp:positionV relativeFrom="paragraph">
                  <wp:posOffset>45720</wp:posOffset>
                </wp:positionV>
                <wp:extent cx="5505450" cy="22098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505450" cy="2209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23BD3"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6pt" to="815.8pt,1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" strokecolor="black [3200]" strokeweight="2pt">
                <v:shadow on="t" color="black" opacity="24903f" origin=",.5" offset="0,.55556mm"/>
                <w10:wrap anchorx="margin"/>
              </v:line>
            </w:pict>
          </mc:Fallback>
        </mc:AlternateContent>
      </w:r>
    </w:p>
    <w:p w:rsidR="00867F3E" w:rsidRPr="00FA12E7" w:rsidRDefault="00867F3E">
      <w:pPr>
        <w:rPr>
          <w:rFonts w:ascii="Palatino Linotype" w:eastAsia="Palatino Linotype" w:hAnsi="Palatino Linotype" w:cs="Palatino Linotype"/>
        </w:rPr>
      </w:pPr>
    </w:p>
    <w:p w:rsidR="00867F3E" w:rsidRPr="00FA12E7" w:rsidRDefault="00867F3E">
      <w:pPr>
        <w:rPr>
          <w:rFonts w:ascii="Palatino Linotype" w:eastAsia="Palatino Linotype" w:hAnsi="Palatino Linotype" w:cs="Palatino Linotype"/>
        </w:rPr>
      </w:pPr>
    </w:p>
    <w:p w:rsidR="00867F3E" w:rsidRPr="00FA12E7" w:rsidRDefault="00867F3E">
      <w:pPr>
        <w:rPr>
          <w:rFonts w:ascii="Palatino Linotype" w:eastAsia="Palatino Linotype" w:hAnsi="Palatino Linotype" w:cs="Palatino Linotype"/>
        </w:rPr>
      </w:pPr>
    </w:p>
    <w:p w:rsidR="00867F3E" w:rsidRPr="00FA12E7" w:rsidRDefault="00867F3E">
      <w:pPr>
        <w:rPr>
          <w:rFonts w:ascii="Palatino Linotype" w:eastAsia="Palatino Linotype" w:hAnsi="Palatino Linotype" w:cs="Palatino Linotype"/>
        </w:rPr>
      </w:pPr>
    </w:p>
    <w:p w:rsidR="00867F3E" w:rsidRPr="00FA12E7" w:rsidRDefault="00867F3E">
      <w:pPr>
        <w:rPr>
          <w:rFonts w:ascii="Palatino Linotype" w:eastAsia="Palatino Linotype" w:hAnsi="Palatino Linotype" w:cs="Palatino Linotype"/>
        </w:rPr>
      </w:pPr>
    </w:p>
    <w:p w:rsidR="00867F3E" w:rsidRPr="00FA12E7" w:rsidRDefault="00867F3E">
      <w:pPr>
        <w:rPr>
          <w:rFonts w:ascii="Palatino Linotype" w:eastAsia="Palatino Linotype" w:hAnsi="Palatino Linotype" w:cs="Palatino Linotype"/>
        </w:rPr>
      </w:pPr>
    </w:p>
    <w:p w:rsidR="00867F3E" w:rsidRPr="00FA12E7" w:rsidRDefault="00867F3E">
      <w:pPr>
        <w:rPr>
          <w:rFonts w:ascii="Palatino Linotype" w:eastAsia="Palatino Linotype" w:hAnsi="Palatino Linotype" w:cs="Palatino Linotype"/>
        </w:rPr>
      </w:pPr>
    </w:p>
    <w:p w:rsidR="00867F3E" w:rsidRPr="00FA12E7" w:rsidRDefault="00867F3E">
      <w:pPr>
        <w:rPr>
          <w:rFonts w:ascii="Palatino Linotype" w:eastAsia="Palatino Linotype" w:hAnsi="Palatino Linotype" w:cs="Palatino Linotype"/>
        </w:rPr>
      </w:pPr>
    </w:p>
    <w:p w:rsidR="00867F3E" w:rsidRPr="00FA12E7" w:rsidRDefault="00867F3E">
      <w:pPr>
        <w:rPr>
          <w:rFonts w:ascii="Palatino Linotype" w:eastAsia="Palatino Linotype" w:hAnsi="Palatino Linotype" w:cs="Palatino Linotype"/>
        </w:rPr>
      </w:pPr>
    </w:p>
    <w:p w:rsidR="00867F3E" w:rsidRPr="00FA12E7" w:rsidRDefault="00867F3E">
      <w:pPr>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bookmarkStart w:id="16" w:name="_heading=h.3rdcrjn" w:colFirst="0" w:colLast="0"/>
      <w:bookmarkEnd w:id="16"/>
    </w:p>
    <w:p w:rsidR="00867F3E" w:rsidRPr="00FA12E7" w:rsidRDefault="00867F3E">
      <w:pPr>
        <w:spacing w:line="360" w:lineRule="auto"/>
        <w:jc w:val="both"/>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bookmarkStart w:id="17" w:name="_heading=h.1t3h5sf" w:colFirst="0" w:colLast="0"/>
      <w:bookmarkEnd w:id="17"/>
    </w:p>
    <w:p w:rsidR="00867F3E" w:rsidRPr="00FA12E7" w:rsidRDefault="00867F3E">
      <w:pPr>
        <w:spacing w:line="360" w:lineRule="auto"/>
        <w:jc w:val="both"/>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p>
    <w:p w:rsidR="00867F3E" w:rsidRPr="00FA12E7" w:rsidRDefault="00867F3E">
      <w:pPr>
        <w:spacing w:line="360" w:lineRule="auto"/>
        <w:jc w:val="both"/>
        <w:rPr>
          <w:rFonts w:ascii="Palatino Linotype" w:eastAsia="Palatino Linotype" w:hAnsi="Palatino Linotype" w:cs="Palatino Linotype"/>
        </w:rPr>
      </w:pPr>
    </w:p>
    <w:sectPr w:rsidR="00867F3E" w:rsidRPr="00FA12E7">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604" w:rsidRDefault="008F3604">
      <w:r>
        <w:separator/>
      </w:r>
    </w:p>
  </w:endnote>
  <w:endnote w:type="continuationSeparator" w:id="0">
    <w:p w:rsidR="008F3604" w:rsidRDefault="008F3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3E" w:rsidRDefault="001341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515A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515AE">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rsidR="00867F3E" w:rsidRDefault="00867F3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3E" w:rsidRDefault="001341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515A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515AE">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rsidR="00867F3E" w:rsidRDefault="00867F3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604" w:rsidRDefault="008F3604">
      <w:r>
        <w:separator/>
      </w:r>
    </w:p>
  </w:footnote>
  <w:footnote w:type="continuationSeparator" w:id="0">
    <w:p w:rsidR="008F3604" w:rsidRDefault="008F3604">
      <w:r>
        <w:continuationSeparator/>
      </w:r>
    </w:p>
  </w:footnote>
  <w:footnote w:id="1">
    <w:p w:rsidR="00867F3E" w:rsidRDefault="0013410E">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867F3E" w:rsidRDefault="0013410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867F3E" w:rsidRDefault="0013410E">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13. </w:t>
      </w:r>
      <w:r>
        <w:rPr>
          <w:rFonts w:ascii="Palatino Linotype" w:eastAsia="Palatino Linotype" w:hAnsi="Palatino Linotype" w:cs="Palatino Linotype"/>
          <w:sz w:val="16"/>
          <w:szCs w:val="16"/>
        </w:rPr>
        <w:t>El Instituto, en el ámbito de sus atribuciones, deberá suplir cualquier deficiencia para garantizar el ejercicio del derecho de acceso a la información.</w:t>
      </w:r>
    </w:p>
  </w:footnote>
  <w:footnote w:id="3">
    <w:p w:rsidR="00867F3E" w:rsidRDefault="0013410E">
      <w:pPr>
        <w:jc w:val="both"/>
        <w:rPr>
          <w:rFonts w:ascii="Palatino Linotype" w:eastAsia="Palatino Linotype" w:hAnsi="Palatino Linotype" w:cs="Palatino Linotype"/>
          <w:b/>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181. </w:t>
      </w:r>
      <w:r>
        <w:rPr>
          <w:rFonts w:ascii="Palatino Linotype" w:eastAsia="Palatino Linotype" w:hAnsi="Palatino Linotype" w:cs="Palatino Linotype"/>
          <w:sz w:val="16"/>
          <w:szCs w:val="16"/>
        </w:rPr>
        <w:t>(…)</w:t>
      </w:r>
    </w:p>
    <w:p w:rsidR="00867F3E" w:rsidRDefault="0013410E">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4">
    <w:p w:rsidR="00867F3E" w:rsidRDefault="0013410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867F3E" w:rsidRDefault="0013410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3E" w:rsidRDefault="0013410E">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-1080120</wp:posOffset>
          </wp:positionH>
          <wp:positionV relativeFrom="paragraph">
            <wp:posOffset>-488298</wp:posOffset>
          </wp:positionV>
          <wp:extent cx="7809865" cy="10165715"/>
          <wp:effectExtent l="0" t="0" r="0" b="0"/>
          <wp:wrapNone/>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5953" w:type="dxa"/>
      <w:tblInd w:w="3261" w:type="dxa"/>
      <w:tblLayout w:type="fixed"/>
      <w:tblLook w:val="0400" w:firstRow="0" w:lastRow="0" w:firstColumn="0" w:lastColumn="0" w:noHBand="0" w:noVBand="1"/>
    </w:tblPr>
    <w:tblGrid>
      <w:gridCol w:w="2489"/>
      <w:gridCol w:w="3464"/>
    </w:tblGrid>
    <w:tr w:rsidR="00867F3E">
      <w:tc>
        <w:tcPr>
          <w:tcW w:w="2489" w:type="dxa"/>
          <w:shd w:val="clear" w:color="auto" w:fill="auto"/>
        </w:tcPr>
        <w:p w:rsidR="00867F3E" w:rsidRDefault="001341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867F3E" w:rsidRDefault="0013410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13194/INFOEM/IP/RR/2022</w:t>
          </w:r>
        </w:p>
      </w:tc>
    </w:tr>
    <w:tr w:rsidR="00867F3E">
      <w:trPr>
        <w:trHeight w:val="228"/>
      </w:trPr>
      <w:tc>
        <w:tcPr>
          <w:tcW w:w="2489" w:type="dxa"/>
          <w:shd w:val="clear" w:color="auto" w:fill="auto"/>
          <w:vAlign w:val="center"/>
        </w:tcPr>
        <w:p w:rsidR="00867F3E" w:rsidRDefault="001341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867F3E" w:rsidRDefault="0013410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867F3E">
      <w:tc>
        <w:tcPr>
          <w:tcW w:w="2489" w:type="dxa"/>
          <w:shd w:val="clear" w:color="auto" w:fill="auto"/>
          <w:vAlign w:val="center"/>
        </w:tcPr>
        <w:p w:rsidR="00867F3E" w:rsidRDefault="0013410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867F3E" w:rsidRDefault="0013410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67F3E" w:rsidRDefault="0013410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3E" w:rsidRDefault="0013410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-1166584</wp:posOffset>
          </wp:positionH>
          <wp:positionV relativeFrom="paragraph">
            <wp:posOffset>-262253</wp:posOffset>
          </wp:positionV>
          <wp:extent cx="7809865" cy="10165715"/>
          <wp:effectExtent l="0" t="0" r="0" b="0"/>
          <wp:wrapNone/>
          <wp:docPr id="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670" w:type="dxa"/>
      <w:tblInd w:w="3261" w:type="dxa"/>
      <w:tblLayout w:type="fixed"/>
      <w:tblLook w:val="0400" w:firstRow="0" w:lastRow="0" w:firstColumn="0" w:lastColumn="0" w:noHBand="0" w:noVBand="1"/>
    </w:tblPr>
    <w:tblGrid>
      <w:gridCol w:w="2551"/>
      <w:gridCol w:w="3119"/>
    </w:tblGrid>
    <w:tr w:rsidR="00867F3E">
      <w:tc>
        <w:tcPr>
          <w:tcW w:w="2551" w:type="dxa"/>
          <w:shd w:val="clear" w:color="auto" w:fill="auto"/>
          <w:vAlign w:val="center"/>
        </w:tcPr>
        <w:p w:rsidR="00867F3E" w:rsidRDefault="001341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867F3E" w:rsidRDefault="0013410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13194/INFOEM/IP/RR/2022</w:t>
          </w:r>
        </w:p>
      </w:tc>
    </w:tr>
    <w:tr w:rsidR="00867F3E">
      <w:trPr>
        <w:trHeight w:val="130"/>
      </w:trPr>
      <w:tc>
        <w:tcPr>
          <w:tcW w:w="2551" w:type="dxa"/>
          <w:shd w:val="clear" w:color="auto" w:fill="auto"/>
          <w:vAlign w:val="center"/>
        </w:tcPr>
        <w:p w:rsidR="00867F3E" w:rsidRDefault="001341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867F3E" w:rsidRDefault="00867F3E">
          <w:pPr>
            <w:ind w:left="-45"/>
            <w:jc w:val="both"/>
            <w:rPr>
              <w:rFonts w:ascii="Palatino Linotype" w:eastAsia="Palatino Linotype" w:hAnsi="Palatino Linotype" w:cs="Palatino Linotype"/>
              <w:b/>
              <w:sz w:val="22"/>
              <w:szCs w:val="22"/>
            </w:rPr>
          </w:pPr>
        </w:p>
      </w:tc>
    </w:tr>
    <w:tr w:rsidR="00867F3E">
      <w:trPr>
        <w:trHeight w:val="228"/>
      </w:trPr>
      <w:tc>
        <w:tcPr>
          <w:tcW w:w="2551" w:type="dxa"/>
          <w:shd w:val="clear" w:color="auto" w:fill="auto"/>
          <w:vAlign w:val="center"/>
        </w:tcPr>
        <w:p w:rsidR="00867F3E" w:rsidRDefault="001341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867F3E" w:rsidRDefault="0013410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867F3E">
      <w:tc>
        <w:tcPr>
          <w:tcW w:w="2551" w:type="dxa"/>
          <w:shd w:val="clear" w:color="auto" w:fill="auto"/>
          <w:vAlign w:val="center"/>
        </w:tcPr>
        <w:p w:rsidR="00867F3E" w:rsidRDefault="001341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867F3E" w:rsidRDefault="0013410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67F3E" w:rsidRDefault="00867F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A77B2"/>
    <w:multiLevelType w:val="multilevel"/>
    <w:tmpl w:val="7FBE3AEA"/>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3EC6601D"/>
    <w:multiLevelType w:val="multilevel"/>
    <w:tmpl w:val="209200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3E"/>
    <w:rsid w:val="00124FD2"/>
    <w:rsid w:val="0013410E"/>
    <w:rsid w:val="001D5E57"/>
    <w:rsid w:val="00332636"/>
    <w:rsid w:val="007515AE"/>
    <w:rsid w:val="00867F3E"/>
    <w:rsid w:val="008F3604"/>
    <w:rsid w:val="00FA1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B6765-B9FF-4E7A-96D5-DCC25762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A57"/>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paragraph" w:customStyle="1" w:styleId="corte4fondo">
    <w:name w:val="corte4 fondo"/>
    <w:basedOn w:val="Normal"/>
    <w:link w:val="corte4fondoCar3"/>
    <w:qFormat/>
    <w:rsid w:val="00436B4A"/>
    <w:pPr>
      <w:spacing w:line="360" w:lineRule="auto"/>
      <w:ind w:firstLine="709"/>
      <w:jc w:val="both"/>
    </w:pPr>
    <w:rPr>
      <w:rFonts w:ascii="Arial" w:hAnsi="Arial"/>
      <w:sz w:val="30"/>
      <w:szCs w:val="20"/>
    </w:rPr>
  </w:style>
  <w:style w:type="character" w:customStyle="1" w:styleId="corte4fondoCar3">
    <w:name w:val="corte4 fondo Car3"/>
    <w:link w:val="corte4fondo"/>
    <w:locked/>
    <w:rsid w:val="00436B4A"/>
    <w:rPr>
      <w:rFonts w:ascii="Arial" w:hAnsi="Arial"/>
      <w:sz w:val="30"/>
      <w:szCs w:val="20"/>
    </w:r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character" w:customStyle="1" w:styleId="UnresolvedMention">
    <w:name w:val="Unresolved Mention"/>
    <w:basedOn w:val="Fuentedeprrafopredeter"/>
    <w:uiPriority w:val="99"/>
    <w:semiHidden/>
    <w:unhideWhenUsed/>
    <w:rsid w:val="007B4EEF"/>
    <w:rPr>
      <w:color w:val="605E5C"/>
      <w:shd w:val="clear" w:color="auto" w:fill="E1DFDD"/>
    </w:rPr>
  </w:style>
  <w:style w:type="table" w:customStyle="1" w:styleId="ad">
    <w:basedOn w:val="TableNormal0"/>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pomex.org.mx/ipo3/lgt/indice/METEPEC/art_92_xxxii.web?token=03ANYolqvgxq-JcqykXcdZ5NLlqA8d8nQKlmpDvw9sTvR9Hszxc5bEP-ai2OxmEFn0jHrgwg-vuyNs2cBK_95tjnrFWD4C0_4lQ9oCYbkRCbBkJXlEdhhXSggWLusckjvKugzMlxqB8SIDTZhxXThoDRH3bgrn_3sU8YWB_bKukVAd9Tz4HRHFTNHtlAWmJ5D6rXnk1xOc2kosZSeMLyalma-Q1woG9neYKhquAZDKH8yvE3PNbAC-fvKC0I6qP2BQxqFTfMeis551At4tCPozgRshtMckcmZKi7SukfXPihos5ikrHERuRFg6chuguuKq6r0OwpRic1jYokYL5pF1iuRg6JfCQmnQn2Agf79c2lLtr8PXJUOa7XFzQMCRZKhY2WLg4WEnYUr2pDKKJjsY3CEdF-0eYn3jRR78766ZX0SEZyxolk9h3pfCiHX8yLRnEwtanY-1Q5J9ZzPj4bSg2u-llekN4GZDtHbvkovoiA6Y1n6rOUHd9cLiLE2hfJEdEbb8vBL8_gSimtgFiXCPRO2hVIAUcgFDB3RiUq3NZgOHEH8d-mmUBIC4lbnf0SyTuZGbCTpfZWEpZhlQMVPdBaaY5uUwxpPG"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JBrN/LqkM1zIEj1E8rrom4sBLw==">AMUW2mUqKVP0HEdqjcSQ7LSESKkkd0pIVVSBeq6KgcWA6eyVeeb+tpZdrz53wKdPbUgzSxv4fg//9ma4PF/g6pCueOuVTpVe11eAxbJhkyq6GoC3tky25TstwH+LuGLBgMY78rk8PkNQcgURmKZxrmn3QUN7DSRAUxiFhfO97/sYX0JOkw4Vheer59LkKuq25wC1is0yUYWLCdKp8x9oS1Af11kJKAAb0SOcFKLccUkvf/jnvNW90OI032nggddBOlP9DPbDhGInOUFmC5wl6fEoQkuwPNlqQmS0EHhMunt5Ke8JxuTXN8sgXu16MmZtVOA/7ayR06XQF5dR2cO95NQjQ9UAjPbZl5MN2Y9TgcQonwtuC8uWC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12010</Words>
  <Characters>66055</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2023-02-17T16:11:00Z</cp:lastPrinted>
  <dcterms:created xsi:type="dcterms:W3CDTF">2023-02-23T20:36:00Z</dcterms:created>
  <dcterms:modified xsi:type="dcterms:W3CDTF">2023-02-23T20:36:00Z</dcterms:modified>
</cp:coreProperties>
</file>