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8A096"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quince de noviembre de dos mil veintitrés. </w:t>
      </w:r>
    </w:p>
    <w:p w14:paraId="05356D84"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6DB71E51"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Visto el expediente relativo al recurso de revisión </w:t>
      </w:r>
      <w:r w:rsidRPr="0044330E">
        <w:rPr>
          <w:rFonts w:ascii="Palatino Linotype" w:eastAsia="Palatino Linotype" w:hAnsi="Palatino Linotype" w:cs="Palatino Linotype"/>
          <w:b/>
          <w:sz w:val="24"/>
          <w:szCs w:val="24"/>
        </w:rPr>
        <w:t>00529/INFOEM/IP/RR/2023</w:t>
      </w:r>
      <w:r w:rsidRPr="0044330E">
        <w:rPr>
          <w:rFonts w:ascii="Palatino Linotype" w:eastAsia="Palatino Linotype" w:hAnsi="Palatino Linotype" w:cs="Palatino Linotype"/>
          <w:sz w:val="24"/>
          <w:szCs w:val="24"/>
        </w:rPr>
        <w:t xml:space="preserve">, interpuesto por </w:t>
      </w:r>
      <w:r w:rsidRPr="0044330E">
        <w:rPr>
          <w:rFonts w:ascii="Palatino Linotype" w:eastAsia="Palatino Linotype" w:hAnsi="Palatino Linotype" w:cs="Palatino Linotype"/>
          <w:b/>
          <w:sz w:val="24"/>
          <w:szCs w:val="24"/>
        </w:rPr>
        <w:t>una persona usuaria del Sistema de Acceso a la Información Mexiquense</w:t>
      </w:r>
      <w:r w:rsidRPr="0044330E">
        <w:rPr>
          <w:rFonts w:ascii="Palatino Linotype" w:eastAsia="Palatino Linotype" w:hAnsi="Palatino Linotype" w:cs="Palatino Linotype"/>
          <w:sz w:val="24"/>
          <w:szCs w:val="24"/>
        </w:rPr>
        <w:t xml:space="preserve">, al cual en lo sucesivo se le denominará la parte </w:t>
      </w:r>
      <w:r w:rsidRPr="0044330E">
        <w:rPr>
          <w:rFonts w:ascii="Palatino Linotype" w:eastAsia="Palatino Linotype" w:hAnsi="Palatino Linotype" w:cs="Palatino Linotype"/>
          <w:b/>
          <w:sz w:val="24"/>
          <w:szCs w:val="24"/>
        </w:rPr>
        <w:t>RECURRENTE</w:t>
      </w:r>
      <w:r w:rsidRPr="0044330E">
        <w:rPr>
          <w:rFonts w:ascii="Palatino Linotype" w:eastAsia="Palatino Linotype" w:hAnsi="Palatino Linotype" w:cs="Palatino Linotype"/>
          <w:sz w:val="24"/>
          <w:szCs w:val="24"/>
        </w:rPr>
        <w:t xml:space="preserve">, en contra la respuesta a su solicitud de información identificada con número de folio </w:t>
      </w:r>
      <w:r w:rsidRPr="0044330E">
        <w:rPr>
          <w:rFonts w:ascii="Palatino Linotype" w:eastAsia="Palatino Linotype" w:hAnsi="Palatino Linotype" w:cs="Palatino Linotype"/>
          <w:b/>
          <w:sz w:val="24"/>
          <w:szCs w:val="24"/>
        </w:rPr>
        <w:t>00025/TEXCOCO/IP/2023</w:t>
      </w:r>
      <w:r w:rsidRPr="0044330E">
        <w:rPr>
          <w:rFonts w:ascii="Palatino Linotype" w:eastAsia="Palatino Linotype" w:hAnsi="Palatino Linotype" w:cs="Palatino Linotype"/>
          <w:sz w:val="24"/>
          <w:szCs w:val="24"/>
        </w:rPr>
        <w:t xml:space="preserve"> proporcionada por parte del Ayuntamiento de Texcoco, en lo sucesivo el </w:t>
      </w:r>
      <w:r w:rsidRPr="0044330E">
        <w:rPr>
          <w:rFonts w:ascii="Palatino Linotype" w:eastAsia="Palatino Linotype" w:hAnsi="Palatino Linotype" w:cs="Palatino Linotype"/>
          <w:b/>
          <w:sz w:val="24"/>
          <w:szCs w:val="24"/>
        </w:rPr>
        <w:t>SUJETO OBLIGADO</w:t>
      </w:r>
      <w:r w:rsidRPr="0044330E">
        <w:rPr>
          <w:rFonts w:ascii="Palatino Linotype" w:eastAsia="Palatino Linotype" w:hAnsi="Palatino Linotype" w:cs="Palatino Linotype"/>
          <w:sz w:val="24"/>
          <w:szCs w:val="24"/>
        </w:rPr>
        <w:t>; se procede a dictar la presente resolución, con base en los siguientes:</w:t>
      </w:r>
    </w:p>
    <w:p w14:paraId="25130090"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650966F5" w14:textId="77777777" w:rsidR="00C1135E" w:rsidRPr="0044330E" w:rsidRDefault="00F1389F">
      <w:pPr>
        <w:spacing w:after="0" w:line="360" w:lineRule="auto"/>
        <w:ind w:right="49"/>
        <w:jc w:val="center"/>
        <w:rPr>
          <w:rFonts w:ascii="Palatino Linotype" w:eastAsia="Palatino Linotype" w:hAnsi="Palatino Linotype" w:cs="Palatino Linotype"/>
          <w:b/>
          <w:sz w:val="24"/>
          <w:szCs w:val="24"/>
        </w:rPr>
      </w:pPr>
      <w:r w:rsidRPr="0044330E">
        <w:rPr>
          <w:rFonts w:ascii="Palatino Linotype" w:eastAsia="Palatino Linotype" w:hAnsi="Palatino Linotype" w:cs="Palatino Linotype"/>
          <w:b/>
          <w:sz w:val="24"/>
          <w:szCs w:val="24"/>
        </w:rPr>
        <w:t>I.</w:t>
      </w:r>
      <w:r w:rsidRPr="0044330E">
        <w:rPr>
          <w:rFonts w:ascii="Palatino Linotype" w:eastAsia="Palatino Linotype" w:hAnsi="Palatino Linotype" w:cs="Palatino Linotype"/>
          <w:b/>
          <w:sz w:val="24"/>
          <w:szCs w:val="24"/>
        </w:rPr>
        <w:tab/>
        <w:t>A N T E C E D E N T E S</w:t>
      </w:r>
    </w:p>
    <w:p w14:paraId="34BFAC42"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38401EFE" w14:textId="77777777" w:rsidR="00C1135E" w:rsidRPr="0044330E" w:rsidRDefault="00F1389F">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Solicitud de acceso a la información.</w:t>
      </w:r>
      <w:r w:rsidRPr="0044330E">
        <w:rPr>
          <w:rFonts w:ascii="Palatino Linotype" w:eastAsia="Palatino Linotype" w:hAnsi="Palatino Linotype" w:cs="Palatino Linotype"/>
          <w:sz w:val="24"/>
          <w:szCs w:val="24"/>
        </w:rPr>
        <w:t xml:space="preserve"> Con fecha </w:t>
      </w:r>
      <w:r w:rsidRPr="0044330E">
        <w:rPr>
          <w:rFonts w:ascii="Palatino Linotype" w:eastAsia="Palatino Linotype" w:hAnsi="Palatino Linotype" w:cs="Palatino Linotype"/>
          <w:b/>
          <w:sz w:val="24"/>
          <w:szCs w:val="24"/>
        </w:rPr>
        <w:t>veinticuatro de enero de dos mil veintitrés</w:t>
      </w:r>
      <w:r w:rsidRPr="0044330E">
        <w:rPr>
          <w:rFonts w:ascii="Palatino Linotype" w:eastAsia="Palatino Linotype" w:hAnsi="Palatino Linotype" w:cs="Palatino Linotype"/>
          <w:sz w:val="24"/>
          <w:szCs w:val="24"/>
        </w:rPr>
        <w:t xml:space="preserve">, la parte </w:t>
      </w:r>
      <w:r w:rsidRPr="0044330E">
        <w:rPr>
          <w:rFonts w:ascii="Palatino Linotype" w:eastAsia="Palatino Linotype" w:hAnsi="Palatino Linotype" w:cs="Palatino Linotype"/>
          <w:b/>
          <w:sz w:val="24"/>
          <w:szCs w:val="24"/>
        </w:rPr>
        <w:t>RECURRENTE</w:t>
      </w:r>
      <w:r w:rsidRPr="0044330E">
        <w:rPr>
          <w:rFonts w:ascii="Palatino Linotype" w:eastAsia="Palatino Linotype" w:hAnsi="Palatino Linotype" w:cs="Palatino Linotype"/>
          <w:sz w:val="24"/>
          <w:szCs w:val="24"/>
        </w:rPr>
        <w:t xml:space="preserve"> formuló solicitud de acceso a información pública al</w:t>
      </w:r>
      <w:r w:rsidRPr="0044330E">
        <w:rPr>
          <w:rFonts w:ascii="Palatino Linotype" w:eastAsia="Palatino Linotype" w:hAnsi="Palatino Linotype" w:cs="Palatino Linotype"/>
          <w:b/>
          <w:sz w:val="24"/>
          <w:szCs w:val="24"/>
        </w:rPr>
        <w:t xml:space="preserve"> SUJETO OBLIGADO</w:t>
      </w:r>
      <w:r w:rsidRPr="0044330E">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0EF1C6E6"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6C682A1D" w14:textId="77777777" w:rsidR="00C1135E" w:rsidRPr="0044330E" w:rsidRDefault="00F1389F">
      <w:pPr>
        <w:ind w:left="567" w:right="560"/>
        <w:jc w:val="both"/>
        <w:rPr>
          <w:rFonts w:ascii="Palatino Linotype" w:eastAsia="Palatino Linotype" w:hAnsi="Palatino Linotype" w:cs="Palatino Linotype"/>
          <w:i/>
        </w:rPr>
      </w:pPr>
      <w:bookmarkStart w:id="0" w:name="_heading=h.30j0zll" w:colFirst="0" w:colLast="0"/>
      <w:bookmarkEnd w:id="0"/>
      <w:r w:rsidRPr="0044330E">
        <w:rPr>
          <w:rFonts w:ascii="Palatino Linotype" w:eastAsia="Palatino Linotype" w:hAnsi="Palatino Linotype" w:cs="Palatino Linotype"/>
          <w:i/>
        </w:rPr>
        <w:t>“solicito contratos y costo de la corrida de toros que el municipio organizo”. (sic)</w:t>
      </w:r>
    </w:p>
    <w:p w14:paraId="73247C17" w14:textId="77777777" w:rsidR="00C1135E" w:rsidRPr="0044330E" w:rsidRDefault="00C1135E">
      <w:pPr>
        <w:spacing w:after="0" w:line="360" w:lineRule="auto"/>
        <w:ind w:left="567" w:right="560"/>
        <w:jc w:val="both"/>
        <w:rPr>
          <w:rFonts w:ascii="Palatino Linotype" w:eastAsia="Palatino Linotype" w:hAnsi="Palatino Linotype" w:cs="Palatino Linotype"/>
          <w:i/>
        </w:rPr>
      </w:pPr>
    </w:p>
    <w:p w14:paraId="59B96B60"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Modalidad elegida para la entrega de la información:</w:t>
      </w:r>
      <w:r w:rsidRPr="0044330E">
        <w:rPr>
          <w:rFonts w:ascii="Palatino Linotype" w:eastAsia="Palatino Linotype" w:hAnsi="Palatino Linotype" w:cs="Palatino Linotype"/>
          <w:sz w:val="24"/>
          <w:szCs w:val="24"/>
        </w:rPr>
        <w:t xml:space="preserve"> a través del Sistema de Acceso a la Información Mexiquense (SAIMEX). </w:t>
      </w:r>
    </w:p>
    <w:p w14:paraId="395926CE" w14:textId="77777777" w:rsidR="00C1135E" w:rsidRPr="0044330E" w:rsidRDefault="00F1389F">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lastRenderedPageBreak/>
        <w:t>Información que puede estar en poder de otro Sujeto Obligado.</w:t>
      </w:r>
      <w:r w:rsidRPr="0044330E">
        <w:rPr>
          <w:rFonts w:ascii="Palatino Linotype" w:eastAsia="Palatino Linotype" w:hAnsi="Palatino Linotype" w:cs="Palatino Linotype"/>
          <w:sz w:val="24"/>
          <w:szCs w:val="24"/>
        </w:rPr>
        <w:t xml:space="preserve"> En fecha </w:t>
      </w:r>
      <w:r w:rsidRPr="0044330E">
        <w:rPr>
          <w:rFonts w:ascii="Palatino Linotype" w:eastAsia="Palatino Linotype" w:hAnsi="Palatino Linotype" w:cs="Palatino Linotype"/>
          <w:b/>
          <w:sz w:val="24"/>
          <w:szCs w:val="24"/>
        </w:rPr>
        <w:t>veinticinco de enero de dos mil veintitrés</w:t>
      </w:r>
      <w:r w:rsidRPr="0044330E">
        <w:rPr>
          <w:rFonts w:ascii="Palatino Linotype" w:eastAsia="Palatino Linotype" w:hAnsi="Palatino Linotype" w:cs="Palatino Linotype"/>
          <w:sz w:val="24"/>
          <w:szCs w:val="24"/>
        </w:rPr>
        <w:t xml:space="preserve">, el </w:t>
      </w:r>
      <w:r w:rsidRPr="0044330E">
        <w:rPr>
          <w:rFonts w:ascii="Palatino Linotype" w:eastAsia="Palatino Linotype" w:hAnsi="Palatino Linotype" w:cs="Palatino Linotype"/>
          <w:b/>
          <w:sz w:val="24"/>
          <w:szCs w:val="24"/>
        </w:rPr>
        <w:t xml:space="preserve">SUJETO OBLIGADO </w:t>
      </w:r>
      <w:r w:rsidRPr="0044330E">
        <w:rPr>
          <w:rFonts w:ascii="Palatino Linotype" w:eastAsia="Palatino Linotype" w:hAnsi="Palatino Linotype" w:cs="Palatino Linotype"/>
          <w:sz w:val="24"/>
          <w:szCs w:val="24"/>
        </w:rPr>
        <w:t xml:space="preserve">remitió respuesta a la solicitud de información, al tenor de lo siguiente: </w:t>
      </w:r>
    </w:p>
    <w:p w14:paraId="2C327A03"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77FA261"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Texcoco, México a 25 de ENERO de 2023 Folio de la solicitud: 00025 /TEXCOCO/IP/2023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RENE JONATHAN SANDOVAL TINOCO Unidad de Transparencia Ayuntamiento de Texcoco</w:t>
      </w:r>
    </w:p>
    <w:p w14:paraId="66851C2F" w14:textId="77777777" w:rsidR="00C1135E" w:rsidRPr="0044330E" w:rsidRDefault="00C1135E">
      <w:pPr>
        <w:spacing w:after="0" w:line="360" w:lineRule="auto"/>
        <w:ind w:right="560"/>
        <w:jc w:val="both"/>
        <w:rPr>
          <w:rFonts w:ascii="Palatino Linotype" w:eastAsia="Palatino Linotype" w:hAnsi="Palatino Linotype" w:cs="Palatino Linotype"/>
        </w:rPr>
      </w:pPr>
    </w:p>
    <w:p w14:paraId="1B9712B7" w14:textId="77777777" w:rsidR="00C1135E" w:rsidRPr="0044330E" w:rsidRDefault="00F1389F">
      <w:pPr>
        <w:spacing w:after="0" w:line="360" w:lineRule="auto"/>
        <w:ind w:right="560"/>
        <w:jc w:val="both"/>
        <w:rPr>
          <w:rFonts w:ascii="Palatino Linotype" w:eastAsia="Palatino Linotype" w:hAnsi="Palatino Linotype" w:cs="Palatino Linotype"/>
        </w:rPr>
      </w:pPr>
      <w:r w:rsidRPr="0044330E">
        <w:rPr>
          <w:rFonts w:ascii="Palatino Linotype" w:eastAsia="Palatino Linotype" w:hAnsi="Palatino Linotype" w:cs="Palatino Linotype"/>
        </w:rPr>
        <w:t xml:space="preserve">Asimismo, el </w:t>
      </w:r>
      <w:r w:rsidRPr="0044330E">
        <w:rPr>
          <w:rFonts w:ascii="Palatino Linotype" w:eastAsia="Palatino Linotype" w:hAnsi="Palatino Linotype" w:cs="Palatino Linotype"/>
          <w:b/>
        </w:rPr>
        <w:t xml:space="preserve">SUJETO OBLIGADO </w:t>
      </w:r>
      <w:r w:rsidRPr="0044330E">
        <w:rPr>
          <w:rFonts w:ascii="Palatino Linotype" w:eastAsia="Palatino Linotype" w:hAnsi="Palatino Linotype" w:cs="Palatino Linotype"/>
        </w:rPr>
        <w:t xml:space="preserve">adjuntó el documento que se describe a continuación: </w:t>
      </w:r>
    </w:p>
    <w:p w14:paraId="0DB5AF94" w14:textId="77777777" w:rsidR="00C1135E" w:rsidRPr="0044330E" w:rsidRDefault="00C1135E">
      <w:pPr>
        <w:spacing w:after="0" w:line="360" w:lineRule="auto"/>
        <w:ind w:right="560"/>
        <w:jc w:val="both"/>
        <w:rPr>
          <w:rFonts w:ascii="Palatino Linotype" w:eastAsia="Palatino Linotype" w:hAnsi="Palatino Linotype" w:cs="Palatino Linotype"/>
        </w:rPr>
      </w:pPr>
    </w:p>
    <w:p w14:paraId="0E1D83FB" w14:textId="77777777" w:rsidR="00C1135E" w:rsidRPr="0044330E" w:rsidRDefault="00F1389F">
      <w:pPr>
        <w:numPr>
          <w:ilvl w:val="0"/>
          <w:numId w:val="6"/>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44330E">
        <w:rPr>
          <w:rFonts w:ascii="Palatino Linotype" w:eastAsia="Palatino Linotype" w:hAnsi="Palatino Linotype" w:cs="Palatino Linotype"/>
        </w:rPr>
        <w:t xml:space="preserve">Oficio de fecha veinticinco de enero de dos mil veintitrés, signado por el titular de la Unidad de Transparencia, mediante el cual informa que el Ayuntamiento de Texcoco no cuenta con la información solicitada, ya que no es de su competencia, siendo que le pertenece al Gobierno del Estado de México dar atención a dicho requerimiento. </w:t>
      </w:r>
    </w:p>
    <w:p w14:paraId="1D5CE50A" w14:textId="77777777" w:rsidR="00C1135E" w:rsidRPr="0044330E" w:rsidRDefault="00C1135E">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rPr>
      </w:pPr>
    </w:p>
    <w:p w14:paraId="0FCB7499" w14:textId="77777777" w:rsidR="00C1135E" w:rsidRPr="0044330E" w:rsidRDefault="00F1389F">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Recurso de revisión.</w:t>
      </w:r>
      <w:r w:rsidRPr="0044330E">
        <w:rPr>
          <w:rFonts w:ascii="Palatino Linotype" w:eastAsia="Palatino Linotype" w:hAnsi="Palatino Linotype" w:cs="Palatino Linotype"/>
          <w:sz w:val="24"/>
          <w:szCs w:val="24"/>
        </w:rPr>
        <w:t xml:space="preserve"> En fecha</w:t>
      </w:r>
      <w:r w:rsidRPr="0044330E">
        <w:rPr>
          <w:rFonts w:ascii="Palatino Linotype" w:eastAsia="Palatino Linotype" w:hAnsi="Palatino Linotype" w:cs="Palatino Linotype"/>
          <w:b/>
          <w:sz w:val="24"/>
          <w:szCs w:val="24"/>
        </w:rPr>
        <w:t xml:space="preserve"> treinta de enero de dos mil veintitrés</w:t>
      </w:r>
      <w:r w:rsidRPr="0044330E">
        <w:rPr>
          <w:rFonts w:ascii="Palatino Linotype" w:eastAsia="Palatino Linotype" w:hAnsi="Palatino Linotype" w:cs="Palatino Linotype"/>
          <w:sz w:val="24"/>
          <w:szCs w:val="24"/>
        </w:rPr>
        <w:t>, la parte Recurrente presentó Recurso de Revisión, a través del cual expresó lo siguiente:</w:t>
      </w:r>
    </w:p>
    <w:p w14:paraId="0B44BB65"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6D5D2CD" w14:textId="77777777" w:rsidR="00C1135E" w:rsidRPr="0044330E" w:rsidRDefault="00F1389F">
      <w:pPr>
        <w:ind w:left="567"/>
        <w:jc w:val="both"/>
        <w:rPr>
          <w:rFonts w:ascii="Times New Roman" w:eastAsia="Times New Roman" w:hAnsi="Times New Roman" w:cs="Times New Roman"/>
          <w:sz w:val="24"/>
          <w:szCs w:val="24"/>
        </w:rPr>
      </w:pPr>
      <w:r w:rsidRPr="0044330E">
        <w:rPr>
          <w:rFonts w:ascii="Palatino Linotype" w:eastAsia="Palatino Linotype" w:hAnsi="Palatino Linotype" w:cs="Palatino Linotype"/>
          <w:b/>
          <w:sz w:val="24"/>
          <w:szCs w:val="24"/>
        </w:rPr>
        <w:t xml:space="preserve">Acto impugnado. </w:t>
      </w:r>
      <w:r w:rsidRPr="0044330E">
        <w:rPr>
          <w:rFonts w:ascii="Palatino Linotype" w:eastAsia="Palatino Linotype" w:hAnsi="Palatino Linotype" w:cs="Palatino Linotype"/>
          <w:i/>
        </w:rPr>
        <w:t>“la respuesta del Sujeto Obligado”.</w:t>
      </w:r>
    </w:p>
    <w:p w14:paraId="3404FCC2" w14:textId="77777777" w:rsidR="00C1135E" w:rsidRPr="0044330E" w:rsidRDefault="00C1135E">
      <w:pPr>
        <w:pBdr>
          <w:top w:val="nil"/>
          <w:left w:val="nil"/>
          <w:bottom w:val="nil"/>
          <w:right w:val="nil"/>
          <w:between w:val="nil"/>
        </w:pBdr>
        <w:tabs>
          <w:tab w:val="left" w:pos="993"/>
        </w:tabs>
        <w:spacing w:after="0" w:line="360" w:lineRule="auto"/>
        <w:ind w:left="567" w:right="701"/>
        <w:jc w:val="both"/>
        <w:rPr>
          <w:rFonts w:ascii="Palatino Linotype" w:eastAsia="Palatino Linotype" w:hAnsi="Palatino Linotype" w:cs="Palatino Linotype"/>
          <w:b/>
          <w:sz w:val="24"/>
          <w:szCs w:val="24"/>
        </w:rPr>
      </w:pPr>
    </w:p>
    <w:p w14:paraId="3E6162BD" w14:textId="77777777" w:rsidR="00C1135E" w:rsidRPr="0044330E" w:rsidRDefault="00F1389F">
      <w:pPr>
        <w:pBdr>
          <w:top w:val="nil"/>
          <w:left w:val="nil"/>
          <w:bottom w:val="nil"/>
          <w:right w:val="nil"/>
          <w:between w:val="nil"/>
        </w:pBdr>
        <w:tabs>
          <w:tab w:val="left" w:pos="709"/>
          <w:tab w:val="left" w:pos="851"/>
        </w:tabs>
        <w:spacing w:after="0" w:line="360" w:lineRule="auto"/>
        <w:ind w:left="567" w:right="701"/>
        <w:jc w:val="both"/>
        <w:rPr>
          <w:rFonts w:ascii="Palatino Linotype" w:eastAsia="Palatino Linotype" w:hAnsi="Palatino Linotype" w:cs="Palatino Linotype"/>
          <w:i/>
        </w:rPr>
      </w:pPr>
      <w:r w:rsidRPr="0044330E">
        <w:rPr>
          <w:rFonts w:ascii="Palatino Linotype" w:eastAsia="Palatino Linotype" w:hAnsi="Palatino Linotype" w:cs="Palatino Linotype"/>
          <w:b/>
          <w:sz w:val="24"/>
          <w:szCs w:val="24"/>
        </w:rPr>
        <w:lastRenderedPageBreak/>
        <w:t xml:space="preserve">Razones o motivos de la inconformidad: </w:t>
      </w:r>
      <w:r w:rsidRPr="0044330E">
        <w:rPr>
          <w:rFonts w:ascii="Palatino Linotype" w:eastAsia="Palatino Linotype" w:hAnsi="Palatino Linotype" w:cs="Palatino Linotype"/>
          <w:i/>
        </w:rPr>
        <w:t>“</w:t>
      </w:r>
      <w:r w:rsidRPr="0044330E">
        <w:rPr>
          <w:rFonts w:ascii="Palatino Linotype" w:eastAsia="Palatino Linotype" w:hAnsi="Palatino Linotype" w:cs="Palatino Linotype"/>
          <w:i/>
          <w:sz w:val="24"/>
          <w:szCs w:val="24"/>
        </w:rPr>
        <w:t>la negativa a la respuesta.”</w:t>
      </w:r>
    </w:p>
    <w:p w14:paraId="3915B258"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1067B0F7" w14:textId="77777777" w:rsidR="00C1135E" w:rsidRPr="0044330E" w:rsidRDefault="00F1389F">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Turno.</w:t>
      </w:r>
      <w:r w:rsidRPr="0044330E">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44330E">
        <w:rPr>
          <w:rFonts w:ascii="Palatino Linotype" w:eastAsia="Palatino Linotype" w:hAnsi="Palatino Linotype" w:cs="Palatino Linotype"/>
          <w:b/>
          <w:sz w:val="24"/>
          <w:szCs w:val="24"/>
        </w:rPr>
        <w:t>00529/INFOEM/IP/RR/2023</w:t>
      </w:r>
      <w:r w:rsidRPr="0044330E">
        <w:rPr>
          <w:rFonts w:ascii="Palatino Linotype" w:eastAsia="Palatino Linotype" w:hAnsi="Palatino Linotype" w:cs="Palatino Linotype"/>
          <w:sz w:val="24"/>
          <w:szCs w:val="24"/>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74FCA2C8"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AFDD58F" w14:textId="77777777" w:rsidR="00C1135E" w:rsidRPr="0044330E" w:rsidRDefault="00F1389F">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Admisión del recurso de revisión</w:t>
      </w:r>
      <w:r w:rsidRPr="0044330E">
        <w:rPr>
          <w:rFonts w:ascii="Palatino Linotype" w:eastAsia="Palatino Linotype" w:hAnsi="Palatino Linotype" w:cs="Palatino Linotype"/>
          <w:sz w:val="24"/>
          <w:szCs w:val="24"/>
        </w:rPr>
        <w:t xml:space="preserve">: En fecha </w:t>
      </w:r>
      <w:r w:rsidRPr="0044330E">
        <w:rPr>
          <w:rFonts w:ascii="Palatino Linotype" w:eastAsia="Palatino Linotype" w:hAnsi="Palatino Linotype" w:cs="Palatino Linotype"/>
          <w:b/>
          <w:sz w:val="24"/>
          <w:szCs w:val="24"/>
        </w:rPr>
        <w:t>dos de febrero de dos mil veintitrés</w:t>
      </w:r>
      <w:r w:rsidRPr="0044330E">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16F68F04"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BD94B8C" w14:textId="77777777" w:rsidR="00C1135E" w:rsidRPr="0044330E" w:rsidRDefault="00F1389F">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4330E">
        <w:rPr>
          <w:rFonts w:ascii="Palatino Linotype" w:eastAsia="Palatino Linotype" w:hAnsi="Palatino Linotype" w:cs="Palatino Linotype"/>
          <w:b/>
          <w:sz w:val="24"/>
          <w:szCs w:val="24"/>
        </w:rPr>
        <w:t xml:space="preserve">Manifestaciones. </w:t>
      </w:r>
      <w:r w:rsidRPr="0044330E">
        <w:rPr>
          <w:rFonts w:ascii="Palatino Linotype" w:eastAsia="Palatino Linotype" w:hAnsi="Palatino Linotype" w:cs="Palatino Linotype"/>
          <w:sz w:val="24"/>
          <w:szCs w:val="24"/>
        </w:rPr>
        <w:t xml:space="preserve">En fecha </w:t>
      </w:r>
      <w:r w:rsidRPr="0044330E">
        <w:rPr>
          <w:rFonts w:ascii="Palatino Linotype" w:eastAsia="Palatino Linotype" w:hAnsi="Palatino Linotype" w:cs="Palatino Linotype"/>
          <w:b/>
          <w:sz w:val="24"/>
          <w:szCs w:val="24"/>
        </w:rPr>
        <w:t xml:space="preserve">veintitrés de febrero de dos mil veintitrés y el diecinueve de junio de dos mil veintitrés </w:t>
      </w:r>
      <w:r w:rsidRPr="0044330E">
        <w:rPr>
          <w:rFonts w:ascii="Palatino Linotype" w:eastAsia="Palatino Linotype" w:hAnsi="Palatino Linotype" w:cs="Palatino Linotype"/>
          <w:sz w:val="24"/>
          <w:szCs w:val="24"/>
        </w:rPr>
        <w:t xml:space="preserve">el </w:t>
      </w:r>
      <w:r w:rsidRPr="0044330E">
        <w:rPr>
          <w:rFonts w:ascii="Palatino Linotype" w:eastAsia="Palatino Linotype" w:hAnsi="Palatino Linotype" w:cs="Palatino Linotype"/>
          <w:b/>
          <w:sz w:val="24"/>
          <w:szCs w:val="24"/>
        </w:rPr>
        <w:t xml:space="preserve">SUJETO OBLIGADO </w:t>
      </w:r>
      <w:r w:rsidRPr="0044330E">
        <w:rPr>
          <w:rFonts w:ascii="Palatino Linotype" w:eastAsia="Palatino Linotype" w:hAnsi="Palatino Linotype" w:cs="Palatino Linotype"/>
          <w:sz w:val="24"/>
          <w:szCs w:val="24"/>
        </w:rPr>
        <w:t xml:space="preserve">rindió su informe justificado, al tenor de lo siguiente: </w:t>
      </w:r>
    </w:p>
    <w:p w14:paraId="2A33EB17"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4CE91CC" w14:textId="77777777" w:rsidR="00C1135E" w:rsidRPr="0044330E" w:rsidRDefault="00F1389F">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4330E">
        <w:rPr>
          <w:rFonts w:ascii="Palatino Linotype" w:eastAsia="Palatino Linotype" w:hAnsi="Palatino Linotype" w:cs="Palatino Linotype"/>
        </w:rPr>
        <w:t xml:space="preserve">Oficio de fecha veintitrés de febrero de dos mil veintitrés, signado por el titular de la Unidad de Transparencia, mediante el cual ratificó su respuesta inicial. </w:t>
      </w:r>
    </w:p>
    <w:p w14:paraId="23BBFAAE" w14:textId="77777777" w:rsidR="00C1135E" w:rsidRPr="0044330E" w:rsidRDefault="00F1389F">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4330E">
        <w:rPr>
          <w:rFonts w:ascii="Palatino Linotype" w:eastAsia="Palatino Linotype" w:hAnsi="Palatino Linotype" w:cs="Palatino Linotype"/>
        </w:rPr>
        <w:t xml:space="preserve">Acta de la Décima Sexta Sesión Extraordinaria del Comité de Transparencia, mediante el cual se declara la incompetencia de la información requerida. </w:t>
      </w:r>
    </w:p>
    <w:p w14:paraId="7D8CA832" w14:textId="77777777" w:rsidR="00C1135E" w:rsidRPr="0044330E" w:rsidRDefault="00F1389F">
      <w:pPr>
        <w:spacing w:after="0" w:line="360" w:lineRule="auto"/>
        <w:rPr>
          <w:rFonts w:ascii="Palatino Linotype" w:eastAsia="Palatino Linotype" w:hAnsi="Palatino Linotype" w:cs="Palatino Linotype"/>
          <w:b/>
        </w:rPr>
      </w:pPr>
      <w:r w:rsidRPr="0044330E">
        <w:rPr>
          <w:rFonts w:ascii="Palatino Linotype" w:eastAsia="Palatino Linotype" w:hAnsi="Palatino Linotype" w:cs="Palatino Linotype"/>
        </w:rPr>
        <w:lastRenderedPageBreak/>
        <w:t xml:space="preserve">Documentos que se hicieron del conocimiento de la parte Recurrente el </w:t>
      </w:r>
      <w:r w:rsidRPr="0044330E">
        <w:rPr>
          <w:rFonts w:ascii="Palatino Linotype" w:eastAsia="Palatino Linotype" w:hAnsi="Palatino Linotype" w:cs="Palatino Linotype"/>
          <w:b/>
        </w:rPr>
        <w:t xml:space="preserve">veintiuno de agosto de dos mil veintitrés. </w:t>
      </w:r>
    </w:p>
    <w:p w14:paraId="181D6ED7" w14:textId="77777777" w:rsidR="00C1135E" w:rsidRPr="0044330E" w:rsidRDefault="00C1135E">
      <w:pPr>
        <w:spacing w:after="0" w:line="360" w:lineRule="auto"/>
        <w:rPr>
          <w:rFonts w:ascii="Palatino Linotype" w:eastAsia="Palatino Linotype" w:hAnsi="Palatino Linotype" w:cs="Palatino Linotype"/>
          <w:b/>
        </w:rPr>
      </w:pPr>
    </w:p>
    <w:p w14:paraId="3C31FE81" w14:textId="77777777" w:rsidR="00C1135E" w:rsidRPr="0044330E" w:rsidRDefault="00F1389F">
      <w:pPr>
        <w:spacing w:after="0" w:line="360" w:lineRule="auto"/>
        <w:rPr>
          <w:rFonts w:ascii="Times New Roman" w:eastAsia="Times New Roman" w:hAnsi="Times New Roman" w:cs="Times New Roman"/>
          <w:sz w:val="24"/>
          <w:szCs w:val="24"/>
        </w:rPr>
      </w:pPr>
      <w:r w:rsidRPr="0044330E">
        <w:rPr>
          <w:rFonts w:ascii="Palatino Linotype" w:eastAsia="Palatino Linotype" w:hAnsi="Palatino Linotype" w:cs="Palatino Linotype"/>
        </w:rPr>
        <w:t xml:space="preserve">La parte Recurrente no realizó manifestaciones. </w:t>
      </w:r>
    </w:p>
    <w:p w14:paraId="64FD70E1" w14:textId="77777777" w:rsidR="00C1135E" w:rsidRPr="0044330E" w:rsidRDefault="00C1135E">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p>
    <w:p w14:paraId="69E055A8" w14:textId="77777777" w:rsidR="00C1135E" w:rsidRPr="0044330E" w:rsidRDefault="00F1389F">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Ampliación de plazo:</w:t>
      </w:r>
      <w:r w:rsidRPr="0044330E">
        <w:rPr>
          <w:rFonts w:ascii="Palatino Linotype" w:eastAsia="Palatino Linotype" w:hAnsi="Palatino Linotype" w:cs="Palatino Linotype"/>
          <w:sz w:val="24"/>
          <w:szCs w:val="24"/>
        </w:rPr>
        <w:t xml:space="preserve"> El</w:t>
      </w:r>
      <w:r w:rsidRPr="0044330E">
        <w:rPr>
          <w:rFonts w:ascii="Palatino Linotype" w:eastAsia="Palatino Linotype" w:hAnsi="Palatino Linotype" w:cs="Palatino Linotype"/>
          <w:b/>
          <w:sz w:val="24"/>
          <w:szCs w:val="24"/>
        </w:rPr>
        <w:t xml:space="preserve"> ocho de noviembre de dos mil veintitrés</w:t>
      </w:r>
      <w:r w:rsidRPr="0044330E">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E42F9C7"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4A7528C6"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BAA19D6"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 </w:t>
      </w:r>
    </w:p>
    <w:p w14:paraId="17ADDB6B"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3C765F3"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 </w:t>
      </w:r>
    </w:p>
    <w:p w14:paraId="139ED919"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FB41F0"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751D7451"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604495B"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6D7EDA55"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368AEA83"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0A537258" w14:textId="77777777" w:rsidR="00C1135E" w:rsidRPr="0044330E" w:rsidRDefault="00F1389F">
      <w:pPr>
        <w:tabs>
          <w:tab w:val="left" w:pos="709"/>
        </w:tabs>
        <w:spacing w:after="0" w:line="360" w:lineRule="auto"/>
        <w:ind w:left="567" w:right="560"/>
        <w:jc w:val="both"/>
        <w:rPr>
          <w:rFonts w:ascii="Palatino Linotype" w:eastAsia="Palatino Linotype" w:hAnsi="Palatino Linotype" w:cs="Palatino Linotype"/>
        </w:rPr>
      </w:pPr>
      <w:r w:rsidRPr="0044330E">
        <w:rPr>
          <w:rFonts w:ascii="Palatino Linotype" w:eastAsia="Palatino Linotype" w:hAnsi="Palatino Linotype" w:cs="Palatino Linotype"/>
          <w:b/>
          <w:sz w:val="24"/>
          <w:szCs w:val="24"/>
        </w:rPr>
        <w:t>a</w:t>
      </w:r>
      <w:r w:rsidRPr="0044330E">
        <w:rPr>
          <w:rFonts w:ascii="Palatino Linotype" w:eastAsia="Palatino Linotype" w:hAnsi="Palatino Linotype" w:cs="Palatino Linotype"/>
          <w:b/>
        </w:rPr>
        <w:t>)    Complejidad del asunto:</w:t>
      </w:r>
      <w:r w:rsidRPr="0044330E">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3E5649C6" w14:textId="77777777" w:rsidR="00C1135E" w:rsidRPr="0044330E" w:rsidRDefault="00F1389F">
      <w:pPr>
        <w:tabs>
          <w:tab w:val="left" w:pos="709"/>
        </w:tabs>
        <w:spacing w:after="0" w:line="360" w:lineRule="auto"/>
        <w:ind w:left="567" w:right="560"/>
        <w:jc w:val="both"/>
        <w:rPr>
          <w:rFonts w:ascii="Palatino Linotype" w:eastAsia="Palatino Linotype" w:hAnsi="Palatino Linotype" w:cs="Palatino Linotype"/>
        </w:rPr>
      </w:pPr>
      <w:r w:rsidRPr="0044330E">
        <w:rPr>
          <w:rFonts w:ascii="Palatino Linotype" w:eastAsia="Palatino Linotype" w:hAnsi="Palatino Linotype" w:cs="Palatino Linotype"/>
          <w:b/>
        </w:rPr>
        <w:t>b)   Actividad Procesal del interesado</w:t>
      </w:r>
      <w:r w:rsidRPr="0044330E">
        <w:rPr>
          <w:rFonts w:ascii="Palatino Linotype" w:eastAsia="Palatino Linotype" w:hAnsi="Palatino Linotype" w:cs="Palatino Linotype"/>
        </w:rPr>
        <w:t>: Acciones u omisiones del interesado.</w:t>
      </w:r>
    </w:p>
    <w:p w14:paraId="0F59066D" w14:textId="77777777" w:rsidR="00C1135E" w:rsidRPr="0044330E" w:rsidRDefault="00F1389F">
      <w:pPr>
        <w:tabs>
          <w:tab w:val="left" w:pos="851"/>
        </w:tabs>
        <w:spacing w:after="0" w:line="360" w:lineRule="auto"/>
        <w:ind w:left="567" w:right="560"/>
        <w:jc w:val="both"/>
        <w:rPr>
          <w:rFonts w:ascii="Palatino Linotype" w:eastAsia="Palatino Linotype" w:hAnsi="Palatino Linotype" w:cs="Palatino Linotype"/>
        </w:rPr>
      </w:pPr>
      <w:r w:rsidRPr="0044330E">
        <w:rPr>
          <w:rFonts w:ascii="Palatino Linotype" w:eastAsia="Palatino Linotype" w:hAnsi="Palatino Linotype" w:cs="Palatino Linotype"/>
          <w:b/>
        </w:rPr>
        <w:t>c)  Conducta de la Autoridad:</w:t>
      </w:r>
      <w:r w:rsidRPr="0044330E">
        <w:rPr>
          <w:rFonts w:ascii="Palatino Linotype" w:eastAsia="Palatino Linotype" w:hAnsi="Palatino Linotype" w:cs="Palatino Linotype"/>
        </w:rPr>
        <w:t xml:space="preserve"> Las Acciones u omisiones realizadas en el procedimiento. Así como si la autoridad actuó con la debida diligencia.</w:t>
      </w:r>
    </w:p>
    <w:p w14:paraId="655840BD" w14:textId="77777777" w:rsidR="00C1135E" w:rsidRPr="0044330E" w:rsidRDefault="00F1389F">
      <w:pPr>
        <w:tabs>
          <w:tab w:val="left" w:pos="851"/>
        </w:tabs>
        <w:spacing w:after="0" w:line="360" w:lineRule="auto"/>
        <w:ind w:left="567" w:right="560"/>
        <w:jc w:val="both"/>
        <w:rPr>
          <w:rFonts w:ascii="Palatino Linotype" w:eastAsia="Palatino Linotype" w:hAnsi="Palatino Linotype" w:cs="Palatino Linotype"/>
        </w:rPr>
      </w:pPr>
      <w:r w:rsidRPr="0044330E">
        <w:rPr>
          <w:rFonts w:ascii="Palatino Linotype" w:eastAsia="Palatino Linotype" w:hAnsi="Palatino Linotype" w:cs="Palatino Linotype"/>
          <w:b/>
        </w:rPr>
        <w:t>d) La afectación generada en la situación jurídica de la persona involucrada en el proceso:</w:t>
      </w:r>
      <w:r w:rsidRPr="0044330E">
        <w:rPr>
          <w:rFonts w:ascii="Palatino Linotype" w:eastAsia="Palatino Linotype" w:hAnsi="Palatino Linotype" w:cs="Palatino Linotype"/>
        </w:rPr>
        <w:t xml:space="preserve"> Violación a sus derechos humanos.</w:t>
      </w:r>
    </w:p>
    <w:p w14:paraId="05B874E5"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10692DB1"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44330E">
        <w:rPr>
          <w:rFonts w:ascii="Palatino Linotype" w:eastAsia="Palatino Linotype" w:hAnsi="Palatino Linotype" w:cs="Palatino Linotype"/>
          <w:sz w:val="24"/>
          <w:szCs w:val="24"/>
        </w:rPr>
        <w:lastRenderedPageBreak/>
        <w:t>considerarse normal, debe concluirse que es una excluyente de responsabilidad en relación con la actuación del funcionario, como ha acontecido en el caso que nos ocupa.</w:t>
      </w:r>
    </w:p>
    <w:p w14:paraId="2E0A9121"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 </w:t>
      </w:r>
    </w:p>
    <w:p w14:paraId="666E70CF"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44330E">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44330E">
        <w:rPr>
          <w:rFonts w:ascii="Palatino Linotype" w:eastAsia="Palatino Linotype" w:hAnsi="Palatino Linotype" w:cs="Palatino Linotype"/>
          <w:sz w:val="24"/>
          <w:szCs w:val="24"/>
        </w:rPr>
        <w:t>, visible en la Gaceta del Seminario Judicial de la Federación con el registro digital 205635.</w:t>
      </w:r>
    </w:p>
    <w:p w14:paraId="35EA9C87"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 </w:t>
      </w:r>
    </w:p>
    <w:p w14:paraId="0483AD08"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A91B20B"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52683B4B"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03B78A49"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 </w:t>
      </w:r>
    </w:p>
    <w:p w14:paraId="3340C46C" w14:textId="77777777" w:rsidR="00C1135E" w:rsidRPr="0044330E" w:rsidRDefault="00F1389F">
      <w:pPr>
        <w:spacing w:after="0" w:line="360" w:lineRule="auto"/>
        <w:ind w:left="567" w:right="560"/>
        <w:jc w:val="both"/>
        <w:rPr>
          <w:rFonts w:ascii="Palatino Linotype" w:eastAsia="Palatino Linotype" w:hAnsi="Palatino Linotype" w:cs="Palatino Linotype"/>
        </w:rPr>
      </w:pPr>
      <w:r w:rsidRPr="0044330E">
        <w:rPr>
          <w:rFonts w:ascii="Palatino Linotype" w:eastAsia="Palatino Linotype" w:hAnsi="Palatino Linotype" w:cs="Palatino Linotype"/>
          <w:b/>
        </w:rPr>
        <w:t xml:space="preserve"> “PLAZO RAZONABLE PARA RESOLVER. DIMENSIÓN Y EFECTOS DE ESTE CONCEPTO CUANDO SE ADUCE EXCESIVA CARGA DE TRABAJO.”</w:t>
      </w:r>
      <w:r w:rsidRPr="0044330E">
        <w:rPr>
          <w:rFonts w:ascii="Palatino Linotype" w:eastAsia="Palatino Linotype" w:hAnsi="Palatino Linotype" w:cs="Palatino Linotype"/>
        </w:rPr>
        <w:t xml:space="preserve"> consultable en el Seminario Judicial de la Federación y su gaceta, con el registro digital 2002351.</w:t>
      </w:r>
    </w:p>
    <w:p w14:paraId="56BC3C06" w14:textId="77777777" w:rsidR="00C1135E" w:rsidRPr="0044330E" w:rsidRDefault="00F1389F">
      <w:pPr>
        <w:spacing w:after="0" w:line="360" w:lineRule="auto"/>
        <w:ind w:left="567" w:right="560"/>
        <w:jc w:val="both"/>
        <w:rPr>
          <w:rFonts w:ascii="Palatino Linotype" w:eastAsia="Palatino Linotype" w:hAnsi="Palatino Linotype" w:cs="Palatino Linotype"/>
        </w:rPr>
      </w:pPr>
      <w:r w:rsidRPr="0044330E">
        <w:rPr>
          <w:rFonts w:ascii="Palatino Linotype" w:eastAsia="Palatino Linotype" w:hAnsi="Palatino Linotype" w:cs="Palatino Linotype"/>
        </w:rPr>
        <w:t xml:space="preserve"> </w:t>
      </w:r>
    </w:p>
    <w:p w14:paraId="0E579563" w14:textId="77777777" w:rsidR="00C1135E" w:rsidRPr="0044330E" w:rsidRDefault="00F1389F">
      <w:pPr>
        <w:spacing w:after="0" w:line="360" w:lineRule="auto"/>
        <w:ind w:left="567" w:right="560"/>
        <w:jc w:val="both"/>
        <w:rPr>
          <w:rFonts w:ascii="Palatino Linotype" w:eastAsia="Palatino Linotype" w:hAnsi="Palatino Linotype" w:cs="Palatino Linotype"/>
        </w:rPr>
      </w:pPr>
      <w:r w:rsidRPr="0044330E">
        <w:rPr>
          <w:rFonts w:ascii="Palatino Linotype" w:eastAsia="Palatino Linotype" w:hAnsi="Palatino Linotype" w:cs="Palatino Linotype"/>
          <w:b/>
        </w:rPr>
        <w:t>“PLAZO RAZONABLE PARA RESOLVER. CONCEPTO Y ELEMENTOS QUE LO INTEGRAN A LA LUZ DEL DERECHO INTERNACIONAL DE LOS DERECHOS HUMANOS.”,</w:t>
      </w:r>
      <w:r w:rsidRPr="0044330E">
        <w:rPr>
          <w:rFonts w:ascii="Palatino Linotype" w:eastAsia="Palatino Linotype" w:hAnsi="Palatino Linotype" w:cs="Palatino Linotype"/>
        </w:rPr>
        <w:t xml:space="preserve"> visible en el Seminario Judicial de la Federación y su gaceta, con el registro digital 2002350.</w:t>
      </w:r>
    </w:p>
    <w:p w14:paraId="510ABD52"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40DE222" w14:textId="77777777" w:rsidR="00C1135E" w:rsidRPr="0044330E" w:rsidRDefault="00F1389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43A9090B"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6CCCAE7" w14:textId="77777777" w:rsidR="00C1135E" w:rsidRPr="0044330E" w:rsidRDefault="00F1389F">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Cierre de instrucción</w:t>
      </w:r>
      <w:r w:rsidRPr="0044330E">
        <w:rPr>
          <w:rFonts w:ascii="Palatino Linotype" w:eastAsia="Palatino Linotype" w:hAnsi="Palatino Linotype" w:cs="Palatino Linotype"/>
          <w:sz w:val="24"/>
          <w:szCs w:val="24"/>
        </w:rPr>
        <w:t xml:space="preserve">. En fecha </w:t>
      </w:r>
      <w:r w:rsidRPr="0044330E">
        <w:rPr>
          <w:rFonts w:ascii="Palatino Linotype" w:eastAsia="Palatino Linotype" w:hAnsi="Palatino Linotype" w:cs="Palatino Linotype"/>
          <w:b/>
          <w:sz w:val="24"/>
          <w:szCs w:val="24"/>
        </w:rPr>
        <w:t>ocho de noviembre de dos mil veintitrés</w:t>
      </w:r>
      <w:r w:rsidRPr="0044330E">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3990ECF0"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7DE980B"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lastRenderedPageBreak/>
        <w:t xml:space="preserve">Debido a que fue debidamente sustanciado el expediente electrónico y no existe diligencia pendiente de desahogo, se emite la Resolución que conforme a Derecho proceda, de acuerdo con los siguientes: </w:t>
      </w:r>
    </w:p>
    <w:p w14:paraId="017BA435"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F57404B" w14:textId="77777777" w:rsidR="00C1135E" w:rsidRPr="0044330E" w:rsidRDefault="00F1389F">
      <w:pPr>
        <w:spacing w:after="0" w:line="360" w:lineRule="auto"/>
        <w:ind w:right="49"/>
        <w:jc w:val="center"/>
        <w:rPr>
          <w:rFonts w:ascii="Palatino Linotype" w:eastAsia="Palatino Linotype" w:hAnsi="Palatino Linotype" w:cs="Palatino Linotype"/>
          <w:b/>
          <w:sz w:val="24"/>
          <w:szCs w:val="24"/>
        </w:rPr>
      </w:pPr>
      <w:r w:rsidRPr="0044330E">
        <w:rPr>
          <w:rFonts w:ascii="Palatino Linotype" w:eastAsia="Palatino Linotype" w:hAnsi="Palatino Linotype" w:cs="Palatino Linotype"/>
          <w:b/>
          <w:sz w:val="24"/>
          <w:szCs w:val="24"/>
        </w:rPr>
        <w:t>II.</w:t>
      </w:r>
      <w:r w:rsidRPr="0044330E">
        <w:rPr>
          <w:rFonts w:ascii="Palatino Linotype" w:eastAsia="Palatino Linotype" w:hAnsi="Palatino Linotype" w:cs="Palatino Linotype"/>
          <w:b/>
          <w:sz w:val="24"/>
          <w:szCs w:val="24"/>
        </w:rPr>
        <w:tab/>
        <w:t>C O N S I D E R A N D O:</w:t>
      </w:r>
    </w:p>
    <w:p w14:paraId="514A828B"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327EF945"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Primero. Competencia.</w:t>
      </w:r>
      <w:r w:rsidRPr="0044330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C2D9FB0"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0D53F1B1"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Segundo. Oportunidad y Procedibilidad del Recurso de Revisión</w:t>
      </w:r>
      <w:r w:rsidRPr="0044330E">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86BC31A" w14:textId="77777777" w:rsidR="00C1135E" w:rsidRPr="0044330E" w:rsidRDefault="00F1389F">
      <w:pPr>
        <w:spacing w:after="0" w:line="360" w:lineRule="auto"/>
        <w:jc w:val="both"/>
        <w:rPr>
          <w:rFonts w:ascii="Palatino Linotype" w:eastAsia="Palatino Linotype" w:hAnsi="Palatino Linotype" w:cs="Palatino Linotype"/>
          <w:sz w:val="24"/>
          <w:szCs w:val="24"/>
        </w:rPr>
      </w:pPr>
      <w:bookmarkStart w:id="1" w:name="_heading=h.3znysh7" w:colFirst="0" w:colLast="0"/>
      <w:bookmarkEnd w:id="1"/>
      <w:r w:rsidRPr="0044330E">
        <w:rPr>
          <w:rFonts w:ascii="Palatino Linotype" w:eastAsia="Palatino Linotype" w:hAnsi="Palatino Linotype" w:cs="Palatino Linotype"/>
          <w:sz w:val="24"/>
          <w:szCs w:val="24"/>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44330E">
        <w:rPr>
          <w:rFonts w:ascii="Palatino Linotype" w:eastAsia="Palatino Linotype" w:hAnsi="Palatino Linotype" w:cs="Palatino Linotype"/>
          <w:b/>
          <w:sz w:val="24"/>
          <w:szCs w:val="24"/>
        </w:rPr>
        <w:t>SUJETO OBLIGADO</w:t>
      </w:r>
      <w:r w:rsidRPr="0044330E">
        <w:rPr>
          <w:rFonts w:ascii="Palatino Linotype" w:eastAsia="Palatino Linotype" w:hAnsi="Palatino Linotype" w:cs="Palatino Linotype"/>
          <w:sz w:val="24"/>
          <w:szCs w:val="24"/>
        </w:rPr>
        <w:t xml:space="preserve"> remitió la respuesta a la solicitud de información el día </w:t>
      </w:r>
      <w:r w:rsidRPr="0044330E">
        <w:rPr>
          <w:rFonts w:ascii="Palatino Linotype" w:eastAsia="Palatino Linotype" w:hAnsi="Palatino Linotype" w:cs="Palatino Linotype"/>
          <w:b/>
          <w:sz w:val="24"/>
          <w:szCs w:val="24"/>
        </w:rPr>
        <w:t>veinticinco de enero de dos mil veintidós</w:t>
      </w:r>
      <w:r w:rsidRPr="0044330E">
        <w:rPr>
          <w:rFonts w:ascii="Palatino Linotype" w:eastAsia="Palatino Linotype" w:hAnsi="Palatino Linotype" w:cs="Palatino Linotype"/>
          <w:sz w:val="24"/>
          <w:szCs w:val="24"/>
        </w:rPr>
        <w:t>,</w:t>
      </w:r>
      <w:r w:rsidRPr="0044330E">
        <w:rPr>
          <w:rFonts w:ascii="Palatino Linotype" w:eastAsia="Palatino Linotype" w:hAnsi="Palatino Linotype" w:cs="Palatino Linotype"/>
          <w:b/>
          <w:sz w:val="24"/>
          <w:szCs w:val="24"/>
        </w:rPr>
        <w:t xml:space="preserve"> </w:t>
      </w:r>
      <w:r w:rsidRPr="0044330E">
        <w:rPr>
          <w:rFonts w:ascii="Palatino Linotype" w:eastAsia="Palatino Linotype" w:hAnsi="Palatino Linotype" w:cs="Palatino Linotype"/>
          <w:sz w:val="24"/>
          <w:szCs w:val="24"/>
        </w:rPr>
        <w:t xml:space="preserve">mientras que el recurso de revisión interpuesto por la parte </w:t>
      </w:r>
      <w:r w:rsidRPr="0044330E">
        <w:rPr>
          <w:rFonts w:ascii="Palatino Linotype" w:eastAsia="Palatino Linotype" w:hAnsi="Palatino Linotype" w:cs="Palatino Linotype"/>
          <w:b/>
          <w:sz w:val="24"/>
          <w:szCs w:val="24"/>
        </w:rPr>
        <w:t>RECURRENTE</w:t>
      </w:r>
      <w:r w:rsidRPr="0044330E">
        <w:rPr>
          <w:rFonts w:ascii="Palatino Linotype" w:eastAsia="Palatino Linotype" w:hAnsi="Palatino Linotype" w:cs="Palatino Linotype"/>
          <w:sz w:val="24"/>
          <w:szCs w:val="24"/>
        </w:rPr>
        <w:t xml:space="preserve"> se tuvo por presentado el </w:t>
      </w:r>
      <w:r w:rsidRPr="0044330E">
        <w:rPr>
          <w:rFonts w:ascii="Palatino Linotype" w:eastAsia="Palatino Linotype" w:hAnsi="Palatino Linotype" w:cs="Palatino Linotype"/>
          <w:b/>
          <w:sz w:val="24"/>
          <w:szCs w:val="24"/>
        </w:rPr>
        <w:t>treinta de enero de dos mil veintitrés</w:t>
      </w:r>
      <w:r w:rsidRPr="0044330E">
        <w:rPr>
          <w:rFonts w:ascii="Palatino Linotype" w:eastAsia="Palatino Linotype" w:hAnsi="Palatino Linotype" w:cs="Palatino Linotype"/>
          <w:sz w:val="24"/>
          <w:szCs w:val="24"/>
        </w:rPr>
        <w:t xml:space="preserve">, esto es al tercer día en que se tuvo conocimiento de la respuesta. </w:t>
      </w:r>
    </w:p>
    <w:p w14:paraId="0928B84E"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7A334579"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Es de suma importancia mencionar que, si bien la parte no proporcionó algún nombre para ser identificado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BFD3B8E"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5CE26F28" w14:textId="77777777" w:rsidR="00C1135E" w:rsidRPr="0044330E" w:rsidRDefault="00F1389F">
      <w:pPr>
        <w:spacing w:after="0" w:line="276" w:lineRule="auto"/>
        <w:ind w:left="567" w:right="843"/>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"Las solicitudes </w:t>
      </w:r>
      <w:r w:rsidRPr="0044330E">
        <w:rPr>
          <w:rFonts w:ascii="Palatino Linotype" w:eastAsia="Palatino Linotype" w:hAnsi="Palatino Linotype" w:cs="Palatino Linotype"/>
          <w:b/>
          <w:i/>
          <w:u w:val="single"/>
        </w:rPr>
        <w:t>anónimas</w:t>
      </w:r>
      <w:r w:rsidRPr="0044330E">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75CF30B0"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288BC401" w14:textId="77777777" w:rsidR="00C1135E" w:rsidRPr="0044330E" w:rsidRDefault="00F1389F">
      <w:pPr>
        <w:spacing w:after="0" w:line="360" w:lineRule="auto"/>
        <w:jc w:val="both"/>
        <w:rPr>
          <w:rFonts w:ascii="Palatino Linotype" w:eastAsia="Palatino Linotype" w:hAnsi="Palatino Linotype" w:cs="Palatino Linotype"/>
          <w:b/>
          <w:sz w:val="24"/>
          <w:szCs w:val="24"/>
        </w:rPr>
      </w:pPr>
      <w:r w:rsidRPr="0044330E">
        <w:rPr>
          <w:rFonts w:ascii="Palatino Linotype" w:eastAsia="Palatino Linotype" w:hAnsi="Palatino Linotype" w:cs="Palatino Linotype"/>
          <w:sz w:val="24"/>
          <w:szCs w:val="24"/>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44330E">
        <w:rPr>
          <w:rFonts w:ascii="Palatino Linotype" w:eastAsia="Palatino Linotype" w:hAnsi="Palatino Linotype" w:cs="Palatino Linotype"/>
          <w:b/>
          <w:sz w:val="24"/>
          <w:szCs w:val="24"/>
        </w:rPr>
        <w:t>SAIMEX.</w:t>
      </w:r>
    </w:p>
    <w:p w14:paraId="14EB1BC7"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lastRenderedPageBreak/>
        <w:t>Finalmente, se advierte que resulta procedente la interposición del recurso, según lo manifestado por el recurrente en sus motivos de inconformidad, de acuerdo con el artículo 179, fracción I del ordenamiento legal citado, que a la letra dice: </w:t>
      </w:r>
    </w:p>
    <w:p w14:paraId="1A956ABA" w14:textId="77777777" w:rsidR="00C1135E" w:rsidRPr="0044330E" w:rsidRDefault="00C1135E">
      <w:pPr>
        <w:spacing w:after="0" w:line="360" w:lineRule="auto"/>
        <w:jc w:val="both"/>
        <w:rPr>
          <w:rFonts w:ascii="Palatino Linotype" w:eastAsia="Palatino Linotype" w:hAnsi="Palatino Linotype" w:cs="Palatino Linotype"/>
        </w:rPr>
      </w:pPr>
    </w:p>
    <w:p w14:paraId="712C1558" w14:textId="77777777" w:rsidR="00C1135E" w:rsidRPr="0044330E" w:rsidRDefault="00F1389F">
      <w:pPr>
        <w:spacing w:after="0" w:line="276" w:lineRule="auto"/>
        <w:ind w:left="567" w:right="902"/>
        <w:jc w:val="both"/>
        <w:rPr>
          <w:rFonts w:ascii="Palatino Linotype" w:eastAsia="Palatino Linotype" w:hAnsi="Palatino Linotype" w:cs="Palatino Linotype"/>
          <w:i/>
        </w:rPr>
      </w:pPr>
      <w:r w:rsidRPr="0044330E">
        <w:rPr>
          <w:rFonts w:ascii="Palatino Linotype" w:eastAsia="Palatino Linotype" w:hAnsi="Palatino Linotype" w:cs="Palatino Linotype"/>
          <w:i/>
        </w:rPr>
        <w:t>“</w:t>
      </w:r>
      <w:r w:rsidRPr="0044330E">
        <w:rPr>
          <w:rFonts w:ascii="Palatino Linotype" w:eastAsia="Palatino Linotype" w:hAnsi="Palatino Linotype" w:cs="Palatino Linotype"/>
          <w:b/>
          <w:i/>
        </w:rPr>
        <w:t>Artículo 179.</w:t>
      </w:r>
      <w:r w:rsidRPr="0044330E">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33BBE84" w14:textId="77777777" w:rsidR="00C1135E" w:rsidRPr="0044330E" w:rsidRDefault="00F1389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44330E">
        <w:rPr>
          <w:rFonts w:ascii="Palatino Linotype" w:eastAsia="Palatino Linotype" w:hAnsi="Palatino Linotype" w:cs="Palatino Linotype"/>
          <w:i/>
        </w:rPr>
        <w:t>…</w:t>
      </w:r>
    </w:p>
    <w:p w14:paraId="66089702" w14:textId="77777777" w:rsidR="00C1135E" w:rsidRPr="0044330E" w:rsidRDefault="00F1389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44330E">
        <w:rPr>
          <w:rFonts w:ascii="Palatino Linotype" w:eastAsia="Palatino Linotype" w:hAnsi="Palatino Linotype" w:cs="Palatino Linotype"/>
          <w:i/>
        </w:rPr>
        <w:t>I. La negativa a la información solicitada;</w:t>
      </w:r>
    </w:p>
    <w:p w14:paraId="72960562" w14:textId="77777777" w:rsidR="00C1135E" w:rsidRPr="0044330E" w:rsidRDefault="00F1389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44330E">
        <w:rPr>
          <w:rFonts w:ascii="Palatino Linotype" w:eastAsia="Palatino Linotype" w:hAnsi="Palatino Linotype" w:cs="Palatino Linotype"/>
          <w:i/>
        </w:rPr>
        <w:t>…</w:t>
      </w:r>
    </w:p>
    <w:p w14:paraId="005982C2"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04F9ED39"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 xml:space="preserve">Tercero. Análisis de las causales de sobreseimiento. </w:t>
      </w:r>
      <w:r w:rsidRPr="0044330E">
        <w:rPr>
          <w:rFonts w:ascii="Palatino Linotype" w:eastAsia="Palatino Linotype" w:hAnsi="Palatino Linotype" w:cs="Palatino Linotype"/>
          <w:sz w:val="24"/>
          <w:szCs w:val="24"/>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30E65A6"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5A5E4D28"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w:t>
      </w:r>
      <w:r w:rsidRPr="0044330E">
        <w:rPr>
          <w:rFonts w:ascii="Palatino Linotype" w:eastAsia="Palatino Linotype" w:hAnsi="Palatino Linotype" w:cs="Palatino Linotype"/>
          <w:sz w:val="24"/>
          <w:szCs w:val="24"/>
        </w:rPr>
        <w:lastRenderedPageBreak/>
        <w:t>de causales de improcedencia que no son incompatibles con el derecho de acceso a la justicia, ya que éste no se coarta por regular causas de improcedencia y sobreseimiento con tales fines.</w:t>
      </w:r>
    </w:p>
    <w:p w14:paraId="6EC2E5DE"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45F96CC9"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Ahora bien, del análisis de la solicitud de información pública que motivó el recurso de revisión que ahora se resuelve, se advierte que la parte Recurrente requirió la siguiente información: </w:t>
      </w:r>
    </w:p>
    <w:p w14:paraId="0CCF2DAB"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0317BA03" w14:textId="77777777" w:rsidR="00C1135E" w:rsidRPr="0044330E" w:rsidRDefault="00F1389F">
      <w:pPr>
        <w:numPr>
          <w:ilvl w:val="0"/>
          <w:numId w:val="4"/>
        </w:num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44330E">
        <w:rPr>
          <w:rFonts w:ascii="Palatino Linotype" w:eastAsia="Palatino Linotype" w:hAnsi="Palatino Linotype" w:cs="Palatino Linotype"/>
        </w:rPr>
        <w:t xml:space="preserve">Los contratos y costo de la corrida de toros </w:t>
      </w:r>
      <w:r w:rsidRPr="0044330E">
        <w:rPr>
          <w:rFonts w:ascii="Palatino Linotype" w:eastAsia="Palatino Linotype" w:hAnsi="Palatino Linotype" w:cs="Palatino Linotype"/>
          <w:b/>
          <w:u w:val="single"/>
        </w:rPr>
        <w:t>que el municipio organizó</w:t>
      </w:r>
      <w:r w:rsidRPr="0044330E">
        <w:rPr>
          <w:rFonts w:ascii="Palatino Linotype" w:eastAsia="Palatino Linotype" w:hAnsi="Palatino Linotype" w:cs="Palatino Linotype"/>
        </w:rPr>
        <w:t xml:space="preserve">. </w:t>
      </w:r>
    </w:p>
    <w:p w14:paraId="4047C41B" w14:textId="77777777" w:rsidR="00C1135E" w:rsidRPr="0044330E" w:rsidRDefault="00C1135E">
      <w:pPr>
        <w:pBdr>
          <w:top w:val="nil"/>
          <w:left w:val="nil"/>
          <w:bottom w:val="nil"/>
          <w:right w:val="nil"/>
          <w:between w:val="nil"/>
        </w:pBdr>
        <w:spacing w:after="0" w:line="360" w:lineRule="auto"/>
        <w:ind w:left="720" w:right="-150"/>
        <w:jc w:val="both"/>
        <w:rPr>
          <w:rFonts w:ascii="Palatino Linotype" w:eastAsia="Palatino Linotype" w:hAnsi="Palatino Linotype" w:cs="Palatino Linotype"/>
        </w:rPr>
      </w:pPr>
    </w:p>
    <w:p w14:paraId="1C3B1070" w14:textId="77777777" w:rsidR="00C1135E" w:rsidRPr="0044330E" w:rsidRDefault="00F1389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En respuesta, el Sujeto Obligado, proporcionó la siguiente información: </w:t>
      </w:r>
    </w:p>
    <w:p w14:paraId="20F24DE4" w14:textId="77777777" w:rsidR="00C1135E" w:rsidRPr="0044330E" w:rsidRDefault="00C1135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AA2D5F5" w14:textId="77777777" w:rsidR="00C1135E" w:rsidRPr="0044330E" w:rsidRDefault="00F1389F">
      <w:pPr>
        <w:numPr>
          <w:ilvl w:val="0"/>
          <w:numId w:val="6"/>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44330E">
        <w:rPr>
          <w:rFonts w:ascii="Palatino Linotype" w:eastAsia="Palatino Linotype" w:hAnsi="Palatino Linotype" w:cs="Palatino Linotype"/>
        </w:rPr>
        <w:t xml:space="preserve">Oficio de fecha veinticinco de enero de dos mil veintitrés, signado por el titular de la Unidad de Transparencia, mediante el cual informa que el Ayuntamiento de Texcoco no cuenta con la información solicitada, ya que no es de su competencia, siendo que le pertenece al Gobierno del Estado de México dar atención a dicho requerimiento. </w:t>
      </w:r>
    </w:p>
    <w:p w14:paraId="23F6DF56" w14:textId="77777777" w:rsidR="00C1135E" w:rsidRPr="0044330E" w:rsidRDefault="00C1135E">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rPr>
      </w:pPr>
    </w:p>
    <w:p w14:paraId="50E2BD15" w14:textId="77777777" w:rsidR="00C1135E" w:rsidRPr="0044330E" w:rsidRDefault="00F1389F">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Derivado de ello, la parte Solicitante, se inconformó arguyendo la negativa de información por parte del Sujeto Obligado. </w:t>
      </w:r>
    </w:p>
    <w:p w14:paraId="257CBC7A" w14:textId="77777777" w:rsidR="00C1135E" w:rsidRPr="0044330E" w:rsidRDefault="00C1135E">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3D5752BC" w14:textId="77777777" w:rsidR="00C1135E" w:rsidRPr="0044330E" w:rsidRDefault="00F1389F">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En atención a ello, el Sujeto Obligado, mediante informe justificado remitió lo siguiente: </w:t>
      </w:r>
    </w:p>
    <w:p w14:paraId="5A0DDBE6" w14:textId="77777777" w:rsidR="00C1135E" w:rsidRPr="0044330E" w:rsidRDefault="00C1135E">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60B9EC15" w14:textId="77777777" w:rsidR="00C1135E" w:rsidRPr="0044330E" w:rsidRDefault="00F1389F">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4330E">
        <w:rPr>
          <w:rFonts w:ascii="Palatino Linotype" w:eastAsia="Palatino Linotype" w:hAnsi="Palatino Linotype" w:cs="Palatino Linotype"/>
        </w:rPr>
        <w:lastRenderedPageBreak/>
        <w:t xml:space="preserve">Oficio de fecha veintitrés de febrero de dos mil veintitrés, signado por el titular de la Unidad de Transparencia, mediante el cual ratificó su respuesta inicial. </w:t>
      </w:r>
    </w:p>
    <w:p w14:paraId="57A2C030" w14:textId="77777777" w:rsidR="00C1135E" w:rsidRPr="0044330E" w:rsidRDefault="00F1389F">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4330E">
        <w:rPr>
          <w:rFonts w:ascii="Palatino Linotype" w:eastAsia="Palatino Linotype" w:hAnsi="Palatino Linotype" w:cs="Palatino Linotype"/>
        </w:rPr>
        <w:t xml:space="preserve">Acta de la Décima Sexta Sesión Extraordinaria del Comité de Transparencia, mediante el cual se declara la incompetencia de la información requerida. </w:t>
      </w:r>
    </w:p>
    <w:p w14:paraId="19B3D41F" w14:textId="77777777" w:rsidR="00C1135E" w:rsidRPr="0044330E" w:rsidRDefault="00C113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2DD6535"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De lo anterior, es importante referir que de acuerdo con el Bando Municipal de Texcoco, para el despacho, estudio y planeación de los diversos asuntos municipales, la Administración Pública Municipal estará integrada por diversas dependencias, las cuales son las siguientes: </w:t>
      </w:r>
    </w:p>
    <w:p w14:paraId="228061B8"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3231A3EA"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b/>
          <w:i/>
        </w:rPr>
        <w:t>Artículo 29.</w:t>
      </w:r>
      <w:r w:rsidRPr="0044330E">
        <w:rPr>
          <w:rFonts w:ascii="Palatino Linotype" w:eastAsia="Palatino Linotype" w:hAnsi="Palatino Linotype" w:cs="Palatino Linotype"/>
          <w:i/>
        </w:rPr>
        <w:t xml:space="preserve"> Para el despacho, estudio y planeación de los diversos asuntos municipales, la Administración Pública Municipal está integrada por las siguientes Dependencias Administrativas:</w:t>
      </w:r>
    </w:p>
    <w:p w14:paraId="356A1A35" w14:textId="77777777" w:rsidR="00C1135E" w:rsidRPr="0044330E" w:rsidRDefault="00C1135E">
      <w:pPr>
        <w:spacing w:after="0" w:line="276" w:lineRule="auto"/>
        <w:ind w:left="567" w:right="560"/>
        <w:jc w:val="both"/>
        <w:rPr>
          <w:rFonts w:ascii="Palatino Linotype" w:eastAsia="Palatino Linotype" w:hAnsi="Palatino Linotype" w:cs="Palatino Linotype"/>
          <w:i/>
        </w:rPr>
      </w:pPr>
    </w:p>
    <w:p w14:paraId="427C20B2" w14:textId="77777777" w:rsidR="00C1135E" w:rsidRPr="0044330E" w:rsidRDefault="00F1389F">
      <w:pPr>
        <w:spacing w:after="0" w:line="276" w:lineRule="auto"/>
        <w:ind w:left="567" w:right="560"/>
        <w:jc w:val="both"/>
        <w:rPr>
          <w:rFonts w:ascii="Palatino Linotype" w:eastAsia="Palatino Linotype" w:hAnsi="Palatino Linotype" w:cs="Palatino Linotype"/>
          <w:b/>
          <w:i/>
        </w:rPr>
      </w:pPr>
      <w:r w:rsidRPr="0044330E">
        <w:rPr>
          <w:rFonts w:ascii="Palatino Linotype" w:eastAsia="Palatino Linotype" w:hAnsi="Palatino Linotype" w:cs="Palatino Linotype"/>
          <w:b/>
          <w:i/>
        </w:rPr>
        <w:t xml:space="preserve">I. Secretaría del Ayuntamiento; </w:t>
      </w:r>
    </w:p>
    <w:p w14:paraId="2EFF2468"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II. Tesorería Municipal; </w:t>
      </w:r>
    </w:p>
    <w:p w14:paraId="0D247829"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III. Contraloría Interna Municipal; </w:t>
      </w:r>
    </w:p>
    <w:p w14:paraId="4B227038"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IV. Dirección General de Seguridad Pública y Movilidad; </w:t>
      </w:r>
    </w:p>
    <w:p w14:paraId="0337FE72"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V. Dirección General de Obras Públicas; </w:t>
      </w:r>
    </w:p>
    <w:p w14:paraId="162916AF"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VI. Dirección General de Administración; </w:t>
      </w:r>
    </w:p>
    <w:p w14:paraId="4158050D"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VII. Dirección de Servicios Públicos; </w:t>
      </w:r>
    </w:p>
    <w:p w14:paraId="68C6AD85"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VIII. Dirección de Planeación; </w:t>
      </w:r>
    </w:p>
    <w:p w14:paraId="28FBB371"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IX. Dirección de Agua Potable, Drenaje y Alcantarillado; </w:t>
      </w:r>
    </w:p>
    <w:p w14:paraId="5B1FADA5"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X. Dirección de Desarrollo Social, Educativo y del Deporte; </w:t>
      </w:r>
    </w:p>
    <w:p w14:paraId="69558A9A" w14:textId="77777777" w:rsidR="00C1135E" w:rsidRPr="0044330E" w:rsidRDefault="00F1389F">
      <w:pPr>
        <w:spacing w:after="0" w:line="276" w:lineRule="auto"/>
        <w:ind w:left="567" w:right="560"/>
        <w:jc w:val="both"/>
        <w:rPr>
          <w:rFonts w:ascii="Palatino Linotype" w:eastAsia="Palatino Linotype" w:hAnsi="Palatino Linotype" w:cs="Palatino Linotype"/>
          <w:b/>
          <w:i/>
        </w:rPr>
      </w:pPr>
      <w:r w:rsidRPr="0044330E">
        <w:rPr>
          <w:rFonts w:ascii="Palatino Linotype" w:eastAsia="Palatino Linotype" w:hAnsi="Palatino Linotype" w:cs="Palatino Linotype"/>
          <w:b/>
          <w:i/>
        </w:rPr>
        <w:t xml:space="preserve">XI. Dirección de Desarrollo Urbano y Ecología; </w:t>
      </w:r>
    </w:p>
    <w:p w14:paraId="11B312DC"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XII. Dirección de Catastro Municipal; </w:t>
      </w:r>
    </w:p>
    <w:p w14:paraId="1DE73E64" w14:textId="77777777" w:rsidR="00C1135E" w:rsidRPr="0044330E" w:rsidRDefault="00F1389F">
      <w:pPr>
        <w:spacing w:after="0" w:line="276" w:lineRule="auto"/>
        <w:ind w:left="567" w:right="560"/>
        <w:jc w:val="both"/>
        <w:rPr>
          <w:rFonts w:ascii="Palatino Linotype" w:eastAsia="Palatino Linotype" w:hAnsi="Palatino Linotype" w:cs="Palatino Linotype"/>
          <w:b/>
          <w:i/>
        </w:rPr>
      </w:pPr>
      <w:r w:rsidRPr="0044330E">
        <w:rPr>
          <w:rFonts w:ascii="Palatino Linotype" w:eastAsia="Palatino Linotype" w:hAnsi="Palatino Linotype" w:cs="Palatino Linotype"/>
          <w:b/>
          <w:i/>
        </w:rPr>
        <w:t xml:space="preserve">XIII. Dirección de Cultura; </w:t>
      </w:r>
    </w:p>
    <w:p w14:paraId="4B514C35" w14:textId="77777777" w:rsidR="00C1135E" w:rsidRPr="0044330E" w:rsidRDefault="00F1389F">
      <w:pPr>
        <w:spacing w:after="0" w:line="276" w:lineRule="auto"/>
        <w:ind w:left="567" w:right="560"/>
        <w:jc w:val="both"/>
        <w:rPr>
          <w:rFonts w:ascii="Palatino Linotype" w:eastAsia="Palatino Linotype" w:hAnsi="Palatino Linotype" w:cs="Palatino Linotype"/>
          <w:b/>
          <w:i/>
        </w:rPr>
      </w:pPr>
      <w:r w:rsidRPr="0044330E">
        <w:rPr>
          <w:rFonts w:ascii="Palatino Linotype" w:eastAsia="Palatino Linotype" w:hAnsi="Palatino Linotype" w:cs="Palatino Linotype"/>
          <w:b/>
          <w:i/>
        </w:rPr>
        <w:t xml:space="preserve">XIV. Dirección de Desarrollo Económico; </w:t>
      </w:r>
    </w:p>
    <w:p w14:paraId="08E56AD8"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XV. Dirección de Protección Civil, Bomberos y Atención Médica Prehospitalaria; </w:t>
      </w:r>
    </w:p>
    <w:p w14:paraId="64408EEC"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XVI. Dirección de Desarrollo Rural; </w:t>
      </w:r>
    </w:p>
    <w:p w14:paraId="1BB7E541"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XVII. Dirección de Imagen y Comunicación Social; </w:t>
      </w:r>
    </w:p>
    <w:p w14:paraId="78E2A934"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lastRenderedPageBreak/>
        <w:t xml:space="preserve">XVIII. Consejería Jurídica; </w:t>
      </w:r>
    </w:p>
    <w:p w14:paraId="2A8231BE" w14:textId="77777777" w:rsidR="00C1135E" w:rsidRPr="0044330E" w:rsidRDefault="00F1389F">
      <w:pPr>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 xml:space="preserve">XIX. Oficialía Mediadora, Conciliadora y Calificadora, y </w:t>
      </w:r>
    </w:p>
    <w:p w14:paraId="5FBB179E" w14:textId="77777777" w:rsidR="00C1135E" w:rsidRPr="0044330E" w:rsidRDefault="00F1389F">
      <w:pPr>
        <w:spacing w:after="0" w:line="276" w:lineRule="auto"/>
        <w:ind w:left="567" w:right="560"/>
        <w:jc w:val="both"/>
        <w:rPr>
          <w:rFonts w:ascii="Palatino Linotype" w:eastAsia="Palatino Linotype" w:hAnsi="Palatino Linotype" w:cs="Palatino Linotype"/>
          <w:i/>
          <w:sz w:val="24"/>
          <w:szCs w:val="24"/>
        </w:rPr>
      </w:pPr>
      <w:r w:rsidRPr="0044330E">
        <w:rPr>
          <w:rFonts w:ascii="Palatino Linotype" w:eastAsia="Palatino Linotype" w:hAnsi="Palatino Linotype" w:cs="Palatino Linotype"/>
          <w:i/>
        </w:rPr>
        <w:t>XX. Gerencia de la Ciudad.</w:t>
      </w:r>
    </w:p>
    <w:p w14:paraId="2786012F" w14:textId="77777777" w:rsidR="00C1135E" w:rsidRPr="0044330E" w:rsidRDefault="00C1135E">
      <w:pPr>
        <w:spacing w:after="0" w:line="276" w:lineRule="auto"/>
        <w:ind w:left="567" w:right="560"/>
        <w:jc w:val="both"/>
        <w:rPr>
          <w:rFonts w:ascii="Palatino Linotype" w:eastAsia="Palatino Linotype" w:hAnsi="Palatino Linotype" w:cs="Palatino Linotype"/>
          <w:i/>
          <w:sz w:val="24"/>
          <w:szCs w:val="24"/>
        </w:rPr>
      </w:pPr>
    </w:p>
    <w:p w14:paraId="5AE83A6B" w14:textId="77777777" w:rsidR="00C1135E" w:rsidRPr="0044330E" w:rsidRDefault="00F1389F">
      <w:pPr>
        <w:spacing w:after="0" w:line="360" w:lineRule="auto"/>
        <w:ind w:right="-7"/>
        <w:jc w:val="both"/>
        <w:rPr>
          <w:rFonts w:ascii="Palatino Linotype" w:eastAsia="Palatino Linotype" w:hAnsi="Palatino Linotype" w:cs="Palatino Linotype"/>
          <w:b/>
          <w:sz w:val="24"/>
          <w:szCs w:val="24"/>
        </w:rPr>
      </w:pPr>
      <w:r w:rsidRPr="0044330E">
        <w:rPr>
          <w:rFonts w:ascii="Palatino Linotype" w:eastAsia="Palatino Linotype" w:hAnsi="Palatino Linotype" w:cs="Palatino Linotype"/>
          <w:sz w:val="24"/>
          <w:szCs w:val="24"/>
        </w:rPr>
        <w:t xml:space="preserve">De lo anterior, es menester mencionar que se realizó un análisis de las atribuciones que el Bando Municipal de Texcoco tiene encomendadas a las unidades administrativas que por sus facultades y funciones pudieran haber generado, administrado o poseído la información solicitada, no obstante, </w:t>
      </w:r>
      <w:r w:rsidRPr="0044330E">
        <w:rPr>
          <w:rFonts w:ascii="Palatino Linotype" w:eastAsia="Palatino Linotype" w:hAnsi="Palatino Linotype" w:cs="Palatino Linotype"/>
          <w:b/>
          <w:sz w:val="24"/>
          <w:szCs w:val="24"/>
        </w:rPr>
        <w:t xml:space="preserve">no se encontró precepto normativo que establezca que el Ayuntamiento de Texcoco deba generar, administrar o poseer los contratos y costos de corridas de toros. </w:t>
      </w:r>
    </w:p>
    <w:p w14:paraId="1A160C9D" w14:textId="77777777" w:rsidR="00C1135E" w:rsidRPr="0044330E" w:rsidRDefault="00C1135E">
      <w:pPr>
        <w:spacing w:after="0" w:line="360" w:lineRule="auto"/>
        <w:ind w:right="-7"/>
        <w:jc w:val="both"/>
        <w:rPr>
          <w:rFonts w:ascii="Palatino Linotype" w:eastAsia="Palatino Linotype" w:hAnsi="Palatino Linotype" w:cs="Palatino Linotype"/>
          <w:b/>
          <w:sz w:val="24"/>
          <w:szCs w:val="24"/>
        </w:rPr>
      </w:pPr>
    </w:p>
    <w:p w14:paraId="5AEEB288" w14:textId="77777777" w:rsidR="00C1135E" w:rsidRPr="0044330E" w:rsidRDefault="00F1389F">
      <w:pPr>
        <w:spacing w:after="0" w:line="360" w:lineRule="auto"/>
        <w:ind w:right="-7"/>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Lo anterior, derivado de que, se llevó a cabo una búsqueda de los eventos de corrida de toros que se han organizado en el Municipio de Texcoco y se advirtió que estos son realizados por particulares, no así por el Ayuntamiento de Texcoco, tal como se observa a continuación: </w:t>
      </w:r>
      <w:r w:rsidRPr="0044330E">
        <w:rPr>
          <w:noProof/>
        </w:rPr>
        <mc:AlternateContent>
          <mc:Choice Requires="wpg">
            <w:drawing>
              <wp:anchor distT="0" distB="0" distL="114300" distR="114300" simplePos="0" relativeHeight="251658240" behindDoc="0" locked="0" layoutInCell="1" hidden="0" allowOverlap="1" wp14:anchorId="2CD31B12" wp14:editId="39C25E60">
                <wp:simplePos x="0" y="0"/>
                <wp:positionH relativeFrom="column">
                  <wp:posOffset>2209800</wp:posOffset>
                </wp:positionH>
                <wp:positionV relativeFrom="paragraph">
                  <wp:posOffset>1193800</wp:posOffset>
                </wp:positionV>
                <wp:extent cx="2333625" cy="609600"/>
                <wp:effectExtent l="0" t="0" r="0" b="0"/>
                <wp:wrapNone/>
                <wp:docPr id="30" name="Rectángulo 30"/>
                <wp:cNvGraphicFramePr/>
                <a:graphic xmlns:a="http://schemas.openxmlformats.org/drawingml/2006/main">
                  <a:graphicData uri="http://schemas.microsoft.com/office/word/2010/wordprocessingShape">
                    <wps:wsp>
                      <wps:cNvSpPr/>
                      <wps:spPr>
                        <a:xfrm>
                          <a:off x="4198238" y="3494250"/>
                          <a:ext cx="2295525" cy="571500"/>
                        </a:xfrm>
                        <a:prstGeom prst="rect">
                          <a:avLst/>
                        </a:prstGeom>
                        <a:noFill/>
                        <a:ln w="38100" cap="flat" cmpd="sng">
                          <a:solidFill>
                            <a:srgbClr val="FF0000"/>
                          </a:solidFill>
                          <a:prstDash val="solid"/>
                          <a:miter lim="800000"/>
                          <a:headEnd type="none" w="sm" len="sm"/>
                          <a:tailEnd type="none" w="sm" len="sm"/>
                        </a:ln>
                      </wps:spPr>
                      <wps:txbx>
                        <w:txbxContent>
                          <w:p w14:paraId="2C3E5537" w14:textId="77777777" w:rsidR="00C1135E" w:rsidRDefault="00C1135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2209800</wp:posOffset>
                </wp:positionH>
                <wp:positionV relativeFrom="paragraph">
                  <wp:posOffset>1193800</wp:posOffset>
                </wp:positionV>
                <wp:extent cx="2333625" cy="609600"/>
                <wp:effectExtent b="0" l="0" r="0" t="0"/>
                <wp:wrapNone/>
                <wp:docPr id="3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333625" cy="609600"/>
                        </a:xfrm>
                        <a:prstGeom prst="rect"/>
                        <a:ln/>
                      </pic:spPr>
                    </pic:pic>
                  </a:graphicData>
                </a:graphic>
              </wp:anchor>
            </w:drawing>
          </mc:Fallback>
        </mc:AlternateContent>
      </w:r>
    </w:p>
    <w:p w14:paraId="124400E6" w14:textId="77777777" w:rsidR="00C1135E" w:rsidRPr="0044330E" w:rsidRDefault="00F1389F">
      <w:pPr>
        <w:spacing w:after="0" w:line="360" w:lineRule="auto"/>
        <w:ind w:right="-7"/>
        <w:jc w:val="center"/>
        <w:rPr>
          <w:rFonts w:ascii="Palatino Linotype" w:eastAsia="Palatino Linotype" w:hAnsi="Palatino Linotype" w:cs="Palatino Linotype"/>
          <w:sz w:val="24"/>
          <w:szCs w:val="24"/>
        </w:rPr>
      </w:pPr>
      <w:r w:rsidRPr="0044330E">
        <w:rPr>
          <w:rFonts w:ascii="Palatino Linotype" w:eastAsia="Palatino Linotype" w:hAnsi="Palatino Linotype" w:cs="Palatino Linotype"/>
          <w:noProof/>
          <w:sz w:val="24"/>
          <w:szCs w:val="24"/>
        </w:rPr>
        <w:drawing>
          <wp:inline distT="0" distB="0" distL="0" distR="0" wp14:anchorId="70AB64BC" wp14:editId="7A4474A8">
            <wp:extent cx="3422613" cy="2641613"/>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22613" cy="2641613"/>
                    </a:xfrm>
                    <a:prstGeom prst="rect">
                      <a:avLst/>
                    </a:prstGeom>
                    <a:ln/>
                  </pic:spPr>
                </pic:pic>
              </a:graphicData>
            </a:graphic>
          </wp:inline>
        </w:drawing>
      </w:r>
    </w:p>
    <w:p w14:paraId="55E323D6" w14:textId="77777777" w:rsidR="00C1135E" w:rsidRPr="0044330E" w:rsidRDefault="00F1389F">
      <w:pPr>
        <w:spacing w:after="0" w:line="360" w:lineRule="auto"/>
        <w:ind w:right="-7"/>
        <w:jc w:val="center"/>
        <w:rPr>
          <w:rFonts w:ascii="Palatino Linotype" w:eastAsia="Palatino Linotype" w:hAnsi="Palatino Linotype" w:cs="Palatino Linotype"/>
          <w:sz w:val="24"/>
          <w:szCs w:val="24"/>
        </w:rPr>
      </w:pPr>
      <w:r w:rsidRPr="0044330E">
        <w:rPr>
          <w:rFonts w:ascii="Palatino Linotype" w:eastAsia="Palatino Linotype" w:hAnsi="Palatino Linotype" w:cs="Palatino Linotype"/>
          <w:noProof/>
          <w:sz w:val="24"/>
          <w:szCs w:val="24"/>
        </w:rPr>
        <w:lastRenderedPageBreak/>
        <w:drawing>
          <wp:inline distT="0" distB="0" distL="0" distR="0" wp14:anchorId="2F3C54AE" wp14:editId="38897698">
            <wp:extent cx="5019408" cy="2224264"/>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019408" cy="2224264"/>
                    </a:xfrm>
                    <a:prstGeom prst="rect">
                      <a:avLst/>
                    </a:prstGeom>
                    <a:ln/>
                  </pic:spPr>
                </pic:pic>
              </a:graphicData>
            </a:graphic>
          </wp:inline>
        </w:drawing>
      </w:r>
      <w:r w:rsidRPr="0044330E">
        <w:rPr>
          <w:noProof/>
        </w:rPr>
        <mc:AlternateContent>
          <mc:Choice Requires="wpg">
            <w:drawing>
              <wp:anchor distT="0" distB="0" distL="114300" distR="114300" simplePos="0" relativeHeight="251659264" behindDoc="0" locked="0" layoutInCell="1" hidden="0" allowOverlap="1" wp14:anchorId="0C9787D4" wp14:editId="2C4284FE">
                <wp:simplePos x="0" y="0"/>
                <wp:positionH relativeFrom="column">
                  <wp:posOffset>355600</wp:posOffset>
                </wp:positionH>
                <wp:positionV relativeFrom="paragraph">
                  <wp:posOffset>-12699</wp:posOffset>
                </wp:positionV>
                <wp:extent cx="5051425" cy="800100"/>
                <wp:effectExtent l="0" t="0" r="0" b="0"/>
                <wp:wrapNone/>
                <wp:docPr id="31" name="Rectángulo 31"/>
                <wp:cNvGraphicFramePr/>
                <a:graphic xmlns:a="http://schemas.openxmlformats.org/drawingml/2006/main">
                  <a:graphicData uri="http://schemas.microsoft.com/office/word/2010/wordprocessingShape">
                    <wps:wsp>
                      <wps:cNvSpPr/>
                      <wps:spPr>
                        <a:xfrm>
                          <a:off x="2839338" y="3399000"/>
                          <a:ext cx="5013325" cy="762000"/>
                        </a:xfrm>
                        <a:prstGeom prst="rect">
                          <a:avLst/>
                        </a:prstGeom>
                        <a:noFill/>
                        <a:ln w="38100" cap="flat" cmpd="sng">
                          <a:solidFill>
                            <a:srgbClr val="FF0000"/>
                          </a:solidFill>
                          <a:prstDash val="solid"/>
                          <a:miter lim="800000"/>
                          <a:headEnd type="none" w="sm" len="sm"/>
                          <a:tailEnd type="none" w="sm" len="sm"/>
                        </a:ln>
                      </wps:spPr>
                      <wps:txbx>
                        <w:txbxContent>
                          <w:p w14:paraId="3CE0A544" w14:textId="77777777" w:rsidR="00C1135E" w:rsidRDefault="00C1135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355600</wp:posOffset>
                </wp:positionH>
                <wp:positionV relativeFrom="paragraph">
                  <wp:posOffset>-12699</wp:posOffset>
                </wp:positionV>
                <wp:extent cx="5051425" cy="800100"/>
                <wp:effectExtent b="0" l="0" r="0" t="0"/>
                <wp:wrapNone/>
                <wp:docPr id="3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051425" cy="800100"/>
                        </a:xfrm>
                        <a:prstGeom prst="rect"/>
                        <a:ln/>
                      </pic:spPr>
                    </pic:pic>
                  </a:graphicData>
                </a:graphic>
              </wp:anchor>
            </w:drawing>
          </mc:Fallback>
        </mc:AlternateContent>
      </w:r>
    </w:p>
    <w:p w14:paraId="05E2AFFF" w14:textId="77777777" w:rsidR="00C1135E" w:rsidRPr="0044330E" w:rsidRDefault="00C1135E">
      <w:pPr>
        <w:spacing w:after="0" w:line="360" w:lineRule="auto"/>
        <w:ind w:right="-7"/>
        <w:jc w:val="both"/>
        <w:rPr>
          <w:rFonts w:ascii="Palatino Linotype" w:eastAsia="Palatino Linotype" w:hAnsi="Palatino Linotype" w:cs="Palatino Linotype"/>
          <w:sz w:val="24"/>
          <w:szCs w:val="24"/>
        </w:rPr>
      </w:pPr>
    </w:p>
    <w:p w14:paraId="648688A6" w14:textId="77777777" w:rsidR="00C1135E" w:rsidRPr="0044330E" w:rsidRDefault="00F1389F">
      <w:pPr>
        <w:spacing w:after="0" w:line="360" w:lineRule="auto"/>
        <w:ind w:right="49"/>
        <w:jc w:val="both"/>
        <w:rPr>
          <w:rFonts w:ascii="Palatino Linotype" w:eastAsia="Palatino Linotype" w:hAnsi="Palatino Linotype" w:cs="Palatino Linotype"/>
          <w:b/>
          <w:sz w:val="24"/>
          <w:szCs w:val="24"/>
        </w:rPr>
      </w:pPr>
      <w:r w:rsidRPr="0044330E">
        <w:rPr>
          <w:rFonts w:ascii="Palatino Linotype" w:eastAsia="Palatino Linotype" w:hAnsi="Palatino Linotype" w:cs="Palatino Linotype"/>
          <w:sz w:val="24"/>
          <w:szCs w:val="24"/>
        </w:rPr>
        <w:t xml:space="preserve">De tal forma que, se colige que el Ayuntamiento de Texcoco es </w:t>
      </w:r>
      <w:r w:rsidRPr="0044330E">
        <w:rPr>
          <w:rFonts w:ascii="Palatino Linotype" w:eastAsia="Palatino Linotype" w:hAnsi="Palatino Linotype" w:cs="Palatino Linotype"/>
          <w:b/>
          <w:sz w:val="24"/>
          <w:szCs w:val="24"/>
        </w:rPr>
        <w:t xml:space="preserve">incompetente para generar, administrar o poseer la información relacionada con los contratos y costos de las corridas de toros realizadas en el Municipio, toda vez que estas son organizadas por particulares. </w:t>
      </w:r>
    </w:p>
    <w:p w14:paraId="18353F4B"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4DC9E4CE"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Dicho esto, en atención a los agravios formulados en el medio de impugnación, relacionados con la negativa de entrega de la información solicitada, es de destacar que, como ya se dijo, el Ayuntamiento de Texcoco es incompetente para administrar la información que se requirió, tal como lo señaló en respuesta, no obstante, </w:t>
      </w:r>
      <w:r w:rsidRPr="0044330E">
        <w:rPr>
          <w:rFonts w:ascii="Palatino Linotype" w:eastAsia="Palatino Linotype" w:hAnsi="Palatino Linotype" w:cs="Palatino Linotype"/>
          <w:b/>
          <w:sz w:val="24"/>
          <w:szCs w:val="24"/>
        </w:rPr>
        <w:t>derivado a que, en este caso, la incompetencia no era notoria</w:t>
      </w:r>
      <w:r w:rsidRPr="0044330E">
        <w:rPr>
          <w:rFonts w:ascii="Palatino Linotype" w:eastAsia="Palatino Linotype" w:hAnsi="Palatino Linotype" w:cs="Palatino Linotype"/>
          <w:sz w:val="24"/>
          <w:szCs w:val="24"/>
        </w:rPr>
        <w:t xml:space="preserve">, se considera que el Sujeto Obligado debe realizar una búsqueda exhaustiva y razonable en las unidades administrativas que por sus funciones y atribuciones pudieran generar, administrar y poseer la información requerida. </w:t>
      </w:r>
    </w:p>
    <w:p w14:paraId="555B9464" w14:textId="77777777" w:rsidR="00C1135E" w:rsidRPr="0044330E" w:rsidRDefault="00C1135E">
      <w:pPr>
        <w:spacing w:after="0" w:line="360" w:lineRule="auto"/>
        <w:ind w:right="49"/>
        <w:jc w:val="both"/>
        <w:rPr>
          <w:rFonts w:ascii="Palatino Linotype" w:eastAsia="Palatino Linotype" w:hAnsi="Palatino Linotype" w:cs="Palatino Linotype"/>
          <w:b/>
          <w:sz w:val="24"/>
          <w:szCs w:val="24"/>
        </w:rPr>
      </w:pPr>
    </w:p>
    <w:p w14:paraId="3558AD33"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En ese sentido, se tiene que para la atención de las solicitudes de acceso a la información, debe privilegiarse el </w:t>
      </w:r>
      <w:r w:rsidRPr="0044330E">
        <w:rPr>
          <w:rFonts w:ascii="Palatino Linotype" w:eastAsia="Palatino Linotype" w:hAnsi="Palatino Linotype" w:cs="Palatino Linotype"/>
          <w:b/>
          <w:sz w:val="24"/>
          <w:szCs w:val="24"/>
        </w:rPr>
        <w:t>principio de máxima publicidad</w:t>
      </w:r>
      <w:r w:rsidRPr="0044330E">
        <w:rPr>
          <w:rFonts w:ascii="Palatino Linotype" w:eastAsia="Palatino Linotype" w:hAnsi="Palatino Linotype" w:cs="Palatino Linotype"/>
          <w:sz w:val="24"/>
          <w:szCs w:val="24"/>
        </w:rPr>
        <w:t xml:space="preserve"> el cual dispone </w:t>
      </w:r>
      <w:r w:rsidRPr="0044330E">
        <w:rPr>
          <w:rFonts w:ascii="Palatino Linotype" w:eastAsia="Palatino Linotype" w:hAnsi="Palatino Linotype" w:cs="Palatino Linotype"/>
          <w:sz w:val="24"/>
          <w:szCs w:val="24"/>
        </w:rPr>
        <w:lastRenderedPageBreak/>
        <w:t>que toda la información en posesión de los sujetos obligados será pública, completa, oportuna y accesible, sujeta a un claro régimen de excepciones que deberán estar definidas y ser legítimas y estrictamente necesarias en una sociedad democrática.</w:t>
      </w:r>
    </w:p>
    <w:p w14:paraId="25F95472" w14:textId="77777777" w:rsidR="00C1135E" w:rsidRPr="0044330E" w:rsidRDefault="00C1135E">
      <w:pPr>
        <w:spacing w:after="0" w:line="360" w:lineRule="auto"/>
        <w:rPr>
          <w:rFonts w:ascii="Palatino Linotype" w:eastAsia="Palatino Linotype" w:hAnsi="Palatino Linotype" w:cs="Palatino Linotype"/>
          <w:sz w:val="24"/>
          <w:szCs w:val="24"/>
        </w:rPr>
      </w:pPr>
    </w:p>
    <w:p w14:paraId="692967DD"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48269F1" w14:textId="77777777" w:rsidR="00C1135E" w:rsidRPr="0044330E" w:rsidRDefault="00C1135E">
      <w:pPr>
        <w:spacing w:after="0" w:line="360" w:lineRule="auto"/>
        <w:rPr>
          <w:rFonts w:ascii="Palatino Linotype" w:eastAsia="Palatino Linotype" w:hAnsi="Palatino Linotype" w:cs="Palatino Linotype"/>
          <w:sz w:val="24"/>
          <w:szCs w:val="24"/>
        </w:rPr>
      </w:pPr>
    </w:p>
    <w:p w14:paraId="4A272887" w14:textId="77777777" w:rsidR="00C1135E" w:rsidRPr="0044330E" w:rsidRDefault="00F1389F">
      <w:pPr>
        <w:numPr>
          <w:ilvl w:val="0"/>
          <w:numId w:val="5"/>
        </w:numPr>
        <w:spacing w:after="0" w:line="360" w:lineRule="auto"/>
        <w:jc w:val="both"/>
        <w:rPr>
          <w:rFonts w:ascii="Palatino Linotype" w:eastAsia="Palatino Linotype" w:hAnsi="Palatino Linotype" w:cs="Palatino Linotype"/>
        </w:rPr>
      </w:pPr>
      <w:r w:rsidRPr="0044330E">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B4AA51F" w14:textId="77777777" w:rsidR="00C1135E" w:rsidRPr="0044330E" w:rsidRDefault="00F1389F">
      <w:pPr>
        <w:numPr>
          <w:ilvl w:val="0"/>
          <w:numId w:val="5"/>
        </w:numPr>
        <w:spacing w:after="0" w:line="360" w:lineRule="auto"/>
        <w:jc w:val="both"/>
        <w:rPr>
          <w:rFonts w:ascii="Palatino Linotype" w:eastAsia="Palatino Linotype" w:hAnsi="Palatino Linotype" w:cs="Palatino Linotype"/>
        </w:rPr>
      </w:pPr>
      <w:r w:rsidRPr="0044330E">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59AD8D8C" w14:textId="77777777" w:rsidR="00C1135E" w:rsidRPr="0044330E" w:rsidRDefault="00F1389F">
      <w:pPr>
        <w:numPr>
          <w:ilvl w:val="0"/>
          <w:numId w:val="5"/>
        </w:numPr>
        <w:spacing w:after="0" w:line="360" w:lineRule="auto"/>
        <w:jc w:val="both"/>
        <w:rPr>
          <w:rFonts w:ascii="Palatino Linotype" w:eastAsia="Palatino Linotype" w:hAnsi="Palatino Linotype" w:cs="Palatino Linotype"/>
        </w:rPr>
      </w:pPr>
      <w:r w:rsidRPr="0044330E">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44330E">
        <w:rPr>
          <w:rFonts w:ascii="Palatino Linotype" w:eastAsia="Palatino Linotype" w:hAnsi="Palatino Linotype" w:cs="Palatino Linotype"/>
          <w:b/>
        </w:rPr>
        <w:t>quince días, contados a partir del día siguiente a la presentación de ésta.</w:t>
      </w:r>
      <w:r w:rsidRPr="0044330E">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721C144A" w14:textId="77777777" w:rsidR="00C1135E" w:rsidRPr="0044330E" w:rsidRDefault="00F1389F">
      <w:pPr>
        <w:numPr>
          <w:ilvl w:val="0"/>
          <w:numId w:val="5"/>
        </w:numPr>
        <w:spacing w:after="0" w:line="360" w:lineRule="auto"/>
        <w:jc w:val="both"/>
        <w:rPr>
          <w:rFonts w:ascii="Palatino Linotype" w:eastAsia="Palatino Linotype" w:hAnsi="Palatino Linotype" w:cs="Palatino Linotype"/>
          <w:b/>
          <w:u w:val="single"/>
        </w:rPr>
      </w:pPr>
      <w:r w:rsidRPr="0044330E">
        <w:rPr>
          <w:rFonts w:ascii="Palatino Linotype" w:eastAsia="Palatino Linotype" w:hAnsi="Palatino Linotype" w:cs="Palatino Linotype"/>
          <w:b/>
          <w:u w:val="single"/>
        </w:rPr>
        <w:t xml:space="preserve">Las Unidades de Transparencia garantizarán que las solicitudes se turnen a todas las áreas competentes que cuenten con la información o deban tenerla de acuerdo con </w:t>
      </w:r>
      <w:r w:rsidRPr="0044330E">
        <w:rPr>
          <w:rFonts w:ascii="Palatino Linotype" w:eastAsia="Palatino Linotype" w:hAnsi="Palatino Linotype" w:cs="Palatino Linotype"/>
          <w:b/>
          <w:u w:val="single"/>
        </w:rPr>
        <w:lastRenderedPageBreak/>
        <w:t>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A435252" w14:textId="77777777" w:rsidR="00C1135E" w:rsidRPr="0044330E" w:rsidRDefault="00F1389F">
      <w:pPr>
        <w:numPr>
          <w:ilvl w:val="0"/>
          <w:numId w:val="5"/>
        </w:numPr>
        <w:spacing w:after="0" w:line="360" w:lineRule="auto"/>
        <w:jc w:val="both"/>
        <w:rPr>
          <w:rFonts w:ascii="Palatino Linotype" w:eastAsia="Palatino Linotype" w:hAnsi="Palatino Linotype" w:cs="Palatino Linotype"/>
          <w:b/>
        </w:rPr>
      </w:pPr>
      <w:r w:rsidRPr="0044330E">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3B9DBF2" w14:textId="77777777" w:rsidR="00C1135E" w:rsidRPr="0044330E" w:rsidRDefault="00F1389F">
      <w:pPr>
        <w:numPr>
          <w:ilvl w:val="0"/>
          <w:numId w:val="5"/>
        </w:numPr>
        <w:spacing w:after="0" w:line="360" w:lineRule="auto"/>
        <w:jc w:val="both"/>
        <w:rPr>
          <w:rFonts w:ascii="Palatino Linotype" w:eastAsia="Palatino Linotype" w:hAnsi="Palatino Linotype" w:cs="Palatino Linotype"/>
          <w:b/>
        </w:rPr>
      </w:pPr>
      <w:r w:rsidRPr="0044330E">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C37A9AE" w14:textId="77777777" w:rsidR="00C1135E" w:rsidRPr="0044330E" w:rsidRDefault="00C1135E">
      <w:pPr>
        <w:spacing w:after="0" w:line="360" w:lineRule="auto"/>
      </w:pPr>
    </w:p>
    <w:p w14:paraId="0E755F17" w14:textId="77777777" w:rsidR="00C1135E" w:rsidRPr="0044330E" w:rsidRDefault="00F1389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De tal manera que, para acreditar la búsqueda exhaustiva de la información la Unidad de Transparencia debe seguir un determinado procedimiento para atender esta, es decir; debió haber turnado la solicitud de información a todas las áreas competentes que cuenten con la información o deban tenerla de acuerdo con sus facultades, funciones y atribuciones, para que realicen una búsqueda exhaustiva y razonable de la documentación solicitada, </w:t>
      </w:r>
      <w:r w:rsidRPr="0044330E">
        <w:rPr>
          <w:rFonts w:ascii="Palatino Linotype" w:eastAsia="Palatino Linotype" w:hAnsi="Palatino Linotype" w:cs="Palatino Linotype"/>
          <w:b/>
          <w:sz w:val="24"/>
          <w:szCs w:val="24"/>
          <w:u w:val="single"/>
        </w:rPr>
        <w:t xml:space="preserve">situación que en el presente caso, en principio no aconteció debido a que en respuesta quien dio atención a la solicitud de información fue el titular de la Unidad de Transparencia. </w:t>
      </w:r>
    </w:p>
    <w:p w14:paraId="47CDB7E4"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3A148B0F" w14:textId="77777777" w:rsidR="00C1135E" w:rsidRPr="0044330E" w:rsidRDefault="00F1389F">
      <w:pPr>
        <w:spacing w:after="0" w:line="360" w:lineRule="auto"/>
        <w:ind w:right="49"/>
        <w:jc w:val="both"/>
        <w:rPr>
          <w:rFonts w:ascii="Palatino Linotype" w:eastAsia="Palatino Linotype" w:hAnsi="Palatino Linotype" w:cs="Palatino Linotype"/>
          <w:b/>
          <w:sz w:val="24"/>
          <w:szCs w:val="24"/>
        </w:rPr>
      </w:pPr>
      <w:r w:rsidRPr="0044330E">
        <w:rPr>
          <w:rFonts w:ascii="Palatino Linotype" w:eastAsia="Palatino Linotype" w:hAnsi="Palatino Linotype" w:cs="Palatino Linotype"/>
          <w:sz w:val="24"/>
          <w:szCs w:val="24"/>
        </w:rPr>
        <w:t xml:space="preserve">Sin embargo, cabe destacar que el Sujeto Obligado en calidad de informe justificado, a través del Acta de la Décima Sesión Extraordinaria del Comité de Transparencia </w:t>
      </w:r>
      <w:r w:rsidRPr="0044330E">
        <w:rPr>
          <w:rFonts w:ascii="Palatino Linotype" w:eastAsia="Palatino Linotype" w:hAnsi="Palatino Linotype" w:cs="Palatino Linotype"/>
          <w:sz w:val="24"/>
          <w:szCs w:val="24"/>
        </w:rPr>
        <w:lastRenderedPageBreak/>
        <w:t xml:space="preserve">precisó que </w:t>
      </w:r>
      <w:r w:rsidRPr="0044330E">
        <w:rPr>
          <w:rFonts w:ascii="Palatino Linotype" w:eastAsia="Palatino Linotype" w:hAnsi="Palatino Linotype" w:cs="Palatino Linotype"/>
          <w:b/>
          <w:sz w:val="24"/>
          <w:szCs w:val="24"/>
        </w:rPr>
        <w:t xml:space="preserve">de conformidad con el artículo 162 de la Ley de Transparencia y Acceso a la Información Pública del Estado de México y Municipios se había turnado la solicitud de información a la </w:t>
      </w:r>
      <w:r w:rsidRPr="0044330E">
        <w:rPr>
          <w:rFonts w:ascii="Palatino Linotype" w:eastAsia="Palatino Linotype" w:hAnsi="Palatino Linotype" w:cs="Palatino Linotype"/>
          <w:b/>
          <w:sz w:val="24"/>
          <w:szCs w:val="24"/>
          <w:u w:val="single"/>
        </w:rPr>
        <w:t>Dirección de Desarrollo Económico, la Secretaría del Ayuntamiento y la Dirección de Desarrollo Urbano y Ecología</w:t>
      </w:r>
      <w:r w:rsidRPr="0044330E">
        <w:rPr>
          <w:rFonts w:ascii="Palatino Linotype" w:eastAsia="Palatino Linotype" w:hAnsi="Palatino Linotype" w:cs="Palatino Linotype"/>
          <w:b/>
          <w:sz w:val="24"/>
          <w:szCs w:val="24"/>
        </w:rPr>
        <w:t xml:space="preserve">, unidades administrativas que por sus atribuciones pudieron haber generado, administrado y poseído la información solicitada. </w:t>
      </w:r>
    </w:p>
    <w:p w14:paraId="41278123" w14:textId="77777777" w:rsidR="00C1135E" w:rsidRPr="0044330E" w:rsidRDefault="00C1135E">
      <w:pPr>
        <w:spacing w:after="0" w:line="360" w:lineRule="auto"/>
        <w:ind w:right="49"/>
        <w:jc w:val="both"/>
        <w:rPr>
          <w:rFonts w:ascii="Palatino Linotype" w:eastAsia="Palatino Linotype" w:hAnsi="Palatino Linotype" w:cs="Palatino Linotype"/>
          <w:b/>
        </w:rPr>
      </w:pPr>
    </w:p>
    <w:p w14:paraId="2391E885" w14:textId="77777777" w:rsidR="00C1135E" w:rsidRPr="0044330E" w:rsidRDefault="00F1389F">
      <w:pPr>
        <w:spacing w:after="0" w:line="360" w:lineRule="auto"/>
        <w:ind w:right="49"/>
        <w:jc w:val="both"/>
        <w:rPr>
          <w:rFonts w:ascii="Palatino Linotype" w:eastAsia="Palatino Linotype" w:hAnsi="Palatino Linotype" w:cs="Palatino Linotype"/>
          <w:b/>
          <w:sz w:val="24"/>
          <w:szCs w:val="24"/>
        </w:rPr>
      </w:pPr>
      <w:r w:rsidRPr="0044330E">
        <w:rPr>
          <w:rFonts w:ascii="Palatino Linotype" w:eastAsia="Palatino Linotype" w:hAnsi="Palatino Linotype" w:cs="Palatino Linotype"/>
          <w:sz w:val="24"/>
          <w:szCs w:val="24"/>
        </w:rPr>
        <w:t xml:space="preserve">En ese sentido, toda vez que, el Ayuntamiento de Texcoco confirmó su incompetencia mediante informe justificado y refirió las unidades administrativas que llevaron a cabo la búsqueda de la información, toda vez que, la </w:t>
      </w:r>
      <w:proofErr w:type="spellStart"/>
      <w:r w:rsidRPr="0044330E">
        <w:rPr>
          <w:rFonts w:ascii="Palatino Linotype" w:eastAsia="Palatino Linotype" w:hAnsi="Palatino Linotype" w:cs="Palatino Linotype"/>
          <w:sz w:val="24"/>
          <w:szCs w:val="24"/>
        </w:rPr>
        <w:t>compe</w:t>
      </w:r>
      <w:proofErr w:type="spellEnd"/>
      <w:r w:rsidRPr="0044330E">
        <w:rPr>
          <w:rFonts w:ascii="Palatino Linotype" w:eastAsia="Palatino Linotype" w:hAnsi="Palatino Linotype" w:cs="Palatino Linotype"/>
          <w:sz w:val="24"/>
          <w:szCs w:val="24"/>
        </w:rPr>
        <w:t xml:space="preserve">, se considera que </w:t>
      </w:r>
      <w:r w:rsidRPr="0044330E">
        <w:rPr>
          <w:rFonts w:ascii="Palatino Linotype" w:eastAsia="Palatino Linotype" w:hAnsi="Palatino Linotype" w:cs="Palatino Linotype"/>
          <w:b/>
          <w:sz w:val="24"/>
          <w:szCs w:val="24"/>
        </w:rPr>
        <w:t xml:space="preserve">colmó la pretensión de la parte Recurrente. </w:t>
      </w:r>
    </w:p>
    <w:p w14:paraId="2F91F0C3"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0CCE3665"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En el mismo orden de ideas, resulta necesario señalar que en cuanto hace a la declaración de incompetencia, la Ley de Transparencia y Acceso a la Información Pública del Estado de México, establece, en los artículos 49, fracción II y 167, lo siguiente: </w:t>
      </w:r>
    </w:p>
    <w:p w14:paraId="5E097417" w14:textId="77777777" w:rsidR="00C1135E" w:rsidRPr="0044330E" w:rsidRDefault="00C1135E">
      <w:pPr>
        <w:tabs>
          <w:tab w:val="left" w:pos="142"/>
          <w:tab w:val="left" w:pos="284"/>
        </w:tabs>
        <w:spacing w:after="0" w:line="360" w:lineRule="auto"/>
        <w:ind w:left="851" w:right="902"/>
        <w:jc w:val="both"/>
        <w:rPr>
          <w:rFonts w:ascii="Palatino Linotype" w:eastAsia="Palatino Linotype" w:hAnsi="Palatino Linotype" w:cs="Palatino Linotype"/>
          <w:i/>
        </w:rPr>
      </w:pPr>
    </w:p>
    <w:p w14:paraId="2BB7876C" w14:textId="77777777" w:rsidR="00C1135E" w:rsidRPr="0044330E" w:rsidRDefault="00F1389F">
      <w:pPr>
        <w:tabs>
          <w:tab w:val="left" w:pos="142"/>
          <w:tab w:val="left" w:pos="284"/>
        </w:tabs>
        <w:spacing w:after="0" w:line="276" w:lineRule="auto"/>
        <w:ind w:left="567" w:right="560"/>
        <w:jc w:val="both"/>
        <w:rPr>
          <w:rFonts w:ascii="Palatino Linotype" w:eastAsia="Palatino Linotype" w:hAnsi="Palatino Linotype" w:cs="Palatino Linotype"/>
          <w:i/>
        </w:rPr>
      </w:pPr>
      <w:r w:rsidRPr="0044330E">
        <w:rPr>
          <w:rFonts w:ascii="Palatino Linotype" w:eastAsia="Palatino Linotype" w:hAnsi="Palatino Linotype" w:cs="Palatino Linotype"/>
          <w:i/>
        </w:rPr>
        <w:t>“</w:t>
      </w:r>
      <w:r w:rsidRPr="0044330E">
        <w:rPr>
          <w:rFonts w:ascii="Palatino Linotype" w:eastAsia="Palatino Linotype" w:hAnsi="Palatino Linotype" w:cs="Palatino Linotype"/>
          <w:b/>
          <w:i/>
        </w:rPr>
        <w:t>Artículo 49.</w:t>
      </w:r>
      <w:r w:rsidRPr="0044330E">
        <w:rPr>
          <w:rFonts w:ascii="Palatino Linotype" w:eastAsia="Palatino Linotype" w:hAnsi="Palatino Linotype" w:cs="Palatino Linotype"/>
          <w:i/>
        </w:rPr>
        <w:t xml:space="preserve"> </w:t>
      </w:r>
      <w:r w:rsidRPr="0044330E">
        <w:rPr>
          <w:rFonts w:ascii="Palatino Linotype" w:eastAsia="Palatino Linotype" w:hAnsi="Palatino Linotype" w:cs="Palatino Linotype"/>
          <w:b/>
          <w:i/>
        </w:rPr>
        <w:t>Los Comités de Transparencia</w:t>
      </w:r>
      <w:r w:rsidRPr="0044330E">
        <w:rPr>
          <w:rFonts w:ascii="Palatino Linotype" w:eastAsia="Palatino Linotype" w:hAnsi="Palatino Linotype" w:cs="Palatino Linotype"/>
          <w:i/>
        </w:rPr>
        <w:t xml:space="preserve"> tendrán las siguientes atribuciones:</w:t>
      </w:r>
    </w:p>
    <w:p w14:paraId="3AD317BF" w14:textId="77777777" w:rsidR="00C1135E" w:rsidRPr="0044330E" w:rsidRDefault="00F1389F">
      <w:pPr>
        <w:tabs>
          <w:tab w:val="left" w:pos="142"/>
          <w:tab w:val="left" w:pos="284"/>
        </w:tabs>
        <w:spacing w:after="0" w:line="276" w:lineRule="auto"/>
        <w:ind w:left="567" w:right="560"/>
        <w:jc w:val="both"/>
        <w:rPr>
          <w:rFonts w:ascii="Palatino Linotype" w:eastAsia="Palatino Linotype" w:hAnsi="Palatino Linotype" w:cs="Palatino Linotype"/>
          <w:b/>
          <w:i/>
        </w:rPr>
      </w:pPr>
      <w:r w:rsidRPr="0044330E">
        <w:rPr>
          <w:rFonts w:ascii="Palatino Linotype" w:eastAsia="Palatino Linotype" w:hAnsi="Palatino Linotype" w:cs="Palatino Linotype"/>
          <w:b/>
          <w:i/>
        </w:rPr>
        <w:t>...</w:t>
      </w:r>
    </w:p>
    <w:p w14:paraId="4F42C83D" w14:textId="77777777" w:rsidR="00C1135E" w:rsidRPr="0044330E" w:rsidRDefault="00F1389F">
      <w:pPr>
        <w:tabs>
          <w:tab w:val="left" w:pos="142"/>
          <w:tab w:val="left" w:pos="284"/>
        </w:tabs>
        <w:spacing w:after="0" w:line="276" w:lineRule="auto"/>
        <w:ind w:left="567" w:right="560"/>
        <w:jc w:val="both"/>
        <w:rPr>
          <w:rFonts w:ascii="Palatino Linotype" w:eastAsia="Palatino Linotype" w:hAnsi="Palatino Linotype" w:cs="Palatino Linotype"/>
          <w:b/>
          <w:i/>
          <w:u w:val="single"/>
        </w:rPr>
      </w:pPr>
      <w:r w:rsidRPr="0044330E">
        <w:rPr>
          <w:rFonts w:ascii="Palatino Linotype" w:eastAsia="Palatino Linotype" w:hAnsi="Palatino Linotype" w:cs="Palatino Linotype"/>
          <w:b/>
          <w:i/>
        </w:rPr>
        <w:t>II.</w:t>
      </w:r>
      <w:r w:rsidRPr="0044330E">
        <w:t xml:space="preserve"> </w:t>
      </w:r>
      <w:r w:rsidRPr="0044330E">
        <w:rPr>
          <w:rFonts w:ascii="Palatino Linotype" w:eastAsia="Palatino Linotype" w:hAnsi="Palatino Linotype" w:cs="Palatino Linotype"/>
          <w:b/>
          <w:i/>
        </w:rPr>
        <w:t>Confirmar, modificar o revocar</w:t>
      </w:r>
      <w:r w:rsidRPr="0044330E">
        <w:rPr>
          <w:rFonts w:ascii="Palatino Linotype" w:eastAsia="Palatino Linotype" w:hAnsi="Palatino Linotype" w:cs="Palatino Linotype"/>
          <w:i/>
        </w:rPr>
        <w:t xml:space="preserve"> las determinaciones que en materia de ampliación del plazo de respuesta, clasificación de la información </w:t>
      </w:r>
      <w:r w:rsidRPr="0044330E">
        <w:rPr>
          <w:rFonts w:ascii="Palatino Linotype" w:eastAsia="Palatino Linotype" w:hAnsi="Palatino Linotype" w:cs="Palatino Linotype"/>
          <w:b/>
          <w:i/>
        </w:rPr>
        <w:t>y declaración</w:t>
      </w:r>
      <w:r w:rsidRPr="0044330E">
        <w:rPr>
          <w:rFonts w:ascii="Palatino Linotype" w:eastAsia="Palatino Linotype" w:hAnsi="Palatino Linotype" w:cs="Palatino Linotype"/>
          <w:i/>
        </w:rPr>
        <w:t xml:space="preserve"> de inexistencia o </w:t>
      </w:r>
      <w:r w:rsidRPr="0044330E">
        <w:rPr>
          <w:rFonts w:ascii="Palatino Linotype" w:eastAsia="Palatino Linotype" w:hAnsi="Palatino Linotype" w:cs="Palatino Linotype"/>
          <w:b/>
          <w:i/>
        </w:rPr>
        <w:t>de incompetencia realicen los titulares de las áreas de los sujetos obligados;</w:t>
      </w:r>
    </w:p>
    <w:p w14:paraId="50089B6F" w14:textId="77777777" w:rsidR="00C1135E" w:rsidRPr="0044330E" w:rsidRDefault="00F1389F">
      <w:pPr>
        <w:tabs>
          <w:tab w:val="left" w:pos="142"/>
          <w:tab w:val="left" w:pos="284"/>
        </w:tabs>
        <w:spacing w:after="0" w:line="276" w:lineRule="auto"/>
        <w:ind w:left="567" w:right="560"/>
        <w:jc w:val="both"/>
        <w:rPr>
          <w:rFonts w:ascii="Palatino Linotype" w:eastAsia="Palatino Linotype" w:hAnsi="Palatino Linotype" w:cs="Palatino Linotype"/>
          <w:b/>
          <w:i/>
        </w:rPr>
      </w:pPr>
      <w:r w:rsidRPr="0044330E">
        <w:rPr>
          <w:rFonts w:ascii="Palatino Linotype" w:eastAsia="Palatino Linotype" w:hAnsi="Palatino Linotype" w:cs="Palatino Linotype"/>
          <w:b/>
          <w:i/>
        </w:rPr>
        <w:t>...</w:t>
      </w:r>
    </w:p>
    <w:p w14:paraId="753FD1E7" w14:textId="77777777" w:rsidR="00C1135E" w:rsidRPr="0044330E" w:rsidRDefault="00F1389F">
      <w:pPr>
        <w:tabs>
          <w:tab w:val="left" w:pos="142"/>
          <w:tab w:val="left" w:pos="284"/>
        </w:tabs>
        <w:spacing w:after="0" w:line="276" w:lineRule="auto"/>
        <w:ind w:left="567" w:right="560"/>
        <w:jc w:val="both"/>
        <w:rPr>
          <w:rFonts w:ascii="Palatino Linotype" w:eastAsia="Palatino Linotype" w:hAnsi="Palatino Linotype" w:cs="Palatino Linotype"/>
          <w:b/>
          <w:i/>
        </w:rPr>
      </w:pPr>
      <w:r w:rsidRPr="0044330E">
        <w:rPr>
          <w:rFonts w:ascii="Palatino Linotype" w:eastAsia="Palatino Linotype" w:hAnsi="Palatino Linotype" w:cs="Palatino Linotype"/>
          <w:b/>
          <w:i/>
        </w:rPr>
        <w:t>Artículo 167</w:t>
      </w:r>
      <w:r w:rsidRPr="0044330E">
        <w:rPr>
          <w:rFonts w:ascii="Palatino Linotype" w:eastAsia="Palatino Linotype" w:hAnsi="Palatino Linotype" w:cs="Palatino Linotype"/>
          <w:i/>
        </w:rPr>
        <w:t xml:space="preserve">. </w:t>
      </w:r>
      <w:r w:rsidRPr="0044330E">
        <w:rPr>
          <w:rFonts w:ascii="Palatino Linotype" w:eastAsia="Palatino Linotype" w:hAnsi="Palatino Linotype" w:cs="Palatino Linotype"/>
          <w:b/>
          <w:i/>
        </w:rPr>
        <w:t>Cuando las unidades de transparencia determinen la notoria incompetencia</w:t>
      </w:r>
      <w:r w:rsidRPr="0044330E">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44330E">
        <w:rPr>
          <w:rFonts w:ascii="Palatino Linotype" w:eastAsia="Palatino Linotype" w:hAnsi="Palatino Linotype" w:cs="Palatino Linotype"/>
          <w:b/>
          <w:i/>
        </w:rPr>
        <w:t xml:space="preserve">deberán comunicarlo al solicitante, </w:t>
      </w:r>
      <w:r w:rsidRPr="0044330E">
        <w:rPr>
          <w:rFonts w:ascii="Palatino Linotype" w:eastAsia="Palatino Linotype" w:hAnsi="Palatino Linotype" w:cs="Palatino Linotype"/>
          <w:b/>
          <w:i/>
        </w:rPr>
        <w:lastRenderedPageBreak/>
        <w:t>dentro de los tres días hábiles posteriores a la recepción de la solicitud</w:t>
      </w:r>
      <w:r w:rsidRPr="0044330E">
        <w:rPr>
          <w:rFonts w:ascii="Palatino Linotype" w:eastAsia="Palatino Linotype" w:hAnsi="Palatino Linotype" w:cs="Palatino Linotype"/>
          <w:i/>
        </w:rPr>
        <w:t xml:space="preserve"> y, </w:t>
      </w:r>
      <w:r w:rsidRPr="0044330E">
        <w:rPr>
          <w:rFonts w:ascii="Palatino Linotype" w:eastAsia="Palatino Linotype" w:hAnsi="Palatino Linotype" w:cs="Palatino Linotype"/>
          <w:b/>
          <w:i/>
        </w:rPr>
        <w:t>en su caso orientar al solicitante, el o los sujetos obligados competentes.</w:t>
      </w:r>
    </w:p>
    <w:p w14:paraId="2C64904B" w14:textId="77777777" w:rsidR="00C1135E" w:rsidRPr="0044330E" w:rsidRDefault="00C1135E">
      <w:pPr>
        <w:spacing w:after="0" w:line="360" w:lineRule="auto"/>
        <w:ind w:left="851" w:right="902"/>
        <w:jc w:val="both"/>
        <w:rPr>
          <w:rFonts w:ascii="Palatino Linotype" w:eastAsia="Palatino Linotype" w:hAnsi="Palatino Linotype" w:cs="Palatino Linotype"/>
          <w:sz w:val="24"/>
          <w:szCs w:val="24"/>
        </w:rPr>
      </w:pPr>
    </w:p>
    <w:p w14:paraId="29004D03" w14:textId="77777777" w:rsidR="00C1135E" w:rsidRPr="0044330E" w:rsidRDefault="00F1389F">
      <w:pPr>
        <w:tabs>
          <w:tab w:val="left" w:pos="142"/>
          <w:tab w:val="left" w:pos="284"/>
        </w:tabs>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De los preceptos citados se desprende que es atribución del Comité de Transparencia confirmar, modificar o revocar, en su caso, la declaración de incompetencia, en aquellos casos en los que no se trate de una notoria incompetencia, para lo cual </w:t>
      </w:r>
      <w:r w:rsidRPr="0044330E">
        <w:rPr>
          <w:rFonts w:ascii="Palatino Linotype" w:eastAsia="Palatino Linotype" w:hAnsi="Palatino Linotype" w:cs="Palatino Linotype"/>
          <w:b/>
          <w:sz w:val="24"/>
          <w:szCs w:val="24"/>
          <w:u w:val="single"/>
        </w:rPr>
        <w:t>deberán comunicarlo dentro de los tres días hábiles posteriores a la recepción de la solicitud y, en su caso, orientar al solicitante respecto de los sujetos obligados</w:t>
      </w:r>
      <w:r w:rsidRPr="0044330E">
        <w:rPr>
          <w:rFonts w:ascii="Palatino Linotype" w:eastAsia="Palatino Linotype" w:hAnsi="Palatino Linotype" w:cs="Palatino Linotype"/>
          <w:sz w:val="24"/>
          <w:szCs w:val="24"/>
        </w:rPr>
        <w:t xml:space="preserve">  competentes. </w:t>
      </w:r>
    </w:p>
    <w:p w14:paraId="0B9735AC" w14:textId="77777777" w:rsidR="00C1135E" w:rsidRPr="0044330E" w:rsidRDefault="00C1135E">
      <w:pPr>
        <w:tabs>
          <w:tab w:val="left" w:pos="142"/>
          <w:tab w:val="left" w:pos="284"/>
        </w:tabs>
        <w:spacing w:after="0" w:line="360" w:lineRule="auto"/>
        <w:jc w:val="both"/>
        <w:rPr>
          <w:rFonts w:ascii="Palatino Linotype" w:eastAsia="Palatino Linotype" w:hAnsi="Palatino Linotype" w:cs="Palatino Linotype"/>
          <w:sz w:val="24"/>
          <w:szCs w:val="24"/>
        </w:rPr>
      </w:pPr>
    </w:p>
    <w:p w14:paraId="42F2C932" w14:textId="77777777" w:rsidR="00C1135E" w:rsidRPr="0044330E" w:rsidRDefault="00F1389F">
      <w:pPr>
        <w:tabs>
          <w:tab w:val="left" w:pos="142"/>
          <w:tab w:val="left" w:pos="284"/>
        </w:tabs>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En lo que respecta al presente asunto, se tiene que la solicitud de información se registró </w:t>
      </w:r>
      <w:r w:rsidRPr="0044330E">
        <w:rPr>
          <w:rFonts w:ascii="Palatino Linotype" w:eastAsia="Palatino Linotype" w:hAnsi="Palatino Linotype" w:cs="Palatino Linotype"/>
          <w:b/>
          <w:sz w:val="24"/>
          <w:szCs w:val="24"/>
        </w:rPr>
        <w:t xml:space="preserve">veinticuatro de enero de dos mil veintitrés </w:t>
      </w:r>
      <w:r w:rsidRPr="0044330E">
        <w:rPr>
          <w:rFonts w:ascii="Palatino Linotype" w:eastAsia="Palatino Linotype" w:hAnsi="Palatino Linotype" w:cs="Palatino Linotype"/>
          <w:sz w:val="24"/>
          <w:szCs w:val="24"/>
        </w:rPr>
        <w:t xml:space="preserve">y el Sujeto Obligado declinó su competencia el </w:t>
      </w:r>
      <w:r w:rsidRPr="0044330E">
        <w:rPr>
          <w:rFonts w:ascii="Palatino Linotype" w:eastAsia="Palatino Linotype" w:hAnsi="Palatino Linotype" w:cs="Palatino Linotype"/>
          <w:b/>
          <w:sz w:val="24"/>
          <w:szCs w:val="24"/>
        </w:rPr>
        <w:t>veinticinco de enero de dos mil veintitrés</w:t>
      </w:r>
      <w:r w:rsidRPr="0044330E">
        <w:rPr>
          <w:rFonts w:ascii="Palatino Linotype" w:eastAsia="Palatino Linotype" w:hAnsi="Palatino Linotype" w:cs="Palatino Linotype"/>
          <w:sz w:val="24"/>
          <w:szCs w:val="24"/>
        </w:rPr>
        <w:t xml:space="preserve">, por lo que, se considera que, si bien, se declaró incompetente dentro del plazo establecido por la Ley en la materia, también lo es que, como se mencionó fue hasta informe justificado que se refirió el nombre de las </w:t>
      </w:r>
      <w:r w:rsidRPr="0044330E">
        <w:rPr>
          <w:rFonts w:ascii="Palatino Linotype" w:eastAsia="Palatino Linotype" w:hAnsi="Palatino Linotype" w:cs="Palatino Linotype"/>
          <w:b/>
          <w:sz w:val="24"/>
          <w:szCs w:val="24"/>
        </w:rPr>
        <w:t>unidades administrativas que por sus atribuciones pudieron haber generado, administrado y poseído la información solicitada.</w:t>
      </w:r>
    </w:p>
    <w:p w14:paraId="771D6877"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3E3D8D40"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De ello, este Organismo Garante considera que se colma el derecho de acceso a la información del Particular y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5A609901"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46DAA383" w14:textId="77777777" w:rsidR="00C1135E" w:rsidRPr="0044330E" w:rsidRDefault="00F1389F">
      <w:pPr>
        <w:spacing w:after="0" w:line="360" w:lineRule="auto"/>
        <w:ind w:right="900" w:firstLine="567"/>
        <w:jc w:val="both"/>
        <w:rPr>
          <w:sz w:val="24"/>
          <w:szCs w:val="24"/>
        </w:rPr>
      </w:pPr>
      <w:r w:rsidRPr="0044330E">
        <w:rPr>
          <w:rFonts w:ascii="Palatino Linotype" w:eastAsia="Palatino Linotype" w:hAnsi="Palatino Linotype" w:cs="Palatino Linotype"/>
          <w:sz w:val="24"/>
          <w:szCs w:val="24"/>
        </w:rPr>
        <w:t>a) Cuando el sujeto obligado modifique el acto impugnado y;</w:t>
      </w:r>
    </w:p>
    <w:p w14:paraId="4CBFC4DC" w14:textId="77777777" w:rsidR="00C1135E" w:rsidRPr="0044330E" w:rsidRDefault="00F1389F">
      <w:pPr>
        <w:spacing w:after="0" w:line="360" w:lineRule="auto"/>
        <w:ind w:right="900" w:firstLine="567"/>
        <w:jc w:val="both"/>
        <w:rPr>
          <w:sz w:val="24"/>
          <w:szCs w:val="24"/>
        </w:rPr>
      </w:pPr>
      <w:r w:rsidRPr="0044330E">
        <w:rPr>
          <w:rFonts w:ascii="Palatino Linotype" w:eastAsia="Palatino Linotype" w:hAnsi="Palatino Linotype" w:cs="Palatino Linotype"/>
          <w:sz w:val="24"/>
          <w:szCs w:val="24"/>
        </w:rPr>
        <w:lastRenderedPageBreak/>
        <w:t>b) Cuando el sujeto obligado revoque el acto impugnado.</w:t>
      </w:r>
    </w:p>
    <w:p w14:paraId="73F017D1"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5CCE9C58"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Quedando en ambos casos el acto combatido sin materia o sin efectos.</w:t>
      </w:r>
    </w:p>
    <w:p w14:paraId="7D50B9B3"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1CF11126"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Como se observa de lo anterior, un acto impugnado es </w:t>
      </w:r>
      <w:r w:rsidRPr="0044330E">
        <w:rPr>
          <w:rFonts w:ascii="Palatino Linotype" w:eastAsia="Palatino Linotype" w:hAnsi="Palatino Linotype" w:cs="Palatino Linotype"/>
          <w:b/>
          <w:sz w:val="24"/>
          <w:szCs w:val="24"/>
        </w:rPr>
        <w:t>modificado</w:t>
      </w:r>
      <w:r w:rsidRPr="0044330E">
        <w:rPr>
          <w:rFonts w:ascii="Palatino Linotype" w:eastAsia="Palatino Linotype" w:hAnsi="Palatino Linotype" w:cs="Palatino Linotype"/>
          <w:sz w:val="24"/>
          <w:szCs w:val="24"/>
        </w:rPr>
        <w:t xml:space="preserve"> en aquellos casos en los que el sujeto obligado </w:t>
      </w:r>
      <w:r w:rsidRPr="0044330E">
        <w:rPr>
          <w:rFonts w:ascii="Palatino Linotype" w:eastAsia="Palatino Linotype" w:hAnsi="Palatino Linotype" w:cs="Palatino Linotype"/>
          <w:b/>
          <w:sz w:val="24"/>
          <w:szCs w:val="24"/>
          <w:u w:val="single"/>
        </w:rPr>
        <w:t>subsana las deficiencias que hubiera tenido en primer momento</w:t>
      </w:r>
      <w:r w:rsidRPr="0044330E">
        <w:rPr>
          <w:rFonts w:ascii="Palatino Linotype" w:eastAsia="Palatino Linotype" w:hAnsi="Palatino Linotype" w:cs="Palatino Linotype"/>
          <w:b/>
          <w:sz w:val="24"/>
          <w:szCs w:val="24"/>
        </w:rPr>
        <w:t>,</w:t>
      </w:r>
      <w:r w:rsidRPr="0044330E">
        <w:rPr>
          <w:rFonts w:ascii="Palatino Linotype" w:eastAsia="Palatino Linotype" w:hAnsi="Palatino Linotype" w:cs="Palatino Linotype"/>
          <w:sz w:val="24"/>
          <w:szCs w:val="24"/>
        </w:rPr>
        <w:t xml:space="preserve"> quedando satisfecho el derecho subjetivo accionado por la parte recurrente. </w:t>
      </w:r>
    </w:p>
    <w:p w14:paraId="672BA1DD"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0FED8AEE"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Por lo que hace a la</w:t>
      </w:r>
      <w:r w:rsidRPr="0044330E">
        <w:rPr>
          <w:rFonts w:ascii="Palatino Linotype" w:eastAsia="Palatino Linotype" w:hAnsi="Palatino Linotype" w:cs="Palatino Linotype"/>
          <w:b/>
          <w:sz w:val="24"/>
          <w:szCs w:val="24"/>
        </w:rPr>
        <w:t xml:space="preserve"> revocación</w:t>
      </w:r>
      <w:r w:rsidRPr="0044330E">
        <w:rPr>
          <w:rFonts w:ascii="Palatino Linotype" w:eastAsia="Palatino Linotype" w:hAnsi="Palatino Linotype" w:cs="Palatino Linotype"/>
          <w:sz w:val="24"/>
          <w:szCs w:val="24"/>
        </w:rPr>
        <w:t>, esta se actualiza cuando el sujeto obligado</w:t>
      </w:r>
      <w:r w:rsidRPr="0044330E">
        <w:rPr>
          <w:rFonts w:ascii="Palatino Linotype" w:eastAsia="Palatino Linotype" w:hAnsi="Palatino Linotype" w:cs="Palatino Linotype"/>
          <w:b/>
          <w:sz w:val="24"/>
          <w:szCs w:val="24"/>
        </w:rPr>
        <w:t xml:space="preserve"> </w:t>
      </w:r>
      <w:r w:rsidRPr="0044330E">
        <w:rPr>
          <w:rFonts w:ascii="Palatino Linotype" w:eastAsia="Palatino Linotype" w:hAnsi="Palatino Linotype" w:cs="Palatino Linotype"/>
          <w:sz w:val="24"/>
          <w:szCs w:val="24"/>
        </w:rPr>
        <w:t>deja sin efectos su actuar y en su lugar emite otra con las características y cualidades suficientes para dejar satisfecho el ejercicio del derecho al acceso a la información pública.</w:t>
      </w:r>
    </w:p>
    <w:p w14:paraId="26F798AA"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03A88130"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En ese tenor, un acto impugnado queda sin efectos, cuando aun existiendo jurídicamente ya no genera ninguna consecuencia legal.</w:t>
      </w:r>
    </w:p>
    <w:p w14:paraId="7270B03A"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68259E33"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En tanto, en el presente caso toda vez que el Sujeto Obligado mediante informe justificado mencionó las </w:t>
      </w:r>
      <w:r w:rsidRPr="0044330E">
        <w:rPr>
          <w:rFonts w:ascii="Palatino Linotype" w:eastAsia="Palatino Linotype" w:hAnsi="Palatino Linotype" w:cs="Palatino Linotype"/>
          <w:b/>
          <w:sz w:val="24"/>
          <w:szCs w:val="24"/>
        </w:rPr>
        <w:t>unidades administrativas que por sus atribuciones pudieron haber generado, administrado y poseído la información solicitada</w:t>
      </w:r>
      <w:r w:rsidRPr="0044330E">
        <w:rPr>
          <w:rFonts w:ascii="Palatino Linotype" w:eastAsia="Palatino Linotype" w:hAnsi="Palatino Linotype" w:cs="Palatino Linotype"/>
          <w:sz w:val="24"/>
          <w:szCs w:val="24"/>
        </w:rPr>
        <w:t xml:space="preserve">, precisando la incompetencia para poseer la información requerida; dejó sin materia el presente recurso de revisión, actualizándose entonces la causal prevista en la fracción III del artículo 192 de la Ley de la Materia vigente en la Entidad. </w:t>
      </w:r>
    </w:p>
    <w:p w14:paraId="0632F18F"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6B69A50E" w14:textId="77777777" w:rsidR="00C1135E" w:rsidRPr="0044330E" w:rsidRDefault="00F1389F">
      <w:pPr>
        <w:spacing w:after="0" w:line="360" w:lineRule="auto"/>
        <w:ind w:right="49"/>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fracciones IV y V de la Constitución Política del </w:t>
      </w:r>
      <w:r w:rsidRPr="0044330E">
        <w:rPr>
          <w:rFonts w:ascii="Palatino Linotype" w:eastAsia="Palatino Linotype" w:hAnsi="Palatino Linotype" w:cs="Palatino Linotype"/>
          <w:sz w:val="24"/>
          <w:szCs w:val="24"/>
        </w:rPr>
        <w:lastRenderedPageBreak/>
        <w:t>Estado Libre y Soberano de México; 2, fracción II; 29, 36 fracciones I y II; 176, 178, 181, 185, fracción I, 186 y 188 de la Ley de Transparencia y Acceso a la Información Pública del Estado de México y Municipios, este Pleno:</w:t>
      </w:r>
    </w:p>
    <w:p w14:paraId="4EEE0D6F" w14:textId="77777777" w:rsidR="00C1135E" w:rsidRPr="0044330E" w:rsidRDefault="00C1135E">
      <w:pPr>
        <w:spacing w:after="0" w:line="360" w:lineRule="auto"/>
        <w:ind w:right="49"/>
        <w:jc w:val="both"/>
        <w:rPr>
          <w:rFonts w:ascii="Palatino Linotype" w:eastAsia="Palatino Linotype" w:hAnsi="Palatino Linotype" w:cs="Palatino Linotype"/>
          <w:sz w:val="24"/>
          <w:szCs w:val="24"/>
        </w:rPr>
      </w:pPr>
    </w:p>
    <w:p w14:paraId="1D864533" w14:textId="77777777" w:rsidR="00C1135E" w:rsidRPr="0044330E" w:rsidRDefault="00F1389F">
      <w:pPr>
        <w:numPr>
          <w:ilvl w:val="0"/>
          <w:numId w:val="3"/>
        </w:num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44330E">
        <w:rPr>
          <w:rFonts w:ascii="Palatino Linotype" w:eastAsia="Palatino Linotype" w:hAnsi="Palatino Linotype" w:cs="Palatino Linotype"/>
          <w:b/>
        </w:rPr>
        <w:t>R E S U E L V E:</w:t>
      </w:r>
    </w:p>
    <w:p w14:paraId="43198241" w14:textId="77777777" w:rsidR="00C1135E" w:rsidRPr="0044330E" w:rsidRDefault="00C1135E">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44A6D174" w14:textId="77777777" w:rsidR="00C1135E" w:rsidRPr="0044330E" w:rsidRDefault="00F1389F">
      <w:pPr>
        <w:spacing w:after="0" w:line="360" w:lineRule="auto"/>
        <w:jc w:val="both"/>
        <w:rPr>
          <w:rFonts w:ascii="Palatino Linotype" w:eastAsia="Palatino Linotype" w:hAnsi="Palatino Linotype" w:cs="Palatino Linotype"/>
          <w:sz w:val="24"/>
          <w:szCs w:val="24"/>
        </w:rPr>
      </w:pPr>
      <w:r w:rsidRPr="0044330E">
        <w:rPr>
          <w:rFonts w:ascii="Palatino Linotype" w:eastAsia="Palatino Linotype" w:hAnsi="Palatino Linotype" w:cs="Palatino Linotype"/>
          <w:b/>
          <w:sz w:val="24"/>
          <w:szCs w:val="24"/>
        </w:rPr>
        <w:t xml:space="preserve">PRIMERO. </w:t>
      </w:r>
      <w:r w:rsidRPr="0044330E">
        <w:rPr>
          <w:rFonts w:ascii="Palatino Linotype" w:eastAsia="Palatino Linotype" w:hAnsi="Palatino Linotype" w:cs="Palatino Linotype"/>
          <w:sz w:val="24"/>
          <w:szCs w:val="24"/>
        </w:rPr>
        <w:t xml:space="preserve">Se </w:t>
      </w:r>
      <w:r w:rsidRPr="0044330E">
        <w:rPr>
          <w:rFonts w:ascii="Palatino Linotype" w:eastAsia="Palatino Linotype" w:hAnsi="Palatino Linotype" w:cs="Palatino Linotype"/>
          <w:b/>
          <w:sz w:val="24"/>
          <w:szCs w:val="24"/>
        </w:rPr>
        <w:t xml:space="preserve">SOBRESEE </w:t>
      </w:r>
      <w:r w:rsidRPr="0044330E">
        <w:rPr>
          <w:rFonts w:ascii="Palatino Linotype" w:eastAsia="Palatino Linotype" w:hAnsi="Palatino Linotype" w:cs="Palatino Linotype"/>
          <w:sz w:val="24"/>
          <w:szCs w:val="24"/>
        </w:rPr>
        <w:t>el recurso de revisión número</w:t>
      </w:r>
      <w:r w:rsidRPr="0044330E">
        <w:rPr>
          <w:rFonts w:ascii="Palatino Linotype" w:eastAsia="Palatino Linotype" w:hAnsi="Palatino Linotype" w:cs="Palatino Linotype"/>
          <w:b/>
          <w:sz w:val="24"/>
          <w:szCs w:val="24"/>
        </w:rPr>
        <w:t xml:space="preserve"> 00529/INFOEM/IP/RR/2023</w:t>
      </w:r>
      <w:r w:rsidRPr="0044330E">
        <w:rPr>
          <w:rFonts w:ascii="Palatino Linotype" w:eastAsia="Palatino Linotype" w:hAnsi="Palatino Linotype" w:cs="Palatino Linotype"/>
          <w:sz w:val="24"/>
          <w:szCs w:val="24"/>
        </w:rPr>
        <w:t xml:space="preserve">, porque el </w:t>
      </w:r>
      <w:r w:rsidRPr="0044330E">
        <w:rPr>
          <w:rFonts w:ascii="Palatino Linotype" w:eastAsia="Palatino Linotype" w:hAnsi="Palatino Linotype" w:cs="Palatino Linotype"/>
          <w:b/>
          <w:sz w:val="24"/>
          <w:szCs w:val="24"/>
        </w:rPr>
        <w:t xml:space="preserve">SUJETO OBLIGADO </w:t>
      </w:r>
      <w:r w:rsidRPr="0044330E">
        <w:rPr>
          <w:rFonts w:ascii="Palatino Linotype" w:eastAsia="Palatino Linotype" w:hAnsi="Palatino Linotype" w:cs="Palatino Linotype"/>
          <w:sz w:val="24"/>
          <w:szCs w:val="24"/>
        </w:rPr>
        <w:t xml:space="preserve">al modificar su respuesta inicial mediante informe justificado, el medio de impugnación quedó sin materia, de conformidad con lo dispuesto en la fracción III del artículo 192 de la Ley de Transparencia de la Entidad, en términos del </w:t>
      </w:r>
      <w:r w:rsidRPr="0044330E">
        <w:rPr>
          <w:rFonts w:ascii="Palatino Linotype" w:eastAsia="Palatino Linotype" w:hAnsi="Palatino Linotype" w:cs="Palatino Linotype"/>
          <w:b/>
          <w:sz w:val="24"/>
          <w:szCs w:val="24"/>
        </w:rPr>
        <w:t>Considerando Tercero</w:t>
      </w:r>
      <w:r w:rsidRPr="0044330E">
        <w:rPr>
          <w:rFonts w:ascii="Palatino Linotype" w:eastAsia="Palatino Linotype" w:hAnsi="Palatino Linotype" w:cs="Palatino Linotype"/>
          <w:sz w:val="24"/>
          <w:szCs w:val="24"/>
        </w:rPr>
        <w:t xml:space="preserve"> de la presente resolución.</w:t>
      </w:r>
    </w:p>
    <w:p w14:paraId="4EBE20D0" w14:textId="77777777" w:rsidR="00C1135E" w:rsidRPr="0044330E" w:rsidRDefault="00C1135E">
      <w:pPr>
        <w:spacing w:after="0" w:line="360" w:lineRule="auto"/>
        <w:jc w:val="both"/>
        <w:rPr>
          <w:rFonts w:ascii="Palatino Linotype" w:eastAsia="Palatino Linotype" w:hAnsi="Palatino Linotype" w:cs="Palatino Linotype"/>
          <w:sz w:val="24"/>
          <w:szCs w:val="24"/>
        </w:rPr>
      </w:pPr>
    </w:p>
    <w:p w14:paraId="6EFDA4F3" w14:textId="77777777" w:rsidR="00C1135E" w:rsidRPr="0044330E" w:rsidRDefault="00F1389F">
      <w:pPr>
        <w:spacing w:after="0" w:line="360" w:lineRule="auto"/>
        <w:jc w:val="both"/>
        <w:rPr>
          <w:rFonts w:ascii="Palatino Linotype" w:eastAsia="Palatino Linotype" w:hAnsi="Palatino Linotype" w:cs="Palatino Linotype"/>
          <w:b/>
          <w:sz w:val="24"/>
          <w:szCs w:val="24"/>
        </w:rPr>
      </w:pPr>
      <w:r w:rsidRPr="0044330E">
        <w:rPr>
          <w:rFonts w:ascii="Palatino Linotype" w:eastAsia="Palatino Linotype" w:hAnsi="Palatino Linotype" w:cs="Palatino Linotype"/>
          <w:b/>
          <w:sz w:val="24"/>
          <w:szCs w:val="24"/>
        </w:rPr>
        <w:t xml:space="preserve">SEGUNDO. Notifíquese </w:t>
      </w:r>
      <w:r w:rsidRPr="0044330E">
        <w:rPr>
          <w:rFonts w:ascii="Palatino Linotype" w:eastAsia="Palatino Linotype" w:hAnsi="Palatino Linotype" w:cs="Palatino Linotype"/>
          <w:sz w:val="24"/>
          <w:szCs w:val="24"/>
        </w:rPr>
        <w:t xml:space="preserve">a través del Sistema de Acceso a la Información Mexiquense </w:t>
      </w:r>
      <w:r w:rsidRPr="0044330E">
        <w:rPr>
          <w:rFonts w:ascii="Palatino Linotype" w:eastAsia="Palatino Linotype" w:hAnsi="Palatino Linotype" w:cs="Palatino Linotype"/>
          <w:b/>
          <w:sz w:val="24"/>
          <w:szCs w:val="24"/>
        </w:rPr>
        <w:t xml:space="preserve">(SAIMEX) </w:t>
      </w:r>
      <w:r w:rsidRPr="0044330E">
        <w:rPr>
          <w:rFonts w:ascii="Palatino Linotype" w:eastAsia="Palatino Linotype" w:hAnsi="Palatino Linotype" w:cs="Palatino Linotype"/>
          <w:sz w:val="24"/>
          <w:szCs w:val="24"/>
        </w:rPr>
        <w:t>la presente resolución a la Titular de la Unidad de Transparencia del</w:t>
      </w:r>
      <w:r w:rsidRPr="0044330E">
        <w:rPr>
          <w:rFonts w:ascii="Palatino Linotype" w:eastAsia="Palatino Linotype" w:hAnsi="Palatino Linotype" w:cs="Palatino Linotype"/>
          <w:b/>
          <w:sz w:val="24"/>
          <w:szCs w:val="24"/>
        </w:rPr>
        <w:t xml:space="preserve"> SUJETO OBLIGADO. </w:t>
      </w:r>
    </w:p>
    <w:p w14:paraId="13ADF2DE" w14:textId="77777777" w:rsidR="00C1135E" w:rsidRPr="0044330E" w:rsidRDefault="00C1135E">
      <w:pPr>
        <w:spacing w:after="0" w:line="360" w:lineRule="auto"/>
        <w:jc w:val="both"/>
        <w:rPr>
          <w:rFonts w:ascii="Palatino Linotype" w:eastAsia="Palatino Linotype" w:hAnsi="Palatino Linotype" w:cs="Palatino Linotype"/>
          <w:b/>
          <w:sz w:val="24"/>
          <w:szCs w:val="24"/>
        </w:rPr>
      </w:pPr>
    </w:p>
    <w:p w14:paraId="134AFA67" w14:textId="77777777" w:rsidR="00C1135E" w:rsidRPr="0044330E" w:rsidRDefault="00F1389F">
      <w:pPr>
        <w:spacing w:after="0" w:line="360" w:lineRule="auto"/>
        <w:jc w:val="both"/>
        <w:rPr>
          <w:rFonts w:ascii="Palatino Linotype" w:eastAsia="Palatino Linotype" w:hAnsi="Palatino Linotype" w:cs="Palatino Linotype"/>
        </w:rPr>
      </w:pPr>
      <w:r w:rsidRPr="0044330E">
        <w:rPr>
          <w:rFonts w:ascii="Palatino Linotype" w:eastAsia="Palatino Linotype" w:hAnsi="Palatino Linotype" w:cs="Palatino Linotype"/>
          <w:b/>
          <w:sz w:val="24"/>
          <w:szCs w:val="24"/>
        </w:rPr>
        <w:t xml:space="preserve">TERCERO. Notifíquese a través </w:t>
      </w:r>
      <w:r w:rsidRPr="0044330E">
        <w:rPr>
          <w:rFonts w:ascii="Palatino Linotype" w:eastAsia="Palatino Linotype" w:hAnsi="Palatino Linotype" w:cs="Palatino Linotype"/>
          <w:sz w:val="24"/>
          <w:szCs w:val="24"/>
        </w:rPr>
        <w:t xml:space="preserve">del Sistema de Acceso a la Información Mexiquense a la parte </w:t>
      </w:r>
      <w:r w:rsidRPr="0044330E">
        <w:rPr>
          <w:rFonts w:ascii="Palatino Linotype" w:eastAsia="Palatino Linotype" w:hAnsi="Palatino Linotype" w:cs="Palatino Linotype"/>
          <w:b/>
          <w:sz w:val="24"/>
          <w:szCs w:val="24"/>
        </w:rPr>
        <w:t>RECURRENTE,</w:t>
      </w:r>
      <w:r w:rsidRPr="0044330E">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r w:rsidRPr="0044330E">
        <w:rPr>
          <w:rFonts w:ascii="Palatino Linotype" w:eastAsia="Palatino Linotype" w:hAnsi="Palatino Linotype" w:cs="Palatino Linotype"/>
        </w:rPr>
        <w:t>.</w:t>
      </w:r>
    </w:p>
    <w:p w14:paraId="3E750D65" w14:textId="77777777" w:rsidR="0044330E" w:rsidRPr="0044330E" w:rsidRDefault="0044330E">
      <w:pPr>
        <w:spacing w:after="0" w:line="360" w:lineRule="auto"/>
        <w:jc w:val="both"/>
        <w:rPr>
          <w:rFonts w:ascii="Palatino Linotype" w:eastAsia="Palatino Linotype" w:hAnsi="Palatino Linotype" w:cs="Palatino Linotype"/>
        </w:rPr>
      </w:pPr>
    </w:p>
    <w:p w14:paraId="2B8FBC93" w14:textId="77777777" w:rsidR="0044330E" w:rsidRPr="0044330E" w:rsidRDefault="0044330E">
      <w:pPr>
        <w:spacing w:after="0" w:line="360" w:lineRule="auto"/>
        <w:jc w:val="both"/>
        <w:rPr>
          <w:rFonts w:ascii="Palatino Linotype" w:eastAsia="Palatino Linotype" w:hAnsi="Palatino Linotype" w:cs="Palatino Linotype"/>
        </w:rPr>
      </w:pPr>
    </w:p>
    <w:p w14:paraId="444227EC" w14:textId="77777777" w:rsidR="00C1135E" w:rsidRPr="0044330E" w:rsidRDefault="00C1135E">
      <w:pPr>
        <w:spacing w:after="0" w:line="360" w:lineRule="auto"/>
        <w:ind w:right="49"/>
        <w:jc w:val="both"/>
        <w:rPr>
          <w:rFonts w:ascii="Palatino Linotype" w:eastAsia="Palatino Linotype" w:hAnsi="Palatino Linotype" w:cs="Palatino Linotype"/>
        </w:rPr>
      </w:pPr>
    </w:p>
    <w:p w14:paraId="39025E61" w14:textId="77777777" w:rsidR="00C1135E" w:rsidRPr="0044330E" w:rsidRDefault="00F1389F">
      <w:pPr>
        <w:spacing w:after="0" w:line="360" w:lineRule="auto"/>
        <w:ind w:right="-93"/>
        <w:jc w:val="both"/>
        <w:rPr>
          <w:rFonts w:ascii="Palatino Linotype" w:eastAsia="Palatino Linotype" w:hAnsi="Palatino Linotype" w:cs="Palatino Linotype"/>
          <w:sz w:val="24"/>
          <w:szCs w:val="24"/>
        </w:rPr>
      </w:pPr>
      <w:bookmarkStart w:id="2" w:name="_heading=h.gjdgxs" w:colFirst="0" w:colLast="0"/>
      <w:bookmarkEnd w:id="2"/>
      <w:r w:rsidRPr="0044330E">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w:t>
      </w:r>
    </w:p>
    <w:p w14:paraId="2AEB7A51"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3" w:name="_heading=h.l28kgd7q65zf" w:colFirst="0" w:colLast="0"/>
      <w:bookmarkEnd w:id="3"/>
    </w:p>
    <w:p w14:paraId="26C04F6B"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4" w:name="_heading=h.58wdg1f8f60g" w:colFirst="0" w:colLast="0"/>
      <w:bookmarkEnd w:id="4"/>
    </w:p>
    <w:p w14:paraId="3AB3751E"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5" w:name="_heading=h.j5ood277910n" w:colFirst="0" w:colLast="0"/>
      <w:bookmarkEnd w:id="5"/>
    </w:p>
    <w:p w14:paraId="11A0D10D"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6" w:name="_heading=h.9vjrzedr8ufq" w:colFirst="0" w:colLast="0"/>
      <w:bookmarkEnd w:id="6"/>
    </w:p>
    <w:p w14:paraId="61808855"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7" w:name="_heading=h.66d95od30o6s" w:colFirst="0" w:colLast="0"/>
      <w:bookmarkEnd w:id="7"/>
    </w:p>
    <w:p w14:paraId="1AFB0FF4"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8" w:name="_heading=h.xy48426f0wtj" w:colFirst="0" w:colLast="0"/>
      <w:bookmarkEnd w:id="8"/>
    </w:p>
    <w:p w14:paraId="2C9FCCC6"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9" w:name="_heading=h.ptjth09q7hup" w:colFirst="0" w:colLast="0"/>
      <w:bookmarkEnd w:id="9"/>
    </w:p>
    <w:p w14:paraId="097F8633"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10" w:name="_heading=h.uvav1ycovixe" w:colFirst="0" w:colLast="0"/>
      <w:bookmarkEnd w:id="10"/>
    </w:p>
    <w:p w14:paraId="7C4C03D4"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11" w:name="_heading=h.rm4jpyyi1adj" w:colFirst="0" w:colLast="0"/>
      <w:bookmarkEnd w:id="11"/>
    </w:p>
    <w:p w14:paraId="0B3BC9CA"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12" w:name="_heading=h.ipjmlpjsld02" w:colFirst="0" w:colLast="0"/>
      <w:bookmarkEnd w:id="12"/>
    </w:p>
    <w:p w14:paraId="0FB901E8"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13" w:name="_heading=h.izrfh0699ley" w:colFirst="0" w:colLast="0"/>
      <w:bookmarkEnd w:id="13"/>
    </w:p>
    <w:p w14:paraId="478AEB9C"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14" w:name="_heading=h.fbsj8fg99bgw" w:colFirst="0" w:colLast="0"/>
      <w:bookmarkEnd w:id="14"/>
    </w:p>
    <w:p w14:paraId="377DA0B4"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15" w:name="_heading=h.qnhn24ntnizx" w:colFirst="0" w:colLast="0"/>
      <w:bookmarkEnd w:id="15"/>
    </w:p>
    <w:p w14:paraId="698AFBD8"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16" w:name="_heading=h.35wnvtbpqbgp" w:colFirst="0" w:colLast="0"/>
      <w:bookmarkEnd w:id="16"/>
    </w:p>
    <w:p w14:paraId="13EC813C"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17" w:name="_heading=h.l2olma7ggeyy" w:colFirst="0" w:colLast="0"/>
      <w:bookmarkEnd w:id="17"/>
    </w:p>
    <w:p w14:paraId="7326A69F" w14:textId="77777777" w:rsidR="00C1135E" w:rsidRPr="0044330E" w:rsidRDefault="00C1135E">
      <w:pPr>
        <w:spacing w:after="0" w:line="360" w:lineRule="auto"/>
        <w:ind w:right="-93"/>
        <w:jc w:val="both"/>
        <w:rPr>
          <w:rFonts w:ascii="Palatino Linotype" w:eastAsia="Palatino Linotype" w:hAnsi="Palatino Linotype" w:cs="Palatino Linotype"/>
          <w:sz w:val="24"/>
          <w:szCs w:val="24"/>
        </w:rPr>
      </w:pPr>
      <w:bookmarkStart w:id="18" w:name="_heading=h.vyyofveiw7v4" w:colFirst="0" w:colLast="0"/>
      <w:bookmarkEnd w:id="18"/>
    </w:p>
    <w:sectPr w:rsidR="00C1135E" w:rsidRPr="0044330E">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172C8" w14:textId="77777777" w:rsidR="008B5262" w:rsidRDefault="008B5262">
      <w:pPr>
        <w:spacing w:after="0" w:line="240" w:lineRule="auto"/>
      </w:pPr>
      <w:r>
        <w:separator/>
      </w:r>
    </w:p>
  </w:endnote>
  <w:endnote w:type="continuationSeparator" w:id="0">
    <w:p w14:paraId="4C325B34" w14:textId="77777777" w:rsidR="008B5262" w:rsidRDefault="008B5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9E75" w14:textId="77777777" w:rsidR="00C1135E" w:rsidRDefault="00F1389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9213A">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9213A">
      <w:rPr>
        <w:b/>
        <w:noProof/>
        <w:color w:val="000000"/>
        <w:sz w:val="24"/>
        <w:szCs w:val="24"/>
      </w:rPr>
      <w:t>22</w:t>
    </w:r>
    <w:r>
      <w:rPr>
        <w:b/>
        <w:color w:val="000000"/>
        <w:sz w:val="24"/>
        <w:szCs w:val="24"/>
      </w:rPr>
      <w:fldChar w:fldCharType="end"/>
    </w:r>
  </w:p>
  <w:p w14:paraId="30CFB384" w14:textId="77777777" w:rsidR="00C1135E" w:rsidRDefault="00C1135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64D9" w14:textId="77777777" w:rsidR="00C1135E" w:rsidRDefault="00F1389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9213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9213A">
      <w:rPr>
        <w:b/>
        <w:noProof/>
        <w:color w:val="000000"/>
        <w:sz w:val="24"/>
        <w:szCs w:val="24"/>
      </w:rPr>
      <w:t>22</w:t>
    </w:r>
    <w:r>
      <w:rPr>
        <w:b/>
        <w:color w:val="000000"/>
        <w:sz w:val="24"/>
        <w:szCs w:val="24"/>
      </w:rPr>
      <w:fldChar w:fldCharType="end"/>
    </w:r>
  </w:p>
  <w:p w14:paraId="4379C195" w14:textId="77777777" w:rsidR="00C1135E" w:rsidRDefault="00C1135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4C7DD" w14:textId="77777777" w:rsidR="008B5262" w:rsidRDefault="008B5262">
      <w:pPr>
        <w:spacing w:after="0" w:line="240" w:lineRule="auto"/>
      </w:pPr>
      <w:r>
        <w:separator/>
      </w:r>
    </w:p>
  </w:footnote>
  <w:footnote w:type="continuationSeparator" w:id="0">
    <w:p w14:paraId="3504811E" w14:textId="77777777" w:rsidR="008B5262" w:rsidRDefault="008B5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52B5" w14:textId="77777777" w:rsidR="00C1135E" w:rsidRDefault="00C1135E">
    <w:pPr>
      <w:widowControl w:val="0"/>
      <w:pBdr>
        <w:top w:val="nil"/>
        <w:left w:val="nil"/>
        <w:bottom w:val="nil"/>
        <w:right w:val="nil"/>
        <w:between w:val="nil"/>
      </w:pBdr>
      <w:spacing w:after="0" w:line="276" w:lineRule="auto"/>
      <w:rPr>
        <w:color w:val="000000"/>
      </w:rPr>
    </w:pPr>
  </w:p>
  <w:tbl>
    <w:tblPr>
      <w:tblStyle w:val="a6"/>
      <w:tblW w:w="5603" w:type="dxa"/>
      <w:tblInd w:w="3611" w:type="dxa"/>
      <w:tblLayout w:type="fixed"/>
      <w:tblLook w:val="0400" w:firstRow="0" w:lastRow="0" w:firstColumn="0" w:lastColumn="0" w:noHBand="0" w:noVBand="1"/>
    </w:tblPr>
    <w:tblGrid>
      <w:gridCol w:w="2551"/>
      <w:gridCol w:w="3052"/>
    </w:tblGrid>
    <w:tr w:rsidR="00C1135E" w14:paraId="4895AD50" w14:textId="77777777">
      <w:tc>
        <w:tcPr>
          <w:tcW w:w="2551" w:type="dxa"/>
          <w:vAlign w:val="center"/>
        </w:tcPr>
        <w:p w14:paraId="5B8EC7A3"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F8DA8E9"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00529/INFOEM/IP/RR/2023</w:t>
          </w:r>
        </w:p>
      </w:tc>
    </w:tr>
    <w:tr w:rsidR="00C1135E" w14:paraId="470CC5AC" w14:textId="77777777">
      <w:trPr>
        <w:trHeight w:val="228"/>
      </w:trPr>
      <w:tc>
        <w:tcPr>
          <w:tcW w:w="2551" w:type="dxa"/>
          <w:vAlign w:val="center"/>
        </w:tcPr>
        <w:p w14:paraId="3126B885"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358193B8" w14:textId="77777777" w:rsidR="00C1135E" w:rsidRDefault="00F1389F">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Texcoco</w:t>
          </w:r>
        </w:p>
      </w:tc>
    </w:tr>
    <w:tr w:rsidR="00C1135E" w14:paraId="034C801B" w14:textId="77777777">
      <w:tc>
        <w:tcPr>
          <w:tcW w:w="2551" w:type="dxa"/>
          <w:vAlign w:val="center"/>
        </w:tcPr>
        <w:p w14:paraId="50082A6E"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4509AB8"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8DB3792" w14:textId="77777777" w:rsidR="00C1135E" w:rsidRDefault="00F1389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1F3A7150" wp14:editId="2019CB8D">
          <wp:simplePos x="0" y="0"/>
          <wp:positionH relativeFrom="column">
            <wp:posOffset>-403857</wp:posOffset>
          </wp:positionH>
          <wp:positionV relativeFrom="paragraph">
            <wp:posOffset>-1257932</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D45E" w14:textId="77777777" w:rsidR="00C1135E" w:rsidRDefault="00F1389F">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8A2B0A0" wp14:editId="345E99C8">
          <wp:simplePos x="0" y="0"/>
          <wp:positionH relativeFrom="column">
            <wp:posOffset>-713666</wp:posOffset>
          </wp:positionH>
          <wp:positionV relativeFrom="paragraph">
            <wp:posOffset>-297813</wp:posOffset>
          </wp:positionV>
          <wp:extent cx="7809876" cy="10165823"/>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C1135E" w14:paraId="099C71F3" w14:textId="77777777">
      <w:tc>
        <w:tcPr>
          <w:tcW w:w="2551" w:type="dxa"/>
          <w:vAlign w:val="center"/>
        </w:tcPr>
        <w:p w14:paraId="4A69CCF3"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7E865F6"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00529/INFOEM/IP/RR/2023</w:t>
          </w:r>
        </w:p>
      </w:tc>
    </w:tr>
    <w:tr w:rsidR="00C1135E" w14:paraId="441466FF" w14:textId="77777777">
      <w:tc>
        <w:tcPr>
          <w:tcW w:w="2551" w:type="dxa"/>
          <w:vAlign w:val="center"/>
        </w:tcPr>
        <w:p w14:paraId="51CC3A1D"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2DE4547" w14:textId="77777777" w:rsidR="00C1135E" w:rsidRDefault="00C1135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C1135E" w14:paraId="1D62E4C2" w14:textId="77777777">
      <w:trPr>
        <w:trHeight w:val="228"/>
      </w:trPr>
      <w:tc>
        <w:tcPr>
          <w:tcW w:w="2551" w:type="dxa"/>
          <w:vAlign w:val="center"/>
        </w:tcPr>
        <w:p w14:paraId="5DC012EF"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CA353E9" w14:textId="77777777" w:rsidR="00C1135E" w:rsidRDefault="00C1135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0D6D981" w14:textId="77777777" w:rsidR="00C1135E" w:rsidRDefault="00F1389F">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Texcoco</w:t>
          </w:r>
        </w:p>
      </w:tc>
    </w:tr>
    <w:tr w:rsidR="00C1135E" w14:paraId="6F3F8A5F" w14:textId="77777777">
      <w:tc>
        <w:tcPr>
          <w:tcW w:w="2551" w:type="dxa"/>
          <w:vAlign w:val="center"/>
        </w:tcPr>
        <w:p w14:paraId="75EEB779"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201845B" w14:textId="77777777" w:rsidR="00C1135E" w:rsidRDefault="00F1389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3AC4D41" w14:textId="77777777" w:rsidR="00C1135E" w:rsidRDefault="00F1389F">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B7BE9"/>
    <w:multiLevelType w:val="multilevel"/>
    <w:tmpl w:val="CF1E5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7658E6"/>
    <w:multiLevelType w:val="multilevel"/>
    <w:tmpl w:val="83A6FF3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790A86"/>
    <w:multiLevelType w:val="multilevel"/>
    <w:tmpl w:val="DC009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7448AE"/>
    <w:multiLevelType w:val="multilevel"/>
    <w:tmpl w:val="19F678D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363E2F2A"/>
    <w:multiLevelType w:val="multilevel"/>
    <w:tmpl w:val="3552D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5C0E21"/>
    <w:multiLevelType w:val="multilevel"/>
    <w:tmpl w:val="588691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35E"/>
    <w:rsid w:val="00113E46"/>
    <w:rsid w:val="0019213A"/>
    <w:rsid w:val="0044330E"/>
    <w:rsid w:val="008B5262"/>
    <w:rsid w:val="00A07898"/>
    <w:rsid w:val="00C1135E"/>
    <w:rsid w:val="00D318DE"/>
    <w:rsid w:val="00DC273A"/>
    <w:rsid w:val="00F138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27E29"/>
  <w15:docId w15:val="{7EDE57DC-E4CC-4817-8F5F-48D869BD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table" w:customStyle="1" w:styleId="a5">
    <w:basedOn w:val="TableNormal0"/>
    <w:tblPr>
      <w:tblStyleRowBandSize w:val="1"/>
      <w:tblStyleColBandSize w:val="1"/>
      <w:tblCellMar>
        <w:top w:w="15" w:type="dxa"/>
        <w:left w:w="115" w:type="dxa"/>
        <w:bottom w:w="15" w:type="dxa"/>
        <w:right w:w="115" w:type="dxa"/>
      </w:tblCellMar>
    </w:tblPr>
  </w:style>
  <w:style w:type="table" w:customStyle="1" w:styleId="a6">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4+a50/4fGr98tttoN6fnuQf/Kg==">AMUW2mU3F7isRnZlRUGcWgW0qdh1Q64loeblPCKMNApb/7IBPer0EkmJa9suOzoqXFjgOW9QTiFTtw3xg7bcJNijDc19gOHHCm6g31GKuYHTdZJBgbYqeUC+v+KXPGQgIkyiiw+MUSPehZDBtdKQrXjFri0wXjSYWhtZZ6jjQ9KhTMzk+1fFaJFYYK7VJSZTpvC8AY8UDR/dNH0yw08fUYf7Xz5pw4nTkLoi97PISInC1aTS1oYV5d2YTDoK6OsIVISbGjapeRg0GNXN+ZYqfRt9yg1dpWBkIApXJ2JQxPwooQtsRYQNcLss9ZOVZmzV7rY0RgouxGqUmRXWekJCSClfWZFxUcHIITcdEcOLKslcPZUgr21D+0ppEJo4bfy0FgzwaAMYY+O9Kob23012WD3FUoGOjjqyW5e2NPhXdZHmQm1U7xeR/QL7LsCWFGf19NpdcoNGKaDsyNG5D9LGySO+rUmFjXljWCW//YbfduwDs/OSiHdqo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4444</Words>
  <Characters>24443</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2023-11-17T16:47:00Z</cp:lastPrinted>
  <dcterms:created xsi:type="dcterms:W3CDTF">2023-12-04T22:23:00Z</dcterms:created>
  <dcterms:modified xsi:type="dcterms:W3CDTF">2023-12-04T22:23:00Z</dcterms:modified>
</cp:coreProperties>
</file>