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123197" w:rsidRDefault="009F09BC" w:rsidP="00C73D4B">
      <w:pPr>
        <w:tabs>
          <w:tab w:val="left" w:pos="3465"/>
        </w:tabs>
        <w:spacing w:before="240" w:after="360" w:line="360" w:lineRule="auto"/>
        <w:jc w:val="both"/>
        <w:rPr>
          <w:rFonts w:ascii="Palatino Linotype" w:hAnsi="Palatino Linotype"/>
        </w:rPr>
      </w:pPr>
      <w:r w:rsidRPr="0012319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22540" w:rsidRPr="00123197">
        <w:rPr>
          <w:rFonts w:ascii="Palatino Linotype" w:hAnsi="Palatino Linotype"/>
        </w:rPr>
        <w:t xml:space="preserve">dieciséis (16) </w:t>
      </w:r>
      <w:r w:rsidRPr="00123197">
        <w:rPr>
          <w:rFonts w:ascii="Palatino Linotype" w:hAnsi="Palatino Linotype"/>
        </w:rPr>
        <w:t xml:space="preserve">de </w:t>
      </w:r>
      <w:r w:rsidR="00B05C22" w:rsidRPr="00123197">
        <w:rPr>
          <w:rFonts w:ascii="Palatino Linotype" w:hAnsi="Palatino Linotype"/>
        </w:rPr>
        <w:t>agosto de dos mil veintitrés</w:t>
      </w:r>
      <w:r w:rsidRPr="00123197">
        <w:rPr>
          <w:rFonts w:ascii="Palatino Linotype" w:hAnsi="Palatino Linotype"/>
        </w:rPr>
        <w:t>.</w:t>
      </w:r>
    </w:p>
    <w:p w:rsidR="009F09BC" w:rsidRPr="00123197" w:rsidRDefault="009F09BC" w:rsidP="00C73D4B">
      <w:pPr>
        <w:spacing w:before="240" w:after="360" w:line="360" w:lineRule="auto"/>
        <w:jc w:val="both"/>
        <w:rPr>
          <w:rFonts w:ascii="Palatino Linotype" w:hAnsi="Palatino Linotype" w:cs="Arial"/>
          <w:b/>
        </w:rPr>
      </w:pPr>
      <w:r w:rsidRPr="00123197">
        <w:rPr>
          <w:rFonts w:ascii="Palatino Linotype" w:hAnsi="Palatino Linotype"/>
          <w:b/>
        </w:rPr>
        <w:t>VISTO</w:t>
      </w:r>
      <w:r w:rsidRPr="00123197">
        <w:rPr>
          <w:rFonts w:ascii="Palatino Linotype" w:hAnsi="Palatino Linotype"/>
        </w:rPr>
        <w:t xml:space="preserve"> </w:t>
      </w:r>
      <w:r w:rsidR="008A699B" w:rsidRPr="00123197">
        <w:rPr>
          <w:rFonts w:ascii="Palatino Linotype" w:hAnsi="Palatino Linotype"/>
        </w:rPr>
        <w:t>e</w:t>
      </w:r>
      <w:r w:rsidRPr="00123197">
        <w:rPr>
          <w:rFonts w:ascii="Palatino Linotype" w:hAnsi="Palatino Linotype"/>
        </w:rPr>
        <w:t>l expediente electrónico formado con</w:t>
      </w:r>
      <w:r w:rsidR="00081CFC" w:rsidRPr="00123197">
        <w:rPr>
          <w:rFonts w:ascii="Palatino Linotype" w:hAnsi="Palatino Linotype"/>
        </w:rPr>
        <w:t xml:space="preserve"> motivo del recurso de revisión </w:t>
      </w:r>
      <w:r w:rsidR="00B05C22" w:rsidRPr="00123197">
        <w:rPr>
          <w:rFonts w:ascii="Palatino Linotype" w:hAnsi="Palatino Linotype"/>
          <w:b/>
        </w:rPr>
        <w:t>06798/INFOEM/IP/RR/2022</w:t>
      </w:r>
      <w:r w:rsidRPr="00123197">
        <w:rPr>
          <w:rFonts w:ascii="Palatino Linotype" w:hAnsi="Palatino Linotype"/>
        </w:rPr>
        <w:t>,</w:t>
      </w:r>
      <w:r w:rsidR="00B05C22" w:rsidRPr="00123197">
        <w:rPr>
          <w:rFonts w:ascii="Palatino Linotype" w:hAnsi="Palatino Linotype" w:cs="Arial"/>
          <w:b/>
          <w:bCs/>
        </w:rPr>
        <w:t xml:space="preserve"> </w:t>
      </w:r>
      <w:r w:rsidR="00B05C22" w:rsidRPr="00123197">
        <w:rPr>
          <w:rFonts w:ascii="Palatino Linotype" w:hAnsi="Palatino Linotype" w:cs="Arial"/>
          <w:bCs/>
          <w:lang w:val="es-MX"/>
        </w:rPr>
        <w:t xml:space="preserve">promovido por </w:t>
      </w:r>
      <w:r w:rsidR="009F0E15" w:rsidRPr="00123197">
        <w:rPr>
          <w:rFonts w:ascii="Palatino Linotype" w:hAnsi="Palatino Linotype" w:cs="Arial"/>
          <w:b/>
          <w:bCs/>
          <w:lang w:val="es-MX"/>
        </w:rPr>
        <w:t xml:space="preserve">XXX </w:t>
      </w:r>
      <w:proofErr w:type="spellStart"/>
      <w:r w:rsidR="009F0E15" w:rsidRPr="00123197">
        <w:rPr>
          <w:rFonts w:ascii="Palatino Linotype" w:hAnsi="Palatino Linotype" w:cs="Arial"/>
          <w:b/>
          <w:bCs/>
          <w:lang w:val="es-MX"/>
        </w:rPr>
        <w:t>XXX</w:t>
      </w:r>
      <w:proofErr w:type="spellEnd"/>
      <w:r w:rsidR="009F0E15" w:rsidRPr="00123197">
        <w:rPr>
          <w:rFonts w:ascii="Palatino Linotype" w:hAnsi="Palatino Linotype" w:cs="Arial"/>
          <w:b/>
          <w:bCs/>
          <w:lang w:val="es-MX"/>
        </w:rPr>
        <w:t xml:space="preserve"> </w:t>
      </w:r>
      <w:proofErr w:type="spellStart"/>
      <w:r w:rsidR="009F0E15" w:rsidRPr="00123197">
        <w:rPr>
          <w:rFonts w:ascii="Palatino Linotype" w:hAnsi="Palatino Linotype" w:cs="Arial"/>
          <w:b/>
          <w:bCs/>
          <w:lang w:val="es-MX"/>
        </w:rPr>
        <w:t>XXX</w:t>
      </w:r>
      <w:proofErr w:type="spellEnd"/>
      <w:r w:rsidR="00B05C22" w:rsidRPr="00123197">
        <w:rPr>
          <w:rFonts w:ascii="Palatino Linotype" w:hAnsi="Palatino Linotype" w:cs="Arial"/>
          <w:bCs/>
          <w:lang w:val="es-MX"/>
        </w:rPr>
        <w:t xml:space="preserve">, en su calidad de </w:t>
      </w:r>
      <w:r w:rsidR="00B05C22" w:rsidRPr="00123197">
        <w:rPr>
          <w:rFonts w:ascii="Palatino Linotype" w:hAnsi="Palatino Linotype" w:cs="Arial"/>
          <w:b/>
          <w:bCs/>
          <w:lang w:val="es-MX"/>
        </w:rPr>
        <w:t>RECURRENTE</w:t>
      </w:r>
      <w:r w:rsidRPr="00123197">
        <w:rPr>
          <w:rFonts w:ascii="Palatino Linotype" w:hAnsi="Palatino Linotype" w:cs="Arial"/>
        </w:rPr>
        <w:t>, en contra de las respuestas</w:t>
      </w:r>
      <w:r w:rsidR="00C22D79" w:rsidRPr="00123197">
        <w:rPr>
          <w:rFonts w:ascii="Palatino Linotype" w:hAnsi="Palatino Linotype" w:cs="Arial"/>
        </w:rPr>
        <w:t xml:space="preserve"> del</w:t>
      </w:r>
      <w:r w:rsidR="00C24F99" w:rsidRPr="00123197">
        <w:rPr>
          <w:rFonts w:ascii="Palatino Linotype" w:hAnsi="Palatino Linotype" w:cs="Arial"/>
        </w:rPr>
        <w:t xml:space="preserve"> </w:t>
      </w:r>
      <w:r w:rsidR="00B05C22" w:rsidRPr="00123197">
        <w:rPr>
          <w:rFonts w:ascii="Palatino Linotype" w:hAnsi="Palatino Linotype" w:cs="Arial"/>
          <w:b/>
        </w:rPr>
        <w:t>Ayuntamiento de Tezoyuca</w:t>
      </w:r>
      <w:r w:rsidRPr="00123197">
        <w:rPr>
          <w:rFonts w:ascii="Palatino Linotype" w:hAnsi="Palatino Linotype" w:cs="Arial"/>
          <w:b/>
        </w:rPr>
        <w:t>,</w:t>
      </w:r>
      <w:r w:rsidRPr="00123197">
        <w:rPr>
          <w:rFonts w:ascii="Palatino Linotype" w:hAnsi="Palatino Linotype"/>
          <w:b/>
        </w:rPr>
        <w:t xml:space="preserve"> </w:t>
      </w:r>
      <w:r w:rsidRPr="00123197">
        <w:rPr>
          <w:rFonts w:ascii="Palatino Linotype" w:hAnsi="Palatino Linotype"/>
        </w:rPr>
        <w:t>en lo sucesivo el</w:t>
      </w:r>
      <w:r w:rsidRPr="00123197">
        <w:rPr>
          <w:rFonts w:ascii="Palatino Linotype" w:hAnsi="Palatino Linotype"/>
          <w:b/>
        </w:rPr>
        <w:t xml:space="preserve"> SUJETO OBLIGADO</w:t>
      </w:r>
      <w:r w:rsidRPr="00123197">
        <w:rPr>
          <w:rFonts w:ascii="Palatino Linotype" w:hAnsi="Palatino Linotype"/>
        </w:rPr>
        <w:t>, se procede a dictar la presente resolución, con base en los siguientes:</w:t>
      </w:r>
    </w:p>
    <w:p w:rsidR="009F09BC" w:rsidRPr="00123197" w:rsidRDefault="009F09BC" w:rsidP="00C73D4B">
      <w:pPr>
        <w:pStyle w:val="Ttulo1"/>
        <w:spacing w:line="360" w:lineRule="auto"/>
        <w:jc w:val="center"/>
        <w:rPr>
          <w:rFonts w:ascii="Palatino Linotype" w:hAnsi="Palatino Linotype"/>
          <w:b/>
          <w:color w:val="000000" w:themeColor="text1"/>
          <w:sz w:val="24"/>
          <w:szCs w:val="24"/>
        </w:rPr>
      </w:pPr>
      <w:bookmarkStart w:id="0" w:name="_Toc461555884"/>
      <w:bookmarkStart w:id="1" w:name="_Toc466371847"/>
      <w:bookmarkStart w:id="2" w:name="_Toc83128575"/>
      <w:r w:rsidRPr="00123197">
        <w:rPr>
          <w:rFonts w:ascii="Palatino Linotype" w:hAnsi="Palatino Linotype"/>
          <w:b/>
          <w:color w:val="000000" w:themeColor="text1"/>
          <w:sz w:val="24"/>
          <w:szCs w:val="24"/>
        </w:rPr>
        <w:t>ANTECEDENTES</w:t>
      </w:r>
      <w:bookmarkEnd w:id="0"/>
      <w:bookmarkEnd w:id="1"/>
      <w:bookmarkEnd w:id="2"/>
    </w:p>
    <w:p w:rsidR="009F09BC" w:rsidRPr="00123197" w:rsidRDefault="009F09BC" w:rsidP="00C73D4B">
      <w:pPr>
        <w:pStyle w:val="Prrafodelista"/>
        <w:numPr>
          <w:ilvl w:val="0"/>
          <w:numId w:val="1"/>
        </w:numPr>
        <w:tabs>
          <w:tab w:val="left" w:pos="567"/>
        </w:tabs>
        <w:spacing w:before="240" w:after="240" w:line="360" w:lineRule="auto"/>
        <w:ind w:left="0" w:firstLine="0"/>
        <w:jc w:val="both"/>
        <w:rPr>
          <w:rFonts w:ascii="Palatino Linotype" w:eastAsia="Calibri" w:hAnsi="Palatino Linotype" w:cs="Arial"/>
          <w:lang w:val="es-ES"/>
        </w:rPr>
      </w:pPr>
      <w:r w:rsidRPr="00123197">
        <w:rPr>
          <w:rFonts w:ascii="Palatino Linotype" w:eastAsia="Calibri" w:hAnsi="Palatino Linotype" w:cs="Arial"/>
          <w:lang w:val="es-ES"/>
        </w:rPr>
        <w:t xml:space="preserve">El día </w:t>
      </w:r>
      <w:r w:rsidR="0021441A" w:rsidRPr="00123197">
        <w:rPr>
          <w:rFonts w:ascii="Palatino Linotype" w:eastAsia="Calibri" w:hAnsi="Palatino Linotype" w:cs="Arial"/>
          <w:lang w:val="es-ES"/>
        </w:rPr>
        <w:t>dieciocho</w:t>
      </w:r>
      <w:r w:rsidR="00C24F99" w:rsidRPr="00123197">
        <w:rPr>
          <w:rFonts w:ascii="Palatino Linotype" w:eastAsia="Calibri" w:hAnsi="Palatino Linotype" w:cs="Arial"/>
          <w:lang w:val="es-ES"/>
        </w:rPr>
        <w:t xml:space="preserve"> </w:t>
      </w:r>
      <w:r w:rsidRPr="00123197">
        <w:rPr>
          <w:rFonts w:ascii="Palatino Linotype" w:eastAsia="Calibri" w:hAnsi="Palatino Linotype" w:cs="Arial"/>
          <w:lang w:val="es-ES"/>
        </w:rPr>
        <w:t>(</w:t>
      </w:r>
      <w:r w:rsidR="0021441A" w:rsidRPr="00123197">
        <w:rPr>
          <w:rFonts w:ascii="Palatino Linotype" w:eastAsia="Calibri" w:hAnsi="Palatino Linotype" w:cs="Arial"/>
          <w:lang w:val="es-ES"/>
        </w:rPr>
        <w:t>18</w:t>
      </w:r>
      <w:r w:rsidRPr="00123197">
        <w:rPr>
          <w:rFonts w:ascii="Palatino Linotype" w:eastAsia="Calibri" w:hAnsi="Palatino Linotype" w:cs="Arial"/>
          <w:lang w:val="es-ES"/>
        </w:rPr>
        <w:t xml:space="preserve">) de </w:t>
      </w:r>
      <w:r w:rsidR="0021441A" w:rsidRPr="00123197">
        <w:rPr>
          <w:rFonts w:ascii="Palatino Linotype" w:eastAsia="Calibri" w:hAnsi="Palatino Linotype" w:cs="Arial"/>
          <w:lang w:val="es-ES"/>
        </w:rPr>
        <w:t>abril</w:t>
      </w:r>
      <w:r w:rsidR="00C22D79" w:rsidRPr="00123197">
        <w:rPr>
          <w:rFonts w:ascii="Palatino Linotype" w:eastAsia="Calibri" w:hAnsi="Palatino Linotype" w:cs="Arial"/>
          <w:lang w:val="es-ES"/>
        </w:rPr>
        <w:t xml:space="preserve"> de dos mil veintidós</w:t>
      </w:r>
      <w:r w:rsidRPr="00123197">
        <w:rPr>
          <w:rFonts w:ascii="Palatino Linotype" w:hAnsi="Palatino Linotype"/>
          <w:b/>
        </w:rPr>
        <w:t xml:space="preserve">, </w:t>
      </w:r>
      <w:r w:rsidRPr="00123197">
        <w:rPr>
          <w:rFonts w:ascii="Palatino Linotype" w:eastAsia="Calibri" w:hAnsi="Palatino Linotype" w:cs="Arial"/>
          <w:lang w:val="es-ES"/>
        </w:rPr>
        <w:t xml:space="preserve">se presentó ante el </w:t>
      </w:r>
      <w:r w:rsidRPr="00123197">
        <w:rPr>
          <w:rFonts w:ascii="Palatino Linotype" w:eastAsia="Calibri" w:hAnsi="Palatino Linotype" w:cs="Arial"/>
          <w:b/>
          <w:lang w:val="es-ES"/>
        </w:rPr>
        <w:t>SUJETO OBLIGADO</w:t>
      </w:r>
      <w:r w:rsidRPr="00123197">
        <w:rPr>
          <w:rFonts w:ascii="Palatino Linotype" w:eastAsia="Calibri" w:hAnsi="Palatino Linotype" w:cs="Arial"/>
        </w:rPr>
        <w:t xml:space="preserve"> vía </w:t>
      </w:r>
      <w:r w:rsidR="008A699B" w:rsidRPr="00123197">
        <w:rPr>
          <w:rFonts w:ascii="Palatino Linotype" w:eastAsia="Calibri" w:hAnsi="Palatino Linotype" w:cs="Arial"/>
          <w:lang w:val="es-ES"/>
        </w:rPr>
        <w:t>SAIMEX, la solicitud</w:t>
      </w:r>
      <w:r w:rsidRPr="00123197">
        <w:rPr>
          <w:rFonts w:ascii="Palatino Linotype" w:eastAsia="Calibri" w:hAnsi="Palatino Linotype" w:cs="Arial"/>
          <w:lang w:val="es-ES"/>
        </w:rPr>
        <w:t xml:space="preserve"> de información pública</w:t>
      </w:r>
      <w:r w:rsidR="008A699B" w:rsidRPr="00123197">
        <w:rPr>
          <w:rFonts w:ascii="Palatino Linotype" w:eastAsia="Calibri" w:hAnsi="Palatino Linotype" w:cs="Arial"/>
          <w:lang w:val="es-ES"/>
        </w:rPr>
        <w:t xml:space="preserve"> registrada</w:t>
      </w:r>
      <w:r w:rsidRPr="00123197">
        <w:rPr>
          <w:rFonts w:ascii="Palatino Linotype" w:eastAsia="Calibri" w:hAnsi="Palatino Linotype" w:cs="Arial"/>
          <w:lang w:val="es-ES"/>
        </w:rPr>
        <w:t xml:space="preserve"> con </w:t>
      </w:r>
      <w:r w:rsidR="008A699B" w:rsidRPr="00123197">
        <w:rPr>
          <w:rFonts w:ascii="Palatino Linotype" w:eastAsia="Calibri" w:hAnsi="Palatino Linotype" w:cs="Arial"/>
          <w:lang w:val="es-ES"/>
        </w:rPr>
        <w:t xml:space="preserve">el </w:t>
      </w:r>
      <w:r w:rsidRPr="00123197">
        <w:rPr>
          <w:rFonts w:ascii="Palatino Linotype" w:eastAsia="Calibri" w:hAnsi="Palatino Linotype" w:cs="Arial"/>
          <w:lang w:val="es-ES"/>
        </w:rPr>
        <w:t>número</w:t>
      </w:r>
      <w:r w:rsidR="0021441A" w:rsidRPr="00123197">
        <w:rPr>
          <w:rFonts w:ascii="Palatino Linotype" w:hAnsi="Palatino Linotype"/>
          <w:b/>
          <w:bCs/>
          <w:color w:val="000000" w:themeColor="text1"/>
        </w:rPr>
        <w:t xml:space="preserve"> 00078/TEZOYUCA/IP/2022</w:t>
      </w:r>
      <w:r w:rsidRPr="00123197">
        <w:rPr>
          <w:rFonts w:ascii="Palatino Linotype" w:hAnsi="Palatino Linotype"/>
          <w:b/>
          <w:bCs/>
          <w:color w:val="000000" w:themeColor="text1"/>
        </w:rPr>
        <w:t xml:space="preserve">; </w:t>
      </w:r>
      <w:r w:rsidRPr="00123197">
        <w:rPr>
          <w:rFonts w:ascii="Palatino Linotype" w:eastAsia="Calibri" w:hAnsi="Palatino Linotype" w:cs="Arial"/>
          <w:lang w:val="es-ES"/>
        </w:rPr>
        <w:t>mediante las cuales se solicitó la siguiente información:</w:t>
      </w:r>
    </w:p>
    <w:p w:rsidR="008A699B" w:rsidRPr="00123197" w:rsidRDefault="008A699B" w:rsidP="00C73D4B">
      <w:pPr>
        <w:pStyle w:val="Prrafodelista"/>
        <w:spacing w:before="240" w:after="240" w:line="360" w:lineRule="auto"/>
        <w:ind w:left="0"/>
        <w:jc w:val="both"/>
        <w:rPr>
          <w:rFonts w:ascii="Palatino Linotype" w:eastAsia="Calibri" w:hAnsi="Palatino Linotype" w:cs="Arial"/>
          <w:lang w:val="es-ES"/>
        </w:rPr>
      </w:pPr>
    </w:p>
    <w:p w:rsidR="009F09BC" w:rsidRPr="00123197" w:rsidRDefault="008A699B" w:rsidP="00C73D4B">
      <w:pPr>
        <w:pStyle w:val="Prrafodelista"/>
        <w:spacing w:line="360" w:lineRule="auto"/>
        <w:ind w:left="426" w:right="474"/>
        <w:jc w:val="both"/>
        <w:rPr>
          <w:rFonts w:ascii="Palatino Linotype" w:hAnsi="Palatino Linotype"/>
        </w:rPr>
      </w:pPr>
      <w:r w:rsidRPr="00123197">
        <w:rPr>
          <w:rFonts w:ascii="Palatino Linotype" w:hAnsi="Palatino Linotype"/>
          <w:i/>
        </w:rPr>
        <w:t>“</w:t>
      </w:r>
      <w:r w:rsidR="0021441A" w:rsidRPr="00123197">
        <w:rPr>
          <w:rFonts w:ascii="Palatino Linotype" w:hAnsi="Palatino Linotype"/>
          <w:i/>
        </w:rPr>
        <w:t>Solicito todas las actas de Cabildo de las Sesiones Ordinarias y Extraordinarias de los siguientes Meses, Enero, Febrero y Marzo.</w:t>
      </w:r>
      <w:r w:rsidRPr="00123197">
        <w:rPr>
          <w:rFonts w:ascii="Palatino Linotype" w:hAnsi="Palatino Linotype"/>
          <w:i/>
        </w:rPr>
        <w:t>”</w:t>
      </w:r>
      <w:r w:rsidR="00CC6603" w:rsidRPr="00123197">
        <w:rPr>
          <w:rFonts w:ascii="Palatino Linotype" w:hAnsi="Palatino Linotype"/>
          <w:i/>
        </w:rPr>
        <w:t xml:space="preserve"> </w:t>
      </w:r>
      <w:r w:rsidR="00CC6603" w:rsidRPr="00123197">
        <w:rPr>
          <w:rFonts w:ascii="Palatino Linotype" w:hAnsi="Palatino Linotype"/>
        </w:rPr>
        <w:t>(Sic)</w:t>
      </w:r>
      <w:r w:rsidR="00E515BF" w:rsidRPr="00123197">
        <w:rPr>
          <w:rFonts w:ascii="Palatino Linotype" w:hAnsi="Palatino Linotype"/>
        </w:rPr>
        <w:t>.</w:t>
      </w:r>
    </w:p>
    <w:p w:rsidR="008A699B" w:rsidRPr="00123197" w:rsidRDefault="00CC6603" w:rsidP="00C73D4B">
      <w:pPr>
        <w:pStyle w:val="Prrafodelista"/>
        <w:spacing w:line="360" w:lineRule="auto"/>
        <w:ind w:left="851" w:right="34"/>
        <w:jc w:val="both"/>
        <w:rPr>
          <w:rFonts w:ascii="Palatino Linotype" w:hAnsi="Palatino Linotype"/>
        </w:rPr>
      </w:pPr>
      <w:r w:rsidRPr="00123197">
        <w:rPr>
          <w:rFonts w:ascii="Palatino Linotype" w:hAnsi="Palatino Linotype"/>
        </w:rPr>
        <w:t xml:space="preserve"> </w:t>
      </w:r>
    </w:p>
    <w:p w:rsidR="009F09BC" w:rsidRPr="00123197" w:rsidRDefault="009F09BC" w:rsidP="00C73D4B">
      <w:pPr>
        <w:pStyle w:val="Prrafodelista"/>
        <w:numPr>
          <w:ilvl w:val="0"/>
          <w:numId w:val="2"/>
        </w:numPr>
        <w:spacing w:line="360" w:lineRule="auto"/>
        <w:ind w:left="851" w:right="34"/>
        <w:jc w:val="both"/>
        <w:rPr>
          <w:rFonts w:ascii="Palatino Linotype" w:hAnsi="Palatino Linotype"/>
        </w:rPr>
      </w:pPr>
      <w:r w:rsidRPr="00123197">
        <w:rPr>
          <w:rFonts w:ascii="Palatino Linotype" w:eastAsia="Times New Roman" w:hAnsi="Palatino Linotype" w:cs="Arial"/>
          <w:lang w:val="es-ES"/>
        </w:rPr>
        <w:t>Se eligió como modalidad de entrega de la información</w:t>
      </w:r>
      <w:r w:rsidRPr="00123197">
        <w:rPr>
          <w:rFonts w:ascii="Palatino Linotype" w:hAnsi="Palatino Linotype"/>
        </w:rPr>
        <w:t xml:space="preserve">: A través del </w:t>
      </w:r>
      <w:r w:rsidRPr="00123197">
        <w:rPr>
          <w:rFonts w:ascii="Palatino Linotype" w:hAnsi="Palatino Linotype"/>
          <w:b/>
        </w:rPr>
        <w:t>SAIMEX</w:t>
      </w:r>
    </w:p>
    <w:p w:rsidR="008A699B" w:rsidRPr="00123197" w:rsidRDefault="008A699B" w:rsidP="00C73D4B">
      <w:pPr>
        <w:pStyle w:val="Prrafodelista"/>
        <w:spacing w:line="360" w:lineRule="auto"/>
        <w:ind w:left="851" w:right="34"/>
        <w:jc w:val="both"/>
        <w:rPr>
          <w:rFonts w:ascii="Palatino Linotype" w:hAnsi="Palatino Linotype"/>
        </w:rPr>
      </w:pPr>
    </w:p>
    <w:p w:rsidR="004B2C98" w:rsidRPr="00123197" w:rsidRDefault="004B2C98" w:rsidP="00C73D4B">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123197">
        <w:rPr>
          <w:rFonts w:ascii="Palatino Linotype" w:eastAsia="MS Mincho" w:hAnsi="Palatino Linotype"/>
          <w:color w:val="000000" w:themeColor="text1"/>
        </w:rPr>
        <w:t xml:space="preserve">El </w:t>
      </w:r>
      <w:r w:rsidR="0021441A" w:rsidRPr="00123197">
        <w:rPr>
          <w:rFonts w:ascii="Palatino Linotype" w:eastAsia="MS Mincho" w:hAnsi="Palatino Linotype"/>
          <w:color w:val="000000" w:themeColor="text1"/>
        </w:rPr>
        <w:t>veintiséis (26) de abril</w:t>
      </w:r>
      <w:r w:rsidRPr="00123197">
        <w:rPr>
          <w:rFonts w:ascii="Palatino Linotype" w:eastAsia="MS Mincho" w:hAnsi="Palatino Linotype"/>
          <w:color w:val="000000" w:themeColor="text1"/>
        </w:rPr>
        <w:t xml:space="preserve"> de dos mil veintidós, el </w:t>
      </w:r>
      <w:r w:rsidRPr="00123197">
        <w:rPr>
          <w:rFonts w:ascii="Palatino Linotype" w:hAnsi="Palatino Linotype"/>
          <w:b/>
          <w:color w:val="000000" w:themeColor="text1"/>
        </w:rPr>
        <w:t>SUJETO OBLIGADO</w:t>
      </w:r>
      <w:r w:rsidRPr="00123197">
        <w:rPr>
          <w:rFonts w:ascii="Palatino Linotype" w:hAnsi="Palatino Linotype"/>
          <w:color w:val="000000" w:themeColor="text1"/>
        </w:rPr>
        <w:t xml:space="preserve"> dio respuestas a las solicitudes de información en los siguientes términos:</w:t>
      </w:r>
    </w:p>
    <w:p w:rsidR="004B2C98" w:rsidRPr="00123197" w:rsidRDefault="004B2C98" w:rsidP="00C73D4B">
      <w:pPr>
        <w:pStyle w:val="Prrafodelista"/>
        <w:tabs>
          <w:tab w:val="left" w:pos="0"/>
        </w:tabs>
        <w:spacing w:line="360" w:lineRule="auto"/>
        <w:ind w:left="567" w:right="900"/>
        <w:jc w:val="both"/>
        <w:rPr>
          <w:rFonts w:ascii="Palatino Linotype" w:hAnsi="Palatino Linotype" w:cs="Arial"/>
          <w:i/>
          <w:color w:val="000000" w:themeColor="text1"/>
        </w:rPr>
      </w:pPr>
    </w:p>
    <w:p w:rsidR="0021441A" w:rsidRPr="00123197" w:rsidRDefault="004B2C98" w:rsidP="00C73D4B">
      <w:pPr>
        <w:pStyle w:val="Prrafodelista"/>
        <w:tabs>
          <w:tab w:val="left" w:pos="0"/>
        </w:tabs>
        <w:spacing w:line="360" w:lineRule="auto"/>
        <w:ind w:left="567" w:right="900"/>
        <w:jc w:val="right"/>
        <w:rPr>
          <w:rFonts w:ascii="Palatino Linotype" w:hAnsi="Palatino Linotype" w:cs="Arial"/>
          <w:i/>
          <w:color w:val="000000" w:themeColor="text1"/>
        </w:rPr>
      </w:pPr>
      <w:r w:rsidRPr="00123197">
        <w:rPr>
          <w:rFonts w:ascii="Palatino Linotype" w:hAnsi="Palatino Linotype" w:cs="Arial"/>
          <w:i/>
          <w:color w:val="000000" w:themeColor="text1"/>
        </w:rPr>
        <w:t>“</w:t>
      </w:r>
      <w:r w:rsidR="0021441A" w:rsidRPr="00123197">
        <w:rPr>
          <w:rFonts w:ascii="Palatino Linotype" w:hAnsi="Palatino Linotype" w:cs="Arial"/>
          <w:i/>
          <w:color w:val="000000" w:themeColor="text1"/>
        </w:rPr>
        <w:t>Tezoyuca, México a 26 de Abril de 2022</w:t>
      </w:r>
    </w:p>
    <w:p w:rsidR="0021441A" w:rsidRPr="00123197" w:rsidRDefault="0021441A" w:rsidP="00C73D4B">
      <w:pPr>
        <w:pStyle w:val="Prrafodelista"/>
        <w:tabs>
          <w:tab w:val="left" w:pos="0"/>
        </w:tabs>
        <w:spacing w:line="360" w:lineRule="auto"/>
        <w:ind w:left="567" w:right="900"/>
        <w:jc w:val="right"/>
        <w:rPr>
          <w:rFonts w:ascii="Palatino Linotype" w:hAnsi="Palatino Linotype" w:cs="Arial"/>
          <w:i/>
          <w:color w:val="000000" w:themeColor="text1"/>
        </w:rPr>
      </w:pPr>
      <w:r w:rsidRPr="00123197">
        <w:rPr>
          <w:rFonts w:ascii="Palatino Linotype" w:hAnsi="Palatino Linotype" w:cs="Arial"/>
          <w:i/>
          <w:color w:val="000000" w:themeColor="text1"/>
        </w:rPr>
        <w:t>Nombre del solicitante: C. Solicitante</w:t>
      </w:r>
    </w:p>
    <w:p w:rsidR="0021441A" w:rsidRPr="00123197" w:rsidRDefault="0021441A" w:rsidP="00C73D4B">
      <w:pPr>
        <w:pStyle w:val="Prrafodelista"/>
        <w:tabs>
          <w:tab w:val="left" w:pos="0"/>
        </w:tabs>
        <w:spacing w:line="360" w:lineRule="auto"/>
        <w:ind w:left="567" w:right="900"/>
        <w:jc w:val="right"/>
        <w:rPr>
          <w:rFonts w:ascii="Palatino Linotype" w:hAnsi="Palatino Linotype" w:cs="Arial"/>
          <w:i/>
          <w:color w:val="000000" w:themeColor="text1"/>
        </w:rPr>
      </w:pPr>
      <w:r w:rsidRPr="00123197">
        <w:rPr>
          <w:rFonts w:ascii="Palatino Linotype" w:hAnsi="Palatino Linotype" w:cs="Arial"/>
          <w:i/>
          <w:color w:val="000000" w:themeColor="text1"/>
        </w:rPr>
        <w:t>Folio de la solicitud: 00078/TEZOYUCA/IP/2022</w:t>
      </w:r>
    </w:p>
    <w:p w:rsidR="0021441A" w:rsidRPr="00123197" w:rsidRDefault="0021441A" w:rsidP="00C73D4B">
      <w:pPr>
        <w:pStyle w:val="Prrafodelista"/>
        <w:tabs>
          <w:tab w:val="left" w:pos="0"/>
        </w:tabs>
        <w:spacing w:line="360" w:lineRule="auto"/>
        <w:ind w:left="567" w:right="900"/>
        <w:jc w:val="both"/>
        <w:rPr>
          <w:rFonts w:ascii="Palatino Linotype" w:hAnsi="Palatino Linotype" w:cs="Arial"/>
          <w:i/>
          <w:color w:val="000000" w:themeColor="text1"/>
        </w:rPr>
      </w:pPr>
    </w:p>
    <w:p w:rsidR="0021441A" w:rsidRPr="00123197" w:rsidRDefault="0021441A" w:rsidP="00C73D4B">
      <w:pPr>
        <w:pStyle w:val="Prrafodelista"/>
        <w:tabs>
          <w:tab w:val="left" w:pos="0"/>
        </w:tabs>
        <w:spacing w:line="360" w:lineRule="auto"/>
        <w:ind w:left="567" w:right="900"/>
        <w:jc w:val="both"/>
        <w:rPr>
          <w:rFonts w:ascii="Palatino Linotype" w:hAnsi="Palatino Linotype" w:cs="Arial"/>
          <w:i/>
          <w:color w:val="000000" w:themeColor="text1"/>
        </w:rPr>
      </w:pPr>
      <w:r w:rsidRPr="00123197">
        <w:rPr>
          <w:rFonts w:ascii="Palatino Linotype" w:hAnsi="Palatino Linotype" w:cs="Arial"/>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1441A" w:rsidRPr="00123197" w:rsidRDefault="0021441A" w:rsidP="00C73D4B">
      <w:pPr>
        <w:pStyle w:val="Prrafodelista"/>
        <w:tabs>
          <w:tab w:val="left" w:pos="0"/>
        </w:tabs>
        <w:spacing w:line="360" w:lineRule="auto"/>
        <w:ind w:left="567" w:right="900"/>
        <w:jc w:val="both"/>
        <w:rPr>
          <w:rFonts w:ascii="Palatino Linotype" w:hAnsi="Palatino Linotype" w:cs="Arial"/>
          <w:i/>
          <w:color w:val="000000" w:themeColor="text1"/>
        </w:rPr>
      </w:pPr>
    </w:p>
    <w:p w:rsidR="0021441A" w:rsidRPr="00123197" w:rsidRDefault="0021441A" w:rsidP="00C73D4B">
      <w:pPr>
        <w:pStyle w:val="Prrafodelista"/>
        <w:tabs>
          <w:tab w:val="left" w:pos="0"/>
        </w:tabs>
        <w:spacing w:line="360" w:lineRule="auto"/>
        <w:ind w:left="567" w:right="900"/>
        <w:jc w:val="both"/>
        <w:rPr>
          <w:rFonts w:ascii="Palatino Linotype" w:hAnsi="Palatino Linotype" w:cs="Arial"/>
          <w:i/>
          <w:color w:val="000000" w:themeColor="text1"/>
        </w:rPr>
      </w:pPr>
      <w:r w:rsidRPr="00123197">
        <w:rPr>
          <w:rFonts w:ascii="Palatino Linotype" w:hAnsi="Palatino Linotype" w:cs="Arial"/>
          <w:i/>
          <w:color w:val="000000" w:themeColor="text1"/>
        </w:rPr>
        <w:t>se anexa oficio de contestación No, TEZ/S.A./415/IV/2022, en PDF.</w:t>
      </w:r>
    </w:p>
    <w:p w:rsidR="0021441A" w:rsidRPr="00123197" w:rsidRDefault="0021441A" w:rsidP="00C73D4B">
      <w:pPr>
        <w:pStyle w:val="Prrafodelista"/>
        <w:tabs>
          <w:tab w:val="left" w:pos="0"/>
        </w:tabs>
        <w:spacing w:line="360" w:lineRule="auto"/>
        <w:ind w:left="567" w:right="900"/>
        <w:jc w:val="both"/>
        <w:rPr>
          <w:rFonts w:ascii="Palatino Linotype" w:hAnsi="Palatino Linotype" w:cs="Arial"/>
          <w:i/>
          <w:color w:val="000000" w:themeColor="text1"/>
        </w:rPr>
      </w:pPr>
    </w:p>
    <w:p w:rsidR="0021441A" w:rsidRPr="00123197" w:rsidRDefault="0021441A" w:rsidP="00C73D4B">
      <w:pPr>
        <w:pStyle w:val="Prrafodelista"/>
        <w:tabs>
          <w:tab w:val="left" w:pos="0"/>
        </w:tabs>
        <w:spacing w:line="360" w:lineRule="auto"/>
        <w:ind w:left="567" w:right="900"/>
        <w:jc w:val="both"/>
        <w:rPr>
          <w:rFonts w:ascii="Palatino Linotype" w:hAnsi="Palatino Linotype" w:cs="Arial"/>
          <w:i/>
          <w:color w:val="000000" w:themeColor="text1"/>
        </w:rPr>
      </w:pPr>
      <w:r w:rsidRPr="00123197">
        <w:rPr>
          <w:rFonts w:ascii="Palatino Linotype" w:hAnsi="Palatino Linotype" w:cs="Arial"/>
          <w:i/>
          <w:color w:val="000000" w:themeColor="text1"/>
        </w:rPr>
        <w:t>ATENTAMENTE</w:t>
      </w:r>
    </w:p>
    <w:p w:rsidR="004B2C98" w:rsidRPr="00123197" w:rsidRDefault="0021441A" w:rsidP="00C73D4B">
      <w:pPr>
        <w:pStyle w:val="Prrafodelista"/>
        <w:tabs>
          <w:tab w:val="left" w:pos="0"/>
        </w:tabs>
        <w:spacing w:line="360" w:lineRule="auto"/>
        <w:ind w:left="567" w:right="900"/>
        <w:jc w:val="both"/>
        <w:rPr>
          <w:rFonts w:ascii="Palatino Linotype" w:hAnsi="Palatino Linotype" w:cs="Arial"/>
          <w:i/>
          <w:color w:val="000000" w:themeColor="text1"/>
        </w:rPr>
      </w:pPr>
      <w:r w:rsidRPr="00123197">
        <w:rPr>
          <w:rFonts w:ascii="Palatino Linotype" w:hAnsi="Palatino Linotype" w:cs="Arial"/>
          <w:i/>
          <w:color w:val="000000" w:themeColor="text1"/>
        </w:rPr>
        <w:t>Lic. María Concepción Cruz Villafaña</w:t>
      </w:r>
      <w:r w:rsidR="004B2C98" w:rsidRPr="00123197">
        <w:rPr>
          <w:rFonts w:ascii="Palatino Linotype" w:hAnsi="Palatino Linotype" w:cs="Arial"/>
          <w:i/>
          <w:color w:val="000000" w:themeColor="text1"/>
        </w:rPr>
        <w:t>”</w:t>
      </w:r>
      <w:r w:rsidR="004B2C98" w:rsidRPr="00123197">
        <w:rPr>
          <w:rFonts w:ascii="Palatino Linotype" w:hAnsi="Palatino Linotype" w:cs="Arial"/>
          <w:color w:val="000000" w:themeColor="text1"/>
        </w:rPr>
        <w:t xml:space="preserve"> (Sic). </w:t>
      </w:r>
    </w:p>
    <w:p w:rsidR="00E532FE" w:rsidRPr="00123197" w:rsidRDefault="00E532FE" w:rsidP="00C73D4B">
      <w:pPr>
        <w:pStyle w:val="Prrafodelista"/>
        <w:tabs>
          <w:tab w:val="left" w:pos="0"/>
        </w:tabs>
        <w:spacing w:line="360" w:lineRule="auto"/>
        <w:ind w:left="1004" w:right="49"/>
        <w:jc w:val="both"/>
        <w:rPr>
          <w:rFonts w:ascii="Palatino Linotype" w:hAnsi="Palatino Linotype" w:cs="Arial"/>
          <w:b/>
          <w:color w:val="000000" w:themeColor="text1"/>
          <w:u w:val="single"/>
        </w:rPr>
      </w:pPr>
    </w:p>
    <w:p w:rsidR="009F09BC" w:rsidRPr="00123197" w:rsidRDefault="009F09BC" w:rsidP="00C73D4B">
      <w:pPr>
        <w:pStyle w:val="Prrafodelista"/>
        <w:numPr>
          <w:ilvl w:val="0"/>
          <w:numId w:val="1"/>
        </w:numPr>
        <w:tabs>
          <w:tab w:val="left" w:pos="0"/>
          <w:tab w:val="left" w:pos="567"/>
        </w:tabs>
        <w:spacing w:line="360" w:lineRule="auto"/>
        <w:ind w:left="0" w:right="49" w:firstLine="0"/>
        <w:jc w:val="both"/>
        <w:rPr>
          <w:rFonts w:ascii="Palatino Linotype" w:hAnsi="Palatino Linotype" w:cs="Arial"/>
          <w:i/>
          <w:color w:val="000000" w:themeColor="text1"/>
        </w:rPr>
      </w:pPr>
      <w:r w:rsidRPr="00123197">
        <w:rPr>
          <w:rFonts w:ascii="Palatino Linotype" w:eastAsia="Times New Roman" w:hAnsi="Palatino Linotype" w:cs="Arial"/>
          <w:color w:val="000000" w:themeColor="text1"/>
          <w:lang w:val="es-ES"/>
        </w:rPr>
        <w:t>E</w:t>
      </w:r>
      <w:r w:rsidR="0021441A" w:rsidRPr="00123197">
        <w:rPr>
          <w:rFonts w:ascii="Palatino Linotype" w:eastAsia="Times New Roman" w:hAnsi="Palatino Linotype" w:cs="Arial"/>
          <w:color w:val="000000" w:themeColor="text1"/>
          <w:lang w:val="es-ES"/>
        </w:rPr>
        <w:t>l veintinueve</w:t>
      </w:r>
      <w:r w:rsidR="002C4997" w:rsidRPr="00123197">
        <w:rPr>
          <w:rFonts w:ascii="Palatino Linotype" w:eastAsia="Times New Roman" w:hAnsi="Palatino Linotype" w:cs="Arial"/>
          <w:color w:val="000000" w:themeColor="text1"/>
          <w:lang w:val="es-ES"/>
        </w:rPr>
        <w:t xml:space="preserve"> </w:t>
      </w:r>
      <w:r w:rsidRPr="00123197">
        <w:rPr>
          <w:rFonts w:ascii="Palatino Linotype" w:eastAsia="Times New Roman" w:hAnsi="Palatino Linotype" w:cs="Arial"/>
          <w:color w:val="000000" w:themeColor="text1"/>
          <w:lang w:val="es-ES"/>
        </w:rPr>
        <w:t>(</w:t>
      </w:r>
      <w:r w:rsidR="0021441A" w:rsidRPr="00123197">
        <w:rPr>
          <w:rFonts w:ascii="Palatino Linotype" w:eastAsia="Times New Roman" w:hAnsi="Palatino Linotype" w:cs="Arial"/>
          <w:color w:val="000000" w:themeColor="text1"/>
          <w:lang w:val="es-ES"/>
        </w:rPr>
        <w:t>29</w:t>
      </w:r>
      <w:r w:rsidRPr="00123197">
        <w:rPr>
          <w:rFonts w:ascii="Palatino Linotype" w:eastAsia="Times New Roman" w:hAnsi="Palatino Linotype" w:cs="Arial"/>
          <w:color w:val="000000" w:themeColor="text1"/>
          <w:lang w:val="es-ES"/>
        </w:rPr>
        <w:t xml:space="preserve">) de </w:t>
      </w:r>
      <w:r w:rsidR="0021441A" w:rsidRPr="00123197">
        <w:rPr>
          <w:rFonts w:ascii="Palatino Linotype" w:eastAsia="Times New Roman" w:hAnsi="Palatino Linotype" w:cs="Arial"/>
          <w:color w:val="000000" w:themeColor="text1"/>
          <w:lang w:val="es-ES"/>
        </w:rPr>
        <w:t>abril</w:t>
      </w:r>
      <w:r w:rsidRPr="00123197">
        <w:rPr>
          <w:rFonts w:ascii="Palatino Linotype" w:eastAsia="Times New Roman" w:hAnsi="Palatino Linotype" w:cs="Arial"/>
          <w:color w:val="000000" w:themeColor="text1"/>
          <w:lang w:val="es-ES"/>
        </w:rPr>
        <w:t xml:space="preserve"> de </w:t>
      </w:r>
      <w:r w:rsidR="004A6EA2" w:rsidRPr="00123197">
        <w:rPr>
          <w:rFonts w:ascii="Palatino Linotype" w:eastAsia="Times New Roman" w:hAnsi="Palatino Linotype" w:cs="Arial"/>
          <w:color w:val="000000" w:themeColor="text1"/>
          <w:lang w:val="es-ES"/>
        </w:rPr>
        <w:t>dos mil veintidós</w:t>
      </w:r>
      <w:r w:rsidR="00FA5CDD" w:rsidRPr="00123197">
        <w:rPr>
          <w:rFonts w:ascii="Palatino Linotype" w:eastAsia="Times New Roman" w:hAnsi="Palatino Linotype" w:cs="Arial"/>
          <w:color w:val="000000" w:themeColor="text1"/>
          <w:lang w:val="es-ES"/>
        </w:rPr>
        <w:t>, el P</w:t>
      </w:r>
      <w:r w:rsidRPr="00123197">
        <w:rPr>
          <w:rFonts w:ascii="Palatino Linotype" w:eastAsia="Times New Roman" w:hAnsi="Palatino Linotype" w:cs="Arial"/>
          <w:color w:val="000000" w:themeColor="text1"/>
          <w:lang w:val="es-ES"/>
        </w:rPr>
        <w:t xml:space="preserve">articular interpuso </w:t>
      </w:r>
      <w:r w:rsidR="002C4997" w:rsidRPr="00123197">
        <w:rPr>
          <w:rFonts w:ascii="Palatino Linotype" w:eastAsia="Times New Roman" w:hAnsi="Palatino Linotype" w:cs="Arial"/>
          <w:color w:val="000000" w:themeColor="text1"/>
          <w:lang w:val="es-ES"/>
        </w:rPr>
        <w:t>e</w:t>
      </w:r>
      <w:r w:rsidRPr="00123197">
        <w:rPr>
          <w:rFonts w:ascii="Palatino Linotype" w:eastAsia="Times New Roman" w:hAnsi="Palatino Linotype" w:cs="Arial"/>
          <w:color w:val="000000" w:themeColor="text1"/>
          <w:lang w:val="es-ES"/>
        </w:rPr>
        <w:t>l recurso de revisión en contra de la respuesta, manifestando l</w:t>
      </w:r>
      <w:r w:rsidR="002C4997" w:rsidRPr="00123197">
        <w:rPr>
          <w:rFonts w:ascii="Palatino Linotype" w:eastAsia="Times New Roman" w:hAnsi="Palatino Linotype" w:cs="Arial"/>
          <w:color w:val="000000" w:themeColor="text1"/>
          <w:lang w:val="es-ES"/>
        </w:rPr>
        <w:t>a</w:t>
      </w:r>
      <w:r w:rsidRPr="00123197">
        <w:rPr>
          <w:rFonts w:ascii="Palatino Linotype" w:eastAsia="Times New Roman" w:hAnsi="Palatino Linotype" w:cs="Arial"/>
          <w:color w:val="000000" w:themeColor="text1"/>
          <w:lang w:val="es-ES"/>
        </w:rPr>
        <w:t xml:space="preserve">s </w:t>
      </w:r>
      <w:r w:rsidR="002C4997" w:rsidRPr="00123197">
        <w:rPr>
          <w:rFonts w:ascii="Palatino Linotype" w:eastAsia="Times New Roman" w:hAnsi="Palatino Linotype" w:cs="Arial"/>
          <w:color w:val="000000" w:themeColor="text1"/>
          <w:lang w:val="es-ES"/>
        </w:rPr>
        <w:t>siguientes</w:t>
      </w:r>
      <w:r w:rsidRPr="00123197">
        <w:rPr>
          <w:rFonts w:ascii="Palatino Linotype" w:eastAsia="Times New Roman" w:hAnsi="Palatino Linotype" w:cs="Arial"/>
          <w:color w:val="000000" w:themeColor="text1"/>
          <w:lang w:val="es-ES"/>
        </w:rPr>
        <w:t xml:space="preserve"> razones o motivos de inconformidad:</w:t>
      </w:r>
    </w:p>
    <w:p w:rsidR="009F09BC" w:rsidRPr="00123197" w:rsidRDefault="009F09BC" w:rsidP="00C73D4B">
      <w:pPr>
        <w:pStyle w:val="Prrafodelista"/>
        <w:tabs>
          <w:tab w:val="left" w:pos="0"/>
        </w:tabs>
        <w:spacing w:line="360" w:lineRule="auto"/>
        <w:ind w:left="0" w:right="49"/>
        <w:jc w:val="both"/>
        <w:rPr>
          <w:rFonts w:ascii="Palatino Linotype" w:hAnsi="Palatino Linotype" w:cs="Arial"/>
          <w:i/>
          <w:color w:val="000000" w:themeColor="text1"/>
        </w:rPr>
      </w:pPr>
    </w:p>
    <w:p w:rsidR="009F09BC" w:rsidRPr="00123197" w:rsidRDefault="009F09BC" w:rsidP="00C73D4B">
      <w:pPr>
        <w:pStyle w:val="Prrafodelista"/>
        <w:numPr>
          <w:ilvl w:val="0"/>
          <w:numId w:val="2"/>
        </w:numPr>
        <w:spacing w:line="360" w:lineRule="auto"/>
        <w:ind w:left="851" w:right="900" w:hanging="284"/>
        <w:jc w:val="both"/>
        <w:rPr>
          <w:rFonts w:ascii="Palatino Linotype" w:hAnsi="Palatino Linotype"/>
          <w:i/>
          <w:color w:val="000000" w:themeColor="text1"/>
        </w:rPr>
      </w:pPr>
      <w:bookmarkStart w:id="3" w:name="_Toc466982514"/>
      <w:bookmarkStart w:id="4" w:name="_Toc51854302"/>
      <w:bookmarkStart w:id="5" w:name="_Toc53584976"/>
      <w:bookmarkStart w:id="6" w:name="_Toc60925403"/>
      <w:bookmarkStart w:id="7" w:name="_Toc81364833"/>
      <w:bookmarkStart w:id="8" w:name="_Toc81390610"/>
      <w:bookmarkStart w:id="9" w:name="_Toc82611033"/>
      <w:bookmarkStart w:id="10" w:name="_Toc83128576"/>
      <w:bookmarkStart w:id="11" w:name="_Toc27589208"/>
      <w:bookmarkStart w:id="12" w:name="_Toc29395022"/>
      <w:bookmarkStart w:id="13" w:name="_Toc29481467"/>
      <w:bookmarkStart w:id="14" w:name="_Toc33113911"/>
      <w:bookmarkStart w:id="15" w:name="_Toc33643059"/>
      <w:bookmarkStart w:id="16" w:name="_Toc33724991"/>
      <w:bookmarkStart w:id="17" w:name="_Toc33726434"/>
      <w:bookmarkStart w:id="18" w:name="_Toc34157662"/>
      <w:bookmarkStart w:id="19" w:name="_Toc35003615"/>
      <w:bookmarkStart w:id="20" w:name="_Toc35535691"/>
      <w:bookmarkStart w:id="21" w:name="_Toc51262525"/>
      <w:bookmarkStart w:id="22" w:name="_Toc471908126"/>
      <w:bookmarkStart w:id="23" w:name="_Toc491791300"/>
      <w:bookmarkStart w:id="24" w:name="_Toc496726170"/>
      <w:bookmarkStart w:id="25" w:name="_Toc497242134"/>
      <w:bookmarkStart w:id="26" w:name="_Toc497292517"/>
      <w:bookmarkStart w:id="27" w:name="_Toc498503716"/>
      <w:bookmarkStart w:id="28" w:name="_Toc499568660"/>
      <w:bookmarkStart w:id="29" w:name="_Toc499568693"/>
      <w:bookmarkStart w:id="30" w:name="_Toc499665452"/>
      <w:bookmarkStart w:id="31" w:name="_Toc499729819"/>
      <w:bookmarkStart w:id="32" w:name="_Toc499835024"/>
      <w:bookmarkStart w:id="33" w:name="_Toc499835835"/>
      <w:bookmarkStart w:id="34" w:name="_Toc499835858"/>
      <w:bookmarkStart w:id="35" w:name="_Toc500264537"/>
      <w:bookmarkStart w:id="36" w:name="_Toc503290275"/>
      <w:bookmarkStart w:id="37" w:name="_Toc524009637"/>
      <w:bookmarkStart w:id="38" w:name="_Toc524009672"/>
      <w:bookmarkStart w:id="39" w:name="_Toc524602720"/>
      <w:bookmarkStart w:id="40" w:name="_Toc526365279"/>
      <w:bookmarkStart w:id="41" w:name="_Toc526365337"/>
      <w:bookmarkStart w:id="42" w:name="_Toc530067664"/>
      <w:bookmarkStart w:id="43" w:name="_Toc530067692"/>
      <w:bookmarkStart w:id="44" w:name="_Toc530067939"/>
      <w:bookmarkStart w:id="45" w:name="_Toc530590420"/>
      <w:bookmarkStart w:id="46" w:name="_Toc530593951"/>
      <w:bookmarkStart w:id="47" w:name="_Toc531190248"/>
      <w:bookmarkStart w:id="48" w:name="_Toc531190295"/>
      <w:bookmarkStart w:id="49" w:name="_Toc534908208"/>
      <w:bookmarkStart w:id="50" w:name="_Toc534909344"/>
      <w:bookmarkStart w:id="51" w:name="_Toc535353305"/>
      <w:bookmarkStart w:id="52" w:name="_Toc535353791"/>
      <w:bookmarkStart w:id="53" w:name="_Toc18436351"/>
      <w:bookmarkStart w:id="54" w:name="_Toc18436385"/>
      <w:bookmarkStart w:id="55" w:name="_Toc18513477"/>
      <w:bookmarkStart w:id="56" w:name="_Toc18513503"/>
      <w:bookmarkStart w:id="57" w:name="_Toc18606801"/>
      <w:bookmarkStart w:id="58" w:name="_Toc19723536"/>
      <w:bookmarkStart w:id="59" w:name="_Toc20322795"/>
      <w:bookmarkStart w:id="60" w:name="_Toc20323052"/>
      <w:bookmarkStart w:id="61" w:name="_Toc20323181"/>
      <w:bookmarkStart w:id="62" w:name="_Toc20420591"/>
      <w:bookmarkStart w:id="63" w:name="_Toc20421579"/>
      <w:bookmarkStart w:id="64" w:name="_Toc21027316"/>
      <w:bookmarkStart w:id="65" w:name="_Toc22660652"/>
      <w:bookmarkStart w:id="66" w:name="_Toc22811623"/>
      <w:bookmarkStart w:id="67" w:name="_Toc26436015"/>
      <w:r w:rsidRPr="00123197">
        <w:rPr>
          <w:rStyle w:val="Ttulo2Car"/>
          <w:rFonts w:ascii="Palatino Linotype" w:hAnsi="Palatino Linotype"/>
          <w:b/>
          <w:color w:val="auto"/>
          <w:sz w:val="24"/>
          <w:szCs w:val="24"/>
        </w:rPr>
        <w:t>Acto impugnado</w:t>
      </w:r>
      <w:bookmarkEnd w:id="3"/>
      <w:r w:rsidRPr="00123197">
        <w:rPr>
          <w:rStyle w:val="Ttulo2Car"/>
          <w:rFonts w:ascii="Palatino Linotype" w:hAnsi="Palatino Linotype"/>
          <w:b/>
          <w:color w:val="000000" w:themeColor="text1"/>
          <w:sz w:val="24"/>
          <w:szCs w:val="24"/>
        </w:rPr>
        <w:t xml:space="preserve">: </w:t>
      </w:r>
      <w:r w:rsidRPr="00123197">
        <w:rPr>
          <w:rStyle w:val="Ttulo2Car"/>
          <w:rFonts w:ascii="Palatino Linotype" w:hAnsi="Palatino Linotype"/>
          <w:i/>
          <w:color w:val="000000" w:themeColor="text1"/>
          <w:sz w:val="24"/>
          <w:szCs w:val="24"/>
        </w:rPr>
        <w:t>“</w:t>
      </w:r>
      <w:bookmarkEnd w:id="4"/>
      <w:bookmarkEnd w:id="5"/>
      <w:bookmarkEnd w:id="6"/>
      <w:bookmarkEnd w:id="7"/>
      <w:bookmarkEnd w:id="8"/>
      <w:bookmarkEnd w:id="9"/>
      <w:bookmarkEnd w:id="10"/>
      <w:r w:rsidR="0021441A" w:rsidRPr="00123197">
        <w:rPr>
          <w:rStyle w:val="Ttulo2Car"/>
          <w:rFonts w:ascii="Palatino Linotype" w:hAnsi="Palatino Linotype"/>
          <w:i/>
          <w:color w:val="000000" w:themeColor="text1"/>
          <w:sz w:val="24"/>
          <w:szCs w:val="24"/>
        </w:rPr>
        <w:t>No me están entregando la información solicitada como fue solicitada en esta plataforma de SAIMEX</w:t>
      </w:r>
      <w:r w:rsidRPr="00123197">
        <w:rPr>
          <w:rFonts w:ascii="Palatino Linotype" w:hAnsi="Palatino Linotype"/>
        </w:rPr>
        <w:t>”</w:t>
      </w:r>
      <w:bookmarkStart w:id="68" w:name="_Toc466982515"/>
      <w:bookmarkStart w:id="69" w:name="_Toc27589209"/>
      <w:bookmarkStart w:id="70" w:name="_Toc29395023"/>
      <w:bookmarkStart w:id="71" w:name="_Toc29481468"/>
      <w:bookmarkStart w:id="72" w:name="_Toc33113912"/>
      <w:bookmarkStart w:id="73" w:name="_Toc33643060"/>
      <w:bookmarkStart w:id="74" w:name="_Toc33724992"/>
      <w:bookmarkStart w:id="75" w:name="_Toc33726435"/>
      <w:bookmarkStart w:id="76" w:name="_Toc34157663"/>
      <w:bookmarkStart w:id="77" w:name="_Toc35003616"/>
      <w:bookmarkStart w:id="78" w:name="_Toc35535692"/>
      <w:bookmarkStart w:id="79" w:name="_Toc51262526"/>
      <w:bookmarkStart w:id="80" w:name="_Toc471908127"/>
      <w:bookmarkStart w:id="81" w:name="_Toc491791301"/>
      <w:bookmarkStart w:id="82" w:name="_Toc496726171"/>
      <w:bookmarkStart w:id="83" w:name="_Toc497242135"/>
      <w:bookmarkStart w:id="84" w:name="_Toc497292518"/>
      <w:bookmarkStart w:id="85" w:name="_Toc498503717"/>
      <w:bookmarkStart w:id="86" w:name="_Toc499568661"/>
      <w:bookmarkStart w:id="87" w:name="_Toc499568694"/>
      <w:bookmarkStart w:id="88" w:name="_Toc499665453"/>
      <w:bookmarkStart w:id="89" w:name="_Toc499729820"/>
      <w:bookmarkStart w:id="90" w:name="_Toc499835025"/>
      <w:bookmarkStart w:id="91" w:name="_Toc499835836"/>
      <w:bookmarkStart w:id="92" w:name="_Toc499835859"/>
      <w:bookmarkStart w:id="93" w:name="_Toc500264538"/>
      <w:bookmarkStart w:id="94" w:name="_Toc503290276"/>
      <w:bookmarkStart w:id="95" w:name="_Toc524009638"/>
      <w:bookmarkStart w:id="96" w:name="_Toc524009673"/>
      <w:bookmarkStart w:id="97" w:name="_Toc524602721"/>
      <w:bookmarkStart w:id="98" w:name="_Toc526365280"/>
      <w:bookmarkStart w:id="99" w:name="_Toc526365338"/>
      <w:bookmarkStart w:id="100" w:name="_Toc530067665"/>
      <w:bookmarkStart w:id="101" w:name="_Toc530067693"/>
      <w:bookmarkStart w:id="102" w:name="_Toc530067940"/>
      <w:bookmarkStart w:id="103" w:name="_Toc530590421"/>
      <w:bookmarkStart w:id="104" w:name="_Toc530593952"/>
      <w:bookmarkStart w:id="105" w:name="_Toc531190249"/>
      <w:bookmarkStart w:id="106" w:name="_Toc531190296"/>
      <w:bookmarkStart w:id="107" w:name="_Toc534908209"/>
      <w:bookmarkStart w:id="108" w:name="_Toc534909345"/>
      <w:bookmarkStart w:id="109" w:name="_Toc535353306"/>
      <w:bookmarkStart w:id="110" w:name="_Toc535353792"/>
      <w:bookmarkStart w:id="111" w:name="_Toc18436352"/>
      <w:bookmarkStart w:id="112" w:name="_Toc18436386"/>
      <w:bookmarkStart w:id="113" w:name="_Toc18513478"/>
      <w:bookmarkStart w:id="114" w:name="_Toc18513504"/>
      <w:bookmarkStart w:id="115" w:name="_Toc18606802"/>
      <w:bookmarkStart w:id="116" w:name="_Toc19723537"/>
      <w:bookmarkStart w:id="117" w:name="_Toc20322796"/>
      <w:bookmarkStart w:id="118" w:name="_Toc20323053"/>
      <w:bookmarkStart w:id="119" w:name="_Toc20323182"/>
      <w:bookmarkStart w:id="120" w:name="_Toc20420592"/>
      <w:bookmarkStart w:id="121" w:name="_Toc20421580"/>
      <w:bookmarkStart w:id="122" w:name="_Toc21027317"/>
      <w:bookmarkStart w:id="123" w:name="_Toc22660653"/>
      <w:bookmarkStart w:id="124" w:name="_Toc22811624"/>
      <w:bookmarkStart w:id="125" w:name="_Toc26436016"/>
      <w:bookmarkStart w:id="126" w:name="_Toc51854303"/>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00CC6603" w:rsidRPr="00123197">
        <w:rPr>
          <w:rFonts w:ascii="Palatino Linotype" w:hAnsi="Palatino Linotype"/>
        </w:rPr>
        <w:t xml:space="preserve"> (Sic)</w:t>
      </w:r>
      <w:r w:rsidR="00E515BF" w:rsidRPr="00123197">
        <w:rPr>
          <w:rFonts w:ascii="Palatino Linotype" w:hAnsi="Palatino Linotype"/>
        </w:rPr>
        <w:t>.</w:t>
      </w:r>
    </w:p>
    <w:p w:rsidR="009F09BC" w:rsidRPr="00123197" w:rsidRDefault="009F09BC" w:rsidP="00C73D4B">
      <w:pPr>
        <w:pStyle w:val="Prrafodelista"/>
        <w:spacing w:line="360" w:lineRule="auto"/>
        <w:ind w:left="851" w:right="900" w:hanging="284"/>
        <w:jc w:val="both"/>
        <w:rPr>
          <w:rFonts w:ascii="Palatino Linotype" w:hAnsi="Palatino Linotype"/>
          <w:i/>
          <w:color w:val="000000" w:themeColor="text1"/>
        </w:rPr>
      </w:pPr>
    </w:p>
    <w:p w:rsidR="009F09BC" w:rsidRPr="00123197" w:rsidRDefault="009F09BC" w:rsidP="00C73D4B">
      <w:pPr>
        <w:pStyle w:val="Prrafodelista"/>
        <w:numPr>
          <w:ilvl w:val="0"/>
          <w:numId w:val="2"/>
        </w:numPr>
        <w:spacing w:line="360" w:lineRule="auto"/>
        <w:ind w:left="851" w:right="900" w:hanging="284"/>
        <w:jc w:val="both"/>
        <w:rPr>
          <w:rFonts w:ascii="Palatino Linotype" w:hAnsi="Palatino Linotype"/>
          <w:i/>
          <w:color w:val="000000" w:themeColor="text1"/>
        </w:rPr>
      </w:pPr>
      <w:bookmarkStart w:id="127" w:name="_Toc53584977"/>
      <w:bookmarkStart w:id="128" w:name="_Toc60925404"/>
      <w:bookmarkStart w:id="129" w:name="_Toc81364834"/>
      <w:bookmarkStart w:id="130" w:name="_Toc81390611"/>
      <w:bookmarkStart w:id="131" w:name="_Toc82611034"/>
      <w:bookmarkStart w:id="132" w:name="_Toc83128577"/>
      <w:r w:rsidRPr="00123197">
        <w:rPr>
          <w:rStyle w:val="Ttulo2Car"/>
          <w:rFonts w:ascii="Palatino Linotype" w:hAnsi="Palatino Linotype"/>
          <w:b/>
          <w:color w:val="000000" w:themeColor="text1"/>
          <w:sz w:val="24"/>
          <w:szCs w:val="24"/>
        </w:rPr>
        <w:t>Razones o Motivos de inconformidad:</w:t>
      </w:r>
      <w:bookmarkEnd w:id="68"/>
      <w:bookmarkEnd w:id="127"/>
      <w:bookmarkEnd w:id="128"/>
      <w:bookmarkEnd w:id="129"/>
      <w:bookmarkEnd w:id="130"/>
      <w:bookmarkEnd w:id="131"/>
      <w:bookmarkEnd w:id="132"/>
      <w:r w:rsidRPr="00123197">
        <w:rPr>
          <w:rFonts w:ascii="Palatino Linotype" w:hAnsi="Palatino Linotype"/>
          <w:b/>
          <w:color w:val="000000" w:themeColor="text1"/>
        </w:rPr>
        <w:t xml:space="preserve"> </w:t>
      </w:r>
      <w:r w:rsidRPr="00123197">
        <w:rPr>
          <w:rFonts w:ascii="Palatino Linotype" w:hAnsi="Palatino Linotype"/>
          <w:i/>
          <w:color w:val="000000" w:themeColor="text1"/>
        </w:rPr>
        <w:t>“</w:t>
      </w:r>
      <w:r w:rsidR="0021441A" w:rsidRPr="00123197">
        <w:rPr>
          <w:rFonts w:ascii="Palatino Linotype" w:hAnsi="Palatino Linotype"/>
          <w:i/>
          <w:color w:val="000000" w:themeColor="text1"/>
        </w:rPr>
        <w:t>No me están entregando la información solicitada como fue solicitada en esta plataforma de SAIMEX</w:t>
      </w:r>
      <w:r w:rsidRPr="00123197">
        <w:rPr>
          <w:rFonts w:ascii="Palatino Linotype" w:hAnsi="Palatino Linotype"/>
          <w:i/>
          <w:color w:val="000000" w:themeColor="text1"/>
        </w:rPr>
        <w:t>”</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rsidR="00CC6603" w:rsidRPr="00123197">
        <w:rPr>
          <w:rFonts w:ascii="Palatino Linotype" w:hAnsi="Palatino Linotype"/>
          <w:i/>
          <w:color w:val="000000" w:themeColor="text1"/>
        </w:rPr>
        <w:t xml:space="preserve"> </w:t>
      </w:r>
      <w:r w:rsidR="00CC6603" w:rsidRPr="00123197">
        <w:rPr>
          <w:rFonts w:ascii="Palatino Linotype" w:hAnsi="Palatino Linotype"/>
          <w:color w:val="000000" w:themeColor="text1"/>
        </w:rPr>
        <w:t>(Sic)</w:t>
      </w:r>
      <w:r w:rsidR="00E515BF" w:rsidRPr="00123197">
        <w:rPr>
          <w:rFonts w:ascii="Palatino Linotype" w:hAnsi="Palatino Linotype"/>
          <w:color w:val="000000" w:themeColor="text1"/>
        </w:rPr>
        <w:t>.</w:t>
      </w:r>
    </w:p>
    <w:p w:rsidR="009F09BC" w:rsidRPr="00123197" w:rsidRDefault="009F09BC" w:rsidP="00C73D4B">
      <w:pPr>
        <w:pStyle w:val="Prrafodelista"/>
        <w:spacing w:line="360" w:lineRule="auto"/>
        <w:ind w:left="1004"/>
        <w:jc w:val="both"/>
        <w:rPr>
          <w:rFonts w:ascii="Palatino Linotype" w:hAnsi="Palatino Linotype"/>
          <w:i/>
          <w:color w:val="000000" w:themeColor="text1"/>
        </w:rPr>
      </w:pPr>
    </w:p>
    <w:p w:rsidR="009F09BC" w:rsidRPr="00123197" w:rsidRDefault="00CC5B2F" w:rsidP="00C73D4B">
      <w:pPr>
        <w:pStyle w:val="Prrafodelista"/>
        <w:numPr>
          <w:ilvl w:val="0"/>
          <w:numId w:val="1"/>
        </w:numPr>
        <w:tabs>
          <w:tab w:val="left" w:pos="567"/>
        </w:tabs>
        <w:spacing w:before="240" w:after="240" w:line="360" w:lineRule="auto"/>
        <w:ind w:left="0" w:firstLine="0"/>
        <w:jc w:val="both"/>
        <w:rPr>
          <w:rFonts w:ascii="Palatino Linotype" w:hAnsi="Palatino Linotype"/>
          <w:i/>
        </w:rPr>
      </w:pPr>
      <w:r w:rsidRPr="00123197">
        <w:rPr>
          <w:rFonts w:ascii="Palatino Linotype" w:eastAsia="Calibri" w:hAnsi="Palatino Linotype" w:cs="Arial"/>
          <w:lang w:val="es-ES"/>
        </w:rPr>
        <w:t>La Comisionada</w:t>
      </w:r>
      <w:r w:rsidR="009F09BC" w:rsidRPr="00123197">
        <w:rPr>
          <w:rFonts w:ascii="Palatino Linotype" w:eastAsia="Calibri" w:hAnsi="Palatino Linotype" w:cs="Arial"/>
          <w:lang w:val="es-ES"/>
        </w:rPr>
        <w:t xml:space="preserve"> Ponente con fundamento en lo dispuesto por el artículo 185 fracción II de la ley de la materia, a través del acuerdo de admisión de fecha </w:t>
      </w:r>
      <w:r w:rsidR="0021441A" w:rsidRPr="00123197">
        <w:rPr>
          <w:rFonts w:ascii="Palatino Linotype" w:eastAsia="Calibri" w:hAnsi="Palatino Linotype" w:cs="Arial"/>
          <w:lang w:val="es-ES"/>
        </w:rPr>
        <w:t>seis</w:t>
      </w:r>
      <w:r w:rsidR="00E532FE" w:rsidRPr="00123197">
        <w:rPr>
          <w:rFonts w:ascii="Palatino Linotype" w:eastAsia="Calibri" w:hAnsi="Palatino Linotype" w:cs="Arial"/>
          <w:lang w:val="es-ES"/>
        </w:rPr>
        <w:t xml:space="preserve"> </w:t>
      </w:r>
      <w:r w:rsidR="009F09BC" w:rsidRPr="00123197">
        <w:rPr>
          <w:rFonts w:ascii="Palatino Linotype" w:eastAsia="Calibri" w:hAnsi="Palatino Linotype" w:cs="Arial"/>
          <w:lang w:val="es-ES"/>
        </w:rPr>
        <w:t>(</w:t>
      </w:r>
      <w:r w:rsidR="0021441A" w:rsidRPr="00123197">
        <w:rPr>
          <w:rFonts w:ascii="Palatino Linotype" w:eastAsia="Calibri" w:hAnsi="Palatino Linotype" w:cs="Arial"/>
          <w:lang w:val="es-ES"/>
        </w:rPr>
        <w:t>06) de mayo</w:t>
      </w:r>
      <w:r w:rsidR="00E532FE" w:rsidRPr="00123197">
        <w:rPr>
          <w:rFonts w:ascii="Palatino Linotype" w:eastAsia="Calibri" w:hAnsi="Palatino Linotype" w:cs="Arial"/>
          <w:lang w:val="es-ES"/>
        </w:rPr>
        <w:t xml:space="preserve"> </w:t>
      </w:r>
      <w:r w:rsidR="004A6EA2" w:rsidRPr="00123197">
        <w:rPr>
          <w:rFonts w:ascii="Palatino Linotype" w:eastAsia="Calibri" w:hAnsi="Palatino Linotype" w:cs="Arial"/>
          <w:lang w:val="es-ES"/>
        </w:rPr>
        <w:t>del año dos mil veintidós</w:t>
      </w:r>
      <w:r w:rsidR="009F09BC" w:rsidRPr="00123197">
        <w:rPr>
          <w:rFonts w:ascii="Palatino Linotype" w:eastAsia="Calibri" w:hAnsi="Palatino Linotype" w:cs="Arial"/>
          <w:lang w:val="es-ES"/>
        </w:rPr>
        <w:t xml:space="preserve">, puso a disposición de las partes el expediente electrónico </w:t>
      </w:r>
      <w:r w:rsidR="009F09BC" w:rsidRPr="00123197">
        <w:rPr>
          <w:rFonts w:ascii="Palatino Linotype" w:eastAsia="Calibri" w:hAnsi="Palatino Linotype" w:cs="Arial"/>
        </w:rPr>
        <w:t xml:space="preserve">vía </w:t>
      </w:r>
      <w:r w:rsidR="009F09BC" w:rsidRPr="00123197">
        <w:rPr>
          <w:rFonts w:ascii="Palatino Linotype" w:eastAsia="Calibri" w:hAnsi="Palatino Linotype" w:cs="Arial"/>
          <w:b/>
          <w:lang w:val="es-ES"/>
        </w:rPr>
        <w:t xml:space="preserve">SAIMEX </w:t>
      </w:r>
      <w:r w:rsidR="009F09BC" w:rsidRPr="00123197">
        <w:rPr>
          <w:rFonts w:ascii="Palatino Linotype" w:eastAsia="Calibri" w:hAnsi="Palatino Linotype" w:cs="Arial"/>
          <w:lang w:val="es-ES"/>
        </w:rPr>
        <w:t xml:space="preserve">a efecto de que en un plazo máximo de siete días manifestaran lo que a su derecho conviniera, ofrecieran pruebas y alegatos según corresponda a los casos concretos, y el </w:t>
      </w:r>
      <w:r w:rsidR="009F09BC" w:rsidRPr="00123197">
        <w:rPr>
          <w:rFonts w:ascii="Palatino Linotype" w:eastAsia="Calibri" w:hAnsi="Palatino Linotype" w:cs="Arial"/>
          <w:b/>
          <w:lang w:val="es-ES"/>
        </w:rPr>
        <w:t>SUJETO OBLIGADO</w:t>
      </w:r>
      <w:r w:rsidR="009F09BC" w:rsidRPr="00123197">
        <w:rPr>
          <w:rFonts w:ascii="Palatino Linotype" w:eastAsia="Calibri" w:hAnsi="Palatino Linotype" w:cs="Arial"/>
          <w:lang w:val="es-ES"/>
        </w:rPr>
        <w:t xml:space="preserve"> presentará el</w:t>
      </w:r>
      <w:r w:rsidR="00E532FE" w:rsidRPr="00123197">
        <w:rPr>
          <w:rFonts w:ascii="Palatino Linotype" w:eastAsia="Calibri" w:hAnsi="Palatino Linotype" w:cs="Arial"/>
          <w:lang w:val="es-ES"/>
        </w:rPr>
        <w:t xml:space="preserve"> Informe Justificado procedente. </w:t>
      </w:r>
    </w:p>
    <w:p w:rsidR="009F09BC" w:rsidRPr="00123197" w:rsidRDefault="009F09BC" w:rsidP="00C73D4B">
      <w:pPr>
        <w:pStyle w:val="Prrafodelista"/>
        <w:spacing w:before="240" w:after="240" w:line="360" w:lineRule="auto"/>
        <w:ind w:left="0"/>
        <w:jc w:val="both"/>
        <w:rPr>
          <w:rFonts w:ascii="Palatino Linotype" w:hAnsi="Palatino Linotype"/>
        </w:rPr>
      </w:pPr>
    </w:p>
    <w:p w:rsidR="004A6EA2" w:rsidRPr="00123197" w:rsidRDefault="009F09BC" w:rsidP="00C73D4B">
      <w:pPr>
        <w:pStyle w:val="Prrafodelista"/>
        <w:numPr>
          <w:ilvl w:val="0"/>
          <w:numId w:val="1"/>
        </w:numPr>
        <w:spacing w:before="240" w:after="240" w:line="360" w:lineRule="auto"/>
        <w:ind w:left="0" w:firstLine="0"/>
        <w:jc w:val="both"/>
        <w:rPr>
          <w:rFonts w:ascii="Palatino Linotype" w:hAnsi="Palatino Linotype"/>
        </w:rPr>
      </w:pPr>
      <w:r w:rsidRPr="00123197">
        <w:rPr>
          <w:rFonts w:ascii="Palatino Linotype" w:hAnsi="Palatino Linotype"/>
          <w:color w:val="000000"/>
        </w:rPr>
        <w:t xml:space="preserve">El </w:t>
      </w:r>
      <w:r w:rsidRPr="00123197">
        <w:rPr>
          <w:rFonts w:ascii="Palatino Linotype" w:hAnsi="Palatino Linotype"/>
          <w:b/>
          <w:color w:val="000000"/>
        </w:rPr>
        <w:t>SUJETO OBLIGADO</w:t>
      </w:r>
      <w:r w:rsidR="007A6A1A" w:rsidRPr="00123197">
        <w:rPr>
          <w:rFonts w:ascii="Palatino Linotype" w:hAnsi="Palatino Linotype"/>
          <w:color w:val="000000"/>
        </w:rPr>
        <w:t xml:space="preserve"> </w:t>
      </w:r>
      <w:r w:rsidR="004A6EA2" w:rsidRPr="00123197">
        <w:rPr>
          <w:rFonts w:ascii="Palatino Linotype" w:hAnsi="Palatino Linotype"/>
          <w:color w:val="000000"/>
        </w:rPr>
        <w:t xml:space="preserve"> </w:t>
      </w:r>
      <w:r w:rsidR="004A6EA2" w:rsidRPr="00123197">
        <w:rPr>
          <w:rFonts w:ascii="Palatino Linotype" w:eastAsia="Calibri" w:hAnsi="Palatino Linotype"/>
          <w:color w:val="000000" w:themeColor="text1"/>
        </w:rPr>
        <w:t>presentó su Informe Justificado a través del archivo electrónico cuyo contenido se describe a continuación:</w:t>
      </w:r>
    </w:p>
    <w:p w:rsidR="004A6EA2" w:rsidRPr="00123197" w:rsidRDefault="004A6EA2" w:rsidP="00C73D4B">
      <w:pPr>
        <w:pStyle w:val="Prrafodelista"/>
        <w:spacing w:line="360" w:lineRule="auto"/>
        <w:rPr>
          <w:rFonts w:ascii="Palatino Linotype" w:hAnsi="Palatino Linotype"/>
        </w:rPr>
      </w:pPr>
    </w:p>
    <w:p w:rsidR="00821662" w:rsidRPr="00123197" w:rsidRDefault="008E24E7" w:rsidP="00C73D4B">
      <w:pPr>
        <w:pStyle w:val="Prrafodelista"/>
        <w:numPr>
          <w:ilvl w:val="0"/>
          <w:numId w:val="5"/>
        </w:numPr>
        <w:spacing w:before="240" w:after="240" w:line="360" w:lineRule="auto"/>
        <w:ind w:left="851" w:right="900" w:hanging="284"/>
        <w:jc w:val="both"/>
        <w:rPr>
          <w:rFonts w:ascii="Palatino Linotype" w:hAnsi="Palatino Linotype"/>
          <w:b/>
          <w:u w:val="single"/>
        </w:rPr>
      </w:pPr>
      <w:r w:rsidRPr="00123197">
        <w:rPr>
          <w:rFonts w:ascii="Palatino Linotype" w:hAnsi="Palatino Linotype"/>
          <w:b/>
          <w:u w:val="single"/>
        </w:rPr>
        <w:t>oficio de contestacion (3).pdf</w:t>
      </w:r>
      <w:r w:rsidRPr="00123197">
        <w:rPr>
          <w:rFonts w:ascii="Palatino Linotype" w:hAnsi="Palatino Linotype"/>
        </w:rPr>
        <w:t xml:space="preserve">, </w:t>
      </w:r>
      <w:r w:rsidRPr="00123197">
        <w:rPr>
          <w:rFonts w:ascii="Palatino Linotype" w:hAnsi="Palatino Linotype" w:cs="Arial"/>
          <w:color w:val="000000" w:themeColor="text1"/>
        </w:rPr>
        <w:t xml:space="preserve">contiene el oficio número TEZ/S.A./415/IV/2022, suscrito por el Secretario del Ayuntamiento, mediante el cual informa que las Actas requeridas en dicha solicitud se encuentran publicadas en la plataforma Ipomex, fracción II B2. </w:t>
      </w:r>
    </w:p>
    <w:p w:rsidR="002F0D84" w:rsidRPr="00123197" w:rsidRDefault="002F0D84" w:rsidP="00C73D4B">
      <w:pPr>
        <w:pStyle w:val="Prrafodelista"/>
        <w:spacing w:before="240" w:after="240" w:line="360" w:lineRule="auto"/>
        <w:ind w:left="851" w:right="900" w:hanging="284"/>
        <w:rPr>
          <w:rFonts w:ascii="Palatino Linotype" w:hAnsi="Palatino Linotype"/>
          <w:b/>
          <w:u w:val="single"/>
        </w:rPr>
      </w:pPr>
    </w:p>
    <w:p w:rsidR="001A0DDE" w:rsidRPr="00123197" w:rsidRDefault="008E24E7" w:rsidP="00C73D4B">
      <w:pPr>
        <w:pStyle w:val="Prrafodelista"/>
        <w:numPr>
          <w:ilvl w:val="0"/>
          <w:numId w:val="5"/>
        </w:numPr>
        <w:spacing w:before="240" w:after="240" w:line="360" w:lineRule="auto"/>
        <w:ind w:left="851" w:right="900" w:hanging="284"/>
        <w:jc w:val="both"/>
        <w:rPr>
          <w:rFonts w:ascii="Palatino Linotype" w:hAnsi="Palatino Linotype"/>
          <w:b/>
          <w:u w:val="single"/>
        </w:rPr>
      </w:pPr>
      <w:r w:rsidRPr="00123197">
        <w:rPr>
          <w:rFonts w:ascii="Palatino Linotype" w:hAnsi="Palatino Linotype"/>
          <w:b/>
          <w:u w:val="single"/>
        </w:rPr>
        <w:t>Escaneo0072.pdf</w:t>
      </w:r>
      <w:r w:rsidR="00821662" w:rsidRPr="00123197">
        <w:rPr>
          <w:rFonts w:ascii="Palatino Linotype" w:hAnsi="Palatino Linotype"/>
        </w:rPr>
        <w:t>, contiene e</w:t>
      </w:r>
      <w:r w:rsidRPr="00123197">
        <w:rPr>
          <w:rFonts w:ascii="Palatino Linotype" w:hAnsi="Palatino Linotype"/>
        </w:rPr>
        <w:t>l oficio número TEZ/UTAIP/254/2022</w:t>
      </w:r>
      <w:r w:rsidR="00821662" w:rsidRPr="00123197">
        <w:rPr>
          <w:rFonts w:ascii="Palatino Linotype" w:hAnsi="Palatino Linotype"/>
        </w:rPr>
        <w:t>, suscrito po</w:t>
      </w:r>
      <w:r w:rsidRPr="00123197">
        <w:rPr>
          <w:rFonts w:ascii="Palatino Linotype" w:hAnsi="Palatino Linotype"/>
        </w:rPr>
        <w:t>r la Coordinadora de Transparencia</w:t>
      </w:r>
      <w:r w:rsidR="00821662" w:rsidRPr="00123197">
        <w:rPr>
          <w:rFonts w:ascii="Palatino Linotype" w:hAnsi="Palatino Linotype"/>
        </w:rPr>
        <w:t xml:space="preserve">, </w:t>
      </w:r>
      <w:r w:rsidR="00821662" w:rsidRPr="00123197">
        <w:rPr>
          <w:rFonts w:ascii="Palatino Linotype" w:hAnsi="Palatino Linotype" w:cs="Arial"/>
          <w:color w:val="000000" w:themeColor="text1"/>
        </w:rPr>
        <w:t xml:space="preserve">de cuyo </w:t>
      </w:r>
      <w:r w:rsidR="001A0DDE" w:rsidRPr="00123197">
        <w:rPr>
          <w:rFonts w:ascii="Palatino Linotype" w:hAnsi="Palatino Linotype" w:cs="Arial"/>
          <w:color w:val="000000" w:themeColor="text1"/>
        </w:rPr>
        <w:t>contenido principal se advierte que hace referencia que todas las actas solicitadas se encuentran debidamente cargas en la plataforma del Ipomex mismas que se ubican en el siguiente hipervínculo:</w:t>
      </w:r>
    </w:p>
    <w:p w:rsidR="00821662" w:rsidRPr="00123197" w:rsidRDefault="00956DF1" w:rsidP="00C73D4B">
      <w:pPr>
        <w:pStyle w:val="Prrafodelista"/>
        <w:spacing w:line="360" w:lineRule="auto"/>
        <w:ind w:left="851" w:right="900"/>
        <w:rPr>
          <w:rFonts w:ascii="Palatino Linotype" w:hAnsi="Palatino Linotype" w:cs="Arial"/>
          <w:color w:val="000000" w:themeColor="text1"/>
        </w:rPr>
      </w:pPr>
      <w:hyperlink r:id="rId8" w:history="1">
        <w:r w:rsidR="001A0DDE" w:rsidRPr="00123197">
          <w:rPr>
            <w:rStyle w:val="Hipervnculo"/>
            <w:rFonts w:ascii="Palatino Linotype" w:hAnsi="Palatino Linotype" w:cs="Arial"/>
          </w:rPr>
          <w:t>https://www.ipomex.org.mx/ipo3/lgt/indice/TEZOYUCA/art_94_ii_b2.web?token=03ANYolqulcUJVbyntRlscy2HnoT0zbN8N7Olmr</w:t>
        </w:r>
        <w:r w:rsidR="001A0DDE" w:rsidRPr="00123197">
          <w:rPr>
            <w:rStyle w:val="Hipervnculo"/>
            <w:rFonts w:ascii="Palatino Linotype" w:hAnsi="Palatino Linotype" w:cs="Arial"/>
          </w:rPr>
          <w:lastRenderedPageBreak/>
          <w:t>VlHAS7fbk4se0ibunyMKWJroaOGzEMojfrqy95MMSHeJlxyi703TvgtK9q6eszqpHoLYjpAmLmGK_zhSQOy8jY2WktBBjMUpGAslHveZkYOkBjmRK1xoxN_1nKqDtD7cq_FmnNl2u8jKLVgzk2-s7tKgovuecnZGhjJ9iJWBbzzJwnpylml0JoQEyzLiHAW3DSbcXcNK1H-zYdq59AwgEnsoeugTcsMA8u1c8Lo0yprwR5EPoLpDbT527AHdHpEuplYtJMxqH6kAGlBYA1FxPbM47WwEufmsB9DxPpVtysbyXXMCirlHe9gpV6vE2Aa4Ln41_rfxJPoQ_iFc5rZ5DjVALbybHaqnjlbqwCUMu1FCPkzZ4B9_7ndGHvQCF9Gq8PA2GO5rXkDLabXYRSWVzMFzTKrpunGgv6neTB5PCbgbD3QFOsritpfzGCPzGug_k1xclT02Prllj2Eq2MtrkkFcobRNsNeK6poVa0i6nVWkeyA39Ki1d7mFzls_faozLsckb8ySlqmWBk8ojTi3RhFE6xeLeKjNJ7uf#</w:t>
        </w:r>
      </w:hyperlink>
      <w:r w:rsidR="001A0DDE" w:rsidRPr="00123197">
        <w:rPr>
          <w:rFonts w:ascii="Palatino Linotype" w:hAnsi="Palatino Linotype" w:cs="Arial"/>
          <w:color w:val="000000" w:themeColor="text1"/>
        </w:rPr>
        <w:t xml:space="preserve"> </w:t>
      </w:r>
    </w:p>
    <w:p w:rsidR="000F4046" w:rsidRPr="00123197" w:rsidRDefault="000F4046" w:rsidP="00C73D4B">
      <w:pPr>
        <w:pStyle w:val="Prrafodelista"/>
        <w:spacing w:line="360" w:lineRule="auto"/>
        <w:ind w:left="851" w:hanging="284"/>
        <w:rPr>
          <w:rFonts w:ascii="Palatino Linotype" w:hAnsi="Palatino Linotype" w:cs="Arial"/>
          <w:color w:val="000000" w:themeColor="text1"/>
        </w:rPr>
      </w:pPr>
    </w:p>
    <w:p w:rsidR="009F09BC" w:rsidRPr="00123197" w:rsidRDefault="009F09BC" w:rsidP="00C73D4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23197">
        <w:rPr>
          <w:rFonts w:ascii="Palatino Linotype" w:hAnsi="Palatino Linotype"/>
          <w:color w:val="000000"/>
        </w:rPr>
        <w:t xml:space="preserve">Por su parte </w:t>
      </w:r>
      <w:r w:rsidRPr="00123197">
        <w:rPr>
          <w:rFonts w:ascii="Palatino Linotype" w:hAnsi="Palatino Linotype"/>
          <w:b/>
          <w:color w:val="000000"/>
        </w:rPr>
        <w:t xml:space="preserve">EL PARTICULAR </w:t>
      </w:r>
      <w:r w:rsidRPr="00123197">
        <w:rPr>
          <w:rFonts w:ascii="Palatino Linotype" w:hAnsi="Palatino Linotype"/>
          <w:color w:val="000000"/>
        </w:rPr>
        <w:t>dejó de realizar manifestaciones que a su derecho conviniera y asistiera.</w:t>
      </w:r>
    </w:p>
    <w:p w:rsidR="00316ACD" w:rsidRPr="00123197" w:rsidRDefault="00316ACD" w:rsidP="00C73D4B">
      <w:pPr>
        <w:pStyle w:val="Prrafodelista"/>
        <w:spacing w:before="240" w:after="240" w:line="360" w:lineRule="auto"/>
        <w:ind w:left="0"/>
        <w:jc w:val="both"/>
        <w:rPr>
          <w:rFonts w:ascii="Palatino Linotype" w:hAnsi="Palatino Linotype"/>
        </w:rPr>
      </w:pPr>
    </w:p>
    <w:p w:rsidR="00316ACD" w:rsidRPr="00123197" w:rsidRDefault="001A0DDE" w:rsidP="00C73D4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23197">
        <w:rPr>
          <w:rFonts w:ascii="Palatino Linotype" w:hAnsi="Palatino Linotype"/>
        </w:rPr>
        <w:t>El diecinueve (19) de diciembre de dos mil veintidós</w:t>
      </w:r>
      <w:r w:rsidR="00316ACD" w:rsidRPr="00123197">
        <w:rPr>
          <w:rFonts w:ascii="Palatino Linotype" w:hAnsi="Palatino Linotype"/>
        </w:rPr>
        <w:t xml:space="preserve">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rsidR="00316ACD" w:rsidRPr="00123197" w:rsidRDefault="00316ACD" w:rsidP="00C73D4B">
      <w:pPr>
        <w:pStyle w:val="Prrafodelista"/>
        <w:spacing w:line="360" w:lineRule="auto"/>
        <w:rPr>
          <w:rFonts w:ascii="Palatino Linotype" w:eastAsia="MS Mincho" w:hAnsi="Palatino Linotype"/>
        </w:rPr>
      </w:pPr>
    </w:p>
    <w:p w:rsidR="00316ACD" w:rsidRPr="00123197" w:rsidRDefault="00316ACD" w:rsidP="00C73D4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23197">
        <w:rPr>
          <w:rFonts w:ascii="Palatino Linotype" w:eastAsia="MS Mincho"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w:t>
      </w:r>
      <w:r w:rsidRPr="00123197">
        <w:rPr>
          <w:rFonts w:ascii="Palatino Linotype" w:eastAsia="MS Mincho" w:hAnsi="Palatino Linotype"/>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316ACD" w:rsidRPr="00123197" w:rsidRDefault="00316ACD" w:rsidP="00C73D4B">
      <w:pPr>
        <w:pStyle w:val="Prrafodelista"/>
        <w:spacing w:line="360" w:lineRule="auto"/>
        <w:rPr>
          <w:rFonts w:ascii="Palatino Linotype" w:hAnsi="Palatino Linotype"/>
        </w:rPr>
      </w:pPr>
    </w:p>
    <w:p w:rsidR="00316ACD" w:rsidRPr="00123197" w:rsidRDefault="00316ACD" w:rsidP="00C73D4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23197">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316ACD" w:rsidRPr="00123197" w:rsidRDefault="00316ACD" w:rsidP="00C73D4B">
      <w:pPr>
        <w:pStyle w:val="Prrafodelista"/>
        <w:spacing w:line="360" w:lineRule="auto"/>
        <w:rPr>
          <w:rFonts w:ascii="Palatino Linotype" w:hAnsi="Palatino Linotype"/>
        </w:rPr>
      </w:pPr>
    </w:p>
    <w:p w:rsidR="00316ACD" w:rsidRPr="00123197" w:rsidRDefault="00316ACD" w:rsidP="00C73D4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23197">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316ACD" w:rsidRPr="00123197" w:rsidRDefault="00316ACD" w:rsidP="00C73D4B">
      <w:pPr>
        <w:pStyle w:val="Prrafodelista"/>
        <w:spacing w:line="360" w:lineRule="auto"/>
        <w:rPr>
          <w:rFonts w:ascii="Palatino Linotype" w:eastAsia="MS Mincho" w:hAnsi="Palatino Linotype"/>
        </w:rPr>
      </w:pPr>
    </w:p>
    <w:p w:rsidR="00316ACD" w:rsidRPr="00123197" w:rsidRDefault="00316ACD" w:rsidP="00C73D4B">
      <w:pPr>
        <w:pStyle w:val="Prrafodelista"/>
        <w:numPr>
          <w:ilvl w:val="0"/>
          <w:numId w:val="1"/>
        </w:numPr>
        <w:tabs>
          <w:tab w:val="left" w:pos="567"/>
        </w:tabs>
        <w:spacing w:before="240" w:after="240" w:line="360" w:lineRule="auto"/>
        <w:ind w:left="0" w:firstLine="0"/>
        <w:jc w:val="both"/>
        <w:rPr>
          <w:rFonts w:ascii="Palatino Linotype" w:hAnsi="Palatino Linotype"/>
        </w:rPr>
      </w:pPr>
      <w:r w:rsidRPr="00123197">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316ACD" w:rsidRPr="00123197" w:rsidRDefault="00316ACD" w:rsidP="00C73D4B">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123197">
        <w:rPr>
          <w:rFonts w:ascii="Palatino Linotype" w:eastAsia="MS Mincho" w:hAnsi="Palatino Linotype"/>
        </w:rPr>
        <w:t xml:space="preserve">Por ello, excepcionalmente, si un asunto es resuelto con posterioridad a los plazos señalados por la norma debe analizarse la razonabilidad del tiempo necesario para su resolución, atentos a los siguientes criterios:  </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123197">
        <w:rPr>
          <w:rFonts w:ascii="Palatino Linotype" w:eastAsia="MS Mincho" w:hAnsi="Palatino Linotype"/>
        </w:rPr>
        <w:t xml:space="preserve"> </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123197">
        <w:rPr>
          <w:rFonts w:ascii="Palatino Linotype" w:eastAsia="MS Mincho" w:hAnsi="Palatino Linotype"/>
        </w:rPr>
        <w:lastRenderedPageBreak/>
        <w:t>a)      Complejidad del asunto: La complejidad de la prueba, la pluralidad de sujetos procesales, el tiempo transcurrido, las características y contexto del recurso.</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123197">
        <w:rPr>
          <w:rFonts w:ascii="Palatino Linotype" w:eastAsia="MS Mincho" w:hAnsi="Palatino Linotype"/>
        </w:rPr>
        <w:t>b)     Actividad Procesal del interesado: Acciones u omisiones del interesado.</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123197">
        <w:rPr>
          <w:rFonts w:ascii="Palatino Linotype" w:eastAsia="MS Mincho" w:hAnsi="Palatino Linotype"/>
        </w:rPr>
        <w:t>c)      Conducta de la Autoridad: Las Acciones u omisiones realizadas en el procedimiento. Así como si la autoridad actuó con la debida diligencia.</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123197">
        <w:rPr>
          <w:rFonts w:ascii="Palatino Linotype" w:eastAsia="MS Mincho" w:hAnsi="Palatino Linotype"/>
        </w:rPr>
        <w:t>d) La afectación generada en la situación jurídica de la persona involucrada en el proceso: Violación a sus derechos humanos.</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123197" w:rsidRDefault="00316ACD" w:rsidP="00C73D4B">
      <w:pPr>
        <w:numPr>
          <w:ilvl w:val="0"/>
          <w:numId w:val="1"/>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123197">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123197" w:rsidRDefault="00316ACD" w:rsidP="00C73D4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123197">
        <w:rPr>
          <w:rFonts w:ascii="Palatino Linotype" w:eastAsia="MS Mincho"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rsidR="00316ACD" w:rsidRPr="00123197" w:rsidRDefault="00316ACD" w:rsidP="00C73D4B">
      <w:pPr>
        <w:tabs>
          <w:tab w:val="left" w:pos="567"/>
          <w:tab w:val="left" w:pos="709"/>
        </w:tabs>
        <w:spacing w:line="360" w:lineRule="auto"/>
        <w:ind w:left="720"/>
        <w:contextualSpacing/>
        <w:rPr>
          <w:rFonts w:ascii="Palatino Linotype" w:eastAsia="MS Mincho" w:hAnsi="Palatino Linotype"/>
        </w:rPr>
      </w:pPr>
    </w:p>
    <w:p w:rsidR="00316ACD" w:rsidRPr="00123197" w:rsidRDefault="00316ACD" w:rsidP="00C73D4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123197">
        <w:rPr>
          <w:rFonts w:ascii="Palatino Linotype" w:eastAsia="MS Mincho" w:hAnsi="Palatino Linotype"/>
        </w:rPr>
        <w:t xml:space="preserve">Razones por las cuales cabe concluir que, la resolución al recurso de revisión se solventa hasta esta fecha, debido a que existe una excesiva carga de trabajo en </w:t>
      </w:r>
      <w:r w:rsidRPr="00123197">
        <w:rPr>
          <w:rFonts w:ascii="Palatino Linotype" w:eastAsia="MS Mincho" w:hAnsi="Palatino Linotype"/>
        </w:rPr>
        <w:lastRenderedPageBreak/>
        <w:t>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316ACD" w:rsidRPr="00123197" w:rsidRDefault="00316ACD" w:rsidP="00C73D4B">
      <w:pPr>
        <w:tabs>
          <w:tab w:val="left" w:pos="567"/>
          <w:tab w:val="left" w:pos="709"/>
        </w:tabs>
        <w:spacing w:line="360" w:lineRule="auto"/>
        <w:ind w:left="720"/>
        <w:contextualSpacing/>
        <w:rPr>
          <w:rFonts w:ascii="Palatino Linotype" w:eastAsia="MS Mincho" w:hAnsi="Palatino Linotype"/>
        </w:rPr>
      </w:pPr>
    </w:p>
    <w:p w:rsidR="00316ACD" w:rsidRPr="00123197" w:rsidRDefault="00316ACD" w:rsidP="00C73D4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123197">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123197">
        <w:rPr>
          <w:rFonts w:ascii="Palatino Linotype" w:eastAsia="MS Mincho" w:hAnsi="Palatino Linotype"/>
        </w:rPr>
        <w:t xml:space="preserve"> “PLAZO RAZONABLE PARA RESOLVER. DIMENSIÓN Y EFECTOS DE ESTE CONCEPTO CUANDO SE ADUCE EXCESIVA CARGA DE TRABAJO.” consultable en el Seminario Judicial de la Federación y su gaceta, con el registro digital 2002351.</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123197">
        <w:rPr>
          <w:rFonts w:ascii="Palatino Linotype" w:eastAsia="MS Mincho" w:hAnsi="Palatino Linotype"/>
        </w:rPr>
        <w:t xml:space="preserve"> </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123197">
        <w:rPr>
          <w:rFonts w:ascii="Palatino Linotype" w:eastAsia="MS Mincho" w:hAnsi="Palatino Linotype"/>
        </w:rPr>
        <w:t>“PLAZO RAZONABLE PARA RESOLVER. CONCEPTO Y ELEMENTOS QUE LO INTEGRAN A LA LUZ DEL DERECHO INTERNACIONAL DE LOS DERECHOS HUMANOS.”, visible en el Seminario Judicial de la Federación y su gaceta, con el registro digital 2002350.</w:t>
      </w:r>
    </w:p>
    <w:p w:rsidR="00316ACD" w:rsidRPr="00123197" w:rsidRDefault="00316ACD" w:rsidP="00C73D4B">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rsidR="00316ACD" w:rsidRPr="00123197" w:rsidRDefault="00316ACD" w:rsidP="00C73D4B">
      <w:pPr>
        <w:numPr>
          <w:ilvl w:val="0"/>
          <w:numId w:val="1"/>
        </w:numPr>
        <w:tabs>
          <w:tab w:val="left" w:pos="567"/>
        </w:tabs>
        <w:spacing w:before="240" w:after="240" w:line="360" w:lineRule="auto"/>
        <w:ind w:left="0" w:right="49" w:firstLine="0"/>
        <w:contextualSpacing/>
        <w:jc w:val="both"/>
        <w:rPr>
          <w:rFonts w:ascii="Palatino Linotype" w:eastAsia="MS Mincho" w:hAnsi="Palatino Linotype"/>
        </w:rPr>
      </w:pPr>
      <w:r w:rsidRPr="00123197">
        <w:rPr>
          <w:rFonts w:ascii="Palatino Linotype" w:eastAsia="MS Mincho" w:hAnsi="Palatino Linotype"/>
        </w:rPr>
        <w:t>Por ello, este organismo garante comprometido con la tutela de los derechos humanos confiados, señala que este exceso del plazo legal para resolver el presente asunto, resulta de carácter excepcional.</w:t>
      </w:r>
    </w:p>
    <w:p w:rsidR="00316ACD" w:rsidRPr="00123197" w:rsidRDefault="00316ACD" w:rsidP="00C73D4B">
      <w:pPr>
        <w:tabs>
          <w:tab w:val="left" w:pos="567"/>
          <w:tab w:val="left" w:pos="709"/>
        </w:tabs>
        <w:spacing w:after="160" w:line="360" w:lineRule="auto"/>
        <w:ind w:right="49"/>
        <w:contextualSpacing/>
        <w:jc w:val="both"/>
        <w:rPr>
          <w:rFonts w:ascii="Palatino Linotype" w:hAnsi="Palatino Linotype"/>
        </w:rPr>
      </w:pPr>
    </w:p>
    <w:p w:rsidR="00316ACD" w:rsidRPr="00123197" w:rsidRDefault="00316ACD" w:rsidP="00C73D4B">
      <w:pPr>
        <w:pStyle w:val="Prrafodelista"/>
        <w:numPr>
          <w:ilvl w:val="0"/>
          <w:numId w:val="1"/>
        </w:numPr>
        <w:tabs>
          <w:tab w:val="left" w:pos="567"/>
        </w:tabs>
        <w:spacing w:line="360" w:lineRule="auto"/>
        <w:ind w:left="0" w:firstLine="0"/>
        <w:jc w:val="both"/>
        <w:rPr>
          <w:rFonts w:ascii="Palatino Linotype" w:hAnsi="Palatino Linotype"/>
          <w:b/>
          <w:color w:val="000000" w:themeColor="text1"/>
        </w:rPr>
      </w:pPr>
      <w:r w:rsidRPr="00123197">
        <w:rPr>
          <w:rFonts w:ascii="Palatino Linotype" w:hAnsi="Palatino Linotype"/>
          <w:color w:val="000000" w:themeColor="text1"/>
        </w:rPr>
        <w:t xml:space="preserve"> Así las cosas, la</w:t>
      </w:r>
      <w:r w:rsidRPr="00123197">
        <w:rPr>
          <w:rFonts w:ascii="Palatino Linotype" w:hAnsi="Palatino Linotype"/>
          <w:b/>
          <w:color w:val="000000" w:themeColor="text1"/>
        </w:rPr>
        <w:t xml:space="preserve"> Comisionada María del Rosario Mejía Ayala</w:t>
      </w:r>
      <w:r w:rsidRPr="00123197">
        <w:rPr>
          <w:rFonts w:ascii="Palatino Linotype" w:hAnsi="Palatino Linotype"/>
          <w:color w:val="000000" w:themeColor="text1"/>
        </w:rPr>
        <w:t xml:space="preserve"> decretó el cierre de instrucción mediante acuerdo de fecha </w:t>
      </w:r>
      <w:r w:rsidR="00AE1ED3" w:rsidRPr="00123197">
        <w:rPr>
          <w:rFonts w:ascii="Palatino Linotype" w:hAnsi="Palatino Linotype"/>
          <w:color w:val="000000" w:themeColor="text1"/>
        </w:rPr>
        <w:t>cuatro (04</w:t>
      </w:r>
      <w:r w:rsidRPr="00123197">
        <w:rPr>
          <w:rFonts w:ascii="Palatino Linotype" w:hAnsi="Palatino Linotype"/>
          <w:color w:val="000000" w:themeColor="text1"/>
        </w:rPr>
        <w:t xml:space="preserve">) de </w:t>
      </w:r>
      <w:r w:rsidR="001A0DDE" w:rsidRPr="00123197">
        <w:rPr>
          <w:rFonts w:ascii="Palatino Linotype" w:hAnsi="Palatino Linotype"/>
          <w:color w:val="000000" w:themeColor="text1"/>
        </w:rPr>
        <w:t>agosto</w:t>
      </w:r>
      <w:r w:rsidR="002A6FF9" w:rsidRPr="00123197">
        <w:rPr>
          <w:rFonts w:ascii="Palatino Linotype" w:hAnsi="Palatino Linotype"/>
          <w:color w:val="000000" w:themeColor="text1"/>
        </w:rPr>
        <w:t xml:space="preserve"> </w:t>
      </w:r>
      <w:r w:rsidRPr="00123197">
        <w:rPr>
          <w:rFonts w:ascii="Palatino Linotype" w:hAnsi="Palatino Linotype"/>
          <w:color w:val="000000" w:themeColor="text1"/>
        </w:rPr>
        <w:t xml:space="preserve">de dos mil veintitrés. </w:t>
      </w:r>
    </w:p>
    <w:p w:rsidR="00316ACD" w:rsidRPr="00123197" w:rsidRDefault="00316ACD" w:rsidP="00C73D4B">
      <w:pPr>
        <w:pStyle w:val="Prrafodelista"/>
        <w:spacing w:before="240" w:after="240" w:line="360" w:lineRule="auto"/>
        <w:ind w:left="0"/>
        <w:jc w:val="both"/>
        <w:rPr>
          <w:rFonts w:ascii="Palatino Linotype" w:hAnsi="Palatino Linotype"/>
        </w:rPr>
      </w:pPr>
    </w:p>
    <w:p w:rsidR="009F09BC" w:rsidRPr="00123197" w:rsidRDefault="009F09BC" w:rsidP="00C73D4B">
      <w:pPr>
        <w:pStyle w:val="Ttulo1"/>
        <w:spacing w:line="360" w:lineRule="auto"/>
        <w:jc w:val="center"/>
        <w:rPr>
          <w:rFonts w:ascii="Palatino Linotype" w:hAnsi="Palatino Linotype"/>
          <w:b/>
          <w:color w:val="000000" w:themeColor="text1"/>
          <w:sz w:val="24"/>
          <w:szCs w:val="24"/>
        </w:rPr>
      </w:pPr>
      <w:bookmarkStart w:id="133" w:name="_Toc491791302"/>
      <w:bookmarkStart w:id="134" w:name="_Toc83128578"/>
      <w:r w:rsidRPr="00123197">
        <w:rPr>
          <w:rFonts w:ascii="Palatino Linotype" w:hAnsi="Palatino Linotype"/>
          <w:b/>
          <w:color w:val="000000" w:themeColor="text1"/>
          <w:sz w:val="24"/>
          <w:szCs w:val="24"/>
        </w:rPr>
        <w:t>CONSIDERANDO</w:t>
      </w:r>
      <w:bookmarkEnd w:id="133"/>
      <w:bookmarkEnd w:id="134"/>
    </w:p>
    <w:p w:rsidR="009F09BC" w:rsidRPr="00123197" w:rsidRDefault="009F09BC" w:rsidP="00C73D4B">
      <w:pPr>
        <w:spacing w:line="360" w:lineRule="auto"/>
        <w:rPr>
          <w:rFonts w:ascii="Palatino Linotype" w:hAnsi="Palatino Linotype"/>
          <w:lang w:val="es-MX" w:eastAsia="en-US"/>
        </w:rPr>
      </w:pPr>
    </w:p>
    <w:p w:rsidR="009F09BC" w:rsidRPr="00123197" w:rsidRDefault="009F09BC" w:rsidP="00C73D4B">
      <w:pPr>
        <w:pStyle w:val="Ttulo2"/>
        <w:spacing w:line="360" w:lineRule="auto"/>
        <w:rPr>
          <w:rFonts w:ascii="Palatino Linotype" w:hAnsi="Palatino Linotype"/>
          <w:b/>
          <w:color w:val="auto"/>
          <w:sz w:val="24"/>
          <w:szCs w:val="24"/>
        </w:rPr>
      </w:pPr>
      <w:bookmarkStart w:id="135" w:name="_Toc491791303"/>
      <w:bookmarkStart w:id="136" w:name="_Toc83128579"/>
      <w:r w:rsidRPr="00123197">
        <w:rPr>
          <w:rFonts w:ascii="Palatino Linotype" w:hAnsi="Palatino Linotype"/>
          <w:b/>
          <w:color w:val="auto"/>
          <w:sz w:val="24"/>
          <w:szCs w:val="24"/>
        </w:rPr>
        <w:t>PRIMERO. De la competencia</w:t>
      </w:r>
      <w:bookmarkEnd w:id="135"/>
      <w:bookmarkEnd w:id="136"/>
    </w:p>
    <w:p w:rsidR="009F09BC" w:rsidRPr="00123197" w:rsidRDefault="009F09BC" w:rsidP="00C73D4B">
      <w:pPr>
        <w:spacing w:line="360" w:lineRule="auto"/>
        <w:rPr>
          <w:rFonts w:ascii="Palatino Linotype" w:hAnsi="Palatino Linotype"/>
          <w:lang w:val="es-MX" w:eastAsia="en-US"/>
        </w:rPr>
      </w:pPr>
    </w:p>
    <w:p w:rsidR="00353F1D" w:rsidRPr="00123197" w:rsidRDefault="00353F1D" w:rsidP="00C73D4B">
      <w:pPr>
        <w:pStyle w:val="Prrafodelista"/>
        <w:numPr>
          <w:ilvl w:val="0"/>
          <w:numId w:val="1"/>
        </w:numPr>
        <w:tabs>
          <w:tab w:val="left" w:pos="567"/>
        </w:tabs>
        <w:spacing w:line="360" w:lineRule="auto"/>
        <w:ind w:left="0" w:firstLine="0"/>
        <w:jc w:val="both"/>
        <w:rPr>
          <w:rFonts w:ascii="Palatino Linotype" w:hAnsi="Palatino Linotype"/>
          <w:color w:val="000000" w:themeColor="text1"/>
        </w:rPr>
      </w:pPr>
      <w:r w:rsidRPr="00123197">
        <w:rPr>
          <w:rFonts w:ascii="Palatino Linotype" w:hAnsi="Palatino Linotype"/>
          <w:color w:val="000000" w:themeColor="text1"/>
        </w:rPr>
        <w:t xml:space="preserve">El </w:t>
      </w:r>
      <w:r w:rsidRPr="00123197">
        <w:rPr>
          <w:rFonts w:ascii="Palatino Linotype" w:hAnsi="Palatino Linotype"/>
        </w:rPr>
        <w:t>Instituto</w:t>
      </w:r>
      <w:r w:rsidRPr="00123197">
        <w:rPr>
          <w:rFonts w:ascii="Palatino Linotype" w:hAnsi="Palatino Linotype"/>
          <w:color w:val="000000" w:themeColor="text1"/>
        </w:rPr>
        <w:t xml:space="preserve">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D22540" w:rsidRPr="00123197">
        <w:rPr>
          <w:rFonts w:ascii="Palatino Linotype" w:eastAsia="Palatino Linotype" w:hAnsi="Palatino Linotype" w:cs="Palatino Linotype"/>
          <w:color w:val="000000" w:themeColor="text1"/>
          <w:lang w:val="es-ES"/>
        </w:rPr>
        <w:t>5, párrafos</w:t>
      </w:r>
      <w:r w:rsidR="00D22540" w:rsidRPr="00123197">
        <w:rPr>
          <w:rFonts w:ascii="Palatino Linotype" w:eastAsia="Palatino Linotype" w:hAnsi="Palatino Linotype" w:cs="Palatino Linotype"/>
          <w:color w:val="000000" w:themeColor="text1"/>
          <w:lang w:val="es-MX"/>
        </w:rPr>
        <w:t xml:space="preserve"> trigésimo segundo, trigésimo tercero  y trigésimo cuarto, fracciones  IV y V</w:t>
      </w:r>
      <w:r w:rsidR="00D22540" w:rsidRPr="00123197">
        <w:rPr>
          <w:rFonts w:ascii="Palatino Linotype" w:hAnsi="Palatino Linotype"/>
        </w:rPr>
        <w:t xml:space="preserve">, </w:t>
      </w:r>
      <w:r w:rsidRPr="00123197">
        <w:rPr>
          <w:rFonts w:ascii="Palatino Linotype" w:hAnsi="Palatino Linotype"/>
          <w:color w:val="000000" w:themeColor="text1"/>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9F09BC" w:rsidRPr="00123197" w:rsidRDefault="009F09BC" w:rsidP="00C73D4B">
      <w:pPr>
        <w:pStyle w:val="Prrafodelista"/>
        <w:spacing w:line="360" w:lineRule="auto"/>
        <w:ind w:left="0"/>
        <w:jc w:val="both"/>
        <w:rPr>
          <w:rFonts w:ascii="Palatino Linotype" w:eastAsia="Calibri" w:hAnsi="Palatino Linotype" w:cs="Times New Roman"/>
          <w:b/>
          <w:lang w:val="es-ES"/>
        </w:rPr>
      </w:pPr>
    </w:p>
    <w:p w:rsidR="009F09BC" w:rsidRPr="00123197" w:rsidRDefault="009F09BC" w:rsidP="00C73D4B">
      <w:pPr>
        <w:pStyle w:val="Ttulo2"/>
        <w:spacing w:line="360" w:lineRule="auto"/>
        <w:rPr>
          <w:rFonts w:ascii="Palatino Linotype" w:hAnsi="Palatino Linotype"/>
          <w:b/>
          <w:color w:val="auto"/>
          <w:sz w:val="24"/>
          <w:szCs w:val="24"/>
        </w:rPr>
      </w:pPr>
      <w:bookmarkStart w:id="137" w:name="_Toc491791304"/>
      <w:bookmarkStart w:id="138" w:name="_Toc83128580"/>
      <w:r w:rsidRPr="00123197">
        <w:rPr>
          <w:rFonts w:ascii="Palatino Linotype" w:hAnsi="Palatino Linotype"/>
          <w:b/>
          <w:color w:val="auto"/>
          <w:sz w:val="24"/>
          <w:szCs w:val="24"/>
        </w:rPr>
        <w:t>SEGUNDO. De la oportunidad y procedencia.</w:t>
      </w:r>
      <w:bookmarkEnd w:id="137"/>
      <w:bookmarkEnd w:id="138"/>
    </w:p>
    <w:p w:rsidR="009F09BC" w:rsidRPr="00123197" w:rsidRDefault="009F09BC" w:rsidP="00C73D4B">
      <w:pPr>
        <w:spacing w:line="360" w:lineRule="auto"/>
        <w:rPr>
          <w:rFonts w:ascii="Palatino Linotype" w:hAnsi="Palatino Linotype"/>
          <w:lang w:val="es-MX" w:eastAsia="en-US"/>
        </w:rPr>
      </w:pPr>
    </w:p>
    <w:p w:rsidR="008B4FFD" w:rsidRPr="00123197" w:rsidRDefault="00425842" w:rsidP="00C73D4B">
      <w:pPr>
        <w:pStyle w:val="Prrafodelista"/>
        <w:numPr>
          <w:ilvl w:val="0"/>
          <w:numId w:val="1"/>
        </w:numPr>
        <w:tabs>
          <w:tab w:val="left" w:pos="567"/>
        </w:tabs>
        <w:spacing w:line="360" w:lineRule="auto"/>
        <w:ind w:left="0" w:firstLine="0"/>
        <w:jc w:val="both"/>
        <w:rPr>
          <w:rFonts w:ascii="Palatino Linotype" w:hAnsi="Palatino Linotype"/>
        </w:rPr>
      </w:pPr>
      <w:r w:rsidRPr="00123197">
        <w:rPr>
          <w:rFonts w:ascii="Palatino Linotype" w:eastAsia="Calibri" w:hAnsi="Palatino Linotype" w:cs="Arial"/>
        </w:rPr>
        <w:lastRenderedPageBreak/>
        <w:t>El</w:t>
      </w:r>
      <w:r w:rsidR="00AD63B4" w:rsidRPr="00123197">
        <w:rPr>
          <w:rFonts w:ascii="Palatino Linotype" w:eastAsia="Calibri" w:hAnsi="Palatino Linotype" w:cs="Arial"/>
        </w:rPr>
        <w:t xml:space="preserve"> </w:t>
      </w:r>
      <w:r w:rsidR="009F09BC" w:rsidRPr="00123197">
        <w:rPr>
          <w:rFonts w:ascii="Palatino Linotype" w:eastAsia="Calibri" w:hAnsi="Palatino Linotype" w:cs="Arial"/>
        </w:rPr>
        <w:t xml:space="preserve">medio de impugnación fue presentado a través del </w:t>
      </w:r>
      <w:r w:rsidR="009F09BC" w:rsidRPr="00123197">
        <w:rPr>
          <w:rFonts w:ascii="Palatino Linotype" w:eastAsia="Calibri" w:hAnsi="Palatino Linotype" w:cs="Arial"/>
          <w:b/>
        </w:rPr>
        <w:t>SAIMEX,</w:t>
      </w:r>
      <w:r w:rsidR="009F09BC" w:rsidRPr="0012319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009F09BC" w:rsidRPr="00123197">
        <w:rPr>
          <w:rFonts w:ascii="Palatino Linotype" w:eastAsia="Calibri" w:hAnsi="Palatino Linotype" w:cs="Arial"/>
          <w:b/>
        </w:rPr>
        <w:t>SUJETO OBLIGADO</w:t>
      </w:r>
      <w:r w:rsidRPr="00123197">
        <w:rPr>
          <w:rFonts w:ascii="Palatino Linotype" w:eastAsia="Calibri" w:hAnsi="Palatino Linotype" w:cs="Arial"/>
        </w:rPr>
        <w:t xml:space="preserve"> entregó su</w:t>
      </w:r>
      <w:r w:rsidR="009F09BC" w:rsidRPr="00123197">
        <w:rPr>
          <w:rFonts w:ascii="Palatino Linotype" w:eastAsia="Calibri" w:hAnsi="Palatino Linotype" w:cs="Arial"/>
        </w:rPr>
        <w:t xml:space="preserve"> respuesta </w:t>
      </w:r>
      <w:r w:rsidRPr="00123197">
        <w:rPr>
          <w:rFonts w:ascii="Palatino Linotype" w:eastAsia="Calibri" w:hAnsi="Palatino Linotype" w:cs="Arial"/>
        </w:rPr>
        <w:t>e</w:t>
      </w:r>
      <w:r w:rsidR="009F09BC" w:rsidRPr="00123197">
        <w:rPr>
          <w:rFonts w:ascii="Palatino Linotype" w:eastAsia="Calibri" w:hAnsi="Palatino Linotype" w:cs="Arial"/>
        </w:rPr>
        <w:t xml:space="preserve">l </w:t>
      </w:r>
      <w:r w:rsidR="000F4046" w:rsidRPr="00123197">
        <w:rPr>
          <w:rFonts w:ascii="Palatino Linotype" w:eastAsia="Calibri" w:hAnsi="Palatino Linotype" w:cs="Arial"/>
        </w:rPr>
        <w:t>veintiséis</w:t>
      </w:r>
      <w:r w:rsidR="00626AC3" w:rsidRPr="00123197">
        <w:rPr>
          <w:rFonts w:ascii="Palatino Linotype" w:eastAsia="Calibri" w:hAnsi="Palatino Linotype" w:cs="Arial"/>
        </w:rPr>
        <w:t xml:space="preserve"> </w:t>
      </w:r>
      <w:r w:rsidRPr="00123197">
        <w:rPr>
          <w:rFonts w:ascii="Palatino Linotype" w:eastAsia="Calibri" w:hAnsi="Palatino Linotype" w:cs="Arial"/>
        </w:rPr>
        <w:t>(</w:t>
      </w:r>
      <w:r w:rsidR="00626AC3" w:rsidRPr="00123197">
        <w:rPr>
          <w:rFonts w:ascii="Palatino Linotype" w:eastAsia="Calibri" w:hAnsi="Palatino Linotype" w:cs="Arial"/>
        </w:rPr>
        <w:t>2</w:t>
      </w:r>
      <w:r w:rsidR="000F4046" w:rsidRPr="00123197">
        <w:rPr>
          <w:rFonts w:ascii="Palatino Linotype" w:eastAsia="Calibri" w:hAnsi="Palatino Linotype" w:cs="Arial"/>
        </w:rPr>
        <w:t>6) de abril</w:t>
      </w:r>
      <w:r w:rsidR="00626AC3" w:rsidRPr="00123197">
        <w:rPr>
          <w:rFonts w:ascii="Palatino Linotype" w:eastAsia="Calibri" w:hAnsi="Palatino Linotype" w:cs="Arial"/>
        </w:rPr>
        <w:t xml:space="preserve"> </w:t>
      </w:r>
      <w:r w:rsidRPr="00123197">
        <w:rPr>
          <w:rFonts w:ascii="Palatino Linotype" w:eastAsia="Calibri" w:hAnsi="Palatino Linotype" w:cs="Arial"/>
        </w:rPr>
        <w:t>de dos mil veintidós</w:t>
      </w:r>
      <w:r w:rsidR="009F09BC" w:rsidRPr="00123197">
        <w:rPr>
          <w:rFonts w:ascii="Palatino Linotype" w:eastAsia="Calibri" w:hAnsi="Palatino Linotype" w:cs="Arial"/>
        </w:rPr>
        <w:t xml:space="preserve">, </w:t>
      </w:r>
      <w:r w:rsidR="009F09BC" w:rsidRPr="00123197">
        <w:rPr>
          <w:rFonts w:ascii="Palatino Linotype" w:hAnsi="Palatino Linotype" w:cs="Arial"/>
        </w:rPr>
        <w:t xml:space="preserve">de tal forma que </w:t>
      </w:r>
      <w:r w:rsidRPr="00123197">
        <w:rPr>
          <w:rFonts w:ascii="Palatino Linotype" w:hAnsi="Palatino Linotype" w:cs="Arial"/>
        </w:rPr>
        <w:t>e</w:t>
      </w:r>
      <w:r w:rsidR="009F09BC" w:rsidRPr="00123197">
        <w:rPr>
          <w:rFonts w:ascii="Palatino Linotype" w:hAnsi="Palatino Linotype" w:cs="Arial"/>
        </w:rPr>
        <w:t xml:space="preserve">l plazo para interponer </w:t>
      </w:r>
      <w:r w:rsidRPr="00123197">
        <w:rPr>
          <w:rFonts w:ascii="Palatino Linotype" w:hAnsi="Palatino Linotype" w:cs="Arial"/>
        </w:rPr>
        <w:t>e</w:t>
      </w:r>
      <w:r w:rsidR="009F09BC" w:rsidRPr="00123197">
        <w:rPr>
          <w:rFonts w:ascii="Palatino Linotype" w:hAnsi="Palatino Linotype" w:cs="Arial"/>
        </w:rPr>
        <w:t xml:space="preserve">l recurso de revisión </w:t>
      </w:r>
      <w:r w:rsidRPr="00123197">
        <w:rPr>
          <w:rFonts w:ascii="Palatino Linotype" w:hAnsi="Palatino Linotype" w:cs="Arial"/>
        </w:rPr>
        <w:t>transcurrió</w:t>
      </w:r>
      <w:r w:rsidR="000F4046" w:rsidRPr="00123197">
        <w:rPr>
          <w:rFonts w:ascii="Palatino Linotype" w:hAnsi="Palatino Linotype" w:cs="Arial"/>
        </w:rPr>
        <w:t xml:space="preserve"> del día veintisiete</w:t>
      </w:r>
      <w:r w:rsidR="00626AC3" w:rsidRPr="00123197">
        <w:rPr>
          <w:rFonts w:ascii="Palatino Linotype" w:hAnsi="Palatino Linotype" w:cs="Arial"/>
        </w:rPr>
        <w:t xml:space="preserve"> </w:t>
      </w:r>
      <w:r w:rsidRPr="00123197">
        <w:rPr>
          <w:rFonts w:ascii="Palatino Linotype" w:hAnsi="Palatino Linotype" w:cs="Arial"/>
        </w:rPr>
        <w:t>(</w:t>
      </w:r>
      <w:r w:rsidR="000F4046" w:rsidRPr="00123197">
        <w:rPr>
          <w:rFonts w:ascii="Palatino Linotype" w:hAnsi="Palatino Linotype" w:cs="Arial"/>
        </w:rPr>
        <w:t>27) de abril al dieciocho</w:t>
      </w:r>
      <w:r w:rsidR="002A6FF9" w:rsidRPr="00123197">
        <w:rPr>
          <w:rFonts w:ascii="Palatino Linotype" w:hAnsi="Palatino Linotype" w:cs="Arial"/>
        </w:rPr>
        <w:t xml:space="preserve"> </w:t>
      </w:r>
      <w:r w:rsidR="009F09BC" w:rsidRPr="00123197">
        <w:rPr>
          <w:rFonts w:ascii="Palatino Linotype" w:hAnsi="Palatino Linotype" w:cs="Arial"/>
        </w:rPr>
        <w:t>(</w:t>
      </w:r>
      <w:r w:rsidR="000F4046" w:rsidRPr="00123197">
        <w:rPr>
          <w:rFonts w:ascii="Palatino Linotype" w:hAnsi="Palatino Linotype" w:cs="Arial"/>
        </w:rPr>
        <w:t>18</w:t>
      </w:r>
      <w:r w:rsidR="009F09BC" w:rsidRPr="00123197">
        <w:rPr>
          <w:rFonts w:ascii="Palatino Linotype" w:hAnsi="Palatino Linotype" w:cs="Arial"/>
        </w:rPr>
        <w:t>)</w:t>
      </w:r>
      <w:r w:rsidR="000F4046" w:rsidRPr="00123197">
        <w:rPr>
          <w:rFonts w:ascii="Palatino Linotype" w:hAnsi="Palatino Linotype" w:cs="Arial"/>
        </w:rPr>
        <w:t xml:space="preserve"> de mayo </w:t>
      </w:r>
      <w:r w:rsidR="0001674C" w:rsidRPr="00123197">
        <w:rPr>
          <w:rFonts w:ascii="Palatino Linotype" w:hAnsi="Palatino Linotype" w:cs="Arial"/>
        </w:rPr>
        <w:t xml:space="preserve">de dos mil </w:t>
      </w:r>
      <w:r w:rsidRPr="00123197">
        <w:rPr>
          <w:rFonts w:ascii="Palatino Linotype" w:hAnsi="Palatino Linotype" w:cs="Arial"/>
        </w:rPr>
        <w:t>veintidós</w:t>
      </w:r>
      <w:r w:rsidR="0001674C" w:rsidRPr="00123197">
        <w:rPr>
          <w:rFonts w:ascii="Palatino Linotype" w:hAnsi="Palatino Linotype" w:cs="Arial"/>
        </w:rPr>
        <w:t>; e</w:t>
      </w:r>
      <w:r w:rsidR="009F09BC" w:rsidRPr="00123197">
        <w:rPr>
          <w:rFonts w:ascii="Palatino Linotype" w:hAnsi="Palatino Linotype" w:cs="Arial"/>
        </w:rPr>
        <w:t xml:space="preserve">n consecuencia, el ahora </w:t>
      </w:r>
      <w:r w:rsidR="009F09BC" w:rsidRPr="00123197">
        <w:rPr>
          <w:rFonts w:ascii="Palatino Linotype" w:hAnsi="Palatino Linotype" w:cs="Arial"/>
          <w:b/>
        </w:rPr>
        <w:t>RECURRENTE</w:t>
      </w:r>
      <w:r w:rsidR="009F09BC" w:rsidRPr="00123197">
        <w:rPr>
          <w:rFonts w:ascii="Palatino Linotype" w:hAnsi="Palatino Linotype" w:cs="Arial"/>
        </w:rPr>
        <w:t xml:space="preserve"> presentó </w:t>
      </w:r>
      <w:r w:rsidR="00CA1063" w:rsidRPr="00123197">
        <w:rPr>
          <w:rFonts w:ascii="Palatino Linotype" w:hAnsi="Palatino Linotype" w:cs="Arial"/>
        </w:rPr>
        <w:t xml:space="preserve">su inconformidad el día </w:t>
      </w:r>
      <w:r w:rsidR="000F4046" w:rsidRPr="00123197">
        <w:rPr>
          <w:rFonts w:ascii="Palatino Linotype" w:hAnsi="Palatino Linotype" w:cs="Arial"/>
        </w:rPr>
        <w:t>veintinueve</w:t>
      </w:r>
      <w:r w:rsidR="009F09BC" w:rsidRPr="00123197">
        <w:rPr>
          <w:rFonts w:ascii="Palatino Linotype" w:hAnsi="Palatino Linotype" w:cs="Arial"/>
        </w:rPr>
        <w:t xml:space="preserve"> (</w:t>
      </w:r>
      <w:r w:rsidR="000F4046" w:rsidRPr="00123197">
        <w:rPr>
          <w:rFonts w:ascii="Palatino Linotype" w:hAnsi="Palatino Linotype" w:cs="Arial"/>
        </w:rPr>
        <w:t>29) de abril</w:t>
      </w:r>
      <w:r w:rsidR="002A6FF9" w:rsidRPr="00123197">
        <w:rPr>
          <w:rFonts w:ascii="Palatino Linotype" w:hAnsi="Palatino Linotype" w:cs="Arial"/>
        </w:rPr>
        <w:t xml:space="preserve"> </w:t>
      </w:r>
      <w:r w:rsidR="006F3EF7" w:rsidRPr="00123197">
        <w:rPr>
          <w:rFonts w:ascii="Palatino Linotype" w:hAnsi="Palatino Linotype" w:cs="Arial"/>
        </w:rPr>
        <w:t>de dos mil veintidós</w:t>
      </w:r>
      <w:r w:rsidR="009F09BC" w:rsidRPr="00123197">
        <w:rPr>
          <w:rFonts w:ascii="Palatino Linotype" w:hAnsi="Palatino Linotype" w:cs="Arial"/>
        </w:rPr>
        <w:t>; por lo que el medio de impugnación se encuentran dentro del lapso legalmente establecido para tal efecto.</w:t>
      </w:r>
    </w:p>
    <w:p w:rsidR="000F4046" w:rsidRPr="00123197" w:rsidRDefault="000F4046" w:rsidP="00C73D4B">
      <w:pPr>
        <w:keepNext/>
        <w:keepLines/>
        <w:spacing w:before="240" w:line="360" w:lineRule="auto"/>
        <w:ind w:right="49"/>
        <w:jc w:val="both"/>
        <w:outlineLvl w:val="0"/>
        <w:rPr>
          <w:rFonts w:ascii="Palatino Linotype" w:eastAsia="Calibri" w:hAnsi="Palatino Linotype" w:cs="Arial"/>
          <w:lang w:val="es-ES"/>
        </w:rPr>
      </w:pPr>
      <w:bookmarkStart w:id="139" w:name="_Toc99564201"/>
      <w:bookmarkStart w:id="140" w:name="_Toc99564864"/>
      <w:bookmarkStart w:id="141" w:name="_Toc102070728"/>
      <w:bookmarkStart w:id="142" w:name="_Toc110984905"/>
      <w:bookmarkStart w:id="143" w:name="_Toc89964363"/>
      <w:bookmarkStart w:id="144" w:name="_Toc98350362"/>
      <w:bookmarkStart w:id="145" w:name="_Toc67587987"/>
      <w:bookmarkStart w:id="146" w:name="_Toc68804763"/>
      <w:r w:rsidRPr="00123197">
        <w:rPr>
          <w:rFonts w:ascii="Palatino Linotype" w:eastAsiaTheme="majorEastAsia" w:hAnsi="Palatino Linotype" w:cstheme="majorBidi"/>
          <w:b/>
          <w:color w:val="000000" w:themeColor="text1"/>
          <w:lang w:eastAsia="en-US"/>
        </w:rPr>
        <w:t>De la determinación sobre la procedibilidad del recurso.</w:t>
      </w:r>
      <w:bookmarkEnd w:id="139"/>
      <w:bookmarkEnd w:id="140"/>
      <w:bookmarkEnd w:id="141"/>
      <w:bookmarkEnd w:id="142"/>
      <w:bookmarkEnd w:id="143"/>
      <w:bookmarkEnd w:id="144"/>
      <w:bookmarkEnd w:id="145"/>
      <w:bookmarkEnd w:id="146"/>
      <w:r w:rsidRPr="00123197">
        <w:rPr>
          <w:rFonts w:ascii="Palatino Linotype" w:eastAsiaTheme="majorEastAsia" w:hAnsi="Palatino Linotype" w:cstheme="majorBidi"/>
          <w:b/>
          <w:color w:val="000000" w:themeColor="text1"/>
          <w:lang w:eastAsia="en-US"/>
        </w:rPr>
        <w:t xml:space="preserve"> </w:t>
      </w:r>
    </w:p>
    <w:p w:rsidR="000F4046" w:rsidRPr="00123197" w:rsidRDefault="000F4046" w:rsidP="00C73D4B">
      <w:pPr>
        <w:pStyle w:val="Prrafodelista"/>
        <w:numPr>
          <w:ilvl w:val="0"/>
          <w:numId w:val="1"/>
        </w:numPr>
        <w:tabs>
          <w:tab w:val="left" w:pos="567"/>
        </w:tabs>
        <w:spacing w:after="160" w:line="360" w:lineRule="auto"/>
        <w:ind w:left="0" w:right="49" w:firstLine="0"/>
        <w:jc w:val="both"/>
        <w:rPr>
          <w:rFonts w:ascii="Palatino Linotype" w:hAnsi="Palatino Linotype"/>
        </w:rPr>
      </w:pPr>
      <w:r w:rsidRPr="00123197">
        <w:rPr>
          <w:rFonts w:ascii="Palatino Linotype" w:eastAsia="Calibri" w:hAnsi="Palatino Linotype" w:cs="Arial"/>
        </w:rPr>
        <w:t>Expuesto lo anterior, los escritos contienen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73D4B" w:rsidRPr="00123197" w:rsidRDefault="00C73D4B" w:rsidP="00C73D4B">
      <w:pPr>
        <w:pStyle w:val="Prrafodelista"/>
        <w:tabs>
          <w:tab w:val="left" w:pos="567"/>
        </w:tabs>
        <w:spacing w:after="160" w:line="360" w:lineRule="auto"/>
        <w:ind w:left="0" w:right="49"/>
        <w:jc w:val="both"/>
        <w:rPr>
          <w:rFonts w:ascii="Palatino Linotype" w:hAnsi="Palatino Linotype"/>
        </w:rPr>
      </w:pPr>
    </w:p>
    <w:p w:rsidR="006E26FC" w:rsidRPr="00123197" w:rsidRDefault="006E26FC" w:rsidP="00C73D4B">
      <w:pPr>
        <w:keepNext/>
        <w:keepLines/>
        <w:tabs>
          <w:tab w:val="left" w:pos="284"/>
          <w:tab w:val="left" w:pos="426"/>
        </w:tabs>
        <w:spacing w:before="240" w:line="360" w:lineRule="auto"/>
        <w:outlineLvl w:val="0"/>
        <w:rPr>
          <w:rFonts w:ascii="Palatino Linotype" w:eastAsiaTheme="majorEastAsia" w:hAnsi="Palatino Linotype" w:cstheme="majorBidi"/>
          <w:b/>
          <w:lang w:val="es-MX" w:eastAsia="es-MX"/>
        </w:rPr>
      </w:pPr>
      <w:bookmarkStart w:id="147" w:name="_Toc500360400"/>
      <w:bookmarkStart w:id="148" w:name="_Toc81233127"/>
      <w:bookmarkStart w:id="149" w:name="_Toc459174366"/>
      <w:bookmarkStart w:id="150" w:name="_Toc459659884"/>
      <w:bookmarkStart w:id="151" w:name="_Toc461687280"/>
      <w:bookmarkStart w:id="152" w:name="_Toc462771051"/>
      <w:bookmarkStart w:id="153" w:name="_Toc464139201"/>
      <w:bookmarkStart w:id="154" w:name="_Toc495427545"/>
      <w:bookmarkStart w:id="155" w:name="_Toc499296549"/>
      <w:r w:rsidRPr="00123197">
        <w:rPr>
          <w:rFonts w:ascii="Palatino Linotype" w:eastAsiaTheme="majorEastAsia" w:hAnsi="Palatino Linotype" w:cstheme="majorBidi"/>
          <w:b/>
          <w:lang w:val="es-MX" w:eastAsia="es-MX"/>
        </w:rPr>
        <w:t>TERCERO. De las causales de improcedencia y sobreseimiento.</w:t>
      </w:r>
      <w:bookmarkEnd w:id="147"/>
      <w:bookmarkEnd w:id="148"/>
      <w:bookmarkEnd w:id="149"/>
      <w:bookmarkEnd w:id="150"/>
      <w:bookmarkEnd w:id="151"/>
      <w:bookmarkEnd w:id="152"/>
      <w:bookmarkEnd w:id="153"/>
      <w:bookmarkEnd w:id="154"/>
      <w:bookmarkEnd w:id="155"/>
    </w:p>
    <w:p w:rsidR="006E26FC" w:rsidRPr="00123197" w:rsidRDefault="006E26FC" w:rsidP="00C73D4B">
      <w:pPr>
        <w:spacing w:line="360" w:lineRule="auto"/>
        <w:ind w:left="720"/>
        <w:contextualSpacing/>
        <w:rPr>
          <w:rFonts w:ascii="Palatino Linotype" w:hAnsi="Palatino Linotype" w:cs="Times New Roman"/>
        </w:rPr>
      </w:pPr>
    </w:p>
    <w:p w:rsidR="006E26FC" w:rsidRPr="00123197" w:rsidRDefault="006E26FC" w:rsidP="00C73D4B">
      <w:pPr>
        <w:numPr>
          <w:ilvl w:val="0"/>
          <w:numId w:val="1"/>
        </w:numPr>
        <w:tabs>
          <w:tab w:val="left" w:pos="567"/>
        </w:tabs>
        <w:spacing w:before="240" w:after="240" w:line="360" w:lineRule="auto"/>
        <w:ind w:left="0" w:firstLine="0"/>
        <w:contextualSpacing/>
        <w:jc w:val="both"/>
        <w:rPr>
          <w:rFonts w:ascii="Palatino Linotype" w:eastAsia="MS Mincho" w:hAnsi="Palatino Linotype" w:cs="Times New Roman"/>
          <w:lang w:val="es-MX" w:eastAsia="en-US"/>
        </w:rPr>
      </w:pPr>
      <w:r w:rsidRPr="00123197">
        <w:rPr>
          <w:rFonts w:ascii="Palatino Linotype" w:eastAsia="Times New Roman" w:hAnsi="Palatino Linotype" w:cs="Arial"/>
          <w:lang w:val="es-MX" w:eastAsia="es-MX"/>
        </w:rPr>
        <w:t xml:space="preserve">Es </w:t>
      </w:r>
      <w:r w:rsidRPr="00123197">
        <w:rPr>
          <w:rFonts w:ascii="Palatino Linotype" w:hAnsi="Palatino Linotype" w:cs="Arial"/>
          <w:lang w:eastAsia="es-MX"/>
        </w:rPr>
        <w:t>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6E26FC" w:rsidRPr="00123197" w:rsidRDefault="006E26FC" w:rsidP="00C73D4B">
      <w:pPr>
        <w:spacing w:line="360" w:lineRule="auto"/>
        <w:rPr>
          <w:rFonts w:ascii="Palatino Linotype" w:hAnsi="Palatino Linotype" w:cs="Times New Roman"/>
        </w:rPr>
      </w:pPr>
    </w:p>
    <w:p w:rsidR="006E26FC" w:rsidRPr="00123197" w:rsidRDefault="006E26FC" w:rsidP="00C73D4B">
      <w:pPr>
        <w:numPr>
          <w:ilvl w:val="0"/>
          <w:numId w:val="1"/>
        </w:numPr>
        <w:tabs>
          <w:tab w:val="left" w:pos="567"/>
        </w:tabs>
        <w:spacing w:before="240" w:after="240" w:line="360" w:lineRule="auto"/>
        <w:ind w:left="0" w:firstLine="0"/>
        <w:contextualSpacing/>
        <w:jc w:val="both"/>
        <w:rPr>
          <w:rFonts w:ascii="Palatino Linotype" w:eastAsia="MS Mincho" w:hAnsi="Palatino Linotype" w:cs="Times New Roman"/>
          <w:lang w:val="es-MX" w:eastAsia="en-US"/>
        </w:rPr>
      </w:pPr>
      <w:r w:rsidRPr="00123197">
        <w:rPr>
          <w:rFonts w:ascii="Palatino Linotype" w:eastAsia="MS Mincho" w:hAnsi="Palatino Linotype" w:cs="Times New Roman"/>
          <w:color w:val="000000"/>
          <w:lang w:val="es-MX" w:eastAsia="es-MX"/>
        </w:rPr>
        <w:t xml:space="preserve">Siendo </w:t>
      </w:r>
      <w:r w:rsidRPr="00123197">
        <w:rPr>
          <w:rFonts w:ascii="Palatino Linotype" w:hAnsi="Palatino Linotype" w:cs="Arial"/>
          <w:lang w:eastAsia="es-MX"/>
        </w:rPr>
        <w:t>una facultad legal entrar al estudio de las causas de improcedencia que hagan valer las partes o que se adviertan de oficio por este Resolutor;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w:t>
      </w:r>
      <w:r w:rsidRPr="00123197">
        <w:rPr>
          <w:rFonts w:ascii="Palatino Linotype" w:eastAsia="MS Mincho" w:hAnsi="Palatino Linotype" w:cs="Times New Roman"/>
          <w:color w:val="000000"/>
          <w:lang w:eastAsia="es-MX"/>
        </w:rPr>
        <w:t xml:space="preserve"> </w:t>
      </w:r>
      <w:r w:rsidRPr="00123197">
        <w:rPr>
          <w:rFonts w:ascii="Palatino Linotype" w:eastAsia="MS Mincho" w:hAnsi="Palatino Linotype" w:cs="Times New Roman"/>
          <w:color w:val="000000"/>
          <w:lang w:val="es-MX" w:eastAsia="es-MX"/>
        </w:rPr>
        <w:t xml:space="preserve">Estudio </w:t>
      </w:r>
      <w:r w:rsidRPr="00123197">
        <w:rPr>
          <w:rFonts w:ascii="Palatino Linotype" w:hAnsi="Palatino Linotype" w:cs="Arial"/>
          <w:lang w:eastAsia="es-MX"/>
        </w:rPr>
        <w:t>de causales de improcedencia que no son incompatibles con el derecho de acceso a la justicia, ya que éste no se coarta por regular causas de improcedencia y sobreseimiento con tales fines</w:t>
      </w:r>
      <w:r w:rsidRPr="00123197">
        <w:rPr>
          <w:rFonts w:ascii="Palatino Linotype" w:hAnsi="Palatino Linotype" w:cs="Times New Roman"/>
          <w:vertAlign w:val="superscript"/>
          <w:lang w:eastAsia="es-MX"/>
        </w:rPr>
        <w:footnoteReference w:id="1"/>
      </w:r>
      <w:r w:rsidRPr="00123197">
        <w:rPr>
          <w:rFonts w:ascii="Palatino Linotype" w:hAnsi="Palatino Linotype" w:cs="Arial"/>
          <w:lang w:eastAsia="es-MX"/>
        </w:rPr>
        <w:t>.</w:t>
      </w:r>
    </w:p>
    <w:p w:rsidR="006E26FC" w:rsidRPr="00123197" w:rsidRDefault="006E26FC" w:rsidP="00C73D4B">
      <w:pPr>
        <w:tabs>
          <w:tab w:val="left" w:pos="567"/>
        </w:tabs>
        <w:spacing w:before="240" w:after="240" w:line="360" w:lineRule="auto"/>
        <w:contextualSpacing/>
        <w:jc w:val="both"/>
        <w:rPr>
          <w:rFonts w:ascii="Palatino Linotype" w:eastAsia="MS Mincho" w:hAnsi="Palatino Linotype" w:cs="Times New Roman"/>
          <w:lang w:val="es-MX" w:eastAsia="en-US"/>
        </w:rPr>
      </w:pPr>
    </w:p>
    <w:p w:rsidR="006E26FC" w:rsidRPr="00123197" w:rsidRDefault="006E26FC" w:rsidP="00C73D4B">
      <w:pPr>
        <w:numPr>
          <w:ilvl w:val="0"/>
          <w:numId w:val="1"/>
        </w:numPr>
        <w:tabs>
          <w:tab w:val="left" w:pos="567"/>
        </w:tabs>
        <w:spacing w:before="240" w:after="240" w:line="360" w:lineRule="auto"/>
        <w:ind w:left="0" w:firstLine="0"/>
        <w:contextualSpacing/>
        <w:jc w:val="both"/>
        <w:rPr>
          <w:rFonts w:ascii="Palatino Linotype" w:eastAsia="MS Mincho" w:hAnsi="Palatino Linotype" w:cs="Times New Roman"/>
          <w:lang w:val="es-MX" w:eastAsia="en-US"/>
        </w:rPr>
      </w:pPr>
      <w:r w:rsidRPr="00123197">
        <w:rPr>
          <w:rFonts w:ascii="Palatino Linotype" w:eastAsia="MS Mincho" w:hAnsi="Palatino Linotype" w:cs="Times New Roman"/>
          <w:color w:val="000000"/>
          <w:lang w:val="es-MX" w:eastAsia="es-MX"/>
        </w:rPr>
        <w:t xml:space="preserve">En </w:t>
      </w:r>
      <w:r w:rsidRPr="00123197">
        <w:rPr>
          <w:rFonts w:ascii="Palatino Linotype" w:hAnsi="Palatino Linotype" w:cs="Arial"/>
          <w:lang w:eastAsia="es-MX"/>
        </w:rPr>
        <w:t xml:space="preserve">primer término es necesario hacer alusión a la solicitud de información ya que de ella deriva por un lado al procedimiento de acceso a la información ante el sujeto obligado, y por otro lado la materia sobre la que versara el recurso de revisión ante este Órgano Garante; se resalta la innegable necesidad de interpretar el texto de la solicitud, porque no se podría entender el derecho de acceso a la información sin la existencia de solicitudes de información a la luz de su interpretación ya que ésta </w:t>
      </w:r>
      <w:r w:rsidRPr="00123197">
        <w:rPr>
          <w:rFonts w:ascii="Palatino Linotype" w:hAnsi="Palatino Linotype" w:cs="Arial"/>
          <w:lang w:eastAsia="es-MX"/>
        </w:rPr>
        <w:lastRenderedPageBreak/>
        <w:t>es la fuente de la materia objeto de la transparencia específica en cada recurso de revisión; es decir, no podemos establecer una materia o un tema como objeto de derecho de acceso a la información, si de la solicitud no se entiende o no se precisan temas o materias objetivas; por ello es de notoria importancia el trabajo de interpretación que se le dé a una solicitud de información, ya que el sujeto obligado puede considerar una circunstancia en particular diversa a la que el particular objetivamente requiere. 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6E26FC" w:rsidRPr="00123197" w:rsidRDefault="006E26FC" w:rsidP="00C73D4B">
      <w:pPr>
        <w:tabs>
          <w:tab w:val="left" w:pos="426"/>
        </w:tabs>
        <w:spacing w:before="240" w:after="240" w:line="360" w:lineRule="auto"/>
        <w:contextualSpacing/>
        <w:jc w:val="both"/>
        <w:rPr>
          <w:rFonts w:ascii="Palatino Linotype" w:eastAsia="MS Mincho" w:hAnsi="Palatino Linotype" w:cs="Times New Roman"/>
          <w:b/>
          <w:lang w:eastAsia="en-US"/>
        </w:rPr>
      </w:pPr>
    </w:p>
    <w:p w:rsidR="006E26FC" w:rsidRPr="00123197" w:rsidRDefault="006E26FC" w:rsidP="00C73D4B">
      <w:pPr>
        <w:tabs>
          <w:tab w:val="left" w:pos="426"/>
        </w:tabs>
        <w:spacing w:before="240" w:after="240" w:line="360" w:lineRule="auto"/>
        <w:contextualSpacing/>
        <w:jc w:val="both"/>
        <w:rPr>
          <w:rFonts w:ascii="Palatino Linotype" w:eastAsia="MS Mincho" w:hAnsi="Palatino Linotype" w:cs="Times New Roman"/>
          <w:b/>
          <w:lang w:eastAsia="en-US"/>
        </w:rPr>
      </w:pPr>
      <w:r w:rsidRPr="00123197">
        <w:rPr>
          <w:rFonts w:ascii="Palatino Linotype" w:eastAsia="MS Mincho" w:hAnsi="Palatino Linotype" w:cs="Times New Roman"/>
          <w:b/>
          <w:lang w:eastAsia="en-US"/>
        </w:rPr>
        <w:t xml:space="preserve">De la naturaleza de la información solicitada. </w:t>
      </w:r>
    </w:p>
    <w:p w:rsidR="006E26FC" w:rsidRPr="00123197" w:rsidRDefault="006E26FC" w:rsidP="00C73D4B">
      <w:pPr>
        <w:tabs>
          <w:tab w:val="left" w:pos="426"/>
        </w:tabs>
        <w:spacing w:before="240" w:after="240" w:line="360" w:lineRule="auto"/>
        <w:contextualSpacing/>
        <w:jc w:val="both"/>
        <w:rPr>
          <w:rFonts w:ascii="Palatino Linotype" w:eastAsia="MS Mincho" w:hAnsi="Palatino Linotype" w:cs="Times New Roman"/>
          <w:b/>
          <w:lang w:eastAsia="en-US"/>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hAnsi="Palatino Linotype" w:cs="Times New Roman"/>
        </w:rPr>
        <w:t xml:space="preserve">De las constancias en el expediente al rubro indicado, se desprende que el particular solicitó las Actas de cabildo de las sesiones ordinarias y extraordinarias del uno de enero al treinta y uno de marzo, en vía de informe justificado, el </w:t>
      </w:r>
      <w:r w:rsidRPr="00123197">
        <w:rPr>
          <w:rFonts w:ascii="Palatino Linotype" w:hAnsi="Palatino Linotype" w:cs="Times New Roman"/>
          <w:b/>
        </w:rPr>
        <w:t>SUJETO OBLIGADO</w:t>
      </w:r>
      <w:r w:rsidRPr="00123197">
        <w:rPr>
          <w:rFonts w:ascii="Palatino Linotype" w:hAnsi="Palatino Linotype" w:cs="Times New Roman"/>
        </w:rPr>
        <w:t xml:space="preserve"> entregó un enlace para consultar la información a través de internet.</w:t>
      </w:r>
    </w:p>
    <w:p w:rsidR="006E26FC" w:rsidRPr="00123197" w:rsidRDefault="006E26FC" w:rsidP="00C73D4B">
      <w:pPr>
        <w:tabs>
          <w:tab w:val="left" w:pos="567"/>
        </w:tabs>
        <w:spacing w:line="360" w:lineRule="auto"/>
        <w:ind w:right="49"/>
        <w:contextualSpacing/>
        <w:jc w:val="both"/>
        <w:rPr>
          <w:rFonts w:ascii="Palatino Linotype" w:hAnsi="Palatino Linotype" w:cs="Times New Roman"/>
        </w:rPr>
      </w:pPr>
    </w:p>
    <w:p w:rsidR="0035787A"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hAnsi="Palatino Linotype" w:cs="Times New Roman"/>
        </w:rPr>
        <w:t xml:space="preserve">En el presente asunto, </w:t>
      </w:r>
      <w:r w:rsidR="0035787A" w:rsidRPr="00123197">
        <w:rPr>
          <w:rFonts w:ascii="Palatino Linotype" w:eastAsia="MS Mincho" w:hAnsi="Palatino Linotype"/>
          <w:color w:val="000000"/>
        </w:rPr>
        <w:t>no debe perderse de vista que el</w:t>
      </w:r>
      <w:r w:rsidR="0035787A" w:rsidRPr="00123197">
        <w:rPr>
          <w:rFonts w:ascii="Palatino Linotype" w:eastAsia="MS Mincho" w:hAnsi="Palatino Linotype"/>
          <w:b/>
          <w:color w:val="000000"/>
        </w:rPr>
        <w:t xml:space="preserve"> RECURRENTE</w:t>
      </w:r>
      <w:r w:rsidR="0035787A" w:rsidRPr="00123197">
        <w:rPr>
          <w:rFonts w:ascii="Palatino Linotype" w:eastAsia="MS Mincho" w:hAnsi="Palatino Linotype"/>
          <w:color w:val="000000"/>
        </w:rPr>
        <w:t xml:space="preserve"> no señalo el año del plazo especifico del cual requiere la información, toda vez que de la lectura al contenido de la solicitud de información </w:t>
      </w:r>
      <w:r w:rsidR="0035787A" w:rsidRPr="00123197">
        <w:rPr>
          <w:rFonts w:ascii="Palatino Linotype" w:eastAsia="MS Mincho" w:hAnsi="Palatino Linotype"/>
          <w:b/>
          <w:color w:val="000000"/>
        </w:rPr>
        <w:t xml:space="preserve">00078/TEZOYUCA/IP/2022 </w:t>
      </w:r>
      <w:r w:rsidR="0035787A" w:rsidRPr="00123197">
        <w:rPr>
          <w:rFonts w:ascii="Palatino Linotype" w:eastAsia="MS Mincho" w:hAnsi="Palatino Linotype"/>
          <w:color w:val="000000"/>
        </w:rPr>
        <w:t xml:space="preserve">se advierte que el particular requirió las </w:t>
      </w:r>
      <w:r w:rsidR="0035787A" w:rsidRPr="00123197">
        <w:rPr>
          <w:rFonts w:ascii="Palatino Linotype" w:hAnsi="Palatino Linotype" w:cs="Arial"/>
        </w:rPr>
        <w:t xml:space="preserve">Actas de cabildo de las sesiones ordinarias y extraordinarias del periodo comprendido de Enero- Marzo, mas no indico el año, por lo tanto, </w:t>
      </w:r>
      <w:r w:rsidR="0035787A" w:rsidRPr="00123197">
        <w:rPr>
          <w:rFonts w:ascii="Palatino Linotype" w:hAnsi="Palatino Linotype" w:cs="Times New Roman"/>
        </w:rPr>
        <w:t xml:space="preserve">el </w:t>
      </w:r>
      <w:r w:rsidR="0035787A" w:rsidRPr="00123197">
        <w:rPr>
          <w:rFonts w:ascii="Palatino Linotype" w:hAnsi="Palatino Linotype" w:cs="Arial"/>
        </w:rPr>
        <w:t xml:space="preserve">periodo consistente será el año inmediato anterior a la fecha de la </w:t>
      </w:r>
      <w:r w:rsidR="0035787A" w:rsidRPr="00123197">
        <w:rPr>
          <w:rFonts w:ascii="Palatino Linotype" w:hAnsi="Palatino Linotype" w:cs="Arial"/>
        </w:rPr>
        <w:lastRenderedPageBreak/>
        <w:t xml:space="preserve">presentación de la solicitud, esto es del uno (01) de enero al treinta y uno (31) de marzo del dos mil veintidós. </w:t>
      </w:r>
    </w:p>
    <w:p w:rsidR="0035787A" w:rsidRPr="00123197" w:rsidRDefault="0035787A" w:rsidP="00C73D4B">
      <w:pPr>
        <w:pStyle w:val="Prrafodelista"/>
        <w:spacing w:line="360" w:lineRule="auto"/>
        <w:rPr>
          <w:rFonts w:ascii="Palatino Linotype" w:eastAsia="MS Mincho" w:hAnsi="Palatino Linotype"/>
          <w:color w:val="000000"/>
        </w:rPr>
      </w:pPr>
    </w:p>
    <w:p w:rsidR="0035787A" w:rsidRPr="00123197" w:rsidRDefault="0035787A" w:rsidP="00C73D4B">
      <w:pPr>
        <w:numPr>
          <w:ilvl w:val="0"/>
          <w:numId w:val="1"/>
        </w:numPr>
        <w:tabs>
          <w:tab w:val="left" w:pos="567"/>
        </w:tabs>
        <w:spacing w:after="160" w:line="360" w:lineRule="auto"/>
        <w:ind w:left="0" w:firstLine="0"/>
        <w:jc w:val="both"/>
        <w:rPr>
          <w:rFonts w:ascii="Palatino Linotype" w:eastAsia="MS Mincho" w:hAnsi="Palatino Linotype"/>
          <w:color w:val="000000"/>
        </w:rPr>
      </w:pPr>
      <w:r w:rsidRPr="00123197">
        <w:rPr>
          <w:rFonts w:ascii="Palatino Linotype" w:eastAsia="MS Mincho" w:hAnsi="Palatino Linotype"/>
          <w:color w:val="000000"/>
        </w:rPr>
        <w:t xml:space="preserve">Sustenta lo anterior el Criterio de Interpretación 003/19 emitido por el Instituto Nacional de Transparencia, Acceso a la Información y Protección de Datos Personales, cuyo rubro y texto establecen lo siguiente: </w:t>
      </w:r>
    </w:p>
    <w:p w:rsidR="0035787A" w:rsidRPr="00123197" w:rsidRDefault="0035787A" w:rsidP="00C73D4B">
      <w:pPr>
        <w:tabs>
          <w:tab w:val="left" w:pos="567"/>
        </w:tabs>
        <w:spacing w:after="160" w:line="360" w:lineRule="auto"/>
        <w:jc w:val="both"/>
        <w:rPr>
          <w:rFonts w:ascii="Palatino Linotype" w:eastAsia="MS Mincho" w:hAnsi="Palatino Linotype"/>
          <w:color w:val="000000"/>
        </w:rPr>
      </w:pPr>
    </w:p>
    <w:p w:rsidR="0035787A" w:rsidRPr="00123197" w:rsidRDefault="0035787A" w:rsidP="00C73D4B">
      <w:pPr>
        <w:spacing w:after="160" w:line="360" w:lineRule="auto"/>
        <w:ind w:left="567" w:right="900"/>
        <w:jc w:val="both"/>
        <w:rPr>
          <w:rFonts w:ascii="Palatino Linotype" w:eastAsia="MS Mincho" w:hAnsi="Palatino Linotype"/>
          <w:color w:val="000000"/>
        </w:rPr>
      </w:pPr>
      <w:r w:rsidRPr="00123197">
        <w:rPr>
          <w:rFonts w:ascii="Palatino Linotype" w:eastAsia="MS Mincho" w:hAnsi="Palatino Linotype"/>
          <w:i/>
          <w:color w:val="000000"/>
        </w:rPr>
        <w:t>“</w:t>
      </w:r>
      <w:r w:rsidRPr="00123197">
        <w:rPr>
          <w:rFonts w:ascii="Palatino Linotype" w:eastAsia="MS Mincho" w:hAnsi="Palatino Linotype"/>
          <w:b/>
          <w:i/>
          <w:color w:val="000000"/>
        </w:rPr>
        <w:t>PERIODO DE BÚSQUEDA DE LA INFORMACIÓN</w:t>
      </w:r>
      <w:r w:rsidRPr="00123197">
        <w:rPr>
          <w:rFonts w:ascii="Palatino Linotype" w:eastAsia="MS Mincho" w:hAnsi="Palatino Linotype"/>
          <w:i/>
          <w:color w:val="000000"/>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 </w:t>
      </w:r>
    </w:p>
    <w:p w:rsidR="006E26FC" w:rsidRPr="00123197" w:rsidRDefault="006E26FC" w:rsidP="00C73D4B">
      <w:pPr>
        <w:spacing w:line="360" w:lineRule="auto"/>
        <w:ind w:right="49"/>
        <w:contextualSpacing/>
        <w:jc w:val="both"/>
        <w:rPr>
          <w:rFonts w:ascii="Palatino Linotype" w:hAnsi="Palatino Linotype" w:cs="Times New Roman"/>
        </w:rPr>
      </w:pPr>
    </w:p>
    <w:p w:rsidR="0035787A" w:rsidRPr="00123197" w:rsidRDefault="0035787A" w:rsidP="00C73D4B">
      <w:pPr>
        <w:numPr>
          <w:ilvl w:val="0"/>
          <w:numId w:val="1"/>
        </w:numPr>
        <w:spacing w:line="360" w:lineRule="auto"/>
        <w:ind w:left="0" w:right="49" w:firstLine="0"/>
        <w:contextualSpacing/>
        <w:jc w:val="both"/>
        <w:rPr>
          <w:rFonts w:ascii="Palatino Linotype" w:hAnsi="Palatino Linotype" w:cs="Times New Roman"/>
        </w:rPr>
      </w:pPr>
      <w:r w:rsidRPr="00123197">
        <w:rPr>
          <w:rFonts w:ascii="Palatino Linotype" w:hAnsi="Palatino Linotype" w:cs="Times New Roman"/>
        </w:rPr>
        <w:t>En este contexto,</w:t>
      </w:r>
      <w:r w:rsidR="00B82E65" w:rsidRPr="00123197">
        <w:rPr>
          <w:rFonts w:ascii="Palatino Linotype" w:hAnsi="Palatino Linotype" w:cs="Times New Roman"/>
        </w:rPr>
        <w:t xml:space="preserve"> mediante informe justificado</w:t>
      </w:r>
      <w:r w:rsidRPr="00123197">
        <w:rPr>
          <w:rFonts w:ascii="Palatino Linotype" w:hAnsi="Palatino Linotype" w:cs="Times New Roman"/>
        </w:rPr>
        <w:t xml:space="preserve"> el </w:t>
      </w:r>
      <w:r w:rsidRPr="00123197">
        <w:rPr>
          <w:rFonts w:ascii="Palatino Linotype" w:hAnsi="Palatino Linotype"/>
          <w:b/>
          <w:color w:val="000000" w:themeColor="text1"/>
        </w:rPr>
        <w:t>SUJETO OBLIGADO</w:t>
      </w:r>
      <w:r w:rsidRPr="00123197">
        <w:rPr>
          <w:rFonts w:ascii="Palatino Linotype" w:hAnsi="Palatino Linotype"/>
          <w:color w:val="000000" w:themeColor="text1"/>
        </w:rPr>
        <w:t xml:space="preserve"> entregó un enlace (</w:t>
      </w:r>
      <w:hyperlink r:id="rId9" w:history="1">
        <w:r w:rsidRPr="00123197">
          <w:rPr>
            <w:rStyle w:val="Hipervnculo"/>
            <w:rFonts w:ascii="Palatino Linotype" w:hAnsi="Palatino Linotype"/>
            <w:lang w:val="es-MX"/>
          </w:rPr>
          <w:t>https://www.ipomex.org.mx/ipo3/lgt/indice/TEZOYUCA/art_94_ii_b2.web?token=03ANYolqulcUJVbyntRlscy2HnoT0zbN8N7OlmrVlHAS7fbk4se0ibunyMKWJroaOGzEMojfrqy95MMSHeJlxyi703TvgtK9q6eszqpHoLYjpAmLmGK_zhSQOy8jY2WktBBjMUpGAslHveZkYOkBjmRK1xoxN_1nKqDtD7cq_FmnNl2u8jKLVgzk2-s7tKgovuecnZGhjJ9iJWBbzzJwnpylml0JoQEyzLiHAW3DSbcXcNK1H-zYdq59AwgEnsoeugTcsMA8u1c8Lo0yprwR5EPoLpDbT527AHdHpEuplYtJMxqH6kAGlBYA1FxPbM47WwEufmsB9DxPpVtysbyXXMCirlHe9gpV6vE2Aa4Ln41_rfxJPoQ_iFc5rZ5DjVALbybHaqnjlbqwCUMu1FCPkzZ4B9_7ndGHvQCF9Gq8PA2GO5rXkDLabXYRSWVzMFzTKrpunGgv6neTB5PCbgbD3QFOsritpfzGCPzGug_k</w:t>
        </w:r>
        <w:r w:rsidRPr="00123197">
          <w:rPr>
            <w:rStyle w:val="Hipervnculo"/>
            <w:rFonts w:ascii="Palatino Linotype" w:hAnsi="Palatino Linotype"/>
            <w:lang w:val="es-MX"/>
          </w:rPr>
          <w:lastRenderedPageBreak/>
          <w:t>1xclT02Prllj2Eq2MtrkkFcobRNsNeK6poVa0i6nVWkeyA39Ki1d7mFzls_faozLsckb8ySlqmWBk8ojTi3RhFE6xeLeKjNJ7uf#</w:t>
        </w:r>
      </w:hyperlink>
      <w:r w:rsidRPr="00123197">
        <w:rPr>
          <w:rFonts w:ascii="Palatino Linotype" w:hAnsi="Palatino Linotype"/>
          <w:color w:val="000000" w:themeColor="text1"/>
        </w:rPr>
        <w:t>) el cual nos remite al portal de Ipomex en la fracción II B2 “Sesiones celebradas de cabildo”</w:t>
      </w:r>
      <w:r w:rsidRPr="00123197">
        <w:rPr>
          <w:rFonts w:ascii="Palatino Linotype" w:hAnsi="Palatino Linotype"/>
          <w:color w:val="000000" w:themeColor="text1"/>
          <w:lang w:val="es-MX"/>
        </w:rPr>
        <w:t xml:space="preserve">, </w:t>
      </w:r>
      <w:r w:rsidRPr="00123197">
        <w:rPr>
          <w:rFonts w:ascii="Palatino Linotype" w:hAnsi="Palatino Linotype"/>
          <w:color w:val="000000" w:themeColor="text1"/>
        </w:rPr>
        <w:t>se aprecian los ejercicios 2019, 2020, 2021, 2022 y 2023. Se adjunta a continuación la captura de imagen del sitio como mera referencia:</w:t>
      </w:r>
    </w:p>
    <w:p w:rsidR="0035787A" w:rsidRPr="00123197" w:rsidRDefault="0035787A" w:rsidP="00C73D4B">
      <w:pPr>
        <w:spacing w:line="360" w:lineRule="auto"/>
        <w:ind w:right="49"/>
        <w:contextualSpacing/>
        <w:jc w:val="both"/>
        <w:rPr>
          <w:rFonts w:ascii="Palatino Linotype" w:hAnsi="Palatino Linotype" w:cs="Times New Roman"/>
        </w:rPr>
      </w:pPr>
    </w:p>
    <w:p w:rsidR="0035787A" w:rsidRPr="00123197" w:rsidRDefault="0035787A" w:rsidP="00C73D4B">
      <w:pPr>
        <w:spacing w:line="360" w:lineRule="auto"/>
        <w:ind w:right="49"/>
        <w:contextualSpacing/>
        <w:jc w:val="center"/>
        <w:rPr>
          <w:rFonts w:ascii="Palatino Linotype" w:hAnsi="Palatino Linotype" w:cs="Times New Roman"/>
        </w:rPr>
      </w:pPr>
      <w:r w:rsidRPr="00123197">
        <w:rPr>
          <w:rFonts w:ascii="Palatino Linotype" w:hAnsi="Palatino Linotype" w:cs="Times New Roman"/>
          <w:noProof/>
          <w:lang w:val="es-MX" w:eastAsia="es-MX"/>
        </w:rPr>
        <w:drawing>
          <wp:inline distT="0" distB="0" distL="0" distR="0" wp14:anchorId="4B451EA2">
            <wp:extent cx="5090795" cy="29019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0795" cy="2901950"/>
                    </a:xfrm>
                    <a:prstGeom prst="rect">
                      <a:avLst/>
                    </a:prstGeom>
                    <a:noFill/>
                  </pic:spPr>
                </pic:pic>
              </a:graphicData>
            </a:graphic>
          </wp:inline>
        </w:drawing>
      </w:r>
    </w:p>
    <w:p w:rsidR="0035787A" w:rsidRPr="00123197" w:rsidRDefault="0035787A" w:rsidP="00C73D4B">
      <w:pPr>
        <w:spacing w:line="360" w:lineRule="auto"/>
        <w:ind w:right="49"/>
        <w:contextualSpacing/>
        <w:jc w:val="center"/>
        <w:rPr>
          <w:rFonts w:ascii="Palatino Linotype" w:hAnsi="Palatino Linotype" w:cs="Times New Roman"/>
        </w:rPr>
      </w:pPr>
    </w:p>
    <w:p w:rsidR="00B82E65" w:rsidRPr="00123197" w:rsidRDefault="0035787A"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hAnsi="Palatino Linotype" w:cs="Times New Roman"/>
        </w:rPr>
        <w:t>Es menester precisar, que en el enlace remitido, en el ejercicio 2022</w:t>
      </w:r>
      <w:r w:rsidR="00DA1A71" w:rsidRPr="00123197">
        <w:rPr>
          <w:rFonts w:ascii="Palatino Linotype" w:hAnsi="Palatino Linotype" w:cs="Times New Roman"/>
        </w:rPr>
        <w:t xml:space="preserve">, se </w:t>
      </w:r>
      <w:r w:rsidR="00B82E65" w:rsidRPr="00123197">
        <w:rPr>
          <w:rFonts w:ascii="Palatino Linotype" w:hAnsi="Palatino Linotype" w:cs="Times New Roman"/>
        </w:rPr>
        <w:t xml:space="preserve">localizan </w:t>
      </w:r>
      <w:r w:rsidR="00DA1A71" w:rsidRPr="00123197">
        <w:rPr>
          <w:rFonts w:ascii="Palatino Linotype" w:hAnsi="Palatino Linotype" w:cs="Times New Roman"/>
        </w:rPr>
        <w:t xml:space="preserve">56 registros, de los cuales 17 de ellos corresponden al periodo de Enero-Marzo 2022, no debe perderse de vista que </w:t>
      </w:r>
      <w:r w:rsidR="00B82E65" w:rsidRPr="00123197">
        <w:rPr>
          <w:rFonts w:ascii="Palatino Linotype" w:hAnsi="Palatino Linotype" w:cs="Times New Roman"/>
        </w:rPr>
        <w:t xml:space="preserve">las Sesiones de Cabildo tanto Ordinarias como Extraordinarias se encuentran a partir del registro 39 al 56 de manera descendente.  </w:t>
      </w:r>
    </w:p>
    <w:p w:rsidR="00B82E65" w:rsidRPr="00123197" w:rsidRDefault="00B82E65" w:rsidP="00C73D4B">
      <w:pPr>
        <w:pStyle w:val="Prrafodelista"/>
        <w:tabs>
          <w:tab w:val="left" w:pos="567"/>
        </w:tabs>
        <w:spacing w:after="160" w:line="360" w:lineRule="auto"/>
        <w:ind w:left="0"/>
        <w:jc w:val="both"/>
        <w:rPr>
          <w:rFonts w:ascii="Palatino Linotype" w:eastAsia="MS Mincho" w:hAnsi="Palatino Linotype"/>
          <w:color w:val="000000"/>
        </w:rPr>
      </w:pPr>
    </w:p>
    <w:p w:rsidR="00B82E65" w:rsidRPr="00123197" w:rsidRDefault="00B82E65" w:rsidP="00C73D4B">
      <w:pPr>
        <w:pStyle w:val="Prrafodelista"/>
        <w:numPr>
          <w:ilvl w:val="0"/>
          <w:numId w:val="1"/>
        </w:numPr>
        <w:tabs>
          <w:tab w:val="left" w:pos="567"/>
        </w:tabs>
        <w:spacing w:after="160" w:line="360" w:lineRule="auto"/>
        <w:ind w:left="0" w:firstLine="0"/>
        <w:jc w:val="both"/>
        <w:rPr>
          <w:rFonts w:ascii="Palatino Linotype" w:eastAsia="MS Mincho" w:hAnsi="Palatino Linotype"/>
          <w:color w:val="000000"/>
        </w:rPr>
      </w:pPr>
      <w:r w:rsidRPr="00123197">
        <w:rPr>
          <w:rFonts w:ascii="Palatino Linotype" w:hAnsi="Palatino Linotype"/>
          <w:color w:val="000000" w:themeColor="text1"/>
        </w:rPr>
        <w:t xml:space="preserve">En ese sentido, señalar que lo aducido por el </w:t>
      </w:r>
      <w:r w:rsidRPr="00123197">
        <w:rPr>
          <w:rFonts w:ascii="Palatino Linotype" w:hAnsi="Palatino Linotype"/>
          <w:b/>
          <w:color w:val="000000" w:themeColor="text1"/>
        </w:rPr>
        <w:t>SUJETO OBLIGADO</w:t>
      </w:r>
      <w:r w:rsidRPr="00123197">
        <w:rPr>
          <w:rFonts w:ascii="Palatino Linotype" w:hAnsi="Palatino Linotype"/>
          <w:color w:val="000000" w:themeColor="text1"/>
        </w:rPr>
        <w:t xml:space="preserve"> en informe justificado resulta correcto, toda vez que el Sistema de Información Pública de Oficio Mexiquense (IPOMEX) corresponde a una herramienta tecnológica que permite a los sujetos obligados publicar lo correspondiente a la información pública de oficio </w:t>
      </w:r>
      <w:r w:rsidRPr="00123197">
        <w:rPr>
          <w:rFonts w:ascii="Palatino Linotype" w:hAnsi="Palatino Linotype"/>
          <w:color w:val="000000" w:themeColor="text1"/>
        </w:rPr>
        <w:lastRenderedPageBreak/>
        <w:t>que contempla la ley de la materia y que del caso concreto se encuentra establecido en el artículo 92 fracción L, como se observa:</w:t>
      </w:r>
    </w:p>
    <w:p w:rsidR="00B82E65" w:rsidRPr="00123197" w:rsidRDefault="00B82E65" w:rsidP="00C73D4B">
      <w:pPr>
        <w:spacing w:line="360" w:lineRule="auto"/>
        <w:contextualSpacing/>
        <w:jc w:val="both"/>
        <w:rPr>
          <w:rFonts w:ascii="Palatino Linotype" w:hAnsi="Palatino Linotype"/>
          <w:color w:val="000000" w:themeColor="text1"/>
        </w:rPr>
      </w:pPr>
    </w:p>
    <w:p w:rsidR="00B82E65" w:rsidRPr="00123197" w:rsidRDefault="00B82E65" w:rsidP="00C73D4B">
      <w:pPr>
        <w:tabs>
          <w:tab w:val="left" w:pos="7938"/>
        </w:tabs>
        <w:spacing w:line="360" w:lineRule="auto"/>
        <w:ind w:left="567" w:right="900"/>
        <w:contextualSpacing/>
        <w:jc w:val="both"/>
        <w:rPr>
          <w:rFonts w:ascii="Palatino Linotype" w:hAnsi="Palatino Linotype"/>
          <w:i/>
          <w:color w:val="000000" w:themeColor="text1"/>
        </w:rPr>
      </w:pPr>
      <w:r w:rsidRPr="00123197">
        <w:rPr>
          <w:rFonts w:ascii="Palatino Linotype" w:hAnsi="Palatino Linotype"/>
          <w:i/>
          <w:color w:val="000000" w:themeColor="text1"/>
        </w:rPr>
        <w:t xml:space="preserve">“Artículo 92. Los sujetos obligados deberán poner </w:t>
      </w:r>
      <w:r w:rsidRPr="00123197">
        <w:rPr>
          <w:rFonts w:ascii="Palatino Linotype" w:hAnsi="Palatino Linotype"/>
          <w:b/>
          <w:i/>
          <w:color w:val="000000" w:themeColor="text1"/>
          <w:u w:val="single"/>
        </w:rPr>
        <w:t>a disposición del público</w:t>
      </w:r>
      <w:r w:rsidRPr="00123197">
        <w:rPr>
          <w:rFonts w:ascii="Palatino Linotype" w:hAnsi="Palatino Linotype"/>
          <w:b/>
          <w:i/>
          <w:color w:val="000000" w:themeColor="text1"/>
        </w:rPr>
        <w:t xml:space="preserve"> de manera permanente y actualizada de forma sencilla, precisa y entendible</w:t>
      </w:r>
      <w:r w:rsidRPr="00123197">
        <w:rPr>
          <w:rFonts w:ascii="Palatino Linotype" w:hAnsi="Palatino Linotype"/>
          <w:i/>
          <w:color w:val="000000" w:themeColor="text1"/>
        </w:rPr>
        <w:t>, en los respectivos medios electrónicos, de acuerdo con sus facultades, atribuciones, funciones u objeto social, según corresponda, la información, por lo menos, de los temas, documentos y políticas que a continuación se señalan:</w:t>
      </w:r>
    </w:p>
    <w:p w:rsidR="00B82E65" w:rsidRPr="00123197" w:rsidRDefault="00B82E65" w:rsidP="00C73D4B">
      <w:pPr>
        <w:tabs>
          <w:tab w:val="left" w:pos="7938"/>
        </w:tabs>
        <w:spacing w:line="360" w:lineRule="auto"/>
        <w:ind w:left="567" w:right="900"/>
        <w:contextualSpacing/>
        <w:jc w:val="both"/>
        <w:rPr>
          <w:rFonts w:ascii="Palatino Linotype" w:hAnsi="Palatino Linotype"/>
          <w:i/>
          <w:color w:val="000000" w:themeColor="text1"/>
        </w:rPr>
      </w:pPr>
      <w:r w:rsidRPr="00123197">
        <w:rPr>
          <w:rFonts w:ascii="Palatino Linotype" w:hAnsi="Palatino Linotype"/>
          <w:i/>
          <w:color w:val="000000" w:themeColor="text1"/>
        </w:rPr>
        <w:t>(…)</w:t>
      </w:r>
    </w:p>
    <w:p w:rsidR="00B82E65" w:rsidRPr="00123197" w:rsidRDefault="00B82E65" w:rsidP="00C73D4B">
      <w:pPr>
        <w:tabs>
          <w:tab w:val="left" w:pos="7938"/>
        </w:tabs>
        <w:spacing w:line="360" w:lineRule="auto"/>
        <w:ind w:left="567" w:right="900"/>
        <w:contextualSpacing/>
        <w:jc w:val="both"/>
        <w:rPr>
          <w:rFonts w:ascii="Palatino Linotype" w:hAnsi="Palatino Linotype"/>
          <w:i/>
          <w:color w:val="000000" w:themeColor="text1"/>
        </w:rPr>
      </w:pPr>
      <w:r w:rsidRPr="00123197">
        <w:rPr>
          <w:rFonts w:ascii="Palatino Linotype" w:hAnsi="Palatino Linotype"/>
          <w:i/>
          <w:color w:val="000000" w:themeColor="text1"/>
        </w:rPr>
        <w:t>L. Las actas de sesiones ordinarias y extraordinarias, así como las opiniones y recomendaciones de los consejos consultivos;</w:t>
      </w:r>
    </w:p>
    <w:p w:rsidR="00B82E65" w:rsidRPr="00123197" w:rsidRDefault="00B82E65" w:rsidP="00C73D4B">
      <w:pPr>
        <w:tabs>
          <w:tab w:val="left" w:pos="7938"/>
        </w:tabs>
        <w:spacing w:line="360" w:lineRule="auto"/>
        <w:ind w:left="567" w:right="900"/>
        <w:contextualSpacing/>
        <w:jc w:val="both"/>
        <w:rPr>
          <w:rFonts w:ascii="Palatino Linotype" w:hAnsi="Palatino Linotype"/>
          <w:i/>
          <w:color w:val="000000" w:themeColor="text1"/>
        </w:rPr>
      </w:pPr>
      <w:r w:rsidRPr="00123197">
        <w:rPr>
          <w:rFonts w:ascii="Palatino Linotype" w:hAnsi="Palatino Linotype"/>
          <w:i/>
          <w:color w:val="000000" w:themeColor="text1"/>
        </w:rPr>
        <w:t>(...)"</w:t>
      </w:r>
    </w:p>
    <w:p w:rsidR="00B82E65" w:rsidRPr="00123197" w:rsidRDefault="00B82E65" w:rsidP="00C73D4B">
      <w:pPr>
        <w:spacing w:line="360" w:lineRule="auto"/>
        <w:contextualSpacing/>
        <w:jc w:val="both"/>
        <w:rPr>
          <w:rFonts w:ascii="Palatino Linotype" w:hAnsi="Palatino Linotype"/>
          <w:color w:val="000000" w:themeColor="text1"/>
        </w:rPr>
      </w:pPr>
    </w:p>
    <w:p w:rsidR="00B82E65" w:rsidRPr="00123197" w:rsidRDefault="00B82E65" w:rsidP="00C73D4B">
      <w:pPr>
        <w:numPr>
          <w:ilvl w:val="0"/>
          <w:numId w:val="1"/>
        </w:numPr>
        <w:tabs>
          <w:tab w:val="left" w:pos="567"/>
        </w:tabs>
        <w:spacing w:line="360" w:lineRule="auto"/>
        <w:ind w:left="0" w:firstLine="0"/>
        <w:contextualSpacing/>
        <w:jc w:val="both"/>
        <w:rPr>
          <w:rFonts w:ascii="Palatino Linotype" w:hAnsi="Palatino Linotype"/>
          <w:color w:val="000000" w:themeColor="text1"/>
        </w:rPr>
      </w:pPr>
      <w:r w:rsidRPr="00123197">
        <w:rPr>
          <w:rFonts w:ascii="Palatino Linotype" w:hAnsi="Palatino Linotype"/>
          <w:color w:val="000000" w:themeColor="text1"/>
        </w:rPr>
        <w:t>Como se aprecia, ciertamente el IPOMEX es un medio a través del cual los sujetos obligados deben poner a disposición del público de manera permanente y actualizada diverso información considerada de oficio, en la que al caso concreto se advierte el marco normativo aplicable, el cual corresponde al Bando Municipal del Ayuntamiento de Tezoyuca.</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MS Mincho" w:hAnsi="Palatino Linotype" w:cs="Times New Roman"/>
          <w:color w:val="000000"/>
          <w:lang w:val="es-MX" w:eastAsia="es-MX"/>
        </w:rPr>
        <w:t xml:space="preserve">Es </w:t>
      </w:r>
      <w:r w:rsidRPr="00123197">
        <w:rPr>
          <w:rFonts w:ascii="Palatino Linotype" w:eastAsia="Calibri" w:hAnsi="Palatino Linotype" w:cs="Arial"/>
          <w:lang w:val="es-MX" w:eastAsia="es-MX"/>
        </w:rPr>
        <w:t>necesario señalar, que este Órgano Garante</w:t>
      </w:r>
      <w:r w:rsidRPr="00123197">
        <w:rPr>
          <w:rFonts w:ascii="Palatino Linotype" w:eastAsia="Calibri" w:hAnsi="Palatino Linotype" w:cs="Arial"/>
          <w:lang w:eastAsia="es-MX"/>
        </w:rPr>
        <w:t xml:space="preserve"> no se encuentra facultado para manifestarse sobre la veracidad de la información proporcionada por parte de los </w:t>
      </w:r>
      <w:r w:rsidRPr="00123197">
        <w:rPr>
          <w:rFonts w:ascii="Palatino Linotype" w:eastAsia="Calibri" w:hAnsi="Palatino Linotype" w:cs="Arial"/>
          <w:b/>
          <w:lang w:eastAsia="es-MX"/>
        </w:rPr>
        <w:t>SUJETOS OBLIGADOS</w:t>
      </w:r>
      <w:r w:rsidRPr="00123197">
        <w:rPr>
          <w:rFonts w:ascii="Palatino Linotype" w:eastAsia="Calibri" w:hAnsi="Palatino Linotype" w:cs="Arial"/>
          <w:lang w:eastAsia="es-MX"/>
        </w:rPr>
        <w:t xml:space="preserve">, conforme a lo establecido en el Criterio 31/10 emitido por el Instituto Nacional de Transparencia, Acceso a la Información Pública y Protección </w:t>
      </w:r>
      <w:r w:rsidRPr="00123197">
        <w:rPr>
          <w:rFonts w:ascii="Palatino Linotype" w:eastAsia="Calibri" w:hAnsi="Palatino Linotype" w:cs="Arial"/>
          <w:lang w:eastAsia="es-MX"/>
        </w:rPr>
        <w:lastRenderedPageBreak/>
        <w:t>de Datos Personales INAI (anteriormente IFAI) que se procede a citar a continuación:</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tabs>
          <w:tab w:val="left" w:pos="8222"/>
        </w:tabs>
        <w:spacing w:line="360" w:lineRule="auto"/>
        <w:ind w:left="567" w:right="567"/>
        <w:contextualSpacing/>
        <w:jc w:val="both"/>
        <w:rPr>
          <w:rFonts w:ascii="Palatino Linotype" w:eastAsia="MS Mincho" w:hAnsi="Palatino Linotype" w:cs="Arial"/>
          <w:i/>
          <w:lang w:val="es-MX" w:eastAsia="es-MX"/>
        </w:rPr>
      </w:pPr>
      <w:r w:rsidRPr="00123197">
        <w:rPr>
          <w:rFonts w:ascii="Palatino Linotype" w:eastAsia="MS Mincho" w:hAnsi="Palatino Linotype" w:cs="Arial"/>
          <w:b/>
          <w:i/>
          <w:lang w:val="es-MX" w:eastAsia="es-MX"/>
        </w:rPr>
        <w:t>“El Instituto Federal de Acceso a la Información y Protección de Datos no cuenta con facultades para pronunciarse respecto de la veracidad de los documentos proporcionados por los sujetos obligados.</w:t>
      </w:r>
      <w:r w:rsidRPr="00123197">
        <w:rPr>
          <w:rFonts w:ascii="Palatino Linotype" w:eastAsia="MS Mincho" w:hAnsi="Palatino Linotype" w:cs="Arial"/>
          <w:i/>
          <w:lang w:val="es-MX"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6E26FC" w:rsidRPr="00123197" w:rsidRDefault="006E26FC" w:rsidP="00C73D4B">
      <w:pPr>
        <w:tabs>
          <w:tab w:val="left" w:pos="8222"/>
        </w:tabs>
        <w:spacing w:line="360" w:lineRule="auto"/>
        <w:ind w:left="567" w:right="567"/>
        <w:contextualSpacing/>
        <w:jc w:val="both"/>
        <w:rPr>
          <w:rFonts w:ascii="Palatino Linotype" w:eastAsia="MS Mincho" w:hAnsi="Palatino Linotype" w:cs="Arial"/>
          <w:i/>
          <w:lang w:val="es-MX" w:eastAsia="es-MX"/>
        </w:rPr>
      </w:pPr>
    </w:p>
    <w:p w:rsidR="006E26FC" w:rsidRPr="00123197" w:rsidRDefault="006E26FC" w:rsidP="00C73D4B">
      <w:pPr>
        <w:tabs>
          <w:tab w:val="left" w:pos="8222"/>
        </w:tabs>
        <w:spacing w:line="360" w:lineRule="auto"/>
        <w:ind w:left="567" w:right="567"/>
        <w:contextualSpacing/>
        <w:jc w:val="both"/>
        <w:rPr>
          <w:rFonts w:ascii="Palatino Linotype" w:eastAsia="MS Mincho" w:hAnsi="Palatino Linotype" w:cs="Arial"/>
          <w:i/>
          <w:lang w:val="es-MX" w:eastAsia="es-MX"/>
        </w:rPr>
      </w:pPr>
      <w:r w:rsidRPr="00123197">
        <w:rPr>
          <w:rFonts w:ascii="Palatino Linotype" w:eastAsia="MS Mincho" w:hAnsi="Palatino Linotype" w:cs="Arial"/>
          <w:i/>
          <w:lang w:val="es-MX" w:eastAsia="es-MX"/>
        </w:rPr>
        <w:t>Expedientes:</w:t>
      </w:r>
    </w:p>
    <w:p w:rsidR="006E26FC" w:rsidRPr="00123197" w:rsidRDefault="006E26FC" w:rsidP="00C73D4B">
      <w:pPr>
        <w:tabs>
          <w:tab w:val="left" w:pos="8222"/>
        </w:tabs>
        <w:spacing w:line="360" w:lineRule="auto"/>
        <w:ind w:left="567" w:right="567"/>
        <w:contextualSpacing/>
        <w:rPr>
          <w:rFonts w:ascii="Palatino Linotype" w:eastAsia="MS Mincho" w:hAnsi="Palatino Linotype" w:cs="Arial"/>
          <w:i/>
          <w:lang w:val="es-MX" w:eastAsia="es-MX"/>
        </w:rPr>
      </w:pPr>
      <w:r w:rsidRPr="00123197">
        <w:rPr>
          <w:rFonts w:ascii="Palatino Linotype" w:eastAsia="MS Mincho" w:hAnsi="Palatino Linotype" w:cs="Arial"/>
          <w:i/>
          <w:lang w:val="es-MX" w:eastAsia="es-MX"/>
        </w:rPr>
        <w:t>2440/07 Comisión Federal de Electricidad - Alonso Lujambio Irazábal</w:t>
      </w:r>
    </w:p>
    <w:p w:rsidR="006E26FC" w:rsidRPr="00123197" w:rsidRDefault="006E26FC" w:rsidP="00C73D4B">
      <w:pPr>
        <w:tabs>
          <w:tab w:val="left" w:pos="8222"/>
        </w:tabs>
        <w:spacing w:line="360" w:lineRule="auto"/>
        <w:ind w:left="567" w:right="567"/>
        <w:contextualSpacing/>
        <w:rPr>
          <w:rFonts w:ascii="Palatino Linotype" w:eastAsia="MS Mincho" w:hAnsi="Palatino Linotype" w:cs="Arial"/>
          <w:i/>
          <w:lang w:val="es-MX" w:eastAsia="es-MX"/>
        </w:rPr>
      </w:pPr>
      <w:r w:rsidRPr="00123197">
        <w:rPr>
          <w:rFonts w:ascii="Palatino Linotype" w:eastAsia="MS Mincho" w:hAnsi="Palatino Linotype" w:cs="Arial"/>
          <w:i/>
          <w:lang w:val="es-MX" w:eastAsia="es-MX"/>
        </w:rPr>
        <w:t>0113/09 Instituto de Seguridad y Servicios Sociales de los Trabajadores del</w:t>
      </w:r>
    </w:p>
    <w:p w:rsidR="006E26FC" w:rsidRPr="00123197" w:rsidRDefault="006E26FC" w:rsidP="00C73D4B">
      <w:pPr>
        <w:tabs>
          <w:tab w:val="left" w:pos="8222"/>
        </w:tabs>
        <w:spacing w:line="360" w:lineRule="auto"/>
        <w:ind w:left="567" w:right="567"/>
        <w:contextualSpacing/>
        <w:rPr>
          <w:rFonts w:ascii="Palatino Linotype" w:eastAsia="MS Mincho" w:hAnsi="Palatino Linotype" w:cs="Arial"/>
          <w:i/>
          <w:lang w:val="es-MX" w:eastAsia="es-MX"/>
        </w:rPr>
      </w:pPr>
      <w:r w:rsidRPr="00123197">
        <w:rPr>
          <w:rFonts w:ascii="Palatino Linotype" w:eastAsia="MS Mincho" w:hAnsi="Palatino Linotype" w:cs="Arial"/>
          <w:i/>
          <w:lang w:val="es-MX" w:eastAsia="es-MX"/>
        </w:rPr>
        <w:t>Estado – Alonso Lujambio Irazábal</w:t>
      </w:r>
    </w:p>
    <w:p w:rsidR="006E26FC" w:rsidRPr="00123197" w:rsidRDefault="006E26FC" w:rsidP="00C73D4B">
      <w:pPr>
        <w:tabs>
          <w:tab w:val="left" w:pos="8222"/>
        </w:tabs>
        <w:spacing w:line="360" w:lineRule="auto"/>
        <w:ind w:left="567" w:right="567"/>
        <w:contextualSpacing/>
        <w:rPr>
          <w:rFonts w:ascii="Palatino Linotype" w:eastAsia="MS Mincho" w:hAnsi="Palatino Linotype" w:cs="Arial"/>
          <w:i/>
          <w:lang w:val="es-MX" w:eastAsia="es-MX"/>
        </w:rPr>
      </w:pPr>
      <w:r w:rsidRPr="00123197">
        <w:rPr>
          <w:rFonts w:ascii="Palatino Linotype" w:eastAsia="MS Mincho" w:hAnsi="Palatino Linotype" w:cs="Arial"/>
          <w:i/>
          <w:lang w:val="es-MX" w:eastAsia="es-MX"/>
        </w:rPr>
        <w:t>1624/09 Instituto Nacional para la Educación de los Adultos - María Marván Laborde</w:t>
      </w:r>
    </w:p>
    <w:p w:rsidR="006E26FC" w:rsidRPr="00123197" w:rsidRDefault="006E26FC" w:rsidP="00C73D4B">
      <w:pPr>
        <w:tabs>
          <w:tab w:val="left" w:pos="8222"/>
        </w:tabs>
        <w:spacing w:line="360" w:lineRule="auto"/>
        <w:ind w:left="567" w:right="567"/>
        <w:contextualSpacing/>
        <w:rPr>
          <w:rFonts w:ascii="Palatino Linotype" w:eastAsia="MS Mincho" w:hAnsi="Palatino Linotype" w:cs="Arial"/>
          <w:i/>
          <w:lang w:val="es-MX" w:eastAsia="es-MX"/>
        </w:rPr>
      </w:pPr>
      <w:r w:rsidRPr="00123197">
        <w:rPr>
          <w:rFonts w:ascii="Palatino Linotype" w:eastAsia="MS Mincho" w:hAnsi="Palatino Linotype" w:cs="Arial"/>
          <w:i/>
          <w:lang w:val="es-MX" w:eastAsia="es-MX"/>
        </w:rPr>
        <w:lastRenderedPageBreak/>
        <w:t>2395/09 Secretaría de Economía - María Marván Laborde</w:t>
      </w:r>
    </w:p>
    <w:p w:rsidR="006E26FC" w:rsidRPr="00123197" w:rsidRDefault="006E26FC" w:rsidP="00C73D4B">
      <w:pPr>
        <w:tabs>
          <w:tab w:val="left" w:pos="8222"/>
        </w:tabs>
        <w:spacing w:line="360" w:lineRule="auto"/>
        <w:ind w:left="567" w:right="567"/>
        <w:contextualSpacing/>
        <w:rPr>
          <w:rFonts w:ascii="Palatino Linotype" w:eastAsia="MS Mincho" w:hAnsi="Palatino Linotype" w:cs="Arial"/>
          <w:i/>
          <w:lang w:val="es-MX" w:eastAsia="es-MX"/>
        </w:rPr>
      </w:pPr>
      <w:r w:rsidRPr="00123197">
        <w:rPr>
          <w:rFonts w:ascii="Palatino Linotype" w:eastAsia="MS Mincho" w:hAnsi="Palatino Linotype" w:cs="Arial"/>
          <w:i/>
          <w:lang w:val="es-MX" w:eastAsia="es-MX"/>
        </w:rPr>
        <w:t>0837/10 Administración Portuaria Integral de Veracruz, S.A. de C.V. – María Marván Laborde.”</w:t>
      </w:r>
    </w:p>
    <w:p w:rsidR="006E26FC" w:rsidRPr="00123197" w:rsidRDefault="006E26FC" w:rsidP="00C73D4B">
      <w:pPr>
        <w:spacing w:line="360" w:lineRule="auto"/>
        <w:contextualSpacing/>
        <w:jc w:val="both"/>
        <w:rPr>
          <w:rFonts w:ascii="Palatino Linotype" w:eastAsia="Times New Roman" w:hAnsi="Palatino Linotype" w:cs="Arial"/>
          <w:lang w:val="es-MX" w:eastAsia="es-MX"/>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hAnsi="Palatino Linotype" w:cs="Times New Roman"/>
        </w:rPr>
        <w:t xml:space="preserve">Numerales que compelen al </w:t>
      </w:r>
      <w:r w:rsidRPr="00123197">
        <w:rPr>
          <w:rFonts w:ascii="Palatino Linotype" w:hAnsi="Palatino Linotype" w:cs="Times New Roman"/>
          <w:b/>
        </w:rPr>
        <w:t>SUJETO OBLIGADO</w:t>
      </w:r>
      <w:r w:rsidRPr="00123197">
        <w:rPr>
          <w:rFonts w:ascii="Palatino Linotype" w:hAnsi="Palatino Linotype" w:cs="Times New Roman"/>
        </w:rPr>
        <w:t xml:space="preserve"> a apegarse en todo momento a los criterios ya expuestos, impidiendo a este Órgano Colegiado cuestionar la veracidad de la información.</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val="es-MX" w:eastAsia="es-MX"/>
        </w:rPr>
        <w:t xml:space="preserve">Así, </w:t>
      </w:r>
      <w:r w:rsidRPr="00123197">
        <w:rPr>
          <w:rFonts w:ascii="Palatino Linotype" w:eastAsia="Calibri" w:hAnsi="Palatino Linotype" w:cs="Times New Roman"/>
          <w:lang w:eastAsia="es-MX"/>
        </w:rPr>
        <w:t xml:space="preserve">por cuanto hace a las causas de sobreseimiento contenidas en la fracción III del artículo 192 de la </w:t>
      </w:r>
      <w:r w:rsidRPr="00123197">
        <w:rPr>
          <w:rFonts w:ascii="Palatino Linotype" w:eastAsia="Calibri" w:hAnsi="Palatino Linotype" w:cs="Times New Roman"/>
          <w:b/>
          <w:lang w:eastAsia="es-MX"/>
        </w:rPr>
        <w:t>Ley de Transparencia y Acceso a la Información Pública del Estado de México y Municipios</w:t>
      </w:r>
      <w:r w:rsidRPr="00123197">
        <w:rPr>
          <w:rFonts w:ascii="Palatino Linotype" w:eastAsia="Calibri" w:hAnsi="Palatino Linotype" w:cs="Times New Roman"/>
          <w:lang w:eastAsia="es-MX"/>
        </w:rPr>
        <w:t xml:space="preserve">, es oportuno señalar que estos requisitos privilegian la existencia de elementos de fondo, tales como el desistimiento o fallecimiento del </w:t>
      </w:r>
      <w:r w:rsidRPr="00123197">
        <w:rPr>
          <w:rFonts w:ascii="Palatino Linotype" w:eastAsia="Calibri" w:hAnsi="Palatino Linotype" w:cs="Times New Roman"/>
          <w:b/>
          <w:lang w:eastAsia="es-MX"/>
        </w:rPr>
        <w:t>RECURRENTE</w:t>
      </w:r>
      <w:r w:rsidRPr="00123197">
        <w:rPr>
          <w:rFonts w:ascii="Palatino Linotype" w:eastAsia="Calibri" w:hAnsi="Palatino Linotype" w:cs="Times New Roman"/>
          <w:lang w:eastAsia="es-MX"/>
        </w:rPr>
        <w:t xml:space="preserve"> o que el </w:t>
      </w:r>
      <w:r w:rsidRPr="00123197">
        <w:rPr>
          <w:rFonts w:ascii="Palatino Linotype" w:eastAsia="Calibri" w:hAnsi="Palatino Linotype" w:cs="Times New Roman"/>
          <w:b/>
          <w:lang w:eastAsia="es-MX"/>
        </w:rPr>
        <w:t>SUJETO OBLIGADO</w:t>
      </w:r>
      <w:r w:rsidRPr="00123197">
        <w:rPr>
          <w:rFonts w:ascii="Palatino Linotype" w:eastAsia="Calibri" w:hAnsi="Palatino Linotype" w:cs="Times New Roman"/>
          <w:lang w:eastAsia="es-MX"/>
        </w:rPr>
        <w:t xml:space="preserve"> </w:t>
      </w:r>
      <w:r w:rsidRPr="00123197">
        <w:rPr>
          <w:rFonts w:ascii="Palatino Linotype" w:eastAsia="Calibri" w:hAnsi="Palatino Linotype" w:cs="Times New Roman"/>
          <w:b/>
          <w:u w:val="single"/>
          <w:lang w:eastAsia="es-MX"/>
        </w:rPr>
        <w:t>modifique o revoque el acto</w:t>
      </w:r>
      <w:r w:rsidRPr="00123197">
        <w:rPr>
          <w:rFonts w:ascii="Palatino Linotype" w:eastAsia="Calibri" w:hAnsi="Palatino Linotype" w:cs="Times New Roman"/>
          <w:lang w:eastAsia="es-MX"/>
        </w:rPr>
        <w:t>; de ahí que la actualización de alguno de éstos trae como consecuencia que el medio de impugnación se concluya sin que se analice el objeto de estudio planteado, es decir se sobresea.</w:t>
      </w:r>
    </w:p>
    <w:p w:rsidR="006E26FC" w:rsidRPr="00123197" w:rsidRDefault="006E26FC" w:rsidP="00C73D4B">
      <w:pPr>
        <w:spacing w:line="360" w:lineRule="auto"/>
        <w:ind w:left="720"/>
        <w:contextualSpacing/>
        <w:rPr>
          <w:rFonts w:ascii="Palatino Linotype" w:eastAsia="Calibri" w:hAnsi="Palatino Linotype" w:cs="Times New Roman"/>
          <w:lang w:eastAsia="es-MX"/>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 xml:space="preserve">Para los efectos de esta resolución, es oportuno precisar los alcances jurídicos de la fracción III de la disposición legal transcrita. Así, procede el sobreseimiento del recurso de revisión cuando el </w:t>
      </w:r>
      <w:r w:rsidRPr="00123197">
        <w:rPr>
          <w:rFonts w:ascii="Palatino Linotype" w:eastAsia="Calibri" w:hAnsi="Palatino Linotype" w:cs="Times New Roman"/>
          <w:b/>
          <w:lang w:eastAsia="es-MX"/>
        </w:rPr>
        <w:t>SUJETO OBLIGADO</w:t>
      </w:r>
      <w:r w:rsidRPr="00123197">
        <w:rPr>
          <w:rFonts w:ascii="Palatino Linotype" w:eastAsia="Calibri" w:hAnsi="Palatino Linotype" w:cs="Times New Roman"/>
          <w:lang w:eastAsia="es-MX"/>
        </w:rPr>
        <w:t>:</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25"/>
        </w:numPr>
        <w:spacing w:line="360" w:lineRule="auto"/>
        <w:ind w:left="567" w:right="616"/>
        <w:contextualSpacing/>
        <w:jc w:val="both"/>
        <w:rPr>
          <w:rFonts w:ascii="Palatino Linotype" w:eastAsia="MS Mincho" w:hAnsi="Palatino Linotype" w:cs="Arial"/>
          <w:lang w:eastAsia="es-MX"/>
        </w:rPr>
      </w:pPr>
      <w:r w:rsidRPr="00123197">
        <w:rPr>
          <w:rFonts w:ascii="Palatino Linotype" w:eastAsia="MS Mincho" w:hAnsi="Palatino Linotype" w:cs="Arial"/>
          <w:b/>
          <w:lang w:eastAsia="es-MX"/>
        </w:rPr>
        <w:t>Modifique el acto impugnado:</w:t>
      </w:r>
      <w:r w:rsidRPr="00123197">
        <w:rPr>
          <w:rFonts w:ascii="Palatino Linotype" w:eastAsia="MS Mincho" w:hAnsi="Palatino Linotype" w:cs="Arial"/>
          <w:lang w:eastAsia="es-MX"/>
        </w:rPr>
        <w:t xml:space="preserve"> Se actualiza cuando el </w:t>
      </w:r>
      <w:r w:rsidRPr="00123197">
        <w:rPr>
          <w:rFonts w:ascii="Palatino Linotype" w:eastAsia="MS Mincho" w:hAnsi="Palatino Linotype" w:cs="Arial"/>
          <w:b/>
          <w:lang w:eastAsia="es-MX"/>
        </w:rPr>
        <w:t>SUJETO OBLIGADO</w:t>
      </w:r>
      <w:r w:rsidRPr="00123197">
        <w:rPr>
          <w:rFonts w:ascii="Palatino Linotype" w:eastAsia="MS Mincho" w:hAnsi="Palatino Linotype" w:cs="Arial"/>
          <w:lang w:eastAsia="es-MX"/>
        </w:rPr>
        <w:t xml:space="preserve"> después de haber otorgado una respuesta y hasta antes de dictada la resolución del recurso de revisión, emite una diversa en la que subsane las deficiencias que hubiera tenido.</w:t>
      </w:r>
    </w:p>
    <w:p w:rsidR="006E26FC" w:rsidRPr="00123197" w:rsidRDefault="006E26FC" w:rsidP="00C73D4B">
      <w:pPr>
        <w:spacing w:line="360" w:lineRule="auto"/>
        <w:ind w:left="1068" w:right="567"/>
        <w:contextualSpacing/>
        <w:jc w:val="both"/>
        <w:rPr>
          <w:rFonts w:ascii="Palatino Linotype" w:eastAsia="MS Mincho" w:hAnsi="Palatino Linotype" w:cs="Arial"/>
          <w:lang w:eastAsia="es-MX"/>
        </w:rPr>
      </w:pPr>
    </w:p>
    <w:p w:rsidR="006E26FC" w:rsidRPr="00123197" w:rsidRDefault="006E26FC" w:rsidP="00C73D4B">
      <w:pPr>
        <w:numPr>
          <w:ilvl w:val="0"/>
          <w:numId w:val="25"/>
        </w:numPr>
        <w:spacing w:line="360" w:lineRule="auto"/>
        <w:ind w:left="567" w:right="616"/>
        <w:contextualSpacing/>
        <w:jc w:val="both"/>
        <w:rPr>
          <w:rFonts w:ascii="Palatino Linotype" w:eastAsia="MS Mincho" w:hAnsi="Palatino Linotype" w:cs="Arial"/>
          <w:lang w:eastAsia="es-MX"/>
        </w:rPr>
      </w:pPr>
      <w:r w:rsidRPr="00123197">
        <w:rPr>
          <w:rFonts w:ascii="Palatino Linotype" w:eastAsia="MS Mincho" w:hAnsi="Palatino Linotype" w:cs="Arial"/>
          <w:b/>
          <w:lang w:eastAsia="es-MX"/>
        </w:rPr>
        <w:t>Revoque el acto impugnado:</w:t>
      </w:r>
      <w:r w:rsidRPr="00123197">
        <w:rPr>
          <w:rFonts w:ascii="Palatino Linotype" w:eastAsia="MS Mincho" w:hAnsi="Palatino Linotype" w:cs="Arial"/>
          <w:lang w:eastAsia="es-MX"/>
        </w:rPr>
        <w:t xml:space="preserve"> En este supuesto, el </w:t>
      </w:r>
      <w:r w:rsidRPr="00123197">
        <w:rPr>
          <w:rFonts w:ascii="Palatino Linotype" w:eastAsia="MS Mincho" w:hAnsi="Palatino Linotype" w:cs="Arial"/>
          <w:b/>
          <w:lang w:eastAsia="es-MX"/>
        </w:rPr>
        <w:t>SUJETO OBLIGADO</w:t>
      </w:r>
      <w:r w:rsidRPr="00123197">
        <w:rPr>
          <w:rFonts w:ascii="Palatino Linotype" w:eastAsia="MS Mincho" w:hAnsi="Palatino Linotype" w:cs="Arial"/>
          <w:lang w:eastAsia="es-MX"/>
        </w:rPr>
        <w:t xml:space="preserve"> deja sin efectos la primera respuesta y en su lugar emite otra que satisfaga lo solicitado por el particular en un primer momento.</w:t>
      </w:r>
    </w:p>
    <w:p w:rsidR="006E26FC" w:rsidRPr="00123197" w:rsidRDefault="006E26FC" w:rsidP="00C73D4B">
      <w:pPr>
        <w:spacing w:line="360" w:lineRule="auto"/>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Las consecuencias jurídicas de esta modificación o revocación es que el recurso de revisión interpuesto quede sin efectos o sin materia. Un acto impugnado queda sin efectos, cuando aun existiendo jurídicamente, no genera consecuencia legal alguna; queda sin materia, cuando ha sido satisfecha la pretensión del particular, ya sea porque se hizo la entrega de la información solicitada o porque se completó la misma.</w:t>
      </w:r>
    </w:p>
    <w:p w:rsidR="006E26FC" w:rsidRPr="00123197" w:rsidRDefault="006E26FC" w:rsidP="00C73D4B">
      <w:pPr>
        <w:spacing w:line="360" w:lineRule="auto"/>
        <w:ind w:left="720"/>
        <w:contextualSpacing/>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 xml:space="preserve">En el presente asunto, este Pleno advierte que el </w:t>
      </w:r>
      <w:r w:rsidRPr="00123197">
        <w:rPr>
          <w:rFonts w:ascii="Palatino Linotype" w:eastAsia="Calibri" w:hAnsi="Palatino Linotype" w:cs="Times New Roman"/>
          <w:b/>
          <w:lang w:eastAsia="es-MX"/>
        </w:rPr>
        <w:t>SUJETO OBLIGADO</w:t>
      </w:r>
      <w:r w:rsidRPr="00123197">
        <w:rPr>
          <w:rFonts w:ascii="Palatino Linotype" w:eastAsia="Calibri" w:hAnsi="Palatino Linotype" w:cs="Times New Roman"/>
          <w:lang w:eastAsia="es-MX"/>
        </w:rPr>
        <w:t xml:space="preserve"> con la información enviada a través del informe de justificación, </w:t>
      </w:r>
      <w:r w:rsidRPr="00123197">
        <w:rPr>
          <w:rFonts w:ascii="Palatino Linotype" w:eastAsia="Calibri" w:hAnsi="Palatino Linotype" w:cs="Times New Roman"/>
          <w:b/>
          <w:lang w:eastAsia="es-MX"/>
        </w:rPr>
        <w:t>modifica</w:t>
      </w:r>
      <w:r w:rsidRPr="00123197">
        <w:rPr>
          <w:rFonts w:ascii="Palatino Linotype" w:eastAsia="Calibri" w:hAnsi="Palatino Linotype" w:cs="Times New Roman"/>
          <w:lang w:eastAsia="es-MX"/>
        </w:rPr>
        <w:t xml:space="preserve"> el acto que le dio origen al recurso de revisión, lo que trae como consecuencia que el mismo quede sin materia, actualizándose de este modo, la hipótesis jurídica contenida en la fracción III del citado artículo.</w:t>
      </w:r>
    </w:p>
    <w:p w:rsidR="006E26FC" w:rsidRPr="00123197" w:rsidRDefault="006E26FC" w:rsidP="00C73D4B">
      <w:pPr>
        <w:spacing w:line="360" w:lineRule="auto"/>
        <w:ind w:left="720"/>
        <w:contextualSpacing/>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123197">
        <w:rPr>
          <w:rFonts w:ascii="Palatino Linotype" w:eastAsia="Calibri" w:hAnsi="Palatino Linotype" w:cs="Times New Roman"/>
          <w:b/>
          <w:lang w:eastAsia="es-MX"/>
        </w:rPr>
        <w:t>SUJETOS OBLIGADOS</w:t>
      </w:r>
      <w:r w:rsidRPr="00123197">
        <w:rPr>
          <w:rFonts w:ascii="Palatino Linotype" w:eastAsia="Calibri" w:hAnsi="Palatino Linotype" w:cs="Times New Roman"/>
          <w:lang w:eastAsia="es-MX"/>
        </w:rPr>
        <w:t xml:space="preserve"> o la negativa de entrega de la misma, derivada de la solicitud de información pública.</w:t>
      </w:r>
    </w:p>
    <w:p w:rsidR="006E26FC" w:rsidRPr="00123197" w:rsidRDefault="006E26FC" w:rsidP="00C73D4B">
      <w:pPr>
        <w:spacing w:line="360" w:lineRule="auto"/>
        <w:ind w:left="720"/>
        <w:contextualSpacing/>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lastRenderedPageBreak/>
        <w:t xml:space="preserve">De este modo, cuando el </w:t>
      </w:r>
      <w:r w:rsidRPr="00123197">
        <w:rPr>
          <w:rFonts w:ascii="Palatino Linotype" w:eastAsia="Calibri" w:hAnsi="Palatino Linotype" w:cs="Times New Roman"/>
          <w:b/>
          <w:lang w:eastAsia="es-MX"/>
        </w:rPr>
        <w:t xml:space="preserve">SUJETO OBLIGADO, </w:t>
      </w:r>
      <w:r w:rsidRPr="00123197">
        <w:rPr>
          <w:rFonts w:ascii="Palatino Linotype" w:eastAsia="Calibri" w:hAnsi="Palatino Linotype" w:cs="Times New Roman"/>
          <w:lang w:eastAsia="es-MX"/>
        </w:rPr>
        <w:t xml:space="preserve">antes de que se dicte resolución definitiva, entrega la información solicitada o completa la información que en un primer momento fue incompleta o no correspondió con lo solicitado; el recurso de revisión que al efecto se haya interpuesto queda sin materia lo que imposibilita el estudio de fondo de la </w:t>
      </w:r>
      <w:r w:rsidRPr="00123197">
        <w:rPr>
          <w:rFonts w:ascii="Palatino Linotype" w:eastAsia="Calibri" w:hAnsi="Palatino Linotype" w:cs="Times New Roman"/>
          <w:i/>
          <w:lang w:eastAsia="es-MX"/>
        </w:rPr>
        <w:t>litis</w:t>
      </w:r>
      <w:r w:rsidRPr="00123197">
        <w:rPr>
          <w:rFonts w:ascii="Palatino Linotype" w:eastAsia="Calibri" w:hAnsi="Palatino Linotype" w:cs="Times New Roman"/>
          <w:lang w:eastAsia="es-MX"/>
        </w:rPr>
        <w:t xml:space="preserve"> planteada, debido a que la afectación en su esfera de derechos fue restituida por la propia autoridad que emitió el acto motivo de impugnación.</w:t>
      </w:r>
    </w:p>
    <w:p w:rsidR="006E26FC" w:rsidRPr="00123197" w:rsidRDefault="006E26FC" w:rsidP="00C73D4B">
      <w:pPr>
        <w:spacing w:line="360" w:lineRule="auto"/>
        <w:ind w:left="720"/>
        <w:contextualSpacing/>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Sirve de sustento a lo anterior la siguiente jurisprudencia por contradicción, cuyo rubro, texto y datos de identificación son los siguientes:</w:t>
      </w:r>
    </w:p>
    <w:p w:rsidR="006E26FC" w:rsidRPr="00123197" w:rsidRDefault="006E26FC" w:rsidP="00C73D4B">
      <w:pPr>
        <w:spacing w:line="360" w:lineRule="auto"/>
        <w:ind w:left="720"/>
        <w:contextualSpacing/>
        <w:rPr>
          <w:rFonts w:ascii="Palatino Linotype" w:hAnsi="Palatino Linotype" w:cs="Times New Roman"/>
        </w:rPr>
      </w:pP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spacing w:line="360" w:lineRule="auto"/>
        <w:ind w:left="567" w:right="616"/>
        <w:contextualSpacing/>
        <w:jc w:val="both"/>
        <w:rPr>
          <w:rFonts w:ascii="Palatino Linotype" w:eastAsia="Calibri" w:hAnsi="Palatino Linotype" w:cs="Times New Roman"/>
          <w:i/>
          <w:lang w:eastAsia="es-MX"/>
        </w:rPr>
      </w:pPr>
      <w:r w:rsidRPr="00123197">
        <w:rPr>
          <w:rFonts w:ascii="Palatino Linotype" w:eastAsia="Calibri" w:hAnsi="Palatino Linotype" w:cs="Times New Roman"/>
          <w:b/>
          <w:i/>
          <w:lang w:eastAsia="es-MX"/>
        </w:rPr>
        <w:t>CESACIÓN DE EFECTOS DEL ACTO RECLAMADO POR VIOLACIÓN AL ARTÍCULO 8o. DE LA CONSTITUCIÓN POLÍTICA DE LOS ESTADOS UNIDOS MEXICANOS. OPERA CUANDO LA AUTORIDAD RESPONSABLE AL RENDIR SU INFORME JUSTIFICADO EXHIBE LA CONTESTACIÓN A LA PETICIÓN FORMULADA, QUEDANDO EXPEDITOS LOS DERECHOS DEL QUEJOSO PARA AMPLIAR SU DEMANDA INICIAL, PROMOVER OTRO JUICIO DE AMPARO O EL MEDIO ORDINARIO DE DEFENSA QUE PROCEDA.</w:t>
      </w:r>
      <w:r w:rsidRPr="00123197">
        <w:rPr>
          <w:rFonts w:ascii="Palatino Linotype" w:eastAsia="Calibri" w:hAnsi="Palatino Linotype" w:cs="Times New Roman"/>
          <w:i/>
          <w:lang w:eastAsia="es-MX"/>
        </w:rPr>
        <w:t xml:space="preserve"> De la interpretación de los artículos 73, fracción XVI y 80 de la Ley de Amparo, se concluye que la causa de improcedencia del juicio de garantías consistente en la cesación de efectos del acto reclamado, se actualiza cuando ante la insubsistencia del mismo, todos sus efectos desaparecen o se destruyen de forma inmediata, total e incondicionalmente, de manera que </w:t>
      </w:r>
      <w:r w:rsidRPr="00123197">
        <w:rPr>
          <w:rFonts w:ascii="Palatino Linotype" w:eastAsia="Calibri" w:hAnsi="Palatino Linotype" w:cs="Times New Roman"/>
          <w:i/>
          <w:lang w:eastAsia="es-MX"/>
        </w:rPr>
        <w:lastRenderedPageBreak/>
        <w:t>las cosas vuelvan al estado que tenían antes de la violación constitucional. Ahora bien, el hecho de que la autoridad responsable al rendir su informe justificado exhiba la respuesta expresa a la petición de la parte quejosa, producida durante la tramitación del juicio de amparo, significa, por una parte, que los efectos de la falta de contestación desaparecieron, de manera que las cosas volvieron al estado que tenían antes de la violación al artículo 8o. de la Constitución Política de los Estados Unidos Mexicanos, y por otra, que respecto del contenido de dicha contestación, el quejoso puede ampliar su demanda inicial, promover otro juicio de amparo o el medio ordinario de defensa que proceda, toda vez que se trata de un nuevo acto.</w:t>
      </w:r>
    </w:p>
    <w:p w:rsidR="006E26FC" w:rsidRPr="00123197" w:rsidRDefault="006E26FC" w:rsidP="00C73D4B">
      <w:pPr>
        <w:spacing w:line="360" w:lineRule="auto"/>
        <w:ind w:left="720"/>
        <w:contextualSpacing/>
        <w:rPr>
          <w:rFonts w:ascii="Palatino Linotype" w:hAnsi="Palatino Linotype" w:cs="Times New Roman"/>
        </w:rPr>
      </w:pPr>
    </w:p>
    <w:p w:rsidR="006E26FC" w:rsidRPr="00123197" w:rsidRDefault="006E26FC" w:rsidP="00C73D4B">
      <w:pPr>
        <w:numPr>
          <w:ilvl w:val="0"/>
          <w:numId w:val="1"/>
        </w:numPr>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La anterior jurisprudencia resulta aplicable al presente asunto, en dos aspectos:</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26"/>
        </w:numPr>
        <w:spacing w:line="360" w:lineRule="auto"/>
        <w:ind w:right="616"/>
        <w:contextualSpacing/>
        <w:jc w:val="both"/>
        <w:rPr>
          <w:rFonts w:ascii="Palatino Linotype" w:eastAsia="Calibri" w:hAnsi="Palatino Linotype" w:cs="Times New Roman"/>
          <w:lang w:eastAsia="es-MX"/>
        </w:rPr>
      </w:pPr>
      <w:r w:rsidRPr="00123197">
        <w:rPr>
          <w:rFonts w:ascii="Palatino Linotype" w:eastAsia="Calibri" w:hAnsi="Palatino Linotype" w:cs="Times New Roman"/>
          <w:b/>
          <w:lang w:eastAsia="es-MX"/>
        </w:rPr>
        <w:t>La cesación de los efectos perniciosos del acto de autoridad:</w:t>
      </w:r>
      <w:r w:rsidRPr="00123197">
        <w:rPr>
          <w:rFonts w:ascii="Palatino Linotype" w:eastAsia="Calibri" w:hAnsi="Palatino Linotype" w:cs="Times New Roman"/>
          <w:lang w:eastAsia="es-MX"/>
        </w:rPr>
        <w:t xml:space="preserve"> Al respecto, la Ley de Transparencia contempla la figura jurídica del sobreseimiento cuando el </w:t>
      </w:r>
      <w:r w:rsidRPr="00123197">
        <w:rPr>
          <w:rFonts w:ascii="Palatino Linotype" w:eastAsia="Calibri" w:hAnsi="Palatino Linotype" w:cs="Times New Roman"/>
          <w:b/>
          <w:lang w:eastAsia="es-MX"/>
        </w:rPr>
        <w:t>SUJETO OBLIGADO</w:t>
      </w:r>
      <w:r w:rsidRPr="00123197">
        <w:rPr>
          <w:rFonts w:ascii="Palatino Linotype" w:eastAsia="Calibri" w:hAnsi="Palatino Linotype" w:cs="Times New Roman"/>
          <w:lang w:eastAsia="es-MX"/>
        </w:rPr>
        <w:t xml:space="preserve"> de </w:t>
      </w:r>
      <w:r w:rsidRPr="00123197">
        <w:rPr>
          <w:rFonts w:ascii="Palatino Linotype" w:eastAsia="Calibri" w:hAnsi="Palatino Linotype" w:cs="Times New Roman"/>
          <w:i/>
          <w:lang w:eastAsia="es-MX"/>
        </w:rPr>
        <w:t>motu proprio</w:t>
      </w:r>
      <w:r w:rsidRPr="00123197">
        <w:rPr>
          <w:rFonts w:ascii="Palatino Linotype" w:eastAsia="Calibri" w:hAnsi="Palatino Linotype" w:cs="Times New Roman"/>
          <w:lang w:eastAsia="es-MX"/>
        </w:rPr>
        <w:t xml:space="preserve"> modifica o revoca de tal manera el acto motivo de la impugnación que lo deja sin materia; es decir, cesan los efectos de éste y el derecho de acceso a la información pública se encuentra satisfecho.</w:t>
      </w:r>
    </w:p>
    <w:p w:rsidR="006E26FC" w:rsidRPr="00123197" w:rsidRDefault="006E26FC" w:rsidP="00C73D4B">
      <w:pPr>
        <w:spacing w:line="360" w:lineRule="auto"/>
        <w:ind w:left="1080" w:right="616"/>
        <w:contextualSpacing/>
        <w:jc w:val="both"/>
        <w:rPr>
          <w:rFonts w:ascii="Palatino Linotype" w:eastAsia="Calibri" w:hAnsi="Palatino Linotype" w:cs="Times New Roman"/>
          <w:lang w:eastAsia="es-MX"/>
        </w:rPr>
      </w:pPr>
    </w:p>
    <w:p w:rsidR="006E26FC" w:rsidRPr="00123197" w:rsidRDefault="006E26FC" w:rsidP="00C73D4B">
      <w:pPr>
        <w:numPr>
          <w:ilvl w:val="0"/>
          <w:numId w:val="26"/>
        </w:numPr>
        <w:spacing w:line="360" w:lineRule="auto"/>
        <w:ind w:right="616"/>
        <w:contextualSpacing/>
        <w:jc w:val="both"/>
        <w:rPr>
          <w:rFonts w:ascii="Palatino Linotype" w:eastAsia="Calibri" w:hAnsi="Palatino Linotype" w:cs="Times New Roman"/>
          <w:lang w:eastAsia="es-MX"/>
        </w:rPr>
      </w:pPr>
      <w:r w:rsidRPr="00123197">
        <w:rPr>
          <w:rFonts w:ascii="Palatino Linotype" w:eastAsia="Calibri" w:hAnsi="Palatino Linotype" w:cs="Times New Roman"/>
          <w:b/>
          <w:lang w:eastAsia="es-MX"/>
        </w:rPr>
        <w:t>El momento procesal para modificar el acto impugnado:</w:t>
      </w:r>
      <w:r w:rsidRPr="00123197">
        <w:rPr>
          <w:rFonts w:ascii="Palatino Linotype" w:eastAsia="Calibri" w:hAnsi="Palatino Linotype" w:cs="Times New Roman"/>
          <w:lang w:eastAsia="es-MX"/>
        </w:rPr>
        <w:t xml:space="preserve"> Para que se actualice el sobreseimiento de un recurso de revisión, el </w:t>
      </w:r>
      <w:r w:rsidRPr="00123197">
        <w:rPr>
          <w:rFonts w:ascii="Palatino Linotype" w:eastAsia="Calibri" w:hAnsi="Palatino Linotype" w:cs="Times New Roman"/>
          <w:b/>
          <w:lang w:eastAsia="es-MX"/>
        </w:rPr>
        <w:t>SUJETO OBLIGADO</w:t>
      </w:r>
      <w:r w:rsidRPr="00123197">
        <w:rPr>
          <w:rFonts w:ascii="Palatino Linotype" w:eastAsia="Calibri" w:hAnsi="Palatino Linotype" w:cs="Times New Roman"/>
          <w:lang w:eastAsia="es-MX"/>
        </w:rPr>
        <w:t xml:space="preserve"> puede entregar o completar la información al momento de rendir su informe de justificación o </w:t>
      </w:r>
      <w:r w:rsidRPr="00123197">
        <w:rPr>
          <w:rFonts w:ascii="Palatino Linotype" w:eastAsia="Calibri" w:hAnsi="Palatino Linotype" w:cs="Times New Roman"/>
          <w:b/>
          <w:u w:val="single"/>
          <w:lang w:eastAsia="es-MX"/>
        </w:rPr>
        <w:t>posteriormente</w:t>
      </w:r>
      <w:r w:rsidRPr="00123197">
        <w:rPr>
          <w:rFonts w:ascii="Palatino Linotype" w:eastAsia="Calibri" w:hAnsi="Palatino Linotype" w:cs="Times New Roman"/>
          <w:lang w:eastAsia="es-MX"/>
        </w:rPr>
        <w:t xml:space="preserve"> a </w:t>
      </w:r>
      <w:r w:rsidRPr="00123197">
        <w:rPr>
          <w:rFonts w:ascii="Palatino Linotype" w:eastAsia="Calibri" w:hAnsi="Palatino Linotype" w:cs="Times New Roman"/>
          <w:lang w:eastAsia="es-MX"/>
        </w:rPr>
        <w:lastRenderedPageBreak/>
        <w:t>éste, siempre y cuando el Pleno del Instituto no haya dictado resolución definitiva.</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 xml:space="preserve">Además, de acuerdo con el procesalista Niceto Alcalá-Zamora y Castillo en su obra </w:t>
      </w:r>
      <w:r w:rsidRPr="00123197">
        <w:rPr>
          <w:rFonts w:ascii="Palatino Linotype" w:eastAsia="Calibri" w:hAnsi="Palatino Linotype" w:cs="Times New Roman"/>
          <w:i/>
          <w:lang w:eastAsia="es-MX"/>
        </w:rPr>
        <w:t>“Cuestiones de Terminología Procesal”</w:t>
      </w:r>
      <w:r w:rsidRPr="00123197">
        <w:rPr>
          <w:rFonts w:ascii="Palatino Linotype" w:eastAsia="Calibri" w:hAnsi="Palatino Linotype" w:cs="Times New Roman"/>
          <w:lang w:eastAsia="es-MX"/>
        </w:rPr>
        <w:t xml:space="preserve">, el sobreseimiento es </w:t>
      </w:r>
      <w:r w:rsidRPr="00123197">
        <w:rPr>
          <w:rFonts w:ascii="Palatino Linotype" w:eastAsia="Calibri" w:hAnsi="Palatino Linotype" w:cs="Times New Roman"/>
          <w:i/>
          <w:lang w:eastAsia="es-MX"/>
        </w:rPr>
        <w:t>“... una resolución en forma de auto, que produce la suspensión indefinida del procedimiento penal, o que pone fin al proceso, impidiendo en ambos casos, mientras subsista, la apertura del plenario o que en él se pronuncie sentencia...”.</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 xml:space="preserve">Eduardo Pallares, en su artículo </w:t>
      </w:r>
      <w:r w:rsidRPr="00123197">
        <w:rPr>
          <w:rFonts w:ascii="Palatino Linotype" w:eastAsia="Calibri" w:hAnsi="Palatino Linotype" w:cs="Times New Roman"/>
          <w:i/>
          <w:lang w:eastAsia="es-MX"/>
        </w:rPr>
        <w:t>“La caducidad y el sobreseimiento en el amparo”</w:t>
      </w:r>
      <w:r w:rsidRPr="00123197">
        <w:rPr>
          <w:rFonts w:ascii="Palatino Linotype" w:eastAsia="Calibri" w:hAnsi="Palatino Linotype" w:cs="Times New Roman"/>
          <w:lang w:eastAsia="es-MX"/>
        </w:rPr>
        <w:t xml:space="preserve">, cita la definición de Aguilera Paz, aduciendo que se </w:t>
      </w:r>
      <w:r w:rsidRPr="00123197">
        <w:rPr>
          <w:rFonts w:ascii="Palatino Linotype" w:eastAsia="Calibri" w:hAnsi="Palatino Linotype" w:cs="Times New Roman"/>
          <w:i/>
          <w:lang w:eastAsia="es-MX"/>
        </w:rPr>
        <w:t>“...entiende por sobreseimiento en el tecnicismo forense, el hecho de cesar en el procedimiento o curso de la causa, por no existir méritos bastantes para entrar en un juicio o para entablar la contienda judicial que debe ser objeto del mismo...”</w:t>
      </w:r>
      <w:r w:rsidRPr="00123197">
        <w:rPr>
          <w:rFonts w:ascii="Palatino Linotype" w:eastAsia="Calibri" w:hAnsi="Palatino Linotype" w:cs="Times New Roman"/>
          <w:lang w:eastAsia="es-MX"/>
        </w:rPr>
        <w:t>. Asimismo señala que existe el sobreseimiento provisional y el definitivo</w:t>
      </w:r>
      <w:r w:rsidRPr="00123197">
        <w:rPr>
          <w:rFonts w:ascii="Palatino Linotype" w:eastAsia="Calibri" w:hAnsi="Palatino Linotype" w:cs="Times New Roman"/>
          <w:i/>
          <w:lang w:eastAsia="es-MX"/>
        </w:rPr>
        <w:t>: “...el definitivo es una verdadera sentencia que pone fin al juicio, y que una vez dictada, produce cosa juzgada, mientras que el provisorio tiene por efectos suspender la prosecución de la causa...”</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 xml:space="preserve">Así, para la doctrina el sobreseimiento provoca que un procedimiento se suspenda o se resuelva en definitiva </w:t>
      </w:r>
      <w:r w:rsidRPr="00123197">
        <w:rPr>
          <w:rFonts w:ascii="Palatino Linotype" w:eastAsia="Calibri" w:hAnsi="Palatino Linotype" w:cs="Times New Roman"/>
          <w:b/>
          <w:u w:val="single"/>
          <w:lang w:eastAsia="es-MX"/>
        </w:rPr>
        <w:t xml:space="preserve">sin que se entre al estudio de los agravios o motivos de inconformidad. </w:t>
      </w:r>
      <w:r w:rsidRPr="00123197">
        <w:rPr>
          <w:rFonts w:ascii="Palatino Linotype" w:eastAsia="Calibri" w:hAnsi="Palatino Linotype" w:cs="Times New Roman"/>
          <w:lang w:eastAsia="es-MX"/>
        </w:rPr>
        <w:t>Este mismo criterio es compartido por el más alto tribunal del país en múltiples jurisprudencias, por lo que a continuación se agrega una de ellas que sirve como orientador en esta resolución:</w:t>
      </w:r>
    </w:p>
    <w:p w:rsidR="006E26FC" w:rsidRPr="00123197" w:rsidRDefault="006E26FC" w:rsidP="00C73D4B">
      <w:pPr>
        <w:spacing w:line="360" w:lineRule="auto"/>
        <w:rPr>
          <w:rFonts w:ascii="Palatino Linotype" w:hAnsi="Palatino Linotype" w:cs="Times New Roman"/>
        </w:rPr>
      </w:pPr>
    </w:p>
    <w:p w:rsidR="006E26FC" w:rsidRPr="00123197" w:rsidRDefault="006E26FC" w:rsidP="00C73D4B">
      <w:pPr>
        <w:spacing w:line="360" w:lineRule="auto"/>
        <w:ind w:left="567" w:right="616"/>
        <w:contextualSpacing/>
        <w:jc w:val="both"/>
        <w:rPr>
          <w:rFonts w:ascii="Palatino Linotype" w:eastAsia="Calibri" w:hAnsi="Palatino Linotype" w:cs="Times New Roman"/>
          <w:i/>
          <w:lang w:val="es-AR" w:eastAsia="es-MX"/>
        </w:rPr>
      </w:pPr>
      <w:r w:rsidRPr="00123197">
        <w:rPr>
          <w:rFonts w:ascii="Palatino Linotype" w:eastAsia="Calibri" w:hAnsi="Palatino Linotype" w:cs="Times New Roman"/>
          <w:b/>
          <w:i/>
          <w:lang w:val="es-AR" w:eastAsia="es-MX"/>
        </w:rPr>
        <w:lastRenderedPageBreak/>
        <w:t>SOBRESEIMIENTO EN EL JUICIO DE AMPARO DIRECTO. IMPIDE EL ESTUDIO DE LAS VIOLACIONES PROCESALES PLANTEADAS EN LOS CONCEPTOS DE VIOLACIÓN. El sobreseimiento</w:t>
      </w:r>
      <w:r w:rsidRPr="00123197">
        <w:rPr>
          <w:rFonts w:ascii="Palatino Linotype" w:eastAsia="Calibri" w:hAnsi="Palatino Linotype" w:cs="Times New Roman"/>
          <w:i/>
          <w:lang w:val="es-AR" w:eastAsia="es-MX"/>
        </w:rPr>
        <w:t xml:space="preserve"> en el juicio de amparo directo </w:t>
      </w:r>
      <w:r w:rsidRPr="00123197">
        <w:rPr>
          <w:rFonts w:ascii="Palatino Linotype" w:eastAsia="Calibri" w:hAnsi="Palatino Linotype" w:cs="Times New Roman"/>
          <w:b/>
          <w:i/>
          <w:lang w:val="es-AR" w:eastAsia="es-MX"/>
        </w:rPr>
        <w:t>provoca la terminación de la controversia planteada</w:t>
      </w:r>
      <w:r w:rsidRPr="00123197">
        <w:rPr>
          <w:rFonts w:ascii="Palatino Linotype" w:eastAsia="Calibri" w:hAnsi="Palatino Linotype" w:cs="Times New Roman"/>
          <w:i/>
          <w:lang w:val="es-AR" w:eastAsia="es-MX"/>
        </w:rPr>
        <w:t xml:space="preserve"> por el quejoso en la demanda de amparo</w:t>
      </w:r>
      <w:r w:rsidRPr="00123197">
        <w:rPr>
          <w:rFonts w:ascii="Palatino Linotype" w:eastAsia="Calibri" w:hAnsi="Palatino Linotype" w:cs="Times New Roman"/>
          <w:b/>
          <w:i/>
          <w:lang w:val="es-AR" w:eastAsia="es-MX"/>
        </w:rPr>
        <w:t>, sin hacer un pronunciamiento de fondo sobre la legalidad o ilegalidad de la sentencia reclamada</w:t>
      </w:r>
      <w:r w:rsidRPr="00123197">
        <w:rPr>
          <w:rFonts w:ascii="Palatino Linotype" w:eastAsia="Calibri" w:hAnsi="Palatino Linotype" w:cs="Times New Roman"/>
          <w:i/>
          <w:lang w:val="es-AR" w:eastAsia="es-MX"/>
        </w:rPr>
        <w:t xml:space="preserve">. </w:t>
      </w:r>
      <w:r w:rsidRPr="00123197">
        <w:rPr>
          <w:rFonts w:ascii="Palatino Linotype" w:eastAsia="Calibri" w:hAnsi="Palatino Linotype" w:cs="Times New Roman"/>
          <w:b/>
          <w:i/>
          <w:lang w:val="es-AR" w:eastAsia="es-MX"/>
        </w:rPr>
        <w:t>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123197">
        <w:rPr>
          <w:rFonts w:ascii="Palatino Linotype" w:eastAsia="Calibri" w:hAnsi="Palatino Linotype" w:cs="Times New Roman"/>
          <w:i/>
          <w:lang w:val="es-AR" w:eastAsia="es-MX"/>
        </w:rPr>
        <w:t>.</w:t>
      </w:r>
    </w:p>
    <w:p w:rsidR="006E26FC" w:rsidRPr="00123197" w:rsidRDefault="006E26FC" w:rsidP="00C73D4B">
      <w:pPr>
        <w:spacing w:line="360" w:lineRule="auto"/>
        <w:ind w:left="567" w:right="616"/>
        <w:contextualSpacing/>
        <w:jc w:val="both"/>
        <w:rPr>
          <w:rFonts w:ascii="Palatino Linotype" w:eastAsia="Calibri" w:hAnsi="Palatino Linotype" w:cs="Times New Roman"/>
          <w:i/>
          <w:lang w:val="es-AR" w:eastAsia="es-MX"/>
        </w:rPr>
      </w:pPr>
      <w:r w:rsidRPr="00123197">
        <w:rPr>
          <w:rFonts w:ascii="Palatino Linotype" w:eastAsia="Calibri" w:hAnsi="Palatino Linotype" w:cs="Times New Roman"/>
          <w:i/>
          <w:lang w:val="es-AR" w:eastAsia="es-MX"/>
        </w:rPr>
        <w:t>SÉPTIMO TRIBUNAL COLEGIADO EN MATERIA CIVIL DEL PRIMER CIRCUITO.</w:t>
      </w:r>
    </w:p>
    <w:p w:rsidR="006E26FC" w:rsidRPr="00123197" w:rsidRDefault="006E26FC" w:rsidP="00C73D4B">
      <w:pPr>
        <w:spacing w:line="360" w:lineRule="auto"/>
        <w:ind w:left="567" w:right="616"/>
        <w:contextualSpacing/>
        <w:jc w:val="both"/>
        <w:rPr>
          <w:rFonts w:ascii="Palatino Linotype" w:eastAsia="Calibri" w:hAnsi="Palatino Linotype" w:cs="Times New Roman"/>
          <w:b/>
          <w:i/>
          <w:lang w:val="es-AR" w:eastAsia="es-MX"/>
        </w:rPr>
      </w:pPr>
      <w:r w:rsidRPr="00123197">
        <w:rPr>
          <w:rFonts w:ascii="Palatino Linotype" w:eastAsia="Calibri" w:hAnsi="Palatino Linotype" w:cs="Times New Roman"/>
          <w:i/>
          <w:lang w:val="es-AR" w:eastAsia="es-MX"/>
        </w:rPr>
        <w:t>Amparo directo 699/2008. Mariana Leticia González Steele. 13 de noviembre de 2008. Unanimidad de votos. Ponente: Sara Judith Montalvo Trejo. Secretario: Arnulfo Mateos García.</w:t>
      </w:r>
    </w:p>
    <w:p w:rsidR="006E26FC" w:rsidRPr="00123197" w:rsidRDefault="006E26FC" w:rsidP="00C73D4B">
      <w:pPr>
        <w:spacing w:line="360" w:lineRule="auto"/>
        <w:ind w:left="567" w:right="616"/>
        <w:contextualSpacing/>
        <w:jc w:val="both"/>
        <w:rPr>
          <w:rFonts w:ascii="Palatino Linotype" w:eastAsia="Calibri" w:hAnsi="Palatino Linotype" w:cs="Times New Roman"/>
          <w:i/>
          <w:lang w:val="es-AR" w:eastAsia="es-MX"/>
        </w:rPr>
      </w:pPr>
    </w:p>
    <w:p w:rsidR="006E26FC" w:rsidRPr="00123197" w:rsidRDefault="006E26FC" w:rsidP="00C73D4B">
      <w:pPr>
        <w:spacing w:line="360" w:lineRule="auto"/>
        <w:ind w:left="567" w:right="616"/>
        <w:contextualSpacing/>
        <w:jc w:val="both"/>
        <w:rPr>
          <w:rFonts w:ascii="Palatino Linotype" w:eastAsia="Calibri" w:hAnsi="Palatino Linotype" w:cs="Times New Roman"/>
          <w:lang w:val="es-AR" w:eastAsia="es-MX"/>
        </w:rPr>
      </w:pPr>
      <w:r w:rsidRPr="00123197">
        <w:rPr>
          <w:rFonts w:ascii="Palatino Linotype" w:eastAsia="Calibri" w:hAnsi="Palatino Linotype" w:cs="Times New Roman"/>
          <w:lang w:val="es-AR" w:eastAsia="es-MX"/>
        </w:rPr>
        <w:t>(Énfasis añadido)</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Consecuentemente, por lo que hace a los motivos de inconformidad, los mismos devienen inatendibles por actualizarse la figura del sobreseimiento, misma que impide el estudio de los agravios planteados, máxime que se ha dado cumplimiento al derecho de acceso a la información.</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lastRenderedPageBreak/>
        <w:t xml:space="preserve">Por lo que para que se actualice el sobreseimiento de un recurso de revisión, el </w:t>
      </w:r>
      <w:r w:rsidRPr="00123197">
        <w:rPr>
          <w:rFonts w:ascii="Palatino Linotype" w:eastAsia="Calibri" w:hAnsi="Palatino Linotype" w:cs="Times New Roman"/>
          <w:b/>
          <w:lang w:eastAsia="es-MX"/>
        </w:rPr>
        <w:t>SUJETO OBLIGADO</w:t>
      </w:r>
      <w:r w:rsidRPr="00123197">
        <w:rPr>
          <w:rFonts w:ascii="Palatino Linotype" w:eastAsia="Calibri" w:hAnsi="Palatino Linotype" w:cs="Times New Roman"/>
          <w:lang w:eastAsia="es-MX"/>
        </w:rPr>
        <w:t xml:space="preserve"> puede entregar, completar o precisar la información al momento de rendir su informe justificado o dentro de los siete días previstos para manifestar lo que a su derecho convenga, lo anterior también puede ocurrir si entrega la información después de ese lapso pero antes del cierre de instrucción.</w:t>
      </w:r>
    </w:p>
    <w:p w:rsidR="006E26FC" w:rsidRPr="00123197" w:rsidRDefault="006E26FC" w:rsidP="00C73D4B">
      <w:pPr>
        <w:spacing w:line="360" w:lineRule="auto"/>
        <w:ind w:left="720"/>
        <w:contextualSpacing/>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hAnsi="Palatino Linotype" w:cs="Times New Roman"/>
        </w:rPr>
        <w:t xml:space="preserve">Bajo ese tenor y en términos del artículo 186 fracción I este Pleno determina el </w:t>
      </w:r>
      <w:r w:rsidRPr="00123197">
        <w:rPr>
          <w:rFonts w:ascii="Palatino Linotype" w:hAnsi="Palatino Linotype" w:cs="Times New Roman"/>
          <w:b/>
        </w:rPr>
        <w:t>SOBRESEIMIENTO</w:t>
      </w:r>
      <w:r w:rsidRPr="00123197">
        <w:rPr>
          <w:rFonts w:ascii="Palatino Linotype" w:hAnsi="Palatino Linotype" w:cs="Times New Roman"/>
        </w:rPr>
        <w:t xml:space="preserve"> del presente recurso de revisión, toda vez que la afectación al derecho de acceso a la información pública establecido constitucionalmente a favor del particular, ha sido resarcida.</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Calibri" w:hAnsi="Palatino Linotype" w:cs="Times New Roman"/>
          <w:lang w:eastAsia="es-MX"/>
        </w:rPr>
        <w:t xml:space="preserve">Por lo anteriormente expuesto y fundado, este </w:t>
      </w:r>
      <w:r w:rsidRPr="00123197">
        <w:rPr>
          <w:rFonts w:ascii="Palatino Linotype" w:eastAsia="Calibri" w:hAnsi="Palatino Linotype" w:cs="Times New Roman"/>
          <w:b/>
          <w:bCs/>
          <w:lang w:eastAsia="es-MX"/>
        </w:rPr>
        <w:t>ÓRGANO GARANTE</w:t>
      </w:r>
      <w:r w:rsidRPr="00123197">
        <w:rPr>
          <w:rFonts w:ascii="Palatino Linotype" w:eastAsia="Calibri" w:hAnsi="Palatino Linotype" w:cs="Times New Roman"/>
          <w:lang w:eastAsia="es-MX"/>
        </w:rPr>
        <w:t xml:space="preserve"> emite los siguientes:</w:t>
      </w:r>
    </w:p>
    <w:p w:rsidR="006E26FC" w:rsidRPr="00123197" w:rsidRDefault="006E26FC" w:rsidP="00C73D4B">
      <w:pPr>
        <w:spacing w:line="360" w:lineRule="auto"/>
        <w:ind w:left="720"/>
        <w:contextualSpacing/>
        <w:rPr>
          <w:rFonts w:ascii="Palatino Linotype" w:hAnsi="Palatino Linotype" w:cs="Times New Roman"/>
        </w:rPr>
      </w:pPr>
    </w:p>
    <w:p w:rsidR="006E26FC" w:rsidRPr="00123197" w:rsidRDefault="006E26FC" w:rsidP="00C73D4B">
      <w:pPr>
        <w:keepNext/>
        <w:keepLines/>
        <w:suppressAutoHyphens/>
        <w:spacing w:before="240" w:line="360" w:lineRule="auto"/>
        <w:outlineLvl w:val="0"/>
        <w:rPr>
          <w:rFonts w:ascii="Palatino Linotype" w:eastAsia="Times New Roman" w:hAnsi="Palatino Linotype" w:cs="Times New Roman"/>
          <w:b/>
          <w:color w:val="000000"/>
          <w:lang w:val="es-MX" w:eastAsia="es-MX"/>
        </w:rPr>
      </w:pPr>
      <w:bookmarkStart w:id="156" w:name="_Toc98350364"/>
      <w:r w:rsidRPr="00123197">
        <w:rPr>
          <w:rFonts w:ascii="Palatino Linotype" w:eastAsia="Times New Roman" w:hAnsi="Palatino Linotype" w:cs="Times New Roman"/>
          <w:b/>
          <w:color w:val="000000"/>
          <w:lang w:val="es-MX" w:eastAsia="es-MX"/>
        </w:rPr>
        <w:t>CUARTO. De la decisión.</w:t>
      </w:r>
      <w:bookmarkEnd w:id="156"/>
      <w:r w:rsidRPr="00123197">
        <w:rPr>
          <w:rFonts w:ascii="Palatino Linotype" w:eastAsia="Times New Roman" w:hAnsi="Palatino Linotype" w:cs="Times New Roman"/>
          <w:b/>
          <w:color w:val="000000"/>
          <w:lang w:val="es-MX" w:eastAsia="es-MX"/>
        </w:rPr>
        <w:t xml:space="preserve"> </w:t>
      </w:r>
    </w:p>
    <w:p w:rsidR="006E26FC" w:rsidRPr="00123197" w:rsidRDefault="006E26FC" w:rsidP="00C73D4B">
      <w:pPr>
        <w:spacing w:line="360" w:lineRule="auto"/>
        <w:rPr>
          <w:rFonts w:ascii="Palatino Linotype" w:hAnsi="Palatino Linotype" w:cs="Times New Roman"/>
        </w:rPr>
      </w:pPr>
    </w:p>
    <w:p w:rsidR="006E26FC" w:rsidRPr="00123197" w:rsidRDefault="006E26FC" w:rsidP="00C73D4B">
      <w:pPr>
        <w:numPr>
          <w:ilvl w:val="0"/>
          <w:numId w:val="1"/>
        </w:numPr>
        <w:tabs>
          <w:tab w:val="left" w:pos="567"/>
        </w:tabs>
        <w:spacing w:line="360" w:lineRule="auto"/>
        <w:ind w:left="0" w:right="49" w:firstLine="0"/>
        <w:contextualSpacing/>
        <w:jc w:val="both"/>
        <w:rPr>
          <w:rFonts w:ascii="Palatino Linotype" w:hAnsi="Palatino Linotype" w:cs="Times New Roman"/>
        </w:rPr>
      </w:pPr>
      <w:r w:rsidRPr="00123197">
        <w:rPr>
          <w:rFonts w:ascii="Palatino Linotype" w:eastAsia="Times New Roman" w:hAnsi="Palatino Linotype" w:cs="Tahoma"/>
          <w:lang w:val="es-MX" w:eastAsia="es-MX"/>
        </w:rPr>
        <w:t xml:space="preserve">Con base en todo lo expuesto, y toda vez que no se atendió la solicitud de información, con fundamento en el artículo 186, fracción I, en relación con la fracción III del artículo 192 de la Ley de Transparencia y Acceso a la Información Pública del Estado de México y Municipios, este Instituto considera procedente </w:t>
      </w:r>
      <w:r w:rsidRPr="00123197">
        <w:rPr>
          <w:rFonts w:ascii="Palatino Linotype" w:eastAsia="Times New Roman" w:hAnsi="Palatino Linotype" w:cs="Tahoma"/>
          <w:b/>
          <w:lang w:val="es-MX" w:eastAsia="es-MX"/>
        </w:rPr>
        <w:t xml:space="preserve">SOBRESEER </w:t>
      </w:r>
      <w:r w:rsidRPr="00123197">
        <w:rPr>
          <w:rFonts w:ascii="Palatino Linotype" w:eastAsia="Times New Roman" w:hAnsi="Palatino Linotype" w:cs="Tahoma"/>
          <w:lang w:val="es-MX" w:eastAsia="es-MX"/>
        </w:rPr>
        <w:t>el presente recurso de revisión.</w:t>
      </w:r>
      <w:r w:rsidRPr="00123197">
        <w:rPr>
          <w:rFonts w:ascii="Palatino Linotype" w:eastAsia="Times New Roman" w:hAnsi="Palatino Linotype" w:cs="Tahoma"/>
          <w:b/>
          <w:lang w:val="es-MX" w:eastAsia="es-MX"/>
        </w:rPr>
        <w:t xml:space="preserve"> </w:t>
      </w:r>
    </w:p>
    <w:p w:rsidR="006E26FC" w:rsidRPr="00123197" w:rsidRDefault="006E26FC" w:rsidP="00C73D4B">
      <w:pPr>
        <w:spacing w:line="360" w:lineRule="auto"/>
        <w:ind w:right="49"/>
        <w:contextualSpacing/>
        <w:jc w:val="both"/>
        <w:rPr>
          <w:rFonts w:ascii="Palatino Linotype" w:hAnsi="Palatino Linotype" w:cs="Times New Roman"/>
        </w:rPr>
      </w:pPr>
    </w:p>
    <w:p w:rsidR="006E26FC" w:rsidRPr="00123197" w:rsidRDefault="006E26FC" w:rsidP="00C73D4B">
      <w:pPr>
        <w:numPr>
          <w:ilvl w:val="0"/>
          <w:numId w:val="1"/>
        </w:numPr>
        <w:spacing w:line="360" w:lineRule="auto"/>
        <w:ind w:left="0" w:right="49" w:firstLine="0"/>
        <w:contextualSpacing/>
        <w:jc w:val="both"/>
        <w:rPr>
          <w:rFonts w:ascii="Palatino Linotype" w:hAnsi="Palatino Linotype" w:cs="Times New Roman"/>
        </w:rPr>
      </w:pPr>
      <w:r w:rsidRPr="00123197">
        <w:rPr>
          <w:rFonts w:ascii="Palatino Linotype" w:eastAsia="Times New Roman" w:hAnsi="Palatino Linotype" w:cs="Arial"/>
          <w:color w:val="000000"/>
          <w:lang w:eastAsia="es-MX"/>
        </w:rPr>
        <w:t xml:space="preserve">Por lo anteriormente expuesto y fundado, este </w:t>
      </w:r>
      <w:r w:rsidRPr="00123197">
        <w:rPr>
          <w:rFonts w:ascii="Palatino Linotype" w:eastAsia="Times New Roman" w:hAnsi="Palatino Linotype" w:cs="Arial"/>
          <w:b/>
          <w:color w:val="000000"/>
          <w:lang w:eastAsia="es-MX"/>
        </w:rPr>
        <w:t>ÓRGANO GARANTE</w:t>
      </w:r>
      <w:r w:rsidRPr="00123197">
        <w:rPr>
          <w:rFonts w:ascii="Palatino Linotype" w:eastAsia="Times New Roman" w:hAnsi="Palatino Linotype" w:cs="Arial"/>
          <w:color w:val="000000"/>
          <w:lang w:eastAsia="es-MX"/>
        </w:rPr>
        <w:t xml:space="preserve"> emite los siguientes: </w:t>
      </w:r>
    </w:p>
    <w:p w:rsidR="00C27EE8" w:rsidRPr="00123197" w:rsidRDefault="00C27EE8" w:rsidP="00C73D4B">
      <w:pPr>
        <w:pStyle w:val="Prrafodelista"/>
        <w:spacing w:line="360" w:lineRule="auto"/>
        <w:rPr>
          <w:rFonts w:ascii="Palatino Linotype" w:hAnsi="Palatino Linotype" w:cs="Times New Roman"/>
        </w:rPr>
      </w:pPr>
    </w:p>
    <w:p w:rsidR="00C27EE8" w:rsidRPr="00123197" w:rsidRDefault="00C27EE8" w:rsidP="00C73D4B">
      <w:pPr>
        <w:spacing w:line="360" w:lineRule="auto"/>
        <w:ind w:right="49"/>
        <w:contextualSpacing/>
        <w:jc w:val="both"/>
        <w:rPr>
          <w:rFonts w:ascii="Palatino Linotype" w:hAnsi="Palatino Linotype" w:cs="Times New Roman"/>
        </w:rPr>
      </w:pPr>
    </w:p>
    <w:p w:rsidR="006E26FC" w:rsidRPr="00123197" w:rsidRDefault="006E26FC" w:rsidP="00C73D4B">
      <w:pPr>
        <w:keepNext/>
        <w:keepLines/>
        <w:spacing w:line="360" w:lineRule="auto"/>
        <w:jc w:val="center"/>
        <w:outlineLvl w:val="0"/>
        <w:rPr>
          <w:rFonts w:ascii="Palatino Linotype" w:eastAsiaTheme="majorEastAsia" w:hAnsi="Palatino Linotype" w:cstheme="majorBidi"/>
          <w:b/>
          <w:color w:val="000000" w:themeColor="text1"/>
          <w:lang w:val="es-MX" w:eastAsia="en-US"/>
        </w:rPr>
      </w:pPr>
      <w:bookmarkStart w:id="157" w:name="_Toc528153792"/>
      <w:bookmarkStart w:id="158" w:name="_Toc71158406"/>
      <w:bookmarkStart w:id="159" w:name="_Toc90654868"/>
      <w:r w:rsidRPr="00123197">
        <w:rPr>
          <w:rFonts w:ascii="Palatino Linotype" w:eastAsiaTheme="majorEastAsia" w:hAnsi="Palatino Linotype" w:cstheme="majorBidi"/>
          <w:b/>
          <w:color w:val="000000" w:themeColor="text1"/>
          <w:lang w:val="es-MX" w:eastAsia="en-US"/>
        </w:rPr>
        <w:t>R E S O L U T I V O S</w:t>
      </w:r>
      <w:bookmarkEnd w:id="157"/>
      <w:bookmarkEnd w:id="158"/>
      <w:bookmarkEnd w:id="159"/>
    </w:p>
    <w:p w:rsidR="00C27EE8" w:rsidRPr="00123197" w:rsidRDefault="00C27EE8" w:rsidP="00C73D4B">
      <w:pPr>
        <w:keepNext/>
        <w:keepLines/>
        <w:spacing w:line="360" w:lineRule="auto"/>
        <w:jc w:val="center"/>
        <w:outlineLvl w:val="0"/>
        <w:rPr>
          <w:rFonts w:ascii="Palatino Linotype" w:eastAsiaTheme="majorEastAsia" w:hAnsi="Palatino Linotype" w:cstheme="majorBidi"/>
          <w:b/>
          <w:color w:val="000000" w:themeColor="text1"/>
          <w:lang w:val="es-MX" w:eastAsia="en-US"/>
        </w:rPr>
      </w:pPr>
    </w:p>
    <w:p w:rsidR="006E26FC" w:rsidRPr="00123197" w:rsidRDefault="006E26FC" w:rsidP="00C73D4B">
      <w:pPr>
        <w:spacing w:line="360" w:lineRule="auto"/>
        <w:jc w:val="both"/>
        <w:rPr>
          <w:rFonts w:ascii="Palatino Linotype" w:eastAsia="Calibri" w:hAnsi="Palatino Linotype" w:cs="Tahoma"/>
          <w:b/>
          <w:bCs/>
          <w:lang w:val="es-ES" w:eastAsia="en-US"/>
        </w:rPr>
      </w:pPr>
      <w:bookmarkStart w:id="160" w:name="_Toc528153793"/>
      <w:bookmarkStart w:id="161" w:name="_Toc514231051"/>
      <w:bookmarkStart w:id="162" w:name="_Toc512329343"/>
      <w:bookmarkStart w:id="163" w:name="_Toc503290282"/>
      <w:bookmarkStart w:id="164" w:name="_Toc500264545"/>
      <w:bookmarkStart w:id="165" w:name="_Toc500245736"/>
      <w:bookmarkStart w:id="166" w:name="_Toc499757019"/>
      <w:bookmarkStart w:id="167" w:name="_Toc499756976"/>
      <w:bookmarkStart w:id="168" w:name="_Toc496100164"/>
      <w:bookmarkStart w:id="169" w:name="_Toc496099787"/>
      <w:bookmarkStart w:id="170" w:name="_Toc462228127"/>
      <w:bookmarkStart w:id="171" w:name="_Toc462228047"/>
      <w:bookmarkStart w:id="172" w:name="_Toc461648680"/>
      <w:bookmarkStart w:id="173" w:name="_Toc461648588"/>
      <w:r w:rsidRPr="00123197">
        <w:rPr>
          <w:rFonts w:ascii="Palatino Linotype" w:eastAsia="MS Gothic" w:hAnsi="Palatino Linotype" w:cs="Times New Roman"/>
          <w:b/>
          <w:lang w:val="es-MX" w:eastAsia="en-US"/>
        </w:rPr>
        <w:t xml:space="preserve">PRIMERO. </w:t>
      </w:r>
      <w:r w:rsidRPr="00123197">
        <w:rPr>
          <w:rFonts w:ascii="Palatino Linotype" w:eastAsia="MS Gothic" w:hAnsi="Palatino Linotype" w:cs="Times New Roman"/>
          <w:lang w:val="es-MX" w:eastAsia="en-US"/>
        </w:rPr>
        <w:t>Se</w:t>
      </w:r>
      <w:r w:rsidRPr="00123197">
        <w:rPr>
          <w:rFonts w:ascii="Palatino Linotype" w:eastAsia="MS Gothic" w:hAnsi="Palatino Linotype" w:cs="Times New Roman"/>
          <w:b/>
          <w:lang w:val="es-MX" w:eastAsia="en-US"/>
        </w:rPr>
        <w:t xml:space="preserve"> SOBRESEE </w:t>
      </w:r>
      <w:r w:rsidRPr="00123197">
        <w:rPr>
          <w:rFonts w:ascii="Palatino Linotype" w:eastAsia="MS Gothic" w:hAnsi="Palatino Linotype" w:cs="Times New Roman"/>
          <w:lang w:val="es-MX" w:eastAsia="en-US"/>
        </w:rPr>
        <w:t xml:space="preserve">el recurso de revisión número </w:t>
      </w:r>
      <w:r w:rsidR="00C27EE8" w:rsidRPr="00123197">
        <w:rPr>
          <w:rFonts w:ascii="Palatino Linotype" w:eastAsia="MS Gothic" w:hAnsi="Palatino Linotype" w:cs="Times New Roman"/>
          <w:b/>
          <w:lang w:val="es-MX" w:eastAsia="en-US"/>
        </w:rPr>
        <w:t>06798/INFOEM/IP/RR/2022</w:t>
      </w:r>
      <w:r w:rsidR="00D22540" w:rsidRPr="00123197">
        <w:rPr>
          <w:rFonts w:ascii="Palatino Linotype" w:eastAsia="MS Gothic" w:hAnsi="Palatino Linotype" w:cs="Times New Roman"/>
          <w:b/>
          <w:lang w:val="es-MX" w:eastAsia="en-US"/>
        </w:rPr>
        <w:t xml:space="preserve">, con fundamento en el </w:t>
      </w:r>
      <w:r w:rsidR="00D22540" w:rsidRPr="00123197">
        <w:rPr>
          <w:rFonts w:ascii="Palatino Linotype" w:eastAsia="Times New Roman" w:hAnsi="Palatino Linotype" w:cs="Tahoma"/>
          <w:lang w:val="es-MX" w:eastAsia="es-MX"/>
        </w:rPr>
        <w:t>artículo 192 fracción III de la Ley de Transparencia y Acceso a la Información Pública del Estado de México y Municipios,</w:t>
      </w:r>
      <w:r w:rsidR="00C27EE8" w:rsidRPr="00123197">
        <w:rPr>
          <w:rFonts w:ascii="Palatino Linotype" w:eastAsia="Calibri" w:hAnsi="Palatino Linotype" w:cs="Tahoma"/>
          <w:b/>
          <w:bCs/>
          <w:lang w:val="es-ES" w:eastAsia="en-US"/>
        </w:rPr>
        <w:t xml:space="preserve"> </w:t>
      </w:r>
      <w:r w:rsidRPr="00123197">
        <w:rPr>
          <w:rFonts w:ascii="Palatino Linotype" w:eastAsia="MS Gothic" w:hAnsi="Palatino Linotype" w:cs="Times New Roman"/>
          <w:lang w:val="es-MX" w:eastAsia="en-US"/>
        </w:rPr>
        <w:t xml:space="preserve">en razón de que, al </w:t>
      </w:r>
      <w:r w:rsidRPr="00123197">
        <w:rPr>
          <w:rFonts w:ascii="Palatino Linotype" w:eastAsia="MS Gothic" w:hAnsi="Palatino Linotype" w:cs="Times New Roman"/>
          <w:b/>
          <w:lang w:val="es-MX" w:eastAsia="en-US"/>
        </w:rPr>
        <w:t>MODIFICAR</w:t>
      </w:r>
      <w:r w:rsidRPr="00123197">
        <w:rPr>
          <w:rFonts w:ascii="Palatino Linotype" w:eastAsia="MS Gothic" w:hAnsi="Palatino Linotype" w:cs="Times New Roman"/>
          <w:lang w:val="es-MX" w:eastAsia="en-US"/>
        </w:rPr>
        <w:t xml:space="preserve"> la respuesta inicial, el recurso de revisión quedó sin materia en términos del Considerando </w:t>
      </w:r>
      <w:r w:rsidRPr="00123197">
        <w:rPr>
          <w:rFonts w:ascii="Palatino Linotype" w:eastAsia="MS Gothic" w:hAnsi="Palatino Linotype" w:cs="Times New Roman"/>
          <w:b/>
          <w:lang w:val="es-MX" w:eastAsia="en-US"/>
        </w:rPr>
        <w:t>TERCERO</w:t>
      </w:r>
      <w:r w:rsidRPr="00123197">
        <w:rPr>
          <w:rFonts w:ascii="Palatino Linotype" w:eastAsia="MS Gothic" w:hAnsi="Palatino Linotype" w:cs="Times New Roman"/>
          <w:lang w:val="es-MX" w:eastAsia="en-US"/>
        </w:rPr>
        <w:t xml:space="preserve"> de la presente resolución.    </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rsidR="006E26FC" w:rsidRPr="00123197" w:rsidRDefault="006E26FC" w:rsidP="00C73D4B">
      <w:pPr>
        <w:spacing w:line="360" w:lineRule="auto"/>
        <w:jc w:val="both"/>
        <w:rPr>
          <w:rFonts w:ascii="Palatino Linotype" w:eastAsia="MS Mincho" w:hAnsi="Palatino Linotype" w:cs="Times New Roman"/>
          <w:lang w:eastAsia="es-MX"/>
        </w:rPr>
      </w:pPr>
    </w:p>
    <w:p w:rsidR="006E26FC" w:rsidRPr="00123197" w:rsidRDefault="006E26FC" w:rsidP="00C73D4B">
      <w:pPr>
        <w:spacing w:line="360" w:lineRule="auto"/>
        <w:jc w:val="both"/>
        <w:rPr>
          <w:rFonts w:ascii="Palatino Linotype" w:eastAsia="Calibri" w:hAnsi="Palatino Linotype" w:cs="Arial"/>
          <w:b/>
          <w:bCs/>
          <w:lang w:val="es-MX" w:eastAsia="es-MX"/>
        </w:rPr>
      </w:pPr>
      <w:r w:rsidRPr="00123197">
        <w:rPr>
          <w:rFonts w:ascii="Palatino Linotype" w:eastAsia="Calibri" w:hAnsi="Palatino Linotype" w:cs="Arial"/>
          <w:b/>
          <w:bCs/>
          <w:lang w:val="es-MX" w:eastAsia="es-MX"/>
        </w:rPr>
        <w:t xml:space="preserve">SEGUNDO. Notifíquese </w:t>
      </w:r>
      <w:r w:rsidRPr="00123197">
        <w:rPr>
          <w:rFonts w:ascii="Palatino Linotype" w:eastAsia="Calibri" w:hAnsi="Palatino Linotype" w:cs="Arial"/>
          <w:bCs/>
          <w:lang w:val="es-MX" w:eastAsia="es-MX"/>
        </w:rPr>
        <w:t xml:space="preserve">a través del Sistema de Acceso a la Información Mexiquense </w:t>
      </w:r>
      <w:r w:rsidRPr="00123197">
        <w:rPr>
          <w:rFonts w:ascii="Palatino Linotype" w:eastAsia="Calibri" w:hAnsi="Palatino Linotype" w:cs="Arial"/>
          <w:b/>
          <w:bCs/>
          <w:lang w:val="es-MX" w:eastAsia="es-MX"/>
        </w:rPr>
        <w:t xml:space="preserve">(SAIMEX) </w:t>
      </w:r>
      <w:r w:rsidRPr="00123197">
        <w:rPr>
          <w:rFonts w:ascii="Palatino Linotype" w:eastAsia="Calibri" w:hAnsi="Palatino Linotype" w:cs="Arial"/>
          <w:bCs/>
          <w:lang w:val="es-MX" w:eastAsia="es-MX"/>
        </w:rPr>
        <w:t>la presente resolución a la Titular de la Unidad de Transparencia del</w:t>
      </w:r>
      <w:r w:rsidRPr="00123197">
        <w:rPr>
          <w:rFonts w:ascii="Palatino Linotype" w:eastAsia="Calibri" w:hAnsi="Palatino Linotype" w:cs="Arial"/>
          <w:b/>
          <w:bCs/>
          <w:lang w:val="es-MX" w:eastAsia="es-MX"/>
        </w:rPr>
        <w:t xml:space="preserve"> SUJETO OBLIGADO. </w:t>
      </w:r>
    </w:p>
    <w:p w:rsidR="006E26FC" w:rsidRPr="00123197" w:rsidRDefault="006E26FC" w:rsidP="00C73D4B">
      <w:pPr>
        <w:spacing w:line="360" w:lineRule="auto"/>
        <w:jc w:val="both"/>
        <w:rPr>
          <w:rFonts w:ascii="Palatino Linotype" w:eastAsia="Calibri" w:hAnsi="Palatino Linotype" w:cs="Arial"/>
          <w:b/>
          <w:bCs/>
          <w:lang w:val="es-MX" w:eastAsia="es-MX"/>
        </w:rPr>
      </w:pPr>
    </w:p>
    <w:p w:rsidR="006E26FC" w:rsidRPr="00123197" w:rsidRDefault="006E26FC" w:rsidP="00C73D4B">
      <w:pPr>
        <w:spacing w:line="360" w:lineRule="auto"/>
        <w:jc w:val="both"/>
        <w:rPr>
          <w:rFonts w:ascii="Palatino Linotype" w:eastAsia="Times New Roman" w:hAnsi="Palatino Linotype" w:cs="Times New Roman"/>
          <w:color w:val="222222"/>
          <w:lang w:val="es-MX" w:eastAsia="es-MX"/>
        </w:rPr>
      </w:pPr>
      <w:r w:rsidRPr="00123197">
        <w:rPr>
          <w:rFonts w:ascii="Palatino Linotype" w:eastAsia="Times New Roman" w:hAnsi="Palatino Linotype" w:cs="Arial"/>
          <w:b/>
          <w:lang w:eastAsia="es-MX"/>
        </w:rPr>
        <w:t xml:space="preserve">TERCERO. </w:t>
      </w:r>
      <w:r w:rsidRPr="00123197">
        <w:rPr>
          <w:rFonts w:ascii="Palatino Linotype" w:eastAsia="Times New Roman" w:hAnsi="Palatino Linotype" w:cs="Times New Roman"/>
          <w:b/>
          <w:bCs/>
          <w:color w:val="222222"/>
          <w:lang w:val="es-MX" w:eastAsia="es-MX"/>
        </w:rPr>
        <w:t xml:space="preserve">Notifíquese </w:t>
      </w:r>
      <w:r w:rsidRPr="00123197">
        <w:rPr>
          <w:rFonts w:ascii="Palatino Linotype" w:eastAsia="Times New Roman" w:hAnsi="Palatino Linotype" w:cs="Times New Roman"/>
          <w:bCs/>
          <w:color w:val="222222"/>
          <w:lang w:val="es-MX" w:eastAsia="es-MX"/>
        </w:rPr>
        <w:t xml:space="preserve">a la </w:t>
      </w:r>
      <w:r w:rsidRPr="00123197">
        <w:rPr>
          <w:rFonts w:ascii="Palatino Linotype" w:eastAsia="MS Mincho" w:hAnsi="Palatino Linotype" w:cs="Times New Roman"/>
          <w:b/>
          <w:lang w:eastAsia="es-MX"/>
        </w:rPr>
        <w:t xml:space="preserve">RECURRENTE </w:t>
      </w:r>
      <w:r w:rsidRPr="00123197">
        <w:rPr>
          <w:rFonts w:ascii="Palatino Linotype" w:eastAsia="Calibri" w:hAnsi="Palatino Linotype" w:cs="Arial"/>
          <w:bCs/>
          <w:lang w:val="es-MX" w:eastAsia="es-MX"/>
        </w:rPr>
        <w:t xml:space="preserve">a través del Sistema de Acceso a la Información Mexiquense </w:t>
      </w:r>
      <w:r w:rsidRPr="00123197">
        <w:rPr>
          <w:rFonts w:ascii="Palatino Linotype" w:eastAsia="Calibri" w:hAnsi="Palatino Linotype" w:cs="Arial"/>
          <w:b/>
          <w:bCs/>
          <w:lang w:val="es-MX" w:eastAsia="es-MX"/>
        </w:rPr>
        <w:t xml:space="preserve">(SAIMEX) </w:t>
      </w:r>
      <w:r w:rsidRPr="00123197">
        <w:rPr>
          <w:rFonts w:ascii="Palatino Linotype" w:eastAsia="Times New Roman" w:hAnsi="Palatino Linotype" w:cs="Times New Roman"/>
          <w:color w:val="222222"/>
          <w:lang w:val="es-MX" w:eastAsia="es-MX"/>
        </w:rPr>
        <w:t>la presente resolución.</w:t>
      </w:r>
    </w:p>
    <w:p w:rsidR="006E26FC" w:rsidRPr="00123197" w:rsidRDefault="006E26FC" w:rsidP="00C73D4B">
      <w:pPr>
        <w:spacing w:line="360" w:lineRule="auto"/>
        <w:jc w:val="both"/>
        <w:rPr>
          <w:rFonts w:ascii="Palatino Linotype" w:eastAsia="Times New Roman" w:hAnsi="Palatino Linotype" w:cs="Times New Roman"/>
          <w:color w:val="222222"/>
          <w:lang w:val="es-MX" w:eastAsia="es-MX"/>
        </w:rPr>
      </w:pPr>
    </w:p>
    <w:p w:rsidR="006E26FC" w:rsidRPr="00123197" w:rsidRDefault="006E26FC" w:rsidP="00C73D4B">
      <w:pPr>
        <w:spacing w:line="360" w:lineRule="auto"/>
        <w:jc w:val="both"/>
        <w:rPr>
          <w:rFonts w:ascii="Palatino Linotype" w:eastAsia="MS Mincho" w:hAnsi="Palatino Linotype" w:cs="Times New Roman"/>
          <w:lang w:val="es-MX" w:eastAsia="es-MX"/>
        </w:rPr>
      </w:pPr>
      <w:r w:rsidRPr="00123197">
        <w:rPr>
          <w:rFonts w:ascii="Palatino Linotype" w:eastAsia="MS Mincho" w:hAnsi="Palatino Linotype" w:cs="Times New Roman"/>
          <w:b/>
          <w:lang w:val="es-MX" w:eastAsia="es-MX"/>
        </w:rPr>
        <w:t>CUARTO.</w:t>
      </w:r>
      <w:r w:rsidRPr="00123197">
        <w:rPr>
          <w:rFonts w:ascii="Palatino Linotype" w:eastAsia="MS Mincho" w:hAnsi="Palatino Linotype" w:cs="Times New Roman"/>
          <w:lang w:val="es-MX" w:eastAsia="es-MX"/>
        </w:rPr>
        <w:t xml:space="preserve"> Se hace del conocimiento del </w:t>
      </w:r>
      <w:r w:rsidRPr="00123197">
        <w:rPr>
          <w:rFonts w:ascii="Palatino Linotype" w:eastAsia="MS Mincho" w:hAnsi="Palatino Linotype" w:cs="Times New Roman"/>
          <w:b/>
          <w:lang w:eastAsia="es-MX"/>
        </w:rPr>
        <w:t xml:space="preserve">RECURRENTE </w:t>
      </w:r>
      <w:r w:rsidRPr="00123197">
        <w:rPr>
          <w:rFonts w:ascii="Palatino Linotype" w:eastAsia="MS Mincho" w:hAnsi="Palatino Linotype" w:cs="Times New Roman"/>
          <w:lang w:val="es-MX" w:eastAsia="es-MX"/>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123197">
        <w:rPr>
          <w:rFonts w:ascii="Palatino Linotype" w:eastAsia="MS Mincho" w:hAnsi="Palatino Linotype" w:cs="Times New Roman"/>
          <w:bCs/>
          <w:lang w:val="es-MX" w:eastAsia="es-MX"/>
        </w:rPr>
        <w:t xml:space="preserve">vía juicio de amparo </w:t>
      </w:r>
      <w:r w:rsidRPr="00123197">
        <w:rPr>
          <w:rFonts w:ascii="Palatino Linotype" w:eastAsia="MS Mincho" w:hAnsi="Palatino Linotype" w:cs="Times New Roman"/>
          <w:lang w:val="es-MX" w:eastAsia="es-MX"/>
        </w:rPr>
        <w:t>en los términos de las leyes aplicables.</w:t>
      </w:r>
    </w:p>
    <w:p w:rsidR="006E26FC" w:rsidRPr="00123197" w:rsidRDefault="006E26FC" w:rsidP="00C73D4B">
      <w:pPr>
        <w:spacing w:line="360" w:lineRule="auto"/>
        <w:ind w:right="48"/>
        <w:jc w:val="both"/>
        <w:rPr>
          <w:rFonts w:ascii="Palatino Linotype" w:eastAsia="Times New Roman" w:hAnsi="Palatino Linotype" w:cs="Times New Roman"/>
          <w:lang w:val="es-MX" w:eastAsia="es-MX"/>
        </w:rPr>
      </w:pPr>
    </w:p>
    <w:p w:rsidR="00C27EE8" w:rsidRPr="00C73D4B" w:rsidRDefault="00C27EE8" w:rsidP="00C73D4B">
      <w:pPr>
        <w:spacing w:before="240" w:after="240" w:line="360" w:lineRule="auto"/>
        <w:jc w:val="both"/>
        <w:rPr>
          <w:rFonts w:ascii="Palatino Linotype" w:hAnsi="Palatino Linotype"/>
          <w:lang w:val="es-MX" w:eastAsia="es-MX"/>
        </w:rPr>
      </w:pPr>
      <w:r w:rsidRPr="00123197">
        <w:rPr>
          <w:rFonts w:ascii="Palatino Linotype" w:hAnsi="Palatino Linotype"/>
          <w:lang w:val="es-MX" w:eastAsia="es-MX"/>
        </w:rPr>
        <w:t xml:space="preserve">ASÍ LO RESUELVE, POR UNANIMIDAD DE VOTOS, EL PLENO DEL INSTITUTO DE TRANSPARENCIA, ACCESO A LA INFORMACIÓN PÚBLICA Y </w:t>
      </w:r>
      <w:r w:rsidRPr="00123197">
        <w:rPr>
          <w:rFonts w:ascii="Palatino Linotype" w:hAnsi="Palatino Linotype"/>
          <w:lang w:val="es-MX" w:eastAsia="es-MX"/>
        </w:rPr>
        <w:lastRenderedPageBreak/>
        <w:t xml:space="preserve">PROTECCIÓN DE DATOS PERSONALES DEL ESTADO DE MÉXICO Y MUNICIPIOS, CONFORMADO POR LOS COMISIONADOS JOSÉ MARTÍNEZ VILCHIS; MARÍA DEL ROSARIO MEJÍA AYALA; SHARON CRISTINA MORALES MARTÍNEZ; LUIS GUSTAVO PARRA NORIEGA Y GUADALUPE RAMÍREZ PEÑA EN VIGÉSIMA </w:t>
      </w:r>
      <w:r w:rsidR="00D22540" w:rsidRPr="00123197">
        <w:rPr>
          <w:rFonts w:ascii="Palatino Linotype" w:hAnsi="Palatino Linotype"/>
          <w:lang w:val="es-MX" w:eastAsia="es-MX"/>
        </w:rPr>
        <w:t>NOVENA</w:t>
      </w:r>
      <w:r w:rsidRPr="00123197">
        <w:rPr>
          <w:rFonts w:ascii="Palatino Linotype" w:hAnsi="Palatino Linotype"/>
          <w:lang w:val="es-MX" w:eastAsia="es-MX"/>
        </w:rPr>
        <w:t xml:space="preserve"> SESIÓN ORDINARIA CELEBRADA EL </w:t>
      </w:r>
      <w:r w:rsidR="00D22540" w:rsidRPr="00123197">
        <w:rPr>
          <w:rFonts w:ascii="Palatino Linotype" w:hAnsi="Palatino Linotype"/>
          <w:lang w:val="es-MX" w:eastAsia="es-MX"/>
        </w:rPr>
        <w:t>DIECISEIS (16)</w:t>
      </w:r>
      <w:r w:rsidRPr="00123197">
        <w:rPr>
          <w:rFonts w:ascii="Palatino Linotype" w:hAnsi="Palatino Linotype"/>
          <w:lang w:val="es-MX" w:eastAsia="es-MX"/>
        </w:rPr>
        <w:t xml:space="preserve"> DE AGOSTO DE DOS MIL VEINTITRÉS, ANTE EL SECRETARIO TÉCNICO DEL PLENO ALEXIS TAPIA RAMÍREZ.</w:t>
      </w:r>
      <w:bookmarkStart w:id="174" w:name="_GoBack"/>
      <w:bookmarkEnd w:id="174"/>
      <w:r w:rsidRPr="00C73D4B">
        <w:rPr>
          <w:rFonts w:ascii="Palatino Linotype" w:hAnsi="Palatino Linotype"/>
          <w:lang w:val="es-MX" w:eastAsia="es-MX"/>
        </w:rPr>
        <w:t xml:space="preserve"> </w:t>
      </w:r>
    </w:p>
    <w:p w:rsidR="006E26FC" w:rsidRPr="006E26FC" w:rsidRDefault="006E26FC" w:rsidP="00C73D4B">
      <w:pPr>
        <w:spacing w:line="360" w:lineRule="auto"/>
        <w:ind w:right="49"/>
        <w:jc w:val="both"/>
        <w:rPr>
          <w:rFonts w:ascii="Palatino Linotype" w:hAnsi="Palatino Linotype" w:cs="Arial"/>
        </w:rPr>
      </w:pPr>
    </w:p>
    <w:p w:rsidR="006E26FC" w:rsidRPr="006E26FC" w:rsidRDefault="006E26FC" w:rsidP="00C73D4B">
      <w:pPr>
        <w:spacing w:line="360" w:lineRule="auto"/>
        <w:rPr>
          <w:rFonts w:ascii="Palatino Linotype" w:eastAsia="Times New Roman" w:hAnsi="Palatino Linotype" w:cs="Times New Roman"/>
          <w:lang w:val="es-MX" w:eastAsia="es-MX"/>
        </w:rPr>
      </w:pPr>
    </w:p>
    <w:p w:rsidR="006E26FC" w:rsidRPr="006E26FC" w:rsidRDefault="006E26FC" w:rsidP="00C73D4B">
      <w:pPr>
        <w:spacing w:line="360" w:lineRule="auto"/>
        <w:rPr>
          <w:rFonts w:ascii="Palatino Linotype" w:eastAsia="Times New Roman" w:hAnsi="Palatino Linotype" w:cs="Times New Roman"/>
          <w:lang w:val="es-MX" w:eastAsia="es-MX"/>
        </w:rPr>
      </w:pPr>
    </w:p>
    <w:p w:rsidR="009F09BC" w:rsidRPr="00C73D4B" w:rsidRDefault="009F09BC" w:rsidP="00C73D4B">
      <w:pPr>
        <w:tabs>
          <w:tab w:val="left" w:pos="3374"/>
        </w:tabs>
        <w:spacing w:line="360" w:lineRule="auto"/>
        <w:rPr>
          <w:rFonts w:ascii="Palatino Linotype" w:hAnsi="Palatino Linotype"/>
        </w:rPr>
      </w:pPr>
      <w:r w:rsidRPr="00C73D4B">
        <w:rPr>
          <w:rFonts w:ascii="Palatino Linotype" w:hAnsi="Palatino Linotype"/>
        </w:rPr>
        <w:tab/>
      </w:r>
    </w:p>
    <w:sectPr w:rsidR="009F09BC" w:rsidRPr="00C73D4B" w:rsidSect="00310233">
      <w:headerReference w:type="even" r:id="rId11"/>
      <w:headerReference w:type="default" r:id="rId12"/>
      <w:footerReference w:type="default" r:id="rId13"/>
      <w:headerReference w:type="first" r:id="rId14"/>
      <w:footerReference w:type="first" r:id="rId15"/>
      <w:pgSz w:w="12240" w:h="15840"/>
      <w:pgMar w:top="958" w:right="1701" w:bottom="156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DF1" w:rsidRDefault="00956DF1" w:rsidP="003B7751">
      <w:r>
        <w:separator/>
      </w:r>
    </w:p>
  </w:endnote>
  <w:endnote w:type="continuationSeparator" w:id="0">
    <w:p w:rsidR="00956DF1" w:rsidRDefault="00956DF1"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C24F99" w:rsidRPr="002D6DD8" w:rsidRDefault="00C24F9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3197">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23197">
              <w:rPr>
                <w:rFonts w:ascii="Palatino Linotype" w:hAnsi="Palatino Linotype"/>
                <w:bCs/>
                <w:noProof/>
                <w:sz w:val="20"/>
              </w:rPr>
              <w:t>24</w:t>
            </w:r>
            <w:r>
              <w:rPr>
                <w:rFonts w:ascii="Palatino Linotype" w:hAnsi="Palatino Linotype"/>
                <w:bCs/>
                <w:noProof/>
                <w:sz w:val="20"/>
              </w:rPr>
              <w:fldChar w:fldCharType="end"/>
            </w:r>
          </w:p>
        </w:sdtContent>
      </w:sdt>
    </w:sdtContent>
  </w:sdt>
  <w:p w:rsidR="00C24F99" w:rsidRDefault="00C24F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F99" w:rsidRPr="000B69FA" w:rsidRDefault="00C24F99"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231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123197">
      <w:rPr>
        <w:rFonts w:ascii="Palatino Linotype" w:hAnsi="Palatino Linotype"/>
        <w:bCs/>
        <w:noProof/>
        <w:sz w:val="20"/>
      </w:rPr>
      <w:t>24</w:t>
    </w:r>
    <w:r>
      <w:rPr>
        <w:rFonts w:ascii="Palatino Linotype" w:hAnsi="Palatino Linotype"/>
        <w:bCs/>
        <w:noProof/>
        <w:sz w:val="20"/>
      </w:rPr>
      <w:fldChar w:fldCharType="end"/>
    </w:r>
  </w:p>
  <w:p w:rsidR="00C24F99" w:rsidRDefault="00C24F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DF1" w:rsidRDefault="00956DF1" w:rsidP="003B7751">
      <w:r>
        <w:separator/>
      </w:r>
    </w:p>
  </w:footnote>
  <w:footnote w:type="continuationSeparator" w:id="0">
    <w:p w:rsidR="00956DF1" w:rsidRDefault="00956DF1" w:rsidP="003B7751">
      <w:r>
        <w:continuationSeparator/>
      </w:r>
    </w:p>
  </w:footnote>
  <w:footnote w:id="1">
    <w:p w:rsidR="006E26FC" w:rsidRPr="00911081" w:rsidRDefault="006E26FC" w:rsidP="006E26FC">
      <w:pPr>
        <w:jc w:val="both"/>
        <w:rPr>
          <w:rFonts w:ascii="Palatino Linotype" w:hAnsi="Palatino Linotype"/>
          <w:b/>
          <w:bCs/>
          <w:i/>
          <w:sz w:val="16"/>
          <w:szCs w:val="16"/>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E26FC" w:rsidRPr="00911081" w:rsidRDefault="006E26FC" w:rsidP="006E26FC">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Pr>
          <w:rFonts w:ascii="Palatino Linotype" w:hAnsi="Palatino Linotype"/>
          <w:i/>
          <w:sz w:val="16"/>
          <w:szCs w:val="16"/>
        </w:rPr>
        <w:t xml:space="preserve"> </w:t>
      </w:r>
      <w:hyperlink r:id="rId1" w:history="1">
        <w:r w:rsidRPr="00911081">
          <w:rPr>
            <w:rStyle w:val="Hipervnculo"/>
            <w:rFonts w:ascii="Palatino Linotype" w:hAnsi="Palatino Linotype"/>
            <w:i/>
            <w:sz w:val="16"/>
            <w:szCs w:val="16"/>
          </w:rPr>
          <w:t>73 y 74 de la Ley de Amparo</w:t>
        </w:r>
      </w:hyperlink>
      <w:r w:rsidRPr="005D5598">
        <w:rPr>
          <w:rStyle w:val="apple-converted-space"/>
          <w:rFonts w:ascii="Palatino Linotype" w:hAnsi="Palatino Linotype"/>
          <w:i/>
          <w:sz w:val="16"/>
          <w:szCs w:val="16"/>
        </w:rPr>
        <w:t xml:space="preserve"> </w:t>
      </w:r>
      <w:r w:rsidRPr="00911081">
        <w:rPr>
          <w:rFonts w:ascii="Palatino Linotype" w:hAnsi="Palatino Linotype"/>
          <w:i/>
          <w:sz w:val="16"/>
          <w:szCs w:val="16"/>
        </w:rPr>
        <w:t>con el artículo</w:t>
      </w:r>
      <w:r>
        <w:rPr>
          <w:rFonts w:ascii="Palatino Linotype" w:hAnsi="Palatino Linotype"/>
          <w:i/>
          <w:sz w:val="16"/>
          <w:szCs w:val="16"/>
        </w:rPr>
        <w:t xml:space="preserve"> </w:t>
      </w:r>
      <w:hyperlink r:id="rId2" w:history="1">
        <w:r w:rsidRPr="00911081">
          <w:rPr>
            <w:rStyle w:val="Hipervnculo"/>
            <w:rFonts w:ascii="Palatino Linotype" w:hAnsi="Palatino Linotype"/>
            <w:i/>
            <w:sz w:val="16"/>
            <w:szCs w:val="16"/>
          </w:rPr>
          <w:t>25.1 de la Convención Americana sobre Derechos Humanos</w:t>
        </w:r>
      </w:hyperlink>
      <w:r w:rsidRPr="005D5598">
        <w:rPr>
          <w:rStyle w:val="Hipervnculo"/>
          <w:rFonts w:ascii="Palatino Linotype" w:hAnsi="Palatino Linotype"/>
          <w:i/>
          <w:sz w:val="16"/>
          <w:szCs w:val="16"/>
        </w:rPr>
        <w:t xml:space="preserve">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F99" w:rsidRDefault="00956DF1">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2694" w:type="dxa"/>
      <w:tblCellMar>
        <w:left w:w="70" w:type="dxa"/>
        <w:right w:w="70" w:type="dxa"/>
      </w:tblCellMar>
      <w:tblLook w:val="04A0" w:firstRow="1" w:lastRow="0" w:firstColumn="1" w:lastColumn="0" w:noHBand="0" w:noVBand="1"/>
    </w:tblPr>
    <w:tblGrid>
      <w:gridCol w:w="2976"/>
      <w:gridCol w:w="3543"/>
    </w:tblGrid>
    <w:tr w:rsidR="00C24F99" w:rsidTr="006A04B6">
      <w:trPr>
        <w:trHeight w:val="227"/>
      </w:trPr>
      <w:tc>
        <w:tcPr>
          <w:tcW w:w="2976" w:type="dxa"/>
          <w:vAlign w:val="center"/>
          <w:hideMark/>
        </w:tcPr>
        <w:p w:rsidR="00C24F99" w:rsidRPr="00674A46" w:rsidRDefault="00C24F99"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3543" w:type="dxa"/>
          <w:vAlign w:val="center"/>
          <w:hideMark/>
        </w:tcPr>
        <w:p w:rsidR="00C24F99" w:rsidRPr="00485ED8" w:rsidRDefault="00B05C22" w:rsidP="003E66D2">
          <w:pPr>
            <w:pStyle w:val="Encabezado"/>
            <w:rPr>
              <w:rFonts w:ascii="Palatino Linotype" w:hAnsi="Palatino Linotype"/>
              <w:b/>
              <w:sz w:val="22"/>
              <w:szCs w:val="22"/>
            </w:rPr>
          </w:pPr>
          <w:r w:rsidRPr="00B05C22">
            <w:rPr>
              <w:rFonts w:ascii="Palatino Linotype" w:hAnsi="Palatino Linotype" w:cs="Arial"/>
              <w:b/>
              <w:bCs/>
              <w:sz w:val="22"/>
              <w:szCs w:val="22"/>
              <w:lang w:eastAsia="es-MX"/>
            </w:rPr>
            <w:t>06798/INFOEM/IP/RR/2022</w:t>
          </w:r>
        </w:p>
      </w:tc>
    </w:tr>
    <w:tr w:rsidR="00C24F99" w:rsidTr="006A04B6">
      <w:trPr>
        <w:trHeight w:val="242"/>
      </w:trPr>
      <w:tc>
        <w:tcPr>
          <w:tcW w:w="2976" w:type="dxa"/>
          <w:vAlign w:val="center"/>
          <w:hideMark/>
        </w:tcPr>
        <w:p w:rsidR="00C24F99" w:rsidRPr="00674A46" w:rsidRDefault="00C24F99"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3543" w:type="dxa"/>
          <w:vAlign w:val="center"/>
          <w:hideMark/>
        </w:tcPr>
        <w:p w:rsidR="00C24F99" w:rsidRPr="00081CFC" w:rsidRDefault="00B05C22" w:rsidP="00C24F99">
          <w:pPr>
            <w:pStyle w:val="Encabezado"/>
            <w:jc w:val="both"/>
            <w:rPr>
              <w:rFonts w:ascii="Palatino Linotype" w:hAnsi="Palatino Linotype"/>
              <w:b/>
              <w:bCs/>
              <w:color w:val="000000"/>
              <w:sz w:val="22"/>
              <w:szCs w:val="22"/>
            </w:rPr>
          </w:pPr>
          <w:r w:rsidRPr="00B05C22">
            <w:rPr>
              <w:rFonts w:ascii="Palatino Linotype" w:hAnsi="Palatino Linotype"/>
              <w:b/>
              <w:bCs/>
              <w:color w:val="000000"/>
              <w:sz w:val="22"/>
              <w:szCs w:val="22"/>
            </w:rPr>
            <w:t>Ayuntamiento de Tezoyuca</w:t>
          </w:r>
        </w:p>
      </w:tc>
    </w:tr>
    <w:tr w:rsidR="00C24F99" w:rsidTr="006A04B6">
      <w:trPr>
        <w:trHeight w:val="342"/>
      </w:trPr>
      <w:tc>
        <w:tcPr>
          <w:tcW w:w="2976" w:type="dxa"/>
          <w:vAlign w:val="center"/>
          <w:hideMark/>
        </w:tcPr>
        <w:p w:rsidR="00C24F99" w:rsidRPr="00674A46" w:rsidRDefault="00C24F99" w:rsidP="009F09BC">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3543" w:type="dxa"/>
          <w:vAlign w:val="center"/>
          <w:hideMark/>
        </w:tcPr>
        <w:p w:rsidR="00C24F99" w:rsidRPr="00485ED8" w:rsidRDefault="00C24F99" w:rsidP="009F09BC">
          <w:pPr>
            <w:pStyle w:val="Encabezado"/>
            <w:rPr>
              <w:rFonts w:ascii="Palatino Linotype" w:hAnsi="Palatino Linotype"/>
              <w:b/>
              <w:sz w:val="22"/>
              <w:szCs w:val="22"/>
            </w:rPr>
          </w:pPr>
          <w:r w:rsidRPr="00485ED8">
            <w:rPr>
              <w:rFonts w:ascii="Palatino Linotype" w:hAnsi="Palatino Linotype"/>
              <w:b/>
              <w:sz w:val="22"/>
              <w:szCs w:val="22"/>
            </w:rPr>
            <w:t>María del Rosario Mejía Ayala</w:t>
          </w:r>
        </w:p>
      </w:tc>
    </w:tr>
  </w:tbl>
  <w:p w:rsidR="00C24F99" w:rsidRPr="00AE046A" w:rsidRDefault="00956DF1"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3pt;margin-top:-110.1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1" w:type="dxa"/>
      <w:tblInd w:w="2552" w:type="dxa"/>
      <w:tblCellMar>
        <w:left w:w="70" w:type="dxa"/>
        <w:right w:w="70" w:type="dxa"/>
      </w:tblCellMar>
      <w:tblLook w:val="04A0" w:firstRow="1" w:lastRow="0" w:firstColumn="1" w:lastColumn="0" w:noHBand="0" w:noVBand="1"/>
    </w:tblPr>
    <w:tblGrid>
      <w:gridCol w:w="2977"/>
      <w:gridCol w:w="3684"/>
    </w:tblGrid>
    <w:tr w:rsidR="00C24F99" w:rsidTr="006A04B6">
      <w:trPr>
        <w:trHeight w:val="227"/>
      </w:trPr>
      <w:tc>
        <w:tcPr>
          <w:tcW w:w="2977" w:type="dxa"/>
          <w:vAlign w:val="center"/>
          <w:hideMark/>
        </w:tcPr>
        <w:p w:rsidR="00C24F99" w:rsidRPr="00674A46" w:rsidRDefault="00C24F99" w:rsidP="009F09BC">
          <w:pPr>
            <w:jc w:val="right"/>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684" w:type="dxa"/>
          <w:vAlign w:val="center"/>
          <w:hideMark/>
        </w:tcPr>
        <w:p w:rsidR="00C24F99" w:rsidRPr="00485ED8" w:rsidRDefault="00B05C22" w:rsidP="008A699B">
          <w:pPr>
            <w:pStyle w:val="Encabezado"/>
            <w:rPr>
              <w:rFonts w:ascii="Palatino Linotype" w:hAnsi="Palatino Linotype"/>
              <w:b/>
              <w:sz w:val="22"/>
              <w:szCs w:val="22"/>
            </w:rPr>
          </w:pPr>
          <w:r w:rsidRPr="00B05C22">
            <w:rPr>
              <w:rFonts w:ascii="Palatino Linotype" w:hAnsi="Palatino Linotype"/>
              <w:b/>
              <w:sz w:val="22"/>
              <w:szCs w:val="22"/>
            </w:rPr>
            <w:t>06798/INFOEM/IP/RR/2022</w:t>
          </w:r>
        </w:p>
      </w:tc>
    </w:tr>
    <w:tr w:rsidR="00C24F99" w:rsidTr="006A04B6">
      <w:trPr>
        <w:trHeight w:val="242"/>
      </w:trPr>
      <w:tc>
        <w:tcPr>
          <w:tcW w:w="2977" w:type="dxa"/>
          <w:vAlign w:val="center"/>
          <w:hideMark/>
        </w:tcPr>
        <w:p w:rsidR="00C24F99" w:rsidRPr="00674A46" w:rsidRDefault="00C24F99" w:rsidP="009F09BC">
          <w:pPr>
            <w:jc w:val="right"/>
            <w:rPr>
              <w:rFonts w:ascii="Palatino Linotype" w:hAnsi="Palatino Linotype"/>
              <w:b/>
              <w:sz w:val="22"/>
              <w:szCs w:val="22"/>
            </w:rPr>
          </w:pPr>
          <w:r w:rsidRPr="00674A46">
            <w:rPr>
              <w:rFonts w:ascii="Palatino Linotype" w:hAnsi="Palatino Linotype"/>
              <w:b/>
              <w:sz w:val="22"/>
              <w:szCs w:val="22"/>
            </w:rPr>
            <w:t>Recurrente:</w:t>
          </w:r>
        </w:p>
      </w:tc>
      <w:tc>
        <w:tcPr>
          <w:tcW w:w="3684" w:type="dxa"/>
          <w:hideMark/>
        </w:tcPr>
        <w:p w:rsidR="00C24F99" w:rsidRPr="00B75F20" w:rsidRDefault="009F0E15" w:rsidP="009F09BC">
          <w:pPr>
            <w:pStyle w:val="Encabezado"/>
            <w:tabs>
              <w:tab w:val="left" w:pos="521"/>
            </w:tabs>
            <w:rPr>
              <w:rFonts w:ascii="Palatino Linotype" w:hAnsi="Palatino Linotype"/>
              <w:b/>
              <w:sz w:val="22"/>
              <w:szCs w:val="22"/>
            </w:rPr>
          </w:pPr>
          <w:r>
            <w:rPr>
              <w:rFonts w:ascii="Palatino Linotype" w:hAnsi="Palatino Linotype"/>
              <w:b/>
              <w:sz w:val="22"/>
              <w:szCs w:val="22"/>
            </w:rPr>
            <w:t xml:space="preserve">XXX </w:t>
          </w:r>
          <w:proofErr w:type="spellStart"/>
          <w:r>
            <w:rPr>
              <w:rFonts w:ascii="Palatino Linotype" w:hAnsi="Palatino Linotype"/>
              <w:b/>
              <w:sz w:val="22"/>
              <w:szCs w:val="22"/>
            </w:rPr>
            <w:t>XXX</w:t>
          </w:r>
          <w:proofErr w:type="spellEnd"/>
          <w:r>
            <w:rPr>
              <w:rFonts w:ascii="Palatino Linotype" w:hAnsi="Palatino Linotype"/>
              <w:b/>
              <w:sz w:val="22"/>
              <w:szCs w:val="22"/>
            </w:rPr>
            <w:t xml:space="preserve"> </w:t>
          </w:r>
          <w:proofErr w:type="spellStart"/>
          <w:r>
            <w:rPr>
              <w:rFonts w:ascii="Palatino Linotype" w:hAnsi="Palatino Linotype"/>
              <w:b/>
              <w:sz w:val="22"/>
              <w:szCs w:val="22"/>
            </w:rPr>
            <w:t>XXX</w:t>
          </w:r>
          <w:proofErr w:type="spellEnd"/>
        </w:p>
      </w:tc>
    </w:tr>
    <w:tr w:rsidR="00C24F99" w:rsidTr="006A04B6">
      <w:trPr>
        <w:trHeight w:val="342"/>
      </w:trPr>
      <w:tc>
        <w:tcPr>
          <w:tcW w:w="2977" w:type="dxa"/>
          <w:vAlign w:val="center"/>
        </w:tcPr>
        <w:p w:rsidR="00C24F99" w:rsidRPr="00674A46" w:rsidRDefault="00C24F99" w:rsidP="009F09BC">
          <w:pPr>
            <w:jc w:val="right"/>
            <w:rPr>
              <w:rFonts w:ascii="Palatino Linotype" w:hAnsi="Palatino Linotype"/>
              <w:b/>
              <w:sz w:val="22"/>
              <w:szCs w:val="22"/>
            </w:rPr>
          </w:pPr>
          <w:r w:rsidRPr="00674A46">
            <w:rPr>
              <w:rFonts w:ascii="Palatino Linotype" w:hAnsi="Palatino Linotype"/>
              <w:b/>
              <w:sz w:val="22"/>
              <w:szCs w:val="22"/>
            </w:rPr>
            <w:t>Sujeto Obligado:</w:t>
          </w:r>
        </w:p>
      </w:tc>
      <w:tc>
        <w:tcPr>
          <w:tcW w:w="3684" w:type="dxa"/>
          <w:vAlign w:val="center"/>
        </w:tcPr>
        <w:p w:rsidR="00C24F99" w:rsidRPr="00674A46" w:rsidRDefault="00B05C22" w:rsidP="00C24F99">
          <w:pPr>
            <w:pStyle w:val="Encabezado"/>
            <w:jc w:val="both"/>
            <w:rPr>
              <w:rFonts w:ascii="Palatino Linotype" w:hAnsi="Palatino Linotype"/>
              <w:b/>
              <w:sz w:val="22"/>
              <w:szCs w:val="22"/>
            </w:rPr>
          </w:pPr>
          <w:r w:rsidRPr="00B05C22">
            <w:rPr>
              <w:rFonts w:ascii="Palatino Linotype" w:hAnsi="Palatino Linotype"/>
              <w:b/>
              <w:sz w:val="22"/>
              <w:szCs w:val="22"/>
            </w:rPr>
            <w:t>Ayuntamiento de Tezoyuca</w:t>
          </w:r>
        </w:p>
      </w:tc>
    </w:tr>
    <w:tr w:rsidR="00C24F99" w:rsidTr="006A04B6">
      <w:trPr>
        <w:trHeight w:val="342"/>
      </w:trPr>
      <w:tc>
        <w:tcPr>
          <w:tcW w:w="2977" w:type="dxa"/>
          <w:vAlign w:val="center"/>
        </w:tcPr>
        <w:p w:rsidR="00C24F99" w:rsidRPr="00674A46" w:rsidRDefault="00C24F99" w:rsidP="009F09BC">
          <w:pPr>
            <w:jc w:val="right"/>
            <w:rPr>
              <w:rFonts w:ascii="Palatino Linotype" w:hAnsi="Palatino Linotype"/>
              <w:b/>
              <w:sz w:val="22"/>
              <w:szCs w:val="22"/>
            </w:rPr>
          </w:pPr>
          <w:r w:rsidRPr="00674A46">
            <w:rPr>
              <w:rFonts w:ascii="Palatino Linotype" w:hAnsi="Palatino Linotype"/>
              <w:b/>
              <w:sz w:val="22"/>
              <w:szCs w:val="22"/>
            </w:rPr>
            <w:t>Comisionad</w:t>
          </w:r>
          <w:r>
            <w:rPr>
              <w:rFonts w:ascii="Palatino Linotype" w:hAnsi="Palatino Linotype"/>
              <w:b/>
              <w:sz w:val="22"/>
              <w:szCs w:val="22"/>
            </w:rPr>
            <w:t>a</w:t>
          </w:r>
          <w:r w:rsidRPr="00674A46">
            <w:rPr>
              <w:rFonts w:ascii="Palatino Linotype" w:hAnsi="Palatino Linotype"/>
              <w:b/>
              <w:sz w:val="22"/>
              <w:szCs w:val="22"/>
            </w:rPr>
            <w:t xml:space="preserve"> Ponente:</w:t>
          </w:r>
        </w:p>
      </w:tc>
      <w:tc>
        <w:tcPr>
          <w:tcW w:w="3684" w:type="dxa"/>
          <w:vAlign w:val="center"/>
        </w:tcPr>
        <w:p w:rsidR="00C24F99" w:rsidRPr="00674A46" w:rsidRDefault="00C24F99" w:rsidP="009F09BC">
          <w:pPr>
            <w:pStyle w:val="Encabezado"/>
            <w:rPr>
              <w:rFonts w:ascii="Palatino Linotype" w:hAnsi="Palatino Linotype"/>
              <w:b/>
              <w:sz w:val="22"/>
              <w:szCs w:val="22"/>
            </w:rPr>
          </w:pPr>
          <w:r>
            <w:rPr>
              <w:rFonts w:ascii="Palatino Linotype" w:hAnsi="Palatino Linotype"/>
              <w:b/>
              <w:sz w:val="21"/>
              <w:szCs w:val="21"/>
            </w:rPr>
            <w:t>María d</w:t>
          </w:r>
          <w:r w:rsidRPr="009A1A1D">
            <w:rPr>
              <w:rFonts w:ascii="Palatino Linotype" w:hAnsi="Palatino Linotype"/>
              <w:b/>
              <w:sz w:val="21"/>
              <w:szCs w:val="21"/>
            </w:rPr>
            <w:t>el Rosario Mejía Ayala</w:t>
          </w:r>
        </w:p>
      </w:tc>
    </w:tr>
  </w:tbl>
  <w:p w:rsidR="00C24F99" w:rsidRPr="00C222C0" w:rsidRDefault="00956DF1">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44D9"/>
    <w:multiLevelType w:val="hybridMultilevel"/>
    <w:tmpl w:val="F2D20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C7196B"/>
    <w:multiLevelType w:val="hybridMultilevel"/>
    <w:tmpl w:val="3EBE61EA"/>
    <w:lvl w:ilvl="0" w:tplc="E2FA2E4C">
      <w:start w:val="1"/>
      <w:numFmt w:val="lowerLetter"/>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B65DEE"/>
    <w:multiLevelType w:val="multilevel"/>
    <w:tmpl w:val="7B56260A"/>
    <w:lvl w:ilvl="0">
      <w:start w:val="1"/>
      <w:numFmt w:val="lowerLetter"/>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014695B"/>
    <w:multiLevelType w:val="multilevel"/>
    <w:tmpl w:val="4ECE8F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39D68E8"/>
    <w:multiLevelType w:val="hybridMultilevel"/>
    <w:tmpl w:val="AE322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240A87"/>
    <w:multiLevelType w:val="multilevel"/>
    <w:tmpl w:val="C1A442D2"/>
    <w:lvl w:ilvl="0">
      <w:start w:val="1"/>
      <w:numFmt w:val="upperRoman"/>
      <w:lvlText w:val="%1."/>
      <w:lvlJc w:val="left"/>
      <w:pPr>
        <w:ind w:left="1080" w:hanging="720"/>
      </w:pPr>
      <w:rPr>
        <w:rFonts w:hint="default"/>
      </w:rPr>
    </w:lvl>
    <w:lvl w:ilvl="1">
      <w:start w:val="6"/>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8616BA3"/>
    <w:multiLevelType w:val="hybridMultilevel"/>
    <w:tmpl w:val="F0988E60"/>
    <w:lvl w:ilvl="0" w:tplc="7CD46318">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15:restartNumberingAfterBreak="0">
    <w:nsid w:val="48CB6AD4"/>
    <w:multiLevelType w:val="hybridMultilevel"/>
    <w:tmpl w:val="4B8A70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19A3C11"/>
    <w:multiLevelType w:val="hybridMultilevel"/>
    <w:tmpl w:val="2636710A"/>
    <w:lvl w:ilvl="0" w:tplc="F2A2EEAA">
      <w:start w:val="12"/>
      <w:numFmt w:val="decimal"/>
      <w:lvlText w:val="%1."/>
      <w:lvlJc w:val="left"/>
      <w:pPr>
        <w:ind w:left="3054" w:hanging="360"/>
      </w:pPr>
      <w:rPr>
        <w:rFonts w:hint="default"/>
        <w:b/>
        <w:i w:val="0"/>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8"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4BD29E3"/>
    <w:multiLevelType w:val="hybridMultilevel"/>
    <w:tmpl w:val="3D9A911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1" w15:restartNumberingAfterBreak="0">
    <w:nsid w:val="743204EE"/>
    <w:multiLevelType w:val="hybridMultilevel"/>
    <w:tmpl w:val="E476079C"/>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61317FE"/>
    <w:multiLevelType w:val="hybridMultilevel"/>
    <w:tmpl w:val="597E8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70136A0"/>
    <w:multiLevelType w:val="hybridMultilevel"/>
    <w:tmpl w:val="DE585F00"/>
    <w:lvl w:ilvl="0" w:tplc="9216D5FA">
      <w:start w:val="1"/>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BAF3DB4"/>
    <w:multiLevelType w:val="hybridMultilevel"/>
    <w:tmpl w:val="E88839D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5"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num w:numId="1">
    <w:abstractNumId w:val="10"/>
  </w:num>
  <w:num w:numId="2">
    <w:abstractNumId w:val="24"/>
  </w:num>
  <w:num w:numId="3">
    <w:abstractNumId w:val="7"/>
  </w:num>
  <w:num w:numId="4">
    <w:abstractNumId w:val="4"/>
  </w:num>
  <w:num w:numId="5">
    <w:abstractNumId w:val="9"/>
  </w:num>
  <w:num w:numId="6">
    <w:abstractNumId w:val="15"/>
  </w:num>
  <w:num w:numId="7">
    <w:abstractNumId w:val="18"/>
  </w:num>
  <w:num w:numId="8">
    <w:abstractNumId w:val="6"/>
  </w:num>
  <w:num w:numId="9">
    <w:abstractNumId w:val="2"/>
  </w:num>
  <w:num w:numId="10">
    <w:abstractNumId w:val="20"/>
  </w:num>
  <w:num w:numId="11">
    <w:abstractNumId w:val="8"/>
  </w:num>
  <w:num w:numId="12">
    <w:abstractNumId w:val="11"/>
  </w:num>
  <w:num w:numId="13">
    <w:abstractNumId w:val="0"/>
  </w:num>
  <w:num w:numId="14">
    <w:abstractNumId w:val="1"/>
  </w:num>
  <w:num w:numId="15">
    <w:abstractNumId w:val="3"/>
  </w:num>
  <w:num w:numId="16">
    <w:abstractNumId w:val="14"/>
  </w:num>
  <w:num w:numId="17">
    <w:abstractNumId w:val="21"/>
  </w:num>
  <w:num w:numId="18">
    <w:abstractNumId w:val="13"/>
  </w:num>
  <w:num w:numId="19">
    <w:abstractNumId w:val="23"/>
  </w:num>
  <w:num w:numId="20">
    <w:abstractNumId w:val="17"/>
  </w:num>
  <w:num w:numId="21">
    <w:abstractNumId w:val="5"/>
  </w:num>
  <w:num w:numId="22">
    <w:abstractNumId w:val="12"/>
  </w:num>
  <w:num w:numId="23">
    <w:abstractNumId w:val="16"/>
  </w:num>
  <w:num w:numId="24">
    <w:abstractNumId w:val="22"/>
  </w:num>
  <w:num w:numId="25">
    <w:abstractNumId w:val="25"/>
  </w:num>
  <w:num w:numId="26">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1AE3"/>
    <w:rsid w:val="000067B3"/>
    <w:rsid w:val="00010C43"/>
    <w:rsid w:val="00015A3B"/>
    <w:rsid w:val="0001674C"/>
    <w:rsid w:val="00020780"/>
    <w:rsid w:val="00030FBC"/>
    <w:rsid w:val="00033640"/>
    <w:rsid w:val="000373F6"/>
    <w:rsid w:val="00051287"/>
    <w:rsid w:val="000670DF"/>
    <w:rsid w:val="00081CFC"/>
    <w:rsid w:val="0008243D"/>
    <w:rsid w:val="00084977"/>
    <w:rsid w:val="00095B3C"/>
    <w:rsid w:val="000B7D14"/>
    <w:rsid w:val="000E1A02"/>
    <w:rsid w:val="000E4891"/>
    <w:rsid w:val="000E69D2"/>
    <w:rsid w:val="000F4046"/>
    <w:rsid w:val="000F4F6F"/>
    <w:rsid w:val="00114502"/>
    <w:rsid w:val="00123197"/>
    <w:rsid w:val="001352F5"/>
    <w:rsid w:val="001732E0"/>
    <w:rsid w:val="001A0DDE"/>
    <w:rsid w:val="001A18E7"/>
    <w:rsid w:val="001C4290"/>
    <w:rsid w:val="001C5CBB"/>
    <w:rsid w:val="001D23C1"/>
    <w:rsid w:val="001D373F"/>
    <w:rsid w:val="001D5404"/>
    <w:rsid w:val="001E25E6"/>
    <w:rsid w:val="001E6398"/>
    <w:rsid w:val="0021441A"/>
    <w:rsid w:val="00223C06"/>
    <w:rsid w:val="00237477"/>
    <w:rsid w:val="00246A14"/>
    <w:rsid w:val="00272CA2"/>
    <w:rsid w:val="00277FAC"/>
    <w:rsid w:val="002901F4"/>
    <w:rsid w:val="00291500"/>
    <w:rsid w:val="002A6FF9"/>
    <w:rsid w:val="002C0D3C"/>
    <w:rsid w:val="002C4997"/>
    <w:rsid w:val="002F0D84"/>
    <w:rsid w:val="0030094A"/>
    <w:rsid w:val="00310233"/>
    <w:rsid w:val="00312281"/>
    <w:rsid w:val="00316ACD"/>
    <w:rsid w:val="00323FFD"/>
    <w:rsid w:val="003416EA"/>
    <w:rsid w:val="003437D9"/>
    <w:rsid w:val="003522EE"/>
    <w:rsid w:val="00353F1D"/>
    <w:rsid w:val="0035787A"/>
    <w:rsid w:val="003833B3"/>
    <w:rsid w:val="003A15C8"/>
    <w:rsid w:val="003B2E39"/>
    <w:rsid w:val="003B7751"/>
    <w:rsid w:val="003C13F1"/>
    <w:rsid w:val="003C1FDD"/>
    <w:rsid w:val="003E66D2"/>
    <w:rsid w:val="00402466"/>
    <w:rsid w:val="00407FDA"/>
    <w:rsid w:val="004118FA"/>
    <w:rsid w:val="0041701E"/>
    <w:rsid w:val="0042423F"/>
    <w:rsid w:val="00425842"/>
    <w:rsid w:val="00437672"/>
    <w:rsid w:val="004500F8"/>
    <w:rsid w:val="004525CB"/>
    <w:rsid w:val="00455041"/>
    <w:rsid w:val="0045592A"/>
    <w:rsid w:val="00456CFF"/>
    <w:rsid w:val="0046395B"/>
    <w:rsid w:val="00477B49"/>
    <w:rsid w:val="004A6005"/>
    <w:rsid w:val="004A6EA2"/>
    <w:rsid w:val="004B2C98"/>
    <w:rsid w:val="004C139A"/>
    <w:rsid w:val="004E4EE6"/>
    <w:rsid w:val="004E6CE4"/>
    <w:rsid w:val="004F34D1"/>
    <w:rsid w:val="0052044E"/>
    <w:rsid w:val="00533B0D"/>
    <w:rsid w:val="005432D0"/>
    <w:rsid w:val="00546076"/>
    <w:rsid w:val="005463B7"/>
    <w:rsid w:val="00547ACE"/>
    <w:rsid w:val="005507B0"/>
    <w:rsid w:val="00554A21"/>
    <w:rsid w:val="00556E0A"/>
    <w:rsid w:val="00563F2E"/>
    <w:rsid w:val="005712DD"/>
    <w:rsid w:val="0057514F"/>
    <w:rsid w:val="005B076D"/>
    <w:rsid w:val="005B0B31"/>
    <w:rsid w:val="005B69A1"/>
    <w:rsid w:val="005C5021"/>
    <w:rsid w:val="005D2F1C"/>
    <w:rsid w:val="005D4C57"/>
    <w:rsid w:val="005D5704"/>
    <w:rsid w:val="0061082C"/>
    <w:rsid w:val="00614B85"/>
    <w:rsid w:val="00626AC3"/>
    <w:rsid w:val="00647F7C"/>
    <w:rsid w:val="00657639"/>
    <w:rsid w:val="0067366F"/>
    <w:rsid w:val="00681C08"/>
    <w:rsid w:val="006A04B6"/>
    <w:rsid w:val="006A6390"/>
    <w:rsid w:val="006D15D0"/>
    <w:rsid w:val="006D5CF0"/>
    <w:rsid w:val="006D6CC1"/>
    <w:rsid w:val="006E26FC"/>
    <w:rsid w:val="006E636C"/>
    <w:rsid w:val="006E7397"/>
    <w:rsid w:val="006E7C94"/>
    <w:rsid w:val="006F3EF7"/>
    <w:rsid w:val="00705EFD"/>
    <w:rsid w:val="0070751E"/>
    <w:rsid w:val="00711062"/>
    <w:rsid w:val="00716BCA"/>
    <w:rsid w:val="00720371"/>
    <w:rsid w:val="0073654B"/>
    <w:rsid w:val="00742823"/>
    <w:rsid w:val="00751B3D"/>
    <w:rsid w:val="007617FE"/>
    <w:rsid w:val="00775EB2"/>
    <w:rsid w:val="00782A12"/>
    <w:rsid w:val="007851DB"/>
    <w:rsid w:val="00790765"/>
    <w:rsid w:val="00793C99"/>
    <w:rsid w:val="007A6A1A"/>
    <w:rsid w:val="007B5AD7"/>
    <w:rsid w:val="007F3187"/>
    <w:rsid w:val="00803104"/>
    <w:rsid w:val="00821662"/>
    <w:rsid w:val="008250AC"/>
    <w:rsid w:val="008511BC"/>
    <w:rsid w:val="00851406"/>
    <w:rsid w:val="008526F4"/>
    <w:rsid w:val="008563C8"/>
    <w:rsid w:val="008573BF"/>
    <w:rsid w:val="0086792A"/>
    <w:rsid w:val="00873EB6"/>
    <w:rsid w:val="00887ED3"/>
    <w:rsid w:val="008A2C15"/>
    <w:rsid w:val="008A699B"/>
    <w:rsid w:val="008B0637"/>
    <w:rsid w:val="008B4FFD"/>
    <w:rsid w:val="008C1ED7"/>
    <w:rsid w:val="008E24E7"/>
    <w:rsid w:val="008E330F"/>
    <w:rsid w:val="008E6050"/>
    <w:rsid w:val="008E6574"/>
    <w:rsid w:val="008F6D18"/>
    <w:rsid w:val="00911A75"/>
    <w:rsid w:val="009126F1"/>
    <w:rsid w:val="009335F9"/>
    <w:rsid w:val="009441BB"/>
    <w:rsid w:val="00945135"/>
    <w:rsid w:val="00956DF1"/>
    <w:rsid w:val="0096600C"/>
    <w:rsid w:val="009772CD"/>
    <w:rsid w:val="00984E7E"/>
    <w:rsid w:val="009938B5"/>
    <w:rsid w:val="00996E33"/>
    <w:rsid w:val="009A2251"/>
    <w:rsid w:val="009A3E0F"/>
    <w:rsid w:val="009B4E44"/>
    <w:rsid w:val="009B5CFD"/>
    <w:rsid w:val="009D5A32"/>
    <w:rsid w:val="009E1BF2"/>
    <w:rsid w:val="009E757F"/>
    <w:rsid w:val="009F09BC"/>
    <w:rsid w:val="009F0E15"/>
    <w:rsid w:val="00A07296"/>
    <w:rsid w:val="00A1447C"/>
    <w:rsid w:val="00A23E82"/>
    <w:rsid w:val="00A36123"/>
    <w:rsid w:val="00A3613C"/>
    <w:rsid w:val="00A47B2B"/>
    <w:rsid w:val="00A626EB"/>
    <w:rsid w:val="00A63DE3"/>
    <w:rsid w:val="00A87CEB"/>
    <w:rsid w:val="00AD316E"/>
    <w:rsid w:val="00AD4563"/>
    <w:rsid w:val="00AD57A8"/>
    <w:rsid w:val="00AD63B4"/>
    <w:rsid w:val="00AE1ED3"/>
    <w:rsid w:val="00AF4BBC"/>
    <w:rsid w:val="00AF4EB9"/>
    <w:rsid w:val="00B05C22"/>
    <w:rsid w:val="00B07BF8"/>
    <w:rsid w:val="00B1448F"/>
    <w:rsid w:val="00B242FA"/>
    <w:rsid w:val="00B33F8E"/>
    <w:rsid w:val="00B47955"/>
    <w:rsid w:val="00B54047"/>
    <w:rsid w:val="00B82E65"/>
    <w:rsid w:val="00BA3473"/>
    <w:rsid w:val="00BB1DE8"/>
    <w:rsid w:val="00BB5E25"/>
    <w:rsid w:val="00BC3EE3"/>
    <w:rsid w:val="00BD5F0C"/>
    <w:rsid w:val="00BF3FB5"/>
    <w:rsid w:val="00C0715F"/>
    <w:rsid w:val="00C105CC"/>
    <w:rsid w:val="00C14F2A"/>
    <w:rsid w:val="00C21FAE"/>
    <w:rsid w:val="00C22D79"/>
    <w:rsid w:val="00C24F99"/>
    <w:rsid w:val="00C27EE8"/>
    <w:rsid w:val="00C41B2B"/>
    <w:rsid w:val="00C54D99"/>
    <w:rsid w:val="00C62E91"/>
    <w:rsid w:val="00C73D4B"/>
    <w:rsid w:val="00C85E64"/>
    <w:rsid w:val="00C87396"/>
    <w:rsid w:val="00C90814"/>
    <w:rsid w:val="00C91F0F"/>
    <w:rsid w:val="00CA1063"/>
    <w:rsid w:val="00CA3A63"/>
    <w:rsid w:val="00CC426E"/>
    <w:rsid w:val="00CC5B2F"/>
    <w:rsid w:val="00CC6603"/>
    <w:rsid w:val="00CD1743"/>
    <w:rsid w:val="00CF0D2B"/>
    <w:rsid w:val="00CF1B6E"/>
    <w:rsid w:val="00D021A5"/>
    <w:rsid w:val="00D16FC7"/>
    <w:rsid w:val="00D22540"/>
    <w:rsid w:val="00D311E5"/>
    <w:rsid w:val="00D47231"/>
    <w:rsid w:val="00D6224B"/>
    <w:rsid w:val="00D74341"/>
    <w:rsid w:val="00D7443C"/>
    <w:rsid w:val="00D81329"/>
    <w:rsid w:val="00DA1A71"/>
    <w:rsid w:val="00DA6D37"/>
    <w:rsid w:val="00DB753F"/>
    <w:rsid w:val="00DD4238"/>
    <w:rsid w:val="00DD4726"/>
    <w:rsid w:val="00DF15C7"/>
    <w:rsid w:val="00E118BA"/>
    <w:rsid w:val="00E17429"/>
    <w:rsid w:val="00E43FC8"/>
    <w:rsid w:val="00E515BF"/>
    <w:rsid w:val="00E532FE"/>
    <w:rsid w:val="00E56172"/>
    <w:rsid w:val="00E5636B"/>
    <w:rsid w:val="00E566C9"/>
    <w:rsid w:val="00E61DA9"/>
    <w:rsid w:val="00E7560F"/>
    <w:rsid w:val="00E75656"/>
    <w:rsid w:val="00E819F3"/>
    <w:rsid w:val="00E92E04"/>
    <w:rsid w:val="00EA7AE1"/>
    <w:rsid w:val="00ED1D6B"/>
    <w:rsid w:val="00ED3A35"/>
    <w:rsid w:val="00ED6E75"/>
    <w:rsid w:val="00EF4A1A"/>
    <w:rsid w:val="00F21597"/>
    <w:rsid w:val="00F24A04"/>
    <w:rsid w:val="00F35B0C"/>
    <w:rsid w:val="00F41E2F"/>
    <w:rsid w:val="00F42ADB"/>
    <w:rsid w:val="00F7371C"/>
    <w:rsid w:val="00F816B0"/>
    <w:rsid w:val="00F946B5"/>
    <w:rsid w:val="00FA15BA"/>
    <w:rsid w:val="00FA5CDD"/>
    <w:rsid w:val="00FC0A83"/>
    <w:rsid w:val="00FC21D0"/>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72BFC24-CD0A-4968-A90F-019681AF3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qFormat/>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3"/>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Hipervnculo151">
    <w:name w:val="Hipervínculo151"/>
    <w:basedOn w:val="Fuentedeprrafopredeter"/>
    <w:uiPriority w:val="99"/>
    <w:unhideWhenUsed/>
    <w:rsid w:val="00984E7E"/>
    <w:rPr>
      <w:color w:val="0000FF"/>
      <w:u w:val="single"/>
    </w:rPr>
  </w:style>
  <w:style w:type="table" w:customStyle="1" w:styleId="Tablanormal12">
    <w:name w:val="Tabla normal 12"/>
    <w:basedOn w:val="Tablanormal"/>
    <w:next w:val="Tablanormal1"/>
    <w:uiPriority w:val="41"/>
    <w:rsid w:val="00751B3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51B3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13">
    <w:name w:val="Tabla normal 13"/>
    <w:basedOn w:val="Tablanormal"/>
    <w:next w:val="Tablanormal1"/>
    <w:uiPriority w:val="41"/>
    <w:rsid w:val="00681C08"/>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111">
    <w:name w:val="Tabla con cuadrícula2111"/>
    <w:basedOn w:val="Tablanormal"/>
    <w:next w:val="Tablaconcuadrcula"/>
    <w:uiPriority w:val="39"/>
    <w:rsid w:val="006E26F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 w:id="563104270">
      <w:bodyDiv w:val="1"/>
      <w:marLeft w:val="0"/>
      <w:marRight w:val="0"/>
      <w:marTop w:val="0"/>
      <w:marBottom w:val="0"/>
      <w:divBdr>
        <w:top w:val="none" w:sz="0" w:space="0" w:color="auto"/>
        <w:left w:val="none" w:sz="0" w:space="0" w:color="auto"/>
        <w:bottom w:val="none" w:sz="0" w:space="0" w:color="auto"/>
        <w:right w:val="none" w:sz="0" w:space="0" w:color="auto"/>
      </w:divBdr>
    </w:div>
    <w:div w:id="2041124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TEZOYUCA/art_94_ii_b2.web?token=03ANYolqulcUJVbyntRlscy2HnoT0zbN8N7OlmrVlHAS7fbk4se0ibunyMKWJroaOGzEMojfrqy95MMSHeJlxyi703TvgtK9q6eszqpHoLYjpAmLmGK_zhSQOy8jY2WktBBjMUpGAslHveZkYOkBjmRK1xoxN_1nKqDtD7cq_FmnNl2u8jKLVgzk2-s7tKgovuecnZGhjJ9iJWBbzzJwnpylml0JoQEyzLiHAW3DSbcXcNK1H-zYdq59AwgEnsoeugTcsMA8u1c8Lo0yprwR5EPoLpDbT527AHdHpEuplYtJMxqH6kAGlBYA1FxPbM47WwEufmsB9DxPpVtysbyXXMCirlHe9gpV6vE2Aa4Ln41_rfxJPoQ_iFc5rZ5DjVALbybHaqnjlbqwCUMu1FCPkzZ4B9_7ndGHvQCF9Gq8PA2GO5rXkDLabXYRSWVzMFzTKrpunGgv6neTB5PCbgbD3QFOsritpfzGCPzGug_k1xclT02Prllj2Eq2MtrkkFcobRNsNeK6poVa0i6nVWkeyA39Ki1d7mFzls_faozLsckb8ySlqmWBk8ojTi3RhFE6xeLeKjNJ7u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ipomex.org.mx/ipo3/lgt/indice/TEZOYUCA/art_94_ii_b2.web?token=03ANYolqulcUJVbyntRlscy2HnoT0zbN8N7OlmrVlHAS7fbk4se0ibunyMKWJroaOGzEMojfrqy95MMSHeJlxyi703TvgtK9q6eszqpHoLYjpAmLmGK_zhSQOy8jY2WktBBjMUpGAslHveZkYOkBjmRK1xoxN_1nKqDtD7cq_FmnNl2u8jKLVgzk2-s7tKgovuecnZGhjJ9iJWBbzzJwnpylml0JoQEyzLiHAW3DSbcXcNK1H-zYdq59AwgEnsoeugTcsMA8u1c8Lo0yprwR5EPoLpDbT527AHdHpEuplYtJMxqH6kAGlBYA1FxPbM47WwEufmsB9DxPpVtysbyXXMCirlHe9gpV6vE2Aa4Ln41_rfxJPoQ_iFc5rZ5DjVALbybHaqnjlbqwCUMu1FCPkzZ4B9_7ndGHvQCF9Gq8PA2GO5rXkDLabXYRSWVzMFzTKrpunGgv6neTB5PCbgbD3QFOsritpfzGCPzGug_k1xclT02Prllj2Eq2MtrkkFcobRNsNeK6poVa0i6nVWkeyA39Ki1d7mFzls_faozLsckb8ySlqmWBk8ojTi3RhFE6xeLeKjNJ7u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28775-F995-465A-B246-6B08D92A3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24</Pages>
  <Words>5062</Words>
  <Characters>27845</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10</cp:revision>
  <dcterms:created xsi:type="dcterms:W3CDTF">2023-08-15T21:32:00Z</dcterms:created>
  <dcterms:modified xsi:type="dcterms:W3CDTF">2023-08-24T19:30:00Z</dcterms:modified>
</cp:coreProperties>
</file>