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987D1A" w:rsidR="00D33E1E" w:rsidP="00D33E1E" w:rsidRDefault="00D33E1E" w14:paraId="04D916D9" w14:textId="77777777">
      <w:pPr>
        <w:spacing w:after="0" w:line="360" w:lineRule="auto"/>
        <w:rPr>
          <w:rFonts w:eastAsia="Times New Roman" w:cs="Tahoma"/>
          <w:bCs/>
          <w:color w:val="auto"/>
          <w:lang w:eastAsia="es-ES"/>
        </w:rPr>
      </w:pPr>
      <w:r w:rsidRPr="00987D1A">
        <w:rPr>
          <w:rFonts w:eastAsia="Calibri" w:cs="Tahoma"/>
          <w:bCs/>
          <w:color w:val="000000"/>
        </w:rPr>
        <w:t xml:space="preserve">Resolución del Pleno del Instituto de Transparencia, Acceso a la Información Pública y </w:t>
      </w:r>
      <w:r w:rsidRPr="00987D1A">
        <w:rPr>
          <w:rFonts w:eastAsia="Times New Roman" w:cs="Tahoma"/>
          <w:bCs/>
          <w:color w:val="auto"/>
          <w:lang w:eastAsia="es-ES"/>
        </w:rPr>
        <w:t xml:space="preserve">Protección de Datos Personales del Estado de México y Municipios, con domicilio en Metepec, Estado de México, de fecha </w:t>
      </w:r>
      <w:r>
        <w:rPr>
          <w:rFonts w:eastAsia="Times New Roman" w:cs="Tahoma"/>
          <w:bCs/>
          <w:color w:val="auto"/>
          <w:lang w:eastAsia="es-ES"/>
        </w:rPr>
        <w:t>nueve de febrero de</w:t>
      </w:r>
      <w:r w:rsidRPr="00987D1A">
        <w:rPr>
          <w:rFonts w:eastAsia="Times New Roman" w:cs="Tahoma"/>
          <w:bCs/>
          <w:color w:val="auto"/>
          <w:lang w:eastAsia="es-ES"/>
        </w:rPr>
        <w:t xml:space="preserve"> dos mil veintitrés. </w:t>
      </w:r>
    </w:p>
    <w:p w:rsidR="00ED212B" w:rsidP="00D33E1E" w:rsidRDefault="00ED212B" w14:paraId="4751432D" w14:textId="77777777">
      <w:pPr>
        <w:spacing w:after="0" w:line="360" w:lineRule="auto"/>
        <w:rPr>
          <w:rFonts w:eastAsia="Times New Roman" w:cs="Tahoma"/>
          <w:b/>
          <w:bCs/>
          <w:color w:val="auto"/>
          <w:lang w:eastAsia="es-ES"/>
        </w:rPr>
      </w:pPr>
    </w:p>
    <w:p w:rsidRPr="00987D1A" w:rsidR="00D33E1E" w:rsidP="00D33E1E" w:rsidRDefault="00D33E1E" w14:paraId="3001B54D" w14:textId="05E71730">
      <w:pPr>
        <w:spacing w:after="0" w:line="360" w:lineRule="auto"/>
        <w:rPr>
          <w:rFonts w:eastAsia="Calibri" w:cs="Tahoma"/>
          <w:color w:val="0D0D0D"/>
        </w:rPr>
      </w:pPr>
      <w:r w:rsidRPr="23B5D809" w:rsidR="23B5D809">
        <w:rPr>
          <w:rFonts w:eastAsia="Times New Roman" w:cs="Tahoma"/>
          <w:b w:val="1"/>
          <w:bCs w:val="1"/>
          <w:color w:val="auto"/>
          <w:lang w:eastAsia="es-ES"/>
        </w:rPr>
        <w:t>VISTO</w:t>
      </w:r>
      <w:r w:rsidRPr="23B5D809" w:rsidR="23B5D809">
        <w:rPr>
          <w:rFonts w:eastAsia="Calibri" w:cs="Tahoma"/>
          <w:color w:val="0D0D0D" w:themeColor="text1" w:themeTint="F2" w:themeShade="FF"/>
        </w:rPr>
        <w:t xml:space="preserve"> el expediente conformado con motivo del Recurso de Revisión </w:t>
      </w:r>
      <w:r w:rsidRPr="23B5D809" w:rsidR="23B5D809">
        <w:rPr>
          <w:rFonts w:eastAsia="Calibri" w:cs="Tahoma"/>
          <w:color w:val="000000" w:themeColor="text1" w:themeTint="FF" w:themeShade="FF"/>
        </w:rPr>
        <w:t xml:space="preserve">15571/INFOEM/IP/RR/2022, interpuesto por </w:t>
      </w:r>
      <w:r w:rsidRPr="23B5D809" w:rsidR="23B5D809">
        <w:rPr>
          <w:rFonts w:eastAsia="Calibri" w:cs="Tahoma"/>
          <w:color w:val="000000" w:themeColor="text1" w:themeTint="FF" w:themeShade="FF"/>
          <w:highlight w:val="black"/>
        </w:rPr>
        <w:t>XXXXXXXXXXXXXXXXXXXXXX</w:t>
      </w:r>
      <w:r w:rsidRPr="23B5D809" w:rsidR="23B5D809">
        <w:rPr>
          <w:rFonts w:eastAsia="Calibri" w:cs="Tahoma"/>
          <w:color w:val="000000" w:themeColor="text1" w:themeTint="FF" w:themeShade="FF"/>
        </w:rPr>
        <w:t xml:space="preserve">, en lo sucesivo, la </w:t>
      </w:r>
      <w:r w:rsidRPr="23B5D809" w:rsidR="23B5D809">
        <w:rPr>
          <w:rFonts w:eastAsia="Calibri" w:cs="Tahoma"/>
          <w:color w:val="0D0D0D" w:themeColor="text1" w:themeTint="F2" w:themeShade="FF"/>
        </w:rPr>
        <w:t>Recurrente o Particular, en contra de la respuesta del Sujeto Obligado,</w:t>
      </w:r>
      <w:r w:rsidRPr="23B5D809" w:rsidR="23B5D809">
        <w:rPr>
          <w:rFonts w:eastAsia="Calibri" w:cs="Tahoma"/>
          <w:color w:val="000000" w:themeColor="text1" w:themeTint="FF" w:themeShade="FF"/>
        </w:rPr>
        <w:t xml:space="preserve"> Secretaría de Justicia y Derechos Humanos, a la solicitud de acceso a la información 00267/SJDH/IP/2022, se emite la presente Resolución, con base en los Antecedentes y Considerandos que se exponen a continuación:</w:t>
      </w:r>
    </w:p>
    <w:p w:rsidRPr="00987D1A" w:rsidR="00D33E1E" w:rsidP="00D33E1E" w:rsidRDefault="00D33E1E" w14:paraId="4C951D78" w14:textId="77777777">
      <w:pPr>
        <w:spacing w:after="0" w:line="360" w:lineRule="auto"/>
        <w:rPr>
          <w:rFonts w:eastAsia="Calibri" w:cs="Tahoma"/>
          <w:color w:val="000000"/>
        </w:rPr>
      </w:pPr>
    </w:p>
    <w:p w:rsidRPr="00987D1A" w:rsidR="00D33E1E" w:rsidP="00D33E1E" w:rsidRDefault="00D33E1E" w14:paraId="0F985DE9" w14:textId="77777777">
      <w:pPr>
        <w:tabs>
          <w:tab w:val="center" w:pos="4522"/>
          <w:tab w:val="left" w:pos="7245"/>
        </w:tabs>
        <w:spacing w:after="0" w:line="360" w:lineRule="auto"/>
        <w:jc w:val="center"/>
        <w:rPr>
          <w:rFonts w:eastAsia="Calibri" w:cs="Tahoma"/>
          <w:b/>
          <w:color w:val="000000"/>
        </w:rPr>
      </w:pPr>
      <w:r w:rsidRPr="00987D1A">
        <w:rPr>
          <w:rFonts w:eastAsia="Calibri" w:cs="Tahoma"/>
          <w:b/>
          <w:color w:val="000000"/>
        </w:rPr>
        <w:t>A N T E C E D E N T E S:</w:t>
      </w:r>
    </w:p>
    <w:p w:rsidRPr="00987D1A" w:rsidR="00D33E1E" w:rsidP="00D33E1E" w:rsidRDefault="00D33E1E" w14:paraId="63577AE6" w14:textId="77777777">
      <w:pPr>
        <w:spacing w:after="0" w:line="360" w:lineRule="auto"/>
      </w:pPr>
    </w:p>
    <w:p w:rsidRPr="00987D1A" w:rsidR="00D33E1E" w:rsidP="00D33E1E" w:rsidRDefault="00D33E1E" w14:paraId="2E12BFCB" w14:textId="77777777">
      <w:pPr>
        <w:tabs>
          <w:tab w:val="left" w:pos="567"/>
        </w:tabs>
        <w:spacing w:after="0" w:line="360" w:lineRule="auto"/>
        <w:rPr>
          <w:rFonts w:eastAsia="Times New Roman" w:cs="Tahoma"/>
          <w:b/>
          <w:color w:val="auto"/>
          <w:lang w:eastAsia="es-ES"/>
        </w:rPr>
      </w:pPr>
      <w:r w:rsidRPr="00987D1A">
        <w:rPr>
          <w:rFonts w:eastAsia="Times New Roman" w:cs="Tahoma"/>
          <w:b/>
          <w:color w:val="auto"/>
          <w:lang w:eastAsia="es-ES"/>
        </w:rPr>
        <w:t>I. Presentación de la solicitud de información:</w:t>
      </w:r>
    </w:p>
    <w:p w:rsidRPr="00987D1A" w:rsidR="00D33E1E" w:rsidP="00D33E1E" w:rsidRDefault="00D33E1E" w14:paraId="20549A5A" w14:textId="77777777">
      <w:pPr>
        <w:tabs>
          <w:tab w:val="left" w:pos="567"/>
        </w:tabs>
        <w:spacing w:after="0" w:line="360" w:lineRule="auto"/>
        <w:rPr>
          <w:rFonts w:eastAsia="Times New Roman" w:cs="Tahoma"/>
          <w:color w:val="auto"/>
          <w:lang w:eastAsia="es-ES"/>
        </w:rPr>
      </w:pPr>
    </w:p>
    <w:p w:rsidRPr="00987D1A" w:rsidR="00D33E1E" w:rsidP="00D33E1E" w:rsidRDefault="00D33E1E" w14:paraId="68B22CBC" w14:textId="77777777">
      <w:pPr>
        <w:spacing w:after="0" w:line="360" w:lineRule="auto"/>
        <w:rPr>
          <w:rFonts w:eastAsia="Times New Roman" w:cs="Tahoma"/>
          <w:color w:val="auto"/>
          <w:lang w:eastAsia="es-ES"/>
        </w:rPr>
      </w:pPr>
      <w:r w:rsidRPr="00987D1A">
        <w:rPr>
          <w:rFonts w:eastAsia="Times New Roman" w:cs="Tahoma"/>
          <w:color w:val="auto"/>
          <w:lang w:eastAsia="es-ES"/>
        </w:rPr>
        <w:t xml:space="preserve">Con fecha </w:t>
      </w:r>
      <w:r>
        <w:rPr>
          <w:rFonts w:eastAsia="Times New Roman" w:cs="Tahoma"/>
          <w:color w:val="auto"/>
          <w:lang w:eastAsia="es-ES"/>
        </w:rPr>
        <w:t>veintisiete de septiembre de dos mil veintidós, la</w:t>
      </w:r>
      <w:r w:rsidRPr="00987D1A">
        <w:rPr>
          <w:rFonts w:eastAsia="Times New Roman" w:cs="Tahoma"/>
          <w:color w:val="auto"/>
          <w:lang w:eastAsia="es-ES"/>
        </w:rPr>
        <w:t xml:space="preserve"> Particular presentó una solicitud de acceso a la información pública, a través del Sistema de Acceso a la Información Mexiquense (SAIMEX), ante el </w:t>
      </w:r>
      <w:r>
        <w:rPr>
          <w:rFonts w:eastAsia="Calibri" w:cs="Tahoma"/>
        </w:rPr>
        <w:t>Secretaría de Justicia y Derechos Humanos</w:t>
      </w:r>
      <w:r w:rsidRPr="00987D1A">
        <w:rPr>
          <w:rFonts w:eastAsia="Calibri" w:cs="Tahoma"/>
        </w:rPr>
        <w:t xml:space="preserve">, en los siguientes términos: </w:t>
      </w:r>
    </w:p>
    <w:p w:rsidRPr="00987D1A" w:rsidR="00D33E1E" w:rsidP="00D33E1E" w:rsidRDefault="00D33E1E" w14:paraId="166B116D" w14:textId="77777777">
      <w:pPr>
        <w:spacing w:after="0" w:line="360" w:lineRule="auto"/>
        <w:rPr>
          <w:rFonts w:eastAsia="Calibri" w:cs="Tahoma"/>
        </w:rPr>
      </w:pPr>
    </w:p>
    <w:p w:rsidRPr="00987D1A" w:rsidR="00D33E1E" w:rsidP="00D33E1E" w:rsidRDefault="00D33E1E" w14:paraId="24883002" w14:textId="77777777">
      <w:pPr>
        <w:tabs>
          <w:tab w:val="left" w:pos="4667"/>
        </w:tabs>
        <w:spacing w:after="0" w:line="360" w:lineRule="auto"/>
        <w:ind w:left="567" w:right="567"/>
        <w:rPr>
          <w:rFonts w:eastAsia="Times New Roman" w:cs="Tahoma"/>
          <w:b/>
          <w:i/>
          <w:iCs/>
          <w:color w:val="auto"/>
          <w:sz w:val="20"/>
          <w:szCs w:val="20"/>
          <w:lang w:eastAsia="es-ES"/>
        </w:rPr>
      </w:pPr>
      <w:r w:rsidRPr="00987D1A">
        <w:rPr>
          <w:rFonts w:eastAsia="Times New Roman" w:cs="Tahoma"/>
          <w:b/>
          <w:i/>
          <w:iCs/>
          <w:color w:val="auto"/>
          <w:sz w:val="20"/>
          <w:szCs w:val="20"/>
          <w:lang w:eastAsia="es-ES"/>
        </w:rPr>
        <w:t>“DESCRIPCIÓN CLARA Y PRECISA DE LA INFORMACIÓN SOLICITADA.</w:t>
      </w:r>
    </w:p>
    <w:p w:rsidRPr="00987D1A" w:rsidR="00D33E1E" w:rsidP="00D33E1E" w:rsidRDefault="00B5631F" w14:paraId="17A6730D" w14:textId="77777777">
      <w:pPr>
        <w:tabs>
          <w:tab w:val="left" w:pos="4667"/>
        </w:tabs>
        <w:spacing w:after="0" w:line="360" w:lineRule="auto"/>
        <w:ind w:left="567" w:right="567"/>
        <w:rPr>
          <w:rFonts w:eastAsia="Times New Roman" w:cs="Tahoma"/>
          <w:bCs/>
          <w:i/>
          <w:iCs/>
          <w:color w:val="auto"/>
          <w:sz w:val="20"/>
          <w:szCs w:val="20"/>
          <w:lang w:eastAsia="es-ES"/>
        </w:rPr>
      </w:pPr>
      <w:r w:rsidRPr="00B5631F">
        <w:rPr>
          <w:rFonts w:eastAsia="Times New Roman" w:cs="Tahoma"/>
          <w:bCs/>
          <w:i/>
          <w:iCs/>
          <w:color w:val="auto"/>
          <w:sz w:val="20"/>
          <w:szCs w:val="20"/>
          <w:lang w:eastAsia="es-ES"/>
        </w:rPr>
        <w:t xml:space="preserve">Desde el 16 de agosto de 2016 hasta el 27 de septiembre de 2022, nombre de los conceptos y montos por los que la Comisión Ejecutiva de Atención a Víctimas del Estado de México, ha erogado a víctimas u ofendidos, mediante el Fondo Estatal de Ayuda, Asistencia y Reparación Integral. Es decir, por qué delitos y por cuánto han sido compensadas las víctimas u ofendidos, desde la </w:t>
      </w:r>
      <w:r>
        <w:rPr>
          <w:rFonts w:eastAsia="Times New Roman" w:cs="Tahoma"/>
          <w:bCs/>
          <w:i/>
          <w:iCs/>
          <w:color w:val="auto"/>
          <w:sz w:val="20"/>
          <w:szCs w:val="20"/>
          <w:lang w:eastAsia="es-ES"/>
        </w:rPr>
        <w:t>creación de la CEAV de Edo. Méx</w:t>
      </w:r>
      <w:r w:rsidRPr="00987D1A" w:rsidR="00D33E1E">
        <w:rPr>
          <w:rFonts w:eastAsia="Times New Roman" w:cs="Tahoma"/>
          <w:bCs/>
          <w:i/>
          <w:iCs/>
          <w:color w:val="auto"/>
          <w:sz w:val="20"/>
          <w:szCs w:val="20"/>
          <w:lang w:eastAsia="es-ES"/>
        </w:rPr>
        <w:t xml:space="preserve">.” (Sic) </w:t>
      </w:r>
    </w:p>
    <w:p w:rsidRPr="00987D1A" w:rsidR="00D33E1E" w:rsidP="00D33E1E" w:rsidRDefault="00D33E1E" w14:paraId="679887A5" w14:textId="77777777">
      <w:pPr>
        <w:tabs>
          <w:tab w:val="left" w:pos="4667"/>
        </w:tabs>
        <w:spacing w:after="0" w:line="360" w:lineRule="auto"/>
        <w:ind w:left="567" w:right="567"/>
        <w:rPr>
          <w:rFonts w:eastAsia="Times New Roman" w:cs="Tahoma"/>
          <w:b/>
          <w:bCs/>
          <w:i/>
          <w:iCs/>
          <w:color w:val="auto"/>
          <w:sz w:val="20"/>
          <w:lang w:eastAsia="es-ES"/>
        </w:rPr>
      </w:pPr>
    </w:p>
    <w:p w:rsidRPr="00987D1A" w:rsidR="00D33E1E" w:rsidP="00D33E1E" w:rsidRDefault="00D33E1E" w14:paraId="6198C18C" w14:textId="77777777">
      <w:pPr>
        <w:tabs>
          <w:tab w:val="left" w:pos="4667"/>
        </w:tabs>
        <w:spacing w:after="0" w:line="360" w:lineRule="auto"/>
        <w:ind w:left="567" w:right="567"/>
        <w:rPr>
          <w:rFonts w:eastAsia="Times New Roman" w:cs="Tahoma"/>
          <w:b/>
          <w:bCs/>
          <w:i/>
          <w:iCs/>
          <w:color w:val="auto"/>
          <w:sz w:val="20"/>
          <w:lang w:eastAsia="es-ES"/>
        </w:rPr>
      </w:pPr>
      <w:r w:rsidRPr="00987D1A">
        <w:rPr>
          <w:rFonts w:eastAsia="Times New Roman" w:cs="Tahoma"/>
          <w:b/>
          <w:bCs/>
          <w:i/>
          <w:iCs/>
          <w:color w:val="auto"/>
          <w:sz w:val="20"/>
          <w:lang w:eastAsia="es-ES"/>
        </w:rPr>
        <w:t>“MODALID</w:t>
      </w:r>
      <w:bookmarkStart w:name="_GoBack" w:id="0"/>
      <w:bookmarkEnd w:id="0"/>
      <w:r w:rsidRPr="00987D1A">
        <w:rPr>
          <w:rFonts w:eastAsia="Times New Roman" w:cs="Tahoma"/>
          <w:b/>
          <w:bCs/>
          <w:i/>
          <w:iCs/>
          <w:color w:val="auto"/>
          <w:sz w:val="20"/>
          <w:lang w:eastAsia="es-ES"/>
        </w:rPr>
        <w:t>AD DE ENTREGA</w:t>
      </w:r>
    </w:p>
    <w:p w:rsidRPr="00987D1A" w:rsidR="00D33E1E" w:rsidP="00E94B00" w:rsidRDefault="00B5631F" w14:paraId="62BACD2C" w14:textId="0B7A9271">
      <w:pPr>
        <w:spacing w:after="0" w:line="360" w:lineRule="auto"/>
        <w:ind w:left="567" w:right="567"/>
        <w:rPr>
          <w:rFonts w:eastAsia="Times New Roman" w:cs="Arial"/>
          <w:bCs/>
          <w:i/>
          <w:iCs/>
          <w:color w:val="auto"/>
          <w:sz w:val="20"/>
          <w:lang w:eastAsia="es-ES"/>
        </w:rPr>
      </w:pPr>
      <w:r w:rsidRPr="00B5631F">
        <w:rPr>
          <w:rFonts w:eastAsia="Times New Roman" w:cs="Arial"/>
          <w:bCs/>
          <w:i/>
          <w:iCs/>
          <w:color w:val="auto"/>
          <w:sz w:val="20"/>
          <w:lang w:eastAsia="es-ES"/>
        </w:rPr>
        <w:lastRenderedPageBreak/>
        <w:t>Consulta Directa (sin costo)</w:t>
      </w:r>
      <w:r w:rsidRPr="00987D1A" w:rsidR="00D33E1E">
        <w:rPr>
          <w:rFonts w:eastAsia="Times New Roman" w:cs="Arial"/>
          <w:bCs/>
          <w:i/>
          <w:iCs/>
          <w:color w:val="auto"/>
          <w:sz w:val="20"/>
          <w:lang w:eastAsia="es-ES"/>
        </w:rPr>
        <w:t>”</w:t>
      </w:r>
    </w:p>
    <w:p w:rsidR="00FE45C5" w:rsidP="00D33E1E" w:rsidRDefault="00FE45C5" w14:paraId="41F6B056" w14:textId="77777777">
      <w:pPr>
        <w:autoSpaceDE w:val="0"/>
        <w:autoSpaceDN w:val="0"/>
        <w:adjustRightInd w:val="0"/>
        <w:spacing w:after="0" w:line="360" w:lineRule="auto"/>
        <w:rPr>
          <w:rFonts w:cs="Tahoma"/>
          <w:b/>
        </w:rPr>
      </w:pPr>
    </w:p>
    <w:p w:rsidRPr="00987D1A" w:rsidR="00D33E1E" w:rsidP="00D33E1E" w:rsidRDefault="00D33E1E" w14:paraId="335DF397" w14:textId="77777777">
      <w:pPr>
        <w:autoSpaceDE w:val="0"/>
        <w:autoSpaceDN w:val="0"/>
        <w:adjustRightInd w:val="0"/>
        <w:spacing w:after="0" w:line="360" w:lineRule="auto"/>
        <w:rPr>
          <w:b/>
          <w:bCs/>
        </w:rPr>
      </w:pPr>
      <w:r w:rsidRPr="00987D1A">
        <w:rPr>
          <w:rFonts w:cs="Tahoma"/>
          <w:b/>
        </w:rPr>
        <w:t>II.</w:t>
      </w:r>
      <w:r w:rsidRPr="00987D1A">
        <w:rPr>
          <w:b/>
          <w:bCs/>
        </w:rPr>
        <w:t xml:space="preserve"> Respuesta del Sujeto Obligado. </w:t>
      </w:r>
    </w:p>
    <w:p w:rsidRPr="00987D1A" w:rsidR="00D33E1E" w:rsidP="00D33E1E" w:rsidRDefault="00D33E1E" w14:paraId="3656C332" w14:textId="77777777">
      <w:pPr>
        <w:spacing w:after="0" w:line="360" w:lineRule="auto"/>
      </w:pPr>
    </w:p>
    <w:p w:rsidR="00B5631F" w:rsidP="00D33E1E" w:rsidRDefault="00D33E1E" w14:paraId="398B18C0" w14:textId="77777777">
      <w:pPr>
        <w:spacing w:after="0" w:line="360" w:lineRule="auto"/>
      </w:pPr>
      <w:r w:rsidRPr="00987D1A">
        <w:t xml:space="preserve">Con fecha </w:t>
      </w:r>
      <w:r w:rsidR="00B5631F">
        <w:t xml:space="preserve">doce de octubre de dos mil veintidós, </w:t>
      </w:r>
      <w:r w:rsidRPr="00987D1A">
        <w:t>el Sujeto Obligado notificó, a través del Sistema de Acceso a la Información Mexiquense (SAIMEX), la respuesta a la solicitud de acceso a la información pública, mediante el oficio</w:t>
      </w:r>
      <w:r w:rsidR="00D01D6E">
        <w:t xml:space="preserve"> número: SJDH/UIPPE/1835/2022, fechado el doce de octubre de dos mil veintidós, el cual es suscrito por el Suplente en Materia de Transparencia de la Comisión Ejecutiva de Atención a Víctimas del Estado de México, el cual es remitido a la Solicitante en los siguientes términos: </w:t>
      </w:r>
    </w:p>
    <w:p w:rsidR="00D01D6E" w:rsidP="00D33E1E" w:rsidRDefault="00D01D6E" w14:paraId="28415172" w14:textId="77777777">
      <w:pPr>
        <w:spacing w:after="0" w:line="360" w:lineRule="auto"/>
      </w:pPr>
    </w:p>
    <w:p w:rsidRPr="00123185" w:rsidR="00D01D6E" w:rsidP="00E46064" w:rsidRDefault="00D01D6E" w14:paraId="6CDE5821" w14:textId="77777777">
      <w:pPr>
        <w:spacing w:after="0" w:line="360" w:lineRule="auto"/>
        <w:ind w:left="567" w:right="567"/>
        <w:rPr>
          <w:i/>
          <w:sz w:val="20"/>
          <w:szCs w:val="20"/>
        </w:rPr>
      </w:pPr>
      <w:r w:rsidRPr="00123185">
        <w:rPr>
          <w:i/>
          <w:sz w:val="20"/>
          <w:szCs w:val="20"/>
        </w:rPr>
        <w:t>“…</w:t>
      </w:r>
    </w:p>
    <w:p w:rsidRPr="00123185" w:rsidR="00D01D6E" w:rsidP="00E46064" w:rsidRDefault="00D01D6E" w14:paraId="28E7E266" w14:textId="77777777">
      <w:pPr>
        <w:spacing w:after="0" w:line="360" w:lineRule="auto"/>
        <w:ind w:left="567" w:right="567"/>
        <w:rPr>
          <w:i/>
          <w:sz w:val="20"/>
          <w:szCs w:val="20"/>
        </w:rPr>
      </w:pPr>
      <w:r w:rsidRPr="00123185">
        <w:rPr>
          <w:i/>
          <w:sz w:val="20"/>
          <w:szCs w:val="20"/>
        </w:rPr>
        <w:t>Respuesta:</w:t>
      </w:r>
    </w:p>
    <w:p w:rsidRPr="00123185" w:rsidR="00D01D6E" w:rsidP="00E46064" w:rsidRDefault="00D01D6E" w14:paraId="62E538FF" w14:textId="77777777">
      <w:pPr>
        <w:spacing w:after="0" w:line="360" w:lineRule="auto"/>
        <w:ind w:left="567" w:right="567"/>
        <w:rPr>
          <w:i/>
          <w:sz w:val="20"/>
          <w:szCs w:val="20"/>
        </w:rPr>
      </w:pPr>
    </w:p>
    <w:p w:rsidRPr="00123185" w:rsidR="00D01D6E" w:rsidP="00E46064" w:rsidRDefault="00D01D6E" w14:paraId="0EC87597" w14:textId="77777777">
      <w:pPr>
        <w:spacing w:after="0" w:line="360" w:lineRule="auto"/>
        <w:ind w:left="567" w:right="567"/>
        <w:rPr>
          <w:i/>
          <w:sz w:val="20"/>
          <w:szCs w:val="20"/>
        </w:rPr>
      </w:pPr>
      <w:r w:rsidRPr="00123185">
        <w:rPr>
          <w:i/>
          <w:sz w:val="20"/>
          <w:szCs w:val="20"/>
        </w:rPr>
        <w:t xml:space="preserve">Su solicitud de información fue turnada a la Servidora Pública Habilitada de la Comisión Ejecutiva de Atención a Víctimas del Estado de México, mediante el oficio SJDH/UIPPE/1707/2022 y a través del oficio 222B0210010100S/680/2022, el Servidor Público </w:t>
      </w:r>
      <w:r w:rsidRPr="00123185" w:rsidR="00E46064">
        <w:rPr>
          <w:i/>
          <w:sz w:val="20"/>
          <w:szCs w:val="20"/>
        </w:rPr>
        <w:t xml:space="preserve">Habilitado Suplente otorga respuesta a su solicitud de información, misma que se adjunta al presente. </w:t>
      </w:r>
    </w:p>
    <w:p w:rsidRPr="00123185" w:rsidR="00E46064" w:rsidP="00E46064" w:rsidRDefault="00E46064" w14:paraId="3B53EB5C" w14:textId="77777777">
      <w:pPr>
        <w:spacing w:after="0" w:line="360" w:lineRule="auto"/>
        <w:ind w:left="567" w:right="567"/>
        <w:rPr>
          <w:i/>
          <w:sz w:val="20"/>
          <w:szCs w:val="20"/>
        </w:rPr>
      </w:pPr>
      <w:r w:rsidRPr="00123185">
        <w:rPr>
          <w:i/>
          <w:sz w:val="20"/>
          <w:szCs w:val="20"/>
        </w:rPr>
        <w:t xml:space="preserve">…” (Sic) </w:t>
      </w:r>
    </w:p>
    <w:p w:rsidR="00E46064" w:rsidP="00D33E1E" w:rsidRDefault="00E46064" w14:paraId="1D790988" w14:textId="77777777">
      <w:pPr>
        <w:spacing w:after="0" w:line="360" w:lineRule="auto"/>
      </w:pPr>
    </w:p>
    <w:p w:rsidR="00B5631F" w:rsidP="00D33E1E" w:rsidRDefault="00E46064" w14:paraId="476F6978" w14:textId="77777777">
      <w:pPr>
        <w:spacing w:after="0" w:line="360" w:lineRule="auto"/>
      </w:pPr>
      <w:r>
        <w:t xml:space="preserve">A su oficio de respuesta, el Ente Recurrido presentó el oficio número 222B0210010100S/680/2022, fechado el seis de octubre de dos mil veintidós, suscrito por el Suplente en Materia de Transparencia de la Comisión Ejecutiva de Atención a Víctimas del Estado de México, el cual es dirigido a la Titular de la Unidad de Transparencia, por medio del </w:t>
      </w:r>
      <w:r w:rsidR="002F7FBC">
        <w:t xml:space="preserve">cual manifiesta y expone: </w:t>
      </w:r>
    </w:p>
    <w:p w:rsidR="002F7FBC" w:rsidP="00D33E1E" w:rsidRDefault="002F7FBC" w14:paraId="182DE9E0" w14:textId="77777777">
      <w:pPr>
        <w:spacing w:after="0" w:line="360" w:lineRule="auto"/>
      </w:pPr>
    </w:p>
    <w:p w:rsidRPr="002F7FBC" w:rsidR="002F7FBC" w:rsidP="002F7FBC" w:rsidRDefault="002F7FBC" w14:paraId="34720294" w14:textId="77777777">
      <w:pPr>
        <w:spacing w:after="0" w:line="360" w:lineRule="auto"/>
        <w:ind w:left="567" w:right="567"/>
        <w:rPr>
          <w:i/>
          <w:sz w:val="20"/>
          <w:szCs w:val="20"/>
        </w:rPr>
      </w:pPr>
      <w:r w:rsidRPr="002F7FBC">
        <w:rPr>
          <w:i/>
          <w:sz w:val="20"/>
          <w:szCs w:val="20"/>
        </w:rPr>
        <w:t>“…</w:t>
      </w:r>
    </w:p>
    <w:p w:rsidRPr="002F7FBC" w:rsidR="002F7FBC" w:rsidP="002F7FBC" w:rsidRDefault="002F7FBC" w14:paraId="14D9B731" w14:textId="77777777">
      <w:pPr>
        <w:spacing w:after="0" w:line="360" w:lineRule="auto"/>
        <w:ind w:left="567" w:right="567"/>
        <w:rPr>
          <w:i/>
          <w:sz w:val="20"/>
          <w:szCs w:val="20"/>
        </w:rPr>
      </w:pPr>
      <w:r w:rsidRPr="002F7FBC">
        <w:rPr>
          <w:i/>
          <w:sz w:val="20"/>
          <w:szCs w:val="20"/>
        </w:rPr>
        <w:t xml:space="preserve">La Comisión Ejecutiva de Atención a Víctimas del Estado de México a través del Fondo de Ayuda, Asistencia y Reparación Integral, lleva a cabo el pago de los servicios necesarios de apoyos a los </w:t>
      </w:r>
      <w:r w:rsidRPr="002F7FBC">
        <w:rPr>
          <w:i/>
          <w:sz w:val="20"/>
          <w:szCs w:val="20"/>
        </w:rPr>
        <w:lastRenderedPageBreak/>
        <w:t xml:space="preserve">usuarios ya sean Victimas y/o ofendidos, por el cual me permito enviar a usted un informe detallado de los apoyos brindados: </w:t>
      </w:r>
    </w:p>
    <w:p w:rsidRPr="002F7FBC" w:rsidR="002F7FBC" w:rsidP="002F7FBC" w:rsidRDefault="002F7FBC" w14:paraId="7F559AF4" w14:textId="77777777">
      <w:pPr>
        <w:spacing w:after="0" w:line="360" w:lineRule="auto"/>
        <w:ind w:left="567" w:right="567"/>
        <w:rPr>
          <w:i/>
          <w:sz w:val="20"/>
          <w:szCs w:val="20"/>
        </w:rPr>
      </w:pPr>
    </w:p>
    <w:p w:rsidRPr="002F7FBC" w:rsidR="002F7FBC" w:rsidP="002F7FBC" w:rsidRDefault="002F7FBC" w14:paraId="12267FC6" w14:textId="77777777">
      <w:pPr>
        <w:spacing w:after="0" w:line="360" w:lineRule="auto"/>
        <w:ind w:left="567" w:right="567"/>
        <w:jc w:val="center"/>
        <w:rPr>
          <w:i/>
          <w:sz w:val="20"/>
          <w:szCs w:val="20"/>
        </w:rPr>
      </w:pPr>
      <w:r>
        <w:rPr>
          <w:i/>
          <w:noProof/>
          <w:sz w:val="20"/>
          <w:szCs w:val="20"/>
          <w:lang w:eastAsia="es-MX"/>
        </w:rPr>
        <w:drawing>
          <wp:inline distT="0" distB="0" distL="0" distR="0" wp14:anchorId="35513F7A" wp14:editId="08FCF773">
            <wp:extent cx="3379305" cy="29210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8E20A.tmp"/>
                    <pic:cNvPicPr/>
                  </pic:nvPicPr>
                  <pic:blipFill>
                    <a:blip r:embed="rId8">
                      <a:extLst>
                        <a:ext uri="{28A0092B-C50C-407E-A947-70E740481C1C}">
                          <a14:useLocalDpi xmlns:a14="http://schemas.microsoft.com/office/drawing/2010/main" val="0"/>
                        </a:ext>
                      </a:extLst>
                    </a:blip>
                    <a:stretch>
                      <a:fillRect/>
                    </a:stretch>
                  </pic:blipFill>
                  <pic:spPr>
                    <a:xfrm>
                      <a:off x="0" y="0"/>
                      <a:ext cx="3387597" cy="2928169"/>
                    </a:xfrm>
                    <a:prstGeom prst="rect">
                      <a:avLst/>
                    </a:prstGeom>
                  </pic:spPr>
                </pic:pic>
              </a:graphicData>
            </a:graphic>
          </wp:inline>
        </w:drawing>
      </w:r>
    </w:p>
    <w:p w:rsidRPr="002F7FBC" w:rsidR="002F7FBC" w:rsidP="002F7FBC" w:rsidRDefault="002F7FBC" w14:paraId="6A008F97" w14:textId="77777777">
      <w:pPr>
        <w:spacing w:after="0" w:line="360" w:lineRule="auto"/>
        <w:ind w:left="567" w:right="567"/>
        <w:jc w:val="center"/>
        <w:rPr>
          <w:i/>
          <w:sz w:val="20"/>
          <w:szCs w:val="20"/>
        </w:rPr>
      </w:pPr>
      <w:r>
        <w:rPr>
          <w:i/>
          <w:noProof/>
          <w:sz w:val="20"/>
          <w:szCs w:val="20"/>
          <w:lang w:eastAsia="es-MX"/>
        </w:rPr>
        <w:drawing>
          <wp:inline distT="0" distB="0" distL="0" distR="0" wp14:anchorId="6BADBF3B" wp14:editId="038E2D14">
            <wp:extent cx="3535614" cy="3212327"/>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F83BE3.tmp"/>
                    <pic:cNvPicPr/>
                  </pic:nvPicPr>
                  <pic:blipFill>
                    <a:blip r:embed="rId9">
                      <a:extLst>
                        <a:ext uri="{28A0092B-C50C-407E-A947-70E740481C1C}">
                          <a14:useLocalDpi xmlns:a14="http://schemas.microsoft.com/office/drawing/2010/main" val="0"/>
                        </a:ext>
                      </a:extLst>
                    </a:blip>
                    <a:stretch>
                      <a:fillRect/>
                    </a:stretch>
                  </pic:blipFill>
                  <pic:spPr>
                    <a:xfrm>
                      <a:off x="0" y="0"/>
                      <a:ext cx="3537689" cy="3214213"/>
                    </a:xfrm>
                    <a:prstGeom prst="rect">
                      <a:avLst/>
                    </a:prstGeom>
                  </pic:spPr>
                </pic:pic>
              </a:graphicData>
            </a:graphic>
          </wp:inline>
        </w:drawing>
      </w:r>
    </w:p>
    <w:p w:rsidRPr="002F7FBC" w:rsidR="002F7FBC" w:rsidP="002F7FBC" w:rsidRDefault="002F7FBC" w14:paraId="32918AB1" w14:textId="77777777">
      <w:pPr>
        <w:spacing w:after="0" w:line="360" w:lineRule="auto"/>
        <w:ind w:left="567" w:right="567"/>
        <w:rPr>
          <w:i/>
          <w:sz w:val="20"/>
          <w:szCs w:val="20"/>
        </w:rPr>
      </w:pPr>
    </w:p>
    <w:p w:rsidR="002F7FBC" w:rsidP="00882A3A" w:rsidRDefault="002F7FBC" w14:paraId="1482854A" w14:textId="77777777">
      <w:pPr>
        <w:spacing w:after="0" w:line="360" w:lineRule="auto"/>
        <w:ind w:left="567" w:right="567"/>
        <w:jc w:val="center"/>
        <w:rPr>
          <w:i/>
          <w:sz w:val="20"/>
          <w:szCs w:val="20"/>
        </w:rPr>
      </w:pPr>
      <w:r>
        <w:rPr>
          <w:i/>
          <w:noProof/>
          <w:sz w:val="20"/>
          <w:szCs w:val="20"/>
          <w:lang w:eastAsia="es-MX"/>
        </w:rPr>
        <w:lastRenderedPageBreak/>
        <w:drawing>
          <wp:inline distT="0" distB="0" distL="0" distR="0" wp14:anchorId="00640873" wp14:editId="18A4CF63">
            <wp:extent cx="3760967" cy="100116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8A2BC.tmp"/>
                    <pic:cNvPicPr/>
                  </pic:nvPicPr>
                  <pic:blipFill>
                    <a:blip r:embed="rId10">
                      <a:extLst>
                        <a:ext uri="{28A0092B-C50C-407E-A947-70E740481C1C}">
                          <a14:useLocalDpi xmlns:a14="http://schemas.microsoft.com/office/drawing/2010/main" val="0"/>
                        </a:ext>
                      </a:extLst>
                    </a:blip>
                    <a:stretch>
                      <a:fillRect/>
                    </a:stretch>
                  </pic:blipFill>
                  <pic:spPr>
                    <a:xfrm>
                      <a:off x="0" y="0"/>
                      <a:ext cx="3777315" cy="1005517"/>
                    </a:xfrm>
                    <a:prstGeom prst="rect">
                      <a:avLst/>
                    </a:prstGeom>
                  </pic:spPr>
                </pic:pic>
              </a:graphicData>
            </a:graphic>
          </wp:inline>
        </w:drawing>
      </w:r>
      <w:r>
        <w:rPr>
          <w:i/>
          <w:noProof/>
          <w:sz w:val="20"/>
          <w:szCs w:val="20"/>
          <w:lang w:eastAsia="es-MX"/>
        </w:rPr>
        <w:drawing>
          <wp:inline distT="0" distB="0" distL="0" distR="0" wp14:anchorId="05B4D7DF" wp14:editId="05CA2BC3">
            <wp:extent cx="3880237" cy="849560"/>
            <wp:effectExtent l="0" t="0" r="635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F8957.tmp"/>
                    <pic:cNvPicPr/>
                  </pic:nvPicPr>
                  <pic:blipFill>
                    <a:blip r:embed="rId11">
                      <a:extLst>
                        <a:ext uri="{28A0092B-C50C-407E-A947-70E740481C1C}">
                          <a14:useLocalDpi xmlns:a14="http://schemas.microsoft.com/office/drawing/2010/main" val="0"/>
                        </a:ext>
                      </a:extLst>
                    </a:blip>
                    <a:stretch>
                      <a:fillRect/>
                    </a:stretch>
                  </pic:blipFill>
                  <pic:spPr>
                    <a:xfrm>
                      <a:off x="0" y="0"/>
                      <a:ext cx="3937737" cy="862149"/>
                    </a:xfrm>
                    <a:prstGeom prst="rect">
                      <a:avLst/>
                    </a:prstGeom>
                  </pic:spPr>
                </pic:pic>
              </a:graphicData>
            </a:graphic>
          </wp:inline>
        </w:drawing>
      </w:r>
      <w:r>
        <w:rPr>
          <w:i/>
          <w:noProof/>
          <w:sz w:val="20"/>
          <w:szCs w:val="20"/>
          <w:lang w:eastAsia="es-MX"/>
        </w:rPr>
        <w:drawing>
          <wp:inline distT="0" distB="0" distL="0" distR="0" wp14:anchorId="37FD81C8" wp14:editId="1368AC8F">
            <wp:extent cx="3729162" cy="3406575"/>
            <wp:effectExtent l="0" t="0" r="508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F864D5.tmp"/>
                    <pic:cNvPicPr/>
                  </pic:nvPicPr>
                  <pic:blipFill>
                    <a:blip r:embed="rId12">
                      <a:extLst>
                        <a:ext uri="{28A0092B-C50C-407E-A947-70E740481C1C}">
                          <a14:useLocalDpi xmlns:a14="http://schemas.microsoft.com/office/drawing/2010/main" val="0"/>
                        </a:ext>
                      </a:extLst>
                    </a:blip>
                    <a:stretch>
                      <a:fillRect/>
                    </a:stretch>
                  </pic:blipFill>
                  <pic:spPr>
                    <a:xfrm>
                      <a:off x="0" y="0"/>
                      <a:ext cx="3736228" cy="3413030"/>
                    </a:xfrm>
                    <a:prstGeom prst="rect">
                      <a:avLst/>
                    </a:prstGeom>
                  </pic:spPr>
                </pic:pic>
              </a:graphicData>
            </a:graphic>
          </wp:inline>
        </w:drawing>
      </w:r>
      <w:r w:rsidR="00882A3A">
        <w:rPr>
          <w:i/>
          <w:noProof/>
          <w:sz w:val="20"/>
          <w:szCs w:val="20"/>
          <w:lang w:eastAsia="es-MX"/>
        </w:rPr>
        <w:drawing>
          <wp:inline distT="0" distB="0" distL="0" distR="0" wp14:anchorId="31B099E8" wp14:editId="5F0D1659">
            <wp:extent cx="3800724" cy="110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F8333D.tmp"/>
                    <pic:cNvPicPr/>
                  </pic:nvPicPr>
                  <pic:blipFill>
                    <a:blip r:embed="rId13">
                      <a:extLst>
                        <a:ext uri="{28A0092B-C50C-407E-A947-70E740481C1C}">
                          <a14:useLocalDpi xmlns:a14="http://schemas.microsoft.com/office/drawing/2010/main" val="0"/>
                        </a:ext>
                      </a:extLst>
                    </a:blip>
                    <a:stretch>
                      <a:fillRect/>
                    </a:stretch>
                  </pic:blipFill>
                  <pic:spPr>
                    <a:xfrm>
                      <a:off x="0" y="0"/>
                      <a:ext cx="3836904" cy="1118132"/>
                    </a:xfrm>
                    <a:prstGeom prst="rect">
                      <a:avLst/>
                    </a:prstGeom>
                  </pic:spPr>
                </pic:pic>
              </a:graphicData>
            </a:graphic>
          </wp:inline>
        </w:drawing>
      </w:r>
    </w:p>
    <w:p w:rsidRPr="002F7FBC" w:rsidR="00882A3A" w:rsidP="00882A3A" w:rsidRDefault="00882A3A" w14:paraId="6E402B51" w14:textId="77777777">
      <w:pPr>
        <w:spacing w:after="0" w:line="360" w:lineRule="auto"/>
        <w:ind w:left="567" w:right="567"/>
        <w:rPr>
          <w:i/>
          <w:sz w:val="20"/>
          <w:szCs w:val="20"/>
        </w:rPr>
      </w:pPr>
      <w:r>
        <w:rPr>
          <w:i/>
          <w:sz w:val="20"/>
          <w:szCs w:val="20"/>
        </w:rPr>
        <w:t xml:space="preserve">…” (Sic) </w:t>
      </w:r>
    </w:p>
    <w:p w:rsidRPr="00987D1A" w:rsidR="00D33E1E" w:rsidP="00D33E1E" w:rsidRDefault="00D33E1E" w14:paraId="2ECAAE8C" w14:textId="77777777">
      <w:pPr>
        <w:spacing w:after="0" w:line="360" w:lineRule="auto"/>
      </w:pPr>
    </w:p>
    <w:p w:rsidRPr="00987D1A" w:rsidR="00D33E1E" w:rsidP="00D33E1E" w:rsidRDefault="00D33E1E" w14:paraId="30970EE5" w14:textId="77777777">
      <w:pPr>
        <w:spacing w:after="0" w:line="360" w:lineRule="auto"/>
        <w:rPr>
          <w:b/>
        </w:rPr>
      </w:pPr>
      <w:r w:rsidRPr="00987D1A">
        <w:rPr>
          <w:b/>
        </w:rPr>
        <w:t xml:space="preserve">III. Interposición del Recurso de Revisión. </w:t>
      </w:r>
    </w:p>
    <w:p w:rsidRPr="00987D1A" w:rsidR="00D33E1E" w:rsidP="00D33E1E" w:rsidRDefault="00D33E1E" w14:paraId="2E233F75" w14:textId="77777777">
      <w:pPr>
        <w:spacing w:after="0" w:line="240" w:lineRule="auto"/>
        <w:rPr>
          <w:bCs/>
        </w:rPr>
      </w:pPr>
    </w:p>
    <w:p w:rsidRPr="00987D1A" w:rsidR="00D33E1E" w:rsidP="00D33E1E" w:rsidRDefault="00D33E1E" w14:paraId="1946444C" w14:textId="77777777">
      <w:pPr>
        <w:spacing w:after="0" w:line="360" w:lineRule="auto"/>
        <w:rPr>
          <w:bCs/>
        </w:rPr>
      </w:pPr>
      <w:r w:rsidRPr="00987D1A">
        <w:rPr>
          <w:bCs/>
        </w:rPr>
        <w:lastRenderedPageBreak/>
        <w:t xml:space="preserve">Con fecha </w:t>
      </w:r>
      <w:r w:rsidR="00F72A01">
        <w:rPr>
          <w:bCs/>
        </w:rPr>
        <w:t xml:space="preserve">doce de octubre de dos mil veintidós, </w:t>
      </w:r>
      <w:r w:rsidRPr="00987D1A">
        <w:rPr>
          <w:bCs/>
        </w:rPr>
        <w:t xml:space="preserve">se recibió en este Instituto, a través del </w:t>
      </w:r>
      <w:r w:rsidRPr="00987D1A">
        <w:rPr>
          <w:bCs/>
          <w:lang w:val="es-ES"/>
        </w:rPr>
        <w:t>Sistema de Acceso a la Información Mexiquense (SAIMEX)</w:t>
      </w:r>
      <w:r w:rsidRPr="00987D1A">
        <w:rPr>
          <w:bCs/>
        </w:rPr>
        <w:t>, Recurso de Revisión interpuesto por la parte Recurrente, en contra de la respuesta por el Sujeto Obligado, a la solicitud de información, en los siguientes términos:</w:t>
      </w:r>
    </w:p>
    <w:p w:rsidRPr="00987D1A" w:rsidR="00D33E1E" w:rsidP="00D33E1E" w:rsidRDefault="00D33E1E" w14:paraId="37B6D474" w14:textId="77777777">
      <w:pPr>
        <w:spacing w:after="0" w:line="360" w:lineRule="auto"/>
        <w:rPr>
          <w:bCs/>
        </w:rPr>
      </w:pPr>
    </w:p>
    <w:p w:rsidRPr="00987D1A" w:rsidR="00D33E1E" w:rsidP="00D33E1E" w:rsidRDefault="00D33E1E" w14:paraId="7C012C7F" w14:textId="77777777">
      <w:pPr>
        <w:spacing w:after="0" w:line="360" w:lineRule="auto"/>
        <w:ind w:left="567" w:right="567"/>
        <w:rPr>
          <w:bCs/>
          <w:i/>
          <w:sz w:val="20"/>
          <w:szCs w:val="20"/>
        </w:rPr>
      </w:pPr>
      <w:r w:rsidRPr="00987D1A">
        <w:rPr>
          <w:b/>
          <w:bCs/>
          <w:i/>
          <w:sz w:val="20"/>
          <w:szCs w:val="20"/>
        </w:rPr>
        <w:t>“ACTO IMPUGNADO</w:t>
      </w:r>
    </w:p>
    <w:p w:rsidRPr="00987D1A" w:rsidR="00D33E1E" w:rsidP="00D33E1E" w:rsidRDefault="00F72A01" w14:paraId="5414F37B" w14:textId="77777777">
      <w:pPr>
        <w:spacing w:after="0" w:line="360" w:lineRule="auto"/>
        <w:ind w:left="567" w:right="567"/>
        <w:rPr>
          <w:i/>
          <w:sz w:val="20"/>
          <w:szCs w:val="20"/>
        </w:rPr>
      </w:pPr>
      <w:r w:rsidRPr="00F72A01">
        <w:rPr>
          <w:i/>
          <w:sz w:val="20"/>
          <w:szCs w:val="20"/>
        </w:rPr>
        <w:t>Respuesta dada a solicitud enviada N° 00267/SJDH/IP/2022, Mediante número de Oficio 222B0210010100S/680/2022, de fecha 12 de octubre de 2022</w:t>
      </w:r>
      <w:r w:rsidRPr="00987D1A" w:rsidR="00D33E1E">
        <w:rPr>
          <w:i/>
          <w:sz w:val="20"/>
          <w:szCs w:val="20"/>
        </w:rPr>
        <w:t>.” (Sic.)</w:t>
      </w:r>
    </w:p>
    <w:p w:rsidRPr="00987D1A" w:rsidR="00D33E1E" w:rsidP="00D33E1E" w:rsidRDefault="00D33E1E" w14:paraId="42CD8C87" w14:textId="77777777">
      <w:pPr>
        <w:spacing w:after="0" w:line="360" w:lineRule="auto"/>
        <w:ind w:left="567" w:right="567"/>
        <w:rPr>
          <w:i/>
          <w:sz w:val="20"/>
          <w:szCs w:val="20"/>
        </w:rPr>
      </w:pPr>
    </w:p>
    <w:p w:rsidRPr="00987D1A" w:rsidR="00D33E1E" w:rsidP="00D33E1E" w:rsidRDefault="00D33E1E" w14:paraId="6294DE86" w14:textId="77777777">
      <w:pPr>
        <w:spacing w:after="0" w:line="360" w:lineRule="auto"/>
        <w:ind w:left="567" w:right="567"/>
        <w:rPr>
          <w:b/>
          <w:i/>
          <w:sz w:val="20"/>
          <w:szCs w:val="20"/>
        </w:rPr>
      </w:pPr>
      <w:r w:rsidRPr="00987D1A">
        <w:rPr>
          <w:b/>
          <w:i/>
          <w:sz w:val="20"/>
          <w:szCs w:val="20"/>
        </w:rPr>
        <w:t>“RAZONES O MOTIVOS DE LA INCONFORMIDAD</w:t>
      </w:r>
    </w:p>
    <w:p w:rsidRPr="00987D1A" w:rsidR="00D33E1E" w:rsidP="00D33E1E" w:rsidRDefault="00F72A01" w14:paraId="04299F76" w14:textId="77777777">
      <w:pPr>
        <w:spacing w:after="0" w:line="360" w:lineRule="auto"/>
        <w:ind w:left="567" w:right="567"/>
        <w:rPr>
          <w:i/>
          <w:sz w:val="20"/>
          <w:szCs w:val="20"/>
        </w:rPr>
      </w:pPr>
      <w:r w:rsidRPr="00F72A01">
        <w:rPr>
          <w:i/>
          <w:sz w:val="20"/>
          <w:szCs w:val="20"/>
        </w:rPr>
        <w:t>Solicité, a modo de aclaración, ¿por qué delitos y por cuánto, han sido compensadas las víctimas u ofendidos, desde la creación de la CEAV de EDOMEX.? Si bien es cierto, me dan a conocer en la última tabla, vista a Foja ocho de la referida respuesta, el concepto de Compensación subsidiaria y el monto por año. Pero no me especifican, ¿POR QUÉ DELITOS, dicha compensación subsidiaria, fue erogada.? y eso es lo que deseo saber. Faltó desglosar ese concepto, tal y como fueron desglosados los servicios necesarios de apoyos.</w:t>
      </w:r>
      <w:r w:rsidRPr="00987D1A" w:rsidR="00D33E1E">
        <w:rPr>
          <w:i/>
          <w:sz w:val="20"/>
          <w:szCs w:val="20"/>
        </w:rPr>
        <w:t>.” (Sic.)</w:t>
      </w:r>
    </w:p>
    <w:p w:rsidR="00D33E1E" w:rsidP="00D33E1E" w:rsidRDefault="00D33E1E" w14:paraId="4BD7311B" w14:textId="77777777">
      <w:pPr>
        <w:spacing w:after="0" w:line="360" w:lineRule="auto"/>
      </w:pPr>
    </w:p>
    <w:p w:rsidR="00F816C1" w:rsidP="00D33E1E" w:rsidRDefault="0053306D" w14:paraId="1983BE57" w14:textId="77777777">
      <w:pPr>
        <w:spacing w:after="0" w:line="360" w:lineRule="auto"/>
      </w:pPr>
      <w:r>
        <w:t xml:space="preserve">A la interposición del Recurso de Revisión, la Particular adjunto la digitalización de los oficios descritos en el Antecedente II. </w:t>
      </w:r>
    </w:p>
    <w:p w:rsidRPr="00987D1A" w:rsidR="00F816C1" w:rsidP="00D33E1E" w:rsidRDefault="00F816C1" w14:paraId="6E29C7CD" w14:textId="77777777">
      <w:pPr>
        <w:spacing w:after="0" w:line="360" w:lineRule="auto"/>
      </w:pPr>
    </w:p>
    <w:p w:rsidRPr="00987D1A" w:rsidR="00D33E1E" w:rsidP="00D33E1E" w:rsidRDefault="00D33E1E" w14:paraId="53E2E627" w14:textId="77777777">
      <w:pPr>
        <w:spacing w:after="0" w:line="360" w:lineRule="auto"/>
        <w:rPr>
          <w:b/>
          <w:bCs/>
        </w:rPr>
      </w:pPr>
      <w:r w:rsidRPr="00987D1A">
        <w:rPr>
          <w:b/>
        </w:rPr>
        <w:t xml:space="preserve">IV. </w:t>
      </w:r>
      <w:r w:rsidRPr="00987D1A">
        <w:rPr>
          <w:b/>
          <w:bCs/>
        </w:rPr>
        <w:t xml:space="preserve">Trámite del </w:t>
      </w:r>
      <w:r w:rsidRPr="00987D1A">
        <w:rPr>
          <w:b/>
        </w:rPr>
        <w:t xml:space="preserve">Recurso de Revisión </w:t>
      </w:r>
      <w:r w:rsidRPr="00987D1A">
        <w:rPr>
          <w:b/>
          <w:bCs/>
        </w:rPr>
        <w:t>ante este Instituto.</w:t>
      </w:r>
    </w:p>
    <w:p w:rsidRPr="00987D1A" w:rsidR="00D33E1E" w:rsidP="00D33E1E" w:rsidRDefault="00D33E1E" w14:paraId="42A4488D" w14:textId="77777777">
      <w:pPr>
        <w:spacing w:after="0" w:line="360" w:lineRule="auto"/>
        <w:rPr>
          <w:b/>
          <w:bCs/>
        </w:rPr>
      </w:pPr>
    </w:p>
    <w:p w:rsidRPr="00987D1A" w:rsidR="00D33E1E" w:rsidP="00D33E1E" w:rsidRDefault="00D33E1E" w14:paraId="33800FA8" w14:textId="77777777">
      <w:pPr>
        <w:spacing w:after="0" w:line="360" w:lineRule="auto"/>
        <w:rPr>
          <w:b/>
          <w:bCs/>
        </w:rPr>
      </w:pPr>
      <w:r w:rsidRPr="00987D1A">
        <w:rPr>
          <w:b/>
          <w:bCs/>
        </w:rPr>
        <w:t xml:space="preserve">a) Turno del Medio de Impugnación. </w:t>
      </w:r>
      <w:r w:rsidRPr="00987D1A">
        <w:rPr>
          <w:bCs/>
        </w:rPr>
        <w:t xml:space="preserve">El </w:t>
      </w:r>
      <w:r w:rsidRPr="004D075B" w:rsidR="004D075B">
        <w:rPr>
          <w:bCs/>
        </w:rPr>
        <w:t>doce de octubre de dos mil veintidós</w:t>
      </w:r>
      <w:r w:rsidRPr="00987D1A">
        <w:rPr>
          <w:bCs/>
        </w:rPr>
        <w:t xml:space="preserve">, el </w:t>
      </w:r>
      <w:r w:rsidRPr="00987D1A">
        <w:rPr>
          <w:lang w:val="es-ES"/>
        </w:rPr>
        <w:t>Sistema de Acceso a la Información Mexiquense (SAIMEX),</w:t>
      </w:r>
      <w:r w:rsidRPr="00987D1A">
        <w:rPr>
          <w:bCs/>
        </w:rPr>
        <w:t xml:space="preserve"> asignó el número de expediente </w:t>
      </w:r>
      <w:r>
        <w:rPr>
          <w:b/>
          <w:bCs/>
        </w:rPr>
        <w:t>15571/INFOEM/IP/RR/2022</w:t>
      </w:r>
      <w:r w:rsidRPr="00987D1A">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7D1A" w:rsidR="00D33E1E" w:rsidP="00D33E1E" w:rsidRDefault="00D33E1E" w14:paraId="52E56FFB" w14:textId="77777777">
      <w:pPr>
        <w:spacing w:after="0" w:line="360" w:lineRule="auto"/>
        <w:rPr>
          <w:bCs/>
        </w:rPr>
      </w:pPr>
    </w:p>
    <w:p w:rsidRPr="00987D1A" w:rsidR="00D33E1E" w:rsidP="00D33E1E" w:rsidRDefault="00D33E1E" w14:paraId="4705C2C1" w14:textId="77777777">
      <w:pPr>
        <w:spacing w:after="0" w:line="360" w:lineRule="auto"/>
      </w:pPr>
      <w:r w:rsidRPr="00987D1A">
        <w:rPr>
          <w:b/>
          <w:bCs/>
        </w:rPr>
        <w:t>b) Admisión del Recurso de Revisión</w:t>
      </w:r>
      <w:r w:rsidRPr="00987D1A">
        <w:rPr>
          <w:b/>
          <w:bCs/>
          <w:lang w:val="es-ES_tradnl"/>
        </w:rPr>
        <w:t xml:space="preserve">. </w:t>
      </w:r>
      <w:r w:rsidRPr="00987D1A">
        <w:rPr>
          <w:bCs/>
          <w:lang w:val="es-ES_tradnl"/>
        </w:rPr>
        <w:t xml:space="preserve">El </w:t>
      </w:r>
      <w:r w:rsidRPr="007F6380" w:rsidR="007F6380">
        <w:rPr>
          <w:bCs/>
          <w:lang w:val="es-ES_tradnl"/>
        </w:rPr>
        <w:t>dos de agosto de dos mil veintidós</w:t>
      </w:r>
      <w:r w:rsidRPr="00987D1A">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987D1A" w:rsidR="00D33E1E" w:rsidP="00D33E1E" w:rsidRDefault="00D33E1E" w14:paraId="430D4665" w14:textId="77777777">
      <w:pPr>
        <w:spacing w:after="0" w:line="360" w:lineRule="auto"/>
      </w:pPr>
    </w:p>
    <w:p w:rsidR="007F6380" w:rsidP="00D33E1E" w:rsidRDefault="00D33E1E" w14:paraId="6F527A30" w14:textId="77777777">
      <w:pPr>
        <w:spacing w:after="0" w:line="360" w:lineRule="auto"/>
        <w:rPr>
          <w:bCs/>
          <w:lang w:val="es-ES_tradnl"/>
        </w:rPr>
      </w:pPr>
      <w:r w:rsidRPr="00987D1A">
        <w:rPr>
          <w:b/>
        </w:rPr>
        <w:t xml:space="preserve">c) </w:t>
      </w:r>
      <w:r w:rsidR="007F6380">
        <w:rPr>
          <w:b/>
        </w:rPr>
        <w:t xml:space="preserve">Manifestaciones de la Particular: </w:t>
      </w:r>
      <w:r w:rsidR="007F6380">
        <w:t xml:space="preserve">El diecinueve de </w:t>
      </w:r>
      <w:r w:rsidR="00683249">
        <w:t xml:space="preserve">octubre </w:t>
      </w:r>
      <w:r w:rsidR="007F6380">
        <w:t xml:space="preserve">de dos mil veintidós, la Particular realizó manifestaciones mediante </w:t>
      </w:r>
      <w:r w:rsidRPr="00987D1A" w:rsidR="007F6380">
        <w:rPr>
          <w:bCs/>
          <w:lang w:val="es-ES_tradnl"/>
        </w:rPr>
        <w:t>a través del Sistema de Acceso a la Información Mexiquense (SAIMEX),</w:t>
      </w:r>
      <w:r w:rsidR="007F6380">
        <w:rPr>
          <w:bCs/>
          <w:lang w:val="es-ES_tradnl"/>
        </w:rPr>
        <w:t xml:space="preserve"> la cuales son del índole siguiente: </w:t>
      </w:r>
    </w:p>
    <w:p w:rsidR="007F6380" w:rsidP="00D33E1E" w:rsidRDefault="007F6380" w14:paraId="4A267A0C" w14:textId="77777777">
      <w:pPr>
        <w:spacing w:after="0" w:line="360" w:lineRule="auto"/>
        <w:rPr>
          <w:bCs/>
          <w:lang w:val="es-ES_tradnl"/>
        </w:rPr>
      </w:pPr>
    </w:p>
    <w:p w:rsidRPr="007F6380" w:rsidR="007F6380" w:rsidP="007F6380" w:rsidRDefault="007F6380" w14:paraId="41250CE1" w14:textId="77777777">
      <w:pPr>
        <w:spacing w:after="0" w:line="360" w:lineRule="auto"/>
        <w:ind w:left="567" w:right="567"/>
        <w:rPr>
          <w:bCs/>
          <w:i/>
          <w:sz w:val="20"/>
          <w:szCs w:val="20"/>
          <w:lang w:val="es-ES_tradnl"/>
        </w:rPr>
      </w:pPr>
      <w:r w:rsidRPr="007F6380">
        <w:rPr>
          <w:bCs/>
          <w:i/>
          <w:sz w:val="20"/>
          <w:szCs w:val="20"/>
          <w:lang w:val="es-ES_tradnl"/>
        </w:rPr>
        <w:t>“…</w:t>
      </w:r>
    </w:p>
    <w:p w:rsidRPr="007F6380" w:rsidR="007F6380" w:rsidP="007F6380" w:rsidRDefault="007F6380" w14:paraId="456BEA81" w14:textId="77777777">
      <w:pPr>
        <w:spacing w:after="0" w:line="360" w:lineRule="auto"/>
        <w:ind w:left="567" w:right="567"/>
        <w:rPr>
          <w:bCs/>
          <w:i/>
          <w:sz w:val="20"/>
          <w:szCs w:val="20"/>
          <w:lang w:val="es-ES_tradnl"/>
        </w:rPr>
      </w:pPr>
      <w:r w:rsidRPr="007F6380">
        <w:rPr>
          <w:bCs/>
          <w:i/>
          <w:sz w:val="20"/>
          <w:szCs w:val="20"/>
          <w:lang w:val="es-ES_tradnl"/>
        </w:rPr>
        <w:t>A foja ocho, se aprecia un cuadro en que se detalla el año, concepto y monto, por el cual la Comisión Ejecutiva de Atención a Víctimas, del Estado de México, a través del fondo de ayuda asistencia y reparación integral, llevó a cabo, el pago por concepto de compensación subsidiaria, a víctimas y/o ofendidos , sin desglosar, el delito por el cuál fue pagado dicho concepto, que fue lo que realmente solicité: ¿por qué delitos y por cuánto han sido compensadas las víctimas u ofendidos, desde la creación de la CEAV del Edo. de Méx.? Omitiendo dicho detalle, el informe en cuestión.</w:t>
      </w:r>
    </w:p>
    <w:p w:rsidRPr="007F6380" w:rsidR="007F6380" w:rsidP="007F6380" w:rsidRDefault="007F6380" w14:paraId="58103DBD" w14:textId="77777777">
      <w:pPr>
        <w:spacing w:after="0" w:line="360" w:lineRule="auto"/>
        <w:ind w:left="567" w:right="567"/>
        <w:rPr>
          <w:i/>
          <w:sz w:val="20"/>
          <w:szCs w:val="20"/>
        </w:rPr>
      </w:pPr>
      <w:r w:rsidRPr="007F6380">
        <w:rPr>
          <w:i/>
          <w:sz w:val="20"/>
          <w:szCs w:val="20"/>
        </w:rPr>
        <w:t xml:space="preserve">…” (Sic) </w:t>
      </w:r>
    </w:p>
    <w:p w:rsidR="007F6380" w:rsidP="00D33E1E" w:rsidRDefault="007F6380" w14:paraId="021D6490" w14:textId="77777777">
      <w:pPr>
        <w:spacing w:after="0" w:line="360" w:lineRule="auto"/>
      </w:pPr>
    </w:p>
    <w:p w:rsidR="002A1E66" w:rsidP="00D33E1E" w:rsidRDefault="002A1E66" w14:paraId="3CA7A72E" w14:textId="77777777">
      <w:pPr>
        <w:spacing w:after="0" w:line="360" w:lineRule="auto"/>
      </w:pPr>
      <w:r>
        <w:t xml:space="preserve">A su apartado de manifestaciones, la Recurrente anexo los oficios de respuesta del Sujeto Obligado descritos en el Antecedente II. </w:t>
      </w:r>
    </w:p>
    <w:p w:rsidRPr="002A1E66" w:rsidR="002A1E66" w:rsidP="00D33E1E" w:rsidRDefault="002A1E66" w14:paraId="06C55267" w14:textId="77777777">
      <w:pPr>
        <w:spacing w:after="0" w:line="360" w:lineRule="auto"/>
      </w:pPr>
    </w:p>
    <w:p w:rsidRPr="00683249" w:rsidR="00D33E1E" w:rsidP="00D33E1E" w:rsidRDefault="007F6380" w14:paraId="5AF6F6DC" w14:textId="77777777">
      <w:pPr>
        <w:spacing w:after="0" w:line="360" w:lineRule="auto"/>
        <w:rPr>
          <w:bCs/>
        </w:rPr>
      </w:pPr>
      <w:r>
        <w:rPr>
          <w:b/>
        </w:rPr>
        <w:t xml:space="preserve">d) </w:t>
      </w:r>
      <w:r w:rsidRPr="00987D1A" w:rsidR="00D33E1E">
        <w:rPr>
          <w:b/>
        </w:rPr>
        <w:t xml:space="preserve">Informe Justificado. </w:t>
      </w:r>
      <w:r w:rsidRPr="00987D1A" w:rsidR="00D33E1E">
        <w:rPr>
          <w:bCs/>
        </w:rPr>
        <w:t xml:space="preserve">El </w:t>
      </w:r>
      <w:r w:rsidR="00683249">
        <w:rPr>
          <w:bCs/>
        </w:rPr>
        <w:t>veintiuno de octubre de dos mil veintidós</w:t>
      </w:r>
      <w:r w:rsidRPr="00987D1A" w:rsidR="00D33E1E">
        <w:rPr>
          <w:bCs/>
        </w:rPr>
        <w:t xml:space="preserve">, el Sujeto Obligado rindió su Informe Justificado, </w:t>
      </w:r>
      <w:r w:rsidRPr="00987D1A" w:rsidR="00D33E1E">
        <w:rPr>
          <w:bCs/>
          <w:lang w:val="es-ES_tradnl"/>
        </w:rPr>
        <w:t xml:space="preserve">a través del Sistema de Acceso a la Información Mexiquense (SAIMEX), presentando los siguientes documentos: </w:t>
      </w:r>
    </w:p>
    <w:p w:rsidR="00D33E1E" w:rsidP="00D33E1E" w:rsidRDefault="00D33E1E" w14:paraId="4F692DAA" w14:textId="77777777">
      <w:pPr>
        <w:spacing w:after="0" w:line="360" w:lineRule="auto"/>
        <w:rPr>
          <w:bCs/>
          <w:lang w:val="es-ES_tradnl"/>
        </w:rPr>
      </w:pPr>
    </w:p>
    <w:p w:rsidRPr="00B63153" w:rsidR="00C53CFA" w:rsidP="00B63153" w:rsidRDefault="00C53CFA" w14:paraId="1109A123" w14:textId="77777777">
      <w:pPr>
        <w:spacing w:after="0" w:line="360" w:lineRule="auto"/>
        <w:ind w:left="567" w:right="567"/>
        <w:rPr>
          <w:bCs/>
          <w:i/>
          <w:sz w:val="20"/>
          <w:szCs w:val="20"/>
          <w:lang w:val="es-ES_tradnl"/>
        </w:rPr>
      </w:pPr>
      <w:r w:rsidRPr="00B63153">
        <w:rPr>
          <w:bCs/>
          <w:i/>
          <w:sz w:val="20"/>
          <w:szCs w:val="20"/>
          <w:lang w:val="es-ES_tradnl"/>
        </w:rPr>
        <w:t>“…</w:t>
      </w:r>
    </w:p>
    <w:p w:rsidRPr="00B63153" w:rsidR="00C53CFA" w:rsidP="00B63153" w:rsidRDefault="00C53CFA" w14:paraId="39776F0B" w14:textId="77777777">
      <w:pPr>
        <w:spacing w:after="0" w:line="360" w:lineRule="auto"/>
        <w:ind w:left="567" w:right="567"/>
        <w:rPr>
          <w:bCs/>
          <w:i/>
          <w:sz w:val="20"/>
          <w:szCs w:val="20"/>
          <w:lang w:val="es-ES_tradnl"/>
        </w:rPr>
      </w:pPr>
      <w:r w:rsidRPr="00B63153">
        <w:rPr>
          <w:bCs/>
          <w:i/>
          <w:sz w:val="20"/>
          <w:szCs w:val="20"/>
          <w:lang w:val="es-ES_tradnl"/>
        </w:rPr>
        <w:t xml:space="preserve">Como usted podrá corroborar en la respuesta que esta Unidad de Transparencia le otorgo al ahora Recurrente, a través del oficio SJDH/UIPPE/1835/2022, de fecha 12 de octubre de 2022, se le hizo del conocimiento el monto pagado de los servicios de apoyo que brinda la Comisión Ejecutiva de Atención a Víctimas, a través del Fondo de Ayuda, Asistencia y Reparación Integral, a las víctimas u ofendidos del delito del año 2016 a 2022, es importante referir que este Sujeto Obligado le entregó lo que obra en sus archivos. </w:t>
      </w:r>
    </w:p>
    <w:p w:rsidRPr="00B63153" w:rsidR="00C53CFA" w:rsidP="00B63153" w:rsidRDefault="00C53CFA" w14:paraId="35EBBCBB" w14:textId="77777777">
      <w:pPr>
        <w:spacing w:after="0" w:line="360" w:lineRule="auto"/>
        <w:ind w:left="567" w:right="567"/>
        <w:rPr>
          <w:bCs/>
          <w:i/>
          <w:sz w:val="20"/>
          <w:szCs w:val="20"/>
          <w:lang w:val="es-ES_tradnl"/>
        </w:rPr>
      </w:pPr>
    </w:p>
    <w:p w:rsidRPr="00B63153" w:rsidR="00C53CFA" w:rsidP="00B63153" w:rsidRDefault="00C53CFA" w14:paraId="2FB43391" w14:textId="77777777">
      <w:pPr>
        <w:spacing w:after="0" w:line="360" w:lineRule="auto"/>
        <w:ind w:left="567" w:right="567"/>
        <w:rPr>
          <w:bCs/>
          <w:i/>
          <w:sz w:val="20"/>
          <w:szCs w:val="20"/>
          <w:lang w:val="es-ES_tradnl"/>
        </w:rPr>
      </w:pPr>
      <w:r w:rsidRPr="00B63153">
        <w:rPr>
          <w:bCs/>
          <w:i/>
          <w:sz w:val="20"/>
          <w:szCs w:val="20"/>
          <w:lang w:val="es-ES_tradnl"/>
        </w:rPr>
        <w:t xml:space="preserve">Sin embargo, privilegiando el principio de máxima publicidad, se informan los delitos de manera general por los que se han erogado recursos por compensación subsidiaria como parte de la reparación del daño a las víctimas y ofendidos, siendo los siguientes: </w:t>
      </w:r>
    </w:p>
    <w:p w:rsidRPr="00B63153" w:rsidR="00C53CFA" w:rsidP="00B63153" w:rsidRDefault="00C53CFA" w14:paraId="2F2B0F27" w14:textId="77777777">
      <w:pPr>
        <w:spacing w:after="0" w:line="360" w:lineRule="auto"/>
        <w:ind w:left="567" w:right="567"/>
        <w:rPr>
          <w:bCs/>
          <w:i/>
          <w:sz w:val="20"/>
          <w:szCs w:val="20"/>
          <w:lang w:val="es-ES_tradnl"/>
        </w:rPr>
      </w:pPr>
    </w:p>
    <w:p w:rsidR="00B63153" w:rsidP="00B63153" w:rsidRDefault="00C53CFA" w14:paraId="21F11DF7"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Abuso sexual</w:t>
      </w:r>
    </w:p>
    <w:p w:rsidR="00B63153" w:rsidP="00B63153" w:rsidRDefault="00C53CFA" w14:paraId="3A175B8E"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Homicidio</w:t>
      </w:r>
    </w:p>
    <w:p w:rsidR="00B63153" w:rsidP="00B63153" w:rsidRDefault="00C53CFA" w14:paraId="2D2033B9"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Homicidio calificado</w:t>
      </w:r>
    </w:p>
    <w:p w:rsidR="00B63153" w:rsidP="00B63153" w:rsidRDefault="00C53CFA" w14:paraId="476D1194"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 xml:space="preserve">Homicidio doloso </w:t>
      </w:r>
    </w:p>
    <w:p w:rsidR="00B63153" w:rsidP="00B63153" w:rsidRDefault="00C53CFA" w14:paraId="3E483EA5"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Homicidio simple intencional</w:t>
      </w:r>
    </w:p>
    <w:p w:rsidR="00B63153" w:rsidP="00B63153" w:rsidRDefault="00C53CFA" w14:paraId="74981EA6"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Robo con modificativa agravante por haberse causado muerte</w:t>
      </w:r>
    </w:p>
    <w:p w:rsidR="00B63153" w:rsidP="00B63153" w:rsidRDefault="00C53CFA" w14:paraId="0ADCB6ED"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 xml:space="preserve">Secuestro </w:t>
      </w:r>
    </w:p>
    <w:p w:rsidR="00B63153" w:rsidP="00B63153" w:rsidRDefault="00C53CFA" w14:paraId="506255DF"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 xml:space="preserve">Violación </w:t>
      </w:r>
    </w:p>
    <w:p w:rsidR="00B63153" w:rsidP="00B63153" w:rsidRDefault="00C53CFA" w14:paraId="6785398E"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Violación equiparada</w:t>
      </w:r>
    </w:p>
    <w:p w:rsidR="00B63153" w:rsidP="00B63153" w:rsidRDefault="00C53CFA" w14:paraId="7CFDEBDA"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 xml:space="preserve">Violación con modificativa </w:t>
      </w:r>
    </w:p>
    <w:p w:rsidR="00B63153" w:rsidP="00B63153" w:rsidRDefault="00C53CFA" w14:paraId="344E0049"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 xml:space="preserve">Desaparición de persona </w:t>
      </w:r>
    </w:p>
    <w:p w:rsidR="00B63153" w:rsidP="00B63153" w:rsidRDefault="00C53CFA" w14:paraId="2F6DAE30"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Lesiones</w:t>
      </w:r>
    </w:p>
    <w:p w:rsidRPr="00B63153" w:rsidR="00C53CFA" w:rsidP="00B63153" w:rsidRDefault="00C53CFA" w14:paraId="1DC02DB9" w14:textId="77777777">
      <w:pPr>
        <w:pStyle w:val="Prrafodelista"/>
        <w:numPr>
          <w:ilvl w:val="0"/>
          <w:numId w:val="5"/>
        </w:numPr>
        <w:spacing w:line="360" w:lineRule="auto"/>
        <w:ind w:left="993" w:right="567"/>
        <w:rPr>
          <w:bCs/>
          <w:i/>
          <w:sz w:val="20"/>
          <w:szCs w:val="20"/>
          <w:lang w:val="es-ES_tradnl"/>
        </w:rPr>
      </w:pPr>
      <w:r w:rsidRPr="00B63153">
        <w:rPr>
          <w:bCs/>
          <w:i/>
          <w:sz w:val="20"/>
          <w:szCs w:val="20"/>
          <w:lang w:val="es-ES_tradnl"/>
        </w:rPr>
        <w:t>Feminicidio</w:t>
      </w:r>
    </w:p>
    <w:p w:rsidRPr="00B63153" w:rsidR="00C53CFA" w:rsidP="00B63153" w:rsidRDefault="00C53CFA" w14:paraId="70A6D437" w14:textId="77777777">
      <w:pPr>
        <w:spacing w:after="0" w:line="360" w:lineRule="auto"/>
        <w:ind w:left="567" w:right="567"/>
        <w:rPr>
          <w:bCs/>
          <w:i/>
          <w:sz w:val="20"/>
          <w:szCs w:val="20"/>
          <w:lang w:val="es-ES_tradnl"/>
        </w:rPr>
      </w:pPr>
    </w:p>
    <w:p w:rsidRPr="00B63153" w:rsidR="00C53CFA" w:rsidP="00B63153" w:rsidRDefault="002A7984" w14:paraId="4B284328" w14:textId="77777777">
      <w:pPr>
        <w:spacing w:after="0" w:line="360" w:lineRule="auto"/>
        <w:ind w:left="567" w:right="567"/>
        <w:rPr>
          <w:bCs/>
          <w:i/>
          <w:sz w:val="20"/>
          <w:szCs w:val="20"/>
          <w:lang w:val="es-ES_tradnl"/>
        </w:rPr>
      </w:pPr>
      <w:r w:rsidRPr="00B63153">
        <w:rPr>
          <w:bCs/>
          <w:i/>
          <w:sz w:val="20"/>
          <w:szCs w:val="20"/>
          <w:lang w:val="es-ES_tradnl"/>
        </w:rPr>
        <w:t>Por lo antes expuesto, C. Comisionado Ponente del Instituto de Transparencia, Acceso a la Información Pública y Protección de Datos Personales del Estado de México y Municipios, atentamente solicito:</w:t>
      </w:r>
    </w:p>
    <w:p w:rsidRPr="00B63153" w:rsidR="002A7984" w:rsidP="00B63153" w:rsidRDefault="002A7984" w14:paraId="62A53510" w14:textId="77777777">
      <w:pPr>
        <w:spacing w:after="0" w:line="360" w:lineRule="auto"/>
        <w:ind w:left="567" w:right="567"/>
        <w:rPr>
          <w:bCs/>
          <w:i/>
          <w:sz w:val="20"/>
          <w:szCs w:val="20"/>
          <w:lang w:val="es-ES_tradnl"/>
        </w:rPr>
      </w:pPr>
    </w:p>
    <w:p w:rsidRPr="00B63153" w:rsidR="00B63153" w:rsidP="00E94B00" w:rsidRDefault="002A7984" w14:paraId="2D485128" w14:textId="26AA3505">
      <w:pPr>
        <w:spacing w:after="0" w:line="360" w:lineRule="auto"/>
        <w:ind w:left="567" w:right="567"/>
        <w:rPr>
          <w:bCs/>
          <w:i/>
          <w:sz w:val="20"/>
          <w:szCs w:val="20"/>
          <w:lang w:val="es-ES_tradnl"/>
        </w:rPr>
      </w:pPr>
      <w:r w:rsidRPr="00B63153">
        <w:rPr>
          <w:bCs/>
          <w:i/>
          <w:sz w:val="20"/>
          <w:szCs w:val="20"/>
          <w:lang w:val="es-ES_tradnl"/>
        </w:rPr>
        <w:t xml:space="preserve">PRIMERO.- Dejar sin efectos </w:t>
      </w:r>
      <w:r w:rsidRPr="00B63153" w:rsidR="00B63153">
        <w:rPr>
          <w:bCs/>
          <w:i/>
          <w:sz w:val="20"/>
          <w:szCs w:val="20"/>
          <w:lang w:val="es-ES_tradnl"/>
        </w:rPr>
        <w:t>el Recurso de Revisión presentado por el recurrente.</w:t>
      </w:r>
    </w:p>
    <w:p w:rsidRPr="00B63153" w:rsidR="00B63153" w:rsidP="00E94B00" w:rsidRDefault="00B63153" w14:paraId="1A62042C" w14:textId="493F90FE">
      <w:pPr>
        <w:spacing w:after="0" w:line="360" w:lineRule="auto"/>
        <w:ind w:left="567" w:right="567"/>
        <w:rPr>
          <w:bCs/>
          <w:i/>
          <w:sz w:val="20"/>
          <w:szCs w:val="20"/>
          <w:lang w:val="es-ES_tradnl"/>
        </w:rPr>
      </w:pPr>
      <w:r w:rsidRPr="00B63153">
        <w:rPr>
          <w:bCs/>
          <w:i/>
          <w:sz w:val="20"/>
          <w:szCs w:val="20"/>
          <w:lang w:val="es-ES_tradnl"/>
        </w:rPr>
        <w:t>SEGUNDA.- Tenerme por presentada en tiempo y forma, en términos del presente ocurso.</w:t>
      </w:r>
    </w:p>
    <w:p w:rsidRPr="00B63153" w:rsidR="00B63153" w:rsidP="00E94B00" w:rsidRDefault="00B63153" w14:paraId="62423476" w14:textId="7850A7BA">
      <w:pPr>
        <w:spacing w:after="0" w:line="360" w:lineRule="auto"/>
        <w:ind w:left="567" w:right="567"/>
        <w:rPr>
          <w:bCs/>
          <w:i/>
          <w:sz w:val="20"/>
          <w:szCs w:val="20"/>
          <w:lang w:val="es-ES_tradnl"/>
        </w:rPr>
      </w:pPr>
      <w:r w:rsidRPr="00B63153">
        <w:rPr>
          <w:bCs/>
          <w:i/>
          <w:sz w:val="20"/>
          <w:szCs w:val="20"/>
          <w:lang w:val="es-ES_tradnl"/>
        </w:rPr>
        <w:t>TERCERA.- Tener a bien resolver con base a los argumentos aquí formulados.</w:t>
      </w:r>
    </w:p>
    <w:p w:rsidRPr="00B63153" w:rsidR="00B63153" w:rsidP="00B63153" w:rsidRDefault="00B63153" w14:paraId="20E38EBA" w14:textId="77777777">
      <w:pPr>
        <w:spacing w:after="0" w:line="360" w:lineRule="auto"/>
        <w:ind w:left="567" w:right="567"/>
        <w:rPr>
          <w:bCs/>
          <w:i/>
          <w:sz w:val="20"/>
          <w:szCs w:val="20"/>
          <w:lang w:val="es-ES_tradnl"/>
        </w:rPr>
      </w:pPr>
      <w:r w:rsidRPr="00B63153">
        <w:rPr>
          <w:bCs/>
          <w:i/>
          <w:sz w:val="20"/>
          <w:szCs w:val="20"/>
          <w:lang w:val="es-ES_tradnl"/>
        </w:rPr>
        <w:t xml:space="preserve">…” (Sic) </w:t>
      </w:r>
    </w:p>
    <w:p w:rsidR="00B63153" w:rsidP="00C53CFA" w:rsidRDefault="00B63153" w14:paraId="54E732B6" w14:textId="77777777">
      <w:pPr>
        <w:spacing w:after="0" w:line="360" w:lineRule="auto"/>
        <w:rPr>
          <w:bCs/>
          <w:lang w:val="es-ES_tradnl"/>
        </w:rPr>
      </w:pPr>
    </w:p>
    <w:p w:rsidRPr="00987D1A" w:rsidR="00EC375F" w:rsidP="00EC375F" w:rsidRDefault="00EC375F" w14:paraId="44915259" w14:textId="77777777">
      <w:pPr>
        <w:spacing w:after="0" w:line="360" w:lineRule="auto"/>
        <w:rPr>
          <w:rFonts w:cs="Tahoma"/>
        </w:rPr>
      </w:pPr>
      <w:r w:rsidRPr="00987D1A">
        <w:rPr>
          <w:rFonts w:cs="Tahoma"/>
          <w:b/>
          <w:bCs/>
        </w:rPr>
        <w:t xml:space="preserve">e) Vista del Informe Justificado: </w:t>
      </w:r>
      <w:r w:rsidRPr="00987D1A">
        <w:rPr>
          <w:rFonts w:cs="Tahoma"/>
        </w:rPr>
        <w:t xml:space="preserve">El </w:t>
      </w:r>
      <w:r w:rsidRPr="00EC375F">
        <w:rPr>
          <w:rFonts w:cs="Tahoma"/>
        </w:rPr>
        <w:t>diez de noviembre de dos mil veintidós</w:t>
      </w:r>
      <w:r w:rsidRPr="00987D1A">
        <w:rPr>
          <w:rFonts w:cs="Tahoma"/>
        </w:rPr>
        <w:t xml:space="preserve">, se dictó acuerdo, por medio del cual </w:t>
      </w:r>
      <w:r w:rsidRPr="00987D1A">
        <w:rPr>
          <w:rFonts w:cs="Tahoma"/>
          <w:b/>
        </w:rPr>
        <w:t>se puso a la vista del Recurrente el Informe Justificado y sus anexos</w:t>
      </w:r>
      <w:r w:rsidRPr="00987D1A">
        <w:rPr>
          <w:rFonts w:cs="Tahoma"/>
        </w:rPr>
        <w:t>, entregados por el Sujeto Obligado, a fin de que en un término no mayor a tres días hábiles manifestará lo que a derecho corresponda, acto que fue notificado</w:t>
      </w:r>
      <w:r w:rsidRPr="00987D1A">
        <w:rPr>
          <w:rFonts w:eastAsia="Palatino Linotype" w:cs="Palatino Linotype"/>
          <w:lang w:val="es-ES"/>
        </w:rPr>
        <w:t xml:space="preserve"> mediante el Sistema de Acceso a la Información Mexiquense (SAIMEX).</w:t>
      </w:r>
    </w:p>
    <w:p w:rsidR="00EC375F" w:rsidP="00C53CFA" w:rsidRDefault="00EC375F" w14:paraId="1610FF32" w14:textId="77777777">
      <w:pPr>
        <w:spacing w:after="0" w:line="360" w:lineRule="auto"/>
        <w:rPr>
          <w:bCs/>
          <w:lang w:val="es-ES_tradnl"/>
        </w:rPr>
      </w:pPr>
    </w:p>
    <w:p w:rsidRPr="00987D1A" w:rsidR="00D33E1E" w:rsidP="00D33E1E" w:rsidRDefault="00EC375F" w14:paraId="251AD2FE" w14:textId="77777777">
      <w:pPr>
        <w:spacing w:after="0" w:line="360" w:lineRule="auto"/>
        <w:rPr>
          <w:rFonts w:eastAsia="Palatino Linotype" w:cs="Palatino Linotype"/>
          <w:lang w:val="es-ES"/>
        </w:rPr>
      </w:pPr>
      <w:r>
        <w:rPr>
          <w:rFonts w:eastAsia="Palatino Linotype" w:cs="Palatino Linotype"/>
          <w:b/>
          <w:bCs/>
          <w:lang w:val="es-ES"/>
        </w:rPr>
        <w:t>f</w:t>
      </w:r>
      <w:r w:rsidRPr="00987D1A" w:rsidR="00D33E1E">
        <w:rPr>
          <w:rFonts w:eastAsia="Palatino Linotype" w:cs="Palatino Linotype"/>
          <w:b/>
          <w:bCs/>
          <w:lang w:val="es-ES"/>
        </w:rPr>
        <w:t xml:space="preserve">) Ampliación de plazo para resolver. </w:t>
      </w:r>
      <w:r w:rsidRPr="00987D1A" w:rsidR="00D33E1E">
        <w:rPr>
          <w:rFonts w:eastAsia="Palatino Linotype" w:cs="Palatino Linotype"/>
          <w:lang w:val="es-ES"/>
        </w:rPr>
        <w:t xml:space="preserve">El </w:t>
      </w:r>
      <w:r w:rsidR="000818EB">
        <w:rPr>
          <w:rFonts w:eastAsia="Palatino Linotype" w:cs="Palatino Linotype"/>
          <w:lang w:val="es-ES"/>
        </w:rPr>
        <w:t>treinta de noviembre</w:t>
      </w:r>
      <w:r w:rsidRPr="00987D1A" w:rsidR="00D33E1E">
        <w:rPr>
          <w:rFonts w:eastAsia="Palatino Linotype" w:cs="Palatino Linotype"/>
          <w:lang w:val="es-ES"/>
        </w:rPr>
        <w:t xml:space="preserve"> de dos mil veintidós, </w:t>
      </w:r>
      <w:r w:rsidRPr="00987D1A" w:rsidR="00D33E1E">
        <w:rPr>
          <w:rFonts w:eastAsia="Palatino Linotype" w:cs="Palatino Linotype"/>
          <w:color w:val="auto"/>
          <w:lang w:val="es-ES" w:eastAsia="es-MX"/>
        </w:rPr>
        <w:t>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987D1A" w:rsidR="00D33E1E" w:rsidP="00D33E1E" w:rsidRDefault="00D33E1E" w14:paraId="111D2C19" w14:textId="77777777">
      <w:pPr>
        <w:spacing w:after="0" w:line="360" w:lineRule="auto"/>
        <w:rPr>
          <w:rFonts w:eastAsia="Palatino Linotype" w:cs="Palatino Linotype"/>
          <w:b/>
          <w:bCs/>
          <w:color w:val="auto"/>
          <w:lang w:eastAsia="es-MX"/>
        </w:rPr>
      </w:pPr>
    </w:p>
    <w:p w:rsidRPr="00987D1A" w:rsidR="00D33E1E" w:rsidP="00D33E1E" w:rsidRDefault="00D33E1E" w14:paraId="27317C0C"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987D1A" w:rsidR="00D33E1E" w:rsidP="00D33E1E" w:rsidRDefault="00D33E1E" w14:paraId="30709E58" w14:textId="77777777">
      <w:pPr>
        <w:spacing w:after="0" w:line="360" w:lineRule="auto"/>
        <w:rPr>
          <w:rFonts w:eastAsia="Palatino Linotype" w:cs="Palatino Linotype"/>
          <w:color w:val="auto"/>
          <w:lang w:eastAsia="es-MX"/>
        </w:rPr>
      </w:pPr>
    </w:p>
    <w:p w:rsidRPr="00987D1A" w:rsidR="00D33E1E" w:rsidP="00D33E1E" w:rsidRDefault="00D33E1E" w14:paraId="6B776278"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 xml:space="preserve">Por ello, es menester precisar que, si bien se ha excedido el plazo para resolver el presente medio de impugnación, de conformidad con la ley de la materia, el plazo para emitir resolución </w:t>
      </w:r>
      <w:r w:rsidRPr="00987D1A">
        <w:rPr>
          <w:rFonts w:eastAsia="Palatino Linotype" w:cs="Palatino Linotype"/>
          <w:color w:val="auto"/>
          <w:lang w:eastAsia="es-MX"/>
        </w:rPr>
        <w:lastRenderedPageBreak/>
        <w:t>se encuentra justificado en los elementos para medir su razonabilidad de asuntos conforme a los parámetros establecidos por diversos órganos jurisdiccionales federales, aplicables también en procedimientos análogos, como el que nos ocupa.</w:t>
      </w:r>
    </w:p>
    <w:p w:rsidRPr="00987D1A" w:rsidR="00D33E1E" w:rsidP="00D33E1E" w:rsidRDefault="00D33E1E" w14:paraId="5E0980E4" w14:textId="77777777">
      <w:pPr>
        <w:spacing w:after="0" w:line="360" w:lineRule="auto"/>
        <w:rPr>
          <w:rFonts w:eastAsia="Palatino Linotype" w:cs="Palatino Linotype"/>
          <w:color w:val="auto"/>
          <w:lang w:eastAsia="es-MX"/>
        </w:rPr>
      </w:pPr>
    </w:p>
    <w:p w:rsidRPr="00987D1A" w:rsidR="00D33E1E" w:rsidP="00D33E1E" w:rsidRDefault="00D33E1E" w14:paraId="2DA288DD"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987D1A" w:rsidR="00D33E1E" w:rsidP="00D33E1E" w:rsidRDefault="00D33E1E" w14:paraId="4F695E8D" w14:textId="77777777">
      <w:pPr>
        <w:spacing w:after="0" w:line="360" w:lineRule="auto"/>
        <w:rPr>
          <w:rFonts w:eastAsia="Palatino Linotype" w:cs="Palatino Linotype"/>
          <w:color w:val="auto"/>
          <w:lang w:eastAsia="es-MX"/>
        </w:rPr>
      </w:pPr>
    </w:p>
    <w:p w:rsidRPr="00987D1A" w:rsidR="00D33E1E" w:rsidP="00D33E1E" w:rsidRDefault="00D33E1E" w14:paraId="185D2004"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987D1A" w:rsidR="00D33E1E" w:rsidP="00D33E1E" w:rsidRDefault="00D33E1E" w14:paraId="47A1F64B" w14:textId="77777777">
      <w:pPr>
        <w:spacing w:after="0" w:line="360" w:lineRule="auto"/>
        <w:rPr>
          <w:rFonts w:eastAsia="Palatino Linotype" w:cs="Palatino Linotype"/>
          <w:color w:val="auto"/>
          <w:lang w:eastAsia="es-MX"/>
        </w:rPr>
      </w:pPr>
    </w:p>
    <w:p w:rsidRPr="00987D1A" w:rsidR="00D33E1E" w:rsidP="00D33E1E" w:rsidRDefault="00D33E1E" w14:paraId="2B7287F8"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rsidRPr="00987D1A" w:rsidR="00D33E1E" w:rsidP="00D33E1E" w:rsidRDefault="00D33E1E" w14:paraId="63D6FE12" w14:textId="77777777">
      <w:pPr>
        <w:spacing w:after="0" w:line="360" w:lineRule="auto"/>
        <w:rPr>
          <w:rFonts w:eastAsia="Palatino Linotype" w:cs="Palatino Linotype"/>
          <w:color w:val="auto"/>
          <w:lang w:eastAsia="es-MX"/>
        </w:rPr>
      </w:pPr>
    </w:p>
    <w:p w:rsidRPr="00987D1A" w:rsidR="00D33E1E" w:rsidP="00E94B00" w:rsidRDefault="00D33E1E" w14:paraId="49DDF598" w14:textId="77777777">
      <w:pPr>
        <w:numPr>
          <w:ilvl w:val="0"/>
          <w:numId w:val="2"/>
        </w:numPr>
        <w:spacing w:after="0" w:line="360" w:lineRule="auto"/>
        <w:rPr>
          <w:rFonts w:eastAsia="Palatino Linotype" w:cs="Palatino Linotype"/>
          <w:color w:val="auto"/>
          <w:lang w:eastAsia="es-MX"/>
        </w:rPr>
      </w:pPr>
      <w:r w:rsidRPr="00987D1A">
        <w:rPr>
          <w:rFonts w:eastAsia="Palatino Linotype" w:cs="Palatino Linotype"/>
          <w:b/>
          <w:bCs/>
          <w:color w:val="auto"/>
          <w:lang w:eastAsia="es-MX"/>
        </w:rPr>
        <w:t>Complejidad del asunto:</w:t>
      </w:r>
      <w:r w:rsidRPr="00987D1A">
        <w:rPr>
          <w:rFonts w:eastAsia="Palatino Linotype" w:cs="Palatino Linotype"/>
          <w:color w:val="auto"/>
          <w:lang w:eastAsia="es-MX"/>
        </w:rPr>
        <w:t xml:space="preserve"> La complejidad de la prueba, la pluralidad de sujetos procesales, el tiempo transcurrido, las características y contexto del recurso.</w:t>
      </w:r>
    </w:p>
    <w:p w:rsidRPr="00987D1A" w:rsidR="00D33E1E" w:rsidP="00E94B00" w:rsidRDefault="00D33E1E" w14:paraId="6323A820" w14:textId="77777777">
      <w:pPr>
        <w:spacing w:after="0" w:line="360" w:lineRule="auto"/>
        <w:rPr>
          <w:rFonts w:eastAsia="Palatino Linotype" w:cs="Palatino Linotype"/>
          <w:color w:val="auto"/>
          <w:lang w:eastAsia="es-MX"/>
        </w:rPr>
      </w:pPr>
    </w:p>
    <w:p w:rsidRPr="00987D1A" w:rsidR="00D33E1E" w:rsidP="00E94B00" w:rsidRDefault="00D33E1E" w14:paraId="69F5C0A5" w14:textId="77777777">
      <w:pPr>
        <w:numPr>
          <w:ilvl w:val="0"/>
          <w:numId w:val="2"/>
        </w:numPr>
        <w:spacing w:after="0" w:line="360" w:lineRule="auto"/>
        <w:rPr>
          <w:rFonts w:eastAsia="Palatino Linotype" w:cs="Palatino Linotype"/>
          <w:color w:val="auto"/>
          <w:lang w:eastAsia="es-MX"/>
        </w:rPr>
      </w:pPr>
      <w:r w:rsidRPr="00987D1A">
        <w:rPr>
          <w:rFonts w:eastAsia="Palatino Linotype" w:cs="Palatino Linotype"/>
          <w:b/>
          <w:bCs/>
          <w:color w:val="auto"/>
          <w:lang w:eastAsia="es-MX"/>
        </w:rPr>
        <w:t>Actividad Procesal del interesado:</w:t>
      </w:r>
      <w:r w:rsidRPr="00987D1A">
        <w:rPr>
          <w:rFonts w:eastAsia="Palatino Linotype" w:cs="Palatino Linotype"/>
          <w:color w:val="auto"/>
          <w:lang w:eastAsia="es-MX"/>
        </w:rPr>
        <w:t xml:space="preserve"> Acciones u omisiones del interesado.</w:t>
      </w:r>
    </w:p>
    <w:p w:rsidRPr="00987D1A" w:rsidR="00D33E1E" w:rsidP="00E94B00" w:rsidRDefault="00D33E1E" w14:paraId="13EC5ECC" w14:textId="77777777">
      <w:pPr>
        <w:spacing w:after="0" w:line="360" w:lineRule="auto"/>
        <w:rPr>
          <w:rFonts w:eastAsia="Palatino Linotype" w:cs="Palatino Linotype"/>
          <w:color w:val="auto"/>
          <w:lang w:eastAsia="es-MX"/>
        </w:rPr>
      </w:pPr>
    </w:p>
    <w:p w:rsidRPr="00987D1A" w:rsidR="00D33E1E" w:rsidP="00E94B00" w:rsidRDefault="00D33E1E" w14:paraId="6DFD7E51" w14:textId="77777777">
      <w:pPr>
        <w:numPr>
          <w:ilvl w:val="0"/>
          <w:numId w:val="2"/>
        </w:numPr>
        <w:spacing w:after="0" w:line="360" w:lineRule="auto"/>
        <w:rPr>
          <w:rFonts w:eastAsia="Palatino Linotype" w:cs="Palatino Linotype"/>
          <w:color w:val="auto"/>
          <w:lang w:eastAsia="es-MX"/>
        </w:rPr>
      </w:pPr>
      <w:r w:rsidRPr="00987D1A">
        <w:rPr>
          <w:rFonts w:eastAsia="Palatino Linotype" w:cs="Palatino Linotype"/>
          <w:b/>
          <w:bCs/>
          <w:color w:val="auto"/>
          <w:lang w:eastAsia="es-MX"/>
        </w:rPr>
        <w:t>Conducta de la Autoridad:</w:t>
      </w:r>
      <w:r w:rsidRPr="00987D1A">
        <w:rPr>
          <w:rFonts w:eastAsia="Palatino Linotype" w:cs="Palatino Linotype"/>
          <w:color w:val="auto"/>
          <w:lang w:eastAsia="es-MX"/>
        </w:rPr>
        <w:t xml:space="preserve"> Las Acciones u omisiones realizadas en el procedimiento. Así como si la autoridad actuó con la debida diligencia.</w:t>
      </w:r>
    </w:p>
    <w:p w:rsidRPr="00987D1A" w:rsidR="00D33E1E" w:rsidP="00E94B00" w:rsidRDefault="00D33E1E" w14:paraId="30E3CAD5" w14:textId="77777777">
      <w:pPr>
        <w:spacing w:after="0" w:line="360" w:lineRule="auto"/>
        <w:rPr>
          <w:rFonts w:eastAsia="Palatino Linotype" w:cs="Palatino Linotype"/>
          <w:color w:val="auto"/>
          <w:lang w:eastAsia="es-MX"/>
        </w:rPr>
      </w:pPr>
    </w:p>
    <w:p w:rsidRPr="00987D1A" w:rsidR="00D33E1E" w:rsidP="00E94B00" w:rsidRDefault="00D33E1E" w14:paraId="2DE92C51" w14:textId="77777777">
      <w:pPr>
        <w:numPr>
          <w:ilvl w:val="0"/>
          <w:numId w:val="2"/>
        </w:numPr>
        <w:spacing w:after="0" w:line="360" w:lineRule="auto"/>
        <w:rPr>
          <w:rFonts w:eastAsia="Palatino Linotype" w:cs="Palatino Linotype"/>
          <w:color w:val="auto"/>
          <w:lang w:eastAsia="es-MX"/>
        </w:rPr>
      </w:pPr>
      <w:r w:rsidRPr="00987D1A">
        <w:rPr>
          <w:rFonts w:eastAsia="Palatino Linotype" w:cs="Palatino Linotype"/>
          <w:b/>
          <w:bCs/>
          <w:color w:val="auto"/>
          <w:lang w:eastAsia="es-MX"/>
        </w:rPr>
        <w:t>La afectación generada en la situación jurídica de la persona involucrada en el proceso:</w:t>
      </w:r>
      <w:r w:rsidRPr="00987D1A">
        <w:rPr>
          <w:rFonts w:eastAsia="Palatino Linotype" w:cs="Palatino Linotype"/>
          <w:color w:val="auto"/>
          <w:lang w:eastAsia="es-MX"/>
        </w:rPr>
        <w:t xml:space="preserve"> Violación a sus derechos humanos.</w:t>
      </w:r>
    </w:p>
    <w:p w:rsidRPr="00987D1A" w:rsidR="00D33E1E" w:rsidP="00D33E1E" w:rsidRDefault="00D33E1E" w14:paraId="6555D838" w14:textId="77777777">
      <w:pPr>
        <w:spacing w:after="0" w:line="360" w:lineRule="auto"/>
        <w:rPr>
          <w:rFonts w:eastAsia="Palatino Linotype" w:cs="Palatino Linotype"/>
          <w:color w:val="auto"/>
          <w:lang w:eastAsia="es-MX"/>
        </w:rPr>
      </w:pPr>
    </w:p>
    <w:p w:rsidRPr="00987D1A" w:rsidR="00D33E1E" w:rsidP="00D33E1E" w:rsidRDefault="00D33E1E" w14:paraId="2954D069"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987D1A" w:rsidR="00D33E1E" w:rsidP="00D33E1E" w:rsidRDefault="00D33E1E" w14:paraId="35CC0D7C" w14:textId="77777777">
      <w:pPr>
        <w:spacing w:after="0" w:line="360" w:lineRule="auto"/>
        <w:rPr>
          <w:rFonts w:eastAsia="Palatino Linotype" w:cs="Palatino Linotype"/>
          <w:color w:val="auto"/>
          <w:lang w:eastAsia="es-MX"/>
        </w:rPr>
      </w:pPr>
    </w:p>
    <w:p w:rsidRPr="00987D1A" w:rsidR="00D33E1E" w:rsidP="00D33E1E" w:rsidRDefault="00D33E1E" w14:paraId="702E1081"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Argumento que encuentra sustento en la jurisprudencia P./J. 32/92 emitida por el Pleno de la Suprema Corte de Justicia de la Nación de rubro “</w:t>
      </w:r>
      <w:r w:rsidRPr="00987D1A">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987D1A">
        <w:rPr>
          <w:rFonts w:eastAsia="Palatino Linotype" w:cs="Palatino Linotype"/>
          <w:color w:val="auto"/>
          <w:lang w:eastAsia="es-MX"/>
        </w:rPr>
        <w:t>.”, visible en la Gaceta del Seminario Judicial de la Federación con el registro digital 205635.</w:t>
      </w:r>
    </w:p>
    <w:p w:rsidRPr="00987D1A" w:rsidR="00D33E1E" w:rsidP="00D33E1E" w:rsidRDefault="00D33E1E" w14:paraId="323C297D" w14:textId="77777777">
      <w:pPr>
        <w:spacing w:after="0" w:line="360" w:lineRule="auto"/>
        <w:rPr>
          <w:rFonts w:eastAsia="Palatino Linotype" w:cs="Palatino Linotype"/>
          <w:color w:val="auto"/>
          <w:lang w:eastAsia="es-MX"/>
        </w:rPr>
      </w:pPr>
    </w:p>
    <w:p w:rsidRPr="00987D1A" w:rsidR="00D33E1E" w:rsidP="00D33E1E" w:rsidRDefault="00D33E1E" w14:paraId="4910675E"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987D1A" w:rsidR="00D33E1E" w:rsidP="00D33E1E" w:rsidRDefault="00D33E1E" w14:paraId="155A5B84" w14:textId="77777777">
      <w:pPr>
        <w:spacing w:after="0" w:line="360" w:lineRule="auto"/>
        <w:rPr>
          <w:rFonts w:eastAsia="Palatino Linotype" w:cs="Palatino Linotype"/>
          <w:color w:val="auto"/>
          <w:lang w:eastAsia="es-MX"/>
        </w:rPr>
      </w:pPr>
    </w:p>
    <w:p w:rsidRPr="00987D1A" w:rsidR="00D33E1E" w:rsidP="00D33E1E" w:rsidRDefault="00D33E1E" w14:paraId="46758CAD"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rsidRPr="00987D1A" w:rsidR="00D33E1E" w:rsidP="00D33E1E" w:rsidRDefault="00D33E1E" w14:paraId="26A2ABC1" w14:textId="77777777">
      <w:pPr>
        <w:spacing w:after="0" w:line="360" w:lineRule="auto"/>
        <w:rPr>
          <w:rFonts w:eastAsia="Palatino Linotype" w:cs="Palatino Linotype"/>
          <w:color w:val="auto"/>
          <w:lang w:eastAsia="es-MX"/>
        </w:rPr>
      </w:pPr>
    </w:p>
    <w:p w:rsidRPr="00987D1A" w:rsidR="00D33E1E" w:rsidP="00D33E1E" w:rsidRDefault="00D33E1E" w14:paraId="49A3DBF6"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w:t>
      </w:r>
      <w:r w:rsidRPr="00987D1A">
        <w:rPr>
          <w:rFonts w:eastAsia="Palatino Linotype" w:cs="Palatino Linotype"/>
          <w:b/>
          <w:bCs/>
          <w:color w:val="auto"/>
          <w:lang w:eastAsia="es-MX"/>
        </w:rPr>
        <w:t>PLAZO RAZONABLE PARA RESOLVER. DIMENSIÓN Y EFECTOS DE ESTE CONCEPTO CUANDO SE ADUCE EXCESIVA CARGA DE TRABAJO</w:t>
      </w:r>
      <w:r w:rsidRPr="00987D1A">
        <w:rPr>
          <w:rFonts w:eastAsia="Palatino Linotype" w:cs="Palatino Linotype"/>
          <w:color w:val="auto"/>
          <w:lang w:eastAsia="es-MX"/>
        </w:rPr>
        <w:t>.” consultable en el Seminario Judicial de la Federación y su gaceta, con el registro digital 2002351.</w:t>
      </w:r>
    </w:p>
    <w:p w:rsidRPr="00987D1A" w:rsidR="00D33E1E" w:rsidP="00D33E1E" w:rsidRDefault="00D33E1E" w14:paraId="2E3A45D5" w14:textId="77777777">
      <w:pPr>
        <w:spacing w:after="0" w:line="360" w:lineRule="auto"/>
        <w:rPr>
          <w:rFonts w:eastAsia="Palatino Linotype" w:cs="Palatino Linotype"/>
          <w:color w:val="auto"/>
          <w:lang w:eastAsia="es-MX"/>
        </w:rPr>
      </w:pPr>
    </w:p>
    <w:p w:rsidRPr="00987D1A" w:rsidR="00D33E1E" w:rsidP="00D33E1E" w:rsidRDefault="00D33E1E" w14:paraId="0C95D193"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w:t>
      </w:r>
      <w:r w:rsidRPr="00987D1A">
        <w:rPr>
          <w:rFonts w:eastAsia="Palatino Linotype" w:cs="Palatino Linotype"/>
          <w:b/>
          <w:bCs/>
          <w:color w:val="auto"/>
          <w:lang w:eastAsia="es-MX"/>
        </w:rPr>
        <w:t>PLAZO RAZONABLE PARA RESOLVER. CONCEPTO Y ELEMENTOS QUE LO INTEGRAN A LA LUZ DEL DERECHO INTERNACIONAL DE LOS DERECHOS HUMANOS</w:t>
      </w:r>
      <w:r w:rsidRPr="00987D1A">
        <w:rPr>
          <w:rFonts w:eastAsia="Palatino Linotype" w:cs="Palatino Linotype"/>
          <w:color w:val="auto"/>
          <w:lang w:eastAsia="es-MX"/>
        </w:rPr>
        <w:t>.”, visible en el Seminario Judicial de la Federación y su gaceta, con el registro digital 2002350.</w:t>
      </w:r>
    </w:p>
    <w:p w:rsidRPr="00987D1A" w:rsidR="00D33E1E" w:rsidP="00D33E1E" w:rsidRDefault="00D33E1E" w14:paraId="6A95BC08" w14:textId="77777777">
      <w:pPr>
        <w:spacing w:after="0" w:line="360" w:lineRule="auto"/>
        <w:rPr>
          <w:rFonts w:eastAsia="Palatino Linotype" w:cs="Palatino Linotype"/>
          <w:color w:val="auto"/>
          <w:lang w:eastAsia="es-MX"/>
        </w:rPr>
      </w:pPr>
    </w:p>
    <w:p w:rsidRPr="00987D1A" w:rsidR="00D33E1E" w:rsidP="00D33E1E" w:rsidRDefault="00D33E1E" w14:paraId="0D5B71A0" w14:textId="77777777">
      <w:pPr>
        <w:spacing w:after="0" w:line="360" w:lineRule="auto"/>
        <w:rPr>
          <w:rFonts w:eastAsia="Palatino Linotype" w:cs="Palatino Linotype"/>
          <w:color w:val="auto"/>
          <w:lang w:eastAsia="es-MX"/>
        </w:rPr>
      </w:pPr>
      <w:r w:rsidRPr="00987D1A">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rsidRPr="00987D1A" w:rsidR="00D33E1E" w:rsidP="00D33E1E" w:rsidRDefault="00D33E1E" w14:paraId="0822BE20" w14:textId="77777777">
      <w:pPr>
        <w:spacing w:after="0" w:line="360" w:lineRule="auto"/>
        <w:rPr>
          <w:rFonts w:eastAsia="Palatino Linotype" w:cs="Palatino Linotype"/>
          <w:b/>
          <w:bCs/>
        </w:rPr>
      </w:pPr>
    </w:p>
    <w:p w:rsidRPr="00987D1A" w:rsidR="00D33E1E" w:rsidP="00D33E1E" w:rsidRDefault="00EC375F" w14:paraId="37E4918A" w14:textId="77777777">
      <w:pPr>
        <w:spacing w:after="0" w:line="360" w:lineRule="auto"/>
        <w:rPr>
          <w:rFonts w:eastAsia="Palatino Linotype" w:cs="Palatino Linotype"/>
          <w:b/>
          <w:bCs/>
        </w:rPr>
      </w:pPr>
      <w:r>
        <w:rPr>
          <w:rFonts w:eastAsia="Times New Roman" w:cs="Tahoma"/>
          <w:b/>
          <w:color w:val="auto"/>
          <w:szCs w:val="24"/>
          <w:lang w:eastAsia="es-ES"/>
        </w:rPr>
        <w:t>g</w:t>
      </w:r>
      <w:r w:rsidRPr="00987D1A" w:rsidR="00D33E1E">
        <w:rPr>
          <w:rFonts w:eastAsia="Times New Roman" w:cs="Tahoma"/>
          <w:b/>
          <w:color w:val="auto"/>
          <w:szCs w:val="24"/>
          <w:lang w:eastAsia="es-ES"/>
        </w:rPr>
        <w:t>) Cierre de instrucción.</w:t>
      </w:r>
      <w:r w:rsidRPr="00987D1A" w:rsidR="00D33E1E">
        <w:rPr>
          <w:rFonts w:eastAsia="Times New Roman" w:cs="Tahoma"/>
          <w:color w:val="auto"/>
          <w:szCs w:val="24"/>
          <w:lang w:eastAsia="es-ES"/>
        </w:rPr>
        <w:t xml:space="preserve"> El </w:t>
      </w:r>
      <w:r w:rsidR="00606096">
        <w:rPr>
          <w:rFonts w:eastAsia="Times New Roman" w:cs="Tahoma"/>
          <w:color w:val="auto"/>
          <w:szCs w:val="24"/>
          <w:lang w:eastAsia="es-ES"/>
        </w:rPr>
        <w:t>primero de febrero</w:t>
      </w:r>
      <w:r w:rsidRPr="00987D1A" w:rsidR="00D33E1E">
        <w:rPr>
          <w:rFonts w:eastAsia="Times New Roman" w:cs="Tahoma"/>
          <w:color w:val="auto"/>
          <w:szCs w:val="24"/>
          <w:lang w:eastAsia="es-ES"/>
        </w:rPr>
        <w:t xml:space="preserve"> de dos mil veintitrés,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987D1A" w:rsidR="00D33E1E">
        <w:rPr>
          <w:rFonts w:eastAsia="Palatino Linotype" w:cs="Palatino Linotype"/>
          <w:lang w:val="es-ES"/>
        </w:rPr>
        <w:t>acto que fue notificado a las partes, mediante el Sistema de Acceso a la Información Mexiquense (SAIMEX), el mismo día.</w:t>
      </w:r>
    </w:p>
    <w:p w:rsidRPr="00987D1A" w:rsidR="00D33E1E" w:rsidP="00D33E1E" w:rsidRDefault="00D33E1E" w14:paraId="56B032A6" w14:textId="77777777">
      <w:pPr>
        <w:spacing w:after="0" w:line="360" w:lineRule="auto"/>
        <w:rPr>
          <w:rFonts w:eastAsia="Times New Roman" w:cs="Tahoma"/>
          <w:color w:val="auto"/>
          <w:szCs w:val="24"/>
          <w:lang w:eastAsia="es-ES"/>
        </w:rPr>
      </w:pPr>
    </w:p>
    <w:p w:rsidRPr="00987D1A" w:rsidR="00D33E1E" w:rsidP="00D33E1E" w:rsidRDefault="00D33E1E" w14:paraId="4093EA23" w14:textId="77777777">
      <w:pPr>
        <w:spacing w:after="0" w:line="360" w:lineRule="auto"/>
        <w:rPr>
          <w:rFonts w:eastAsia="Times New Roman" w:cs="Tahoma"/>
          <w:color w:val="auto"/>
          <w:szCs w:val="24"/>
          <w:lang w:eastAsia="es-ES"/>
        </w:rPr>
      </w:pPr>
      <w:r w:rsidRPr="00987D1A">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987D1A" w:rsidR="00D33E1E" w:rsidP="00D33E1E" w:rsidRDefault="00D33E1E" w14:paraId="058A26C5" w14:textId="77777777">
      <w:pPr>
        <w:spacing w:after="0" w:line="360" w:lineRule="auto"/>
        <w:rPr>
          <w:rFonts w:eastAsia="Times New Roman" w:cs="Tahoma"/>
          <w:bCs/>
          <w:iCs/>
          <w:color w:val="auto"/>
          <w:lang w:val="es-ES" w:eastAsia="es-ES"/>
        </w:rPr>
      </w:pPr>
    </w:p>
    <w:p w:rsidRPr="00987D1A" w:rsidR="00D33E1E" w:rsidP="00D33E1E" w:rsidRDefault="00D33E1E" w14:paraId="1FFE162E" w14:textId="77777777">
      <w:pPr>
        <w:spacing w:after="0" w:line="360" w:lineRule="auto"/>
        <w:jc w:val="center"/>
        <w:rPr>
          <w:rFonts w:eastAsia="Times New Roman" w:cs="Tahoma"/>
          <w:b/>
          <w:color w:val="auto"/>
          <w:lang w:val="es-ES" w:eastAsia="es-ES"/>
        </w:rPr>
      </w:pPr>
      <w:r w:rsidRPr="00987D1A">
        <w:rPr>
          <w:rFonts w:eastAsia="Times New Roman" w:cs="Tahoma"/>
          <w:b/>
          <w:color w:val="auto"/>
          <w:lang w:val="es-ES" w:eastAsia="es-ES"/>
        </w:rPr>
        <w:t>C O N S I D E R A N D O S:</w:t>
      </w:r>
    </w:p>
    <w:p w:rsidRPr="00987D1A" w:rsidR="00D33E1E" w:rsidP="00D33E1E" w:rsidRDefault="00D33E1E" w14:paraId="71A5A88B" w14:textId="77777777">
      <w:pPr>
        <w:spacing w:after="0" w:line="360" w:lineRule="auto"/>
        <w:rPr>
          <w:b/>
        </w:rPr>
      </w:pPr>
    </w:p>
    <w:p w:rsidRPr="00987D1A" w:rsidR="00D33E1E" w:rsidP="00D33E1E" w:rsidRDefault="00D33E1E" w14:paraId="7B3FC16C" w14:textId="77777777">
      <w:pPr>
        <w:autoSpaceDE w:val="0"/>
        <w:autoSpaceDN w:val="0"/>
        <w:adjustRightInd w:val="0"/>
        <w:spacing w:after="0" w:line="360" w:lineRule="auto"/>
        <w:rPr>
          <w:rFonts w:eastAsia="Times New Roman" w:cs="Tahoma"/>
          <w:b/>
          <w:color w:val="auto"/>
          <w:szCs w:val="24"/>
          <w:lang w:val="es-ES" w:eastAsia="es-ES"/>
        </w:rPr>
      </w:pPr>
      <w:r w:rsidRPr="00987D1A">
        <w:rPr>
          <w:rFonts w:eastAsia="Calibri" w:cs="Tahoma"/>
          <w:b/>
          <w:color w:val="000000"/>
          <w:szCs w:val="24"/>
          <w:lang w:val="es-ES" w:eastAsia="es-MX"/>
        </w:rPr>
        <w:lastRenderedPageBreak/>
        <w:t>PRIMERO</w:t>
      </w:r>
      <w:r w:rsidRPr="00987D1A">
        <w:rPr>
          <w:rFonts w:eastAsia="Calibri" w:cs="Tahoma"/>
          <w:color w:val="000000"/>
          <w:szCs w:val="24"/>
          <w:lang w:val="es-ES" w:eastAsia="es-MX"/>
        </w:rPr>
        <w:t xml:space="preserve">. </w:t>
      </w:r>
      <w:r w:rsidRPr="00987D1A">
        <w:rPr>
          <w:rFonts w:eastAsia="Times New Roman" w:cs="Tahoma"/>
          <w:b/>
          <w:color w:val="auto"/>
          <w:szCs w:val="24"/>
          <w:lang w:val="es-ES" w:eastAsia="es-ES"/>
        </w:rPr>
        <w:t>Competencia.</w:t>
      </w:r>
    </w:p>
    <w:p w:rsidRPr="00987D1A" w:rsidR="00D33E1E" w:rsidP="00D33E1E" w:rsidRDefault="00D33E1E" w14:paraId="57EC3FD9" w14:textId="77777777">
      <w:pPr>
        <w:autoSpaceDE w:val="0"/>
        <w:autoSpaceDN w:val="0"/>
        <w:adjustRightInd w:val="0"/>
        <w:spacing w:after="0" w:line="360" w:lineRule="auto"/>
        <w:rPr>
          <w:rFonts w:eastAsia="Times New Roman" w:cs="Tahoma"/>
          <w:b/>
          <w:color w:val="auto"/>
          <w:szCs w:val="24"/>
          <w:lang w:val="es-ES" w:eastAsia="es-ES"/>
        </w:rPr>
      </w:pPr>
    </w:p>
    <w:p w:rsidRPr="00987D1A" w:rsidR="00D33E1E" w:rsidP="00D33E1E" w:rsidRDefault="00D33E1E" w14:paraId="1D5A4C2A" w14:textId="77777777">
      <w:pPr>
        <w:spacing w:after="0" w:line="360" w:lineRule="auto"/>
        <w:rPr>
          <w:rFonts w:eastAsia="Times New Roman" w:cs="Tahoma"/>
          <w:bCs/>
          <w:color w:val="auto"/>
          <w:lang w:eastAsia="es-ES"/>
        </w:rPr>
      </w:pPr>
      <w:r w:rsidRPr="00987D1A">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987D1A">
        <w:rPr>
          <w:rFonts w:eastAsia="Times New Roman" w:cs="Tahoma"/>
          <w:bCs/>
          <w:color w:val="auto"/>
          <w:lang w:eastAsia="es-ES"/>
        </w:rPr>
        <w:t>trig</w:t>
      </w:r>
      <w:r w:rsidRPr="00987D1A">
        <w:rPr>
          <w:rFonts w:eastAsia="Times New Roman" w:cs="Tahoma"/>
          <w:bCs/>
          <w:color w:val="auto"/>
          <w:lang w:val="x-none" w:eastAsia="es-ES"/>
        </w:rPr>
        <w:t>ésimo</w:t>
      </w:r>
      <w:proofErr w:type="spellEnd"/>
      <w:r w:rsidRPr="00987D1A">
        <w:rPr>
          <w:rFonts w:eastAsia="Times New Roman" w:cs="Tahoma"/>
          <w:bCs/>
          <w:color w:val="auto"/>
          <w:lang w:val="x-none" w:eastAsia="es-ES"/>
        </w:rPr>
        <w:t>, trigésimo primero</w:t>
      </w:r>
      <w:r w:rsidRPr="00987D1A">
        <w:rPr>
          <w:rFonts w:eastAsia="Times New Roman" w:cs="Tahoma"/>
          <w:bCs/>
          <w:color w:val="auto"/>
          <w:lang w:eastAsia="es-E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87D1A">
        <w:rPr>
          <w:rFonts w:eastAsia="Times New Roman" w:cs="Times New Roman"/>
          <w:bCs/>
          <w:color w:val="auto"/>
          <w:lang w:eastAsia="es-ES"/>
        </w:rPr>
        <w:t xml:space="preserve"> 7°, </w:t>
      </w:r>
      <w:r w:rsidRPr="00987D1A">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987D1A" w:rsidR="00D33E1E" w:rsidP="00D33E1E" w:rsidRDefault="00D33E1E" w14:paraId="2C28A30D" w14:textId="77777777">
      <w:pPr>
        <w:spacing w:after="0" w:line="360" w:lineRule="auto"/>
        <w:rPr>
          <w:rFonts w:eastAsia="Times New Roman" w:cs="Tahoma"/>
          <w:bCs/>
          <w:color w:val="auto"/>
          <w:lang w:eastAsia="es-ES"/>
        </w:rPr>
      </w:pPr>
    </w:p>
    <w:p w:rsidRPr="00987D1A" w:rsidR="00D33E1E" w:rsidP="00D33E1E" w:rsidRDefault="00D33E1E" w14:paraId="2E04019D" w14:textId="77777777">
      <w:pPr>
        <w:spacing w:after="0" w:line="360" w:lineRule="auto"/>
        <w:rPr>
          <w:rFonts w:eastAsia="Times New Roman" w:cs="Tahoma"/>
          <w:bCs/>
          <w:color w:val="auto"/>
          <w:lang w:val="es-ES" w:eastAsia="es-ES"/>
        </w:rPr>
      </w:pPr>
      <w:r w:rsidRPr="00987D1A">
        <w:rPr>
          <w:rFonts w:eastAsia="Times New Roman" w:cs="Tahoma"/>
          <w:b/>
          <w:bCs/>
          <w:color w:val="auto"/>
          <w:lang w:val="es-ES" w:eastAsia="es-ES"/>
        </w:rPr>
        <w:t>SEGUNDO</w:t>
      </w:r>
      <w:r w:rsidRPr="00987D1A">
        <w:rPr>
          <w:rFonts w:eastAsia="Times New Roman" w:cs="Tahoma"/>
          <w:bCs/>
          <w:color w:val="auto"/>
          <w:lang w:val="es-ES" w:eastAsia="es-ES"/>
        </w:rPr>
        <w:t xml:space="preserve">. </w:t>
      </w:r>
      <w:r w:rsidRPr="00987D1A">
        <w:rPr>
          <w:rFonts w:eastAsia="Times New Roman" w:cs="Tahoma"/>
          <w:b/>
          <w:bCs/>
          <w:color w:val="auto"/>
          <w:lang w:val="es-ES" w:eastAsia="es-ES"/>
        </w:rPr>
        <w:t>Causales de improcedencia.</w:t>
      </w:r>
      <w:r w:rsidRPr="00987D1A">
        <w:rPr>
          <w:rFonts w:eastAsia="Times New Roman" w:cs="Tahoma"/>
          <w:bCs/>
          <w:color w:val="auto"/>
          <w:lang w:val="es-ES" w:eastAsia="es-ES"/>
        </w:rPr>
        <w:t xml:space="preserve"> </w:t>
      </w:r>
    </w:p>
    <w:p w:rsidRPr="00987D1A" w:rsidR="00D33E1E" w:rsidP="00D33E1E" w:rsidRDefault="00D33E1E" w14:paraId="6ABEC058" w14:textId="77777777">
      <w:pPr>
        <w:spacing w:after="0" w:line="360" w:lineRule="auto"/>
        <w:rPr>
          <w:rFonts w:eastAsia="Times New Roman" w:cs="Tahoma"/>
          <w:bCs/>
          <w:color w:val="auto"/>
          <w:lang w:val="es-ES" w:eastAsia="es-ES"/>
        </w:rPr>
      </w:pPr>
    </w:p>
    <w:p w:rsidRPr="00987D1A" w:rsidR="00D33E1E" w:rsidP="00D33E1E" w:rsidRDefault="00D33E1E" w14:paraId="32E5E7C8" w14:textId="77777777">
      <w:pPr>
        <w:spacing w:after="0" w:line="360" w:lineRule="auto"/>
        <w:rPr>
          <w:rFonts w:eastAsia="Times New Roman" w:cs="Tahoma"/>
          <w:bCs/>
          <w:color w:val="auto"/>
          <w:lang w:val="es-ES" w:eastAsia="es-ES"/>
        </w:rPr>
      </w:pPr>
      <w:r w:rsidRPr="00987D1A">
        <w:rPr>
          <w:rFonts w:eastAsia="Times New Roman" w:cs="Tahoma"/>
          <w:bCs/>
          <w:color w:val="auto"/>
          <w:lang w:eastAsia="es-ES"/>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987D1A">
        <w:rPr>
          <w:rFonts w:eastAsia="Times New Roman" w:cs="Tahoma"/>
          <w:b/>
          <w:bCs/>
          <w:color w:val="auto"/>
          <w:lang w:eastAsia="es-ES"/>
        </w:rPr>
        <w:t xml:space="preserve"> </w:t>
      </w:r>
      <w:r w:rsidRPr="00987D1A">
        <w:rPr>
          <w:rFonts w:eastAsia="Times New Roman" w:cs="Tahoma"/>
          <w:bCs/>
          <w:color w:val="auto"/>
          <w:lang w:eastAsia="es-ES"/>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987D1A" w:rsidR="00D33E1E" w:rsidP="00D33E1E" w:rsidRDefault="00D33E1E" w14:paraId="38F9A824" w14:textId="77777777">
      <w:pPr>
        <w:spacing w:after="0" w:line="360" w:lineRule="auto"/>
        <w:rPr>
          <w:rFonts w:eastAsia="Times New Roman" w:cs="Tahoma"/>
          <w:bCs/>
          <w:color w:val="auto"/>
          <w:lang w:eastAsia="es-ES"/>
        </w:rPr>
      </w:pPr>
    </w:p>
    <w:p w:rsidRPr="00987D1A" w:rsidR="00D33E1E" w:rsidP="00D33E1E" w:rsidRDefault="00D33E1E" w14:paraId="5CB447AA" w14:textId="77777777">
      <w:pPr>
        <w:spacing w:after="0" w:line="360" w:lineRule="auto"/>
        <w:rPr>
          <w:rFonts w:eastAsia="Times New Roman" w:cs="Tahoma"/>
          <w:bCs/>
          <w:color w:val="auto"/>
          <w:lang w:eastAsia="es-ES"/>
        </w:rPr>
      </w:pPr>
      <w:r w:rsidRPr="00987D1A">
        <w:rPr>
          <w:rFonts w:eastAsia="Times New Roman" w:cs="Tahoma"/>
          <w:bCs/>
          <w:color w:val="auto"/>
          <w:lang w:eastAsia="es-ES"/>
        </w:rPr>
        <w:t xml:space="preserve">En el presente caso, </w:t>
      </w:r>
      <w:r w:rsidRPr="00987D1A">
        <w:rPr>
          <w:rFonts w:eastAsia="Times New Roman" w:cs="Tahoma"/>
          <w:b/>
          <w:bCs/>
          <w:color w:val="auto"/>
          <w:lang w:eastAsia="es-ES"/>
        </w:rPr>
        <w:t>no se actualiza ninguna de las causales de improcedencia</w:t>
      </w:r>
      <w:r w:rsidRPr="00987D1A">
        <w:rPr>
          <w:rFonts w:eastAsia="Times New Roman" w:cs="Tahoma"/>
          <w:bCs/>
          <w:color w:val="auto"/>
          <w:lang w:eastAsia="es-ES"/>
        </w:rPr>
        <w:t xml:space="preserve"> establecidas en el ordenamiento jurídico previamente señalado, toda vez que este Instituto no tiene </w:t>
      </w:r>
      <w:r w:rsidRPr="00987D1A">
        <w:rPr>
          <w:rFonts w:eastAsia="Times New Roman" w:cs="Tahoma"/>
          <w:bCs/>
          <w:color w:val="auto"/>
          <w:lang w:eastAsia="es-ES"/>
        </w:rPr>
        <w:lastRenderedPageBreak/>
        <w:t>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987D1A" w:rsidR="00D33E1E" w:rsidP="00D33E1E" w:rsidRDefault="00D33E1E" w14:paraId="0B2E35C1" w14:textId="77777777">
      <w:pPr>
        <w:spacing w:after="0" w:line="360" w:lineRule="auto"/>
        <w:rPr>
          <w:rFonts w:eastAsia="Times New Roman" w:cs="Tahoma"/>
          <w:b/>
          <w:bCs/>
          <w:color w:val="auto"/>
          <w:lang w:eastAsia="es-ES"/>
        </w:rPr>
      </w:pPr>
    </w:p>
    <w:p w:rsidRPr="00987D1A" w:rsidR="00D33E1E" w:rsidP="00D33E1E" w:rsidRDefault="00D33E1E" w14:paraId="06D0DD4C" w14:textId="77777777">
      <w:pPr>
        <w:spacing w:after="0" w:line="360" w:lineRule="auto"/>
        <w:rPr>
          <w:rFonts w:eastAsia="Times New Roman" w:cs="Tahoma"/>
          <w:bCs/>
          <w:color w:val="auto"/>
          <w:lang w:eastAsia="es-ES"/>
        </w:rPr>
      </w:pPr>
      <w:r w:rsidRPr="00987D1A">
        <w:rPr>
          <w:rFonts w:eastAsia="Times New Roman" w:cs="Tahoma"/>
          <w:bCs/>
          <w:color w:val="auto"/>
          <w:lang w:eastAsia="es-ES"/>
        </w:rPr>
        <w:t>Asimismo, se actualiza la causal de procedencia del Recurso de Revisión señalada en el artículo 179, fracción V, de la Ley de Transparencia y Acceso a la Información Pública del Estado de México y Municipios, puesto que el agravio del Recurrente consiste en la entrega de información incompleta.</w:t>
      </w:r>
    </w:p>
    <w:p w:rsidRPr="00987D1A" w:rsidR="00D33E1E" w:rsidP="00D33E1E" w:rsidRDefault="00D33E1E" w14:paraId="15C65838" w14:textId="77777777">
      <w:pPr>
        <w:spacing w:after="0" w:line="360" w:lineRule="auto"/>
        <w:rPr>
          <w:rFonts w:eastAsia="Calibri" w:cs="Tahoma"/>
          <w:b/>
          <w:color w:val="000000"/>
          <w:szCs w:val="24"/>
          <w:lang w:eastAsia="es-MX"/>
        </w:rPr>
      </w:pPr>
    </w:p>
    <w:p w:rsidRPr="00987D1A" w:rsidR="00D33E1E" w:rsidP="00D33E1E" w:rsidRDefault="00D33E1E" w14:paraId="75332B3E" w14:textId="77777777">
      <w:pPr>
        <w:spacing w:after="0" w:line="360" w:lineRule="auto"/>
        <w:rPr>
          <w:rFonts w:eastAsia="Times New Roman" w:cs="Tahoma"/>
          <w:b/>
          <w:bCs/>
          <w:color w:val="auto"/>
          <w:lang w:eastAsia="es-ES"/>
        </w:rPr>
      </w:pPr>
      <w:r w:rsidRPr="00987D1A">
        <w:rPr>
          <w:rFonts w:eastAsia="Times New Roman" w:cs="Tahoma"/>
          <w:b/>
          <w:bCs/>
          <w:color w:val="auto"/>
          <w:lang w:eastAsia="es-ES"/>
        </w:rPr>
        <w:t>TERCERO. Causales de sobreseimiento.</w:t>
      </w:r>
    </w:p>
    <w:p w:rsidRPr="00987D1A" w:rsidR="00D33E1E" w:rsidP="00D33E1E" w:rsidRDefault="00D33E1E" w14:paraId="470ECDA1" w14:textId="77777777">
      <w:pPr>
        <w:spacing w:after="0" w:line="360" w:lineRule="auto"/>
        <w:rPr>
          <w:rFonts w:eastAsia="Times New Roman" w:cs="Tahoma"/>
          <w:bCs/>
          <w:color w:val="auto"/>
          <w:lang w:eastAsia="es-ES"/>
        </w:rPr>
      </w:pPr>
    </w:p>
    <w:p w:rsidR="00E94B00" w:rsidP="00D33E1E" w:rsidRDefault="00D33E1E" w14:paraId="00527615" w14:textId="77777777">
      <w:pPr>
        <w:spacing w:after="0" w:line="360" w:lineRule="auto"/>
        <w:rPr>
          <w:rFonts w:eastAsia="Times New Roman" w:cs="Tahoma"/>
          <w:bCs/>
          <w:color w:val="auto"/>
          <w:lang w:eastAsia="es-ES"/>
        </w:rPr>
      </w:pPr>
      <w:r w:rsidRPr="00987D1A">
        <w:rPr>
          <w:rFonts w:eastAsia="Times New Roman" w:cs="Tahoma"/>
          <w:bCs/>
          <w:color w:val="auto"/>
          <w:lang w:eastAsia="es-ES"/>
        </w:rPr>
        <w:t xml:space="preserve">Por ser de previo y especial pronunciamiento, este Instituto analiza si se actualiza alguna causal de sobreseimiento. </w:t>
      </w:r>
    </w:p>
    <w:p w:rsidR="00E94B00" w:rsidP="00D33E1E" w:rsidRDefault="00E94B00" w14:paraId="76163648" w14:textId="77777777">
      <w:pPr>
        <w:spacing w:after="0" w:line="360" w:lineRule="auto"/>
        <w:rPr>
          <w:rFonts w:eastAsia="Times New Roman" w:cs="Tahoma"/>
          <w:bCs/>
          <w:color w:val="auto"/>
          <w:lang w:eastAsia="es-ES"/>
        </w:rPr>
      </w:pPr>
    </w:p>
    <w:p w:rsidRPr="00987D1A" w:rsidR="00D33E1E" w:rsidP="00D33E1E" w:rsidRDefault="00D33E1E" w14:paraId="1DF366BE" w14:textId="7688B860">
      <w:pPr>
        <w:spacing w:after="0" w:line="360" w:lineRule="auto"/>
        <w:rPr>
          <w:rFonts w:eastAsia="Times New Roman" w:cs="Tahoma"/>
          <w:bCs/>
          <w:color w:val="auto"/>
          <w:lang w:eastAsia="es-ES"/>
        </w:rPr>
      </w:pPr>
      <w:r w:rsidRPr="00987D1A">
        <w:rPr>
          <w:rFonts w:eastAsia="Times New Roman" w:cs="Tahoma"/>
          <w:bCs/>
          <w:color w:val="auto"/>
          <w:lang w:eastAsia="es-ES"/>
        </w:rPr>
        <w:t xml:space="preserve">Al respecto, 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987D1A">
        <w:rPr>
          <w:rFonts w:eastAsia="Times New Roman" w:cs="Tahoma"/>
          <w:b/>
          <w:bCs/>
          <w:color w:val="auto"/>
          <w:lang w:eastAsia="es-ES"/>
        </w:rPr>
        <w:t>que no se actualizan los supuestos de sobreseimiento previstos en las fracciones I, II, IV y V</w:t>
      </w:r>
      <w:r w:rsidRPr="00987D1A">
        <w:rPr>
          <w:rFonts w:eastAsia="Times New Roman" w:cs="Tahoma"/>
          <w:bCs/>
          <w:color w:val="auto"/>
          <w:lang w:eastAsia="es-ES"/>
        </w:rPr>
        <w:t xml:space="preserve">, del artículo en comento, lo anterior, en virtud de que no hay constancias en el expediente en que se actúa, de que la Recurrente se haya desistido del recurso, haya fallecido, o bien, se haya actualizado alguna causal de improcedencia. </w:t>
      </w:r>
    </w:p>
    <w:p w:rsidRPr="00987D1A" w:rsidR="00D33E1E" w:rsidP="00D33E1E" w:rsidRDefault="00D33E1E" w14:paraId="1DB944EB" w14:textId="77777777">
      <w:pPr>
        <w:spacing w:after="0" w:line="360" w:lineRule="auto"/>
        <w:rPr>
          <w:rFonts w:eastAsia="Times New Roman" w:cs="Tahoma"/>
          <w:bCs/>
          <w:color w:val="auto"/>
          <w:lang w:eastAsia="es-ES"/>
        </w:rPr>
      </w:pPr>
    </w:p>
    <w:p w:rsidRPr="00987D1A" w:rsidR="00D33E1E" w:rsidP="00D33E1E" w:rsidRDefault="00D33E1E" w14:paraId="6795A032" w14:textId="77777777">
      <w:pPr>
        <w:spacing w:after="0" w:line="360" w:lineRule="auto"/>
        <w:rPr>
          <w:rFonts w:cs="Tahoma"/>
          <w:szCs w:val="24"/>
          <w:lang w:val="es-ES"/>
        </w:rPr>
      </w:pPr>
      <w:r w:rsidRPr="00987D1A">
        <w:rPr>
          <w:rFonts w:cs="Tahoma"/>
          <w:szCs w:val="24"/>
          <w:lang w:val="es-ES"/>
        </w:rPr>
        <w:t xml:space="preserve">No obstante, toda vez que durante la sustanciación del Recurso de Revisión </w:t>
      </w:r>
      <w:r>
        <w:rPr>
          <w:rFonts w:cs="Tahoma"/>
          <w:szCs w:val="24"/>
        </w:rPr>
        <w:t>15571/INFOEM/IP/RR/2022</w:t>
      </w:r>
      <w:r w:rsidR="009C5ED7">
        <w:rPr>
          <w:rFonts w:cs="Tahoma"/>
          <w:szCs w:val="24"/>
          <w:lang w:val="es-ES"/>
        </w:rPr>
        <w:t xml:space="preserve">, la </w:t>
      </w:r>
      <w:r>
        <w:rPr>
          <w:rFonts w:eastAsia="Calibri" w:cs="Tahoma"/>
        </w:rPr>
        <w:t>Secretaría de Justicia y Derechos Humanos</w:t>
      </w:r>
      <w:r w:rsidRPr="00987D1A">
        <w:rPr>
          <w:rFonts w:eastAsia="Calibri" w:cs="Tahoma"/>
        </w:rPr>
        <w:t xml:space="preserve">, </w:t>
      </w:r>
      <w:r w:rsidRPr="00987D1A">
        <w:rPr>
          <w:rFonts w:cs="Tahoma"/>
          <w:szCs w:val="24"/>
          <w:lang w:val="es-ES"/>
        </w:rPr>
        <w:t>modificó su respuesta, a través de su Informe Justificado, se estima procedente entrar al estudio de la causal de sobreseimiento prevista en la fracción III, del artículo 192 de la Ley de la Materia.</w:t>
      </w:r>
    </w:p>
    <w:p w:rsidR="009C5ED7" w:rsidP="00D33E1E" w:rsidRDefault="009C5ED7" w14:paraId="226EEC49" w14:textId="77777777">
      <w:pPr>
        <w:spacing w:after="0" w:line="360" w:lineRule="auto"/>
        <w:rPr>
          <w:rFonts w:eastAsia="Times New Roman" w:cs="Tahoma"/>
          <w:iCs/>
          <w:color w:val="auto"/>
          <w:lang w:val="es-ES" w:eastAsia="es-ES"/>
        </w:rPr>
      </w:pPr>
    </w:p>
    <w:p w:rsidR="008534A9" w:rsidP="00E94B00" w:rsidRDefault="00E94B00" w14:paraId="146B8191" w14:textId="25848BA6">
      <w:pPr>
        <w:spacing w:after="0" w:line="360" w:lineRule="auto"/>
        <w:rPr>
          <w:rFonts w:eastAsia="Times New Roman" w:cs="Tahoma"/>
          <w:bCs/>
          <w:iCs/>
          <w:color w:val="auto"/>
          <w:lang w:eastAsia="es-ES"/>
        </w:rPr>
      </w:pPr>
      <w:r w:rsidRPr="00E94B00">
        <w:rPr>
          <w:rFonts w:eastAsia="Times New Roman" w:cs="Tahoma"/>
          <w:iCs/>
          <w:color w:val="auto"/>
          <w:lang w:val="es-ES" w:eastAsia="es-ES"/>
        </w:rPr>
        <w:t>Al respecto, a efecto de verificar si se actualiza la causal de sobreseimiento, es necesario</w:t>
      </w:r>
      <w:r>
        <w:rPr>
          <w:rFonts w:eastAsia="Times New Roman" w:cs="Tahoma"/>
          <w:iCs/>
          <w:color w:val="auto"/>
          <w:lang w:val="es-ES" w:eastAsia="es-ES"/>
        </w:rPr>
        <w:t xml:space="preserve"> </w:t>
      </w:r>
      <w:r w:rsidRPr="00E94B00">
        <w:rPr>
          <w:rFonts w:eastAsia="Times New Roman" w:cs="Tahoma"/>
          <w:iCs/>
          <w:color w:val="auto"/>
          <w:lang w:val="es-ES" w:eastAsia="es-ES"/>
        </w:rPr>
        <w:t>precisar que el Particular requirió</w:t>
      </w:r>
      <w:r>
        <w:rPr>
          <w:rFonts w:eastAsia="Times New Roman" w:cs="Tahoma"/>
          <w:iCs/>
          <w:color w:val="auto"/>
          <w:lang w:val="es-ES" w:eastAsia="es-ES"/>
        </w:rPr>
        <w:t xml:space="preserve"> conocer los</w:t>
      </w:r>
      <w:r w:rsidR="00D637CC">
        <w:rPr>
          <w:rFonts w:eastAsia="Times New Roman" w:cs="Tahoma"/>
          <w:iCs/>
          <w:color w:val="auto"/>
          <w:lang w:val="es-ES" w:eastAsia="es-ES"/>
        </w:rPr>
        <w:t xml:space="preserve"> delitos </w:t>
      </w:r>
      <w:r w:rsidRPr="00603D49" w:rsidR="00603D49">
        <w:rPr>
          <w:rFonts w:eastAsia="Times New Roman" w:cs="Tahoma"/>
          <w:iCs/>
          <w:color w:val="auto"/>
          <w:lang w:val="es-ES" w:eastAsia="es-ES"/>
        </w:rPr>
        <w:t>y montos que la Comisión Ejecutiva de Atención a Víctimas del Estado de México</w:t>
      </w:r>
      <w:r>
        <w:rPr>
          <w:rFonts w:eastAsia="Times New Roman" w:cs="Tahoma"/>
          <w:iCs/>
          <w:color w:val="auto"/>
          <w:lang w:val="es-ES" w:eastAsia="es-ES"/>
        </w:rPr>
        <w:t>,</w:t>
      </w:r>
      <w:r w:rsidRPr="00603D49" w:rsidR="00603D49">
        <w:rPr>
          <w:rFonts w:eastAsia="Times New Roman" w:cs="Tahoma"/>
          <w:iCs/>
          <w:color w:val="auto"/>
          <w:lang w:val="es-ES" w:eastAsia="es-ES"/>
        </w:rPr>
        <w:t xml:space="preserve"> </w:t>
      </w:r>
      <w:r w:rsidRPr="00603D49" w:rsidR="00603D49">
        <w:rPr>
          <w:rFonts w:eastAsia="Times New Roman" w:cs="Tahoma"/>
          <w:bCs/>
          <w:iCs/>
          <w:color w:val="auto"/>
          <w:lang w:eastAsia="es-ES"/>
        </w:rPr>
        <w:t>mediante el Fondo Estatal de Ayuda, Asistencia y Reparación Integral</w:t>
      </w:r>
      <w:r w:rsidR="00603D49">
        <w:rPr>
          <w:rFonts w:eastAsia="Times New Roman" w:cs="Tahoma"/>
          <w:bCs/>
          <w:iCs/>
          <w:color w:val="auto"/>
          <w:lang w:eastAsia="es-ES"/>
        </w:rPr>
        <w:t xml:space="preserve"> </w:t>
      </w:r>
      <w:proofErr w:type="spellStart"/>
      <w:r w:rsidRPr="00603D49" w:rsidR="00603D49">
        <w:rPr>
          <w:rFonts w:eastAsia="Times New Roman" w:cs="Tahoma"/>
          <w:bCs/>
          <w:iCs/>
          <w:color w:val="auto"/>
          <w:lang w:eastAsia="es-ES"/>
        </w:rPr>
        <w:t>ha</w:t>
      </w:r>
      <w:r>
        <w:rPr>
          <w:rFonts w:eastAsia="Times New Roman" w:cs="Tahoma"/>
          <w:bCs/>
          <w:iCs/>
          <w:color w:val="auto"/>
          <w:lang w:eastAsia="es-ES"/>
        </w:rPr>
        <w:t>b</w:t>
      </w:r>
      <w:r>
        <w:rPr>
          <w:rFonts w:eastAsia="Times New Roman" w:cs="Tahoma"/>
          <w:bCs/>
          <w:iCs/>
          <w:color w:val="auto"/>
          <w:lang w:val="x-none" w:eastAsia="es-ES"/>
        </w:rPr>
        <w:t>ía</w:t>
      </w:r>
      <w:proofErr w:type="spellEnd"/>
      <w:r w:rsidRPr="00603D49" w:rsidR="00603D49">
        <w:rPr>
          <w:rFonts w:eastAsia="Times New Roman" w:cs="Tahoma"/>
          <w:bCs/>
          <w:iCs/>
          <w:color w:val="auto"/>
          <w:lang w:eastAsia="es-ES"/>
        </w:rPr>
        <w:t xml:space="preserve"> erogado a víctimas u ofendidos</w:t>
      </w:r>
      <w:r w:rsidR="00E4438F">
        <w:rPr>
          <w:rFonts w:eastAsia="Times New Roman" w:cs="Tahoma"/>
          <w:bCs/>
          <w:iCs/>
          <w:color w:val="auto"/>
          <w:lang w:eastAsia="es-ES"/>
        </w:rPr>
        <w:t>, desde el dieciséis de agosto de dos mil dieseis al veintisiete de septiembre de dos mil veintidós.</w:t>
      </w:r>
      <w:r w:rsidR="00462036">
        <w:rPr>
          <w:rFonts w:eastAsia="Times New Roman" w:cs="Tahoma"/>
          <w:bCs/>
          <w:iCs/>
          <w:color w:val="auto"/>
          <w:lang w:eastAsia="es-ES"/>
        </w:rPr>
        <w:t xml:space="preserve"> </w:t>
      </w:r>
    </w:p>
    <w:p w:rsidR="00462036" w:rsidP="00D33E1E" w:rsidRDefault="00462036" w14:paraId="7B56515E" w14:textId="77777777">
      <w:pPr>
        <w:spacing w:after="0" w:line="360" w:lineRule="auto"/>
        <w:rPr>
          <w:rFonts w:eastAsia="Times New Roman" w:cs="Tahoma"/>
          <w:bCs/>
          <w:iCs/>
          <w:color w:val="auto"/>
          <w:lang w:eastAsia="es-ES"/>
        </w:rPr>
      </w:pPr>
    </w:p>
    <w:p w:rsidRPr="002858EF" w:rsidR="00E4438F" w:rsidP="00D33E1E" w:rsidRDefault="00462036" w14:paraId="397C7E1B" w14:textId="43FB5A79">
      <w:pPr>
        <w:spacing w:after="0" w:line="360" w:lineRule="auto"/>
        <w:rPr>
          <w:rFonts w:eastAsia="Times New Roman" w:cs="Tahoma"/>
          <w:bCs/>
          <w:iCs/>
          <w:color w:val="auto"/>
          <w:lang w:eastAsia="es-ES"/>
        </w:rPr>
      </w:pPr>
      <w:r>
        <w:rPr>
          <w:rFonts w:eastAsia="Times New Roman" w:cs="Tahoma"/>
          <w:bCs/>
          <w:iCs/>
          <w:color w:val="auto"/>
          <w:lang w:eastAsia="es-ES"/>
        </w:rPr>
        <w:t xml:space="preserve">En respuesta, </w:t>
      </w:r>
      <w:r w:rsidR="00E94B00">
        <w:rPr>
          <w:rFonts w:eastAsia="Times New Roman" w:cs="Tahoma"/>
          <w:bCs/>
          <w:iCs/>
          <w:color w:val="auto"/>
          <w:lang w:eastAsia="es-ES"/>
        </w:rPr>
        <w:t xml:space="preserve">el Sujeto Obligado </w:t>
      </w:r>
      <w:proofErr w:type="spellStart"/>
      <w:r w:rsidR="002858EF">
        <w:rPr>
          <w:rFonts w:eastAsia="Times New Roman" w:cs="Tahoma"/>
          <w:iCs/>
          <w:color w:val="auto"/>
          <w:lang w:eastAsia="es-ES"/>
        </w:rPr>
        <w:t>proporcion</w:t>
      </w:r>
      <w:r w:rsidR="00E94B00">
        <w:rPr>
          <w:rFonts w:eastAsia="Times New Roman" w:cs="Tahoma"/>
          <w:iCs/>
          <w:color w:val="auto"/>
          <w:lang w:val="x-none" w:eastAsia="es-ES"/>
        </w:rPr>
        <w:t>ó</w:t>
      </w:r>
      <w:proofErr w:type="spellEnd"/>
      <w:r w:rsidR="002858EF">
        <w:rPr>
          <w:rFonts w:eastAsia="Times New Roman" w:cs="Tahoma"/>
          <w:iCs/>
          <w:color w:val="auto"/>
          <w:lang w:eastAsia="es-ES"/>
        </w:rPr>
        <w:t xml:space="preserve"> una relación que contiene el concepto y el monto erogado </w:t>
      </w:r>
      <w:r w:rsidRPr="002858EF" w:rsidR="002858EF">
        <w:rPr>
          <w:rFonts w:eastAsia="Times New Roman" w:cs="Tahoma"/>
          <w:iCs/>
          <w:color w:val="auto"/>
          <w:lang w:eastAsia="es-ES"/>
        </w:rPr>
        <w:t>a través del Fondo de Ayuda, Asistencia y Reparación Integral</w:t>
      </w:r>
      <w:r w:rsidR="002858EF">
        <w:rPr>
          <w:rFonts w:eastAsia="Times New Roman" w:cs="Tahoma"/>
          <w:iCs/>
          <w:color w:val="auto"/>
          <w:lang w:eastAsia="es-ES"/>
        </w:rPr>
        <w:t>, durante los ejercicios fiscales del dos mil dieciséis al dos mil veintidós</w:t>
      </w:r>
      <w:r w:rsidR="00E94B00">
        <w:rPr>
          <w:rFonts w:eastAsia="Times New Roman" w:cs="Tahoma"/>
          <w:iCs/>
          <w:color w:val="auto"/>
          <w:lang w:eastAsia="es-ES"/>
        </w:rPr>
        <w:t>; a</w:t>
      </w:r>
      <w:r w:rsidR="001918B9">
        <w:rPr>
          <w:rFonts w:eastAsia="Times New Roman" w:cs="Tahoma"/>
          <w:iCs/>
          <w:color w:val="auto"/>
          <w:lang w:eastAsia="es-ES"/>
        </w:rPr>
        <w:t xml:space="preserve">nte dicha circunstancia, </w:t>
      </w:r>
      <w:r w:rsidR="00E94B00">
        <w:rPr>
          <w:rFonts w:eastAsia="Times New Roman" w:cs="Tahoma"/>
          <w:iCs/>
          <w:color w:val="auto"/>
          <w:lang w:eastAsia="es-ES"/>
        </w:rPr>
        <w:t>el</w:t>
      </w:r>
      <w:r w:rsidR="001918B9">
        <w:rPr>
          <w:rFonts w:eastAsia="Times New Roman" w:cs="Tahoma"/>
          <w:iCs/>
          <w:color w:val="auto"/>
          <w:lang w:eastAsia="es-ES"/>
        </w:rPr>
        <w:t xml:space="preserve"> Particular </w:t>
      </w:r>
      <w:r w:rsidR="00E94B00">
        <w:rPr>
          <w:rFonts w:eastAsia="Times New Roman" w:cs="Tahoma"/>
          <w:iCs/>
          <w:color w:val="auto"/>
          <w:lang w:eastAsia="es-ES"/>
        </w:rPr>
        <w:t xml:space="preserve">de la </w:t>
      </w:r>
      <w:r w:rsidR="000A6CA3">
        <w:rPr>
          <w:rFonts w:eastAsia="Times New Roman" w:cs="Tahoma"/>
          <w:iCs/>
          <w:color w:val="auto"/>
          <w:lang w:eastAsia="es-ES"/>
        </w:rPr>
        <w:t xml:space="preserve"> entrega de información incompleta, ya que no </w:t>
      </w:r>
      <w:r w:rsidR="00E94B00">
        <w:rPr>
          <w:rFonts w:eastAsia="Times New Roman" w:cs="Tahoma"/>
          <w:iCs/>
          <w:color w:val="auto"/>
          <w:lang w:eastAsia="es-ES"/>
        </w:rPr>
        <w:t xml:space="preserve">le </w:t>
      </w:r>
      <w:proofErr w:type="spellStart"/>
      <w:r w:rsidR="00E94B00">
        <w:rPr>
          <w:rFonts w:eastAsia="Times New Roman" w:cs="Tahoma"/>
          <w:iCs/>
          <w:color w:val="auto"/>
          <w:lang w:eastAsia="es-ES"/>
        </w:rPr>
        <w:t>hab</w:t>
      </w:r>
      <w:r w:rsidR="00E94B00">
        <w:rPr>
          <w:rFonts w:eastAsia="Times New Roman" w:cs="Tahoma"/>
          <w:iCs/>
          <w:color w:val="auto"/>
          <w:lang w:val="x-none" w:eastAsia="es-ES"/>
        </w:rPr>
        <w:t>ían</w:t>
      </w:r>
      <w:proofErr w:type="spellEnd"/>
      <w:r w:rsidR="000A6CA3">
        <w:rPr>
          <w:rFonts w:eastAsia="Times New Roman" w:cs="Tahoma"/>
          <w:iCs/>
          <w:color w:val="auto"/>
          <w:lang w:eastAsia="es-ES"/>
        </w:rPr>
        <w:t xml:space="preserve"> proporciona</w:t>
      </w:r>
      <w:r w:rsidR="00E94B00">
        <w:rPr>
          <w:rFonts w:eastAsia="Times New Roman" w:cs="Tahoma"/>
          <w:iCs/>
          <w:color w:val="auto"/>
          <w:lang w:eastAsia="es-ES"/>
        </w:rPr>
        <w:t>do</w:t>
      </w:r>
      <w:r w:rsidR="000A6CA3">
        <w:rPr>
          <w:rFonts w:eastAsia="Times New Roman" w:cs="Tahoma"/>
          <w:iCs/>
          <w:color w:val="auto"/>
          <w:lang w:eastAsia="es-ES"/>
        </w:rPr>
        <w:t xml:space="preserve"> el tipo de delitos por cuales se </w:t>
      </w:r>
      <w:proofErr w:type="spellStart"/>
      <w:r w:rsidR="00E94B00">
        <w:rPr>
          <w:rFonts w:eastAsia="Times New Roman" w:cs="Tahoma"/>
          <w:iCs/>
          <w:color w:val="auto"/>
          <w:lang w:eastAsia="es-ES"/>
        </w:rPr>
        <w:t>hab</w:t>
      </w:r>
      <w:r w:rsidR="00E94B00">
        <w:rPr>
          <w:rFonts w:eastAsia="Times New Roman" w:cs="Tahoma"/>
          <w:iCs/>
          <w:color w:val="auto"/>
          <w:lang w:val="x-none" w:eastAsia="es-ES"/>
        </w:rPr>
        <w:t>ían</w:t>
      </w:r>
      <w:proofErr w:type="spellEnd"/>
      <w:r w:rsidR="00E94B00">
        <w:rPr>
          <w:rFonts w:eastAsia="Times New Roman" w:cs="Tahoma"/>
          <w:iCs/>
          <w:color w:val="auto"/>
          <w:lang w:val="x-none" w:eastAsia="es-ES"/>
        </w:rPr>
        <w:t xml:space="preserve"> entregado compensación subsidiaria</w:t>
      </w:r>
      <w:r w:rsidR="000A6CA3">
        <w:rPr>
          <w:rFonts w:eastAsia="Times New Roman" w:cs="Tahoma"/>
          <w:iCs/>
          <w:color w:val="auto"/>
          <w:lang w:eastAsia="es-ES"/>
        </w:rPr>
        <w:t>, circunstancia que actualiza la causal de procedencia prevista en la fracción V, del artículo 179 de la Ley de Transparencia y Acceso a la Información Pública del Estado de México y Municipios.</w:t>
      </w:r>
    </w:p>
    <w:p w:rsidRPr="00987D1A" w:rsidR="00D33E1E" w:rsidP="00D33E1E" w:rsidRDefault="00D33E1E" w14:paraId="77FEAE7E" w14:textId="77777777">
      <w:pPr>
        <w:spacing w:after="0" w:line="360" w:lineRule="auto"/>
        <w:rPr>
          <w:rFonts w:cs="Tahoma"/>
          <w:szCs w:val="24"/>
        </w:rPr>
      </w:pPr>
    </w:p>
    <w:p w:rsidRPr="00E46E6F" w:rsidR="00D33E1E" w:rsidP="00D33E1E" w:rsidRDefault="00D33E1E" w14:paraId="00790C11" w14:textId="4273EA1B">
      <w:pPr>
        <w:spacing w:after="0" w:line="360" w:lineRule="auto"/>
        <w:rPr>
          <w:rFonts w:eastAsia="Calibri" w:cs="Tahoma"/>
          <w:bCs/>
          <w:iCs/>
          <w:lang w:eastAsia="es-ES_tradnl"/>
        </w:rPr>
      </w:pPr>
      <w:r w:rsidRPr="00987D1A">
        <w:rPr>
          <w:rFonts w:eastAsia="Calibri" w:cs="Tahoma"/>
          <w:iCs/>
          <w:lang w:val="es-ES" w:eastAsia="es-ES_tradnl"/>
        </w:rPr>
        <w:t xml:space="preserve">De tal circunstancia, se advierte que el ahora Recurrente no se agravió </w:t>
      </w:r>
      <w:r w:rsidR="00E46E6F">
        <w:rPr>
          <w:rFonts w:eastAsia="Calibri" w:cs="Tahoma"/>
          <w:iCs/>
          <w:lang w:val="es-ES" w:eastAsia="es-ES_tradnl"/>
        </w:rPr>
        <w:t xml:space="preserve">de la modalidad de entrega a través de la cual el Sujeto Obligado atendió el requerimiento de información, es decir, a través de </w:t>
      </w:r>
      <w:r w:rsidRPr="00E46E6F" w:rsidR="00E46E6F">
        <w:rPr>
          <w:rFonts w:eastAsia="Calibri" w:cs="Tahoma"/>
          <w:iCs/>
          <w:lang w:val="es-ES" w:eastAsia="es-ES_tradnl"/>
        </w:rPr>
        <w:t>Sistema de Acceso a la Información Mexiquense (SAIMEX)</w:t>
      </w:r>
      <w:r w:rsidR="00E46E6F">
        <w:rPr>
          <w:rFonts w:eastAsia="Calibri" w:cs="Tahoma"/>
          <w:iCs/>
          <w:lang w:val="es-ES" w:eastAsia="es-ES_tradnl"/>
        </w:rPr>
        <w:t xml:space="preserve">, siendo que la modalidad de entrega de entrega información elegida por la Particular fue </w:t>
      </w:r>
      <w:r w:rsidRPr="00E46E6F" w:rsidR="00E46E6F">
        <w:rPr>
          <w:rFonts w:eastAsia="Calibri" w:cs="Tahoma"/>
          <w:bCs/>
          <w:iCs/>
          <w:lang w:eastAsia="es-ES_tradnl"/>
        </w:rPr>
        <w:t>Consulta Directa (sin costo)</w:t>
      </w:r>
      <w:r w:rsidR="00E94B00">
        <w:rPr>
          <w:rFonts w:eastAsia="Calibri" w:cs="Tahoma"/>
          <w:bCs/>
          <w:iCs/>
          <w:lang w:eastAsia="es-ES_tradnl"/>
        </w:rPr>
        <w:t>; as</w:t>
      </w:r>
      <w:r w:rsidR="00E94B00">
        <w:rPr>
          <w:rFonts w:eastAsia="Calibri" w:cs="Tahoma"/>
          <w:bCs/>
          <w:iCs/>
          <w:lang w:val="x-none" w:eastAsia="es-ES_tradnl"/>
        </w:rPr>
        <w:t>í como, de los montos entregados en contestación; por lo que</w:t>
      </w:r>
      <w:r w:rsidR="00E46E6F">
        <w:rPr>
          <w:rFonts w:eastAsia="Calibri" w:cs="Tahoma"/>
          <w:bCs/>
          <w:iCs/>
          <w:lang w:eastAsia="es-ES_tradnl"/>
        </w:rPr>
        <w:t xml:space="preserve">, </w:t>
      </w:r>
      <w:r w:rsidRPr="00987D1A">
        <w:rPr>
          <w:rFonts w:eastAsia="Calibri" w:cs="Tahoma"/>
          <w:iCs/>
          <w:lang w:val="es-ES" w:eastAsia="es-ES_tradnl"/>
        </w:rPr>
        <w:t xml:space="preserve">no se hará pronunciamiento alguno, respecto a estos, de conformidad lo dispuesto en al artículo 195 </w:t>
      </w:r>
      <w:r w:rsidRPr="00987D1A">
        <w:rPr>
          <w:rFonts w:eastAsia="Times New Roman" w:cs="Times New Roman"/>
          <w:color w:val="000000"/>
          <w:lang w:eastAsia="es-ES_tradnl"/>
        </w:rPr>
        <w:t xml:space="preserve">de la Ley de Transparencia y Acceso a la Información Pública del Estado de México y Municipios, con relación con el diverso 195, fracción III, del Código de Procedimientos Administrativos del Estado de México, ya que los artículos en cita establecen que será improcedente el recurso contra </w:t>
      </w:r>
      <w:r w:rsidRPr="00987D1A">
        <w:rPr>
          <w:rFonts w:eastAsia="Times New Roman" w:cs="Times New Roman"/>
          <w:b/>
          <w:bCs/>
          <w:color w:val="000000"/>
          <w:lang w:eastAsia="es-ES_tradnl"/>
        </w:rPr>
        <w:t>los actos que se hayan consentido expresamente.</w:t>
      </w:r>
    </w:p>
    <w:p w:rsidRPr="00987D1A" w:rsidR="00D33E1E" w:rsidP="00D33E1E" w:rsidRDefault="00D33E1E" w14:paraId="3ED0980E" w14:textId="77777777">
      <w:pPr>
        <w:spacing w:after="0" w:line="360" w:lineRule="auto"/>
        <w:rPr>
          <w:rFonts w:eastAsia="Times New Roman" w:cs="Times New Roman"/>
          <w:color w:val="000000"/>
          <w:lang w:eastAsia="es-ES_tradnl"/>
        </w:rPr>
      </w:pPr>
      <w:r w:rsidRPr="00987D1A">
        <w:rPr>
          <w:rFonts w:eastAsia="Times New Roman" w:cs="Times New Roman"/>
          <w:color w:val="000000"/>
          <w:lang w:eastAsia="es-ES_tradnl"/>
        </w:rPr>
        <w:t> </w:t>
      </w:r>
    </w:p>
    <w:p w:rsidRPr="00987D1A" w:rsidR="00D33E1E" w:rsidP="00D33E1E" w:rsidRDefault="00D33E1E" w14:paraId="63662D8C" w14:textId="77777777">
      <w:pPr>
        <w:spacing w:after="0" w:line="360" w:lineRule="auto"/>
        <w:rPr>
          <w:rFonts w:eastAsia="Times New Roman" w:cs="Times New Roman"/>
          <w:color w:val="000000"/>
          <w:lang w:eastAsia="es-ES_tradnl"/>
        </w:rPr>
      </w:pPr>
      <w:r w:rsidRPr="00987D1A">
        <w:rPr>
          <w:rFonts w:eastAsia="Times New Roman" w:cs="Times New Roman"/>
          <w:color w:val="000000"/>
          <w:lang w:eastAsia="es-ES_tradnl"/>
        </w:rPr>
        <w:lastRenderedPageBreak/>
        <w:t>De la misma manera resulta aplicable el criterio sostenido por el Poder Judicial de la Federación de rubro </w:t>
      </w:r>
      <w:r w:rsidRPr="00987D1A">
        <w:rPr>
          <w:rFonts w:eastAsia="Times New Roman" w:cs="Times New Roman"/>
          <w:b/>
          <w:bCs/>
          <w:color w:val="000000"/>
          <w:lang w:eastAsia="es-ES_tradnl"/>
        </w:rPr>
        <w:t>ACTOS CONSENTIDOS TÁCITAMENTE</w:t>
      </w:r>
      <w:r w:rsidRPr="00987D1A">
        <w:rPr>
          <w:rFonts w:eastAsia="Times New Roman" w:cs="Times New Roman"/>
          <w:color w:val="000000"/>
          <w:lang w:eastAsia="es-ES_tradnl"/>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987D1A" w:rsidR="00D33E1E" w:rsidP="00D33E1E" w:rsidRDefault="00D33E1E" w14:paraId="61EE3EB5" w14:textId="77777777">
      <w:pPr>
        <w:spacing w:after="0" w:line="360" w:lineRule="auto"/>
        <w:rPr>
          <w:rFonts w:eastAsia="Times New Roman" w:cs="Times New Roman"/>
          <w:color w:val="000000"/>
          <w:lang w:eastAsia="es-ES_tradnl"/>
        </w:rPr>
      </w:pPr>
    </w:p>
    <w:p w:rsidRPr="00987D1A" w:rsidR="00D33E1E" w:rsidP="00D33E1E" w:rsidRDefault="00D33E1E" w14:paraId="0BE88059" w14:textId="77777777">
      <w:pPr>
        <w:spacing w:after="0" w:line="360" w:lineRule="auto"/>
        <w:rPr>
          <w:rFonts w:eastAsia="Times New Roman" w:cs="Times New Roman"/>
          <w:color w:val="000000"/>
          <w:lang w:eastAsia="es-ES_tradnl"/>
        </w:rPr>
      </w:pPr>
      <w:r w:rsidRPr="00987D1A">
        <w:rPr>
          <w:rFonts w:eastAsia="Times New Roman" w:cs="Times New Roman"/>
          <w:color w:val="000000"/>
          <w:lang w:eastAsia="es-ES_tradnl"/>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w:t>
      </w:r>
      <w:r w:rsidR="00E46E6F">
        <w:rPr>
          <w:rFonts w:eastAsia="Times New Roman" w:cs="Times New Roman"/>
          <w:color w:val="000000"/>
          <w:lang w:eastAsia="es-ES_tradnl"/>
        </w:rPr>
        <w:t>n de que estos quedaron firmes.</w:t>
      </w:r>
    </w:p>
    <w:p w:rsidRPr="00987D1A" w:rsidR="00D33E1E" w:rsidP="00D33E1E" w:rsidRDefault="00D33E1E" w14:paraId="71907A98" w14:textId="77777777">
      <w:pPr>
        <w:spacing w:after="0" w:line="360" w:lineRule="auto"/>
        <w:rPr>
          <w:rFonts w:eastAsia="Times New Roman" w:cs="Times New Roman"/>
          <w:color w:val="000000"/>
          <w:lang w:eastAsia="es-ES_tradnl"/>
        </w:rPr>
      </w:pPr>
    </w:p>
    <w:p w:rsidRPr="00987D1A" w:rsidR="00D33E1E" w:rsidP="00D33E1E" w:rsidRDefault="00D33E1E" w14:paraId="4EBC1620" w14:textId="77777777">
      <w:pPr>
        <w:spacing w:after="0" w:line="360" w:lineRule="auto"/>
        <w:rPr>
          <w:rFonts w:eastAsia="Times New Roman" w:cs="Tahoma"/>
          <w:bCs/>
          <w:color w:val="auto"/>
          <w:lang w:eastAsia="es-ES"/>
        </w:rPr>
      </w:pPr>
      <w:r w:rsidRPr="00987D1A">
        <w:rPr>
          <w:rFonts w:eastAsia="Times New Roman" w:cs="Tahoma"/>
          <w:bCs/>
          <w:color w:val="auto"/>
          <w:lang w:eastAsia="es-ES"/>
        </w:rPr>
        <w:t>Asimismo, resulta relevante traer a colación el Criterio de Interpretación: SO/001/2020, emitido por el Instituto Nacional de Transparencia, Acceso a la Información y Protección de Datos Personales, que establece lo siguiente:</w:t>
      </w:r>
    </w:p>
    <w:p w:rsidRPr="00987D1A" w:rsidR="00D33E1E" w:rsidP="00D33E1E" w:rsidRDefault="00D33E1E" w14:paraId="20A99BAC" w14:textId="77777777">
      <w:pPr>
        <w:spacing w:after="0" w:line="360" w:lineRule="auto"/>
        <w:rPr>
          <w:rFonts w:eastAsia="Times New Roman" w:cs="Times New Roman"/>
          <w:color w:val="000000"/>
          <w:lang w:eastAsia="es-ES_tradnl"/>
        </w:rPr>
      </w:pPr>
      <w:r w:rsidRPr="00987D1A">
        <w:rPr>
          <w:rFonts w:eastAsia="Times New Roman" w:cs="Times New Roman"/>
          <w:color w:val="000000"/>
          <w:lang w:eastAsia="es-ES_tradnl"/>
        </w:rPr>
        <w:t> </w:t>
      </w:r>
    </w:p>
    <w:p w:rsidRPr="00987D1A" w:rsidR="00D33E1E" w:rsidP="00D33E1E" w:rsidRDefault="00D33E1E" w14:paraId="25C5EB5B" w14:textId="77777777">
      <w:pPr>
        <w:spacing w:after="0" w:line="360" w:lineRule="auto"/>
        <w:ind w:left="567" w:right="567"/>
        <w:rPr>
          <w:rFonts w:eastAsia="Times New Roman" w:cs="Times New Roman"/>
          <w:color w:val="000000"/>
          <w:lang w:eastAsia="es-ES_tradnl"/>
        </w:rPr>
      </w:pPr>
      <w:r w:rsidRPr="00987D1A">
        <w:rPr>
          <w:rFonts w:eastAsia="Times New Roman" w:cs="Times New Roman"/>
          <w:b/>
          <w:bCs/>
          <w:i/>
          <w:iCs/>
          <w:color w:val="000000"/>
          <w:sz w:val="20"/>
          <w:szCs w:val="20"/>
          <w:lang w:eastAsia="es-ES_tradnl"/>
        </w:rPr>
        <w:t>“Actos consentidos tácitamente. Improcedencia de su análisis. </w:t>
      </w:r>
      <w:r w:rsidRPr="00987D1A">
        <w:rPr>
          <w:rFonts w:eastAsia="Times New Roman" w:cs="Times New Roman"/>
          <w:i/>
          <w:iCs/>
          <w:color w:val="000000"/>
          <w:sz w:val="20"/>
          <w:szCs w:val="20"/>
          <w:lang w:eastAsia="es-ES_tradnl"/>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987D1A" w:rsidR="00D33E1E" w:rsidP="00D33E1E" w:rsidRDefault="00D33E1E" w14:paraId="34E2BBAE" w14:textId="77777777">
      <w:pPr>
        <w:spacing w:after="0" w:line="360" w:lineRule="auto"/>
        <w:rPr>
          <w:rFonts w:eastAsia="Times New Roman" w:cs="Times New Roman"/>
          <w:color w:val="000000"/>
          <w:lang w:eastAsia="es-ES_tradnl"/>
        </w:rPr>
      </w:pPr>
    </w:p>
    <w:p w:rsidR="00E46E6F" w:rsidP="00D33E1E" w:rsidRDefault="00D33E1E" w14:paraId="7946CFD5" w14:textId="016F597C">
      <w:pPr>
        <w:spacing w:after="0" w:line="360" w:lineRule="auto"/>
        <w:rPr>
          <w:rFonts w:eastAsia="Times New Roman" w:cs="Times New Roman"/>
          <w:color w:val="000000"/>
          <w:lang w:eastAsia="es-ES_tradnl"/>
        </w:rPr>
      </w:pPr>
      <w:r w:rsidRPr="00987D1A">
        <w:rPr>
          <w:rFonts w:eastAsia="Times New Roman" w:cs="Times New Roman"/>
          <w:color w:val="000000"/>
          <w:lang w:eastAsia="es-ES_tradnl"/>
        </w:rPr>
        <w:t>Conforme al Criterio establecido, es improcedente entrar al análisis de las partes de la respuesta del Sujeto Obligado que no fueron impugnadas por la Recurrente; por lo que, en el presente caso, se tiene por consentida</w:t>
      </w:r>
      <w:r w:rsidR="00E46E6F">
        <w:rPr>
          <w:rFonts w:eastAsia="Times New Roman" w:cs="Times New Roman"/>
          <w:color w:val="000000"/>
          <w:lang w:eastAsia="es-ES_tradnl"/>
        </w:rPr>
        <w:t xml:space="preserve"> la modalidad </w:t>
      </w:r>
      <w:r w:rsidR="00E94B00">
        <w:rPr>
          <w:rFonts w:eastAsia="Times New Roman" w:cs="Times New Roman"/>
          <w:color w:val="000000"/>
          <w:lang w:eastAsia="es-ES_tradnl"/>
        </w:rPr>
        <w:t xml:space="preserve">de entrega y los montos entregados y </w:t>
      </w:r>
      <w:r w:rsidR="00E94B00">
        <w:rPr>
          <w:rFonts w:eastAsia="Times New Roman" w:cs="Times New Roman"/>
          <w:color w:val="000000"/>
          <w:lang w:val="x-none" w:eastAsia="es-ES_tradnl"/>
        </w:rPr>
        <w:t>únicamente se entrará al análisis de los delitos por los cuales se entregaron compensaciones subsidiaria</w:t>
      </w:r>
      <w:r w:rsidR="0001305B">
        <w:rPr>
          <w:rFonts w:eastAsia="Times New Roman" w:cs="Times New Roman"/>
          <w:color w:val="000000"/>
          <w:lang w:val="x-none" w:eastAsia="es-ES_tradnl"/>
        </w:rPr>
        <w:t>s.</w:t>
      </w:r>
      <w:r w:rsidR="00E46E6F">
        <w:rPr>
          <w:rFonts w:eastAsia="Calibri" w:cs="Tahoma"/>
          <w:iCs/>
          <w:lang w:val="es-ES" w:eastAsia="es-ES_tradnl"/>
        </w:rPr>
        <w:t xml:space="preserve"> </w:t>
      </w:r>
    </w:p>
    <w:p w:rsidRPr="00987D1A" w:rsidR="00D33E1E" w:rsidP="00D33E1E" w:rsidRDefault="00D33E1E" w14:paraId="2CA0257A" w14:textId="77777777">
      <w:pPr>
        <w:spacing w:after="0" w:line="360" w:lineRule="auto"/>
        <w:rPr>
          <w:rFonts w:eastAsia="Times New Roman" w:cs="Times New Roman"/>
          <w:color w:val="000000"/>
          <w:lang w:eastAsia="es-ES_tradnl"/>
        </w:rPr>
      </w:pPr>
    </w:p>
    <w:p w:rsidR="00413375" w:rsidP="00D33E1E" w:rsidRDefault="00D33E1E" w14:paraId="16CA7FFB" w14:textId="41E67E23">
      <w:pPr>
        <w:spacing w:after="0" w:line="360" w:lineRule="auto"/>
        <w:rPr>
          <w:rFonts w:eastAsia="Times New Roman" w:cs="Tahoma"/>
          <w:iCs/>
          <w:color w:val="auto"/>
          <w:lang w:val="es-ES" w:eastAsia="es-ES"/>
        </w:rPr>
      </w:pPr>
      <w:r w:rsidRPr="00987D1A">
        <w:rPr>
          <w:rFonts w:eastAsia="Times New Roman" w:cs="Tahoma"/>
          <w:iCs/>
          <w:color w:val="auto"/>
          <w:lang w:val="es-ES" w:eastAsia="es-ES"/>
        </w:rPr>
        <w:lastRenderedPageBreak/>
        <w:t xml:space="preserve">Así las cosas, una vez admitido y notificado a las partes el presente Medio de Impugnación, el Sujeto Obligado, a través de su Informe Justificado, </w:t>
      </w:r>
      <w:r w:rsidR="0001305B">
        <w:rPr>
          <w:rFonts w:eastAsia="Times New Roman" w:cs="Tahoma"/>
          <w:iCs/>
          <w:color w:val="auto"/>
          <w:lang w:val="es-ES" w:eastAsia="es-ES"/>
        </w:rPr>
        <w:t>modificó</w:t>
      </w:r>
      <w:r w:rsidR="00413375">
        <w:rPr>
          <w:rFonts w:eastAsia="Times New Roman" w:cs="Tahoma"/>
          <w:iCs/>
          <w:color w:val="auto"/>
          <w:lang w:val="es-ES" w:eastAsia="es-ES"/>
        </w:rPr>
        <w:t xml:space="preserve"> su respuesta inicial y aclaró </w:t>
      </w:r>
      <w:r w:rsidR="00620A59">
        <w:rPr>
          <w:rFonts w:eastAsia="Times New Roman" w:cs="Tahoma"/>
          <w:iCs/>
          <w:color w:val="auto"/>
          <w:lang w:val="es-ES" w:eastAsia="es-ES"/>
        </w:rPr>
        <w:t xml:space="preserve">el tipo de delitos por los cuales </w:t>
      </w:r>
      <w:r w:rsidR="00B0264A">
        <w:rPr>
          <w:rFonts w:eastAsia="Times New Roman" w:cs="Tahoma"/>
          <w:iCs/>
          <w:color w:val="auto"/>
          <w:lang w:val="es-ES" w:eastAsia="es-ES"/>
        </w:rPr>
        <w:t xml:space="preserve">se habían erogado recursos públicos </w:t>
      </w:r>
      <w:r w:rsidRPr="002858EF" w:rsidR="00B0264A">
        <w:rPr>
          <w:rFonts w:eastAsia="Times New Roman" w:cs="Tahoma"/>
          <w:iCs/>
          <w:color w:val="auto"/>
          <w:lang w:eastAsia="es-ES"/>
        </w:rPr>
        <w:t>Fondo de Ayuda, Asistencia y Reparación Integral</w:t>
      </w:r>
      <w:r w:rsidR="00B0264A">
        <w:rPr>
          <w:rFonts w:eastAsia="Times New Roman" w:cs="Tahoma"/>
          <w:iCs/>
          <w:color w:val="auto"/>
          <w:lang w:eastAsia="es-ES"/>
        </w:rPr>
        <w:t xml:space="preserve">, durante los ejercicios fiscales del dos mil dieciséis al dos mil veintidós a victimas o ofendidos, </w:t>
      </w:r>
      <w:r w:rsidR="0001305B">
        <w:rPr>
          <w:rFonts w:eastAsia="Times New Roman" w:cs="Tahoma"/>
          <w:iCs/>
          <w:color w:val="auto"/>
          <w:lang w:eastAsia="es-ES"/>
        </w:rPr>
        <w:t xml:space="preserve">por concepto de </w:t>
      </w:r>
      <w:proofErr w:type="spellStart"/>
      <w:r w:rsidR="0001305B">
        <w:rPr>
          <w:rFonts w:eastAsia="Times New Roman" w:cs="Tahoma"/>
          <w:iCs/>
          <w:color w:val="auto"/>
          <w:lang w:eastAsia="es-ES"/>
        </w:rPr>
        <w:t>compensaci</w:t>
      </w:r>
      <w:r w:rsidR="0001305B">
        <w:rPr>
          <w:rFonts w:eastAsia="Times New Roman" w:cs="Tahoma"/>
          <w:iCs/>
          <w:color w:val="auto"/>
          <w:lang w:val="x-none" w:eastAsia="es-ES"/>
        </w:rPr>
        <w:t>ón</w:t>
      </w:r>
      <w:proofErr w:type="spellEnd"/>
      <w:r w:rsidR="0001305B">
        <w:rPr>
          <w:rFonts w:eastAsia="Times New Roman" w:cs="Tahoma"/>
          <w:iCs/>
          <w:color w:val="auto"/>
          <w:lang w:val="x-none" w:eastAsia="es-ES"/>
        </w:rPr>
        <w:t xml:space="preserve"> subsidiaria.</w:t>
      </w:r>
      <w:r w:rsidR="00B0264A">
        <w:rPr>
          <w:rFonts w:eastAsia="Times New Roman" w:cs="Tahoma"/>
          <w:iCs/>
          <w:color w:val="auto"/>
          <w:lang w:eastAsia="es-ES"/>
        </w:rPr>
        <w:t xml:space="preserve"> </w:t>
      </w:r>
    </w:p>
    <w:p w:rsidRPr="00987D1A" w:rsidR="00D33E1E" w:rsidP="00D33E1E" w:rsidRDefault="00D33E1E" w14:paraId="31D9CFCE" w14:textId="77777777">
      <w:pPr>
        <w:tabs>
          <w:tab w:val="left" w:pos="4962"/>
        </w:tabs>
        <w:spacing w:after="0" w:line="360" w:lineRule="auto"/>
        <w:rPr>
          <w:rFonts w:eastAsia="Calibri" w:cs="Tahoma"/>
          <w:iCs/>
          <w:lang w:val="es-ES" w:eastAsia="es-ES_tradnl"/>
        </w:rPr>
      </w:pPr>
    </w:p>
    <w:p w:rsidRPr="00987D1A" w:rsidR="00D33E1E" w:rsidP="00D33E1E" w:rsidRDefault="00D33E1E" w14:paraId="0C05DFFD" w14:textId="77777777">
      <w:pPr>
        <w:spacing w:after="0" w:line="360" w:lineRule="auto"/>
      </w:pPr>
      <w:r w:rsidRPr="00987D1A">
        <w:t xml:space="preserve">Lo anterior, se desprende de las documentales que obran en el expediente de referencia, materia de la presente Resolución, consistentes en: la solicitud de acceso a la información; la respuesta del Sujeto Obligado; </w:t>
      </w:r>
      <w:r w:rsidRPr="00987D1A">
        <w:rPr>
          <w:bCs/>
        </w:rPr>
        <w:t xml:space="preserve">el </w:t>
      </w:r>
      <w:r w:rsidRPr="00987D1A">
        <w:t>escrito recursal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rsidRPr="00987D1A" w:rsidR="00D33E1E" w:rsidP="00D33E1E" w:rsidRDefault="00D33E1E" w14:paraId="586EB1B1" w14:textId="77777777">
      <w:pPr>
        <w:spacing w:after="0" w:line="360" w:lineRule="auto"/>
        <w:rPr>
          <w:rFonts w:eastAsia="Calibri" w:cs="Tahoma"/>
          <w:b/>
          <w:color w:val="000000"/>
          <w:szCs w:val="24"/>
          <w:lang w:eastAsia="es-MX"/>
        </w:rPr>
      </w:pPr>
    </w:p>
    <w:p w:rsidRPr="00987D1A" w:rsidR="00D33E1E" w:rsidP="00D33E1E" w:rsidRDefault="00D33E1E" w14:paraId="29A3C9C4" w14:textId="25595DAE">
      <w:pPr>
        <w:spacing w:after="0" w:line="360" w:lineRule="auto"/>
        <w:rPr>
          <w:rFonts w:eastAsia="Calibri" w:cs="Tahoma"/>
          <w:bCs/>
          <w:color w:val="000000"/>
          <w:szCs w:val="24"/>
          <w:lang w:val="es-ES" w:eastAsia="es-MX"/>
        </w:rPr>
      </w:pPr>
      <w:r w:rsidRPr="00987D1A">
        <w:rPr>
          <w:rFonts w:eastAsia="Calibri" w:cs="Tahoma"/>
          <w:bCs/>
          <w:color w:val="000000"/>
          <w:szCs w:val="24"/>
          <w:lang w:val="es-ES" w:eastAsia="es-MX"/>
        </w:rPr>
        <w:t xml:space="preserve">Como punto de partida se advierte que del análisis de las constancias que obran en el expediente en el que se actúa, el Sujeto Obligado turnó la solicitud de información a la </w:t>
      </w:r>
      <w:r w:rsidRPr="000871BA" w:rsidR="000871BA">
        <w:rPr>
          <w:rFonts w:eastAsia="Calibri" w:cs="Tahoma"/>
          <w:bCs/>
          <w:iCs/>
          <w:color w:val="000000"/>
          <w:szCs w:val="24"/>
          <w:lang w:val="es-ES" w:eastAsia="es-MX"/>
        </w:rPr>
        <w:t>Comisión Ejecutiva de Atención a Víctimas del Estado de México</w:t>
      </w:r>
      <w:r w:rsidRPr="00987D1A">
        <w:rPr>
          <w:rFonts w:cs="Tahoma"/>
          <w:bCs/>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Pr="00987D1A" w:rsidR="00D33E1E" w:rsidP="00D33E1E" w:rsidRDefault="00D33E1E" w14:paraId="0B801E5A" w14:textId="77777777">
      <w:pPr>
        <w:spacing w:after="0" w:line="360" w:lineRule="auto"/>
        <w:rPr>
          <w:rFonts w:cs="Tahoma"/>
          <w:bCs/>
        </w:rPr>
      </w:pPr>
    </w:p>
    <w:p w:rsidRPr="00987D1A" w:rsidR="00D33E1E" w:rsidP="00D33E1E" w:rsidRDefault="00D33E1E" w14:paraId="4D19145F" w14:textId="77777777">
      <w:pPr>
        <w:numPr>
          <w:ilvl w:val="0"/>
          <w:numId w:val="1"/>
        </w:numPr>
        <w:spacing w:after="0" w:line="360" w:lineRule="auto"/>
        <w:rPr>
          <w:rFonts w:eastAsia="Calibri" w:cs="Tahoma"/>
          <w:bCs/>
          <w:color w:val="000000"/>
          <w:lang w:val="es-ES"/>
        </w:rPr>
      </w:pPr>
      <w:r w:rsidRPr="00987D1A">
        <w:rPr>
          <w:rFonts w:eastAsia="Calibri" w:cs="Tahoma"/>
          <w:bCs/>
          <w:color w:val="000000"/>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987D1A" w:rsidR="00D33E1E" w:rsidP="00D33E1E" w:rsidRDefault="00D33E1E" w14:paraId="562F6AC2" w14:textId="77777777">
      <w:pPr>
        <w:spacing w:after="0" w:line="360" w:lineRule="auto"/>
        <w:ind w:left="720"/>
        <w:rPr>
          <w:rFonts w:eastAsia="Calibri" w:cs="Tahoma"/>
          <w:bCs/>
          <w:color w:val="000000"/>
          <w:lang w:val="es-ES"/>
        </w:rPr>
      </w:pPr>
    </w:p>
    <w:p w:rsidRPr="00987D1A" w:rsidR="00D33E1E" w:rsidP="00D33E1E" w:rsidRDefault="00D33E1E" w14:paraId="741F840B" w14:textId="77777777">
      <w:pPr>
        <w:numPr>
          <w:ilvl w:val="0"/>
          <w:numId w:val="1"/>
        </w:numPr>
        <w:spacing w:after="0" w:line="360" w:lineRule="auto"/>
        <w:rPr>
          <w:rFonts w:eastAsia="Calibri" w:cs="Tahoma"/>
          <w:bCs/>
          <w:color w:val="000000"/>
          <w:lang w:val="es-ES"/>
        </w:rPr>
      </w:pPr>
      <w:r w:rsidRPr="00987D1A">
        <w:rPr>
          <w:rFonts w:eastAsia="Calibri" w:cs="Tahoma"/>
          <w:bCs/>
          <w:color w:val="000000"/>
          <w:lang w:val="es-ES"/>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Pr="00987D1A" w:rsidR="00D33E1E" w:rsidP="00D33E1E" w:rsidRDefault="00D33E1E" w14:paraId="78198597" w14:textId="77777777">
      <w:pPr>
        <w:spacing w:after="0" w:line="360" w:lineRule="auto"/>
        <w:rPr>
          <w:rFonts w:eastAsia="Calibri" w:cs="Tahoma"/>
          <w:bCs/>
          <w:color w:val="000000"/>
        </w:rPr>
      </w:pPr>
    </w:p>
    <w:p w:rsidR="000871BA" w:rsidP="000871BA" w:rsidRDefault="00D33E1E" w14:paraId="1597994B" w14:textId="18F61B5B">
      <w:pPr>
        <w:spacing w:after="0" w:line="360" w:lineRule="auto"/>
        <w:rPr>
          <w:rFonts w:eastAsia="Calibri" w:cs="Tahoma"/>
          <w:bCs/>
          <w:color w:val="000000"/>
        </w:rPr>
      </w:pPr>
      <w:r w:rsidRPr="00987D1A">
        <w:rPr>
          <w:rFonts w:eastAsia="Calibri" w:cs="Tahoma"/>
          <w:bCs/>
          <w:color w:val="000000"/>
        </w:rPr>
        <w:t xml:space="preserve">Así, a efecto de determinar si el Sujeto Obligado cumplió con el procedimiento de búsqueda, resulta necesario traer al estudio lo previsto en </w:t>
      </w:r>
      <w:r w:rsidR="000871BA">
        <w:rPr>
          <w:rFonts w:eastAsia="Calibri" w:cs="Tahoma"/>
          <w:bCs/>
          <w:color w:val="000000"/>
        </w:rPr>
        <w:t xml:space="preserve">el artículo 4°, inciso b), fracción II, del Reglamento Interior de la </w:t>
      </w:r>
      <w:r w:rsidRPr="000871BA" w:rsidR="000871BA">
        <w:rPr>
          <w:rFonts w:eastAsia="Calibri" w:cs="Tahoma"/>
          <w:bCs/>
          <w:color w:val="000000"/>
        </w:rPr>
        <w:t>Secretaría de Justicia y Derechos Humanos</w:t>
      </w:r>
      <w:r w:rsidR="000871BA">
        <w:rPr>
          <w:rFonts w:eastAsia="Calibri" w:cs="Tahoma"/>
          <w:bCs/>
          <w:color w:val="000000"/>
        </w:rPr>
        <w:t xml:space="preserve"> el cual prevé uno de los Órganos Administrativos Desconcentrados de la Secretaría, es la </w:t>
      </w:r>
      <w:r w:rsidRPr="000871BA" w:rsidR="000871BA">
        <w:rPr>
          <w:rFonts w:eastAsia="Calibri" w:cs="Tahoma"/>
          <w:bCs/>
          <w:color w:val="000000"/>
        </w:rPr>
        <w:t>Comisión Ejecutiva de Atención a Víctimas del Estado de México</w:t>
      </w:r>
      <w:r w:rsidR="000871BA">
        <w:rPr>
          <w:rFonts w:eastAsia="Calibri" w:cs="Tahoma"/>
          <w:bCs/>
          <w:color w:val="000000"/>
        </w:rPr>
        <w:t>. Luego entonces, la Ley de Victimas del Estado de México, en su artículo 42, fracciones XVI y XXX, establen que la Comisión dentro de sus atribuciones estará el a</w:t>
      </w:r>
      <w:r w:rsidRPr="000871BA" w:rsidR="000871BA">
        <w:rPr>
          <w:rFonts w:eastAsia="Calibri" w:cs="Tahoma"/>
          <w:bCs/>
          <w:color w:val="000000"/>
        </w:rPr>
        <w:t>dministrar y vigilar el adecuado ejercicio del Fondo a fin de garantizar su óptimo y eficaz</w:t>
      </w:r>
      <w:r w:rsidR="000871BA">
        <w:rPr>
          <w:rFonts w:eastAsia="Calibri" w:cs="Tahoma"/>
          <w:bCs/>
          <w:color w:val="000000"/>
        </w:rPr>
        <w:t xml:space="preserve"> </w:t>
      </w:r>
      <w:r w:rsidRPr="000871BA" w:rsidR="000871BA">
        <w:rPr>
          <w:rFonts w:eastAsia="Calibri" w:cs="Tahoma"/>
          <w:bCs/>
          <w:color w:val="000000"/>
        </w:rPr>
        <w:t>funcionamiento, con base en los principios de publicidad, transparencia y rendición de cuentas</w:t>
      </w:r>
      <w:r w:rsidR="000871BA">
        <w:rPr>
          <w:rFonts w:eastAsia="Calibri" w:cs="Tahoma"/>
          <w:bCs/>
          <w:color w:val="000000"/>
        </w:rPr>
        <w:t xml:space="preserve">. </w:t>
      </w:r>
    </w:p>
    <w:p w:rsidR="000871BA" w:rsidP="00D33E1E" w:rsidRDefault="000871BA" w14:paraId="0B98AC4A" w14:textId="7B16580A">
      <w:pPr>
        <w:spacing w:after="0" w:line="360" w:lineRule="auto"/>
        <w:rPr>
          <w:rFonts w:eastAsia="Calibri" w:cs="Tahoma"/>
          <w:bCs/>
          <w:color w:val="000000"/>
        </w:rPr>
      </w:pPr>
    </w:p>
    <w:p w:rsidR="000871BA" w:rsidP="00D33E1E" w:rsidRDefault="000871BA" w14:paraId="629693A3" w14:textId="354415E7">
      <w:pPr>
        <w:spacing w:after="0" w:line="360" w:lineRule="auto"/>
        <w:rPr>
          <w:rFonts w:eastAsia="Calibri" w:cs="Tahoma"/>
          <w:bCs/>
          <w:color w:val="000000"/>
        </w:rPr>
      </w:pPr>
      <w:r>
        <w:rPr>
          <w:rFonts w:eastAsia="Calibri" w:cs="Tahoma"/>
          <w:bCs/>
          <w:color w:val="000000"/>
        </w:rPr>
        <w:t xml:space="preserve">En esa tesitura, se advierte que el Sujeto Obligado cumplió con el procedimiento de búsqueda </w:t>
      </w:r>
      <w:r w:rsidR="00FF09C8">
        <w:rPr>
          <w:rFonts w:eastAsia="Calibri" w:cs="Tahoma"/>
          <w:bCs/>
          <w:color w:val="000000"/>
        </w:rPr>
        <w:t xml:space="preserve">previsto en el artículo 162 de la Ley de Transparencia y Acceso a la Información Pública del Estado de México y Municipios, ya que el Sujeto Obligado turno del requerimiento de información al área competente para administrar el </w:t>
      </w:r>
      <w:r w:rsidRPr="00FF09C8" w:rsidR="00FF09C8">
        <w:rPr>
          <w:rFonts w:eastAsia="Calibri" w:cs="Tahoma"/>
          <w:bCs/>
          <w:color w:val="000000"/>
        </w:rPr>
        <w:t>Fondo Estatal de Ayuda, Asistencia y Reparación Integral</w:t>
      </w:r>
      <w:r w:rsidR="00FF09C8">
        <w:rPr>
          <w:rFonts w:eastAsia="Calibri" w:cs="Tahoma"/>
          <w:bCs/>
          <w:color w:val="000000"/>
        </w:rPr>
        <w:t xml:space="preserve">, del cual la hoy Recurrente requiere información, es decir, el requerimiento de información, se turnó a la </w:t>
      </w:r>
      <w:r w:rsidRPr="000871BA" w:rsidR="00FF09C8">
        <w:rPr>
          <w:rFonts w:eastAsia="Calibri" w:cs="Tahoma"/>
          <w:bCs/>
          <w:iCs/>
          <w:color w:val="000000"/>
          <w:szCs w:val="24"/>
          <w:lang w:val="es-ES" w:eastAsia="es-MX"/>
        </w:rPr>
        <w:t>Comisión Ejecutiva de Atención a Víctimas del Estado de México</w:t>
      </w:r>
      <w:r w:rsidR="00FF09C8">
        <w:rPr>
          <w:rFonts w:eastAsia="Calibri" w:cs="Tahoma"/>
          <w:bCs/>
          <w:iCs/>
          <w:color w:val="000000"/>
          <w:szCs w:val="24"/>
          <w:lang w:val="es-ES" w:eastAsia="es-MX"/>
        </w:rPr>
        <w:t xml:space="preserve">. </w:t>
      </w:r>
    </w:p>
    <w:p w:rsidR="00D33E1E" w:rsidP="00D33E1E" w:rsidRDefault="00D33E1E" w14:paraId="71A4C6C0" w14:textId="0962D2AA">
      <w:pPr>
        <w:spacing w:after="0" w:line="360" w:lineRule="auto"/>
        <w:rPr>
          <w:rFonts w:eastAsia="Calibri" w:cs="Tahoma"/>
          <w:bCs/>
          <w:color w:val="000000"/>
        </w:rPr>
      </w:pPr>
    </w:p>
    <w:p w:rsidRPr="000B0731" w:rsidR="000B0731" w:rsidP="000B0731" w:rsidRDefault="000B0731" w14:paraId="6BADB646" w14:textId="42542E70">
      <w:pPr>
        <w:spacing w:after="0" w:line="360" w:lineRule="auto"/>
        <w:contextualSpacing/>
        <w:rPr>
          <w:rFonts w:eastAsia="Calibri" w:cs="Times New Roman"/>
          <w:color w:val="000000"/>
        </w:rPr>
      </w:pPr>
      <w:r w:rsidRPr="000B0731">
        <w:rPr>
          <w:rFonts w:eastAsia="Calibri" w:cs="Times New Roman"/>
          <w:color w:val="000000"/>
        </w:rPr>
        <w:t xml:space="preserve">En las circunstancias apuntadas, del análisis de la respuesta proporcionada por el Sujeto Obligado, se advierte que este no emitió un pronunciamiento, ni </w:t>
      </w:r>
      <w:proofErr w:type="spellStart"/>
      <w:r w:rsidRPr="000B0731">
        <w:rPr>
          <w:rFonts w:eastAsia="Calibri" w:cs="Times New Roman"/>
          <w:color w:val="000000"/>
        </w:rPr>
        <w:t>proporcion</w:t>
      </w:r>
      <w:r w:rsidR="0001305B">
        <w:rPr>
          <w:rFonts w:eastAsia="Calibri" w:cs="Times New Roman"/>
          <w:color w:val="000000"/>
          <w:lang w:val="x-none"/>
        </w:rPr>
        <w:t>ó</w:t>
      </w:r>
      <w:proofErr w:type="spellEnd"/>
      <w:r w:rsidRPr="000B0731">
        <w:rPr>
          <w:rFonts w:eastAsia="Calibri" w:cs="Times New Roman"/>
          <w:color w:val="000000"/>
        </w:rPr>
        <w:t xml:space="preserve"> soporte documental </w:t>
      </w:r>
      <w:r>
        <w:rPr>
          <w:rFonts w:eastAsia="Calibri" w:cs="Times New Roman"/>
          <w:color w:val="000000"/>
        </w:rPr>
        <w:t xml:space="preserve">del tipo de delitos por cuales se habían entregado recursos públicos a las victimas de acuerdo con el </w:t>
      </w:r>
      <w:r w:rsidRPr="00FF09C8">
        <w:rPr>
          <w:rFonts w:eastAsia="Calibri" w:cs="Tahoma"/>
          <w:bCs/>
          <w:color w:val="000000"/>
        </w:rPr>
        <w:t>Fondo Estatal de Ayuda, Asistencia y Reparación Integral</w:t>
      </w:r>
      <w:r>
        <w:rPr>
          <w:rFonts w:eastAsia="Calibri" w:cs="Tahoma"/>
          <w:bCs/>
          <w:color w:val="000000"/>
        </w:rPr>
        <w:t xml:space="preserve">. </w:t>
      </w:r>
      <w:r w:rsidRPr="000B0731">
        <w:rPr>
          <w:rFonts w:eastAsia="Calibri" w:cs="Times New Roman"/>
          <w:color w:val="000000"/>
        </w:rPr>
        <w:t xml:space="preserve">Por este motivo, es necesario hacer referencia a lo previsto en la fracción XIII, del artículo 1.8 del </w:t>
      </w:r>
      <w:r w:rsidRPr="000B0731">
        <w:rPr>
          <w:rFonts w:eastAsia="Calibri" w:cs="Times New Roman"/>
          <w:color w:val="000000"/>
          <w:lang w:val="es-ES"/>
        </w:rPr>
        <w:t xml:space="preserve">Código </w:t>
      </w:r>
      <w:r w:rsidRPr="000B0731">
        <w:rPr>
          <w:rFonts w:eastAsia="Calibri" w:cs="Times New Roman"/>
          <w:color w:val="000000"/>
          <w:lang w:val="es-ES"/>
        </w:rPr>
        <w:lastRenderedPageBreak/>
        <w:t xml:space="preserve">Administrativo del Estado de México, el cual estable que para que un </w:t>
      </w:r>
      <w:r w:rsidRPr="000B0731">
        <w:rPr>
          <w:rFonts w:eastAsia="Calibri" w:cs="Times New Roman"/>
          <w:b/>
          <w:bCs/>
          <w:color w:val="000000"/>
          <w:lang w:val="es-ES"/>
        </w:rPr>
        <w:t>acto administrativo tenga validez</w:t>
      </w:r>
      <w:r w:rsidRPr="000B0731">
        <w:rPr>
          <w:rFonts w:eastAsia="Calibri" w:cs="Times New Roman"/>
          <w:color w:val="000000"/>
          <w:lang w:val="es-ES"/>
        </w:rPr>
        <w:t xml:space="preserve">, deberá resolver expresamente todos los puntos propuestos por lo interesados. </w:t>
      </w:r>
    </w:p>
    <w:p w:rsidRPr="000B0731" w:rsidR="000B0731" w:rsidP="000B0731" w:rsidRDefault="000B0731" w14:paraId="02368310" w14:textId="77777777">
      <w:pPr>
        <w:spacing w:after="0" w:line="360" w:lineRule="auto"/>
        <w:contextualSpacing/>
        <w:rPr>
          <w:rFonts w:eastAsia="Calibri" w:cs="Times New Roman"/>
          <w:color w:val="000000"/>
        </w:rPr>
      </w:pPr>
    </w:p>
    <w:p w:rsidRPr="000B0731" w:rsidR="000B0731" w:rsidP="000B0731" w:rsidRDefault="000B0731" w14:paraId="004EA8F3" w14:textId="09BFCF15">
      <w:pPr>
        <w:spacing w:after="0" w:line="360" w:lineRule="auto"/>
        <w:contextualSpacing/>
        <w:rPr>
          <w:rFonts w:eastAsia="Calibri" w:cs="Times New Roman"/>
          <w:bCs/>
          <w:color w:val="000000"/>
          <w:lang w:val="es-ES"/>
        </w:rPr>
      </w:pPr>
      <w:r w:rsidRPr="000B0731">
        <w:rPr>
          <w:rFonts w:eastAsia="Calibri" w:cs="Times New Roman"/>
          <w:color w:val="000000"/>
        </w:rPr>
        <w:t>A mayor abundamiento, resulta necesario citar</w:t>
      </w:r>
      <w:r w:rsidRPr="000B0731">
        <w:rPr>
          <w:rFonts w:eastAsia="Calibri" w:cs="Times New Roman"/>
          <w:bCs/>
          <w:color w:val="000000"/>
          <w:lang w:val="es-ES"/>
        </w:rPr>
        <w:t xml:space="preserve"> por analogía al presente estudio, el Criterio </w:t>
      </w:r>
      <w:r w:rsidR="0001305B">
        <w:rPr>
          <w:rFonts w:eastAsia="Calibri" w:cs="Times New Roman"/>
          <w:bCs/>
          <w:color w:val="000000"/>
          <w:lang w:val="es-ES"/>
        </w:rPr>
        <w:t>de Interpretación</w:t>
      </w:r>
      <w:r w:rsidR="0001305B">
        <w:rPr>
          <w:rFonts w:eastAsia="Calibri" w:cs="Times New Roman"/>
          <w:bCs/>
          <w:color w:val="000000"/>
          <w:lang w:val="x-none"/>
        </w:rPr>
        <w:t xml:space="preserve">, con clave de control </w:t>
      </w:r>
      <w:r w:rsidRPr="000B0731">
        <w:rPr>
          <w:rFonts w:eastAsia="Calibri" w:cs="Times New Roman"/>
          <w:bCs/>
          <w:color w:val="000000"/>
          <w:lang w:val="es-ES"/>
        </w:rPr>
        <w:t xml:space="preserve">SO/002/2017, de la Segunda Época, emitido por el Instituto Nacional de Transparencia, Acceso a la Información y Protección de Datos Personales, cuyo texto y rubro es el siguiente: </w:t>
      </w:r>
    </w:p>
    <w:p w:rsidRPr="000B0731" w:rsidR="000B0731" w:rsidP="000B0731" w:rsidRDefault="000B0731" w14:paraId="64B4253B" w14:textId="77777777">
      <w:pPr>
        <w:spacing w:after="0" w:line="360" w:lineRule="auto"/>
        <w:contextualSpacing/>
        <w:rPr>
          <w:rFonts w:eastAsia="Calibri" w:cs="Times New Roman"/>
          <w:bCs/>
          <w:color w:val="000000"/>
          <w:lang w:val="es-ES"/>
        </w:rPr>
      </w:pPr>
    </w:p>
    <w:p w:rsidRPr="000B0731" w:rsidR="000B0731" w:rsidP="000B0731" w:rsidRDefault="000B0731" w14:paraId="6E0526AF" w14:textId="77777777">
      <w:pPr>
        <w:spacing w:after="0" w:line="360" w:lineRule="auto"/>
        <w:ind w:left="567" w:right="567"/>
        <w:contextualSpacing/>
        <w:rPr>
          <w:rFonts w:eastAsia="Calibri" w:cs="Times New Roman"/>
          <w:i/>
          <w:color w:val="000000"/>
          <w:sz w:val="20"/>
          <w:szCs w:val="20"/>
        </w:rPr>
      </w:pPr>
      <w:r w:rsidRPr="000B0731">
        <w:rPr>
          <w:rFonts w:eastAsia="Calibri" w:cs="Times New Roman"/>
          <w:b/>
          <w:bCs/>
          <w:i/>
          <w:color w:val="000000"/>
          <w:sz w:val="20"/>
          <w:szCs w:val="20"/>
        </w:rPr>
        <w:t xml:space="preserve">“Congruencia y exhaustividad. Sus alcances para garantizar el derecho de acceso a la información. </w:t>
      </w:r>
      <w:r w:rsidRPr="000B0731">
        <w:rPr>
          <w:rFonts w:eastAsia="Calibri" w:cs="Times New Roman"/>
          <w:bCs/>
          <w:i/>
          <w:color w:val="000000"/>
          <w:sz w:val="20"/>
          <w:szCs w:val="20"/>
        </w:rPr>
        <w:t xml:space="preserve">De conformidad con el artículo </w:t>
      </w:r>
      <w:r w:rsidRPr="000B0731">
        <w:rPr>
          <w:rFonts w:eastAsia="Calibri" w:cs="Times New Roman"/>
          <w:bCs/>
          <w:i/>
          <w:color w:val="000000"/>
          <w:sz w:val="20"/>
          <w:szCs w:val="20"/>
          <w:lang w:val="es-ES_tradnl"/>
        </w:rPr>
        <w:t>3 de la Ley Federal de Procedimiento Administrativo</w:t>
      </w:r>
      <w:r w:rsidRPr="000B0731">
        <w:rPr>
          <w:rFonts w:eastAsia="Calibri" w:cs="Times New Roman"/>
          <w:bCs/>
          <w:i/>
          <w:color w:val="000000"/>
          <w:sz w:val="20"/>
          <w:szCs w:val="20"/>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0B0731">
        <w:rPr>
          <w:rFonts w:eastAsia="Calibri" w:cs="Times New Roman"/>
          <w:b/>
          <w:bCs/>
          <w:i/>
          <w:color w:val="000000"/>
          <w:sz w:val="20"/>
          <w:szCs w:val="20"/>
        </w:rPr>
        <w:t>la exhaustividad significa que dicha respuesta se refiera expresamente a cada uno de los puntos solicitados.</w:t>
      </w:r>
      <w:r w:rsidRPr="000B0731">
        <w:rPr>
          <w:rFonts w:eastAsia="Calibri" w:cs="Times New Roman"/>
          <w:i/>
          <w:color w:val="000000"/>
          <w:sz w:val="20"/>
          <w:szCs w:val="2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0B0731" w:rsidR="000B0731" w:rsidP="000B0731" w:rsidRDefault="000B0731" w14:paraId="56AA0AD9" w14:textId="77777777">
      <w:pPr>
        <w:spacing w:after="0" w:line="360" w:lineRule="auto"/>
        <w:contextualSpacing/>
        <w:rPr>
          <w:rFonts w:eastAsia="Calibri" w:cs="Times New Roman"/>
          <w:color w:val="000000"/>
          <w:lang w:val="es-ES"/>
        </w:rPr>
      </w:pPr>
    </w:p>
    <w:p w:rsidRPr="000B0731" w:rsidR="000B0731" w:rsidP="000B0731" w:rsidRDefault="000B0731" w14:paraId="546F09A9" w14:textId="3FB870CD">
      <w:pPr>
        <w:spacing w:after="0" w:line="360" w:lineRule="auto"/>
        <w:contextualSpacing/>
        <w:rPr>
          <w:rFonts w:eastAsia="Calibri" w:cs="Times New Roman"/>
          <w:b/>
          <w:bCs/>
          <w:color w:val="000000"/>
          <w:lang w:val="es-ES"/>
        </w:rPr>
      </w:pPr>
      <w:r w:rsidRPr="000B0731">
        <w:rPr>
          <w:rFonts w:eastAsia="Calibri" w:cs="Times New Roman"/>
          <w:color w:val="000000"/>
        </w:rPr>
        <w:t xml:space="preserve">Del citado criterio, se desprende que </w:t>
      </w:r>
      <w:r w:rsidRPr="000B0731">
        <w:rPr>
          <w:rFonts w:eastAsia="Calibri" w:cs="Times New Roman"/>
          <w:bCs/>
          <w:color w:val="000000"/>
        </w:rPr>
        <w:t>todo acto administrativo debe apegarse al</w:t>
      </w:r>
      <w:r w:rsidRPr="000B0731">
        <w:rPr>
          <w:rFonts w:eastAsia="Calibri" w:cs="Times New Roman"/>
          <w:color w:val="000000"/>
          <w:lang w:val="es-ES"/>
        </w:rPr>
        <w:t xml:space="preserve"> </w:t>
      </w:r>
      <w:r w:rsidRPr="000B0731">
        <w:rPr>
          <w:rFonts w:eastAsia="Calibri" w:cs="Times New Roman"/>
          <w:b/>
          <w:color w:val="000000"/>
          <w:lang w:val="es-ES"/>
        </w:rPr>
        <w:t xml:space="preserve">Principio de Exhaustividad, </w:t>
      </w:r>
      <w:r w:rsidRPr="000B0731">
        <w:rPr>
          <w:rFonts w:eastAsia="Calibri" w:cs="Times New Roman"/>
          <w:color w:val="000000"/>
          <w:lang w:val="es-ES"/>
        </w:rPr>
        <w:t>el cual</w:t>
      </w:r>
      <w:r w:rsidRPr="000B0731">
        <w:rPr>
          <w:rFonts w:eastAsia="Calibri" w:cs="Times New Roman"/>
          <w:b/>
          <w:color w:val="000000"/>
          <w:lang w:val="es-ES"/>
        </w:rPr>
        <w:t xml:space="preserve"> </w:t>
      </w:r>
      <w:r w:rsidRPr="000B0731">
        <w:rPr>
          <w:rFonts w:eastAsia="Calibri" w:cs="Times New Roman"/>
          <w:color w:val="000000"/>
          <w:lang w:val="es-ES"/>
        </w:rPr>
        <w:t>implica que exista concordancia entre el requerimiento formulado y la respuesta entregada; por tales consideraciones, al incumplir con dicho principio,</w:t>
      </w:r>
      <w:r w:rsidRPr="000B0731">
        <w:rPr>
          <w:rFonts w:eastAsia="Calibri" w:cs="Times New Roman"/>
          <w:b/>
          <w:color w:val="000000"/>
          <w:lang w:val="es-ES"/>
        </w:rPr>
        <w:t xml:space="preserve"> </w:t>
      </w:r>
      <w:r w:rsidRPr="000B0731">
        <w:rPr>
          <w:rFonts w:eastAsia="Calibri" w:cs="Times New Roman"/>
          <w:color w:val="000000"/>
          <w:lang w:val="es-ES"/>
        </w:rPr>
        <w:t xml:space="preserve">por parte del </w:t>
      </w:r>
      <w:r w:rsidRPr="000B0731">
        <w:rPr>
          <w:rFonts w:eastAsia="Calibri" w:cs="Times New Roman"/>
          <w:color w:val="000000"/>
        </w:rPr>
        <w:t>Sujeto Obligado</w:t>
      </w:r>
      <w:r w:rsidRPr="000B0731">
        <w:rPr>
          <w:rFonts w:eastAsia="Calibri" w:cs="Times New Roman"/>
          <w:color w:val="000000"/>
          <w:lang w:val="es-ES"/>
        </w:rPr>
        <w:t>, no se puede validar la contestación realizada</w:t>
      </w:r>
      <w:r>
        <w:rPr>
          <w:rFonts w:eastAsia="Calibri" w:cs="Times New Roman"/>
          <w:color w:val="000000"/>
          <w:lang w:val="es-ES"/>
        </w:rPr>
        <w:t xml:space="preserve">, razón por la cual el agravio hecho valer por la Recurrente deviene de </w:t>
      </w:r>
      <w:r>
        <w:rPr>
          <w:rFonts w:eastAsia="Calibri" w:cs="Times New Roman"/>
          <w:b/>
          <w:bCs/>
          <w:color w:val="000000"/>
          <w:lang w:val="es-ES"/>
        </w:rPr>
        <w:t xml:space="preserve">FUNDADO. </w:t>
      </w:r>
    </w:p>
    <w:p w:rsidRPr="000B0731" w:rsidR="000B0731" w:rsidP="00D33E1E" w:rsidRDefault="000B0731" w14:paraId="2F386DF2" w14:textId="22DE9A82">
      <w:pPr>
        <w:spacing w:after="0" w:line="360" w:lineRule="auto"/>
        <w:rPr>
          <w:rFonts w:eastAsia="Calibri" w:cs="Tahoma"/>
          <w:bCs/>
          <w:color w:val="000000"/>
          <w:lang w:val="es-ES"/>
        </w:rPr>
      </w:pPr>
    </w:p>
    <w:p w:rsidR="00FB1AB2" w:rsidP="00D33E1E" w:rsidRDefault="00D33E1E" w14:paraId="51B7CBEB" w14:textId="128CBFC7">
      <w:pPr>
        <w:spacing w:after="0" w:line="360" w:lineRule="auto"/>
        <w:rPr>
          <w:rFonts w:eastAsia="Times New Roman" w:cs="Times New Roman"/>
          <w:color w:val="auto"/>
          <w:lang w:val="x-none" w:eastAsia="es-ES"/>
        </w:rPr>
      </w:pPr>
      <w:r w:rsidRPr="00987D1A">
        <w:rPr>
          <w:rFonts w:eastAsia="Times New Roman" w:cs="Times New Roman"/>
          <w:color w:val="auto"/>
          <w:lang w:val="es-ES" w:eastAsia="es-ES"/>
        </w:rPr>
        <w:t xml:space="preserve">No obstante, durante la sustanciación del Medio de Impugnación, el Sujeto Obligado, </w:t>
      </w:r>
      <w:proofErr w:type="spellStart"/>
      <w:r w:rsidR="00AB0A48">
        <w:rPr>
          <w:rFonts w:eastAsia="Times New Roman" w:cs="Times New Roman"/>
          <w:color w:val="auto"/>
          <w:lang w:val="es-ES" w:eastAsia="es-ES"/>
        </w:rPr>
        <w:t>modific</w:t>
      </w:r>
      <w:r w:rsidR="0001305B">
        <w:rPr>
          <w:rFonts w:eastAsia="Times New Roman" w:cs="Times New Roman"/>
          <w:color w:val="auto"/>
          <w:lang w:val="x-none" w:eastAsia="es-ES"/>
        </w:rPr>
        <w:t>ó</w:t>
      </w:r>
      <w:proofErr w:type="spellEnd"/>
      <w:r w:rsidR="00FB1AB2">
        <w:rPr>
          <w:rFonts w:eastAsia="Times New Roman" w:cs="Times New Roman"/>
          <w:color w:val="auto"/>
          <w:lang w:val="x-none" w:eastAsia="es-ES"/>
        </w:rPr>
        <w:t xml:space="preserve"> su actuar, al señalar que en respuesta había proporcionado la información que obraba en sus </w:t>
      </w:r>
      <w:r w:rsidR="00FB1AB2">
        <w:rPr>
          <w:rFonts w:eastAsia="Times New Roman" w:cs="Times New Roman"/>
          <w:color w:val="auto"/>
          <w:lang w:val="x-none" w:eastAsia="es-ES"/>
        </w:rPr>
        <w:lastRenderedPageBreak/>
        <w:t xml:space="preserve">archivos, sin embargo, para privilegiar el principio de máxima publicidad, proporcionó de manera general, los delitos por los cuales se habían erogado recursos por compensación subsidiaria, como parte de la reparación del daño a las víctimas y ofendidos, los cuales eran los siguientes: </w:t>
      </w:r>
    </w:p>
    <w:p w:rsidR="00FB1AB2" w:rsidP="00D33E1E" w:rsidRDefault="00FB1AB2" w14:paraId="3CA5E420" w14:textId="432D6742">
      <w:pPr>
        <w:spacing w:after="0" w:line="360" w:lineRule="auto"/>
        <w:rPr>
          <w:rFonts w:eastAsia="Times New Roman" w:cs="Times New Roman"/>
          <w:color w:val="auto"/>
          <w:lang w:val="es-ES" w:eastAsia="es-ES"/>
        </w:rPr>
      </w:pPr>
    </w:p>
    <w:p w:rsidR="00FB1AB2" w:rsidP="00FB1AB2" w:rsidRDefault="00FB1AB2" w14:paraId="3FDF1B54" w14:textId="39B9FBDE">
      <w:pPr>
        <w:pStyle w:val="Prrafodelista"/>
        <w:numPr>
          <w:ilvl w:val="0"/>
          <w:numId w:val="6"/>
        </w:numPr>
        <w:spacing w:line="360" w:lineRule="auto"/>
        <w:rPr>
          <w:color w:val="auto"/>
          <w:lang w:val="es-ES"/>
        </w:rPr>
      </w:pPr>
      <w:r>
        <w:rPr>
          <w:color w:val="auto"/>
          <w:lang w:val="es-ES"/>
        </w:rPr>
        <w:t>Abuso sexual;</w:t>
      </w:r>
    </w:p>
    <w:p w:rsidR="00FB1AB2" w:rsidP="00FB1AB2" w:rsidRDefault="00FB1AB2" w14:paraId="2F00579B" w14:textId="75C3DC22">
      <w:pPr>
        <w:pStyle w:val="Prrafodelista"/>
        <w:numPr>
          <w:ilvl w:val="0"/>
          <w:numId w:val="6"/>
        </w:numPr>
        <w:spacing w:line="360" w:lineRule="auto"/>
        <w:rPr>
          <w:color w:val="auto"/>
          <w:lang w:val="es-ES"/>
        </w:rPr>
      </w:pPr>
      <w:r>
        <w:rPr>
          <w:color w:val="auto"/>
          <w:lang w:val="es-ES"/>
        </w:rPr>
        <w:t>Homicidio;</w:t>
      </w:r>
    </w:p>
    <w:p w:rsidR="00FB1AB2" w:rsidP="00FB1AB2" w:rsidRDefault="00FB1AB2" w14:paraId="75E0E814" w14:textId="5F896326">
      <w:pPr>
        <w:pStyle w:val="Prrafodelista"/>
        <w:numPr>
          <w:ilvl w:val="0"/>
          <w:numId w:val="6"/>
        </w:numPr>
        <w:spacing w:line="360" w:lineRule="auto"/>
        <w:rPr>
          <w:color w:val="auto"/>
          <w:lang w:val="es-ES"/>
        </w:rPr>
      </w:pPr>
      <w:r>
        <w:rPr>
          <w:color w:val="auto"/>
          <w:lang w:val="es-ES"/>
        </w:rPr>
        <w:t>Homicidio calificado;</w:t>
      </w:r>
    </w:p>
    <w:p w:rsidR="00FB1AB2" w:rsidP="00FB1AB2" w:rsidRDefault="00FB1AB2" w14:paraId="34AD9377" w14:textId="1589A451">
      <w:pPr>
        <w:pStyle w:val="Prrafodelista"/>
        <w:numPr>
          <w:ilvl w:val="0"/>
          <w:numId w:val="6"/>
        </w:numPr>
        <w:spacing w:line="360" w:lineRule="auto"/>
        <w:rPr>
          <w:color w:val="auto"/>
          <w:lang w:val="es-ES"/>
        </w:rPr>
      </w:pPr>
      <w:r>
        <w:rPr>
          <w:color w:val="auto"/>
          <w:lang w:val="es-ES"/>
        </w:rPr>
        <w:t>Homicidio doloso;</w:t>
      </w:r>
    </w:p>
    <w:p w:rsidR="00FB1AB2" w:rsidP="00FB1AB2" w:rsidRDefault="00FB1AB2" w14:paraId="5C717145" w14:textId="23D76897">
      <w:pPr>
        <w:pStyle w:val="Prrafodelista"/>
        <w:numPr>
          <w:ilvl w:val="0"/>
          <w:numId w:val="6"/>
        </w:numPr>
        <w:spacing w:line="360" w:lineRule="auto"/>
        <w:rPr>
          <w:color w:val="auto"/>
          <w:lang w:val="es-ES"/>
        </w:rPr>
      </w:pPr>
      <w:r>
        <w:rPr>
          <w:color w:val="auto"/>
          <w:lang w:val="es-ES"/>
        </w:rPr>
        <w:t>Homicidio simple intencional;</w:t>
      </w:r>
    </w:p>
    <w:p w:rsidR="00FB1AB2" w:rsidP="00FB1AB2" w:rsidRDefault="00FB1AB2" w14:paraId="19D4233A" w14:textId="4D8F4406">
      <w:pPr>
        <w:pStyle w:val="Prrafodelista"/>
        <w:numPr>
          <w:ilvl w:val="0"/>
          <w:numId w:val="6"/>
        </w:numPr>
        <w:spacing w:line="360" w:lineRule="auto"/>
        <w:rPr>
          <w:color w:val="auto"/>
          <w:lang w:val="es-ES"/>
        </w:rPr>
      </w:pPr>
      <w:r>
        <w:rPr>
          <w:color w:val="auto"/>
          <w:lang w:val="es-ES"/>
        </w:rPr>
        <w:t>Robo con modificativa agravante por haberse causado la muerte;</w:t>
      </w:r>
    </w:p>
    <w:p w:rsidR="00FB1AB2" w:rsidP="00FB1AB2" w:rsidRDefault="00FB1AB2" w14:paraId="7B17BBAD" w14:textId="229CC0F9">
      <w:pPr>
        <w:pStyle w:val="Prrafodelista"/>
        <w:numPr>
          <w:ilvl w:val="0"/>
          <w:numId w:val="6"/>
        </w:numPr>
        <w:spacing w:line="360" w:lineRule="auto"/>
        <w:rPr>
          <w:color w:val="auto"/>
          <w:lang w:val="es-ES"/>
        </w:rPr>
      </w:pPr>
      <w:r>
        <w:rPr>
          <w:color w:val="auto"/>
          <w:lang w:val="es-ES"/>
        </w:rPr>
        <w:t>Secuestro;</w:t>
      </w:r>
    </w:p>
    <w:p w:rsidR="00FB1AB2" w:rsidP="00FB1AB2" w:rsidRDefault="00FB1AB2" w14:paraId="72A3CB93" w14:textId="6612F58E">
      <w:pPr>
        <w:pStyle w:val="Prrafodelista"/>
        <w:numPr>
          <w:ilvl w:val="0"/>
          <w:numId w:val="6"/>
        </w:numPr>
        <w:spacing w:line="360" w:lineRule="auto"/>
        <w:rPr>
          <w:color w:val="auto"/>
          <w:lang w:val="es-ES"/>
        </w:rPr>
      </w:pPr>
      <w:r>
        <w:rPr>
          <w:color w:val="auto"/>
          <w:lang w:val="es-ES"/>
        </w:rPr>
        <w:t>Secuestro con modificativa;</w:t>
      </w:r>
    </w:p>
    <w:p w:rsidRPr="00FB1AB2" w:rsidR="00FB1AB2" w:rsidP="00FB1AB2" w:rsidRDefault="00FB1AB2" w14:paraId="00633323" w14:textId="08832712">
      <w:pPr>
        <w:pStyle w:val="Prrafodelista"/>
        <w:numPr>
          <w:ilvl w:val="0"/>
          <w:numId w:val="6"/>
        </w:numPr>
        <w:spacing w:line="360" w:lineRule="auto"/>
        <w:rPr>
          <w:color w:val="auto"/>
          <w:lang w:val="es-ES"/>
        </w:rPr>
      </w:pPr>
      <w:r>
        <w:rPr>
          <w:color w:val="auto"/>
          <w:lang w:val="es-ES"/>
        </w:rPr>
        <w:t>Violación</w:t>
      </w:r>
      <w:r>
        <w:rPr>
          <w:color w:val="auto"/>
          <w:lang w:val="x-none"/>
        </w:rPr>
        <w:t>;</w:t>
      </w:r>
    </w:p>
    <w:p w:rsidRPr="00FB1AB2" w:rsidR="00FB1AB2" w:rsidP="00FB1AB2" w:rsidRDefault="00FB1AB2" w14:paraId="01C4C36B" w14:textId="15868E45">
      <w:pPr>
        <w:pStyle w:val="Prrafodelista"/>
        <w:numPr>
          <w:ilvl w:val="0"/>
          <w:numId w:val="6"/>
        </w:numPr>
        <w:spacing w:line="360" w:lineRule="auto"/>
        <w:rPr>
          <w:color w:val="auto"/>
          <w:lang w:val="es-ES"/>
        </w:rPr>
      </w:pPr>
      <w:r>
        <w:rPr>
          <w:color w:val="auto"/>
          <w:lang w:val="es-ES"/>
        </w:rPr>
        <w:t>Violación</w:t>
      </w:r>
      <w:r>
        <w:rPr>
          <w:color w:val="auto"/>
          <w:lang w:val="x-none"/>
        </w:rPr>
        <w:t xml:space="preserve"> equiparada;</w:t>
      </w:r>
    </w:p>
    <w:p w:rsidRPr="00FB1AB2" w:rsidR="00FB1AB2" w:rsidP="00FB1AB2" w:rsidRDefault="00FB1AB2" w14:paraId="1AEDF6AA" w14:textId="2ADDA5C8">
      <w:pPr>
        <w:pStyle w:val="Prrafodelista"/>
        <w:numPr>
          <w:ilvl w:val="0"/>
          <w:numId w:val="6"/>
        </w:numPr>
        <w:spacing w:line="360" w:lineRule="auto"/>
        <w:rPr>
          <w:color w:val="auto"/>
          <w:lang w:val="es-ES"/>
        </w:rPr>
      </w:pPr>
      <w:r>
        <w:rPr>
          <w:color w:val="auto"/>
          <w:lang w:val="es-ES"/>
        </w:rPr>
        <w:t>Violación</w:t>
      </w:r>
      <w:r>
        <w:rPr>
          <w:color w:val="auto"/>
          <w:lang w:val="x-none"/>
        </w:rPr>
        <w:t xml:space="preserve"> con modificativa;</w:t>
      </w:r>
    </w:p>
    <w:p w:rsidRPr="00FB1AB2" w:rsidR="00FB1AB2" w:rsidP="00FB1AB2" w:rsidRDefault="00FB1AB2" w14:paraId="142DBFD4" w14:textId="26F63D8A">
      <w:pPr>
        <w:pStyle w:val="Prrafodelista"/>
        <w:numPr>
          <w:ilvl w:val="0"/>
          <w:numId w:val="6"/>
        </w:numPr>
        <w:spacing w:line="360" w:lineRule="auto"/>
        <w:rPr>
          <w:color w:val="auto"/>
          <w:lang w:val="es-ES"/>
        </w:rPr>
      </w:pPr>
      <w:r>
        <w:rPr>
          <w:color w:val="auto"/>
          <w:lang w:val="es-ES"/>
        </w:rPr>
        <w:t>Desaparición</w:t>
      </w:r>
      <w:r>
        <w:rPr>
          <w:color w:val="auto"/>
          <w:lang w:val="x-none"/>
        </w:rPr>
        <w:t xml:space="preserve"> de persona;</w:t>
      </w:r>
    </w:p>
    <w:p w:rsidR="00FB1AB2" w:rsidP="00FB1AB2" w:rsidRDefault="00FB1AB2" w14:paraId="4D348C7E" w14:textId="53E533EB">
      <w:pPr>
        <w:pStyle w:val="Prrafodelista"/>
        <w:numPr>
          <w:ilvl w:val="0"/>
          <w:numId w:val="6"/>
        </w:numPr>
        <w:spacing w:line="360" w:lineRule="auto"/>
        <w:rPr>
          <w:color w:val="auto"/>
          <w:lang w:val="es-ES"/>
        </w:rPr>
      </w:pPr>
      <w:r>
        <w:rPr>
          <w:color w:val="auto"/>
          <w:lang w:val="es-ES"/>
        </w:rPr>
        <w:t>Abuso de autoridad;</w:t>
      </w:r>
    </w:p>
    <w:p w:rsidR="00FB1AB2" w:rsidP="00FB1AB2" w:rsidRDefault="00FB1AB2" w14:paraId="1B05B01D" w14:textId="4286F49D">
      <w:pPr>
        <w:pStyle w:val="Prrafodelista"/>
        <w:numPr>
          <w:ilvl w:val="0"/>
          <w:numId w:val="6"/>
        </w:numPr>
        <w:spacing w:line="360" w:lineRule="auto"/>
        <w:rPr>
          <w:color w:val="auto"/>
          <w:lang w:val="es-ES"/>
        </w:rPr>
      </w:pPr>
      <w:r>
        <w:rPr>
          <w:color w:val="auto"/>
          <w:lang w:val="es-ES"/>
        </w:rPr>
        <w:t xml:space="preserve">Lesiones, y </w:t>
      </w:r>
    </w:p>
    <w:p w:rsidRPr="00FB1AB2" w:rsidR="00FB1AB2" w:rsidP="00FB1AB2" w:rsidRDefault="00FB1AB2" w14:paraId="4E630998" w14:textId="7C920567">
      <w:pPr>
        <w:pStyle w:val="Prrafodelista"/>
        <w:numPr>
          <w:ilvl w:val="0"/>
          <w:numId w:val="6"/>
        </w:numPr>
        <w:spacing w:line="360" w:lineRule="auto"/>
        <w:rPr>
          <w:color w:val="auto"/>
          <w:lang w:val="es-ES"/>
        </w:rPr>
      </w:pPr>
      <w:r>
        <w:rPr>
          <w:color w:val="auto"/>
          <w:lang w:val="es-ES"/>
        </w:rPr>
        <w:t>Feminicidio.</w:t>
      </w:r>
    </w:p>
    <w:p w:rsidR="0001305B" w:rsidP="00D33E1E" w:rsidRDefault="0001305B" w14:paraId="7F16323C" w14:textId="6D2842E0">
      <w:pPr>
        <w:spacing w:after="0" w:line="360" w:lineRule="auto"/>
        <w:rPr>
          <w:rFonts w:eastAsia="Times New Roman" w:cs="Times New Roman"/>
          <w:color w:val="auto"/>
          <w:lang w:val="es-ES" w:eastAsia="es-ES"/>
        </w:rPr>
      </w:pPr>
    </w:p>
    <w:p w:rsidRPr="00987D1A" w:rsidR="00D33E1E" w:rsidP="00D33E1E" w:rsidRDefault="00AB0A48" w14:paraId="134B6807" w14:textId="2F397A6C">
      <w:pPr>
        <w:spacing w:after="0" w:line="360" w:lineRule="auto"/>
        <w:rPr>
          <w:rFonts w:eastAsia="Calibri" w:cs="Tahoma"/>
        </w:rPr>
      </w:pPr>
      <w:r>
        <w:rPr>
          <w:rFonts w:eastAsia="Calibri" w:cs="Tahoma"/>
          <w:bCs/>
        </w:rPr>
        <w:t>A</w:t>
      </w:r>
      <w:r w:rsidRPr="00987D1A" w:rsidR="00D33E1E">
        <w:rPr>
          <w:rFonts w:eastAsia="Calibri" w:cs="Tahoma"/>
          <w:bCs/>
        </w:rPr>
        <w:t>l respecto, es señalar que este Instituto, no tiene atribuciones para pronunciarse sobre la veracidad de la información</w:t>
      </w:r>
      <w:r w:rsidR="00FB1AB2">
        <w:rPr>
          <w:rFonts w:eastAsia="Calibri" w:cs="Tahoma"/>
          <w:bCs/>
        </w:rPr>
        <w:t>, inclusive la proporcionada en Informe Justificado</w:t>
      </w:r>
      <w:r w:rsidRPr="00987D1A" w:rsidR="00D33E1E">
        <w:rPr>
          <w:rFonts w:eastAsia="Calibri" w:cs="Tahoma"/>
          <w:bCs/>
        </w:rPr>
        <w:t>. A</w:t>
      </w:r>
      <w:r w:rsidRPr="00987D1A" w:rsidR="00D33E1E">
        <w:rPr>
          <w:rFonts w:eastAsia="Calibri" w:cs="Tahoma"/>
          <w:bCs/>
          <w:iCs/>
        </w:rPr>
        <w:t xml:space="preserve">poya lo anterior, el </w:t>
      </w:r>
      <w:r w:rsidRPr="00987D1A" w:rsidR="00D33E1E">
        <w:rPr>
          <w:rFonts w:eastAsia="Calibri" w:cs="Tahoma"/>
          <w:bCs/>
          <w:lang w:val="es-ES"/>
        </w:rPr>
        <w:t xml:space="preserve">Criterio de Interpretación, de la Primera Época, con número de registro </w:t>
      </w:r>
      <w:r w:rsidRPr="00987D1A" w:rsidR="00D33E1E">
        <w:rPr>
          <w:rFonts w:eastAsia="Calibri" w:cs="Tahoma"/>
          <w:bCs/>
        </w:rPr>
        <w:t>SO/031/2010,</w:t>
      </w:r>
      <w:r w:rsidRPr="00987D1A" w:rsidR="00D33E1E">
        <w:rPr>
          <w:rFonts w:eastAsia="Calibri" w:cs="Tahoma"/>
          <w:bCs/>
          <w:iCs/>
        </w:rPr>
        <w:t xml:space="preserve"> emitido por el Pleno del entonces Instituto Federal de Acceso a la Información y Protección de Datos, que a continuación se cita:</w:t>
      </w:r>
    </w:p>
    <w:p w:rsidRPr="00987D1A" w:rsidR="00D33E1E" w:rsidP="00D33E1E" w:rsidRDefault="00D33E1E" w14:paraId="4EE286D2" w14:textId="77777777">
      <w:pPr>
        <w:spacing w:after="0" w:line="360" w:lineRule="auto"/>
        <w:rPr>
          <w:rFonts w:eastAsia="Calibri" w:cs="Tahoma"/>
          <w:bCs/>
          <w:color w:val="000000"/>
          <w:szCs w:val="24"/>
          <w:lang w:val="es-ES" w:eastAsia="es-MX"/>
        </w:rPr>
      </w:pPr>
    </w:p>
    <w:p w:rsidRPr="00987D1A" w:rsidR="00D33E1E" w:rsidP="00D33E1E" w:rsidRDefault="00D33E1E" w14:paraId="635AFB8E" w14:textId="77777777">
      <w:pPr>
        <w:spacing w:after="0" w:line="360" w:lineRule="auto"/>
        <w:ind w:left="567" w:right="567"/>
        <w:rPr>
          <w:rFonts w:eastAsia="Calibri" w:cs="Tahoma"/>
          <w:bCs/>
          <w:i/>
          <w:iCs/>
          <w:color w:val="000000"/>
          <w:sz w:val="20"/>
          <w:szCs w:val="20"/>
          <w:lang w:eastAsia="es-MX"/>
        </w:rPr>
      </w:pPr>
      <w:r w:rsidRPr="00987D1A">
        <w:rPr>
          <w:rFonts w:eastAsia="Calibri" w:cs="Tahoma"/>
          <w:b/>
          <w:bCs/>
          <w:i/>
          <w:iCs/>
          <w:color w:val="000000"/>
          <w:sz w:val="20"/>
          <w:szCs w:val="20"/>
          <w:lang w:eastAsia="es-MX"/>
        </w:rPr>
        <w:lastRenderedPageBreak/>
        <w:t xml:space="preserve">“El Instituto Federal de Acceso a la Información y Protección de Datos no cuenta con facultades para pronunciarse respecto de la veracidad de los documentos proporcionados por los sujetos obligados. </w:t>
      </w:r>
      <w:r w:rsidRPr="00987D1A">
        <w:rPr>
          <w:rFonts w:eastAsia="Calibri" w:cs="Tahoma"/>
          <w:bCs/>
          <w:i/>
          <w:iCs/>
          <w:color w:val="000000"/>
          <w:sz w:val="20"/>
          <w:szCs w:val="20"/>
          <w:lang w:eastAsia="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33E1E" w:rsidP="00D33E1E" w:rsidRDefault="00D33E1E" w14:paraId="34716B8D" w14:textId="4B1A5ED2">
      <w:pPr>
        <w:spacing w:after="0" w:line="360" w:lineRule="auto"/>
        <w:rPr>
          <w:rFonts w:eastAsia="Calibri" w:cs="Tahoma"/>
          <w:bCs/>
          <w:color w:val="000000"/>
          <w:szCs w:val="24"/>
          <w:lang w:eastAsia="es-MX"/>
        </w:rPr>
      </w:pPr>
    </w:p>
    <w:p w:rsidR="009E5C7C" w:rsidP="00D33E1E" w:rsidRDefault="00FB1AB2" w14:paraId="3BA8BD85" w14:textId="77777777">
      <w:pPr>
        <w:spacing w:after="0" w:line="360" w:lineRule="auto"/>
        <w:rPr>
          <w:lang w:val="es-ES"/>
        </w:rPr>
      </w:pPr>
      <w:proofErr w:type="spellStart"/>
      <w:r>
        <w:rPr>
          <w:rFonts w:eastAsia="Calibri" w:cs="Tahoma"/>
          <w:bCs/>
          <w:color w:val="000000"/>
          <w:szCs w:val="24"/>
          <w:lang w:eastAsia="es-MX"/>
        </w:rPr>
        <w:t>Adem</w:t>
      </w:r>
      <w:r>
        <w:rPr>
          <w:rFonts w:eastAsia="Calibri" w:cs="Tahoma"/>
          <w:bCs/>
          <w:color w:val="000000"/>
          <w:szCs w:val="24"/>
          <w:lang w:val="x-none" w:eastAsia="es-MX"/>
        </w:rPr>
        <w:t>ás</w:t>
      </w:r>
      <w:proofErr w:type="spellEnd"/>
      <w:r>
        <w:rPr>
          <w:rFonts w:eastAsia="Calibri" w:cs="Tahoma"/>
          <w:bCs/>
          <w:color w:val="000000"/>
          <w:szCs w:val="24"/>
          <w:lang w:val="x-none" w:eastAsia="es-MX"/>
        </w:rPr>
        <w:t xml:space="preserve">, este Instituto localizó en el apartado del </w:t>
      </w:r>
      <w:r w:rsidRPr="00AB0A48">
        <w:rPr>
          <w:iCs/>
          <w:lang w:val="es-ES"/>
        </w:rPr>
        <w:t>Fondo Estatal de Ayuda, Asistencia y Reparación Integral</w:t>
      </w:r>
      <w:r>
        <w:rPr>
          <w:iCs/>
          <w:lang w:val="es-ES"/>
        </w:rPr>
        <w:t xml:space="preserve"> de la </w:t>
      </w:r>
      <w:r w:rsidRPr="00AB0A48">
        <w:rPr>
          <w:lang w:val="es-ES"/>
        </w:rPr>
        <w:t>Comisión Ejecutiva de Atención a Víctimas del Estado de México</w:t>
      </w:r>
      <w:r w:rsidR="009E5C7C">
        <w:rPr>
          <w:lang w:val="es-ES"/>
        </w:rPr>
        <w:t xml:space="preserve"> (consultado en la liga </w:t>
      </w:r>
      <w:proofErr w:type="spellStart"/>
      <w:r w:rsidR="009E5C7C">
        <w:rPr>
          <w:lang w:val="es-ES"/>
        </w:rPr>
        <w:t>electr</w:t>
      </w:r>
      <w:r w:rsidR="009E5C7C">
        <w:rPr>
          <w:lang w:val="x-none"/>
        </w:rPr>
        <w:t>ónica</w:t>
      </w:r>
      <w:proofErr w:type="spellEnd"/>
      <w:r w:rsidR="009E5C7C">
        <w:rPr>
          <w:lang w:val="x-none"/>
        </w:rPr>
        <w:t xml:space="preserve"> </w:t>
      </w:r>
      <w:hyperlink w:history="1" r:id="rId14">
        <w:r w:rsidRPr="00AE6778" w:rsidR="009E5C7C">
          <w:rPr>
            <w:rStyle w:val="Hipervnculo"/>
          </w:rPr>
          <w:t>https://ceavem.edomex.gob.mx/fondo_estatal_ayuda</w:t>
        </w:r>
      </w:hyperlink>
      <w:r w:rsidR="009E5C7C">
        <w:rPr>
          <w:lang w:val="es-ES"/>
        </w:rPr>
        <w:t xml:space="preserve">), del cual se logra vislumbrar que dicho fondo </w:t>
      </w:r>
      <w:r w:rsidR="00AB0A48">
        <w:rPr>
          <w:lang w:val="es-ES"/>
        </w:rPr>
        <w:t>t</w:t>
      </w:r>
      <w:r w:rsidRPr="00AB0A48" w:rsidR="00AB0A48">
        <w:rPr>
          <w:lang w:val="es-ES"/>
        </w:rPr>
        <w:t>iene como objeto brindar los recursos necesarios para la ayuda, asistencia y reparación integral del daño a las personas en situación de víctimas u ofendidos de delitos o de violaciones a los derechos humanos, cuya supervisión corresponderá a la Comisión Ejecutiva de Atención a Víctimas del Estado de México.</w:t>
      </w:r>
      <w:r w:rsidR="00AB0A48">
        <w:rPr>
          <w:lang w:val="es-ES"/>
        </w:rPr>
        <w:t xml:space="preserve"> </w:t>
      </w:r>
    </w:p>
    <w:p w:rsidR="009E5C7C" w:rsidP="00D33E1E" w:rsidRDefault="009E5C7C" w14:paraId="3E528400" w14:textId="77777777">
      <w:pPr>
        <w:spacing w:after="0" w:line="360" w:lineRule="auto"/>
        <w:rPr>
          <w:lang w:val="es-ES"/>
        </w:rPr>
      </w:pPr>
    </w:p>
    <w:p w:rsidRPr="009E5C7C" w:rsidR="009E5C7C" w:rsidP="009E5C7C" w:rsidRDefault="009E5C7C" w14:paraId="1D94ECB7" w14:textId="46DDE551">
      <w:pPr>
        <w:spacing w:after="0" w:line="360" w:lineRule="auto"/>
        <w:rPr>
          <w:rFonts w:eastAsia="Times New Roman" w:cs="Tahoma"/>
          <w:color w:val="auto"/>
          <w:lang w:eastAsia="es-ES"/>
        </w:rPr>
      </w:pPr>
      <w:r>
        <w:rPr>
          <w:lang w:val="es-ES"/>
        </w:rPr>
        <w:t xml:space="preserve">De tales circunstancias, se logra vislumbrar que el Sujeto Obligado dio acceso </w:t>
      </w:r>
      <w:r>
        <w:rPr>
          <w:lang w:val="x-none"/>
        </w:rPr>
        <w:t xml:space="preserve">los delitos por los cuales se habían erogado recursos a las víctimas y ofendidos, por concepto de compensación subsidiaria; esto es, la información que obraba en sus archivos y daba cuenta de lo solicitado; dicha determinación, toma sustento en el </w:t>
      </w:r>
      <w:r w:rsidRPr="009E5C7C">
        <w:rPr>
          <w:rFonts w:eastAsia="Times New Roman" w:cs="Tahoma"/>
          <w:color w:val="auto"/>
          <w:lang w:eastAsia="es-ES"/>
        </w:rPr>
        <w:t xml:space="preserve">artículo 12 de la Ley de Transparencia y Acceso a la Información Pública del Estado de México y Municipios, que establece que los sujetos obligados sólo están constreñidos a proporcionar la información pública que obre en </w:t>
      </w:r>
      <w:r w:rsidRPr="009E5C7C">
        <w:rPr>
          <w:rFonts w:eastAsia="Times New Roman" w:cs="Tahoma"/>
          <w:color w:val="auto"/>
          <w:lang w:eastAsia="es-ES"/>
        </w:rPr>
        <w:lastRenderedPageBreak/>
        <w:t>sus archivos, en el estado en que esta se encuentre; por lo que, la entrega no comprende el procesamiento de la misma, ni presentarla conforme al interés del Solicitante.</w:t>
      </w:r>
    </w:p>
    <w:p w:rsidRPr="009E5C7C" w:rsidR="009E5C7C" w:rsidP="009E5C7C" w:rsidRDefault="009E5C7C" w14:paraId="7549DE47" w14:textId="77777777">
      <w:pPr>
        <w:spacing w:after="0" w:line="360" w:lineRule="auto"/>
        <w:rPr>
          <w:rFonts w:eastAsia="Times New Roman" w:cs="Tahoma"/>
          <w:bCs/>
          <w:iCs/>
          <w:color w:val="auto"/>
          <w:lang w:val="es-ES_tradnl" w:eastAsia="es-ES"/>
        </w:rPr>
      </w:pPr>
    </w:p>
    <w:p w:rsidRPr="009E5C7C" w:rsidR="009E5C7C" w:rsidP="009E5C7C" w:rsidRDefault="009E5C7C" w14:paraId="36FA6C25" w14:textId="49B333CF">
      <w:pPr>
        <w:tabs>
          <w:tab w:val="left" w:pos="4962"/>
        </w:tabs>
        <w:spacing w:after="0" w:line="360" w:lineRule="auto"/>
        <w:rPr>
          <w:rFonts w:eastAsia="Times New Roman" w:cs="Tahoma"/>
          <w:color w:val="auto"/>
          <w:lang w:eastAsia="es-ES"/>
        </w:rPr>
      </w:pPr>
      <w:r w:rsidRPr="009E5C7C">
        <w:rPr>
          <w:rFonts w:eastAsia="Times New Roman" w:cs="Tahoma"/>
          <w:color w:val="auto"/>
          <w:lang w:eastAsia="es-ES"/>
        </w:rPr>
        <w:t xml:space="preserve">De esta manera, </w:t>
      </w:r>
      <w:r w:rsidRPr="009E5C7C">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9E5C7C">
        <w:rPr>
          <w:rFonts w:eastAsia="Times New Roman" w:cs="Tahoma"/>
          <w:i/>
          <w:color w:val="auto"/>
          <w:lang w:eastAsia="es-ES"/>
        </w:rPr>
        <w:t>ad hoc</w:t>
      </w:r>
      <w:r w:rsidRPr="009E5C7C">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0B2098" w:rsidR="00D33E1E" w:rsidP="00D33E1E" w:rsidRDefault="009E5C7C" w14:paraId="6D317128" w14:textId="065459A9">
      <w:pPr>
        <w:spacing w:after="0" w:line="360" w:lineRule="auto"/>
        <w:rPr>
          <w:bCs/>
        </w:rPr>
      </w:pPr>
      <w:r w:rsidRPr="009E5C7C">
        <w:rPr>
          <w:rFonts w:eastAsia="Times New Roman" w:cs="Times New Roman"/>
          <w:color w:val="auto"/>
          <w:szCs w:val="20"/>
          <w:lang w:eastAsia="es-ES"/>
        </w:rPr>
        <w:t xml:space="preserve">De tales circunstancias, se concluye que los sujetos obligados únicamente se encuentran constreñidos a proporcionar los documentos que den cuenta de la información solicitada, </w:t>
      </w:r>
      <w:r w:rsidRPr="009E5C7C">
        <w:rPr>
          <w:rFonts w:eastAsia="Times New Roman" w:cs="Tahoma"/>
          <w:color w:val="auto"/>
          <w:lang w:val="es-ES" w:eastAsia="es-MX"/>
        </w:rPr>
        <w:t xml:space="preserve">como obren en sus archivos, sin tener que elaborarlos a las necesidades del Recurrente; lo cual, aconteció, pues proporcionó </w:t>
      </w:r>
      <w:r>
        <w:rPr>
          <w:rFonts w:eastAsia="Times New Roman" w:cs="Tahoma"/>
          <w:color w:val="auto"/>
          <w:lang w:val="es-ES" w:eastAsia="es-MX"/>
        </w:rPr>
        <w:t xml:space="preserve">los delitos por los cuales se </w:t>
      </w:r>
      <w:proofErr w:type="spellStart"/>
      <w:r>
        <w:rPr>
          <w:rFonts w:eastAsia="Times New Roman" w:cs="Tahoma"/>
          <w:color w:val="auto"/>
          <w:lang w:val="es-ES" w:eastAsia="es-MX"/>
        </w:rPr>
        <w:t>hab</w:t>
      </w:r>
      <w:r>
        <w:rPr>
          <w:rFonts w:eastAsia="Times New Roman" w:cs="Tahoma"/>
          <w:color w:val="auto"/>
          <w:lang w:val="x-none" w:eastAsia="es-MX"/>
        </w:rPr>
        <w:t>ían</w:t>
      </w:r>
      <w:proofErr w:type="spellEnd"/>
      <w:r>
        <w:rPr>
          <w:rFonts w:eastAsia="Times New Roman" w:cs="Tahoma"/>
          <w:color w:val="auto"/>
          <w:lang w:val="x-none" w:eastAsia="es-MX"/>
        </w:rPr>
        <w:t xml:space="preserve"> erogado recursos del Fondo Estatal de Ayuda, Asistencia y Reparación Integral,</w:t>
      </w:r>
      <w:r w:rsidR="000B2098">
        <w:rPr>
          <w:bCs/>
        </w:rPr>
        <w:t xml:space="preserve"> por lo que </w:t>
      </w:r>
      <w:r w:rsidRPr="00987D1A" w:rsidR="00D33E1E">
        <w:rPr>
          <w:bCs/>
        </w:rPr>
        <w:t>se considera que la controversia que se dirime ha quedado sin materia.</w:t>
      </w:r>
    </w:p>
    <w:p w:rsidRPr="00987D1A" w:rsidR="00D33E1E" w:rsidP="00D33E1E" w:rsidRDefault="00D33E1E" w14:paraId="1CCF0A16" w14:textId="77777777">
      <w:pPr>
        <w:spacing w:after="0" w:line="360" w:lineRule="auto"/>
        <w:rPr>
          <w:bCs/>
        </w:rPr>
      </w:pPr>
    </w:p>
    <w:p w:rsidRPr="00987D1A" w:rsidR="00D33E1E" w:rsidP="00D33E1E" w:rsidRDefault="00D33E1E" w14:paraId="4DC2BFE3" w14:textId="77777777">
      <w:pPr>
        <w:spacing w:after="0" w:line="360" w:lineRule="auto"/>
        <w:rPr>
          <w:rFonts w:eastAsia="Calibri" w:cs="Tahoma"/>
          <w:b/>
          <w:bCs/>
          <w:lang w:val="es-ES"/>
        </w:rPr>
      </w:pPr>
      <w:r w:rsidRPr="00987D1A">
        <w:rPr>
          <w:rFonts w:eastAsia="Calibri" w:cs="Tahoma"/>
          <w:b/>
          <w:bCs/>
          <w:lang w:val="es-ES"/>
        </w:rPr>
        <w:t xml:space="preserve">CUARTO. Decisión. </w:t>
      </w:r>
    </w:p>
    <w:p w:rsidRPr="00987D1A" w:rsidR="00D33E1E" w:rsidP="00D33E1E" w:rsidRDefault="00D33E1E" w14:paraId="434855C2" w14:textId="77777777">
      <w:pPr>
        <w:spacing w:after="0" w:line="360" w:lineRule="auto"/>
        <w:rPr>
          <w:rFonts w:eastAsia="Calibri" w:cs="Tahoma"/>
          <w:b/>
          <w:bCs/>
          <w:lang w:val="es-ES"/>
        </w:rPr>
      </w:pPr>
    </w:p>
    <w:p w:rsidRPr="00987D1A" w:rsidR="00D33E1E" w:rsidP="00D33E1E" w:rsidRDefault="00D33E1E" w14:paraId="490EDBB4" w14:textId="77777777">
      <w:pPr>
        <w:spacing w:after="0" w:line="360" w:lineRule="auto"/>
        <w:rPr>
          <w:rFonts w:eastAsia="Calibri" w:cs="Tahoma"/>
          <w:bCs/>
          <w:lang w:val="es-ES"/>
        </w:rPr>
      </w:pPr>
      <w:r w:rsidRPr="00987D1A">
        <w:rPr>
          <w:rFonts w:eastAsia="Calibri" w:cs="Tahoma"/>
          <w:bCs/>
          <w:lang w:val="es-ES"/>
        </w:rPr>
        <w:t xml:space="preserve">Con fundamento en lo dispuesto en el artículo 186, fracción I de la Ley de Transparencia y Acceso a la Información Pública del Estado de México y Municipios, se considera procedente </w:t>
      </w:r>
      <w:r w:rsidRPr="00987D1A">
        <w:rPr>
          <w:rFonts w:eastAsia="Calibri" w:cs="Tahoma"/>
          <w:b/>
          <w:bCs/>
          <w:lang w:val="es-ES"/>
        </w:rPr>
        <w:t xml:space="preserve">SOBRESEER </w:t>
      </w:r>
      <w:r w:rsidRPr="00987D1A">
        <w:rPr>
          <w:rFonts w:eastAsia="Calibri" w:cs="Tahoma"/>
          <w:bCs/>
          <w:lang w:val="es-ES"/>
        </w:rPr>
        <w:t>el Recurso de Revisión, en virtud de que se actualiza la hipótesis normativa prevista en la fracción III, del artículo 192, del citado ordenamiento legal.</w:t>
      </w:r>
    </w:p>
    <w:p w:rsidRPr="00987D1A" w:rsidR="00D33E1E" w:rsidP="00D33E1E" w:rsidRDefault="00D33E1E" w14:paraId="5A0F5544" w14:textId="77777777">
      <w:pPr>
        <w:spacing w:after="0" w:line="360" w:lineRule="auto"/>
        <w:rPr>
          <w:rFonts w:eastAsia="Calibri" w:cs="Tahoma"/>
          <w:bCs/>
          <w:lang w:val="es-ES"/>
        </w:rPr>
      </w:pPr>
    </w:p>
    <w:p w:rsidRPr="00987D1A" w:rsidR="00D33E1E" w:rsidP="00D33E1E" w:rsidRDefault="00D33E1E" w14:paraId="1946F97B" w14:textId="77777777">
      <w:pPr>
        <w:spacing w:after="0" w:line="360" w:lineRule="auto"/>
        <w:rPr>
          <w:rFonts w:eastAsia="Calibri" w:cs="Tahoma"/>
          <w:b/>
          <w:bCs/>
          <w:iCs/>
        </w:rPr>
      </w:pPr>
      <w:r w:rsidRPr="00987D1A">
        <w:rPr>
          <w:rFonts w:eastAsia="Calibri" w:cs="Tahoma"/>
          <w:b/>
          <w:bCs/>
          <w:iCs/>
        </w:rPr>
        <w:t>Términos de la Resolución para conocimiento del Particular.</w:t>
      </w:r>
    </w:p>
    <w:p w:rsidRPr="00987D1A" w:rsidR="00D33E1E" w:rsidP="00D33E1E" w:rsidRDefault="00D33E1E" w14:paraId="52DDAD1D" w14:textId="77777777">
      <w:pPr>
        <w:spacing w:after="0" w:line="360" w:lineRule="auto"/>
        <w:rPr>
          <w:rFonts w:eastAsia="Calibri" w:cs="Tahoma"/>
          <w:b/>
          <w:bCs/>
          <w:iCs/>
        </w:rPr>
      </w:pPr>
    </w:p>
    <w:p w:rsidR="000B2098" w:rsidP="00D33E1E" w:rsidRDefault="00D33E1E" w14:paraId="21C6FFEA" w14:textId="057F9705">
      <w:pPr>
        <w:spacing w:after="0" w:line="360" w:lineRule="auto"/>
        <w:rPr>
          <w:rFonts w:eastAsia="Calibri" w:cs="Tahoma"/>
          <w:bCs/>
          <w:iCs/>
          <w:lang w:val="es-ES"/>
        </w:rPr>
      </w:pPr>
      <w:r w:rsidRPr="00987D1A">
        <w:rPr>
          <w:rFonts w:eastAsia="Calibri" w:cs="Tahoma"/>
          <w:bCs/>
          <w:iCs/>
          <w:lang w:val="es-ES"/>
        </w:rPr>
        <w:t xml:space="preserve">Se le hace del conocimiento del Particular, que, si bien en un principio se le daba la razón, pues el Sujeto Obligado no atendió en su totalidad todos los requerimientos de información planteados, lo cierto es que mediante su Informe Justificado hizo de su conocimiento </w:t>
      </w:r>
      <w:r w:rsidR="000B2098">
        <w:rPr>
          <w:rFonts w:eastAsia="Calibri" w:cs="Tahoma"/>
          <w:bCs/>
          <w:iCs/>
          <w:lang w:val="es-ES"/>
        </w:rPr>
        <w:t xml:space="preserve">la </w:t>
      </w:r>
      <w:r w:rsidR="000B2098">
        <w:rPr>
          <w:rFonts w:eastAsia="Calibri" w:cs="Tahoma"/>
          <w:bCs/>
          <w:iCs/>
          <w:lang w:val="es-ES"/>
        </w:rPr>
        <w:lastRenderedPageBreak/>
        <w:t xml:space="preserve">información consistente en el </w:t>
      </w:r>
      <w:r w:rsidR="00754322">
        <w:rPr>
          <w:rFonts w:eastAsia="Calibri" w:cs="Tahoma"/>
          <w:bCs/>
          <w:iCs/>
          <w:lang w:val="es-ES"/>
        </w:rPr>
        <w:t xml:space="preserve">tipo de delitos por los cuales se habían erogado recursos públicos a cargo del </w:t>
      </w:r>
      <w:r w:rsidRPr="00AB0A48" w:rsidR="00754322">
        <w:rPr>
          <w:iCs/>
          <w:lang w:val="es-ES"/>
        </w:rPr>
        <w:t>Fondo Estatal de Ayuda, Asistencia y Reparación Integral</w:t>
      </w:r>
      <w:r w:rsidR="00754322">
        <w:rPr>
          <w:iCs/>
          <w:lang w:val="es-ES"/>
        </w:rPr>
        <w:t xml:space="preserve">. </w:t>
      </w:r>
    </w:p>
    <w:p w:rsidRPr="00987D1A" w:rsidR="00D33E1E" w:rsidP="00D33E1E" w:rsidRDefault="00D33E1E" w14:paraId="4997B307" w14:textId="77777777">
      <w:pPr>
        <w:spacing w:after="0" w:line="360" w:lineRule="auto"/>
        <w:rPr>
          <w:rFonts w:eastAsia="Calibri" w:cs="Tahoma"/>
          <w:bCs/>
          <w:iCs/>
          <w:lang w:val="es-ES"/>
        </w:rPr>
      </w:pPr>
    </w:p>
    <w:p w:rsidRPr="00987D1A" w:rsidR="00D33E1E" w:rsidP="00D33E1E" w:rsidRDefault="00D33E1E" w14:paraId="5BBC02CF" w14:textId="77777777">
      <w:pPr>
        <w:spacing w:after="0" w:line="360" w:lineRule="auto"/>
        <w:rPr>
          <w:rFonts w:eastAsia="Calibri" w:cs="Tahoma"/>
          <w:bCs/>
          <w:iCs/>
          <w:lang w:val="es-ES"/>
        </w:rPr>
      </w:pPr>
      <w:r w:rsidRPr="00987D1A">
        <w:rPr>
          <w:rFonts w:eastAsia="Calibri" w:cs="Tahoma"/>
          <w:bCs/>
          <w:iCs/>
          <w:lang w:val="es-ES"/>
        </w:rPr>
        <w:t xml:space="preserve">Finalmente, </w:t>
      </w:r>
      <w:r w:rsidRPr="00987D1A">
        <w:rPr>
          <w:rFonts w:eastAsia="Calibri" w:cs="Tahoma"/>
          <w:bCs/>
          <w:iCs/>
          <w:lang w:val="es-ES_tradnl"/>
        </w:rPr>
        <w:t>la labor del Instituto de Transparencia, Acceso a la Información Pública y Protección de Datos Personales del Estado de México y Municipios, es apoyar a la población a acceder a la información pública y garantizar la protección de los datos personales.</w:t>
      </w:r>
    </w:p>
    <w:p w:rsidRPr="00987D1A" w:rsidR="00D33E1E" w:rsidP="00D33E1E" w:rsidRDefault="00D33E1E" w14:paraId="56C4B549" w14:textId="77777777">
      <w:pPr>
        <w:spacing w:after="0" w:line="360" w:lineRule="auto"/>
        <w:rPr>
          <w:rFonts w:eastAsia="Calibri" w:cs="Tahoma"/>
          <w:bCs/>
          <w:lang w:val="es-ES"/>
        </w:rPr>
      </w:pPr>
    </w:p>
    <w:p w:rsidRPr="00987D1A" w:rsidR="00D33E1E" w:rsidP="00D33E1E" w:rsidRDefault="00D33E1E" w14:paraId="536B958C" w14:textId="77777777">
      <w:pPr>
        <w:spacing w:after="0" w:line="360" w:lineRule="auto"/>
        <w:rPr>
          <w:rFonts w:eastAsia="Calibri" w:cs="Tahoma"/>
          <w:bCs/>
        </w:rPr>
      </w:pPr>
      <w:r w:rsidRPr="00987D1A">
        <w:rPr>
          <w:rFonts w:eastAsia="Calibri" w:cs="Tahoma"/>
          <w:bCs/>
        </w:rPr>
        <w:t>Por lo expuesto y fundado, este Pleno:</w:t>
      </w:r>
    </w:p>
    <w:p w:rsidRPr="00987D1A" w:rsidR="00D33E1E" w:rsidP="00D33E1E" w:rsidRDefault="00D33E1E" w14:paraId="61550881" w14:textId="77777777">
      <w:pPr>
        <w:spacing w:after="0" w:line="360" w:lineRule="auto"/>
        <w:rPr>
          <w:rFonts w:eastAsia="Calibri" w:cs="Tahoma"/>
          <w:bCs/>
        </w:rPr>
      </w:pPr>
    </w:p>
    <w:p w:rsidRPr="00987D1A" w:rsidR="00D33E1E" w:rsidP="00D33E1E" w:rsidRDefault="00D33E1E" w14:paraId="1634253E" w14:textId="77777777">
      <w:pPr>
        <w:spacing w:after="0" w:line="360" w:lineRule="auto"/>
        <w:jc w:val="center"/>
        <w:rPr>
          <w:rFonts w:eastAsia="Calibri" w:cs="Tahoma"/>
          <w:b/>
          <w:bCs/>
          <w:iCs/>
        </w:rPr>
      </w:pPr>
      <w:r w:rsidRPr="00987D1A">
        <w:rPr>
          <w:rFonts w:eastAsia="Calibri" w:cs="Tahoma"/>
          <w:b/>
          <w:bCs/>
          <w:iCs/>
        </w:rPr>
        <w:t>R E S U E L V E:</w:t>
      </w:r>
    </w:p>
    <w:p w:rsidRPr="00987D1A" w:rsidR="00D33E1E" w:rsidP="00D33E1E" w:rsidRDefault="00D33E1E" w14:paraId="69856FF9" w14:textId="77777777">
      <w:pPr>
        <w:spacing w:after="0" w:line="360" w:lineRule="auto"/>
        <w:rPr>
          <w:rFonts w:eastAsia="Calibri" w:cs="Tahoma"/>
          <w:b/>
          <w:bCs/>
          <w:iCs/>
        </w:rPr>
      </w:pPr>
    </w:p>
    <w:p w:rsidRPr="00987D1A" w:rsidR="00D33E1E" w:rsidP="00D33E1E" w:rsidRDefault="00D33E1E" w14:paraId="3F2582FE" w14:textId="77777777">
      <w:pPr>
        <w:spacing w:after="0" w:line="360" w:lineRule="auto"/>
        <w:rPr>
          <w:rFonts w:eastAsia="Calibri" w:cs="Tahoma"/>
          <w:b/>
          <w:bCs/>
          <w:iCs/>
        </w:rPr>
      </w:pPr>
      <w:r w:rsidRPr="00987D1A">
        <w:rPr>
          <w:rFonts w:eastAsia="Calibri" w:cs="Tahoma"/>
          <w:b/>
          <w:bCs/>
          <w:iCs/>
        </w:rPr>
        <w:t xml:space="preserve">PRIMERO. </w:t>
      </w:r>
      <w:r w:rsidRPr="00987D1A">
        <w:rPr>
          <w:rFonts w:eastAsia="Calibri" w:cs="Tahoma"/>
          <w:bCs/>
          <w:iCs/>
        </w:rPr>
        <w:t xml:space="preserve">Se </w:t>
      </w:r>
      <w:r w:rsidRPr="00987D1A">
        <w:rPr>
          <w:rFonts w:eastAsia="Calibri" w:cs="Tahoma"/>
          <w:b/>
          <w:bCs/>
          <w:iCs/>
        </w:rPr>
        <w:t xml:space="preserve">SOBRESEE </w:t>
      </w:r>
      <w:r w:rsidRPr="00987D1A">
        <w:rPr>
          <w:rFonts w:eastAsia="Calibri" w:cs="Tahoma"/>
          <w:bCs/>
          <w:iCs/>
        </w:rPr>
        <w:t>el Recurso de Revisión con número</w:t>
      </w:r>
      <w:r w:rsidRPr="00987D1A">
        <w:rPr>
          <w:rFonts w:eastAsia="Calibri" w:cs="Tahoma"/>
          <w:b/>
          <w:bCs/>
          <w:iCs/>
        </w:rPr>
        <w:t xml:space="preserve"> </w:t>
      </w:r>
      <w:r>
        <w:rPr>
          <w:rFonts w:eastAsia="Calibri" w:cs="Tahoma"/>
          <w:bCs/>
          <w:iCs/>
        </w:rPr>
        <w:t>15571/INFOEM/IP/RR/2022</w:t>
      </w:r>
      <w:r w:rsidRPr="00987D1A">
        <w:rPr>
          <w:rFonts w:eastAsia="Calibri" w:cs="Tahoma"/>
          <w:bCs/>
          <w:iCs/>
        </w:rPr>
        <w:t>,</w:t>
      </w:r>
      <w:r w:rsidRPr="00987D1A">
        <w:rPr>
          <w:rFonts w:eastAsia="Calibri" w:cs="Tahoma"/>
          <w:bCs/>
          <w:iCs/>
          <w:color w:val="auto"/>
        </w:rPr>
        <w:t xml:space="preserve"> </w:t>
      </w:r>
      <w:r w:rsidRPr="00987D1A">
        <w:rPr>
          <w:rFonts w:eastAsia="Calibri" w:cs="Tahoma"/>
          <w:bCs/>
          <w:iCs/>
          <w:color w:val="auto"/>
          <w:lang w:val="es-ES"/>
        </w:rPr>
        <w:t>en términos del artículo 192, fracción III, de la Ley de Transparencia y Acceso a la Información Pública del Estado de México y Municipios</w:t>
      </w:r>
      <w:r w:rsidRPr="00987D1A">
        <w:rPr>
          <w:rFonts w:cs="Arial"/>
          <w:bCs/>
          <w:color w:val="000000"/>
          <w:lang w:val="es-ES"/>
        </w:rPr>
        <w:t xml:space="preserve">, </w:t>
      </w:r>
      <w:r w:rsidRPr="00987D1A">
        <w:rPr>
          <w:rFonts w:cs="Tahoma"/>
          <w:bCs/>
          <w:iCs/>
          <w:szCs w:val="24"/>
          <w:lang w:val="es-ES_tradnl"/>
        </w:rPr>
        <w:t>porque el Sujeto Obligado al modificar la respuesta de la solicitud de acceso a la información con número de folio</w:t>
      </w:r>
      <w:r w:rsidRPr="00987D1A">
        <w:rPr>
          <w:rFonts w:eastAsia="Calibri" w:cs="Tahoma"/>
          <w:bCs/>
          <w:iCs/>
        </w:rPr>
        <w:t xml:space="preserve"> </w:t>
      </w:r>
      <w:r>
        <w:rPr>
          <w:rFonts w:eastAsia="Calibri" w:cs="Tahoma"/>
          <w:bCs/>
          <w:iCs/>
        </w:rPr>
        <w:t>00267/SJDH/IP/2022</w:t>
      </w:r>
      <w:r w:rsidRPr="00987D1A">
        <w:rPr>
          <w:rFonts w:eastAsia="Calibri" w:cs="Tahoma"/>
          <w:bCs/>
          <w:iCs/>
        </w:rPr>
        <w:t>, el Medio de Impugnación, quedó sin materia, en términos de los Considerandos</w:t>
      </w:r>
      <w:r w:rsidRPr="00987D1A">
        <w:rPr>
          <w:rFonts w:eastAsia="Calibri" w:cs="Tahoma"/>
          <w:b/>
          <w:bCs/>
          <w:iCs/>
        </w:rPr>
        <w:t xml:space="preserve"> </w:t>
      </w:r>
      <w:r w:rsidRPr="00987D1A">
        <w:rPr>
          <w:rFonts w:eastAsia="Calibri" w:cs="Tahoma"/>
          <w:bCs/>
          <w:iCs/>
        </w:rPr>
        <w:t>TERCERO y CUARTO</w:t>
      </w:r>
      <w:r w:rsidRPr="00987D1A">
        <w:rPr>
          <w:rFonts w:eastAsia="Calibri" w:cs="Tahoma"/>
          <w:b/>
          <w:bCs/>
          <w:iCs/>
        </w:rPr>
        <w:t xml:space="preserve"> </w:t>
      </w:r>
      <w:r w:rsidRPr="00987D1A">
        <w:rPr>
          <w:rFonts w:eastAsia="Calibri" w:cs="Tahoma"/>
          <w:bCs/>
          <w:iCs/>
        </w:rPr>
        <w:t>de la presente Resolución.</w:t>
      </w:r>
    </w:p>
    <w:p w:rsidRPr="00987D1A" w:rsidR="00D33E1E" w:rsidP="00D33E1E" w:rsidRDefault="00D33E1E" w14:paraId="1D1F1474" w14:textId="77777777">
      <w:pPr>
        <w:spacing w:after="0" w:line="360" w:lineRule="auto"/>
        <w:rPr>
          <w:rFonts w:eastAsia="Calibri" w:cs="Tahoma"/>
          <w:b/>
          <w:bCs/>
          <w:iCs/>
        </w:rPr>
      </w:pPr>
    </w:p>
    <w:p w:rsidRPr="00987D1A" w:rsidR="00D33E1E" w:rsidP="00D33E1E" w:rsidRDefault="00D33E1E" w14:paraId="4C60793C" w14:textId="77777777">
      <w:pPr>
        <w:spacing w:after="0" w:line="360" w:lineRule="auto"/>
        <w:rPr>
          <w:rFonts w:eastAsia="Calibri" w:cs="Tahoma"/>
          <w:b/>
          <w:bCs/>
          <w:iCs/>
        </w:rPr>
      </w:pPr>
      <w:r w:rsidRPr="00987D1A">
        <w:rPr>
          <w:rFonts w:eastAsia="Calibri" w:cs="Tahoma"/>
          <w:b/>
          <w:bCs/>
          <w:iCs/>
        </w:rPr>
        <w:t xml:space="preserve">SEGUNDO. NOTIFÍQUESE </w:t>
      </w:r>
      <w:r w:rsidRPr="00987D1A">
        <w:rPr>
          <w:rFonts w:eastAsia="Calibri" w:cs="Tahoma"/>
          <w:bCs/>
          <w:iCs/>
        </w:rPr>
        <w:t>la presente Resolución al Titular de la Unidad de Transparencia del Sujeto Obligado.</w:t>
      </w:r>
    </w:p>
    <w:p w:rsidRPr="00987D1A" w:rsidR="00D33E1E" w:rsidP="00D33E1E" w:rsidRDefault="00D33E1E" w14:paraId="2C17DD7F" w14:textId="77777777">
      <w:pPr>
        <w:spacing w:after="0" w:line="360" w:lineRule="auto"/>
        <w:rPr>
          <w:rFonts w:eastAsia="Calibri" w:cs="Tahoma"/>
          <w:b/>
          <w:bCs/>
          <w:i/>
          <w:iCs/>
        </w:rPr>
      </w:pPr>
    </w:p>
    <w:p w:rsidRPr="00987D1A" w:rsidR="00D33E1E" w:rsidP="00D33E1E" w:rsidRDefault="00D33E1E" w14:paraId="2A991DCA" w14:textId="77777777">
      <w:pPr>
        <w:spacing w:after="0" w:line="360" w:lineRule="auto"/>
        <w:rPr>
          <w:rFonts w:eastAsia="Calibri" w:cs="Tahoma"/>
          <w:b/>
          <w:bCs/>
          <w:iCs/>
        </w:rPr>
      </w:pPr>
      <w:r w:rsidRPr="00987D1A">
        <w:rPr>
          <w:rFonts w:eastAsia="Calibri" w:cs="Tahoma"/>
          <w:b/>
          <w:bCs/>
          <w:iCs/>
        </w:rPr>
        <w:t xml:space="preserve">TERCERO. NOTIFÍQUESE </w:t>
      </w:r>
      <w:r w:rsidRPr="00987D1A">
        <w:rPr>
          <w:rFonts w:eastAsia="Calibri" w:cs="Tahoma"/>
          <w:bCs/>
          <w:iC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987D1A" w:rsidR="00D33E1E" w:rsidP="00D33E1E" w:rsidRDefault="00D33E1E" w14:paraId="4F18A141" w14:textId="77777777">
      <w:pPr>
        <w:spacing w:after="0" w:line="360" w:lineRule="auto"/>
        <w:rPr>
          <w:rFonts w:eastAsia="Calibri" w:cs="Tahoma"/>
          <w:bCs/>
          <w:lang w:val="es-ES"/>
        </w:rPr>
      </w:pPr>
    </w:p>
    <w:p w:rsidRPr="00ED08AC" w:rsidR="00D33E1E" w:rsidP="00D33E1E" w:rsidRDefault="00D33E1E" w14:paraId="7EEF1067" w14:textId="77777777">
      <w:pPr>
        <w:spacing w:after="0" w:line="360" w:lineRule="auto"/>
        <w:rPr>
          <w:rFonts w:eastAsia="Calibri" w:cs="Tahoma"/>
          <w:bCs/>
        </w:rPr>
      </w:pPr>
      <w:r w:rsidRPr="00987D1A">
        <w:rPr>
          <w:rFonts w:eastAsia="Calibri" w:cs="Tahoma"/>
          <w:bCs/>
        </w:rPr>
        <w:lastRenderedPageBreak/>
        <w:t xml:space="preserve">ASÍ LO RESUELVE, POR </w:t>
      </w:r>
      <w:r w:rsidRPr="00987D1A">
        <w:rPr>
          <w:rFonts w:eastAsia="Calibri" w:cs="Tahoma"/>
          <w:b/>
        </w:rPr>
        <w:t>UNANIMIDAD</w:t>
      </w:r>
      <w:r w:rsidRPr="00987D1A">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Pr>
          <w:rFonts w:eastAsia="Calibri" w:cs="Tahoma"/>
          <w:bCs/>
        </w:rPr>
        <w:t xml:space="preserve"> QUINTA SESIÓN ORDINARIA, CELEBRADA EL </w:t>
      </w:r>
      <w:r>
        <w:rPr>
          <w:rFonts w:eastAsia="Times New Roman" w:cs="Tahoma"/>
          <w:bCs/>
          <w:color w:val="auto"/>
          <w:lang w:eastAsia="es-ES"/>
        </w:rPr>
        <w:t>NUEVE DE FEBRERO DE</w:t>
      </w:r>
      <w:r w:rsidRPr="00987D1A">
        <w:rPr>
          <w:rFonts w:eastAsia="Times New Roman" w:cs="Tahoma"/>
          <w:bCs/>
          <w:color w:val="auto"/>
          <w:lang w:eastAsia="es-ES"/>
        </w:rPr>
        <w:t xml:space="preserve"> DOS MIL VEINTITRÉS</w:t>
      </w:r>
      <w:r w:rsidRPr="00987D1A">
        <w:rPr>
          <w:rFonts w:eastAsia="Calibri" w:cs="Tahoma"/>
          <w:bCs/>
        </w:rPr>
        <w:t>, ANTE EL SECRETARIO TÉCNICO DEL PLENO, ALEXIS TAPIA RAMÍREZ.</w:t>
      </w:r>
    </w:p>
    <w:p w:rsidRPr="00ED08AC" w:rsidR="00D33E1E" w:rsidP="00D33E1E" w:rsidRDefault="00D33E1E" w14:paraId="34553ECC" w14:textId="77777777">
      <w:pPr>
        <w:jc w:val="left"/>
        <w:rPr>
          <w:rFonts w:eastAsia="Calibri" w:cs="Tahoma"/>
          <w:b/>
          <w:bCs/>
        </w:rPr>
      </w:pPr>
      <w:r w:rsidRPr="00ED08AC">
        <w:rPr>
          <w:rFonts w:eastAsia="Calibri" w:cs="Tahoma"/>
          <w:b/>
          <w:bCs/>
        </w:rPr>
        <w:br w:type="page"/>
      </w:r>
    </w:p>
    <w:p w:rsidRPr="00ED08AC" w:rsidR="00D33E1E" w:rsidP="00D33E1E" w:rsidRDefault="00D33E1E" w14:paraId="4556E9DB" w14:textId="77777777"/>
    <w:p w:rsidR="00613D5D" w:rsidRDefault="00613D5D" w14:paraId="325656EB" w14:textId="77777777"/>
    <w:sectPr w:rsidR="00613D5D" w:rsidSect="00D01D6E">
      <w:headerReference w:type="even" r:id="rId15"/>
      <w:headerReference w:type="default" r:id="rId16"/>
      <w:footerReference w:type="even" r:id="rId17"/>
      <w:footerReference w:type="default" r:id="rId18"/>
      <w:headerReference w:type="first" r:id="rId19"/>
      <w:footerReference w:type="first" r:id="rId20"/>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30F" w:rsidP="00D33E1E" w:rsidRDefault="0051730F" w14:paraId="2F125490" w14:textId="77777777">
      <w:pPr>
        <w:spacing w:after="0" w:line="240" w:lineRule="auto"/>
      </w:pPr>
      <w:r>
        <w:separator/>
      </w:r>
    </w:p>
  </w:endnote>
  <w:endnote w:type="continuationSeparator" w:id="0">
    <w:p w:rsidR="0051730F" w:rsidP="00D33E1E" w:rsidRDefault="0051730F" w14:paraId="39DDF0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D6E" w:rsidRDefault="00D01D6E" w14:paraId="3C229B7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D01D6E" w:rsidRDefault="00D01D6E" w14:paraId="16B2D90F"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D01D6E" w:rsidRDefault="00D01D6E" w14:paraId="6B7EFD0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E45C5">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45C5">
              <w:rPr>
                <w:b/>
                <w:bCs/>
                <w:noProof/>
              </w:rPr>
              <w:t>24</w:t>
            </w:r>
            <w:r>
              <w:rPr>
                <w:b/>
                <w:bCs/>
                <w:sz w:val="24"/>
                <w:szCs w:val="24"/>
              </w:rPr>
              <w:fldChar w:fldCharType="end"/>
            </w:r>
          </w:p>
        </w:sdtContent>
      </w:sdt>
    </w:sdtContent>
  </w:sdt>
  <w:p w:rsidR="00D01D6E" w:rsidRDefault="00D01D6E" w14:paraId="01BD7DCA"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D6E" w:rsidRDefault="00D01D6E" w14:paraId="713DC13C"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E45C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45C5">
      <w:rPr>
        <w:b/>
        <w:bCs/>
        <w:noProof/>
      </w:rPr>
      <w:t>24</w:t>
    </w:r>
    <w:r>
      <w:rPr>
        <w:b/>
        <w:bCs/>
        <w:sz w:val="24"/>
        <w:szCs w:val="24"/>
      </w:rPr>
      <w:fldChar w:fldCharType="end"/>
    </w:r>
  </w:p>
  <w:p w:rsidR="00D01D6E" w:rsidRDefault="00D01D6E" w14:paraId="692B16E0"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30F" w:rsidP="00D33E1E" w:rsidRDefault="0051730F" w14:paraId="64405591" w14:textId="77777777">
      <w:pPr>
        <w:spacing w:after="0" w:line="240" w:lineRule="auto"/>
      </w:pPr>
      <w:r>
        <w:separator/>
      </w:r>
    </w:p>
  </w:footnote>
  <w:footnote w:type="continuationSeparator" w:id="0">
    <w:p w:rsidR="0051730F" w:rsidP="00D33E1E" w:rsidRDefault="0051730F" w14:paraId="39A9D217"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D01D6E" w:rsidTr="00D01D6E" w14:paraId="0DFD1FD1" w14:textId="77777777">
      <w:trPr>
        <w:trHeight w:val="141"/>
      </w:trPr>
      <w:tc>
        <w:tcPr>
          <w:tcW w:w="2404" w:type="dxa"/>
        </w:tcPr>
        <w:p w:rsidRPr="001B5FB6" w:rsidR="00D01D6E" w:rsidP="00D01D6E" w:rsidRDefault="00D01D6E" w14:paraId="1B659CAA"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D01D6E" w:rsidP="00D01D6E" w:rsidRDefault="00D01D6E" w14:paraId="2437DBEF" w14:textId="77777777">
          <w:pPr>
            <w:tabs>
              <w:tab w:val="right" w:pos="8838"/>
            </w:tabs>
            <w:ind w:left="-28" w:right="683"/>
            <w:rPr>
              <w:rFonts w:eastAsia="Calibri" w:cs="Tahoma"/>
            </w:rPr>
          </w:pPr>
          <w:r w:rsidRPr="00A8173F">
            <w:rPr>
              <w:rFonts w:eastAsia="Calibri" w:cs="Tahoma"/>
              <w:lang w:val="es-MX"/>
            </w:rPr>
            <w:t>04196/INFOEM/IP/RR/2020</w:t>
          </w:r>
        </w:p>
      </w:tc>
    </w:tr>
    <w:tr w:rsidR="00D01D6E" w:rsidTr="00D01D6E" w14:paraId="7E7215F6" w14:textId="77777777">
      <w:trPr>
        <w:trHeight w:val="276"/>
      </w:trPr>
      <w:tc>
        <w:tcPr>
          <w:tcW w:w="2404" w:type="dxa"/>
        </w:tcPr>
        <w:p w:rsidRPr="001B5FB6" w:rsidR="00D01D6E" w:rsidP="00D01D6E" w:rsidRDefault="00D01D6E" w14:paraId="42BA4D0C"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D01D6E" w:rsidP="00D01D6E" w:rsidRDefault="00D01D6E" w14:paraId="002AA113" w14:textId="77777777">
          <w:pPr>
            <w:tabs>
              <w:tab w:val="right" w:pos="8838"/>
            </w:tabs>
            <w:ind w:right="116"/>
            <w:rPr>
              <w:rFonts w:eastAsia="Calibri" w:cs="Tahoma"/>
              <w:lang w:val="es-MX"/>
            </w:rPr>
          </w:pPr>
          <w:r w:rsidRPr="00A8173F">
            <w:rPr>
              <w:rFonts w:eastAsia="Calibri" w:cs="Tahoma"/>
              <w:lang w:val="es-MX"/>
            </w:rPr>
            <w:t>Ayuntamiento de Chapultepec</w:t>
          </w:r>
        </w:p>
      </w:tc>
    </w:tr>
    <w:tr w:rsidR="00D01D6E" w:rsidTr="00D01D6E" w14:paraId="58EABBCD" w14:textId="77777777">
      <w:trPr>
        <w:trHeight w:val="276"/>
      </w:trPr>
      <w:tc>
        <w:tcPr>
          <w:tcW w:w="2404" w:type="dxa"/>
        </w:tcPr>
        <w:p w:rsidRPr="001B5FB6" w:rsidR="00D01D6E" w:rsidP="00D01D6E" w:rsidRDefault="00D01D6E" w14:paraId="79C18A2E"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D01D6E" w:rsidP="00D01D6E" w:rsidRDefault="00D01D6E" w14:paraId="10DF130E"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D01D6E" w:rsidRDefault="0051730F" w14:paraId="40339EC2" w14:textId="77777777">
    <w:pPr>
      <w:pStyle w:val="Encabezado"/>
    </w:pPr>
    <w:r>
      <w:rPr>
        <w:noProof/>
      </w:rPr>
      <w:pict w14:anchorId="1CB787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408"/>
    </w:tblGrid>
    <w:tr w:rsidR="00D01D6E" w:rsidTr="00D33E1E" w14:paraId="4252B107" w14:textId="77777777">
      <w:trPr>
        <w:trHeight w:val="141"/>
      </w:trPr>
      <w:tc>
        <w:tcPr>
          <w:tcW w:w="2404" w:type="dxa"/>
        </w:tcPr>
        <w:p w:rsidRPr="001B5FB6" w:rsidR="00D01D6E" w:rsidP="00D01D6E" w:rsidRDefault="00D01D6E" w14:paraId="1985B3B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408" w:type="dxa"/>
        </w:tcPr>
        <w:p w:rsidRPr="00C853D1" w:rsidR="00D01D6E" w:rsidP="00D01D6E" w:rsidRDefault="00D01D6E" w14:paraId="394C61DA" w14:textId="77777777">
          <w:pPr>
            <w:tabs>
              <w:tab w:val="right" w:pos="8838"/>
            </w:tabs>
            <w:ind w:left="-28" w:right="454"/>
            <w:rPr>
              <w:rFonts w:eastAsia="Calibri" w:cs="Tahoma"/>
            </w:rPr>
          </w:pPr>
          <w:r w:rsidRPr="00D33E1E">
            <w:rPr>
              <w:rFonts w:eastAsia="Calibri" w:cs="Tahoma"/>
              <w:lang w:val="es-MX"/>
            </w:rPr>
            <w:t>15571/INFOEM/IP/RR/2022</w:t>
          </w:r>
        </w:p>
      </w:tc>
    </w:tr>
    <w:tr w:rsidR="00D01D6E" w:rsidTr="00D33E1E" w14:paraId="3621EFE6" w14:textId="77777777">
      <w:trPr>
        <w:trHeight w:val="276"/>
      </w:trPr>
      <w:tc>
        <w:tcPr>
          <w:tcW w:w="2404" w:type="dxa"/>
        </w:tcPr>
        <w:p w:rsidRPr="001B5FB6" w:rsidR="00D01D6E" w:rsidP="00D01D6E" w:rsidRDefault="00D01D6E" w14:paraId="795E224C" w14:textId="77777777">
          <w:pPr>
            <w:tabs>
              <w:tab w:val="right" w:pos="8838"/>
            </w:tabs>
            <w:ind w:right="-105"/>
            <w:rPr>
              <w:rFonts w:eastAsia="Calibri" w:cs="Tahoma"/>
              <w:b/>
              <w:lang w:val="es-MX"/>
            </w:rPr>
          </w:pPr>
          <w:r w:rsidRPr="001B5FB6">
            <w:rPr>
              <w:rFonts w:eastAsia="Calibri" w:cs="Tahoma"/>
              <w:b/>
              <w:lang w:val="es-MX"/>
            </w:rPr>
            <w:t>Sujeto Obligado:</w:t>
          </w:r>
        </w:p>
      </w:tc>
      <w:tc>
        <w:tcPr>
          <w:tcW w:w="3408" w:type="dxa"/>
        </w:tcPr>
        <w:p w:rsidRPr="00A8173F" w:rsidR="00D01D6E" w:rsidP="00D33E1E" w:rsidRDefault="00D01D6E" w14:paraId="2B56A5C3" w14:textId="77777777">
          <w:pPr>
            <w:tabs>
              <w:tab w:val="right" w:pos="8838"/>
            </w:tabs>
            <w:ind w:right="459"/>
            <w:rPr>
              <w:rFonts w:eastAsia="Calibri" w:cs="Tahoma"/>
              <w:lang w:val="es-MX"/>
            </w:rPr>
          </w:pPr>
          <w:r w:rsidRPr="00D33E1E">
            <w:rPr>
              <w:rFonts w:eastAsia="Calibri" w:cs="Tahoma"/>
              <w:lang w:val="es-MX"/>
            </w:rPr>
            <w:t>Secretaría de Justicia y Derechos Humanos</w:t>
          </w:r>
        </w:p>
      </w:tc>
    </w:tr>
    <w:tr w:rsidR="00D01D6E" w:rsidTr="00D33E1E" w14:paraId="416E8878" w14:textId="77777777">
      <w:trPr>
        <w:trHeight w:val="276"/>
      </w:trPr>
      <w:tc>
        <w:tcPr>
          <w:tcW w:w="2404" w:type="dxa"/>
        </w:tcPr>
        <w:p w:rsidRPr="001B5FB6" w:rsidR="00D01D6E" w:rsidP="00D01D6E" w:rsidRDefault="00D01D6E" w14:paraId="4EFD1E06" w14:textId="77777777">
          <w:pPr>
            <w:tabs>
              <w:tab w:val="right" w:pos="8838"/>
            </w:tabs>
            <w:ind w:right="-105"/>
            <w:rPr>
              <w:rFonts w:eastAsia="Calibri" w:cs="Tahoma"/>
              <w:b/>
              <w:lang w:val="es-MX"/>
            </w:rPr>
          </w:pPr>
          <w:r w:rsidRPr="001B5FB6">
            <w:rPr>
              <w:rFonts w:eastAsia="Calibri" w:cs="Tahoma"/>
              <w:b/>
              <w:lang w:val="es-MX"/>
            </w:rPr>
            <w:t>Comisionado Ponente:</w:t>
          </w:r>
        </w:p>
      </w:tc>
      <w:tc>
        <w:tcPr>
          <w:tcW w:w="3408" w:type="dxa"/>
        </w:tcPr>
        <w:p w:rsidRPr="00A8173F" w:rsidR="00D01D6E" w:rsidP="00D01D6E" w:rsidRDefault="00D01D6E" w14:paraId="5F75B35B"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D01D6E" w:rsidRDefault="0051730F" w14:paraId="48763856" w14:textId="77777777">
    <w:pPr>
      <w:pStyle w:val="Encabezado"/>
    </w:pPr>
    <w:r>
      <w:rPr>
        <w:noProof/>
      </w:rPr>
      <w:pict w14:anchorId="47D4146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D01D6E" w:rsidTr="23B5D809" w14:paraId="29710DCA" w14:textId="77777777">
      <w:trPr>
        <w:trHeight w:val="1546"/>
      </w:trPr>
      <w:tc>
        <w:tcPr>
          <w:tcW w:w="2127" w:type="dxa"/>
          <w:shd w:val="clear" w:color="auto" w:fill="auto"/>
          <w:tcMar/>
        </w:tcPr>
        <w:p w:rsidRPr="005C106F" w:rsidR="00D01D6E" w:rsidP="00D01D6E" w:rsidRDefault="00D01D6E" w14:paraId="609307A1"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5953" w:type="dxa"/>
            <w:tblInd w:w="8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44"/>
            <w:gridCol w:w="3409"/>
          </w:tblGrid>
          <w:tr w:rsidR="00D01D6E" w:rsidTr="23B5D809" w14:paraId="05ACF8CB" w14:textId="77777777">
            <w:trPr>
              <w:trHeight w:val="141"/>
            </w:trPr>
            <w:tc>
              <w:tcPr>
                <w:tcW w:w="2544" w:type="dxa"/>
                <w:tcMar/>
                <w:vAlign w:val="bottom"/>
              </w:tcPr>
              <w:p w:rsidRPr="001B5FB6" w:rsidR="00D01D6E" w:rsidP="00D01D6E" w:rsidRDefault="00D01D6E" w14:paraId="0398967D" w14:textId="77777777">
                <w:pPr>
                  <w:tabs>
                    <w:tab w:val="right" w:pos="8838"/>
                  </w:tabs>
                  <w:ind w:right="-105"/>
                  <w:rPr>
                    <w:rFonts w:eastAsia="Calibri" w:cs="Tahoma"/>
                    <w:b/>
                    <w:lang w:val="es-MX"/>
                  </w:rPr>
                </w:pPr>
                <w:r w:rsidRPr="001B5FB6">
                  <w:rPr>
                    <w:rFonts w:eastAsia="Calibri" w:cs="Tahoma"/>
                    <w:b/>
                    <w:lang w:val="es-MX"/>
                  </w:rPr>
                  <w:t>Recurso de Revisión:</w:t>
                </w:r>
              </w:p>
            </w:tc>
            <w:tc>
              <w:tcPr>
                <w:tcW w:w="3409" w:type="dxa"/>
                <w:tcMar/>
              </w:tcPr>
              <w:p w:rsidRPr="00C853D1" w:rsidR="00D01D6E" w:rsidP="00D01D6E" w:rsidRDefault="00D01D6E" w14:paraId="0FD1FB93" w14:textId="77777777">
                <w:pPr>
                  <w:tabs>
                    <w:tab w:val="right" w:pos="8838"/>
                  </w:tabs>
                  <w:ind w:left="-28" w:right="-107"/>
                  <w:rPr>
                    <w:rFonts w:eastAsia="Calibri" w:cs="Tahoma"/>
                  </w:rPr>
                </w:pPr>
                <w:r w:rsidRPr="00D33E1E">
                  <w:rPr>
                    <w:rFonts w:eastAsia="Calibri" w:cs="Tahoma"/>
                    <w:lang w:val="es-MX"/>
                  </w:rPr>
                  <w:t>15571/INFOEM/IP/RR/2022</w:t>
                </w:r>
              </w:p>
            </w:tc>
          </w:tr>
          <w:tr w:rsidR="00D01D6E" w:rsidTr="23B5D809" w14:paraId="6A0AED58" w14:textId="77777777">
            <w:trPr>
              <w:trHeight w:val="141"/>
            </w:trPr>
            <w:tc>
              <w:tcPr>
                <w:tcW w:w="2544" w:type="dxa"/>
                <w:tcMar/>
              </w:tcPr>
              <w:p w:rsidRPr="001B5FB6" w:rsidR="00D01D6E" w:rsidP="00D01D6E" w:rsidRDefault="00D01D6E" w14:paraId="57D134AC" w14:textId="77777777">
                <w:pPr>
                  <w:tabs>
                    <w:tab w:val="right" w:pos="8838"/>
                  </w:tabs>
                  <w:ind w:right="-105"/>
                  <w:rPr>
                    <w:rFonts w:eastAsia="Calibri" w:cs="Tahoma"/>
                    <w:b/>
                    <w:lang w:val="es-MX"/>
                  </w:rPr>
                </w:pPr>
                <w:r w:rsidRPr="001B5FB6">
                  <w:rPr>
                    <w:rFonts w:eastAsia="Calibri" w:cs="Tahoma"/>
                    <w:b/>
                    <w:lang w:val="es-MX"/>
                  </w:rPr>
                  <w:t>Recurrente:</w:t>
                </w:r>
              </w:p>
            </w:tc>
            <w:tc>
              <w:tcPr>
                <w:tcW w:w="3409" w:type="dxa"/>
                <w:tcMar/>
              </w:tcPr>
              <w:p w:rsidRPr="003405AF" w:rsidR="00D01D6E" w:rsidP="23B5D809" w:rsidRDefault="00D01D6E" w14:paraId="0FDE9BC7" w14:textId="37861370">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23B5D809" w:rsidR="23B5D809">
                  <w:rPr>
                    <w:rFonts w:eastAsia="Calibri" w:cs="Tahoma"/>
                    <w:highlight w:val="black"/>
                    <w:lang w:val="es-MX"/>
                  </w:rPr>
                  <w:t>XXXXXXXXXXXXXXXXXXXXXX</w:t>
                </w:r>
              </w:p>
            </w:tc>
          </w:tr>
          <w:tr w:rsidR="00D01D6E" w:rsidTr="23B5D809" w14:paraId="32C30DF5" w14:textId="77777777">
            <w:trPr>
              <w:trHeight w:val="276"/>
            </w:trPr>
            <w:tc>
              <w:tcPr>
                <w:tcW w:w="2544" w:type="dxa"/>
                <w:tcMar/>
              </w:tcPr>
              <w:p w:rsidRPr="001B5FB6" w:rsidR="00D01D6E" w:rsidP="00D01D6E" w:rsidRDefault="00D01D6E" w14:paraId="404030D2" w14:textId="77777777">
                <w:pPr>
                  <w:tabs>
                    <w:tab w:val="right" w:pos="8838"/>
                  </w:tabs>
                  <w:ind w:right="-105"/>
                  <w:rPr>
                    <w:rFonts w:eastAsia="Calibri" w:cs="Tahoma"/>
                    <w:b/>
                    <w:lang w:val="es-MX"/>
                  </w:rPr>
                </w:pPr>
                <w:r w:rsidRPr="001B5FB6">
                  <w:rPr>
                    <w:rFonts w:eastAsia="Calibri" w:cs="Tahoma"/>
                    <w:b/>
                    <w:lang w:val="es-MX"/>
                  </w:rPr>
                  <w:t>Sujeto Obligado:</w:t>
                </w:r>
              </w:p>
            </w:tc>
            <w:tc>
              <w:tcPr>
                <w:tcW w:w="3409" w:type="dxa"/>
                <w:tcMar/>
              </w:tcPr>
              <w:p w:rsidRPr="00C853D1" w:rsidR="00D01D6E" w:rsidP="00D01D6E" w:rsidRDefault="00D01D6E" w14:paraId="799DB8AF" w14:textId="77777777">
                <w:pPr>
                  <w:tabs>
                    <w:tab w:val="right" w:pos="8838"/>
                  </w:tabs>
                  <w:ind w:right="-107"/>
                  <w:rPr>
                    <w:rFonts w:eastAsia="Calibri" w:cs="Tahoma"/>
                    <w:lang w:val="es-MX"/>
                  </w:rPr>
                </w:pPr>
                <w:r w:rsidRPr="00D33E1E">
                  <w:rPr>
                    <w:rFonts w:eastAsia="Calibri" w:cs="Tahoma"/>
                  </w:rPr>
                  <w:t>Secretaría de Justicia y Derechos Humanos</w:t>
                </w:r>
              </w:p>
            </w:tc>
          </w:tr>
          <w:tr w:rsidR="00D01D6E" w:rsidTr="23B5D809" w14:paraId="0CB1124D" w14:textId="77777777">
            <w:trPr>
              <w:trHeight w:val="276"/>
            </w:trPr>
            <w:tc>
              <w:tcPr>
                <w:tcW w:w="2544" w:type="dxa"/>
                <w:tcMar/>
              </w:tcPr>
              <w:p w:rsidRPr="001B5FB6" w:rsidR="00D01D6E" w:rsidP="00D01D6E" w:rsidRDefault="00D01D6E" w14:paraId="7FFB378F" w14:textId="77777777">
                <w:pPr>
                  <w:tabs>
                    <w:tab w:val="right" w:pos="8838"/>
                  </w:tabs>
                  <w:ind w:right="-105"/>
                  <w:rPr>
                    <w:rFonts w:eastAsia="Calibri" w:cs="Tahoma"/>
                    <w:b/>
                    <w:lang w:val="es-MX"/>
                  </w:rPr>
                </w:pPr>
                <w:r w:rsidRPr="001B5FB6">
                  <w:rPr>
                    <w:rFonts w:eastAsia="Calibri" w:cs="Tahoma"/>
                    <w:b/>
                    <w:lang w:val="es-MX"/>
                  </w:rPr>
                  <w:t>Comisionado Ponente:</w:t>
                </w:r>
              </w:p>
            </w:tc>
            <w:tc>
              <w:tcPr>
                <w:tcW w:w="3409" w:type="dxa"/>
                <w:tcMar/>
              </w:tcPr>
              <w:p w:rsidRPr="00A8173F" w:rsidR="00D01D6E" w:rsidP="00D01D6E" w:rsidRDefault="00D01D6E" w14:paraId="638F54B2"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D01D6E" w:rsidP="00D01D6E" w:rsidRDefault="00D01D6E" w14:paraId="0017BB17" w14:textId="77777777">
          <w:pPr>
            <w:tabs>
              <w:tab w:val="right" w:pos="8838"/>
            </w:tabs>
            <w:ind w:left="-28"/>
            <w:rPr>
              <w:rFonts w:ascii="Arial" w:hAnsi="Arial" w:eastAsia="Calibri" w:cs="Arial"/>
              <w:b/>
            </w:rPr>
          </w:pPr>
        </w:p>
      </w:tc>
    </w:tr>
  </w:tbl>
  <w:p w:rsidR="00D01D6E" w:rsidRDefault="0051730F" w14:paraId="712ACD35" w14:textId="77777777">
    <w:pPr>
      <w:pStyle w:val="Encabezado"/>
    </w:pPr>
    <w:r>
      <w:rPr>
        <w:noProof/>
      </w:rPr>
      <w:pict w14:anchorId="2E1F942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B2FD0"/>
    <w:multiLevelType w:val="hybridMultilevel"/>
    <w:tmpl w:val="073E1A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D95328F"/>
    <w:multiLevelType w:val="hybridMultilevel"/>
    <w:tmpl w:val="940AD8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5B7311"/>
    <w:multiLevelType w:val="hybridMultilevel"/>
    <w:tmpl w:val="2BE41892"/>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776947CB"/>
    <w:multiLevelType w:val="hybridMultilevel"/>
    <w:tmpl w:val="DA5CB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1E"/>
    <w:rsid w:val="0001305B"/>
    <w:rsid w:val="000818EB"/>
    <w:rsid w:val="000871BA"/>
    <w:rsid w:val="000A6CA3"/>
    <w:rsid w:val="000B0731"/>
    <w:rsid w:val="000B2098"/>
    <w:rsid w:val="00123185"/>
    <w:rsid w:val="001918B9"/>
    <w:rsid w:val="002858EF"/>
    <w:rsid w:val="002A1E66"/>
    <w:rsid w:val="002A7984"/>
    <w:rsid w:val="002F7FBC"/>
    <w:rsid w:val="0031035D"/>
    <w:rsid w:val="00335999"/>
    <w:rsid w:val="003D3AFE"/>
    <w:rsid w:val="00413375"/>
    <w:rsid w:val="00436379"/>
    <w:rsid w:val="00462036"/>
    <w:rsid w:val="004D075B"/>
    <w:rsid w:val="004D5428"/>
    <w:rsid w:val="0051730F"/>
    <w:rsid w:val="0053306D"/>
    <w:rsid w:val="005F5033"/>
    <w:rsid w:val="00601F7E"/>
    <w:rsid w:val="00603D49"/>
    <w:rsid w:val="00606096"/>
    <w:rsid w:val="00613D5D"/>
    <w:rsid w:val="00620A59"/>
    <w:rsid w:val="00630773"/>
    <w:rsid w:val="0066608C"/>
    <w:rsid w:val="00683249"/>
    <w:rsid w:val="00687D81"/>
    <w:rsid w:val="007119C4"/>
    <w:rsid w:val="00754322"/>
    <w:rsid w:val="007E0AB2"/>
    <w:rsid w:val="007F135F"/>
    <w:rsid w:val="007F6380"/>
    <w:rsid w:val="008534A9"/>
    <w:rsid w:val="00882A3A"/>
    <w:rsid w:val="008F62FA"/>
    <w:rsid w:val="009C5ED7"/>
    <w:rsid w:val="009D4F14"/>
    <w:rsid w:val="009E5C7C"/>
    <w:rsid w:val="00AB0A48"/>
    <w:rsid w:val="00AF717D"/>
    <w:rsid w:val="00B0264A"/>
    <w:rsid w:val="00B243FE"/>
    <w:rsid w:val="00B5631F"/>
    <w:rsid w:val="00B63153"/>
    <w:rsid w:val="00B761D1"/>
    <w:rsid w:val="00C53CFA"/>
    <w:rsid w:val="00D01D6E"/>
    <w:rsid w:val="00D33E1E"/>
    <w:rsid w:val="00D637CC"/>
    <w:rsid w:val="00D97AE8"/>
    <w:rsid w:val="00DE6F61"/>
    <w:rsid w:val="00E4438F"/>
    <w:rsid w:val="00E46064"/>
    <w:rsid w:val="00E46128"/>
    <w:rsid w:val="00E46E6F"/>
    <w:rsid w:val="00E52F80"/>
    <w:rsid w:val="00E63D70"/>
    <w:rsid w:val="00E81DBD"/>
    <w:rsid w:val="00E94B00"/>
    <w:rsid w:val="00EC375F"/>
    <w:rsid w:val="00ED212B"/>
    <w:rsid w:val="00F426C0"/>
    <w:rsid w:val="00F46443"/>
    <w:rsid w:val="00F72A01"/>
    <w:rsid w:val="00F816C1"/>
    <w:rsid w:val="00FB1AB2"/>
    <w:rsid w:val="00FE45C5"/>
    <w:rsid w:val="00FF09C8"/>
    <w:rsid w:val="23B5D8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03DA3"/>
  <w15:chartTrackingRefBased/>
  <w15:docId w15:val="{E25DC809-C568-4358-9DD4-61F78644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3E1E"/>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D33E1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33E1E"/>
    <w:rPr>
      <w:rFonts w:ascii="Palatino Linotype" w:hAnsi="Palatino Linotype"/>
      <w:color w:val="000000" w:themeColor="text1"/>
    </w:rPr>
  </w:style>
  <w:style w:type="paragraph" w:styleId="Piedepgina">
    <w:name w:val="footer"/>
    <w:basedOn w:val="Normal"/>
    <w:link w:val="PiedepginaCar"/>
    <w:uiPriority w:val="99"/>
    <w:unhideWhenUsed/>
    <w:rsid w:val="00D33E1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33E1E"/>
    <w:rPr>
      <w:rFonts w:ascii="Palatino Linotype" w:hAnsi="Palatino Linotype"/>
      <w:color w:val="000000" w:themeColor="text1"/>
    </w:rPr>
  </w:style>
  <w:style w:type="table" w:styleId="Tablaconcuadrcula">
    <w:name w:val="Table Grid"/>
    <w:basedOn w:val="Tablanormal"/>
    <w:uiPriority w:val="39"/>
    <w:rsid w:val="00D33E1E"/>
    <w:pPr>
      <w:spacing w:after="0" w:line="240" w:lineRule="auto"/>
    </w:pPr>
    <w:rPr>
      <w:lang w:val="es-E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33E1E"/>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3E1E"/>
    <w:pPr>
      <w:spacing w:after="0" w:line="240" w:lineRule="auto"/>
      <w:ind w:left="720"/>
      <w:contextualSpacing/>
    </w:pPr>
    <w:rPr>
      <w:rFonts w:eastAsia="Times New Roman" w:cs="Times New Roman"/>
      <w:szCs w:val="24"/>
      <w:lang w:eastAsia="es-ES"/>
    </w:rPr>
  </w:style>
  <w:style w:type="character" w:styleId="Hipervnculo">
    <w:name w:val="Hyperlink"/>
    <w:basedOn w:val="Fuentedeprrafopredeter"/>
    <w:uiPriority w:val="99"/>
    <w:unhideWhenUsed/>
    <w:rsid w:val="00AB0A48"/>
    <w:rPr>
      <w:color w:val="0563C1" w:themeColor="hyperlink"/>
      <w:u w:val="single"/>
    </w:rPr>
  </w:style>
  <w:style w:type="character" w:styleId="UnresolvedMention" w:customStyle="1">
    <w:name w:val="Unresolved Mention"/>
    <w:basedOn w:val="Fuentedeprrafopredeter"/>
    <w:uiPriority w:val="99"/>
    <w:semiHidden/>
    <w:unhideWhenUsed/>
    <w:rsid w:val="00AB0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84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6.tmp"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tmp"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tmp"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yperlink" Target="https://ceavem.edomex.gob.mx/fondo_estatal_ayuda" TargetMode="External" Id="rId14" /><Relationship Type="http://schemas.openxmlformats.org/officeDocument/2006/relationships/theme" Target="theme/theme1.xml" Id="rId22" /><Relationship Type="http://schemas.openxmlformats.org/officeDocument/2006/relationships/glossaryDocument" Target="glossary/document.xml" Id="Rbe088df491a04c22"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89cd01-1758-4721-94a8-b7d9712914db}"/>
      </w:docPartPr>
      <w:docPartBody>
        <w:p w14:paraId="75C8855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ED9FB-9E4C-4F19-AC06-0B87818001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Usuario invitado</lastModifiedBy>
  <revision>4</revision>
  <dcterms:created xsi:type="dcterms:W3CDTF">2023-02-02T07:34:00.0000000Z</dcterms:created>
  <dcterms:modified xsi:type="dcterms:W3CDTF">2023-03-09T18:22:53.7806666Z</dcterms:modified>
</coreProperties>
</file>