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3121BB" w:rsidR="009245F5" w:rsidP="009245F5" w:rsidRDefault="009245F5" w14:paraId="63D14729" w14:textId="6B46721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97069D">
        <w:rPr>
          <w:rFonts w:ascii="Palatino Linotype" w:hAnsi="Palatino Linotype" w:cs="Tahoma"/>
          <w:bCs/>
          <w:sz w:val="22"/>
          <w:szCs w:val="22"/>
        </w:rPr>
        <w:t>primero</w:t>
      </w:r>
      <w:r w:rsidR="0068048C">
        <w:rPr>
          <w:rFonts w:ascii="Palatino Linotype" w:hAnsi="Palatino Linotype" w:cs="Tahoma"/>
          <w:bCs/>
          <w:sz w:val="22"/>
          <w:szCs w:val="22"/>
        </w:rPr>
        <w:t xml:space="preserve"> </w:t>
      </w:r>
      <w:r w:rsidR="001843B4">
        <w:rPr>
          <w:rFonts w:ascii="Palatino Linotype" w:hAnsi="Palatino Linotype" w:cs="Tahoma"/>
          <w:bCs/>
          <w:sz w:val="22"/>
          <w:szCs w:val="22"/>
        </w:rPr>
        <w:t xml:space="preserve">de </w:t>
      </w:r>
      <w:r w:rsidR="0097069D">
        <w:rPr>
          <w:rFonts w:ascii="Palatino Linotype" w:hAnsi="Palatino Linotype" w:cs="Tahoma"/>
          <w:bCs/>
          <w:sz w:val="22"/>
          <w:szCs w:val="22"/>
        </w:rPr>
        <w:t>febrero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w:t>
      </w:r>
      <w:r w:rsidR="0097069D">
        <w:rPr>
          <w:rFonts w:ascii="Palatino Linotype" w:hAnsi="Palatino Linotype" w:cs="Tahoma"/>
          <w:bCs/>
          <w:sz w:val="22"/>
          <w:szCs w:val="22"/>
        </w:rPr>
        <w:t>trés</w:t>
      </w:r>
      <w:r w:rsidRPr="00A8500A">
        <w:rPr>
          <w:rFonts w:ascii="Palatino Linotype" w:hAnsi="Palatino Linotype" w:cs="Tahoma"/>
          <w:bCs/>
          <w:sz w:val="22"/>
          <w:szCs w:val="22"/>
        </w:rPr>
        <w:t>.</w:t>
      </w:r>
    </w:p>
    <w:p w:rsidRPr="003121BB"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009245F5" w:rsidP="4FC8C29D" w:rsidRDefault="009245F5" w14:paraId="1F508283" w14:textId="51DF918F">
      <w:pPr>
        <w:spacing w:line="360" w:lineRule="auto"/>
        <w:ind w:right="-28"/>
        <w:jc w:val="both"/>
        <w:rPr>
          <w:rFonts w:ascii="Palatino Linotype" w:hAnsi="Palatino Linotype" w:cs="Tahoma"/>
          <w:sz w:val="22"/>
          <w:szCs w:val="22"/>
        </w:rPr>
      </w:pPr>
      <w:r w:rsidRPr="4FC8C29D" w:rsidR="4FC8C29D">
        <w:rPr>
          <w:rFonts w:ascii="Palatino Linotype" w:hAnsi="Palatino Linotype" w:cs="Tahoma"/>
          <w:b w:val="1"/>
          <w:bCs w:val="1"/>
          <w:sz w:val="22"/>
          <w:szCs w:val="22"/>
        </w:rPr>
        <w:t xml:space="preserve">VISTO </w:t>
      </w:r>
      <w:r w:rsidRPr="4FC8C29D" w:rsidR="4FC8C29D">
        <w:rPr>
          <w:rFonts w:ascii="Palatino Linotype" w:hAnsi="Palatino Linotype" w:cs="Tahoma"/>
          <w:sz w:val="22"/>
          <w:szCs w:val="22"/>
        </w:rPr>
        <w:t xml:space="preserve">el expediente conformado con motivo del Recurso de Revisión </w:t>
      </w:r>
      <w:r w:rsidRPr="4FC8C29D" w:rsidR="4FC8C29D">
        <w:rPr>
          <w:rFonts w:ascii="Palatino Linotype" w:hAnsi="Palatino Linotype" w:cs="Tahoma"/>
          <w:color w:val="0D0D0D" w:themeColor="text1" w:themeTint="F2" w:themeShade="FF"/>
          <w:sz w:val="22"/>
          <w:szCs w:val="22"/>
        </w:rPr>
        <w:t>17121/INFOEM/IP/RR/2022</w:t>
      </w:r>
      <w:r w:rsidRPr="4FC8C29D" w:rsidR="4FC8C29D">
        <w:rPr>
          <w:rFonts w:ascii="Palatino Linotype" w:hAnsi="Palatino Linotype" w:cs="Tahoma"/>
          <w:sz w:val="22"/>
          <w:szCs w:val="22"/>
        </w:rPr>
        <w:t xml:space="preserve">, interpuesto por </w:t>
      </w:r>
      <w:r w:rsidRPr="4FC8C29D" w:rsidR="4FC8C29D">
        <w:rPr>
          <w:rFonts w:ascii="Palatino Linotype" w:hAnsi="Palatino Linotype" w:cs="Tahoma"/>
          <w:sz w:val="22"/>
          <w:szCs w:val="22"/>
          <w:highlight w:val="black"/>
        </w:rPr>
        <w:t>XXXXXXXXXXXXXXXXXXX</w:t>
      </w:r>
      <w:r w:rsidRPr="4FC8C29D" w:rsidR="4FC8C29D">
        <w:rPr>
          <w:rFonts w:ascii="Palatino Linotype" w:hAnsi="Palatino Linotype" w:eastAsia="Calibri" w:cs="Tahoma"/>
          <w:sz w:val="22"/>
          <w:szCs w:val="22"/>
          <w:lang w:eastAsia="en-US"/>
        </w:rPr>
        <w:t>, en lo sucesivo</w:t>
      </w:r>
      <w:r w:rsidRPr="4FC8C29D" w:rsidR="4FC8C29D">
        <w:rPr>
          <w:rFonts w:ascii="Palatino Linotype" w:hAnsi="Palatino Linotype" w:cs="Tahoma"/>
          <w:sz w:val="22"/>
          <w:szCs w:val="22"/>
        </w:rPr>
        <w:t xml:space="preserve"> el Recurrente o Particular, en contra de la respuesta del Sujeto Obligado, Ayuntamiento de Tultitlán, a la solicitud de acceso a la información pública con número de folio 00272/TULTITLA/IP/2022, se emite la presente Resolución, con base en los Antecedentes y Considerandos que se exponen a continuación:</w:t>
      </w:r>
    </w:p>
    <w:p w:rsidRPr="00A06F31"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3121BB"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00A021B4" w:rsidP="009245F5" w:rsidRDefault="009245F5" w14:paraId="3F22F683" w14:textId="17B118F6">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636446">
        <w:rPr>
          <w:rFonts w:ascii="Palatino Linotype" w:hAnsi="Palatino Linotype" w:cs="Tahoma"/>
          <w:sz w:val="22"/>
          <w:szCs w:val="22"/>
        </w:rPr>
        <w:t>veintidós</w:t>
      </w:r>
      <w:r w:rsidR="00060ECF">
        <w:rPr>
          <w:rFonts w:ascii="Palatino Linotype" w:hAnsi="Palatino Linotype" w:cs="Tahoma"/>
          <w:sz w:val="22"/>
          <w:szCs w:val="22"/>
        </w:rPr>
        <w:t xml:space="preserve"> de noviembre</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636446">
        <w:rPr>
          <w:rFonts w:ascii="Palatino Linotype" w:hAnsi="Palatino Linotype" w:cs="Tahoma"/>
          <w:sz w:val="22"/>
          <w:szCs w:val="22"/>
        </w:rPr>
        <w:t>Ayuntamiento de Tultitlán</w:t>
      </w:r>
      <w:r>
        <w:rPr>
          <w:rFonts w:ascii="Palatino Linotype" w:hAnsi="Palatino Linotype" w:cs="Tahoma"/>
          <w:b/>
          <w:bCs/>
          <w:sz w:val="22"/>
          <w:szCs w:val="22"/>
          <w:lang w:val="es-ES"/>
        </w:rPr>
        <w:t>,</w:t>
      </w:r>
      <w:r w:rsidR="0097069D">
        <w:rPr>
          <w:rFonts w:cs="Tahoma"/>
          <w:bCs/>
        </w:rPr>
        <w:t xml:space="preserve"> </w:t>
      </w:r>
      <w:r w:rsidRPr="0097069D" w:rsidR="00A021B4">
        <w:rPr>
          <w:rFonts w:ascii="Palatino Linotype" w:hAnsi="Palatino Linotype" w:cs="Tahoma"/>
          <w:bCs/>
          <w:sz w:val="22"/>
          <w:szCs w:val="22"/>
          <w:lang w:val="es-ES"/>
        </w:rPr>
        <w:t>mediante la cual requirió lo siguiente:</w:t>
      </w:r>
    </w:p>
    <w:p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rsidR="009245F5" w:rsidP="009245F5" w:rsidRDefault="00636446" w14:paraId="5DC2D3D0" w14:textId="3F3A441F">
      <w:pPr>
        <w:tabs>
          <w:tab w:val="left" w:pos="4667"/>
        </w:tabs>
        <w:spacing w:line="360" w:lineRule="auto"/>
        <w:ind w:left="567" w:right="567"/>
        <w:jc w:val="both"/>
        <w:rPr>
          <w:rFonts w:ascii="Palatino Linotype" w:hAnsi="Palatino Linotype" w:cs="Tahoma"/>
          <w:bCs/>
          <w:i/>
        </w:rPr>
      </w:pPr>
      <w:r w:rsidRPr="00636446">
        <w:rPr>
          <w:rFonts w:ascii="Palatino Linotype" w:hAnsi="Palatino Linotype" w:cs="Tahoma"/>
          <w:bCs/>
          <w:i/>
        </w:rPr>
        <w:t>DIRIGIDO AL DIRECTOR DE DESARROLLO URBANO Y MEDIO AMBIENTE, ING. GERARDO ROJAS CUANDÓN, SOLICITANDO LISTADO DEL PERSONAL QUE COMPONE EL ÁREA DE DESARROLLO URBANO Y MEDIO AMBIENTE Y TIEMPO DE LABORAR EN DICHA ÁREA.</w:t>
      </w:r>
      <w:r w:rsidR="009245F5">
        <w:rPr>
          <w:rFonts w:ascii="Palatino Linotype" w:hAnsi="Palatino Linotype" w:cs="Tahoma"/>
          <w:bCs/>
          <w:i/>
        </w:rPr>
        <w:t xml:space="preserve">” </w:t>
      </w:r>
    </w:p>
    <w:p w:rsidR="001843B4" w:rsidP="0097069D" w:rsidRDefault="001843B4" w14:paraId="47658C57" w14:textId="77777777">
      <w:pPr>
        <w:tabs>
          <w:tab w:val="left" w:pos="4667"/>
        </w:tabs>
        <w:spacing w:line="360" w:lineRule="auto"/>
        <w:ind w:right="567"/>
        <w:jc w:val="both"/>
        <w:rPr>
          <w:rFonts w:ascii="Palatino Linotype" w:hAnsi="Palatino Linotype" w:cs="Tahoma"/>
          <w:bCs/>
          <w:i/>
        </w:rPr>
      </w:pPr>
    </w:p>
    <w:p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9245F5" w:rsidP="009245F5" w:rsidRDefault="009245F5" w14:paraId="267D9C41" w14:textId="77777777">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rsidRPr="005864BF" w:rsidR="003E7D05" w:rsidP="003E7D05" w:rsidRDefault="003E7D05" w14:paraId="79EF8011" w14:textId="16835C09">
      <w:pPr>
        <w:tabs>
          <w:tab w:val="left" w:pos="4667"/>
        </w:tabs>
        <w:spacing w:line="360" w:lineRule="auto"/>
        <w:ind w:right="567"/>
        <w:jc w:val="both"/>
        <w:rPr>
          <w:rFonts w:ascii="Palatino Linotype" w:hAnsi="Palatino Linotype" w:cs="Tahoma"/>
          <w:b/>
          <w:bCs/>
          <w:sz w:val="22"/>
          <w:szCs w:val="24"/>
        </w:rPr>
      </w:pPr>
      <w:bookmarkStart w:name="_Hlk16082333" w:id="0"/>
      <w:r w:rsidRPr="005864BF">
        <w:rPr>
          <w:rFonts w:ascii="Palatino Linotype" w:hAnsi="Palatino Linotype" w:cs="Tahoma"/>
          <w:b/>
          <w:bCs/>
          <w:sz w:val="22"/>
          <w:szCs w:val="24"/>
        </w:rPr>
        <w:lastRenderedPageBreak/>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bookmarkEnd w:id="0"/>
    <w:p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1207E3" w:rsidR="009245F5" w:rsidP="00636446" w:rsidRDefault="001843B4" w14:paraId="59039576" w14:textId="6B41D0C6">
      <w:pPr>
        <w:autoSpaceDE w:val="0"/>
        <w:autoSpaceDN w:val="0"/>
        <w:adjustRightInd w:val="0"/>
        <w:spacing w:line="360" w:lineRule="auto"/>
        <w:contextualSpacing/>
        <w:jc w:val="both"/>
        <w:rPr>
          <w:rFonts w:ascii="Palatino Linotype" w:hAnsi="Palatino Linotype" w:cs="Tahoma"/>
          <w:bCs/>
          <w:i/>
        </w:rPr>
      </w:pPr>
      <w:r>
        <w:rPr>
          <w:rFonts w:ascii="Palatino Linotype" w:hAnsi="Palatino Linotype" w:cs="Tahoma"/>
          <w:bCs/>
          <w:sz w:val="22"/>
          <w:szCs w:val="22"/>
        </w:rPr>
        <w:t>Con fecha</w:t>
      </w:r>
      <w:r w:rsidR="009245F5">
        <w:rPr>
          <w:rFonts w:ascii="Palatino Linotype" w:hAnsi="Palatino Linotype" w:cs="Tahoma"/>
          <w:bCs/>
          <w:sz w:val="22"/>
          <w:szCs w:val="22"/>
        </w:rPr>
        <w:t xml:space="preserve"> </w:t>
      </w:r>
      <w:r w:rsidR="00636446">
        <w:rPr>
          <w:rFonts w:ascii="Palatino Linotype" w:hAnsi="Palatino Linotype" w:cs="Tahoma"/>
          <w:bCs/>
          <w:sz w:val="22"/>
          <w:szCs w:val="22"/>
        </w:rPr>
        <w:t>veinticinco de noviembre</w:t>
      </w:r>
      <w:r w:rsidR="009245F5">
        <w:rPr>
          <w:rFonts w:ascii="Palatino Linotype" w:hAnsi="Palatino Linotype" w:cs="Tahoma"/>
          <w:bCs/>
          <w:sz w:val="22"/>
          <w:szCs w:val="22"/>
        </w:rPr>
        <w:t xml:space="preserve"> de dos mil veintidós, </w:t>
      </w:r>
      <w:r w:rsidR="00636446">
        <w:rPr>
          <w:rFonts w:ascii="Palatino Linotype" w:hAnsi="Palatino Linotype" w:cs="Tahoma"/>
          <w:bCs/>
          <w:sz w:val="22"/>
          <w:szCs w:val="22"/>
        </w:rPr>
        <w:t>la Unidad de Transparencia del</w:t>
      </w:r>
      <w:r w:rsidR="009245F5">
        <w:rPr>
          <w:rFonts w:ascii="Palatino Linotype" w:hAnsi="Palatino Linotype" w:cs="Tahoma"/>
          <w:b/>
          <w:sz w:val="22"/>
          <w:szCs w:val="22"/>
        </w:rPr>
        <w:t xml:space="preserve"> </w:t>
      </w:r>
      <w:r w:rsidR="009245F5">
        <w:rPr>
          <w:rFonts w:ascii="Palatino Linotype" w:hAnsi="Palatino Linotype" w:cs="Tahoma"/>
          <w:sz w:val="22"/>
          <w:szCs w:val="22"/>
        </w:rPr>
        <w:t>Sujeto Obligado dio respuesta a la solicitud de acceso a la información</w:t>
      </w:r>
      <w:r w:rsidR="00636446">
        <w:rPr>
          <w:rFonts w:ascii="Palatino Linotype" w:hAnsi="Palatino Linotype" w:cs="Tahoma"/>
          <w:sz w:val="22"/>
          <w:szCs w:val="22"/>
        </w:rPr>
        <w:t>,</w:t>
      </w:r>
      <w:r w:rsidR="009245F5">
        <w:rPr>
          <w:rFonts w:ascii="Palatino Linotype" w:hAnsi="Palatino Linotype" w:cs="Tahoma"/>
          <w:sz w:val="22"/>
          <w:szCs w:val="22"/>
        </w:rPr>
        <w:t xml:space="preserve"> a través del Sistema de Acceso a la Información Mexiquense (SAIMEX), </w:t>
      </w:r>
      <w:r w:rsidR="00636446">
        <w:rPr>
          <w:rFonts w:ascii="Palatino Linotype" w:hAnsi="Palatino Linotype" w:cs="Tahoma"/>
          <w:sz w:val="22"/>
          <w:szCs w:val="22"/>
        </w:rPr>
        <w:t>por medio del oficio SRH/177/2022, del veintitrés de dicho mes y año, suscrito por la Subdirección de Recursos Humanos y dirigido al Solicitante, por medio del cual informa que proporciona la información solicitada.</w:t>
      </w:r>
    </w:p>
    <w:p w:rsidR="009245F5" w:rsidP="009245F5" w:rsidRDefault="009245F5" w14:paraId="7989A775" w14:textId="3755846F">
      <w:pPr>
        <w:autoSpaceDE w:val="0"/>
        <w:autoSpaceDN w:val="0"/>
        <w:adjustRightInd w:val="0"/>
        <w:spacing w:line="360" w:lineRule="auto"/>
        <w:ind w:right="-28"/>
        <w:jc w:val="both"/>
        <w:rPr>
          <w:rFonts w:ascii="Palatino Linotype" w:hAnsi="Palatino Linotype" w:cs="Tahoma"/>
          <w:b/>
          <w:sz w:val="22"/>
          <w:szCs w:val="22"/>
          <w:lang w:val="es-ES"/>
        </w:rPr>
      </w:pPr>
    </w:p>
    <w:p w:rsidRPr="00060ECF" w:rsidR="00060ECF" w:rsidP="009245F5" w:rsidRDefault="00060ECF" w14:paraId="66C66273" w14:textId="3C1F1B65">
      <w:pPr>
        <w:autoSpaceDE w:val="0"/>
        <w:autoSpaceDN w:val="0"/>
        <w:adjustRightInd w:val="0"/>
        <w:spacing w:line="360" w:lineRule="auto"/>
        <w:ind w:right="-28"/>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El Sujeto Obligado adjuntó la digitalización </w:t>
      </w:r>
      <w:r w:rsidR="00636446">
        <w:rPr>
          <w:rFonts w:ascii="Palatino Linotype" w:hAnsi="Palatino Linotype" w:cs="Tahoma"/>
          <w:bCs/>
          <w:sz w:val="22"/>
          <w:szCs w:val="22"/>
          <w:lang w:val="es-ES"/>
        </w:rPr>
        <w:t>de una relación con el nombre, adscripción y fecha de ingreso de los servidores públicos adscritos a la Dirección de Desarrollo Urbano y Medio Ambiente.</w:t>
      </w:r>
    </w:p>
    <w:p w:rsidRPr="001207E3" w:rsidR="00060ECF" w:rsidP="009245F5" w:rsidRDefault="00060ECF" w14:paraId="3571EDDC"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474FBB" w:rsidR="009245F5" w:rsidP="009245F5" w:rsidRDefault="009245F5" w14:paraId="3BB08E0E" w14:textId="517E2C63">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636446">
        <w:rPr>
          <w:rFonts w:ascii="Palatino Linotype" w:hAnsi="Palatino Linotype" w:cs="Tahoma"/>
          <w:bCs/>
          <w:sz w:val="22"/>
          <w:szCs w:val="22"/>
          <w:lang w:val="es-ES"/>
        </w:rPr>
        <w:t>tres</w:t>
      </w:r>
      <w:r w:rsidR="00060ECF">
        <w:rPr>
          <w:rFonts w:ascii="Palatino Linotype" w:hAnsi="Palatino Linotype" w:cs="Tahoma"/>
          <w:bCs/>
          <w:sz w:val="22"/>
          <w:szCs w:val="22"/>
          <w:lang w:val="es-ES"/>
        </w:rPr>
        <w:t xml:space="preserve"> de diciembre</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Pr="001207E3"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rsidR="009245F5" w:rsidP="009245F5" w:rsidRDefault="00636446" w14:paraId="5EC22649" w14:textId="1F373AF7">
      <w:pPr>
        <w:tabs>
          <w:tab w:val="left" w:pos="4667"/>
        </w:tabs>
        <w:spacing w:line="360" w:lineRule="auto"/>
        <w:ind w:left="567" w:right="567"/>
        <w:jc w:val="both"/>
        <w:rPr>
          <w:rFonts w:ascii="Palatino Linotype" w:hAnsi="Palatino Linotype" w:cs="Tahoma"/>
          <w:bCs/>
          <w:i/>
        </w:rPr>
      </w:pPr>
      <w:r w:rsidRPr="00636446">
        <w:rPr>
          <w:rFonts w:ascii="Palatino Linotype" w:hAnsi="Palatino Linotype" w:cs="Tahoma"/>
          <w:bCs/>
          <w:i/>
        </w:rPr>
        <w:t>No se proporcionó la información solicitada.</w:t>
      </w:r>
      <w:r w:rsidR="009245F5">
        <w:rPr>
          <w:rFonts w:ascii="Palatino Linotype" w:hAnsi="Palatino Linotype" w:cs="Tahoma"/>
          <w:bCs/>
          <w:i/>
        </w:rPr>
        <w:t>” (Sic.)</w:t>
      </w:r>
    </w:p>
    <w:p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rsidRPr="00636446" w:rsidR="009245F5" w:rsidP="009245F5" w:rsidRDefault="00636446" w14:paraId="6EDEB3CA" w14:textId="309E8DFF">
      <w:pPr>
        <w:tabs>
          <w:tab w:val="left" w:pos="4667"/>
        </w:tabs>
        <w:spacing w:line="360" w:lineRule="auto"/>
        <w:ind w:left="567" w:right="567"/>
        <w:jc w:val="both"/>
        <w:rPr>
          <w:rFonts w:ascii="Palatino Linotype" w:hAnsi="Palatino Linotype" w:cs="Tahoma"/>
          <w:bCs/>
          <w:i/>
        </w:rPr>
      </w:pPr>
      <w:r w:rsidRPr="00636446">
        <w:rPr>
          <w:rFonts w:ascii="Palatino Linotype" w:hAnsi="Palatino Linotype" w:cs="Tahoma"/>
          <w:bCs/>
          <w:i/>
        </w:rPr>
        <w:t>la información solicitada no fue proporcionada.</w:t>
      </w:r>
      <w:r w:rsidRPr="00636446" w:rsidR="009245F5">
        <w:rPr>
          <w:rFonts w:ascii="Palatino Linotype" w:hAnsi="Palatino Linotype" w:cs="Tahoma"/>
          <w:bCs/>
          <w:i/>
        </w:rPr>
        <w:t>” (Sic.)</w:t>
      </w:r>
    </w:p>
    <w:p w:rsidR="009245F5" w:rsidP="009245F5" w:rsidRDefault="009245F5" w14:paraId="70A446E3" w14:textId="61A64669">
      <w:pPr>
        <w:autoSpaceDE w:val="0"/>
        <w:autoSpaceDN w:val="0"/>
        <w:adjustRightInd w:val="0"/>
        <w:spacing w:line="360" w:lineRule="auto"/>
        <w:ind w:right="-28"/>
        <w:jc w:val="both"/>
        <w:rPr>
          <w:rFonts w:ascii="Palatino Linotype" w:hAnsi="Palatino Linotype" w:cs="Tahoma"/>
          <w:sz w:val="22"/>
          <w:szCs w:val="22"/>
        </w:rPr>
      </w:pPr>
    </w:p>
    <w:p w:rsidRPr="00D47A95"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FC6890" w:rsidR="009245F5" w:rsidP="009245F5" w:rsidRDefault="009245F5" w14:paraId="007B64E3" w14:textId="5297701F">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lastRenderedPageBreak/>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636446">
        <w:rPr>
          <w:rFonts w:ascii="Palatino Linotype" w:hAnsi="Palatino Linotype" w:cs="Tahoma"/>
          <w:sz w:val="22"/>
          <w:szCs w:val="22"/>
        </w:rPr>
        <w:t xml:space="preserve">tres </w:t>
      </w:r>
      <w:r w:rsidR="00060ECF">
        <w:rPr>
          <w:rFonts w:ascii="Palatino Linotype" w:hAnsi="Palatino Linotype" w:cs="Tahoma"/>
          <w:sz w:val="22"/>
          <w:szCs w:val="22"/>
        </w:rPr>
        <w:t>de diciembre</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sidR="00636446">
        <w:rPr>
          <w:rFonts w:ascii="Palatino Linotype" w:hAnsi="Palatino Linotype" w:eastAsia="Calibri" w:cs="Tahoma"/>
          <w:b/>
          <w:bCs/>
          <w:sz w:val="22"/>
          <w:szCs w:val="22"/>
          <w:lang w:eastAsia="en-US"/>
        </w:rPr>
        <w:t>17121</w:t>
      </w:r>
      <w:r w:rsidRPr="0097069D" w:rsidR="0097069D">
        <w:rPr>
          <w:rFonts w:ascii="Palatino Linotype" w:hAnsi="Palatino Linotype" w:eastAsia="Calibri" w:cs="Tahoma"/>
          <w:b/>
          <w:bCs/>
          <w:sz w:val="22"/>
          <w:szCs w:val="22"/>
          <w:lang w:eastAsia="en-US"/>
        </w:rPr>
        <w:t>/INFOEM/IP/RR/2022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009245F5" w:rsidP="009245F5" w:rsidRDefault="009245F5" w14:paraId="7D3A4E8D" w14:textId="6C1E7956">
      <w:pPr>
        <w:spacing w:line="360" w:lineRule="auto"/>
        <w:jc w:val="both"/>
        <w:rPr>
          <w:rFonts w:ascii="Palatino Linotype" w:hAnsi="Palatino Linotype" w:cs="Tahoma"/>
          <w:bCs/>
          <w:sz w:val="22"/>
          <w:szCs w:val="22"/>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636446">
        <w:rPr>
          <w:rFonts w:ascii="Palatino Linotype" w:hAnsi="Palatino Linotype" w:eastAsia="Batang" w:cs="Tahoma"/>
          <w:bCs/>
          <w:sz w:val="22"/>
          <w:szCs w:val="22"/>
          <w:lang w:val="es-ES_tradnl"/>
        </w:rPr>
        <w:t>nueve</w:t>
      </w:r>
      <w:r w:rsidR="00060ECF">
        <w:rPr>
          <w:rFonts w:ascii="Palatino Linotype" w:hAnsi="Palatino Linotype" w:eastAsia="Batang" w:cs="Tahoma"/>
          <w:bCs/>
          <w:sz w:val="22"/>
          <w:szCs w:val="22"/>
          <w:lang w:val="es-ES_tradnl"/>
        </w:rPr>
        <w:t xml:space="preserve"> de diciembre</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9245F5" w:rsidP="009245F5" w:rsidRDefault="009245F5" w14:paraId="40E47CEF" w14:textId="77777777">
      <w:pPr>
        <w:spacing w:line="360" w:lineRule="auto"/>
        <w:ind w:right="-28"/>
        <w:jc w:val="both"/>
        <w:rPr>
          <w:rFonts w:ascii="Palatino Linotype" w:hAnsi="Palatino Linotype" w:cs="Tahoma"/>
          <w:b/>
          <w:sz w:val="22"/>
          <w:szCs w:val="22"/>
        </w:rPr>
      </w:pPr>
    </w:p>
    <w:p w:rsidR="00F100DD" w:rsidP="00F100DD" w:rsidRDefault="00F100DD" w14:paraId="4457AA34" w14:textId="77777777">
      <w:pPr>
        <w:spacing w:line="360" w:lineRule="auto"/>
        <w:ind w:right="-28"/>
        <w:jc w:val="both"/>
        <w:rPr>
          <w:rFonts w:ascii="Palatino Linotype" w:hAnsi="Palatino Linotype" w:cs="Tahoma"/>
          <w:sz w:val="22"/>
          <w:szCs w:val="22"/>
        </w:rPr>
      </w:pPr>
      <w:r>
        <w:rPr>
          <w:rFonts w:ascii="Palatino Linotype" w:hAnsi="Palatino Linotype" w:cs="Tahoma"/>
          <w:b/>
          <w:sz w:val="22"/>
          <w:szCs w:val="22"/>
        </w:rPr>
        <w:t xml:space="preserve">c) Informe Justificado o manifestaciones. </w:t>
      </w:r>
      <w:r>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rsidRPr="00542EC9" w:rsidR="009245F5" w:rsidP="009245F5" w:rsidRDefault="009245F5" w14:paraId="0F26F79D" w14:textId="77777777">
      <w:pPr>
        <w:spacing w:line="360" w:lineRule="auto"/>
        <w:ind w:right="-28"/>
        <w:jc w:val="both"/>
        <w:rPr>
          <w:rFonts w:ascii="Palatino Linotype" w:hAnsi="Palatino Linotype" w:cs="Tahoma"/>
          <w:sz w:val="22"/>
        </w:rPr>
      </w:pPr>
    </w:p>
    <w:p w:rsidRPr="00D47A95" w:rsidR="009245F5" w:rsidP="00060ECF" w:rsidRDefault="009245F5" w14:paraId="64F60997" w14:textId="10423B50">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008142FA">
        <w:rPr>
          <w:rFonts w:ascii="Palatino Linotype" w:hAnsi="Palatino Linotype" w:cs="Tahoma"/>
          <w:sz w:val="22"/>
          <w:szCs w:val="22"/>
        </w:rPr>
        <w:t xml:space="preserve">El </w:t>
      </w:r>
      <w:r w:rsidR="00060ECF">
        <w:rPr>
          <w:rFonts w:ascii="Palatino Linotype" w:hAnsi="Palatino Linotype" w:cs="Tahoma"/>
          <w:sz w:val="22"/>
          <w:szCs w:val="22"/>
        </w:rPr>
        <w:t>veintisiete</w:t>
      </w:r>
      <w:r w:rsidR="008142FA">
        <w:rPr>
          <w:rFonts w:ascii="Palatino Linotype" w:hAnsi="Palatino Linotype" w:cs="Tahoma"/>
          <w:sz w:val="22"/>
          <w:szCs w:val="22"/>
        </w:rPr>
        <w:t xml:space="preserve"> de </w:t>
      </w:r>
      <w:r w:rsidR="00F100DD">
        <w:rPr>
          <w:rFonts w:ascii="Palatino Linotype" w:hAnsi="Palatino Linotype" w:cs="Tahoma"/>
          <w:sz w:val="22"/>
          <w:szCs w:val="22"/>
        </w:rPr>
        <w:t>enero</w:t>
      </w:r>
      <w:r>
        <w:rPr>
          <w:rFonts w:ascii="Palatino Linotype" w:hAnsi="Palatino Linotype" w:cs="Tahoma"/>
          <w:sz w:val="22"/>
          <w:szCs w:val="22"/>
        </w:rPr>
        <w:t xml:space="preserve"> de dos mil veinti</w:t>
      </w:r>
      <w:r w:rsidR="00F100DD">
        <w:rPr>
          <w:rFonts w:ascii="Palatino Linotype" w:hAnsi="Palatino Linotype" w:cs="Tahoma"/>
          <w:sz w:val="22"/>
          <w:szCs w:val="22"/>
        </w:rPr>
        <w:t>trés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rsidRPr="00D47A95" w:rsidR="008142FA" w:rsidP="009245F5" w:rsidRDefault="008142FA" w14:paraId="6C690377" w14:textId="77777777">
      <w:pPr>
        <w:spacing w:line="360" w:lineRule="auto"/>
        <w:ind w:right="-28"/>
        <w:jc w:val="both"/>
        <w:rPr>
          <w:rFonts w:ascii="Palatino Linotype" w:hAnsi="Palatino Linotype" w:cs="Tahoma"/>
          <w:sz w:val="22"/>
          <w:szCs w:val="22"/>
          <w:lang w:val="es-ES"/>
        </w:rPr>
      </w:pPr>
    </w:p>
    <w:p w:rsidRPr="00D47A95"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D47A95" w:rsidR="009245F5" w:rsidP="009245F5" w:rsidRDefault="009245F5" w14:paraId="69A6557F" w14:textId="77777777">
      <w:pPr>
        <w:spacing w:line="360" w:lineRule="auto"/>
        <w:ind w:right="-28"/>
        <w:rPr>
          <w:rFonts w:ascii="Palatino Linotype" w:hAnsi="Palatino Linotype" w:cs="Tahoma"/>
          <w:b/>
          <w:sz w:val="22"/>
          <w:szCs w:val="22"/>
        </w:rPr>
      </w:pPr>
    </w:p>
    <w:p w:rsidRPr="00D47A95"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D47A95"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6A397F" w:rsidR="009245F5" w:rsidP="009245F5" w:rsidRDefault="009245F5" w14:paraId="5B57B3C3" w14:textId="7B354786">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CD6463" w:rsidP="00D3439B" w:rsidRDefault="00CD6463" w14:paraId="1EF81794"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9245F5" w:rsidP="00D3439B" w:rsidRDefault="009245F5" w14:paraId="3DC1A700" w14:textId="724011CF">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3439B" w:rsidR="00993E89" w:rsidP="00D3439B" w:rsidRDefault="00993E89" w14:paraId="63C27307"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D47A95"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lastRenderedPageBreak/>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B6698" w:rsidP="00FB6698" w:rsidRDefault="00FB6698" w14:paraId="4CFB692B" w14:textId="7D53CE22">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w:t>
      </w:r>
      <w:r w:rsidR="00CD6463">
        <w:rPr>
          <w:rFonts w:ascii="Palatino Linotype" w:hAnsi="Palatino Linotype" w:cs="Tahoma"/>
          <w:sz w:val="22"/>
          <w:szCs w:val="22"/>
        </w:rPr>
        <w:t>VI</w:t>
      </w:r>
      <w:r w:rsidR="00DF7A6F">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673937">
        <w:rPr>
          <w:rFonts w:ascii="Palatino Linotype" w:hAnsi="Palatino Linotype" w:cs="Tahoma"/>
          <w:sz w:val="22"/>
          <w:szCs w:val="22"/>
        </w:rPr>
        <w:t xml:space="preserve">entrega de información </w:t>
      </w:r>
      <w:r w:rsidR="00CD6463">
        <w:rPr>
          <w:rFonts w:ascii="Palatino Linotype" w:hAnsi="Palatino Linotype" w:cs="Tahoma"/>
          <w:sz w:val="22"/>
          <w:szCs w:val="22"/>
        </w:rPr>
        <w:t>que no corresponde con lo solicitado.</w:t>
      </w:r>
    </w:p>
    <w:p w:rsidRPr="006D2718"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2718"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Pr="006D2718"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A021B4" w:rsidR="00A021B4" w:rsidP="00A021B4" w:rsidRDefault="00A021B4" w14:paraId="0E49B04B"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A021B4" w:rsidP="00A021B4" w:rsidRDefault="00A021B4" w14:paraId="3BFCD782" w14:textId="77777777">
      <w:pPr>
        <w:spacing w:line="360" w:lineRule="auto"/>
        <w:jc w:val="both"/>
        <w:rPr>
          <w:rFonts w:ascii="Palatino Linotype" w:hAnsi="Palatino Linotype" w:cs="Tahoma"/>
          <w:sz w:val="22"/>
          <w:szCs w:val="24"/>
        </w:rPr>
      </w:pPr>
    </w:p>
    <w:p w:rsidRPr="00A021B4" w:rsidR="00A021B4" w:rsidP="00A021B4" w:rsidRDefault="00A021B4" w14:paraId="6DE45AC9"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A021B4" w:rsidP="00A021B4" w:rsidRDefault="00A021B4" w14:paraId="6C7BB293" w14:textId="77777777">
      <w:pPr>
        <w:spacing w:line="360" w:lineRule="auto"/>
        <w:jc w:val="both"/>
        <w:rPr>
          <w:rFonts w:ascii="Palatino Linotype" w:hAnsi="Palatino Linotype" w:cs="Tahoma"/>
          <w:sz w:val="22"/>
          <w:szCs w:val="24"/>
        </w:rPr>
      </w:pPr>
    </w:p>
    <w:p w:rsidRPr="00A021B4" w:rsidR="00A021B4" w:rsidP="00A021B4" w:rsidRDefault="00A021B4" w14:paraId="607E9E6C"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9245F5" w:rsidP="009245F5" w:rsidRDefault="009245F5" w14:paraId="10BE852E" w14:textId="6A48B72A">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Pr>
          <w:rFonts w:ascii="Palatino Linotype" w:hAnsi="Palatino Linotype" w:eastAsia="Calibri" w:cs="Tahoma"/>
          <w:iCs/>
          <w:sz w:val="22"/>
          <w:szCs w:val="22"/>
          <w:lang w:val="es-ES" w:eastAsia="es-ES_tradnl"/>
        </w:rPr>
        <w:t xml:space="preserve">solicitó </w:t>
      </w:r>
      <w:r w:rsidR="00CD6463">
        <w:rPr>
          <w:rFonts w:ascii="Palatino Linotype" w:hAnsi="Palatino Linotype" w:eastAsia="Calibri" w:cs="Tahoma"/>
          <w:iCs/>
          <w:sz w:val="22"/>
          <w:szCs w:val="22"/>
          <w:lang w:val="es-ES" w:eastAsia="es-ES_tradnl"/>
        </w:rPr>
        <w:t>una relación de los servidores públicos que integraban a la Dirección de Desarrollo Urbano y Medio Ambiente, así como, el tiempo que han laborado en dicha área.</w:t>
      </w:r>
    </w:p>
    <w:p w:rsidRPr="006A397F"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00060ECF" w:rsidP="00060ECF" w:rsidRDefault="009245F5" w14:paraId="2AD0ACFB" w14:textId="2B9897C4">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r w:rsidRPr="006A397F">
        <w:rPr>
          <w:rFonts w:ascii="Palatino Linotype" w:hAnsi="Palatino Linotype" w:eastAsia="Calibri" w:cs="Tahoma"/>
          <w:iCs/>
          <w:sz w:val="22"/>
          <w:szCs w:val="22"/>
          <w:lang w:val="es-ES" w:eastAsia="es-ES_tradnl"/>
        </w:rPr>
        <w:t>En respuesta, el Sujeto Obligado</w:t>
      </w:r>
      <w:r w:rsidR="00CD6463">
        <w:rPr>
          <w:rFonts w:ascii="Palatino Linotype" w:hAnsi="Palatino Linotype" w:eastAsia="Calibri" w:cs="Tahoma"/>
          <w:iCs/>
          <w:sz w:val="22"/>
          <w:szCs w:val="22"/>
          <w:lang w:val="es-ES" w:eastAsia="es-ES_tradnl"/>
        </w:rPr>
        <w:t>, por medio de la Subdirección de Recursos Humanos, proporcionó una relación, con el nombre, adscripción y fecha de ingreso de diversos servidores públicos</w:t>
      </w:r>
      <w:r w:rsidR="00060ECF">
        <w:rPr>
          <w:rFonts w:ascii="Palatino Linotype" w:hAnsi="Palatino Linotype" w:cs="Tahoma"/>
          <w:bCs/>
          <w:sz w:val="22"/>
          <w:szCs w:val="22"/>
          <w:lang w:val="es-ES"/>
        </w:rPr>
        <w:t>;</w:t>
      </w:r>
      <w:r w:rsidRPr="006A397F">
        <w:rPr>
          <w:rFonts w:ascii="Palatino Linotype" w:hAnsi="Palatino Linotype" w:eastAsia="Calibri" w:cs="Tahoma"/>
          <w:iCs/>
          <w:sz w:val="22"/>
          <w:szCs w:val="22"/>
          <w:lang w:val="es-ES" w:eastAsia="es-ES_tradnl"/>
        </w:rPr>
        <w:t xml:space="preserve"> </w:t>
      </w:r>
      <w:r w:rsidRPr="006A397F" w:rsidR="00453B05">
        <w:rPr>
          <w:rFonts w:ascii="Palatino Linotype" w:hAnsi="Palatino Linotype"/>
          <w:sz w:val="22"/>
          <w:szCs w:val="22"/>
        </w:rPr>
        <w:t>ante</w:t>
      </w:r>
      <w:r w:rsidRPr="0044419C" w:rsidR="00453B05">
        <w:rPr>
          <w:rFonts w:ascii="Palatino Linotype" w:hAnsi="Palatino Linotype"/>
          <w:sz w:val="22"/>
          <w:szCs w:val="22"/>
        </w:rPr>
        <w:t xml:space="preserve"> dicha circunstancia, la parte Recurrente se inconformó </w:t>
      </w:r>
      <w:r w:rsidR="00453B05">
        <w:rPr>
          <w:rFonts w:ascii="Palatino Linotype" w:hAnsi="Palatino Linotype"/>
          <w:sz w:val="22"/>
          <w:szCs w:val="22"/>
        </w:rPr>
        <w:t xml:space="preserve">de la entrega de información </w:t>
      </w:r>
      <w:r w:rsidR="00CD6463">
        <w:rPr>
          <w:rFonts w:ascii="Palatino Linotype" w:hAnsi="Palatino Linotype"/>
          <w:sz w:val="22"/>
          <w:szCs w:val="22"/>
        </w:rPr>
        <w:t>que no corresponde con lo solicitado</w:t>
      </w:r>
      <w:r w:rsidR="00453B05">
        <w:rPr>
          <w:rFonts w:ascii="Palatino Linotype" w:hAnsi="Palatino Linotype" w:cs="Tahoma" w:eastAsiaTheme="minorHAnsi"/>
          <w:bCs/>
          <w:iCs/>
          <w:color w:val="000000" w:themeColor="text1"/>
          <w:sz w:val="22"/>
          <w:szCs w:val="22"/>
          <w:lang w:val="es-ES" w:eastAsia="en-US"/>
        </w:rPr>
        <w:t xml:space="preserve">, lo cual actualiza el supuesto previsto en el artículo 179, fracción </w:t>
      </w:r>
      <w:r w:rsidR="00CD6463">
        <w:rPr>
          <w:rFonts w:ascii="Palatino Linotype" w:hAnsi="Palatino Linotype" w:cs="Tahoma" w:eastAsiaTheme="minorHAnsi"/>
          <w:bCs/>
          <w:iCs/>
          <w:color w:val="000000" w:themeColor="text1"/>
          <w:sz w:val="22"/>
          <w:szCs w:val="22"/>
          <w:lang w:val="es-ES" w:eastAsia="en-US"/>
        </w:rPr>
        <w:t>VI</w:t>
      </w:r>
      <w:r w:rsidR="00453B05">
        <w:rPr>
          <w:rFonts w:ascii="Palatino Linotype" w:hAnsi="Palatino Linotype" w:cs="Tahoma" w:eastAsiaTheme="minorHAnsi"/>
          <w:bCs/>
          <w:iCs/>
          <w:color w:val="000000" w:themeColor="text1"/>
          <w:sz w:val="22"/>
          <w:szCs w:val="22"/>
          <w:lang w:val="es-ES" w:eastAsia="en-US"/>
        </w:rPr>
        <w:t>, de la Ley de Transparencia y Acceso a la Información Pública del Estado de México y Municipios</w:t>
      </w:r>
      <w:r w:rsidR="00060ECF">
        <w:rPr>
          <w:rFonts w:ascii="Palatino Linotype" w:hAnsi="Palatino Linotype" w:cs="Tahoma" w:eastAsiaTheme="minorHAnsi"/>
          <w:bCs/>
          <w:iCs/>
          <w:color w:val="000000" w:themeColor="text1"/>
          <w:sz w:val="22"/>
          <w:szCs w:val="22"/>
          <w:shd w:val="clear" w:color="auto" w:fill="FFFFFF"/>
          <w:lang w:eastAsia="en-US"/>
        </w:rPr>
        <w:t xml:space="preserve">. </w:t>
      </w:r>
      <w:r w:rsidR="00453B05">
        <w:rPr>
          <w:rFonts w:ascii="Palatino Linotype" w:hAnsi="Palatino Linotype" w:cs="Tahoma" w:eastAsiaTheme="minorHAnsi"/>
          <w:color w:val="000000" w:themeColor="text1"/>
          <w:sz w:val="22"/>
          <w:szCs w:val="22"/>
          <w:lang w:val="es-ES" w:eastAsia="en-US"/>
        </w:rPr>
        <w:t>Así las cosas, una vez admitido y notificado los Recursos de Revisión a las partes, estas</w:t>
      </w:r>
      <w:r w:rsidR="00453B05">
        <w:rPr>
          <w:rFonts w:ascii="Palatino Linotype" w:hAnsi="Palatino Linotype" w:cs="Tahoma" w:eastAsiaTheme="minorHAnsi"/>
          <w:bCs/>
          <w:iCs/>
          <w:color w:val="000000" w:themeColor="text1"/>
          <w:sz w:val="22"/>
          <w:szCs w:val="22"/>
          <w:lang w:val="es-ES"/>
        </w:rPr>
        <w:t xml:space="preserve"> fueron omisas en realizar manifestaciones o alegatos.</w:t>
      </w:r>
      <w:r w:rsidR="003013EC">
        <w:rPr>
          <w:rFonts w:ascii="Palatino Linotype" w:hAnsi="Palatino Linotype" w:cs="Tahoma" w:eastAsiaTheme="minorHAnsi"/>
          <w:bCs/>
          <w:iCs/>
          <w:color w:val="000000" w:themeColor="text1"/>
          <w:sz w:val="22"/>
          <w:szCs w:val="22"/>
          <w:lang w:val="es-ES"/>
        </w:rPr>
        <w:t xml:space="preserve"> </w:t>
      </w:r>
    </w:p>
    <w:p w:rsidR="00060ECF" w:rsidP="00060ECF" w:rsidRDefault="00060ECF" w14:paraId="7AA0C1B2"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p>
    <w:p w:rsidR="009245F5" w:rsidP="00060ECF" w:rsidRDefault="009245F5" w14:paraId="5FA4A510" w14:textId="2288F160">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w:t>
      </w:r>
      <w:r>
        <w:rPr>
          <w:rFonts w:ascii="Palatino Linotype" w:hAnsi="Palatino Linotype" w:cs="Tahoma"/>
          <w:iCs/>
          <w:sz w:val="22"/>
          <w:szCs w:val="22"/>
        </w:rPr>
        <w:lastRenderedPageBreak/>
        <w:t xml:space="preserve">respuesta proporcionada por el Sujeto Obligado y el escrito recursal;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9245F5" w:rsidP="009245F5" w:rsidRDefault="009245F5" w14:paraId="74232835"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9245F5" w:rsidP="009245F5" w:rsidRDefault="009245F5" w14:paraId="03CA74E4" w14:textId="77777777">
      <w:pPr>
        <w:spacing w:line="360" w:lineRule="auto"/>
        <w:ind w:right="-28"/>
        <w:jc w:val="both"/>
        <w:rPr>
          <w:rFonts w:ascii="Palatino Linotype" w:hAnsi="Palatino Linotype" w:cs="Tahoma"/>
          <w:b/>
          <w:sz w:val="22"/>
          <w:szCs w:val="22"/>
        </w:rPr>
      </w:pPr>
    </w:p>
    <w:p w:rsidRPr="003E66FE"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B24EF" w:rsidP="004B24EF" w:rsidRDefault="004B24EF" w14:paraId="1B842888" w14:textId="77777777">
      <w:pPr>
        <w:spacing w:line="360" w:lineRule="auto"/>
        <w:ind w:right="-28"/>
        <w:jc w:val="both"/>
        <w:rPr>
          <w:rFonts w:ascii="Palatino Linotype" w:hAnsi="Palatino Linotype" w:cs="Tahoma"/>
          <w:b/>
          <w:sz w:val="22"/>
          <w:szCs w:val="22"/>
          <w:lang w:val="es-ES"/>
        </w:rPr>
      </w:pPr>
    </w:p>
    <w:p w:rsidRPr="00931AB4"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3C78F5" w:rsidP="00F41BDB" w:rsidRDefault="003C78F5" w14:paraId="2BD52781" w14:textId="2A4B93DA">
      <w:pPr>
        <w:spacing w:line="360" w:lineRule="auto"/>
        <w:ind w:right="-28"/>
        <w:contextualSpacing/>
        <w:jc w:val="both"/>
        <w:rPr>
          <w:rFonts w:ascii="Palatino Linotype" w:hAnsi="Palatino Linotype" w:cs="Tahoma"/>
          <w:bCs/>
          <w:iCs/>
          <w:sz w:val="22"/>
          <w:szCs w:val="22"/>
        </w:rPr>
      </w:pPr>
      <w:r w:rsidRPr="003C78F5">
        <w:rPr>
          <w:rFonts w:ascii="Palatino Linotype" w:hAnsi="Palatino Linotype" w:cs="Tahoma"/>
          <w:bCs/>
          <w:iCs/>
          <w:sz w:val="22"/>
          <w:szCs w:val="22"/>
        </w:rPr>
        <w:t xml:space="preserve">Expuestas las posturas de las partes, se procede al análisis del agravio hecho valer por el Particular, concerniente a la </w:t>
      </w:r>
      <w:r w:rsidR="00060ECF">
        <w:rPr>
          <w:rFonts w:ascii="Palatino Linotype" w:hAnsi="Palatino Linotype" w:cs="Tahoma"/>
          <w:bCs/>
          <w:iCs/>
          <w:sz w:val="22"/>
          <w:szCs w:val="22"/>
        </w:rPr>
        <w:t xml:space="preserve">entrega de información </w:t>
      </w:r>
      <w:r w:rsidR="00CD6463">
        <w:rPr>
          <w:rFonts w:ascii="Palatino Linotype" w:hAnsi="Palatino Linotype" w:cs="Tahoma"/>
          <w:bCs/>
          <w:iCs/>
          <w:sz w:val="22"/>
          <w:szCs w:val="22"/>
        </w:rPr>
        <w:t>que no corresponde con lo solicitado, para lo cual, es necesario contextualizar la solicitud de información.</w:t>
      </w:r>
    </w:p>
    <w:p w:rsidR="00CD6463" w:rsidP="00F41BDB" w:rsidRDefault="00CD6463" w14:paraId="3073ED50" w14:textId="6A63DBBE">
      <w:pPr>
        <w:spacing w:line="360" w:lineRule="auto"/>
        <w:ind w:right="-28"/>
        <w:contextualSpacing/>
        <w:jc w:val="both"/>
        <w:rPr>
          <w:rFonts w:ascii="Palatino Linotype" w:hAnsi="Palatino Linotype" w:cs="Tahoma"/>
          <w:bCs/>
          <w:iCs/>
          <w:sz w:val="22"/>
          <w:szCs w:val="22"/>
        </w:rPr>
      </w:pPr>
    </w:p>
    <w:p w:rsidR="00CD6463" w:rsidP="00F41BDB" w:rsidRDefault="009151B8" w14:paraId="13F20562" w14:textId="4F868946">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Para lo cual, en principio es necesario traer a colación el artículo 70, fracción VII, de la Ley General de Transparencia y Acceso a la Información Pública, el 92, fracción VII, de la Ley de Transparencia y Acceso a la Información Pública del Estado de México y Municipios y los </w:t>
      </w:r>
      <w:r w:rsidRPr="009151B8">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Tahoma"/>
          <w:bCs/>
          <w:iCs/>
          <w:sz w:val="22"/>
          <w:szCs w:val="22"/>
        </w:rPr>
        <w:t>, que establecen que el Sujeto Obligado deberá publicar el directorio de todos los servidores públicos, el cual debe de incluir entre otros datos el nombre, fecha de alta en el cargo y adscripción.</w:t>
      </w:r>
    </w:p>
    <w:p w:rsidR="009151B8" w:rsidP="00F41BDB" w:rsidRDefault="009151B8" w14:paraId="774D118D" w14:textId="658910F8">
      <w:pPr>
        <w:spacing w:line="360" w:lineRule="auto"/>
        <w:ind w:right="-28"/>
        <w:contextualSpacing/>
        <w:jc w:val="both"/>
        <w:rPr>
          <w:rFonts w:ascii="Palatino Linotype" w:hAnsi="Palatino Linotype" w:cs="Tahoma"/>
          <w:bCs/>
          <w:iCs/>
          <w:sz w:val="22"/>
          <w:szCs w:val="22"/>
        </w:rPr>
      </w:pPr>
    </w:p>
    <w:p w:rsidR="009151B8" w:rsidP="00F41BDB" w:rsidRDefault="009151B8" w14:paraId="565CE564" w14:textId="48E6B353">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Ahora bien, los artículos 34, fracción I, numeral 9 y 65.1 del Reglamento Orgánico de la Administración Pública del Municipio de Tultitlán, que establecen que el Sujeto Obligado cuenta con la Dirección de Desarrollo Urbano y Medio Ambiente, esto es, el área requerida por el Particular.</w:t>
      </w:r>
    </w:p>
    <w:p w:rsidR="009151B8" w:rsidP="00F41BDB" w:rsidRDefault="009151B8" w14:paraId="5595C70D" w14:textId="5FF32BE4">
      <w:pPr>
        <w:spacing w:line="360" w:lineRule="auto"/>
        <w:ind w:right="-28"/>
        <w:contextualSpacing/>
        <w:jc w:val="both"/>
        <w:rPr>
          <w:rFonts w:ascii="Palatino Linotype" w:hAnsi="Palatino Linotype" w:cs="Tahoma"/>
          <w:bCs/>
          <w:iCs/>
          <w:sz w:val="22"/>
          <w:szCs w:val="22"/>
        </w:rPr>
      </w:pPr>
    </w:p>
    <w:p w:rsidR="00631B6C" w:rsidP="00F41BDB" w:rsidRDefault="00631B6C" w14:paraId="0EE7A552" w14:textId="67BDE5F2">
      <w:pPr>
        <w:spacing w:line="360" w:lineRule="auto"/>
        <w:ind w:right="-28"/>
        <w:contextualSpacing/>
        <w:jc w:val="both"/>
        <w:rPr>
          <w:rFonts w:ascii="Palatino Linotype" w:hAnsi="Palatino Linotype" w:cs="Tahoma"/>
          <w:bCs/>
          <w:iCs/>
          <w:sz w:val="22"/>
          <w:szCs w:val="22"/>
        </w:rPr>
      </w:pPr>
    </w:p>
    <w:p w:rsidR="00631B6C" w:rsidP="00F41BDB" w:rsidRDefault="00631B6C" w14:paraId="7B2B66BA" w14:textId="77777777">
      <w:pPr>
        <w:spacing w:line="360" w:lineRule="auto"/>
        <w:ind w:right="-28"/>
        <w:contextualSpacing/>
        <w:jc w:val="both"/>
        <w:rPr>
          <w:rFonts w:ascii="Palatino Linotype" w:hAnsi="Palatino Linotype" w:cs="Tahoma"/>
          <w:bCs/>
          <w:iCs/>
          <w:sz w:val="22"/>
          <w:szCs w:val="22"/>
        </w:rPr>
      </w:pPr>
    </w:p>
    <w:p w:rsidR="009151B8" w:rsidP="00F41BDB" w:rsidRDefault="009151B8" w14:paraId="466489C2" w14:textId="33C3856F">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De tal circunstancia, se logra vislumbrar que la pretensión del ahora Recurrente es obtener una relación con el nombre de los servidores públicos que se encontraban adscritos a la Dirección de Desarrollo Urbano y Medio Ambiente, al veintidós de noviembre de dos mil veintidós, así como, aquel dato que de cuenta de la antigüedad en el cargo.</w:t>
      </w:r>
    </w:p>
    <w:p w:rsidR="009151B8" w:rsidP="00F41BDB" w:rsidRDefault="009151B8" w14:paraId="6EE2D135" w14:textId="77777777">
      <w:pPr>
        <w:spacing w:line="360" w:lineRule="auto"/>
        <w:ind w:right="-28"/>
        <w:contextualSpacing/>
        <w:jc w:val="both"/>
        <w:rPr>
          <w:rFonts w:ascii="Palatino Linotype" w:hAnsi="Palatino Linotype" w:cs="Tahoma"/>
          <w:bCs/>
          <w:iCs/>
          <w:sz w:val="22"/>
          <w:szCs w:val="22"/>
        </w:rPr>
      </w:pPr>
    </w:p>
    <w:p w:rsidR="009151B8" w:rsidP="009151B8" w:rsidRDefault="009151B8" w14:paraId="0FBB2F6D" w14:textId="0271D284">
      <w:pPr>
        <w:spacing w:line="360" w:lineRule="auto"/>
        <w:jc w:val="both"/>
        <w:rPr>
          <w:rFonts w:ascii="Palatino Linotype" w:hAnsi="Palatino Linotype" w:eastAsia="Calibri" w:cs="Tahoma"/>
          <w:bCs/>
          <w:iCs/>
          <w:color w:val="000000"/>
          <w:sz w:val="22"/>
          <w:szCs w:val="24"/>
          <w:lang w:eastAsia="es-MX"/>
        </w:rPr>
      </w:pPr>
      <w:r>
        <w:rPr>
          <w:rFonts w:ascii="Palatino Linotype" w:hAnsi="Palatino Linotype" w:cs="Tahoma"/>
          <w:bCs/>
          <w:iCs/>
          <w:sz w:val="22"/>
          <w:szCs w:val="22"/>
        </w:rPr>
        <w:t xml:space="preserve">Ahora bien, se procede analizar la respuesta otorgada, para lo cual, en principio cabe precisar que de las constancias que obran en el expediente, se logra vislumbrar a que el Ayuntamiento turno la solicitud a la Subdirección de Recursos Humanos; por lo que, </w:t>
      </w:r>
      <w:r>
        <w:rPr>
          <w:rFonts w:ascii="Palatino Linotype" w:hAnsi="Palatino Linotype" w:eastAsia="Calibri" w:cs="Tahoma"/>
          <w:bCs/>
          <w:color w:val="000000"/>
          <w:sz w:val="22"/>
          <w:szCs w:val="24"/>
          <w:lang w:eastAsia="es-MX"/>
        </w:rPr>
        <w:t xml:space="preserve">es necesario hacer referencia </w:t>
      </w:r>
      <w:r>
        <w:rPr>
          <w:rFonts w:ascii="Palatino Linotype" w:hAnsi="Palatino Linotype" w:eastAsia="Calibri" w:cs="Tahoma"/>
          <w:color w:val="000000"/>
          <w:sz w:val="22"/>
          <w:szCs w:val="24"/>
          <w:lang w:eastAsia="es-MX"/>
        </w:rPr>
        <w:t xml:space="preserve">al </w:t>
      </w:r>
      <w:r>
        <w:rPr>
          <w:rFonts w:ascii="Palatino Linotype" w:hAnsi="Palatino Linotype" w:eastAsia="Calibri" w:cs="Tahoma"/>
          <w:b/>
          <w:color w:val="000000"/>
          <w:sz w:val="22"/>
          <w:szCs w:val="24"/>
          <w:lang w:eastAsia="es-MX"/>
        </w:rPr>
        <w:t>procedimiento de búsqueda que deben de seguir los Sujetos Obligados para localizar la información</w:t>
      </w:r>
      <w:r>
        <w:rPr>
          <w:rFonts w:ascii="Palatino Linotype" w:hAnsi="Palatino Linotype" w:eastAsia="Calibri" w:cs="Tahoma"/>
          <w:color w:val="000000"/>
          <w:sz w:val="22"/>
          <w:szCs w:val="24"/>
          <w:lang w:eastAsia="es-MX"/>
        </w:rPr>
        <w:t>, el cual se encuentra previsto en los artículos</w:t>
      </w:r>
      <w:r>
        <w:rPr>
          <w:rFonts w:ascii="Palatino Linotype" w:hAnsi="Palatino Linotype" w:eastAsia="Calibri" w:cs="Tahoma"/>
          <w:bCs/>
          <w:color w:val="000000"/>
          <w:sz w:val="22"/>
          <w:szCs w:val="24"/>
          <w:lang w:eastAsia="es-MX"/>
        </w:rPr>
        <w:t xml:space="preserve"> 160 y 162 de la Ley de Transparencia y Acceso a la Información Pública del Estado de México y Municipios, mismo que es el siguiente:</w:t>
      </w:r>
    </w:p>
    <w:p w:rsidR="009151B8" w:rsidP="009151B8" w:rsidRDefault="009151B8" w14:paraId="1B173494"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009151B8" w:rsidP="009151B8" w:rsidRDefault="009151B8" w14:paraId="6448CC48"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9151B8" w:rsidP="009151B8" w:rsidRDefault="009151B8" w14:paraId="57D1E10A" w14:textId="77777777">
      <w:p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p>
    <w:p w:rsidR="009151B8" w:rsidP="009151B8" w:rsidRDefault="009151B8" w14:paraId="29B31247"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9151B8" w:rsidP="009151B8" w:rsidRDefault="009151B8" w14:paraId="55D0F8DF" w14:textId="77777777">
      <w:pPr>
        <w:autoSpaceDE w:val="0"/>
        <w:autoSpaceDN w:val="0"/>
        <w:adjustRightInd w:val="0"/>
        <w:spacing w:line="360" w:lineRule="auto"/>
        <w:jc w:val="both"/>
        <w:rPr>
          <w:rFonts w:ascii="Palatino Linotype" w:hAnsi="Palatino Linotype" w:eastAsia="Calibri" w:cs="Tahoma"/>
          <w:color w:val="000000"/>
          <w:sz w:val="22"/>
          <w:szCs w:val="24"/>
          <w:lang w:eastAsia="es-MX"/>
        </w:rPr>
      </w:pPr>
    </w:p>
    <w:p w:rsidR="00CD6463" w:rsidP="009151B8" w:rsidRDefault="009151B8" w14:paraId="3B22C19D" w14:textId="5D1C4C39">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t>Así, a efecto de determinar si el Sujeto Obligado siguió el procedimiento antes descrito, es necesario traer a colación</w:t>
      </w:r>
      <w:r w:rsidR="00CC67C3">
        <w:rPr>
          <w:rFonts w:ascii="Palatino Linotype" w:hAnsi="Palatino Linotype" w:eastAsia="Calibri" w:cs="Tahoma"/>
          <w:color w:val="000000"/>
          <w:sz w:val="22"/>
          <w:szCs w:val="24"/>
          <w:lang w:val="es-ES" w:eastAsia="es-MX"/>
        </w:rPr>
        <w:t xml:space="preserve"> el artículo 42.2 del </w:t>
      </w:r>
      <w:r w:rsidR="00CC67C3">
        <w:rPr>
          <w:rFonts w:ascii="Palatino Linotype" w:hAnsi="Palatino Linotype" w:cs="Tahoma"/>
          <w:bCs/>
          <w:iCs/>
          <w:sz w:val="22"/>
          <w:szCs w:val="22"/>
        </w:rPr>
        <w:t>Reglamento Orgánico de la Administración Pública del Municipio de Tultitlán, que precisa que el Sujeto Obligado para el ejercicio de sus funciones, contará con la Subdirección de Recursos Humanos encargada de actualizar, supervisar y administrar los movimientos del personal, así como la plantilla de personal.</w:t>
      </w:r>
    </w:p>
    <w:p w:rsidR="009151B8" w:rsidP="009151B8" w:rsidRDefault="009151B8" w14:paraId="3A49A790" w14:textId="36AE1170">
      <w:pPr>
        <w:spacing w:line="360" w:lineRule="auto"/>
        <w:jc w:val="both"/>
        <w:rPr>
          <w:rFonts w:ascii="Palatino Linotype" w:hAnsi="Palatino Linotype" w:eastAsia="Calibri" w:cs="Tahoma"/>
          <w:color w:val="000000"/>
          <w:sz w:val="22"/>
          <w:szCs w:val="24"/>
          <w:lang w:val="es-ES" w:eastAsia="es-MX"/>
        </w:rPr>
      </w:pPr>
    </w:p>
    <w:p w:rsidR="00CC67C3" w:rsidP="00CC67C3" w:rsidRDefault="00CC67C3" w14:paraId="0F2EB8F8" w14:textId="77777777">
      <w:pPr>
        <w:spacing w:line="360" w:lineRule="auto"/>
        <w:jc w:val="both"/>
        <w:rPr>
          <w:rFonts w:ascii="Palatino Linotype" w:hAnsi="Palatino Linotype" w:eastAsia="Calibri" w:cs="Tahoma"/>
          <w:color w:val="000000"/>
          <w:sz w:val="22"/>
          <w:szCs w:val="24"/>
          <w:lang w:val="es-ES" w:eastAsia="es-MX"/>
        </w:rPr>
      </w:pPr>
      <w:r w:rsidRPr="00CC67C3">
        <w:rPr>
          <w:rFonts w:ascii="Palatino Linotype" w:hAnsi="Palatino Linotype" w:eastAsia="Calibri" w:cs="Tahoma"/>
          <w:color w:val="000000"/>
          <w:sz w:val="22"/>
          <w:szCs w:val="24"/>
          <w:lang w:eastAsia="es-MX"/>
        </w:rPr>
        <w:t>De tal circunstancia</w:t>
      </w:r>
      <w:r w:rsidRPr="00CC67C3">
        <w:rPr>
          <w:rFonts w:ascii="Palatino Linotype" w:hAnsi="Palatino Linotype" w:eastAsia="Calibri" w:cs="Tahoma"/>
          <w:bCs/>
          <w:iCs/>
          <w:color w:val="000000"/>
          <w:sz w:val="22"/>
          <w:szCs w:val="24"/>
          <w:lang w:eastAsia="es-MX"/>
        </w:rPr>
        <w:t xml:space="preserve">, se logra colegir que el Sujeto Obligado cumplió con el procedimiento de búsqueda </w:t>
      </w:r>
      <w:r w:rsidRPr="00CC67C3">
        <w:rPr>
          <w:rFonts w:ascii="Palatino Linotype" w:hAnsi="Palatino Linotype" w:eastAsia="Calibri" w:cs="Tahoma"/>
          <w:color w:val="000000"/>
          <w:sz w:val="22"/>
          <w:szCs w:val="24"/>
          <w:lang w:val="es-ES" w:eastAsia="es-MX"/>
        </w:rPr>
        <w:t>establecido en el artículo 162 de la Ley de Transparencia y Acceso a la Información Pública del Estado de México y Municipios, pues el Ayuntamiento turno la solicitud de información</w:t>
      </w:r>
      <w:r>
        <w:rPr>
          <w:rFonts w:ascii="Palatino Linotype" w:hAnsi="Palatino Linotype" w:eastAsia="Calibri" w:cs="Tahoma"/>
          <w:color w:val="000000"/>
          <w:sz w:val="22"/>
          <w:szCs w:val="24"/>
          <w:lang w:val="es-ES" w:eastAsia="es-MX"/>
        </w:rPr>
        <w:t xml:space="preserve"> al área con atribuciones para conocer de lo peticionado. </w:t>
      </w:r>
    </w:p>
    <w:p w:rsidR="00CC67C3" w:rsidP="00CC67C3" w:rsidRDefault="00CC67C3" w14:paraId="174654AD" w14:textId="77777777">
      <w:pPr>
        <w:spacing w:line="360" w:lineRule="auto"/>
        <w:jc w:val="both"/>
        <w:rPr>
          <w:rFonts w:ascii="Palatino Linotype" w:hAnsi="Palatino Linotype" w:eastAsia="Calibri" w:cs="Tahoma"/>
          <w:color w:val="000000"/>
          <w:sz w:val="22"/>
          <w:szCs w:val="24"/>
          <w:lang w:val="es-ES" w:eastAsia="es-MX"/>
        </w:rPr>
      </w:pPr>
    </w:p>
    <w:p w:rsidR="00CC67C3" w:rsidP="00CC67C3" w:rsidRDefault="00CC67C3" w14:paraId="7010D276" w14:textId="2C9048B0">
      <w:pPr>
        <w:spacing w:line="360" w:lineRule="auto"/>
        <w:jc w:val="both"/>
        <w:rPr>
          <w:rFonts w:ascii="Palatino Linotype" w:hAnsi="Palatino Linotype" w:eastAsia="Calibri" w:cs="Tahoma"/>
          <w:color w:val="000000"/>
          <w:sz w:val="22"/>
          <w:szCs w:val="24"/>
          <w:lang w:val="es-ES" w:eastAsia="es-MX"/>
        </w:rPr>
      </w:pPr>
      <w:r w:rsidRPr="00CC67C3">
        <w:rPr>
          <w:rFonts w:ascii="Palatino Linotype" w:hAnsi="Palatino Linotype" w:eastAsia="Calibri" w:cs="Tahoma"/>
          <w:color w:val="000000"/>
          <w:sz w:val="22"/>
          <w:szCs w:val="24"/>
          <w:lang w:val="es-ES" w:eastAsia="es-MX"/>
        </w:rPr>
        <w:t>Ahora bien, dicha área</w:t>
      </w:r>
      <w:r>
        <w:rPr>
          <w:rFonts w:ascii="Palatino Linotype" w:hAnsi="Palatino Linotype" w:eastAsia="Calibri" w:cs="Tahoma"/>
          <w:color w:val="000000"/>
          <w:sz w:val="22"/>
          <w:szCs w:val="24"/>
          <w:lang w:val="es-ES" w:eastAsia="es-MX"/>
        </w:rPr>
        <w:t xml:space="preserve"> precisó que proporcionaba la información que daba cuenta de lo solicitado y proporcionó una relación, tal como se muestra en el siguiente extracto:</w:t>
      </w:r>
    </w:p>
    <w:p w:rsidR="00CC67C3" w:rsidP="00CC67C3" w:rsidRDefault="00CC67C3" w14:paraId="5F2D8E72" w14:textId="71BEA10C">
      <w:pPr>
        <w:spacing w:line="360" w:lineRule="auto"/>
        <w:jc w:val="both"/>
        <w:rPr>
          <w:rFonts w:ascii="Palatino Linotype" w:hAnsi="Palatino Linotype" w:eastAsia="Calibri" w:cs="Tahoma"/>
          <w:color w:val="000000"/>
          <w:sz w:val="22"/>
          <w:szCs w:val="24"/>
          <w:lang w:val="es-ES" w:eastAsia="es-MX"/>
        </w:rPr>
      </w:pPr>
    </w:p>
    <w:p w:rsidRPr="00CC67C3" w:rsidR="00CC67C3" w:rsidP="00CC67C3" w:rsidRDefault="00CC67C3" w14:paraId="3935504E" w14:textId="6D0436D8">
      <w:pPr>
        <w:spacing w:line="360" w:lineRule="auto"/>
        <w:jc w:val="both"/>
        <w:rPr>
          <w:rFonts w:ascii="Palatino Linotype" w:hAnsi="Palatino Linotype" w:eastAsia="Calibri" w:cs="Tahoma"/>
          <w:color w:val="000000"/>
          <w:sz w:val="22"/>
          <w:szCs w:val="24"/>
          <w:lang w:val="es-ES" w:eastAsia="es-MX"/>
        </w:rPr>
      </w:pPr>
      <w:r>
        <w:rPr>
          <w:noProof/>
          <w:lang w:eastAsia="es-MX"/>
        </w:rPr>
        <w:drawing>
          <wp:inline distT="0" distB="0" distL="0" distR="0" wp14:anchorId="55B8DED9" wp14:editId="2513DB39">
            <wp:extent cx="5742940" cy="7277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727710"/>
                    </a:xfrm>
                    <a:prstGeom prst="rect">
                      <a:avLst/>
                    </a:prstGeom>
                  </pic:spPr>
                </pic:pic>
              </a:graphicData>
            </a:graphic>
          </wp:inline>
        </w:drawing>
      </w:r>
    </w:p>
    <w:p w:rsidR="009151B8" w:rsidP="009151B8" w:rsidRDefault="009151B8" w14:paraId="4EDFBA8C" w14:textId="1C105AC9">
      <w:pPr>
        <w:spacing w:line="360" w:lineRule="auto"/>
        <w:jc w:val="both"/>
        <w:rPr>
          <w:rFonts w:ascii="Palatino Linotype" w:hAnsi="Palatino Linotype" w:eastAsia="Calibri" w:cs="Tahoma"/>
          <w:color w:val="000000"/>
          <w:sz w:val="22"/>
          <w:szCs w:val="24"/>
          <w:lang w:val="es-ES" w:eastAsia="es-MX"/>
        </w:rPr>
      </w:pPr>
    </w:p>
    <w:p w:rsidRPr="00AB09D7" w:rsidR="00AB09D7" w:rsidP="00AB09D7" w:rsidRDefault="00AB09D7" w14:paraId="5F29C30C" w14:textId="77777777">
      <w:pPr>
        <w:spacing w:line="360" w:lineRule="auto"/>
        <w:jc w:val="both"/>
        <w:rPr>
          <w:rFonts w:ascii="Palatino Linotype" w:hAnsi="Palatino Linotype" w:eastAsia="Calibri" w:cs="Tahoma"/>
          <w:color w:val="000000" w:themeColor="text1"/>
          <w:sz w:val="22"/>
          <w:szCs w:val="22"/>
          <w:lang w:eastAsia="en-US"/>
        </w:rPr>
      </w:pPr>
      <w:r w:rsidRPr="00AB09D7">
        <w:rPr>
          <w:rFonts w:ascii="Palatino Linotype" w:hAnsi="Palatino Linotype" w:eastAsia="Calibri" w:cs="Tahoma"/>
          <w:color w:val="000000"/>
          <w:sz w:val="22"/>
          <w:szCs w:val="24"/>
          <w:lang w:eastAsia="es-MX"/>
        </w:rPr>
        <w:t>A</w:t>
      </w:r>
      <w:r w:rsidRPr="00AB09D7">
        <w:rPr>
          <w:rFonts w:ascii="Palatino Linotype" w:hAnsi="Palatino Linotype" w:eastAsia="Calibri" w:cs="Tahoma"/>
          <w:bCs/>
          <w:color w:val="000000" w:themeColor="text1"/>
          <w:sz w:val="22"/>
          <w:szCs w:val="22"/>
          <w:lang w:eastAsia="en-US"/>
        </w:rPr>
        <w:t>l respecto, es señalar que este Instituto, no tiene atribuciones para pronunciarse sobre la veracidad de la información, inclusive la publicada en los portales de Internet. A</w:t>
      </w:r>
      <w:r w:rsidRPr="00AB09D7">
        <w:rPr>
          <w:rFonts w:ascii="Palatino Linotype" w:hAnsi="Palatino Linotype" w:eastAsia="Calibri" w:cs="Tahoma"/>
          <w:bCs/>
          <w:iCs/>
          <w:color w:val="000000" w:themeColor="text1"/>
          <w:sz w:val="22"/>
          <w:szCs w:val="22"/>
          <w:lang w:eastAsia="en-US"/>
        </w:rPr>
        <w:t xml:space="preserve">poya lo anterior, el </w:t>
      </w:r>
      <w:r w:rsidRPr="00AB09D7">
        <w:rPr>
          <w:rFonts w:ascii="Palatino Linotype" w:hAnsi="Palatino Linotype" w:eastAsia="Calibri" w:cs="Tahoma"/>
          <w:bCs/>
          <w:color w:val="000000" w:themeColor="text1"/>
          <w:sz w:val="22"/>
          <w:szCs w:val="22"/>
          <w:lang w:val="es-ES" w:eastAsia="en-US"/>
        </w:rPr>
        <w:t xml:space="preserve">Criterio de Interpretación, de la Primera Época, con número de registro </w:t>
      </w:r>
      <w:r w:rsidRPr="00AB09D7">
        <w:rPr>
          <w:rFonts w:ascii="Palatino Linotype" w:hAnsi="Palatino Linotype" w:eastAsia="Calibri" w:cs="Tahoma"/>
          <w:bCs/>
          <w:color w:val="000000" w:themeColor="text1"/>
          <w:sz w:val="22"/>
          <w:szCs w:val="22"/>
          <w:lang w:eastAsia="en-US"/>
        </w:rPr>
        <w:t>SO/031/2010,</w:t>
      </w:r>
      <w:r w:rsidRPr="00AB09D7">
        <w:rPr>
          <w:rFonts w:ascii="Palatino Linotype" w:hAnsi="Palatino Linotype" w:eastAsia="Calibri" w:cs="Tahoma"/>
          <w:bCs/>
          <w:iCs/>
          <w:color w:val="000000" w:themeColor="text1"/>
          <w:sz w:val="22"/>
          <w:szCs w:val="22"/>
          <w:lang w:eastAsia="en-US"/>
        </w:rPr>
        <w:t xml:space="preserve"> emitido por el Pleno del entonces Instituto Federal de Acceso a la Información y Protección de Datos, que a continuación se cita:</w:t>
      </w:r>
    </w:p>
    <w:p w:rsidRPr="00AB09D7" w:rsidR="00AB09D7" w:rsidP="00AB09D7" w:rsidRDefault="00AB09D7" w14:paraId="602C95EC" w14:textId="77777777">
      <w:pPr>
        <w:spacing w:line="360" w:lineRule="auto"/>
        <w:jc w:val="both"/>
        <w:rPr>
          <w:rFonts w:ascii="Palatino Linotype" w:hAnsi="Palatino Linotype" w:eastAsia="Calibri" w:cs="Tahoma"/>
          <w:color w:val="000000" w:themeColor="text1"/>
          <w:lang w:eastAsia="en-US"/>
        </w:rPr>
      </w:pPr>
    </w:p>
    <w:p w:rsidRPr="00AB09D7" w:rsidR="00AB09D7" w:rsidP="00AB09D7" w:rsidRDefault="00AB09D7" w14:paraId="29807486" w14:textId="77777777">
      <w:pPr>
        <w:spacing w:line="360" w:lineRule="auto"/>
        <w:ind w:left="567" w:right="567"/>
        <w:jc w:val="both"/>
        <w:rPr>
          <w:rFonts w:ascii="Palatino Linotype" w:hAnsi="Palatino Linotype" w:eastAsia="Calibri" w:cs="Tahoma"/>
          <w:bCs/>
          <w:i/>
          <w:color w:val="000000" w:themeColor="text1"/>
          <w:lang w:eastAsia="en-US"/>
        </w:rPr>
      </w:pPr>
      <w:r w:rsidRPr="00AB09D7">
        <w:rPr>
          <w:rFonts w:ascii="Palatino Linotype" w:hAnsi="Palatino Linotype" w:eastAsia="Calibri" w:cs="Tahoma"/>
          <w:b/>
          <w:bCs/>
          <w:i/>
          <w:color w:val="000000" w:themeColor="text1"/>
          <w:lang w:eastAsia="en-US"/>
        </w:rPr>
        <w:t xml:space="preserve">“El Instituto Federal de Acceso a la Información y Protección de Datos </w:t>
      </w:r>
      <w:r w:rsidRPr="00AB09D7">
        <w:rPr>
          <w:rFonts w:ascii="Palatino Linotype" w:hAnsi="Palatino Linotype" w:eastAsia="Calibri" w:cs="Tahoma"/>
          <w:b/>
          <w:bCs/>
          <w:i/>
          <w:color w:val="000000" w:themeColor="text1"/>
          <w:u w:val="single"/>
          <w:lang w:eastAsia="en-US"/>
        </w:rPr>
        <w:t xml:space="preserve">no cuenta con facultades para pronunciarse respecto de la veracidad de los documentos proporcionados por los sujetos obligados. </w:t>
      </w:r>
      <w:r w:rsidRPr="00AB09D7">
        <w:rPr>
          <w:rFonts w:ascii="Palatino Linotype" w:hAnsi="Palatino Linotype" w:eastAsia="Calibri" w:cs="Tahoma"/>
          <w:bCs/>
          <w:i/>
          <w:color w:val="000000" w:themeColor="text1"/>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B09D7" w:rsidP="009151B8" w:rsidRDefault="00AB09D7" w14:paraId="65C5B5D3" w14:textId="77777777">
      <w:pPr>
        <w:spacing w:line="360" w:lineRule="auto"/>
        <w:jc w:val="both"/>
        <w:rPr>
          <w:rFonts w:ascii="Palatino Linotype" w:hAnsi="Palatino Linotype" w:eastAsia="Calibri" w:cs="Tahoma"/>
          <w:color w:val="000000"/>
          <w:sz w:val="22"/>
          <w:szCs w:val="24"/>
          <w:lang w:val="es-ES" w:eastAsia="es-MX"/>
        </w:rPr>
      </w:pPr>
    </w:p>
    <w:p w:rsidR="009151B8" w:rsidP="009151B8" w:rsidRDefault="00AB09D7" w14:paraId="5B7A577C" w14:textId="2C8B3F4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de dicho documento se logra vislumbrar que contiene el nombre de los servidores públicos adscritos a la Dirección de Desarrollo Urbano y Medio Ambiente, al veintidós de noviembre de dos mil veintidós, así como, la fecha de ingreso al área, que da cuenta de la antigüedad de los trabajadores en el área en cuestión; por lo que, este Instituto considera que el Sujeto Obligado proporcionó el documento que daba cuenta de lo peticionado, tal como obraban en sus archivos.</w:t>
      </w:r>
    </w:p>
    <w:p w:rsidR="00CD6463" w:rsidP="00F41BDB" w:rsidRDefault="00CD6463" w14:paraId="71CDDEAB" w14:textId="77777777">
      <w:pPr>
        <w:spacing w:line="360" w:lineRule="auto"/>
        <w:ind w:right="-28"/>
        <w:contextualSpacing/>
        <w:jc w:val="both"/>
        <w:rPr>
          <w:rFonts w:ascii="Palatino Linotype" w:hAnsi="Palatino Linotype" w:cs="Tahoma"/>
          <w:bCs/>
          <w:iCs/>
          <w:sz w:val="22"/>
          <w:szCs w:val="22"/>
        </w:rPr>
      </w:pPr>
    </w:p>
    <w:p w:rsidRPr="00631B6C" w:rsidR="00631B6C" w:rsidP="00631B6C" w:rsidRDefault="00631B6C" w14:paraId="6293F8EA" w14:textId="22371FA1">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eastAsia="Calibri" w:cs="Tahoma"/>
          <w:bCs/>
          <w:iCs/>
          <w:sz w:val="22"/>
          <w:szCs w:val="22"/>
          <w:lang w:val="es-ES" w:eastAsia="en-US"/>
        </w:rPr>
        <w:t>D</w:t>
      </w:r>
      <w:proofErr w:type="spellStart"/>
      <w:r w:rsidRPr="00631B6C">
        <w:rPr>
          <w:rFonts w:ascii="Palatino Linotype" w:hAnsi="Palatino Linotype" w:eastAsia="Calibri" w:cs="Tahoma"/>
          <w:bCs/>
          <w:iCs/>
          <w:sz w:val="22"/>
          <w:szCs w:val="22"/>
          <w:lang w:eastAsia="en-US"/>
        </w:rPr>
        <w:t>icha</w:t>
      </w:r>
      <w:proofErr w:type="spellEnd"/>
      <w:r w:rsidRPr="00631B6C">
        <w:rPr>
          <w:rFonts w:ascii="Palatino Linotype" w:hAnsi="Palatino Linotype" w:eastAsia="Calibri" w:cs="Tahoma"/>
          <w:bCs/>
          <w:iCs/>
          <w:sz w:val="22"/>
          <w:szCs w:val="22"/>
          <w:lang w:eastAsia="en-US"/>
        </w:rPr>
        <w:t xml:space="preserve"> situación, toma sustento en</w:t>
      </w:r>
      <w:r w:rsidRPr="00631B6C">
        <w:rPr>
          <w:rFonts w:ascii="Palatino Linotype" w:hAnsi="Palatino Linotype" w:eastAsia="Calibri" w:cs="Tahoma"/>
          <w:bCs/>
          <w:sz w:val="22"/>
          <w:szCs w:val="22"/>
          <w:lang w:eastAsia="en-US"/>
        </w:rPr>
        <w:t xml:space="preserve">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631B6C" w:rsidR="00631B6C" w:rsidP="00631B6C" w:rsidRDefault="00631B6C" w14:paraId="61C115A7" w14:textId="77777777">
      <w:pPr>
        <w:spacing w:line="360" w:lineRule="auto"/>
        <w:ind w:right="-28"/>
        <w:contextualSpacing/>
        <w:jc w:val="both"/>
        <w:rPr>
          <w:rFonts w:ascii="Palatino Linotype" w:hAnsi="Palatino Linotype" w:eastAsia="Calibri" w:cs="Tahoma"/>
          <w:bCs/>
          <w:sz w:val="22"/>
          <w:szCs w:val="22"/>
          <w:lang w:eastAsia="en-US"/>
        </w:rPr>
      </w:pPr>
    </w:p>
    <w:p w:rsidRPr="00631B6C" w:rsidR="00631B6C" w:rsidP="00631B6C" w:rsidRDefault="00631B6C" w14:paraId="4768900B" w14:textId="77777777">
      <w:pPr>
        <w:spacing w:line="360" w:lineRule="auto"/>
        <w:ind w:right="-28"/>
        <w:contextualSpacing/>
        <w:jc w:val="both"/>
        <w:rPr>
          <w:rFonts w:ascii="Palatino Linotype" w:hAnsi="Palatino Linotype" w:eastAsia="Calibri" w:cs="Tahoma"/>
          <w:bCs/>
          <w:sz w:val="22"/>
          <w:szCs w:val="22"/>
          <w:lang w:eastAsia="en-US"/>
        </w:rPr>
      </w:pPr>
      <w:r w:rsidRPr="00631B6C">
        <w:rPr>
          <w:rFonts w:ascii="Palatino Linotype" w:hAnsi="Palatino Linotype" w:eastAsia="Calibri" w:cs="Tahoma"/>
          <w:bCs/>
          <w:sz w:val="22"/>
          <w:szCs w:val="22"/>
          <w:lang w:eastAsia="en-US"/>
        </w:rPr>
        <w:t xml:space="preserve">De esta manera, </w:t>
      </w:r>
      <w:r w:rsidRPr="00631B6C">
        <w:rPr>
          <w:rFonts w:ascii="Palatino Linotype" w:hAnsi="Palatino Linotype" w:eastAsia="Calibri" w:cs="Tahoma"/>
          <w:bCs/>
          <w:sz w:val="22"/>
          <w:szCs w:val="22"/>
          <w:lang w:val="es-ES" w:eastAsia="en-US"/>
        </w:rPr>
        <w:t xml:space="preserve">el derecho de acceso a la información pública se satisface en aquellos casos en que se entregue el soporte documental en el que conste la información solicitada, sin necesidad </w:t>
      </w:r>
      <w:r w:rsidRPr="00631B6C">
        <w:rPr>
          <w:rFonts w:ascii="Palatino Linotype" w:hAnsi="Palatino Linotype" w:eastAsia="Calibri" w:cs="Tahoma"/>
          <w:bCs/>
          <w:sz w:val="22"/>
          <w:szCs w:val="22"/>
          <w:lang w:val="es-ES" w:eastAsia="en-US"/>
        </w:rPr>
        <w:lastRenderedPageBreak/>
        <w:t xml:space="preserve">de elaborar documentos </w:t>
      </w:r>
      <w:r w:rsidRPr="00631B6C">
        <w:rPr>
          <w:rFonts w:ascii="Palatino Linotype" w:hAnsi="Palatino Linotype" w:eastAsia="Calibri" w:cs="Tahoma"/>
          <w:bCs/>
          <w:i/>
          <w:sz w:val="22"/>
          <w:szCs w:val="22"/>
          <w:lang w:eastAsia="en-US"/>
        </w:rPr>
        <w:t>ad hoc</w:t>
      </w:r>
      <w:r w:rsidRPr="00631B6C">
        <w:rPr>
          <w:rFonts w:ascii="Palatino Linotype" w:hAnsi="Palatino Linotype" w:eastAsia="Calibri" w:cs="Tahoma"/>
          <w:bCs/>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631B6C" w:rsidR="00631B6C" w:rsidP="00631B6C" w:rsidRDefault="00631B6C" w14:paraId="116AD0D0" w14:textId="77777777">
      <w:pPr>
        <w:spacing w:line="360" w:lineRule="auto"/>
        <w:ind w:right="-28"/>
        <w:contextualSpacing/>
        <w:jc w:val="both"/>
        <w:rPr>
          <w:rFonts w:ascii="Palatino Linotype" w:hAnsi="Palatino Linotype" w:eastAsia="Calibri" w:cs="Tahoma"/>
          <w:bCs/>
          <w:i/>
          <w:sz w:val="22"/>
          <w:szCs w:val="22"/>
          <w:lang w:eastAsia="en-US"/>
        </w:rPr>
      </w:pPr>
    </w:p>
    <w:p w:rsidRPr="00631B6C" w:rsidR="00631B6C" w:rsidP="00631B6C" w:rsidRDefault="00631B6C" w14:paraId="49D974BC" w14:textId="5319D6AC">
      <w:pPr>
        <w:spacing w:line="360" w:lineRule="auto"/>
        <w:ind w:right="-28"/>
        <w:contextualSpacing/>
        <w:jc w:val="both"/>
        <w:rPr>
          <w:rFonts w:ascii="Palatino Linotype" w:hAnsi="Palatino Linotype" w:eastAsia="Calibri" w:cs="Tahoma"/>
          <w:bCs/>
          <w:sz w:val="22"/>
          <w:szCs w:val="22"/>
          <w:lang w:val="es-ES" w:eastAsia="en-US"/>
        </w:rPr>
      </w:pPr>
      <w:r w:rsidRPr="00631B6C">
        <w:rPr>
          <w:rFonts w:ascii="Palatino Linotype" w:hAnsi="Palatino Linotype" w:eastAsia="Calibri" w:cs="Tahoma"/>
          <w:bCs/>
          <w:sz w:val="22"/>
          <w:szCs w:val="22"/>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ascii="Palatino Linotype" w:hAnsi="Palatino Linotype" w:eastAsia="Calibri" w:cs="Tahoma"/>
          <w:bCs/>
          <w:sz w:val="22"/>
          <w:szCs w:val="22"/>
          <w:lang w:val="es-ES" w:eastAsia="en-US"/>
        </w:rPr>
        <w:t xml:space="preserve">la relación con los datos requeridos, esto es, el nombre y aquel que da cuenta de la antigüedad de los servidores públicos adscritos a la Dirección de Desarrollo Urbano y Medio Ambiente, lo cual da como resultado que el agravio sea </w:t>
      </w:r>
      <w:r>
        <w:rPr>
          <w:rFonts w:ascii="Palatino Linotype" w:hAnsi="Palatino Linotype" w:eastAsia="Calibri" w:cs="Tahoma"/>
          <w:b/>
          <w:sz w:val="22"/>
          <w:szCs w:val="22"/>
          <w:lang w:val="es-ES" w:eastAsia="en-US"/>
        </w:rPr>
        <w:t>INFUNDADO.</w:t>
      </w:r>
      <w:r>
        <w:rPr>
          <w:rFonts w:ascii="Palatino Linotype" w:hAnsi="Palatino Linotype" w:eastAsia="Calibri" w:cs="Tahoma"/>
          <w:bCs/>
          <w:sz w:val="22"/>
          <w:szCs w:val="22"/>
          <w:lang w:val="es-ES" w:eastAsia="en-US"/>
        </w:rPr>
        <w:t xml:space="preserve"> </w:t>
      </w:r>
    </w:p>
    <w:p w:rsidR="00873CE8" w:rsidP="009245F5" w:rsidRDefault="00873CE8" w14:paraId="3690BFFF" w14:textId="47B8628F">
      <w:pPr>
        <w:spacing w:line="360" w:lineRule="auto"/>
        <w:ind w:right="-28"/>
        <w:contextualSpacing/>
        <w:jc w:val="both"/>
        <w:rPr>
          <w:rFonts w:ascii="Palatino Linotype" w:hAnsi="Palatino Linotype" w:eastAsia="Calibri" w:cs="Tahoma"/>
          <w:bCs/>
          <w:sz w:val="22"/>
          <w:szCs w:val="22"/>
          <w:lang w:eastAsia="en-US"/>
        </w:rPr>
      </w:pPr>
    </w:p>
    <w:p w:rsidR="009245F5" w:rsidP="009245F5" w:rsidRDefault="009245F5" w14:paraId="73AEA806"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9245F5" w:rsidP="009245F5" w:rsidRDefault="009245F5" w14:paraId="0E70E398" w14:textId="77777777">
      <w:pPr>
        <w:spacing w:line="360" w:lineRule="auto"/>
        <w:ind w:right="-28"/>
        <w:jc w:val="both"/>
        <w:rPr>
          <w:rFonts w:ascii="Palatino Linotype" w:hAnsi="Palatino Linotype" w:cs="Tahoma"/>
          <w:b/>
          <w:sz w:val="22"/>
          <w:szCs w:val="22"/>
        </w:rPr>
      </w:pPr>
    </w:p>
    <w:p w:rsidRPr="00631B6C" w:rsidR="00631B6C" w:rsidP="00631B6C" w:rsidRDefault="00631B6C" w14:paraId="3893B44B" w14:textId="77777777">
      <w:pPr>
        <w:spacing w:after="160" w:line="360" w:lineRule="auto"/>
        <w:contextualSpacing/>
        <w:jc w:val="both"/>
        <w:rPr>
          <w:rFonts w:ascii="Palatino Linotype" w:hAnsi="Palatino Linotype" w:eastAsia="Calibri" w:cs="Tahoma"/>
          <w:color w:val="000000" w:themeColor="text1"/>
          <w:sz w:val="22"/>
          <w:szCs w:val="22"/>
          <w:lang w:eastAsia="en-US"/>
        </w:rPr>
      </w:pPr>
      <w:r w:rsidRPr="00631B6C">
        <w:rPr>
          <w:rFonts w:ascii="Palatino Linotype" w:hAnsi="Palatino Linotype" w:eastAsia="Calibri" w:cs="Tahoma"/>
          <w:color w:val="000000" w:themeColor="text1"/>
          <w:sz w:val="22"/>
          <w:szCs w:val="22"/>
          <w:lang w:eastAsia="en-US"/>
        </w:rPr>
        <w:t xml:space="preserve">Con fundamento en el artículo 186, fracción II, de la Ley de Transparencia y Acceso a la Información Pública del Estado de México y Municipios, este Instituto considera procedente </w:t>
      </w:r>
      <w:r w:rsidRPr="00631B6C">
        <w:rPr>
          <w:rFonts w:ascii="Palatino Linotype" w:hAnsi="Palatino Linotype" w:eastAsia="Calibri" w:cs="Tahoma"/>
          <w:b/>
          <w:color w:val="000000" w:themeColor="text1"/>
          <w:sz w:val="22"/>
          <w:szCs w:val="22"/>
          <w:lang w:eastAsia="en-US"/>
        </w:rPr>
        <w:t xml:space="preserve">CONFIRMAR </w:t>
      </w:r>
      <w:r w:rsidRPr="00631B6C">
        <w:rPr>
          <w:rFonts w:ascii="Palatino Linotype" w:hAnsi="Palatino Linotype" w:eastAsia="Calibri" w:cs="Tahoma"/>
          <w:color w:val="000000" w:themeColor="text1"/>
          <w:sz w:val="22"/>
          <w:szCs w:val="22"/>
          <w:lang w:eastAsia="en-US"/>
        </w:rPr>
        <w:t xml:space="preserve">la respuesta otorgada por el Sujeto Obligado. </w:t>
      </w:r>
    </w:p>
    <w:p w:rsidR="00FA1017" w:rsidP="009245F5" w:rsidRDefault="00FA1017" w14:paraId="58E84417" w14:textId="77777777">
      <w:pPr>
        <w:spacing w:line="360" w:lineRule="auto"/>
        <w:jc w:val="both"/>
        <w:rPr>
          <w:rFonts w:ascii="Palatino Linotype" w:hAnsi="Palatino Linotype" w:cs="Tahoma"/>
          <w:sz w:val="22"/>
          <w:szCs w:val="22"/>
        </w:rPr>
      </w:pPr>
    </w:p>
    <w:p w:rsidRPr="00501A5E"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631B6C" w:rsidP="00631B6C" w:rsidRDefault="00631B6C" w14:paraId="62FD3C92" w14:textId="77777777">
      <w:pPr>
        <w:widowControl w:val="0"/>
        <w:spacing w:line="360" w:lineRule="auto"/>
        <w:jc w:val="both"/>
        <w:rPr>
          <w:rFonts w:ascii="Palatino Linotype" w:hAnsi="Palatino Linotype" w:eastAsia="Calibri" w:cs="Tahoma"/>
          <w:bCs/>
          <w:iCs/>
          <w:sz w:val="22"/>
          <w:szCs w:val="22"/>
          <w:lang w:eastAsia="en-US"/>
        </w:rPr>
      </w:pPr>
      <w:r w:rsidRPr="00631B6C">
        <w:rPr>
          <w:rFonts w:ascii="Palatino Linotype" w:hAnsi="Palatino Linotype" w:eastAsia="Calibri" w:cs="Tahoma"/>
          <w:bCs/>
          <w:iCs/>
          <w:sz w:val="22"/>
          <w:szCs w:val="22"/>
          <w:lang w:eastAsia="en-US"/>
        </w:rPr>
        <w:t xml:space="preserve">Se le hace del conocimiento al Particular, que, en el presente caso, no se le da la razón pues el Sujeto Obligado, proporcionó </w:t>
      </w:r>
      <w:r>
        <w:rPr>
          <w:rFonts w:ascii="Palatino Linotype" w:hAnsi="Palatino Linotype" w:eastAsia="Calibri" w:cs="Tahoma"/>
          <w:bCs/>
          <w:iCs/>
          <w:sz w:val="22"/>
          <w:szCs w:val="22"/>
          <w:lang w:eastAsia="en-US"/>
        </w:rPr>
        <w:t>el documento donde obraba lo solicitado</w:t>
      </w:r>
      <w:r w:rsidRPr="00631B6C">
        <w:rPr>
          <w:rFonts w:ascii="Palatino Linotype" w:hAnsi="Palatino Linotype" w:eastAsia="Calibri" w:cs="Tahoma"/>
          <w:bCs/>
          <w:iCs/>
          <w:sz w:val="22"/>
          <w:szCs w:val="22"/>
          <w:lang w:eastAsia="en-US"/>
        </w:rPr>
        <w:t xml:space="preserve">. </w:t>
      </w:r>
    </w:p>
    <w:p w:rsidR="00631B6C" w:rsidP="00631B6C" w:rsidRDefault="00631B6C" w14:paraId="11994B21" w14:textId="77777777">
      <w:pPr>
        <w:widowControl w:val="0"/>
        <w:spacing w:line="360" w:lineRule="auto"/>
        <w:jc w:val="both"/>
        <w:rPr>
          <w:rFonts w:ascii="Palatino Linotype" w:hAnsi="Palatino Linotype" w:eastAsia="Calibri" w:cs="Tahoma"/>
          <w:bCs/>
          <w:iCs/>
          <w:sz w:val="22"/>
          <w:szCs w:val="22"/>
          <w:lang w:eastAsia="en-US"/>
        </w:rPr>
      </w:pPr>
    </w:p>
    <w:p w:rsidRPr="00631B6C" w:rsidR="00631B6C" w:rsidP="00631B6C" w:rsidRDefault="00631B6C" w14:paraId="7BC66038" w14:textId="28098E00">
      <w:pPr>
        <w:widowControl w:val="0"/>
        <w:spacing w:line="360" w:lineRule="auto"/>
        <w:jc w:val="both"/>
        <w:rPr>
          <w:rFonts w:ascii="Palatino Linotype" w:hAnsi="Palatino Linotype" w:eastAsia="Calibri" w:cs="Tahoma"/>
          <w:bCs/>
          <w:iCs/>
          <w:sz w:val="22"/>
          <w:szCs w:val="22"/>
          <w:lang w:val="es-ES_tradnl" w:eastAsia="en-US"/>
        </w:rPr>
      </w:pPr>
      <w:r w:rsidRPr="00631B6C">
        <w:rPr>
          <w:rFonts w:ascii="Palatino Linotype" w:hAnsi="Palatino Linotype" w:eastAsia="Calibri" w:cs="Tahoma"/>
          <w:bCs/>
          <w:iCs/>
          <w:sz w:val="22"/>
          <w:szCs w:val="22"/>
          <w:lang w:val="es-ES_tradnl" w:eastAsia="en-US"/>
        </w:rPr>
        <w:t>La labor del Instituto, es apoyar a la población a acceder a la información pública y garantizar la protección de los datos personales.</w:t>
      </w:r>
    </w:p>
    <w:p w:rsidRPr="002B1BBE"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9245F5" w:rsidP="009245F5" w:rsidRDefault="009245F5" w14:paraId="1EA1703F" w14:textId="40543A9D">
      <w:pPr>
        <w:spacing w:line="360" w:lineRule="auto"/>
        <w:ind w:right="-28"/>
        <w:jc w:val="center"/>
        <w:rPr>
          <w:rFonts w:ascii="Palatino Linotype" w:hAnsi="Palatino Linotype" w:cs="Tahoma"/>
          <w:b/>
          <w:bCs/>
          <w:sz w:val="22"/>
          <w:szCs w:val="22"/>
        </w:rPr>
      </w:pPr>
    </w:p>
    <w:p w:rsidRPr="00631B6C" w:rsidR="00631B6C" w:rsidP="00631B6C" w:rsidRDefault="00631B6C" w14:paraId="3445F9B4" w14:textId="7598F184">
      <w:pPr>
        <w:spacing w:after="160" w:line="360" w:lineRule="auto"/>
        <w:contextualSpacing/>
        <w:jc w:val="both"/>
        <w:rPr>
          <w:rFonts w:ascii="Palatino Linotype" w:hAnsi="Palatino Linotype" w:eastAsia="Calibri" w:cs="Tahoma"/>
          <w:iCs/>
          <w:color w:val="000000" w:themeColor="text1"/>
          <w:sz w:val="22"/>
          <w:szCs w:val="22"/>
          <w:lang w:eastAsia="en-US"/>
        </w:rPr>
      </w:pPr>
      <w:r w:rsidRPr="00631B6C">
        <w:rPr>
          <w:rFonts w:ascii="Palatino Linotype" w:hAnsi="Palatino Linotype" w:eastAsia="Calibri" w:cs="Tahoma"/>
          <w:b/>
          <w:iCs/>
          <w:color w:val="000000" w:themeColor="text1"/>
          <w:sz w:val="22"/>
          <w:szCs w:val="22"/>
          <w:lang w:eastAsia="en-US"/>
        </w:rPr>
        <w:t>PRIMERO.</w:t>
      </w:r>
      <w:r w:rsidRPr="00631B6C">
        <w:rPr>
          <w:rFonts w:ascii="Palatino Linotype" w:hAnsi="Palatino Linotype" w:eastAsia="Calibri" w:cs="Tahoma"/>
          <w:bCs/>
          <w:iCs/>
          <w:color w:val="000000" w:themeColor="text1"/>
          <w:sz w:val="22"/>
          <w:szCs w:val="22"/>
          <w:lang w:eastAsia="en-US"/>
        </w:rPr>
        <w:t xml:space="preserve"> Se </w:t>
      </w:r>
      <w:r w:rsidRPr="00631B6C">
        <w:rPr>
          <w:rFonts w:ascii="Palatino Linotype" w:hAnsi="Palatino Linotype" w:eastAsia="Calibri" w:cs="Tahoma"/>
          <w:b/>
          <w:bCs/>
          <w:iCs/>
          <w:color w:val="000000" w:themeColor="text1"/>
          <w:sz w:val="22"/>
          <w:szCs w:val="22"/>
          <w:lang w:eastAsia="en-US"/>
        </w:rPr>
        <w:t xml:space="preserve">CONFIRMA </w:t>
      </w:r>
      <w:r w:rsidRPr="00631B6C">
        <w:rPr>
          <w:rFonts w:ascii="Palatino Linotype" w:hAnsi="Palatino Linotype" w:eastAsia="Calibri" w:cs="Tahoma"/>
          <w:iCs/>
          <w:color w:val="000000" w:themeColor="text1"/>
          <w:sz w:val="22"/>
          <w:szCs w:val="22"/>
          <w:lang w:eastAsia="en-US"/>
        </w:rPr>
        <w:t xml:space="preserve">la respuesta entregada por el Sujeto Obligado a la solicitud de acceso a la información </w:t>
      </w:r>
      <w:r w:rsidRPr="00631B6C">
        <w:rPr>
          <w:rFonts w:ascii="Palatino Linotype" w:hAnsi="Palatino Linotype" w:eastAsia="Calibri" w:cs="Tahoma"/>
          <w:color w:val="0D0D0D" w:themeColor="text1" w:themeTint="F2"/>
          <w:sz w:val="22"/>
          <w:szCs w:val="22"/>
          <w:lang w:eastAsia="en-US"/>
        </w:rPr>
        <w:t>con número de folio</w:t>
      </w:r>
      <w:r w:rsidRPr="00631B6C">
        <w:rPr>
          <w:rFonts w:ascii="Palatino Linotype" w:hAnsi="Palatino Linotype" w:eastAsia="Calibri"/>
          <w:b/>
          <w:bCs/>
          <w:color w:val="FF0000"/>
          <w:sz w:val="22"/>
          <w:szCs w:val="22"/>
          <w:lang w:eastAsia="en-US"/>
        </w:rPr>
        <w:t> </w:t>
      </w:r>
      <w:r>
        <w:rPr>
          <w:rFonts w:ascii="Palatino Linotype" w:hAnsi="Palatino Linotype" w:eastAsia="Calibri"/>
          <w:sz w:val="22"/>
          <w:szCs w:val="22"/>
        </w:rPr>
        <w:t>00272/TULTITLA/IP/2022</w:t>
      </w:r>
      <w:r w:rsidRPr="00631B6C">
        <w:rPr>
          <w:rFonts w:ascii="Palatino Linotype" w:hAnsi="Palatino Linotype" w:eastAsia="Calibri" w:cs="Tahoma"/>
          <w:bCs/>
          <w:color w:val="0D0D0D" w:themeColor="text1" w:themeTint="F2"/>
          <w:sz w:val="22"/>
          <w:szCs w:val="22"/>
          <w:lang w:eastAsia="en-US"/>
        </w:rPr>
        <w:t xml:space="preserve">, </w:t>
      </w:r>
      <w:r w:rsidRPr="00631B6C">
        <w:rPr>
          <w:rFonts w:ascii="Palatino Linotype" w:hAnsi="Palatino Linotype" w:eastAsia="Calibri" w:cs="Tahoma"/>
          <w:bCs/>
          <w:iCs/>
          <w:color w:val="000000" w:themeColor="text1"/>
          <w:sz w:val="22"/>
          <w:szCs w:val="22"/>
          <w:lang w:eastAsia="en-US"/>
        </w:rPr>
        <w:t xml:space="preserve">por resultar </w:t>
      </w:r>
      <w:r w:rsidRPr="00631B6C">
        <w:rPr>
          <w:rFonts w:ascii="Palatino Linotype" w:hAnsi="Palatino Linotype" w:eastAsia="Calibri" w:cs="Tahoma"/>
          <w:b/>
          <w:bCs/>
          <w:iCs/>
          <w:color w:val="000000" w:themeColor="text1"/>
          <w:sz w:val="22"/>
          <w:szCs w:val="22"/>
          <w:lang w:eastAsia="en-US"/>
        </w:rPr>
        <w:t>INFUNDADAS</w:t>
      </w:r>
      <w:r w:rsidRPr="00631B6C">
        <w:rPr>
          <w:rFonts w:ascii="Palatino Linotype" w:hAnsi="Palatino Linotype" w:eastAsia="Calibri" w:cs="Tahoma"/>
          <w:bCs/>
          <w:iCs/>
          <w:color w:val="000000" w:themeColor="text1"/>
          <w:sz w:val="22"/>
          <w:szCs w:val="22"/>
          <w:lang w:eastAsia="en-US"/>
        </w:rPr>
        <w:t xml:space="preserve"> las razón o motivo de inconformidad hecho valer por el Recurrente, en términos de los Considerandos </w:t>
      </w:r>
      <w:r w:rsidRPr="00631B6C">
        <w:rPr>
          <w:rFonts w:ascii="Palatino Linotype" w:hAnsi="Palatino Linotype" w:eastAsia="Calibri" w:cs="Tahoma"/>
          <w:iCs/>
          <w:color w:val="000000" w:themeColor="text1"/>
          <w:sz w:val="22"/>
          <w:szCs w:val="22"/>
          <w:lang w:eastAsia="en-US"/>
        </w:rPr>
        <w:t>QUINTO y SEXTO de esta Resolución.</w:t>
      </w:r>
    </w:p>
    <w:p w:rsidR="00631B6C" w:rsidP="009245F5" w:rsidRDefault="00631B6C" w14:paraId="191BE36C" w14:textId="77777777">
      <w:pPr>
        <w:spacing w:line="360" w:lineRule="auto"/>
        <w:ind w:right="-28"/>
        <w:jc w:val="center"/>
        <w:rPr>
          <w:rFonts w:ascii="Palatino Linotype" w:hAnsi="Palatino Linotype" w:cs="Tahoma"/>
          <w:b/>
          <w:bCs/>
          <w:sz w:val="22"/>
          <w:szCs w:val="22"/>
        </w:rPr>
      </w:pPr>
    </w:p>
    <w:p w:rsidRPr="00631B6C" w:rsidR="00631B6C" w:rsidP="00631B6C" w:rsidRDefault="00631B6C" w14:paraId="78DC8CC8" w14:textId="77777777">
      <w:pPr>
        <w:spacing w:after="160" w:line="360" w:lineRule="auto"/>
        <w:contextualSpacing/>
        <w:jc w:val="both"/>
        <w:rPr>
          <w:rFonts w:ascii="Palatino Linotype" w:hAnsi="Palatino Linotype" w:eastAsia="Calibri" w:cs="Tahoma"/>
          <w:bCs/>
          <w:i/>
          <w:iCs/>
          <w:color w:val="000000" w:themeColor="text1"/>
          <w:sz w:val="22"/>
          <w:szCs w:val="22"/>
          <w:lang w:eastAsia="en-US"/>
        </w:rPr>
      </w:pPr>
      <w:r w:rsidRPr="00631B6C">
        <w:rPr>
          <w:rFonts w:ascii="Palatino Linotype" w:hAnsi="Palatino Linotype" w:eastAsia="Calibri" w:cs="Tahoma"/>
          <w:b/>
          <w:bCs/>
          <w:iCs/>
          <w:color w:val="000000" w:themeColor="text1"/>
          <w:sz w:val="22"/>
          <w:szCs w:val="22"/>
          <w:lang w:eastAsia="en-US"/>
        </w:rPr>
        <w:t xml:space="preserve">SEGUNDO. NOTIFÍQUESE </w:t>
      </w:r>
      <w:r w:rsidRPr="00631B6C">
        <w:rPr>
          <w:rFonts w:ascii="Palatino Linotype" w:hAnsi="Palatino Linotype" w:eastAsia="Calibri" w:cs="Tahoma"/>
          <w:bCs/>
          <w:iCs/>
          <w:color w:val="000000" w:themeColor="text1"/>
          <w:sz w:val="22"/>
          <w:szCs w:val="22"/>
          <w:lang w:eastAsia="en-US"/>
        </w:rPr>
        <w:t>la presente resolución al Titular de la Unidad de Transparencia del Sujeto Obligado.</w:t>
      </w:r>
    </w:p>
    <w:p w:rsidRPr="00631B6C" w:rsidR="00631B6C" w:rsidP="00631B6C" w:rsidRDefault="00631B6C" w14:paraId="4011C68C" w14:textId="77777777">
      <w:pPr>
        <w:spacing w:after="160" w:line="360" w:lineRule="auto"/>
        <w:contextualSpacing/>
        <w:jc w:val="both"/>
        <w:rPr>
          <w:rFonts w:ascii="Palatino Linotype" w:hAnsi="Palatino Linotype" w:eastAsia="Calibri" w:cs="Tahoma"/>
          <w:bCs/>
          <w:iCs/>
          <w:color w:val="000000" w:themeColor="text1"/>
          <w:sz w:val="22"/>
          <w:szCs w:val="22"/>
          <w:lang w:eastAsia="en-US"/>
        </w:rPr>
      </w:pPr>
    </w:p>
    <w:p w:rsidRPr="00631B6C" w:rsidR="00631B6C" w:rsidP="00631B6C" w:rsidRDefault="00631B6C" w14:paraId="04FAC64D" w14:textId="77777777">
      <w:pPr>
        <w:spacing w:after="160" w:line="360" w:lineRule="auto"/>
        <w:contextualSpacing/>
        <w:jc w:val="both"/>
        <w:rPr>
          <w:rFonts w:ascii="Palatino Linotype" w:hAnsi="Palatino Linotype" w:eastAsia="Calibri" w:cs="Tahoma"/>
          <w:bCs/>
          <w:iCs/>
          <w:color w:val="000000" w:themeColor="text1"/>
          <w:sz w:val="22"/>
          <w:szCs w:val="22"/>
          <w:lang w:eastAsia="en-US"/>
        </w:rPr>
      </w:pPr>
      <w:r w:rsidRPr="00631B6C">
        <w:rPr>
          <w:rFonts w:ascii="Palatino Linotype" w:hAnsi="Palatino Linotype" w:eastAsia="Calibri" w:cs="Tahoma"/>
          <w:b/>
          <w:bCs/>
          <w:iCs/>
          <w:color w:val="000000" w:themeColor="text1"/>
          <w:sz w:val="22"/>
          <w:szCs w:val="22"/>
          <w:lang w:eastAsia="en-US"/>
        </w:rPr>
        <w:t>TERCERO. NOTIFÍQUESE</w:t>
      </w:r>
      <w:r w:rsidRPr="00631B6C">
        <w:rPr>
          <w:rFonts w:ascii="Palatino Linotype" w:hAnsi="Palatino Linotype" w:eastAsia="Calibri" w:cs="Tahoma"/>
          <w:bCs/>
          <w:iCs/>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9245F5" w:rsidP="009245F5" w:rsidRDefault="009245F5" w14:paraId="7B03A500" w14:textId="2496FF6F">
      <w:pPr>
        <w:shd w:val="clear" w:color="auto" w:fill="FFFFFF" w:themeFill="background1"/>
        <w:spacing w:line="360" w:lineRule="auto"/>
        <w:ind w:right="-28"/>
        <w:jc w:val="both"/>
        <w:rPr>
          <w:rFonts w:ascii="Palatino Linotype" w:hAnsi="Palatino Linotype" w:cs="Tahoma"/>
          <w:sz w:val="22"/>
          <w:szCs w:val="22"/>
        </w:rPr>
      </w:pPr>
    </w:p>
    <w:p w:rsidR="009245F5" w:rsidP="009245F5" w:rsidRDefault="009245F5" w14:paraId="148EC2F0" w14:textId="128E7877">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w:t>
      </w:r>
      <w:r w:rsidRPr="00EB7A54">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47B00">
        <w:rPr>
          <w:rFonts w:ascii="Palatino Linotype" w:hAnsi="Palatino Linotype" w:eastAsia="Calibri" w:cs="Tahoma"/>
          <w:sz w:val="22"/>
          <w:szCs w:val="22"/>
          <w:lang w:val="es-ES" w:eastAsia="es-ES_tradnl"/>
        </w:rPr>
        <w:t>CUARTA</w:t>
      </w:r>
      <w:r>
        <w:rPr>
          <w:rFonts w:ascii="Palatino Linotype" w:hAnsi="Palatino Linotype" w:eastAsia="Calibri" w:cs="Tahoma"/>
          <w:sz w:val="22"/>
          <w:szCs w:val="22"/>
          <w:lang w:val="es-ES" w:eastAsia="es-ES_tradnl"/>
        </w:rPr>
        <w:t xml:space="preserve"> SESIÓN ORDINARIA, </w:t>
      </w:r>
      <w:r w:rsidR="0068048C">
        <w:rPr>
          <w:rFonts w:ascii="Palatino Linotype" w:hAnsi="Palatino Linotype" w:eastAsia="Calibri" w:cs="Tahoma"/>
          <w:sz w:val="22"/>
          <w:szCs w:val="22"/>
          <w:lang w:val="es-ES" w:eastAsia="es-ES_tradnl"/>
        </w:rPr>
        <w:t xml:space="preserve">CELEBRADA EL </w:t>
      </w:r>
      <w:r w:rsidR="006B70AE">
        <w:rPr>
          <w:rFonts w:ascii="Palatino Linotype" w:hAnsi="Palatino Linotype" w:eastAsia="Calibri" w:cs="Tahoma"/>
          <w:sz w:val="22"/>
          <w:szCs w:val="22"/>
          <w:lang w:val="es-ES" w:eastAsia="es-ES_tradnl"/>
        </w:rPr>
        <w:t>PRIMERO DE FEBRERO DE DOS MIL VEINTIDÓS</w:t>
      </w:r>
      <w:r w:rsidR="0068048C">
        <w:rPr>
          <w:rFonts w:ascii="Palatino Linotype" w:hAnsi="Palatino Linotype" w:eastAsia="Calibri" w:cs="Tahoma"/>
          <w:sz w:val="22"/>
          <w:szCs w:val="22"/>
          <w:lang w:val="es-ES" w:eastAsia="es-ES_tradnl"/>
        </w:rPr>
        <w:t>,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bookmarkStart w:name="_GoBack" w:id="1"/>
      <w:bookmarkEnd w:id="1"/>
    </w:p>
    <w:sectPr w:rsidRPr="00C61C11" w:rsidR="00977B7D" w:rsidSect="00D3439B">
      <w:headerReference w:type="even" r:id="rId9"/>
      <w:headerReference w:type="default" r:id="rId10"/>
      <w:footerReference w:type="default" r:id="rId11"/>
      <w:headerReference w:type="first" r:id="rId12"/>
      <w:footerReference w:type="first" r:id="rId13"/>
      <w:pgSz w:w="12240" w:h="15840" w:orient="portrait"/>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7D" w:rsidP="00FC7A26" w:rsidRDefault="00BA667D" w14:paraId="728DBF77" w14:textId="77777777">
      <w:r>
        <w:separator/>
      </w:r>
    </w:p>
  </w:endnote>
  <w:endnote w:type="continuationSeparator" w:id="0">
    <w:p w:rsidR="00BA667D" w:rsidP="00FC7A26" w:rsidRDefault="00BA667D" w14:paraId="1FA1BE7E" w14:textId="77777777">
      <w:r>
        <w:continuationSeparator/>
      </w:r>
    </w:p>
  </w:endnote>
  <w:endnote w:type="continuationNotice" w:id="1">
    <w:p w:rsidR="00BA667D" w:rsidRDefault="00BA667D" w14:paraId="28F440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F3461" w:rsidRDefault="005F3461" w14:paraId="54BFC472" w14:textId="77777777">
            <w:pPr>
              <w:pStyle w:val="Piedepgina"/>
              <w:jc w:val="right"/>
              <w:rPr>
                <w:sz w:val="26"/>
                <w:szCs w:val="26"/>
              </w:rPr>
            </w:pPr>
          </w:p>
          <w:p w:rsidR="005F3461" w:rsidRDefault="005F3461"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6513">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6513">
              <w:rPr>
                <w:b/>
                <w:bCs/>
                <w:noProof/>
              </w:rPr>
              <w:t>14</w:t>
            </w:r>
            <w:r>
              <w:rPr>
                <w:b/>
                <w:bCs/>
                <w:sz w:val="24"/>
                <w:szCs w:val="24"/>
              </w:rPr>
              <w:fldChar w:fldCharType="end"/>
            </w:r>
          </w:p>
        </w:sdtContent>
      </w:sdt>
    </w:sdtContent>
  </w:sdt>
  <w:p w:rsidR="005F3461" w:rsidRDefault="005F3461"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5F3461" w14:paraId="215FCE47" w14:textId="77777777">
    <w:pPr>
      <w:pStyle w:val="Piedepgina"/>
      <w:jc w:val="right"/>
    </w:pPr>
  </w:p>
  <w:p w:rsidR="005F3461" w:rsidRDefault="005F3461" w14:paraId="73795115" w14:textId="77777777">
    <w:pPr>
      <w:pStyle w:val="Piedepgina"/>
      <w:jc w:val="right"/>
    </w:pPr>
  </w:p>
  <w:p w:rsidR="005F3461" w:rsidRDefault="005F3461" w14:paraId="102883EC" w14:textId="77777777">
    <w:pPr>
      <w:pStyle w:val="Piedepgina"/>
      <w:jc w:val="right"/>
    </w:pPr>
  </w:p>
  <w:p w:rsidR="005F3461" w:rsidRDefault="005F3461"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65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6513">
      <w:rPr>
        <w:b/>
        <w:bCs/>
        <w:noProof/>
      </w:rPr>
      <w:t>14</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7D" w:rsidP="00FC7A26" w:rsidRDefault="00BA667D" w14:paraId="1DF4606C" w14:textId="77777777">
      <w:r>
        <w:separator/>
      </w:r>
    </w:p>
  </w:footnote>
  <w:footnote w:type="continuationSeparator" w:id="0">
    <w:p w:rsidR="00BA667D" w:rsidP="00FC7A26" w:rsidRDefault="00BA667D" w14:paraId="4E11305E" w14:textId="77777777">
      <w:r>
        <w:continuationSeparator/>
      </w:r>
    </w:p>
  </w:footnote>
  <w:footnote w:type="continuationNotice" w:id="1">
    <w:p w:rsidR="00BA667D" w:rsidRDefault="00BA667D" w14:paraId="3E47AB6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461" w:rsidRDefault="00396513"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5F3461" w:rsidP="005F3461" w:rsidRDefault="00396513"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5F3461" w:rsidTr="00AF6ADC" w14:paraId="54DC5BBB" w14:textId="77777777">
      <w:trPr>
        <w:trHeight w:val="70"/>
      </w:trPr>
      <w:tc>
        <w:tcPr>
          <w:tcW w:w="2552" w:type="dxa"/>
          <w:shd w:val="clear" w:color="auto" w:fill="auto"/>
        </w:tcPr>
        <w:p w:rsidRPr="005C106F" w:rsidR="005F3461" w:rsidP="005F3461" w:rsidRDefault="005F3461"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5F3461" w:rsidTr="00A021B4" w14:paraId="19911F35" w14:textId="77777777">
            <w:trPr>
              <w:trHeight w:val="128"/>
            </w:trPr>
            <w:tc>
              <w:tcPr>
                <w:tcW w:w="2408" w:type="dxa"/>
                <w:vAlign w:val="bottom"/>
              </w:tcPr>
              <w:p w:rsidRPr="008B41A2" w:rsidR="005F3461" w:rsidP="005F3461" w:rsidRDefault="005F3461"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5F3461" w:rsidP="00B43BFA" w:rsidRDefault="00636446" w14:paraId="79E321B5" w14:textId="1191AA70">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17121</w:t>
                </w:r>
                <w:r w:rsidRPr="00782062" w:rsidR="005F3461">
                  <w:rPr>
                    <w:rFonts w:ascii="Palatino Linotype" w:hAnsi="Palatino Linotype" w:eastAsia="Calibri" w:cs="Tahoma"/>
                    <w:sz w:val="22"/>
                    <w:szCs w:val="22"/>
                    <w:lang w:val="es-MX"/>
                  </w:rPr>
                  <w:t>/INFOEM/IP/RR/2022</w:t>
                </w:r>
              </w:p>
            </w:tc>
          </w:tr>
          <w:tr w:rsidR="005F3461" w:rsidTr="00A021B4" w14:paraId="5FC9045B" w14:textId="77777777">
            <w:trPr>
              <w:trHeight w:val="251"/>
            </w:trPr>
            <w:tc>
              <w:tcPr>
                <w:tcW w:w="2408" w:type="dxa"/>
              </w:tcPr>
              <w:p w:rsidRPr="008B41A2" w:rsidR="005F3461" w:rsidP="005F3461" w:rsidRDefault="005F3461"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5F3461" w:rsidP="00782062" w:rsidRDefault="00636446" w14:paraId="5B3372D4" w14:textId="0A1FF8E5">
                <w:pPr>
                  <w:tabs>
                    <w:tab w:val="right" w:pos="8838"/>
                  </w:tabs>
                  <w:ind w:right="273"/>
                  <w:jc w:val="both"/>
                  <w:rPr>
                    <w:rFonts w:ascii="Palatino Linotype" w:hAnsi="Palatino Linotype" w:eastAsia="Calibri" w:cs="Tahoma"/>
                    <w:sz w:val="22"/>
                    <w:szCs w:val="22"/>
                    <w:lang w:val="es-MX"/>
                  </w:rPr>
                </w:pPr>
                <w:r>
                  <w:rPr>
                    <w:rFonts w:ascii="Palatino Linotype" w:hAnsi="Palatino Linotype" w:eastAsia="Calibri" w:cs="Tahoma"/>
                    <w:sz w:val="22"/>
                    <w:szCs w:val="22"/>
                  </w:rPr>
                  <w:t>Ayuntamiento de Tultitlán</w:t>
                </w:r>
              </w:p>
            </w:tc>
          </w:tr>
          <w:tr w:rsidR="005F3461" w:rsidTr="00A021B4" w14:paraId="0EA3B3B7" w14:textId="77777777">
            <w:trPr>
              <w:trHeight w:val="251"/>
            </w:trPr>
            <w:tc>
              <w:tcPr>
                <w:tcW w:w="2408" w:type="dxa"/>
              </w:tcPr>
              <w:p w:rsidRPr="008B41A2" w:rsidR="005F3461" w:rsidP="005F3461" w:rsidRDefault="005F3461"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5F3461" w:rsidP="005F3461" w:rsidRDefault="005F3461"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5F3461" w:rsidP="005F3461" w:rsidRDefault="005F3461" w14:paraId="39322C5A" w14:textId="77777777">
          <w:pPr>
            <w:tabs>
              <w:tab w:val="right" w:pos="8838"/>
            </w:tabs>
            <w:ind w:left="-28"/>
            <w:rPr>
              <w:rFonts w:ascii="Arial" w:hAnsi="Arial" w:eastAsia="Calibri" w:cs="Arial"/>
              <w:b/>
            </w:rPr>
          </w:pPr>
        </w:p>
      </w:tc>
    </w:tr>
  </w:tbl>
  <w:p w:rsidR="005F3461" w:rsidP="005F3461" w:rsidRDefault="005F3461" w14:paraId="413B7D7D" w14:textId="77777777">
    <w:pPr>
      <w:pStyle w:val="Encabezado"/>
      <w:rPr>
        <w:sz w:val="14"/>
      </w:rPr>
    </w:pPr>
  </w:p>
  <w:p w:rsidRPr="00443C6B" w:rsidR="005F3461" w:rsidP="005F3461" w:rsidRDefault="005F3461"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5F3461" w:rsidTr="4FC8C29D" w14:paraId="0296A02D" w14:textId="77777777">
      <w:trPr>
        <w:trHeight w:val="302"/>
      </w:trPr>
      <w:tc>
        <w:tcPr>
          <w:tcW w:w="2420" w:type="dxa"/>
          <w:tcMar/>
        </w:tcPr>
        <w:p w:rsidRPr="00D3618F" w:rsidR="005F3461" w:rsidP="005F3461" w:rsidRDefault="005F3461"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5F3461" w:rsidP="00E06BA5" w:rsidRDefault="00636446" w14:paraId="328710A7" w14:textId="019B9CBA">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17121</w:t>
          </w:r>
          <w:r w:rsidRPr="00782062" w:rsidR="005F3461">
            <w:rPr>
              <w:rFonts w:ascii="Palatino Linotype" w:hAnsi="Palatino Linotype" w:eastAsia="Calibri" w:cs="Tahoma"/>
              <w:sz w:val="22"/>
              <w:szCs w:val="22"/>
              <w:lang w:val="es-MX" w:eastAsia="en-US"/>
            </w:rPr>
            <w:t>/INFOEM/IP/RR/2022</w:t>
          </w:r>
        </w:p>
      </w:tc>
    </w:tr>
    <w:tr w:rsidRPr="00264223" w:rsidR="005F3461" w:rsidTr="4FC8C29D" w14:paraId="612E08F0" w14:textId="77777777">
      <w:trPr>
        <w:trHeight w:val="110"/>
      </w:trPr>
      <w:tc>
        <w:tcPr>
          <w:tcW w:w="2420" w:type="dxa"/>
          <w:tcMar/>
        </w:tcPr>
        <w:p w:rsidRPr="00D3618F" w:rsidR="005F3461" w:rsidP="005F3461" w:rsidRDefault="005F3461"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060ECF" w:rsidR="005F3461" w:rsidP="4FC8C29D" w:rsidRDefault="00636446" w14:paraId="717CF0C7" w14:textId="77AA10AF">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4FC8C29D" w:rsidR="4FC8C29D">
            <w:rPr>
              <w:rFonts w:ascii="Palatino Linotype" w:hAnsi="Palatino Linotype" w:eastAsia="Calibri" w:cs="Tahoma"/>
              <w:sz w:val="22"/>
              <w:szCs w:val="22"/>
              <w:highlight w:val="black"/>
              <w:lang w:val="es-MX" w:eastAsia="en-US"/>
            </w:rPr>
            <w:t>XXXXXXXXXXXXXXXXXX</w:t>
          </w:r>
        </w:p>
      </w:tc>
    </w:tr>
    <w:tr w:rsidRPr="00264223" w:rsidR="005F3461" w:rsidTr="4FC8C29D" w14:paraId="3A9CDB69" w14:textId="77777777">
      <w:trPr>
        <w:trHeight w:val="248"/>
      </w:trPr>
      <w:tc>
        <w:tcPr>
          <w:tcW w:w="2420" w:type="dxa"/>
          <w:tcMar/>
        </w:tcPr>
        <w:p w:rsidRPr="00D3618F" w:rsidR="005F3461" w:rsidP="005F3461" w:rsidRDefault="005F3461"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5F3461" w:rsidP="00782062" w:rsidRDefault="00636446" w14:paraId="7E37B80E" w14:textId="0C71AD5F">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Ayuntamiento de Tultitlán</w:t>
          </w:r>
        </w:p>
      </w:tc>
    </w:tr>
    <w:tr w:rsidRPr="00264223" w:rsidR="005F3461" w:rsidTr="4FC8C29D" w14:paraId="1AF8B0BB" w14:textId="77777777">
      <w:trPr>
        <w:trHeight w:val="248"/>
      </w:trPr>
      <w:tc>
        <w:tcPr>
          <w:tcW w:w="2420" w:type="dxa"/>
          <w:tcMar/>
        </w:tcPr>
        <w:p w:rsidRPr="00D3618F" w:rsidR="005F3461" w:rsidP="005F3461" w:rsidRDefault="005F3461"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5F3461" w:rsidP="00E06BA5" w:rsidRDefault="005F3461"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F3461" w:rsidP="00E06BA5" w:rsidRDefault="00396513"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1D36DBA"/>
    <w:multiLevelType w:val="hybridMultilevel"/>
    <w:tmpl w:val="9BB4C1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2F2B52D5"/>
    <w:multiLevelType w:val="hybridMultilevel"/>
    <w:tmpl w:val="9AB0BA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5"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7"/>
  </w:num>
  <w:num w:numId="2">
    <w:abstractNumId w:val="34"/>
  </w:num>
  <w:num w:numId="3">
    <w:abstractNumId w:val="17"/>
  </w:num>
  <w:num w:numId="4">
    <w:abstractNumId w:val="37"/>
  </w:num>
  <w:num w:numId="5">
    <w:abstractNumId w:val="10"/>
  </w:num>
  <w:num w:numId="6">
    <w:abstractNumId w:val="2"/>
  </w:num>
  <w:num w:numId="7">
    <w:abstractNumId w:val="15"/>
  </w:num>
  <w:num w:numId="8">
    <w:abstractNumId w:val="40"/>
  </w:num>
  <w:num w:numId="9">
    <w:abstractNumId w:val="36"/>
  </w:num>
  <w:num w:numId="10">
    <w:abstractNumId w:val="33"/>
  </w:num>
  <w:num w:numId="11">
    <w:abstractNumId w:val="23"/>
  </w:num>
  <w:num w:numId="12">
    <w:abstractNumId w:val="19"/>
  </w:num>
  <w:num w:numId="13">
    <w:abstractNumId w:val="43"/>
  </w:num>
  <w:num w:numId="14">
    <w:abstractNumId w:val="26"/>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5"/>
  </w:num>
  <w:num w:numId="20">
    <w:abstractNumId w:val="47"/>
  </w:num>
  <w:num w:numId="21">
    <w:abstractNumId w:val="44"/>
  </w:num>
  <w:num w:numId="22">
    <w:abstractNumId w:val="18"/>
  </w:num>
  <w:num w:numId="23">
    <w:abstractNumId w:val="20"/>
  </w:num>
  <w:num w:numId="24">
    <w:abstractNumId w:val="25"/>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46"/>
  </w:num>
  <w:num w:numId="30">
    <w:abstractNumId w:val="38"/>
  </w:num>
  <w:num w:numId="31">
    <w:abstractNumId w:val="31"/>
  </w:num>
  <w:num w:numId="32">
    <w:abstractNumId w:val="8"/>
  </w:num>
  <w:num w:numId="33">
    <w:abstractNumId w:val="24"/>
  </w:num>
  <w:num w:numId="34">
    <w:abstractNumId w:val="6"/>
  </w:num>
  <w:num w:numId="35">
    <w:abstractNumId w:val="30"/>
  </w:num>
  <w:num w:numId="36">
    <w:abstractNumId w:val="39"/>
  </w:num>
  <w:num w:numId="37">
    <w:abstractNumId w:val="0"/>
  </w:num>
  <w:num w:numId="38">
    <w:abstractNumId w:val="28"/>
  </w:num>
  <w:num w:numId="39">
    <w:abstractNumId w:val="29"/>
  </w:num>
  <w:num w:numId="40">
    <w:abstractNumId w:val="22"/>
  </w:num>
  <w:num w:numId="41">
    <w:abstractNumId w:val="45"/>
  </w:num>
  <w:num w:numId="42">
    <w:abstractNumId w:val="1"/>
  </w:num>
  <w:num w:numId="43">
    <w:abstractNumId w:val="9"/>
  </w:num>
  <w:num w:numId="44">
    <w:abstractNumId w:val="32"/>
  </w:num>
  <w:num w:numId="45">
    <w:abstractNumId w:val="14"/>
  </w:num>
  <w:num w:numId="46">
    <w:abstractNumId w:val="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2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074BF"/>
    <w:rsid w:val="00011665"/>
    <w:rsid w:val="0002223D"/>
    <w:rsid w:val="000227D4"/>
    <w:rsid w:val="00041105"/>
    <w:rsid w:val="00042AF8"/>
    <w:rsid w:val="00042E13"/>
    <w:rsid w:val="00046E37"/>
    <w:rsid w:val="000500C2"/>
    <w:rsid w:val="00053263"/>
    <w:rsid w:val="00057F3C"/>
    <w:rsid w:val="00060ECF"/>
    <w:rsid w:val="00061CF3"/>
    <w:rsid w:val="00091543"/>
    <w:rsid w:val="000A0CEF"/>
    <w:rsid w:val="000A65B6"/>
    <w:rsid w:val="000B6C16"/>
    <w:rsid w:val="000C31E9"/>
    <w:rsid w:val="000C37FA"/>
    <w:rsid w:val="000D4580"/>
    <w:rsid w:val="000E606C"/>
    <w:rsid w:val="000F1A23"/>
    <w:rsid w:val="000F5957"/>
    <w:rsid w:val="001013A5"/>
    <w:rsid w:val="00102665"/>
    <w:rsid w:val="001120F6"/>
    <w:rsid w:val="0012783F"/>
    <w:rsid w:val="00127A6A"/>
    <w:rsid w:val="00131B30"/>
    <w:rsid w:val="00135E85"/>
    <w:rsid w:val="00137BB0"/>
    <w:rsid w:val="00140BF0"/>
    <w:rsid w:val="0014223F"/>
    <w:rsid w:val="001440F3"/>
    <w:rsid w:val="001461C0"/>
    <w:rsid w:val="0014762D"/>
    <w:rsid w:val="001507B4"/>
    <w:rsid w:val="00150B3D"/>
    <w:rsid w:val="00154666"/>
    <w:rsid w:val="001567FA"/>
    <w:rsid w:val="00156E72"/>
    <w:rsid w:val="00161D14"/>
    <w:rsid w:val="00165C2C"/>
    <w:rsid w:val="001843B4"/>
    <w:rsid w:val="001875A9"/>
    <w:rsid w:val="001904EF"/>
    <w:rsid w:val="00190D99"/>
    <w:rsid w:val="001B246F"/>
    <w:rsid w:val="001B3B9E"/>
    <w:rsid w:val="001B4158"/>
    <w:rsid w:val="001C0F48"/>
    <w:rsid w:val="001C371F"/>
    <w:rsid w:val="001C759E"/>
    <w:rsid w:val="001D0721"/>
    <w:rsid w:val="001D0B1F"/>
    <w:rsid w:val="001D7087"/>
    <w:rsid w:val="001E1338"/>
    <w:rsid w:val="001E78ED"/>
    <w:rsid w:val="001F27B3"/>
    <w:rsid w:val="001F36FC"/>
    <w:rsid w:val="001F52E3"/>
    <w:rsid w:val="001F566D"/>
    <w:rsid w:val="00200F81"/>
    <w:rsid w:val="00201AA5"/>
    <w:rsid w:val="00204D23"/>
    <w:rsid w:val="00207F72"/>
    <w:rsid w:val="00212EC6"/>
    <w:rsid w:val="00221416"/>
    <w:rsid w:val="00225E32"/>
    <w:rsid w:val="002365A5"/>
    <w:rsid w:val="00242575"/>
    <w:rsid w:val="002425E2"/>
    <w:rsid w:val="00243DBC"/>
    <w:rsid w:val="00244FC7"/>
    <w:rsid w:val="002460D9"/>
    <w:rsid w:val="00247B00"/>
    <w:rsid w:val="00256424"/>
    <w:rsid w:val="00263744"/>
    <w:rsid w:val="00267CF6"/>
    <w:rsid w:val="0027557D"/>
    <w:rsid w:val="00283363"/>
    <w:rsid w:val="00285630"/>
    <w:rsid w:val="00285A9C"/>
    <w:rsid w:val="00286FC0"/>
    <w:rsid w:val="002979D3"/>
    <w:rsid w:val="002A40CB"/>
    <w:rsid w:val="002A469E"/>
    <w:rsid w:val="002A49D0"/>
    <w:rsid w:val="002A7B9E"/>
    <w:rsid w:val="002B025D"/>
    <w:rsid w:val="002B0427"/>
    <w:rsid w:val="002B1BBE"/>
    <w:rsid w:val="002C073E"/>
    <w:rsid w:val="002C356D"/>
    <w:rsid w:val="002D5C1D"/>
    <w:rsid w:val="002D6121"/>
    <w:rsid w:val="002F3B8D"/>
    <w:rsid w:val="002F3D3B"/>
    <w:rsid w:val="002F62E6"/>
    <w:rsid w:val="003013EC"/>
    <w:rsid w:val="00305AF4"/>
    <w:rsid w:val="0031159D"/>
    <w:rsid w:val="00311CA5"/>
    <w:rsid w:val="00314625"/>
    <w:rsid w:val="0031567C"/>
    <w:rsid w:val="00330AE8"/>
    <w:rsid w:val="003336F8"/>
    <w:rsid w:val="00341710"/>
    <w:rsid w:val="00344AEB"/>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96513"/>
    <w:rsid w:val="003A22DE"/>
    <w:rsid w:val="003B0494"/>
    <w:rsid w:val="003B4E6E"/>
    <w:rsid w:val="003C0E2C"/>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233D4"/>
    <w:rsid w:val="00430266"/>
    <w:rsid w:val="0043243E"/>
    <w:rsid w:val="00437FA1"/>
    <w:rsid w:val="00443F40"/>
    <w:rsid w:val="00450D31"/>
    <w:rsid w:val="00452014"/>
    <w:rsid w:val="00453B05"/>
    <w:rsid w:val="0045563D"/>
    <w:rsid w:val="00461E91"/>
    <w:rsid w:val="00463F05"/>
    <w:rsid w:val="00467E46"/>
    <w:rsid w:val="00475BFB"/>
    <w:rsid w:val="00483128"/>
    <w:rsid w:val="00485D00"/>
    <w:rsid w:val="00486CD6"/>
    <w:rsid w:val="00497F35"/>
    <w:rsid w:val="004A0B13"/>
    <w:rsid w:val="004A4A62"/>
    <w:rsid w:val="004B22AD"/>
    <w:rsid w:val="004B24EF"/>
    <w:rsid w:val="004C3C05"/>
    <w:rsid w:val="004C636B"/>
    <w:rsid w:val="004D726A"/>
    <w:rsid w:val="004E0D54"/>
    <w:rsid w:val="004F45D5"/>
    <w:rsid w:val="004F4774"/>
    <w:rsid w:val="00501A5E"/>
    <w:rsid w:val="0050715D"/>
    <w:rsid w:val="00510B7F"/>
    <w:rsid w:val="00511CFF"/>
    <w:rsid w:val="0051321B"/>
    <w:rsid w:val="0052168E"/>
    <w:rsid w:val="00522D01"/>
    <w:rsid w:val="0052368A"/>
    <w:rsid w:val="00525A8A"/>
    <w:rsid w:val="00532E87"/>
    <w:rsid w:val="00533909"/>
    <w:rsid w:val="00533D48"/>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A71"/>
    <w:rsid w:val="00580E40"/>
    <w:rsid w:val="0058347D"/>
    <w:rsid w:val="00586C7F"/>
    <w:rsid w:val="005A117F"/>
    <w:rsid w:val="005A56BF"/>
    <w:rsid w:val="005A78BC"/>
    <w:rsid w:val="005B1591"/>
    <w:rsid w:val="005B2724"/>
    <w:rsid w:val="005B28D5"/>
    <w:rsid w:val="005D02A6"/>
    <w:rsid w:val="005D7143"/>
    <w:rsid w:val="005E1ED0"/>
    <w:rsid w:val="005E5B10"/>
    <w:rsid w:val="005E7B22"/>
    <w:rsid w:val="005F3461"/>
    <w:rsid w:val="005F7F1D"/>
    <w:rsid w:val="00600CBA"/>
    <w:rsid w:val="006041D2"/>
    <w:rsid w:val="00605324"/>
    <w:rsid w:val="0061307F"/>
    <w:rsid w:val="006138AA"/>
    <w:rsid w:val="00615F5E"/>
    <w:rsid w:val="00622A40"/>
    <w:rsid w:val="00631B6C"/>
    <w:rsid w:val="00635512"/>
    <w:rsid w:val="00636446"/>
    <w:rsid w:val="0063645E"/>
    <w:rsid w:val="00646ED4"/>
    <w:rsid w:val="00646F2C"/>
    <w:rsid w:val="00647F5E"/>
    <w:rsid w:val="00651A13"/>
    <w:rsid w:val="00651CBC"/>
    <w:rsid w:val="006528FC"/>
    <w:rsid w:val="00654867"/>
    <w:rsid w:val="006569DA"/>
    <w:rsid w:val="00657DAD"/>
    <w:rsid w:val="0066424F"/>
    <w:rsid w:val="00673937"/>
    <w:rsid w:val="0067417F"/>
    <w:rsid w:val="006762A8"/>
    <w:rsid w:val="0068048C"/>
    <w:rsid w:val="006869B3"/>
    <w:rsid w:val="0069111A"/>
    <w:rsid w:val="00694683"/>
    <w:rsid w:val="00697530"/>
    <w:rsid w:val="006A2922"/>
    <w:rsid w:val="006A397F"/>
    <w:rsid w:val="006A40B6"/>
    <w:rsid w:val="006A6335"/>
    <w:rsid w:val="006B0EDC"/>
    <w:rsid w:val="006B123A"/>
    <w:rsid w:val="006B1909"/>
    <w:rsid w:val="006B42FD"/>
    <w:rsid w:val="006B70AE"/>
    <w:rsid w:val="006C7888"/>
    <w:rsid w:val="006D624E"/>
    <w:rsid w:val="006D6349"/>
    <w:rsid w:val="006E3868"/>
    <w:rsid w:val="006F24F6"/>
    <w:rsid w:val="006F397F"/>
    <w:rsid w:val="0070237E"/>
    <w:rsid w:val="00731FDC"/>
    <w:rsid w:val="0074570A"/>
    <w:rsid w:val="00745E69"/>
    <w:rsid w:val="00753E39"/>
    <w:rsid w:val="00763041"/>
    <w:rsid w:val="00765D8B"/>
    <w:rsid w:val="00767592"/>
    <w:rsid w:val="00767700"/>
    <w:rsid w:val="00775AD6"/>
    <w:rsid w:val="007815B7"/>
    <w:rsid w:val="00782062"/>
    <w:rsid w:val="00785507"/>
    <w:rsid w:val="00785563"/>
    <w:rsid w:val="00796584"/>
    <w:rsid w:val="007B0305"/>
    <w:rsid w:val="007B06F7"/>
    <w:rsid w:val="007B6774"/>
    <w:rsid w:val="007C3692"/>
    <w:rsid w:val="007D165C"/>
    <w:rsid w:val="007D251E"/>
    <w:rsid w:val="007D27B6"/>
    <w:rsid w:val="007D6069"/>
    <w:rsid w:val="007E4724"/>
    <w:rsid w:val="007E6BB3"/>
    <w:rsid w:val="007E7CE1"/>
    <w:rsid w:val="007F1526"/>
    <w:rsid w:val="007F610D"/>
    <w:rsid w:val="0080704F"/>
    <w:rsid w:val="008142FA"/>
    <w:rsid w:val="00814BA4"/>
    <w:rsid w:val="00817B26"/>
    <w:rsid w:val="00823EE0"/>
    <w:rsid w:val="00825AC4"/>
    <w:rsid w:val="008305EC"/>
    <w:rsid w:val="00830C1C"/>
    <w:rsid w:val="0083345D"/>
    <w:rsid w:val="0083373C"/>
    <w:rsid w:val="00835910"/>
    <w:rsid w:val="00836858"/>
    <w:rsid w:val="00841274"/>
    <w:rsid w:val="00846822"/>
    <w:rsid w:val="00847CE9"/>
    <w:rsid w:val="00851384"/>
    <w:rsid w:val="008537FC"/>
    <w:rsid w:val="008624BC"/>
    <w:rsid w:val="008640E0"/>
    <w:rsid w:val="00867A39"/>
    <w:rsid w:val="00873CE8"/>
    <w:rsid w:val="00876E04"/>
    <w:rsid w:val="00890A3A"/>
    <w:rsid w:val="008959FD"/>
    <w:rsid w:val="00896C40"/>
    <w:rsid w:val="008A69CA"/>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151B8"/>
    <w:rsid w:val="00923D2C"/>
    <w:rsid w:val="0092440D"/>
    <w:rsid w:val="009245F5"/>
    <w:rsid w:val="0092732B"/>
    <w:rsid w:val="00930F5B"/>
    <w:rsid w:val="009418F2"/>
    <w:rsid w:val="00941F39"/>
    <w:rsid w:val="00944027"/>
    <w:rsid w:val="00945867"/>
    <w:rsid w:val="00945D21"/>
    <w:rsid w:val="00946E3D"/>
    <w:rsid w:val="00952ABF"/>
    <w:rsid w:val="00954468"/>
    <w:rsid w:val="00954868"/>
    <w:rsid w:val="009652C3"/>
    <w:rsid w:val="009656E5"/>
    <w:rsid w:val="00965C5B"/>
    <w:rsid w:val="00966F9B"/>
    <w:rsid w:val="00966FFF"/>
    <w:rsid w:val="0097069D"/>
    <w:rsid w:val="00972688"/>
    <w:rsid w:val="00977B7D"/>
    <w:rsid w:val="00981561"/>
    <w:rsid w:val="00983CE8"/>
    <w:rsid w:val="00984724"/>
    <w:rsid w:val="00984D58"/>
    <w:rsid w:val="00986D11"/>
    <w:rsid w:val="0099096D"/>
    <w:rsid w:val="0099215D"/>
    <w:rsid w:val="00993E89"/>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09D7"/>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3A30"/>
    <w:rsid w:val="00B03EDE"/>
    <w:rsid w:val="00B101A9"/>
    <w:rsid w:val="00B12743"/>
    <w:rsid w:val="00B25D10"/>
    <w:rsid w:val="00B2644B"/>
    <w:rsid w:val="00B27233"/>
    <w:rsid w:val="00B32716"/>
    <w:rsid w:val="00B3694D"/>
    <w:rsid w:val="00B43BFA"/>
    <w:rsid w:val="00B5003B"/>
    <w:rsid w:val="00B55179"/>
    <w:rsid w:val="00B5595F"/>
    <w:rsid w:val="00B56A54"/>
    <w:rsid w:val="00B613D5"/>
    <w:rsid w:val="00B6798C"/>
    <w:rsid w:val="00B71C2B"/>
    <w:rsid w:val="00B71EEE"/>
    <w:rsid w:val="00B7344D"/>
    <w:rsid w:val="00B738E0"/>
    <w:rsid w:val="00B77C41"/>
    <w:rsid w:val="00B828E2"/>
    <w:rsid w:val="00B86D0D"/>
    <w:rsid w:val="00B91719"/>
    <w:rsid w:val="00B946CE"/>
    <w:rsid w:val="00BA012E"/>
    <w:rsid w:val="00BA0ACE"/>
    <w:rsid w:val="00BA0B7F"/>
    <w:rsid w:val="00BA6085"/>
    <w:rsid w:val="00BA667D"/>
    <w:rsid w:val="00BB2B58"/>
    <w:rsid w:val="00BB38FC"/>
    <w:rsid w:val="00BB545F"/>
    <w:rsid w:val="00BB56EF"/>
    <w:rsid w:val="00BB6380"/>
    <w:rsid w:val="00BB69EF"/>
    <w:rsid w:val="00BC2FD2"/>
    <w:rsid w:val="00BC4DCF"/>
    <w:rsid w:val="00BC4E30"/>
    <w:rsid w:val="00BC5193"/>
    <w:rsid w:val="00BD3344"/>
    <w:rsid w:val="00BE2986"/>
    <w:rsid w:val="00BE4C73"/>
    <w:rsid w:val="00BF14ED"/>
    <w:rsid w:val="00BF19D2"/>
    <w:rsid w:val="00C03811"/>
    <w:rsid w:val="00C039D4"/>
    <w:rsid w:val="00C03E67"/>
    <w:rsid w:val="00C1189C"/>
    <w:rsid w:val="00C12628"/>
    <w:rsid w:val="00C1369F"/>
    <w:rsid w:val="00C17433"/>
    <w:rsid w:val="00C22667"/>
    <w:rsid w:val="00C23B57"/>
    <w:rsid w:val="00C24093"/>
    <w:rsid w:val="00C25E9D"/>
    <w:rsid w:val="00C307D2"/>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36D5"/>
    <w:rsid w:val="00CC449F"/>
    <w:rsid w:val="00CC5EC2"/>
    <w:rsid w:val="00CC67C3"/>
    <w:rsid w:val="00CD1229"/>
    <w:rsid w:val="00CD6463"/>
    <w:rsid w:val="00CD65D7"/>
    <w:rsid w:val="00CE5D6E"/>
    <w:rsid w:val="00CF4448"/>
    <w:rsid w:val="00CF4C5B"/>
    <w:rsid w:val="00D0124B"/>
    <w:rsid w:val="00D03B35"/>
    <w:rsid w:val="00D13338"/>
    <w:rsid w:val="00D1711B"/>
    <w:rsid w:val="00D203DC"/>
    <w:rsid w:val="00D20D13"/>
    <w:rsid w:val="00D26D69"/>
    <w:rsid w:val="00D271C4"/>
    <w:rsid w:val="00D3439B"/>
    <w:rsid w:val="00D3482D"/>
    <w:rsid w:val="00D34C71"/>
    <w:rsid w:val="00D3577B"/>
    <w:rsid w:val="00D357A4"/>
    <w:rsid w:val="00D3649E"/>
    <w:rsid w:val="00D37B22"/>
    <w:rsid w:val="00D44317"/>
    <w:rsid w:val="00D45413"/>
    <w:rsid w:val="00D5420F"/>
    <w:rsid w:val="00D6284F"/>
    <w:rsid w:val="00D6464E"/>
    <w:rsid w:val="00D66241"/>
    <w:rsid w:val="00D66AF5"/>
    <w:rsid w:val="00D71B3E"/>
    <w:rsid w:val="00D73E54"/>
    <w:rsid w:val="00D761B6"/>
    <w:rsid w:val="00D94DA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DF7A6F"/>
    <w:rsid w:val="00E02E8F"/>
    <w:rsid w:val="00E03817"/>
    <w:rsid w:val="00E04FF9"/>
    <w:rsid w:val="00E06BA5"/>
    <w:rsid w:val="00E11A73"/>
    <w:rsid w:val="00E15395"/>
    <w:rsid w:val="00E172B3"/>
    <w:rsid w:val="00E209FC"/>
    <w:rsid w:val="00E22215"/>
    <w:rsid w:val="00E2314B"/>
    <w:rsid w:val="00E24075"/>
    <w:rsid w:val="00E25C61"/>
    <w:rsid w:val="00E3439B"/>
    <w:rsid w:val="00E35B9A"/>
    <w:rsid w:val="00E42633"/>
    <w:rsid w:val="00E46B98"/>
    <w:rsid w:val="00E5662F"/>
    <w:rsid w:val="00E61D50"/>
    <w:rsid w:val="00E62F3C"/>
    <w:rsid w:val="00E64564"/>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584D"/>
    <w:rsid w:val="00EF62C1"/>
    <w:rsid w:val="00F005E6"/>
    <w:rsid w:val="00F04C66"/>
    <w:rsid w:val="00F06FBA"/>
    <w:rsid w:val="00F070C7"/>
    <w:rsid w:val="00F100DD"/>
    <w:rsid w:val="00F20BDB"/>
    <w:rsid w:val="00F30C0E"/>
    <w:rsid w:val="00F40F07"/>
    <w:rsid w:val="00F41BDB"/>
    <w:rsid w:val="00F44F10"/>
    <w:rsid w:val="00F4556A"/>
    <w:rsid w:val="00F46B4A"/>
    <w:rsid w:val="00F47135"/>
    <w:rsid w:val="00F57C4C"/>
    <w:rsid w:val="00F74A11"/>
    <w:rsid w:val="00F838CE"/>
    <w:rsid w:val="00FA1017"/>
    <w:rsid w:val="00FA74D3"/>
    <w:rsid w:val="00FB1090"/>
    <w:rsid w:val="00FB27E1"/>
    <w:rsid w:val="00FB4F87"/>
    <w:rsid w:val="00FB6698"/>
    <w:rsid w:val="00FC4947"/>
    <w:rsid w:val="00FC7A26"/>
    <w:rsid w:val="00FD1F42"/>
    <w:rsid w:val="00FD61F9"/>
    <w:rsid w:val="00FE5B29"/>
    <w:rsid w:val="00FE609E"/>
    <w:rsid w:val="00FE6964"/>
    <w:rsid w:val="00FF2D57"/>
    <w:rsid w:val="00FF434E"/>
    <w:rsid w:val="00FF459A"/>
    <w:rsid w:val="00FF7945"/>
    <w:rsid w:val="4FC8C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0ECF"/>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character" w:styleId="normaltextrun" w:customStyle="1">
    <w:name w:val="normaltextrun"/>
    <w:basedOn w:val="Fuentedeprrafopredeter"/>
    <w:rsid w:val="00FA1017"/>
  </w:style>
  <w:style w:type="character" w:styleId="eop" w:customStyle="1">
    <w:name w:val="eop"/>
    <w:basedOn w:val="Fuentedeprrafopredeter"/>
    <w:rsid w:val="00FA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8558">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191841624">
      <w:bodyDiv w:val="1"/>
      <w:marLeft w:val="0"/>
      <w:marRight w:val="0"/>
      <w:marTop w:val="0"/>
      <w:marBottom w:val="0"/>
      <w:divBdr>
        <w:top w:val="none" w:sz="0" w:space="0" w:color="auto"/>
        <w:left w:val="none" w:sz="0" w:space="0" w:color="auto"/>
        <w:bottom w:val="none" w:sz="0" w:space="0" w:color="auto"/>
        <w:right w:val="none" w:sz="0" w:space="0" w:color="auto"/>
      </w:divBdr>
    </w:div>
    <w:div w:id="235365389">
      <w:bodyDiv w:val="1"/>
      <w:marLeft w:val="0"/>
      <w:marRight w:val="0"/>
      <w:marTop w:val="0"/>
      <w:marBottom w:val="0"/>
      <w:divBdr>
        <w:top w:val="none" w:sz="0" w:space="0" w:color="auto"/>
        <w:left w:val="none" w:sz="0" w:space="0" w:color="auto"/>
        <w:bottom w:val="none" w:sz="0" w:space="0" w:color="auto"/>
        <w:right w:val="none" w:sz="0" w:space="0" w:color="auto"/>
      </w:divBdr>
    </w:div>
    <w:div w:id="245459319">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509024422">
      <w:bodyDiv w:val="1"/>
      <w:marLeft w:val="0"/>
      <w:marRight w:val="0"/>
      <w:marTop w:val="0"/>
      <w:marBottom w:val="0"/>
      <w:divBdr>
        <w:top w:val="none" w:sz="0" w:space="0" w:color="auto"/>
        <w:left w:val="none" w:sz="0" w:space="0" w:color="auto"/>
        <w:bottom w:val="none" w:sz="0" w:space="0" w:color="auto"/>
        <w:right w:val="none" w:sz="0" w:space="0" w:color="auto"/>
      </w:divBdr>
    </w:div>
    <w:div w:id="599869749">
      <w:bodyDiv w:val="1"/>
      <w:marLeft w:val="0"/>
      <w:marRight w:val="0"/>
      <w:marTop w:val="0"/>
      <w:marBottom w:val="0"/>
      <w:divBdr>
        <w:top w:val="none" w:sz="0" w:space="0" w:color="auto"/>
        <w:left w:val="none" w:sz="0" w:space="0" w:color="auto"/>
        <w:bottom w:val="none" w:sz="0" w:space="0" w:color="auto"/>
        <w:right w:val="none" w:sz="0" w:space="0" w:color="auto"/>
      </w:divBdr>
    </w:div>
    <w:div w:id="620571112">
      <w:bodyDiv w:val="1"/>
      <w:marLeft w:val="0"/>
      <w:marRight w:val="0"/>
      <w:marTop w:val="0"/>
      <w:marBottom w:val="0"/>
      <w:divBdr>
        <w:top w:val="none" w:sz="0" w:space="0" w:color="auto"/>
        <w:left w:val="none" w:sz="0" w:space="0" w:color="auto"/>
        <w:bottom w:val="none" w:sz="0" w:space="0" w:color="auto"/>
        <w:right w:val="none" w:sz="0" w:space="0" w:color="auto"/>
      </w:divBdr>
    </w:div>
    <w:div w:id="696002147">
      <w:bodyDiv w:val="1"/>
      <w:marLeft w:val="0"/>
      <w:marRight w:val="0"/>
      <w:marTop w:val="0"/>
      <w:marBottom w:val="0"/>
      <w:divBdr>
        <w:top w:val="none" w:sz="0" w:space="0" w:color="auto"/>
        <w:left w:val="none" w:sz="0" w:space="0" w:color="auto"/>
        <w:bottom w:val="none" w:sz="0" w:space="0" w:color="auto"/>
        <w:right w:val="none" w:sz="0" w:space="0" w:color="auto"/>
      </w:divBdr>
    </w:div>
    <w:div w:id="741834721">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69222340">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131944007">
      <w:bodyDiv w:val="1"/>
      <w:marLeft w:val="0"/>
      <w:marRight w:val="0"/>
      <w:marTop w:val="0"/>
      <w:marBottom w:val="0"/>
      <w:divBdr>
        <w:top w:val="none" w:sz="0" w:space="0" w:color="auto"/>
        <w:left w:val="none" w:sz="0" w:space="0" w:color="auto"/>
        <w:bottom w:val="none" w:sz="0" w:space="0" w:color="auto"/>
        <w:right w:val="none" w:sz="0" w:space="0" w:color="auto"/>
      </w:divBdr>
    </w:div>
    <w:div w:id="1178157717">
      <w:bodyDiv w:val="1"/>
      <w:marLeft w:val="0"/>
      <w:marRight w:val="0"/>
      <w:marTop w:val="0"/>
      <w:marBottom w:val="0"/>
      <w:divBdr>
        <w:top w:val="none" w:sz="0" w:space="0" w:color="auto"/>
        <w:left w:val="none" w:sz="0" w:space="0" w:color="auto"/>
        <w:bottom w:val="none" w:sz="0" w:space="0" w:color="auto"/>
        <w:right w:val="none" w:sz="0" w:space="0" w:color="auto"/>
      </w:divBdr>
    </w:div>
    <w:div w:id="1302156024">
      <w:bodyDiv w:val="1"/>
      <w:marLeft w:val="0"/>
      <w:marRight w:val="0"/>
      <w:marTop w:val="0"/>
      <w:marBottom w:val="0"/>
      <w:divBdr>
        <w:top w:val="none" w:sz="0" w:space="0" w:color="auto"/>
        <w:left w:val="none" w:sz="0" w:space="0" w:color="auto"/>
        <w:bottom w:val="none" w:sz="0" w:space="0" w:color="auto"/>
        <w:right w:val="none" w:sz="0" w:space="0" w:color="auto"/>
      </w:divBdr>
    </w:div>
    <w:div w:id="1362197904">
      <w:bodyDiv w:val="1"/>
      <w:marLeft w:val="0"/>
      <w:marRight w:val="0"/>
      <w:marTop w:val="0"/>
      <w:marBottom w:val="0"/>
      <w:divBdr>
        <w:top w:val="none" w:sz="0" w:space="0" w:color="auto"/>
        <w:left w:val="none" w:sz="0" w:space="0" w:color="auto"/>
        <w:bottom w:val="none" w:sz="0" w:space="0" w:color="auto"/>
        <w:right w:val="none" w:sz="0" w:space="0" w:color="auto"/>
      </w:divBdr>
    </w:div>
    <w:div w:id="1377316186">
      <w:bodyDiv w:val="1"/>
      <w:marLeft w:val="0"/>
      <w:marRight w:val="0"/>
      <w:marTop w:val="0"/>
      <w:marBottom w:val="0"/>
      <w:divBdr>
        <w:top w:val="none" w:sz="0" w:space="0" w:color="auto"/>
        <w:left w:val="none" w:sz="0" w:space="0" w:color="auto"/>
        <w:bottom w:val="none" w:sz="0" w:space="0" w:color="auto"/>
        <w:right w:val="none" w:sz="0" w:space="0" w:color="auto"/>
      </w:divBdr>
    </w:div>
    <w:div w:id="1384137179">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398093342">
      <w:bodyDiv w:val="1"/>
      <w:marLeft w:val="0"/>
      <w:marRight w:val="0"/>
      <w:marTop w:val="0"/>
      <w:marBottom w:val="0"/>
      <w:divBdr>
        <w:top w:val="none" w:sz="0" w:space="0" w:color="auto"/>
        <w:left w:val="none" w:sz="0" w:space="0" w:color="auto"/>
        <w:bottom w:val="none" w:sz="0" w:space="0" w:color="auto"/>
        <w:right w:val="none" w:sz="0" w:space="0" w:color="auto"/>
      </w:divBdr>
    </w:div>
    <w:div w:id="1403718481">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20239076">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67711022">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0807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987a37c2f37841c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10f809d-9bc3-4e9f-acb5-538becc08670}"/>
      </w:docPartPr>
      <w:docPartBody>
        <w:p w14:paraId="21DB6FE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D7C7-35A8-488C-9A92-86B69E0C99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2023-01-26T17:57:00.0000000Z</dcterms:created>
  <dcterms:modified xsi:type="dcterms:W3CDTF">2023-03-09T16:26:13.1681108Z</dcterms:modified>
</coreProperties>
</file>