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3B480822" w:rsidR="00EC77D9" w:rsidRPr="0082613A" w:rsidRDefault="00EC77D9" w:rsidP="00445624">
      <w:pPr>
        <w:tabs>
          <w:tab w:val="left" w:pos="8931"/>
        </w:tabs>
        <w:spacing w:after="0" w:line="360" w:lineRule="auto"/>
        <w:contextualSpacing/>
        <w:rPr>
          <w:rFonts w:eastAsia="Calibri" w:cs="Tahoma"/>
          <w:lang w:val="es-ES"/>
        </w:rPr>
      </w:pPr>
      <w:r w:rsidRPr="0082613A">
        <w:rPr>
          <w:rFonts w:cs="Tahoma"/>
          <w:bCs/>
        </w:rPr>
        <w:t xml:space="preserve">Resolución del Pleno del Instituto de Transparencia, Acceso a la Información Pública y Protección de Datos Personales del Estado de México y Municipios, con domicilio en Metepec, </w:t>
      </w:r>
      <w:r w:rsidRPr="0082613A">
        <w:rPr>
          <w:rFonts w:eastAsia="Calibri" w:cs="Tahoma"/>
          <w:lang w:val="es-ES"/>
        </w:rPr>
        <w:t xml:space="preserve">Estado de México, de fecha </w:t>
      </w:r>
      <w:r w:rsidR="006C2C21" w:rsidRPr="0082613A">
        <w:rPr>
          <w:rFonts w:eastAsia="Calibri" w:cs="Tahoma"/>
          <w:lang w:val="es-ES"/>
        </w:rPr>
        <w:t>quince</w:t>
      </w:r>
      <w:r w:rsidR="00955848" w:rsidRPr="0082613A">
        <w:rPr>
          <w:rFonts w:eastAsia="Calibri" w:cs="Tahoma"/>
          <w:lang w:val="es-ES"/>
        </w:rPr>
        <w:t xml:space="preserve"> de </w:t>
      </w:r>
      <w:r w:rsidR="006C2C21" w:rsidRPr="0082613A">
        <w:rPr>
          <w:rFonts w:eastAsia="Calibri" w:cs="Tahoma"/>
          <w:lang w:val="es-ES"/>
        </w:rPr>
        <w:t>febrer</w:t>
      </w:r>
      <w:r w:rsidR="00955848" w:rsidRPr="0082613A">
        <w:rPr>
          <w:rFonts w:eastAsia="Calibri" w:cs="Tahoma"/>
          <w:lang w:val="es-ES"/>
        </w:rPr>
        <w:t>o de dos mil veintitrés</w:t>
      </w:r>
      <w:r w:rsidRPr="0082613A">
        <w:rPr>
          <w:rFonts w:eastAsia="Calibri" w:cs="Tahoma"/>
          <w:lang w:val="es-ES"/>
        </w:rPr>
        <w:t xml:space="preserve">. </w:t>
      </w:r>
    </w:p>
    <w:p w14:paraId="5E4128C6" w14:textId="77777777" w:rsidR="00EC77D9" w:rsidRPr="0082613A" w:rsidRDefault="00EC77D9" w:rsidP="00445624">
      <w:pPr>
        <w:spacing w:after="0" w:line="360" w:lineRule="auto"/>
        <w:contextualSpacing/>
        <w:rPr>
          <w:rFonts w:eastAsia="Calibri" w:cs="Tahoma"/>
          <w:b/>
          <w:bCs/>
          <w:lang w:val="es-ES"/>
        </w:rPr>
      </w:pPr>
    </w:p>
    <w:p w14:paraId="04C62500" w14:textId="57DDB225" w:rsidR="00EC77D9" w:rsidRPr="0082613A" w:rsidRDefault="00EC77D9" w:rsidP="00445624">
      <w:pPr>
        <w:spacing w:after="0" w:line="360" w:lineRule="auto"/>
        <w:contextualSpacing/>
        <w:rPr>
          <w:rFonts w:cs="Tahoma"/>
          <w:color w:val="0D0D0D" w:themeColor="text1" w:themeTint="F2"/>
        </w:rPr>
      </w:pPr>
      <w:r w:rsidRPr="0082613A">
        <w:rPr>
          <w:rFonts w:eastAsia="Calibri" w:cs="Tahoma"/>
          <w:b/>
          <w:bCs/>
          <w:lang w:val="es-ES"/>
        </w:rPr>
        <w:t xml:space="preserve">VISTO </w:t>
      </w:r>
      <w:r w:rsidRPr="0082613A">
        <w:rPr>
          <w:rFonts w:eastAsia="Calibri" w:cs="Tahoma"/>
          <w:lang w:val="es-ES"/>
        </w:rPr>
        <w:t xml:space="preserve">el expediente conformado con motivo del Recurso de Revisión </w:t>
      </w:r>
      <w:r w:rsidR="00FF6861" w:rsidRPr="0082613A">
        <w:rPr>
          <w:rFonts w:eastAsia="Calibri" w:cs="Tahoma"/>
        </w:rPr>
        <w:t>17041</w:t>
      </w:r>
      <w:r w:rsidRPr="0082613A">
        <w:rPr>
          <w:rFonts w:eastAsia="Calibri" w:cs="Tahoma"/>
        </w:rPr>
        <w:t xml:space="preserve">/INFOEM/IP/RR/2022, interpuesto </w:t>
      </w:r>
      <w:r w:rsidR="000C006D" w:rsidRPr="0082613A">
        <w:rPr>
          <w:rFonts w:eastAsia="Calibri" w:cs="Tahoma"/>
        </w:rPr>
        <w:t>por el</w:t>
      </w:r>
      <w:r w:rsidRPr="0082613A">
        <w:rPr>
          <w:rFonts w:cs="Tahoma"/>
          <w:color w:val="0D0D0D" w:themeColor="text1" w:themeTint="F2"/>
        </w:rPr>
        <w:t xml:space="preserve"> Recurrente o Particular, en contra de la falta de respuesta del Sujeto Obligado, </w:t>
      </w:r>
      <w:r w:rsidR="000C006D" w:rsidRPr="0082613A">
        <w:rPr>
          <w:rFonts w:cs="Tahoma"/>
          <w:color w:val="0D0D0D" w:themeColor="text1" w:themeTint="F2"/>
        </w:rPr>
        <w:t>Ayuntamiento de Zinacantepec</w:t>
      </w:r>
      <w:r w:rsidRPr="0082613A">
        <w:rPr>
          <w:rFonts w:cs="Tahoma"/>
          <w:color w:val="0D0D0D" w:themeColor="text1" w:themeTint="F2"/>
        </w:rPr>
        <w:t>, a la solicitud de acceso a la información pública</w:t>
      </w:r>
      <w:r w:rsidRPr="0082613A">
        <w:rPr>
          <w:b/>
          <w:bCs/>
          <w:color w:val="FF0000"/>
        </w:rPr>
        <w:t> </w:t>
      </w:r>
      <w:r w:rsidR="000C006D" w:rsidRPr="0082613A">
        <w:t>0</w:t>
      </w:r>
      <w:r w:rsidR="00FF6861" w:rsidRPr="0082613A">
        <w:t>1161</w:t>
      </w:r>
      <w:r w:rsidR="000C006D" w:rsidRPr="0082613A">
        <w:t>/ZINACANT/IP/2022</w:t>
      </w:r>
      <w:r w:rsidRPr="0082613A">
        <w:rPr>
          <w:rFonts w:cs="Tahoma"/>
          <w:iCs/>
          <w:color w:val="0D0D0D" w:themeColor="text1" w:themeTint="F2"/>
        </w:rPr>
        <w:t>,</w:t>
      </w:r>
      <w:r w:rsidRPr="0082613A">
        <w:rPr>
          <w:rFonts w:cs="Tahoma"/>
          <w:color w:val="0D0D0D" w:themeColor="text1" w:themeTint="F2"/>
        </w:rPr>
        <w:t xml:space="preserve"> se emite</w:t>
      </w:r>
      <w:r w:rsidRPr="0082613A">
        <w:rPr>
          <w:rFonts w:cs="Tahoma"/>
          <w:bCs/>
          <w:color w:val="0D0D0D" w:themeColor="text1" w:themeTint="F2"/>
        </w:rPr>
        <w:t xml:space="preserve"> la presente Resolución, con base en los Antecedentes y Considerandos que se exponen a continuación:</w:t>
      </w:r>
    </w:p>
    <w:p w14:paraId="40862826" w14:textId="77777777" w:rsidR="00EC77D9" w:rsidRPr="0082613A" w:rsidRDefault="00EC77D9" w:rsidP="00445624">
      <w:pPr>
        <w:spacing w:after="0" w:line="360" w:lineRule="auto"/>
        <w:contextualSpacing/>
        <w:rPr>
          <w:rFonts w:eastAsia="Calibri" w:cs="Tahoma"/>
          <w:b/>
          <w:bCs/>
          <w:lang w:val="es-ES"/>
        </w:rPr>
      </w:pPr>
    </w:p>
    <w:p w14:paraId="75BF07A7" w14:textId="77777777" w:rsidR="00EC77D9" w:rsidRPr="0082613A" w:rsidRDefault="00EC77D9" w:rsidP="00445624">
      <w:pPr>
        <w:spacing w:after="0" w:line="360" w:lineRule="auto"/>
        <w:contextualSpacing/>
        <w:jc w:val="center"/>
        <w:rPr>
          <w:rFonts w:eastAsia="Calibri" w:cs="Tahoma"/>
          <w:b/>
          <w:bCs/>
          <w:lang w:val="es-ES"/>
        </w:rPr>
      </w:pPr>
      <w:r w:rsidRPr="0082613A">
        <w:rPr>
          <w:rFonts w:eastAsia="Calibri" w:cs="Tahoma"/>
          <w:b/>
          <w:bCs/>
          <w:lang w:val="es-ES"/>
        </w:rPr>
        <w:t>A N T E C E D E N T E S:</w:t>
      </w:r>
    </w:p>
    <w:p w14:paraId="3C95874E" w14:textId="77777777" w:rsidR="00EC77D9" w:rsidRPr="0082613A" w:rsidRDefault="00EC77D9" w:rsidP="00445624">
      <w:pPr>
        <w:spacing w:after="0" w:line="360" w:lineRule="auto"/>
        <w:contextualSpacing/>
        <w:rPr>
          <w:lang w:val="es-ES"/>
        </w:rPr>
      </w:pPr>
    </w:p>
    <w:p w14:paraId="4F749C11" w14:textId="77777777" w:rsidR="00EC77D9" w:rsidRPr="0082613A" w:rsidRDefault="00EC77D9" w:rsidP="00445624">
      <w:pPr>
        <w:spacing w:after="0" w:line="360" w:lineRule="auto"/>
        <w:contextualSpacing/>
        <w:rPr>
          <w:rFonts w:eastAsia="Calibri" w:cs="Tahoma"/>
          <w:b/>
          <w:bCs/>
          <w:lang w:val="es-ES"/>
        </w:rPr>
      </w:pPr>
      <w:r w:rsidRPr="0082613A">
        <w:rPr>
          <w:rFonts w:eastAsia="Calibri" w:cs="Tahoma"/>
          <w:b/>
          <w:bCs/>
          <w:lang w:val="es-ES"/>
        </w:rPr>
        <w:t>I. Presentación de la solicitud de información.</w:t>
      </w:r>
    </w:p>
    <w:p w14:paraId="4794251F" w14:textId="77777777" w:rsidR="00EC77D9" w:rsidRPr="0082613A" w:rsidRDefault="00EC77D9" w:rsidP="00445624">
      <w:pPr>
        <w:spacing w:after="0" w:line="360" w:lineRule="auto"/>
        <w:contextualSpacing/>
        <w:rPr>
          <w:rFonts w:eastAsia="Calibri" w:cs="Tahoma"/>
          <w:b/>
          <w:bCs/>
          <w:lang w:val="es-ES"/>
        </w:rPr>
      </w:pPr>
    </w:p>
    <w:p w14:paraId="1960F426" w14:textId="1F3A1F0E" w:rsidR="00EC77D9" w:rsidRPr="0082613A" w:rsidRDefault="00EC77D9" w:rsidP="00445624">
      <w:pPr>
        <w:spacing w:after="0" w:line="360" w:lineRule="auto"/>
        <w:contextualSpacing/>
        <w:rPr>
          <w:rFonts w:cs="Tahoma"/>
        </w:rPr>
      </w:pPr>
      <w:r w:rsidRPr="0082613A">
        <w:rPr>
          <w:rFonts w:eastAsia="Calibri" w:cs="Tahoma"/>
          <w:lang w:val="es-ES"/>
        </w:rPr>
        <w:t xml:space="preserve">Con fecha </w:t>
      </w:r>
      <w:r w:rsidR="00FF6861" w:rsidRPr="0082613A">
        <w:rPr>
          <w:rFonts w:eastAsia="Calibri" w:cs="Tahoma"/>
          <w:lang w:val="es-ES"/>
        </w:rPr>
        <w:t>treinta y uno de octubre</w:t>
      </w:r>
      <w:r w:rsidR="001756F2" w:rsidRPr="0082613A">
        <w:rPr>
          <w:rFonts w:eastAsia="Calibri" w:cs="Tahoma"/>
          <w:lang w:val="es-ES"/>
        </w:rPr>
        <w:t xml:space="preserve"> de </w:t>
      </w:r>
      <w:r w:rsidR="00341982" w:rsidRPr="0082613A">
        <w:rPr>
          <w:rFonts w:eastAsia="Calibri" w:cs="Tahoma"/>
          <w:lang w:val="es-ES"/>
        </w:rPr>
        <w:t>octu</w:t>
      </w:r>
      <w:r w:rsidR="001756F2" w:rsidRPr="0082613A">
        <w:rPr>
          <w:rFonts w:eastAsia="Calibri" w:cs="Tahoma"/>
          <w:lang w:val="es-ES"/>
        </w:rPr>
        <w:t>bre</w:t>
      </w:r>
      <w:r w:rsidRPr="0082613A">
        <w:rPr>
          <w:rFonts w:eastAsia="Calibri" w:cs="Tahoma"/>
          <w:lang w:val="es-ES"/>
        </w:rPr>
        <w:t xml:space="preserve"> de dos mil veintidós, se </w:t>
      </w:r>
      <w:r w:rsidR="00B0253B" w:rsidRPr="0082613A">
        <w:rPr>
          <w:rFonts w:eastAsia="Calibri" w:cs="Tahoma"/>
          <w:lang w:val="es-ES"/>
        </w:rPr>
        <w:t>presentó</w:t>
      </w:r>
      <w:r w:rsidRPr="0082613A">
        <w:rPr>
          <w:rFonts w:eastAsia="Calibri" w:cs="Tahoma"/>
          <w:lang w:val="es-ES"/>
        </w:rPr>
        <w:t xml:space="preserve"> una solicitud de información del Particular, a través del Sistema de Acceso a la Información Mexiquense (SAIMEX), ante el</w:t>
      </w:r>
      <w:r w:rsidR="005B78CE" w:rsidRPr="0082613A">
        <w:rPr>
          <w:color w:val="000000"/>
        </w:rPr>
        <w:t xml:space="preserve"> </w:t>
      </w:r>
      <w:r w:rsidR="000C006D" w:rsidRPr="0082613A">
        <w:rPr>
          <w:color w:val="000000"/>
        </w:rPr>
        <w:t>Ayuntamiento de Zinacantepec</w:t>
      </w:r>
      <w:r w:rsidR="003D0090" w:rsidRPr="0082613A">
        <w:rPr>
          <w:rFonts w:eastAsia="Calibri" w:cs="Tahoma"/>
        </w:rPr>
        <w:t xml:space="preserve">, </w:t>
      </w:r>
      <w:r w:rsidRPr="0082613A">
        <w:rPr>
          <w:rFonts w:cs="Tahoma"/>
        </w:rPr>
        <w:t>en los siguientes términos:</w:t>
      </w:r>
    </w:p>
    <w:p w14:paraId="53516530" w14:textId="77777777" w:rsidR="003D0090" w:rsidRPr="0082613A" w:rsidRDefault="003D0090" w:rsidP="00445624">
      <w:pPr>
        <w:spacing w:after="0" w:line="360" w:lineRule="auto"/>
        <w:contextualSpacing/>
        <w:rPr>
          <w:rFonts w:cs="Tahoma"/>
        </w:rPr>
      </w:pPr>
    </w:p>
    <w:p w14:paraId="3C749962" w14:textId="77777777" w:rsidR="00EC77D9" w:rsidRPr="0082613A" w:rsidRDefault="00EC77D9" w:rsidP="00445624">
      <w:pPr>
        <w:tabs>
          <w:tab w:val="left" w:pos="4667"/>
        </w:tabs>
        <w:spacing w:after="0" w:line="360" w:lineRule="auto"/>
        <w:ind w:left="567" w:right="567"/>
        <w:contextualSpacing/>
        <w:rPr>
          <w:rFonts w:cs="Tahoma"/>
          <w:b/>
          <w:bCs/>
          <w:i/>
          <w:sz w:val="20"/>
          <w:szCs w:val="20"/>
        </w:rPr>
      </w:pPr>
      <w:r w:rsidRPr="0082613A">
        <w:rPr>
          <w:rFonts w:cs="Tahoma"/>
          <w:b/>
          <w:bCs/>
          <w:i/>
          <w:sz w:val="20"/>
          <w:szCs w:val="20"/>
        </w:rPr>
        <w:t>“DESCRIPCIÓN CLARA Y PRECISA DE LA INFORMACIÓN SOLICITADA</w:t>
      </w:r>
    </w:p>
    <w:p w14:paraId="602D270E" w14:textId="7DB8BEDE" w:rsidR="00EC77D9" w:rsidRPr="0082613A" w:rsidRDefault="00FF6861" w:rsidP="00445624">
      <w:pPr>
        <w:spacing w:after="0" w:line="360" w:lineRule="auto"/>
        <w:ind w:left="567" w:right="567"/>
        <w:contextualSpacing/>
        <w:rPr>
          <w:rFonts w:eastAsia="Times New Roman" w:cs="Arial"/>
          <w:bCs/>
          <w:i/>
          <w:iCs/>
          <w:sz w:val="20"/>
          <w:szCs w:val="20"/>
          <w:lang w:eastAsia="es-ES"/>
        </w:rPr>
      </w:pPr>
      <w:r w:rsidRPr="0082613A">
        <w:rPr>
          <w:i/>
          <w:iCs/>
          <w:color w:val="000000"/>
          <w:sz w:val="20"/>
          <w:szCs w:val="20"/>
        </w:rPr>
        <w:t>SOLICITO LAS LICENCIAS DE CONDUCIR DE TODOS LOS SERVIDORES PÚBLICOS QUE CUENTEN CON VEHÍCULOS PÚBLICOS</w:t>
      </w:r>
      <w:r w:rsidR="00EC77D9" w:rsidRPr="0082613A">
        <w:rPr>
          <w:rFonts w:cs="Tahoma"/>
          <w:bCs/>
          <w:i/>
          <w:iCs/>
          <w:sz w:val="20"/>
          <w:szCs w:val="20"/>
        </w:rPr>
        <w:t xml:space="preserve">” </w:t>
      </w:r>
      <w:r w:rsidR="00EC77D9" w:rsidRPr="0082613A">
        <w:rPr>
          <w:rFonts w:eastAsia="Times New Roman" w:cs="Arial"/>
          <w:bCs/>
          <w:i/>
          <w:iCs/>
          <w:sz w:val="20"/>
          <w:szCs w:val="20"/>
          <w:lang w:eastAsia="es-ES"/>
        </w:rPr>
        <w:t>(Sic)</w:t>
      </w:r>
    </w:p>
    <w:p w14:paraId="3F4037DA" w14:textId="0A19B38F" w:rsidR="00EC77D9" w:rsidRPr="0082613A" w:rsidRDefault="00EC77D9" w:rsidP="00445624">
      <w:pPr>
        <w:tabs>
          <w:tab w:val="left" w:pos="4667"/>
        </w:tabs>
        <w:spacing w:after="0" w:line="360" w:lineRule="auto"/>
        <w:ind w:left="567" w:right="567"/>
        <w:contextualSpacing/>
        <w:rPr>
          <w:rFonts w:cs="Tahoma"/>
          <w:bCs/>
          <w:i/>
          <w:sz w:val="20"/>
          <w:szCs w:val="20"/>
        </w:rPr>
      </w:pPr>
    </w:p>
    <w:p w14:paraId="1DAB7206" w14:textId="0AAF1ECD" w:rsidR="00EC77D9" w:rsidRPr="0082613A" w:rsidRDefault="00EC77D9" w:rsidP="00445624">
      <w:pPr>
        <w:tabs>
          <w:tab w:val="left" w:pos="4667"/>
        </w:tabs>
        <w:spacing w:after="0" w:line="360" w:lineRule="auto"/>
        <w:ind w:left="567" w:right="567"/>
        <w:contextualSpacing/>
        <w:rPr>
          <w:rFonts w:eastAsia="Times New Roman" w:cs="Tahoma"/>
          <w:b/>
          <w:bCs/>
          <w:i/>
          <w:iCs/>
          <w:color w:val="auto"/>
          <w:sz w:val="20"/>
          <w:szCs w:val="20"/>
          <w:lang w:eastAsia="es-ES"/>
        </w:rPr>
      </w:pPr>
      <w:r w:rsidRPr="0082613A">
        <w:rPr>
          <w:rFonts w:eastAsia="Times New Roman" w:cs="Tahoma"/>
          <w:b/>
          <w:bCs/>
          <w:i/>
          <w:iCs/>
          <w:color w:val="auto"/>
          <w:sz w:val="20"/>
          <w:szCs w:val="20"/>
          <w:lang w:eastAsia="es-ES"/>
        </w:rPr>
        <w:t>“MODALIDAD DE ENTREGA</w:t>
      </w:r>
    </w:p>
    <w:p w14:paraId="55422320" w14:textId="77777777" w:rsidR="00EC77D9" w:rsidRPr="0082613A" w:rsidRDefault="00EC77D9" w:rsidP="00445624">
      <w:pPr>
        <w:spacing w:after="0" w:line="360" w:lineRule="auto"/>
        <w:ind w:left="567" w:right="567"/>
        <w:contextualSpacing/>
        <w:rPr>
          <w:rFonts w:eastAsia="Times New Roman" w:cs="Arial"/>
          <w:bCs/>
          <w:i/>
          <w:iCs/>
          <w:color w:val="auto"/>
          <w:sz w:val="20"/>
          <w:szCs w:val="20"/>
          <w:lang w:eastAsia="es-ES"/>
        </w:rPr>
      </w:pPr>
      <w:r w:rsidRPr="0082613A">
        <w:rPr>
          <w:rFonts w:eastAsia="Times New Roman" w:cs="Arial"/>
          <w:bCs/>
          <w:i/>
          <w:iCs/>
          <w:color w:val="auto"/>
          <w:sz w:val="20"/>
          <w:szCs w:val="20"/>
          <w:lang w:eastAsia="es-ES"/>
        </w:rPr>
        <w:t>A través del SAIMEX” (Sic)</w:t>
      </w:r>
    </w:p>
    <w:p w14:paraId="406E0A67" w14:textId="77777777" w:rsidR="00666D61" w:rsidRPr="0082613A" w:rsidRDefault="00666D61" w:rsidP="00445624">
      <w:pPr>
        <w:spacing w:after="0" w:line="360" w:lineRule="auto"/>
        <w:ind w:right="567"/>
        <w:contextualSpacing/>
        <w:rPr>
          <w:rFonts w:eastAsia="Times New Roman" w:cs="Arial"/>
          <w:bCs/>
          <w:i/>
          <w:iCs/>
          <w:color w:val="auto"/>
          <w:lang w:eastAsia="es-ES"/>
        </w:rPr>
      </w:pPr>
    </w:p>
    <w:p w14:paraId="0A818F14" w14:textId="77777777" w:rsidR="001756F2" w:rsidRPr="0082613A" w:rsidRDefault="001756F2" w:rsidP="00445624">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82613A">
        <w:rPr>
          <w:rStyle w:val="normaltextrun"/>
          <w:rFonts w:ascii="Palatino Linotype" w:hAnsi="Palatino Linotype" w:cs="Segoe UI"/>
          <w:b/>
          <w:bCs/>
          <w:sz w:val="22"/>
          <w:szCs w:val="22"/>
          <w:lang w:val="es-MX"/>
        </w:rPr>
        <w:t>II. Requerimiento de aclaración a la solicitud de acceso a la información.</w:t>
      </w:r>
      <w:r w:rsidRPr="0082613A">
        <w:rPr>
          <w:rStyle w:val="eop"/>
          <w:rFonts w:ascii="Palatino Linotype" w:hAnsi="Palatino Linotype" w:cs="Segoe UI"/>
          <w:sz w:val="22"/>
          <w:szCs w:val="22"/>
          <w:lang w:val="es-MX"/>
        </w:rPr>
        <w:t> </w:t>
      </w:r>
    </w:p>
    <w:p w14:paraId="2C8E6CDD" w14:textId="77777777" w:rsidR="00955848" w:rsidRPr="0082613A" w:rsidRDefault="00955848" w:rsidP="00445624">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p>
    <w:p w14:paraId="5D7825F8" w14:textId="6872EA99" w:rsidR="001756F2" w:rsidRPr="0082613A" w:rsidRDefault="001756F2" w:rsidP="00445624">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82613A">
        <w:rPr>
          <w:rStyle w:val="normaltextrun"/>
          <w:rFonts w:ascii="Palatino Linotype" w:hAnsi="Palatino Linotype" w:cs="Segoe UI"/>
          <w:sz w:val="22"/>
          <w:szCs w:val="22"/>
          <w:lang w:val="es-MX"/>
        </w:rPr>
        <w:lastRenderedPageBreak/>
        <w:t>Con fecha</w:t>
      </w:r>
      <w:r w:rsidR="006F011A" w:rsidRPr="0082613A">
        <w:rPr>
          <w:rStyle w:val="normaltextrun"/>
          <w:rFonts w:ascii="Palatino Linotype" w:hAnsi="Palatino Linotype" w:cs="Segoe UI"/>
          <w:sz w:val="22"/>
          <w:szCs w:val="22"/>
          <w:lang w:val="es-MX"/>
        </w:rPr>
        <w:t xml:space="preserve"> </w:t>
      </w:r>
      <w:r w:rsidR="00FF6861" w:rsidRPr="0082613A">
        <w:rPr>
          <w:rStyle w:val="normaltextrun"/>
          <w:rFonts w:ascii="Palatino Linotype" w:hAnsi="Palatino Linotype" w:cs="Segoe UI"/>
          <w:sz w:val="22"/>
          <w:szCs w:val="22"/>
          <w:lang w:val="es-MX"/>
        </w:rPr>
        <w:t>ocho de noviembre</w:t>
      </w:r>
      <w:r w:rsidRPr="0082613A">
        <w:rPr>
          <w:rStyle w:val="normaltextrun"/>
          <w:rFonts w:ascii="Palatino Linotype" w:hAnsi="Palatino Linotype" w:cs="Segoe UI"/>
          <w:sz w:val="22"/>
          <w:szCs w:val="22"/>
          <w:lang w:val="es-MX"/>
        </w:rPr>
        <w:t xml:space="preserve"> de dos mil veintidós, la Unidad de Transparencia del Ayuntamiento de Zinacantepec, notificó al Particular, mediante el Sistema de Acceso a la Información Mexiquense (SAIMEX), un requerimiento de información adicional a la solicitud de información previamente referida, en los siguientes términos:</w:t>
      </w:r>
      <w:r w:rsidRPr="0082613A">
        <w:rPr>
          <w:rStyle w:val="eop"/>
          <w:rFonts w:ascii="Palatino Linotype" w:hAnsi="Palatino Linotype" w:cs="Segoe UI"/>
          <w:sz w:val="22"/>
          <w:szCs w:val="22"/>
          <w:lang w:val="es-MX"/>
        </w:rPr>
        <w:t> </w:t>
      </w:r>
    </w:p>
    <w:p w14:paraId="655572AF" w14:textId="77777777" w:rsidR="001756F2" w:rsidRPr="0082613A" w:rsidRDefault="001756F2" w:rsidP="00445624">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82613A">
        <w:rPr>
          <w:rStyle w:val="eop"/>
          <w:rFonts w:ascii="Palatino Linotype" w:hAnsi="Palatino Linotype" w:cs="Segoe UI"/>
          <w:sz w:val="22"/>
          <w:szCs w:val="22"/>
          <w:lang w:val="es-MX"/>
        </w:rPr>
        <w:t> </w:t>
      </w:r>
    </w:p>
    <w:p w14:paraId="1A1D8A61" w14:textId="77777777" w:rsidR="001756F2" w:rsidRPr="0082613A" w:rsidRDefault="001756F2" w:rsidP="00445624">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82613A">
        <w:rPr>
          <w:rStyle w:val="normaltextrun"/>
          <w:rFonts w:ascii="Palatino Linotype" w:hAnsi="Palatino Linotype" w:cs="Segoe UI"/>
          <w:i/>
          <w:iCs/>
          <w:sz w:val="20"/>
          <w:szCs w:val="20"/>
          <w:lang w:val="es-MX"/>
        </w:rPr>
        <w:t>“…</w:t>
      </w:r>
      <w:r w:rsidRPr="0082613A">
        <w:rPr>
          <w:rStyle w:val="eop"/>
          <w:rFonts w:ascii="Palatino Linotype" w:hAnsi="Palatino Linotype" w:cs="Segoe UI"/>
          <w:sz w:val="20"/>
          <w:szCs w:val="20"/>
          <w:lang w:val="es-MX"/>
        </w:rPr>
        <w:t> </w:t>
      </w:r>
    </w:p>
    <w:p w14:paraId="66FE102E" w14:textId="5A312388" w:rsidR="006F011A" w:rsidRPr="0082613A" w:rsidRDefault="00DE492D" w:rsidP="00445624">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82613A">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D4FD5C8" w14:textId="77777777" w:rsidR="00DE492D" w:rsidRPr="0082613A" w:rsidRDefault="00DE492D" w:rsidP="00445624">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p>
    <w:p w14:paraId="757F8A64" w14:textId="73AD0BDE" w:rsidR="006F011A" w:rsidRPr="0082613A" w:rsidRDefault="006F011A" w:rsidP="00445624">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82613A">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63ED62F" w14:textId="3ABB713A" w:rsidR="001756F2" w:rsidRPr="0082613A" w:rsidRDefault="001756F2" w:rsidP="00445624">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82613A">
        <w:rPr>
          <w:rStyle w:val="normaltextrun"/>
          <w:rFonts w:ascii="Palatino Linotype" w:hAnsi="Palatino Linotype" w:cs="Segoe UI"/>
          <w:i/>
          <w:iCs/>
          <w:sz w:val="20"/>
          <w:szCs w:val="20"/>
          <w:lang w:val="es-MX"/>
        </w:rPr>
        <w:t>…” (Sic.)</w:t>
      </w:r>
      <w:r w:rsidRPr="0082613A">
        <w:rPr>
          <w:rStyle w:val="eop"/>
          <w:rFonts w:ascii="Palatino Linotype" w:hAnsi="Palatino Linotype" w:cs="Segoe UI"/>
          <w:sz w:val="20"/>
          <w:szCs w:val="20"/>
          <w:lang w:val="es-MX"/>
        </w:rPr>
        <w:t> </w:t>
      </w:r>
    </w:p>
    <w:p w14:paraId="73ABB1E5" w14:textId="77777777" w:rsidR="001756F2" w:rsidRPr="0082613A" w:rsidRDefault="001756F2" w:rsidP="00445624">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82613A">
        <w:rPr>
          <w:rStyle w:val="eop"/>
          <w:rFonts w:ascii="Palatino Linotype" w:hAnsi="Palatino Linotype" w:cs="Segoe UI"/>
          <w:sz w:val="20"/>
          <w:szCs w:val="20"/>
          <w:lang w:val="es-MX"/>
        </w:rPr>
        <w:t> </w:t>
      </w:r>
    </w:p>
    <w:p w14:paraId="1CD4A2D1" w14:textId="77777777" w:rsidR="001756F2" w:rsidRPr="0082613A" w:rsidRDefault="001756F2" w:rsidP="00445624">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82613A">
        <w:rPr>
          <w:rStyle w:val="normaltextrun"/>
          <w:rFonts w:ascii="Palatino Linotype" w:hAnsi="Palatino Linotype" w:cs="Segoe UI"/>
          <w:b/>
          <w:bCs/>
          <w:sz w:val="20"/>
          <w:szCs w:val="20"/>
          <w:lang w:val="es-MX"/>
        </w:rPr>
        <w:t xml:space="preserve">III. </w:t>
      </w:r>
      <w:r w:rsidRPr="0082613A">
        <w:rPr>
          <w:rStyle w:val="normaltextrun"/>
          <w:rFonts w:ascii="Palatino Linotype" w:hAnsi="Palatino Linotype" w:cs="Segoe UI"/>
          <w:b/>
          <w:bCs/>
          <w:sz w:val="22"/>
          <w:szCs w:val="22"/>
          <w:lang w:val="es-MX"/>
        </w:rPr>
        <w:t>Contestación al requerimiento de aclaración.</w:t>
      </w:r>
      <w:r w:rsidRPr="0082613A">
        <w:rPr>
          <w:rStyle w:val="eop"/>
          <w:rFonts w:ascii="Palatino Linotype" w:hAnsi="Palatino Linotype" w:cs="Segoe UI"/>
          <w:sz w:val="22"/>
          <w:szCs w:val="22"/>
          <w:lang w:val="es-MX"/>
        </w:rPr>
        <w:t> </w:t>
      </w:r>
    </w:p>
    <w:p w14:paraId="2476F2E3" w14:textId="77777777" w:rsidR="001756F2" w:rsidRPr="0082613A" w:rsidRDefault="001756F2" w:rsidP="00445624">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82613A">
        <w:rPr>
          <w:rStyle w:val="eop"/>
          <w:rFonts w:ascii="Palatino Linotype" w:hAnsi="Palatino Linotype" w:cs="Segoe UI"/>
          <w:sz w:val="22"/>
          <w:szCs w:val="22"/>
          <w:lang w:val="es-MX"/>
        </w:rPr>
        <w:t> </w:t>
      </w:r>
    </w:p>
    <w:p w14:paraId="0250A278" w14:textId="36A79A23" w:rsidR="001756F2" w:rsidRPr="0082613A" w:rsidRDefault="001756F2" w:rsidP="00445624">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82613A">
        <w:rPr>
          <w:rStyle w:val="normaltextrun"/>
          <w:rFonts w:ascii="Palatino Linotype" w:hAnsi="Palatino Linotype" w:cs="Segoe UI"/>
          <w:sz w:val="22"/>
          <w:szCs w:val="22"/>
          <w:lang w:val="es-MX"/>
        </w:rPr>
        <w:t xml:space="preserve">Con fecha </w:t>
      </w:r>
      <w:r w:rsidR="00FF6861" w:rsidRPr="0082613A">
        <w:rPr>
          <w:rStyle w:val="normaltextrun"/>
          <w:rFonts w:ascii="Palatino Linotype" w:hAnsi="Palatino Linotype" w:cs="Segoe UI"/>
          <w:sz w:val="22"/>
          <w:szCs w:val="22"/>
          <w:lang w:val="es-MX"/>
        </w:rPr>
        <w:t>ocho de noviembre</w:t>
      </w:r>
      <w:r w:rsidRPr="0082613A">
        <w:rPr>
          <w:rStyle w:val="normaltextrun"/>
          <w:rFonts w:ascii="Palatino Linotype" w:hAnsi="Palatino Linotype" w:cs="Segoe UI"/>
          <w:sz w:val="22"/>
          <w:szCs w:val="22"/>
          <w:lang w:val="es-MX"/>
        </w:rPr>
        <w:t xml:space="preserve"> de dos mil veintidós, el Particular respondió al requerimiento de aclaración referido, mediante el Sistema de Acceso a la Información Mexiquense (SAIMEX), en los términos siguientes:</w:t>
      </w:r>
      <w:r w:rsidRPr="0082613A">
        <w:rPr>
          <w:rStyle w:val="eop"/>
          <w:rFonts w:ascii="Palatino Linotype" w:hAnsi="Palatino Linotype" w:cs="Segoe UI"/>
          <w:sz w:val="22"/>
          <w:szCs w:val="22"/>
          <w:lang w:val="es-MX"/>
        </w:rPr>
        <w:t> </w:t>
      </w:r>
    </w:p>
    <w:p w14:paraId="6A758B51" w14:textId="77777777" w:rsidR="001756F2" w:rsidRPr="0082613A" w:rsidRDefault="001756F2" w:rsidP="00445624">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82613A">
        <w:rPr>
          <w:rStyle w:val="eop"/>
          <w:rFonts w:ascii="Palatino Linotype" w:hAnsi="Palatino Linotype" w:cs="Segoe UI"/>
          <w:sz w:val="22"/>
          <w:szCs w:val="22"/>
          <w:lang w:val="es-MX"/>
        </w:rPr>
        <w:t> </w:t>
      </w:r>
    </w:p>
    <w:p w14:paraId="3A6E8556" w14:textId="77777777" w:rsidR="001756F2" w:rsidRPr="0082613A" w:rsidRDefault="001756F2" w:rsidP="00445624">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82613A">
        <w:rPr>
          <w:rStyle w:val="normaltextrun"/>
          <w:rFonts w:ascii="Palatino Linotype" w:hAnsi="Palatino Linotype" w:cs="Segoe UI"/>
          <w:b/>
          <w:bCs/>
          <w:i/>
          <w:iCs/>
          <w:sz w:val="20"/>
          <w:szCs w:val="20"/>
          <w:lang w:val="es-MX"/>
        </w:rPr>
        <w:t> “DATOS A COMPLETAR, CORREGIR, AMPLIAR O ACLARAR</w:t>
      </w:r>
      <w:r w:rsidRPr="0082613A">
        <w:rPr>
          <w:rStyle w:val="eop"/>
          <w:rFonts w:ascii="Palatino Linotype" w:hAnsi="Palatino Linotype" w:cs="Segoe UI"/>
          <w:sz w:val="20"/>
          <w:szCs w:val="20"/>
          <w:lang w:val="es-MX"/>
        </w:rPr>
        <w:t> </w:t>
      </w:r>
    </w:p>
    <w:p w14:paraId="3CFDF5BB" w14:textId="1D9305C8" w:rsidR="001756F2" w:rsidRPr="0082613A" w:rsidRDefault="00FF6861" w:rsidP="00445624">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82613A">
        <w:rPr>
          <w:rFonts w:ascii="Palatino Linotype" w:hAnsi="Palatino Linotype"/>
          <w:i/>
          <w:iCs/>
          <w:color w:val="000000"/>
          <w:sz w:val="20"/>
          <w:szCs w:val="20"/>
          <w:lang w:val="es-MX"/>
        </w:rPr>
        <w:t>La solicitud es muy específica</w:t>
      </w:r>
      <w:r w:rsidR="001756F2" w:rsidRPr="0082613A">
        <w:rPr>
          <w:rStyle w:val="normaltextrun"/>
          <w:rFonts w:ascii="Palatino Linotype" w:hAnsi="Palatino Linotype" w:cs="Segoe UI"/>
          <w:i/>
          <w:iCs/>
          <w:sz w:val="20"/>
          <w:szCs w:val="20"/>
          <w:lang w:val="es-MX"/>
        </w:rPr>
        <w:t>” (Sic.)</w:t>
      </w:r>
    </w:p>
    <w:p w14:paraId="75C8D754" w14:textId="77777777" w:rsidR="001756F2" w:rsidRPr="0082613A" w:rsidRDefault="001756F2" w:rsidP="00445624">
      <w:pPr>
        <w:tabs>
          <w:tab w:val="left" w:pos="567"/>
        </w:tabs>
        <w:spacing w:after="0" w:line="360" w:lineRule="auto"/>
        <w:contextualSpacing/>
        <w:rPr>
          <w:rFonts w:eastAsia="Calibri" w:cs="Tahoma"/>
          <w:b/>
          <w:bCs/>
        </w:rPr>
      </w:pPr>
    </w:p>
    <w:p w14:paraId="6E631285" w14:textId="77777777" w:rsidR="00666D61" w:rsidRPr="0082613A" w:rsidRDefault="00666D61" w:rsidP="00445624">
      <w:pPr>
        <w:tabs>
          <w:tab w:val="left" w:pos="4667"/>
        </w:tabs>
        <w:spacing w:after="0" w:line="360" w:lineRule="auto"/>
        <w:ind w:right="567"/>
        <w:contextualSpacing/>
        <w:rPr>
          <w:rFonts w:eastAsia="Times New Roman" w:cs="Tahoma"/>
          <w:b/>
          <w:bCs/>
          <w:color w:val="auto"/>
          <w:szCs w:val="24"/>
          <w:lang w:eastAsia="es-ES"/>
        </w:rPr>
      </w:pPr>
    </w:p>
    <w:p w14:paraId="34F9ADE6" w14:textId="5891D9F3" w:rsidR="001756F2" w:rsidRPr="0082613A" w:rsidRDefault="001756F2" w:rsidP="00445624">
      <w:pPr>
        <w:tabs>
          <w:tab w:val="left" w:pos="4667"/>
        </w:tabs>
        <w:spacing w:after="0" w:line="360" w:lineRule="auto"/>
        <w:ind w:right="567"/>
        <w:contextualSpacing/>
        <w:rPr>
          <w:rFonts w:eastAsia="Times New Roman" w:cs="Tahoma"/>
          <w:b/>
          <w:bCs/>
          <w:color w:val="auto"/>
          <w:szCs w:val="24"/>
          <w:lang w:eastAsia="es-ES"/>
        </w:rPr>
      </w:pPr>
      <w:r w:rsidRPr="0082613A">
        <w:rPr>
          <w:rFonts w:eastAsia="Times New Roman" w:cs="Tahoma"/>
          <w:b/>
          <w:bCs/>
          <w:color w:val="auto"/>
          <w:szCs w:val="24"/>
          <w:lang w:eastAsia="es-ES"/>
        </w:rPr>
        <w:lastRenderedPageBreak/>
        <w:t xml:space="preserve">IV. </w:t>
      </w:r>
      <w:r w:rsidRPr="0082613A">
        <w:rPr>
          <w:rFonts w:eastAsia="Times New Roman" w:cs="Tahoma"/>
          <w:b/>
          <w:color w:val="auto"/>
          <w:szCs w:val="24"/>
          <w:lang w:eastAsia="es-ES"/>
        </w:rPr>
        <w:t>Respuesta</w:t>
      </w:r>
      <w:r w:rsidRPr="0082613A">
        <w:rPr>
          <w:rFonts w:eastAsia="Times New Roman" w:cs="Tahoma"/>
          <w:b/>
          <w:bCs/>
          <w:color w:val="auto"/>
          <w:szCs w:val="24"/>
          <w:lang w:eastAsia="es-ES"/>
        </w:rPr>
        <w:t xml:space="preserve"> del Sujeto Obligado.</w:t>
      </w:r>
    </w:p>
    <w:p w14:paraId="5FFE230B" w14:textId="77777777" w:rsidR="00EC77D9" w:rsidRPr="0082613A" w:rsidRDefault="00EC77D9" w:rsidP="00445624">
      <w:pPr>
        <w:spacing w:after="0" w:line="360" w:lineRule="auto"/>
        <w:contextualSpacing/>
        <w:rPr>
          <w:rFonts w:eastAsia="Calibri" w:cs="Tahoma"/>
          <w:b/>
          <w:bCs/>
        </w:rPr>
      </w:pPr>
    </w:p>
    <w:p w14:paraId="339339D5" w14:textId="24D34D2C" w:rsidR="00EC77D9" w:rsidRPr="0082613A" w:rsidRDefault="00EC77D9" w:rsidP="00445624">
      <w:pPr>
        <w:autoSpaceDE w:val="0"/>
        <w:autoSpaceDN w:val="0"/>
        <w:adjustRightInd w:val="0"/>
        <w:spacing w:after="0" w:line="360" w:lineRule="auto"/>
        <w:contextualSpacing/>
        <w:rPr>
          <w:rFonts w:eastAsia="Calibri" w:cs="Tahoma"/>
          <w:color w:val="000000"/>
          <w:lang w:val="es-ES"/>
        </w:rPr>
      </w:pPr>
      <w:r w:rsidRPr="0082613A">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82613A">
        <w:rPr>
          <w:rFonts w:eastAsia="Calibri" w:cs="Tahoma"/>
          <w:color w:val="000000"/>
          <w:lang w:val="es-ES"/>
        </w:rPr>
        <w:t xml:space="preserve">Sistema de Acceso a la Información Mexiquense (SAIMEX), se advierte que el </w:t>
      </w:r>
      <w:r w:rsidR="000C006D" w:rsidRPr="0082613A">
        <w:rPr>
          <w:color w:val="000000"/>
        </w:rPr>
        <w:t>Ayuntamiento de Zinacantepec</w:t>
      </w:r>
      <w:r w:rsidRPr="0082613A">
        <w:rPr>
          <w:rFonts w:eastAsia="Calibri" w:cs="Tahoma"/>
          <w:color w:val="000000"/>
        </w:rPr>
        <w:t>,</w:t>
      </w:r>
      <w:r w:rsidRPr="0082613A">
        <w:rPr>
          <w:rFonts w:eastAsia="Calibri" w:cs="Tahoma"/>
          <w:bCs/>
          <w:color w:val="000000"/>
        </w:rPr>
        <w:t xml:space="preserve"> omitió dar respuesta a la solicitud de información, por lo que </w:t>
      </w:r>
      <w:r w:rsidRPr="0082613A">
        <w:rPr>
          <w:rFonts w:eastAsia="Calibri" w:cs="Tahoma"/>
          <w:b/>
          <w:color w:val="000000"/>
        </w:rPr>
        <w:t xml:space="preserve">se configura la </w:t>
      </w:r>
      <w:r w:rsidRPr="0082613A">
        <w:rPr>
          <w:rFonts w:eastAsia="Calibri" w:cs="Tahoma"/>
          <w:b/>
          <w:color w:val="000000"/>
          <w:lang w:val="es-ES"/>
        </w:rPr>
        <w:t>negativa ficta</w:t>
      </w:r>
      <w:r w:rsidRPr="0082613A">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82613A" w:rsidRDefault="00EC77D9" w:rsidP="00445624">
      <w:pPr>
        <w:autoSpaceDE w:val="0"/>
        <w:autoSpaceDN w:val="0"/>
        <w:adjustRightInd w:val="0"/>
        <w:spacing w:after="0" w:line="360" w:lineRule="auto"/>
        <w:contextualSpacing/>
        <w:rPr>
          <w:rFonts w:eastAsia="Calibri" w:cs="Tahoma"/>
          <w:color w:val="000000"/>
          <w:lang w:val="es-ES"/>
        </w:rPr>
      </w:pPr>
    </w:p>
    <w:p w14:paraId="56912486" w14:textId="44F7C910" w:rsidR="00EC77D9" w:rsidRPr="0082613A" w:rsidRDefault="00955848" w:rsidP="00445624">
      <w:pPr>
        <w:autoSpaceDE w:val="0"/>
        <w:autoSpaceDN w:val="0"/>
        <w:adjustRightInd w:val="0"/>
        <w:spacing w:after="0" w:line="360" w:lineRule="auto"/>
        <w:contextualSpacing/>
        <w:rPr>
          <w:rFonts w:eastAsia="Calibri" w:cs="Tahoma"/>
          <w:b/>
          <w:color w:val="000000"/>
        </w:rPr>
      </w:pPr>
      <w:r w:rsidRPr="0082613A">
        <w:rPr>
          <w:rFonts w:eastAsia="Calibri" w:cs="Tahoma"/>
          <w:b/>
          <w:color w:val="000000"/>
        </w:rPr>
        <w:t>V.</w:t>
      </w:r>
      <w:r w:rsidR="00EC77D9" w:rsidRPr="0082613A">
        <w:rPr>
          <w:rFonts w:eastAsia="Calibri" w:cs="Tahoma"/>
          <w:b/>
          <w:color w:val="000000"/>
        </w:rPr>
        <w:t xml:space="preserve"> Interposición del Recurso de Revisión. </w:t>
      </w:r>
    </w:p>
    <w:p w14:paraId="193305E5" w14:textId="77777777" w:rsidR="00EC77D9" w:rsidRPr="0082613A" w:rsidRDefault="00EC77D9" w:rsidP="00445624">
      <w:pPr>
        <w:spacing w:after="0" w:line="360" w:lineRule="auto"/>
        <w:contextualSpacing/>
        <w:rPr>
          <w:rFonts w:eastAsia="Times New Roman" w:cs="Tahoma"/>
          <w:bCs/>
          <w:color w:val="auto"/>
          <w:lang w:eastAsia="es-ES"/>
        </w:rPr>
      </w:pPr>
    </w:p>
    <w:p w14:paraId="043BFAD4" w14:textId="4F50FAF8" w:rsidR="00686C69" w:rsidRPr="0082613A" w:rsidRDefault="00EC77D9" w:rsidP="00445624">
      <w:pPr>
        <w:spacing w:after="0" w:line="360" w:lineRule="auto"/>
        <w:contextualSpacing/>
        <w:rPr>
          <w:bCs/>
        </w:rPr>
      </w:pPr>
      <w:r w:rsidRPr="0082613A">
        <w:rPr>
          <w:rFonts w:eastAsia="Times New Roman" w:cs="Tahoma"/>
          <w:bCs/>
          <w:color w:val="auto"/>
          <w:lang w:val="es-ES" w:eastAsia="es-ES"/>
        </w:rPr>
        <w:t xml:space="preserve">Con fecha </w:t>
      </w:r>
      <w:r w:rsidR="00FF6861" w:rsidRPr="0082613A">
        <w:rPr>
          <w:rFonts w:eastAsia="Times New Roman" w:cs="Tahoma"/>
          <w:bCs/>
          <w:color w:val="auto"/>
          <w:lang w:val="es-ES" w:eastAsia="es-ES"/>
        </w:rPr>
        <w:t>primero de diciembre</w:t>
      </w:r>
      <w:r w:rsidR="00686C69" w:rsidRPr="0082613A">
        <w:rPr>
          <w:rFonts w:eastAsia="Times New Roman" w:cs="Tahoma"/>
          <w:bCs/>
          <w:color w:val="auto"/>
          <w:lang w:val="es-ES" w:eastAsia="es-ES"/>
        </w:rPr>
        <w:t xml:space="preserve"> </w:t>
      </w:r>
      <w:r w:rsidRPr="0082613A">
        <w:rPr>
          <w:rFonts w:eastAsia="Times New Roman" w:cs="Tahoma"/>
          <w:bCs/>
          <w:color w:val="auto"/>
          <w:lang w:val="es-ES" w:eastAsia="es-ES"/>
        </w:rPr>
        <w:t xml:space="preserve">de dos mil veintidós, </w:t>
      </w:r>
      <w:r w:rsidRPr="0082613A">
        <w:rPr>
          <w:rFonts w:eastAsia="Times New Roman" w:cs="Tahoma"/>
          <w:bCs/>
          <w:color w:val="auto"/>
          <w:lang w:eastAsia="es-ES"/>
        </w:rPr>
        <w:t xml:space="preserve">se </w:t>
      </w:r>
      <w:r w:rsidR="00686C69" w:rsidRPr="0082613A">
        <w:rPr>
          <w:rFonts w:eastAsia="Times New Roman" w:cs="Tahoma"/>
          <w:bCs/>
          <w:color w:val="auto"/>
          <w:lang w:eastAsia="es-ES"/>
        </w:rPr>
        <w:t>tuvo por recibido</w:t>
      </w:r>
      <w:r w:rsidRPr="0082613A">
        <w:rPr>
          <w:rFonts w:eastAsia="Times New Roman" w:cs="Tahoma"/>
          <w:bCs/>
          <w:color w:val="auto"/>
          <w:lang w:eastAsia="es-ES"/>
        </w:rPr>
        <w:t xml:space="preserve"> en este Instituto, a través del </w:t>
      </w:r>
      <w:r w:rsidRPr="0082613A">
        <w:rPr>
          <w:rFonts w:eastAsia="Times New Roman" w:cs="Tahoma"/>
          <w:bCs/>
          <w:color w:val="auto"/>
          <w:lang w:val="es-ES" w:eastAsia="es-ES"/>
        </w:rPr>
        <w:t>Sistema de Acceso a la Información Mexiquense (SAIMEX)</w:t>
      </w:r>
      <w:r w:rsidRPr="0082613A">
        <w:rPr>
          <w:rFonts w:eastAsia="Times New Roman" w:cs="Tahoma"/>
          <w:bCs/>
          <w:color w:val="auto"/>
          <w:lang w:eastAsia="es-ES"/>
        </w:rPr>
        <w:t>, el Recurso de Revisión interpuesto por la parte Recurrente, en contra de la falta de respuesta del Sujeto Obligado,</w:t>
      </w:r>
      <w:r w:rsidR="00686C69" w:rsidRPr="0082613A">
        <w:rPr>
          <w:rFonts w:cs="Tahoma"/>
          <w:b/>
          <w:lang w:eastAsia="es-ES"/>
        </w:rPr>
        <w:t xml:space="preserve"> </w:t>
      </w:r>
      <w:r w:rsidR="00686C69" w:rsidRPr="0082613A">
        <w:rPr>
          <w:rFonts w:cs="Tahoma"/>
          <w:lang w:eastAsia="es-ES"/>
        </w:rPr>
        <w:t>en los siguientes términos:</w:t>
      </w:r>
    </w:p>
    <w:p w14:paraId="24595562" w14:textId="77777777" w:rsidR="00EC77D9" w:rsidRPr="0082613A" w:rsidRDefault="00EC77D9" w:rsidP="00445624">
      <w:pPr>
        <w:spacing w:after="0" w:line="360" w:lineRule="auto"/>
        <w:contextualSpacing/>
        <w:rPr>
          <w:rFonts w:eastAsia="Times New Roman" w:cs="Tahoma"/>
          <w:bCs/>
          <w:color w:val="auto"/>
          <w:lang w:eastAsia="es-ES"/>
        </w:rPr>
      </w:pPr>
    </w:p>
    <w:p w14:paraId="122D4953" w14:textId="77777777" w:rsidR="00EC77D9" w:rsidRPr="0082613A" w:rsidRDefault="00EC77D9" w:rsidP="00445624">
      <w:pPr>
        <w:spacing w:after="0" w:line="360" w:lineRule="auto"/>
        <w:ind w:left="567" w:right="567"/>
        <w:contextualSpacing/>
        <w:rPr>
          <w:rFonts w:eastAsia="Times New Roman" w:cs="Tahoma"/>
          <w:b/>
          <w:bCs/>
          <w:i/>
          <w:color w:val="auto"/>
          <w:sz w:val="20"/>
          <w:szCs w:val="20"/>
          <w:lang w:eastAsia="es-ES"/>
        </w:rPr>
      </w:pPr>
      <w:r w:rsidRPr="0082613A">
        <w:rPr>
          <w:rFonts w:eastAsia="Times New Roman" w:cs="Tahoma"/>
          <w:b/>
          <w:bCs/>
          <w:i/>
          <w:color w:val="auto"/>
          <w:sz w:val="20"/>
          <w:szCs w:val="20"/>
          <w:lang w:eastAsia="es-ES"/>
        </w:rPr>
        <w:t>“ACTO IMPUGNADO</w:t>
      </w:r>
    </w:p>
    <w:p w14:paraId="6E62BBE2" w14:textId="39FB1774" w:rsidR="00EC77D9" w:rsidRPr="0082613A" w:rsidRDefault="00FF6861" w:rsidP="00445624">
      <w:pPr>
        <w:spacing w:after="0" w:line="360" w:lineRule="auto"/>
        <w:ind w:left="567" w:right="567"/>
        <w:contextualSpacing/>
        <w:rPr>
          <w:rFonts w:eastAsia="Times New Roman" w:cs="Tahoma"/>
          <w:bCs/>
          <w:i/>
          <w:iCs/>
          <w:color w:val="auto"/>
          <w:sz w:val="20"/>
          <w:szCs w:val="20"/>
          <w:lang w:eastAsia="es-ES"/>
        </w:rPr>
      </w:pPr>
      <w:r w:rsidRPr="0082613A">
        <w:rPr>
          <w:i/>
          <w:iCs/>
          <w:color w:val="000000"/>
          <w:sz w:val="20"/>
          <w:szCs w:val="20"/>
        </w:rPr>
        <w:t>NO ENTREGA INFORMACIÓN NUEVAMENTE</w:t>
      </w:r>
      <w:r w:rsidR="00EC77D9" w:rsidRPr="0082613A">
        <w:rPr>
          <w:i/>
          <w:iCs/>
          <w:sz w:val="20"/>
          <w:szCs w:val="20"/>
        </w:rPr>
        <w:t>”</w:t>
      </w:r>
      <w:r w:rsidR="00EC77D9" w:rsidRPr="0082613A">
        <w:rPr>
          <w:bCs/>
          <w:i/>
          <w:iCs/>
          <w:sz w:val="20"/>
          <w:szCs w:val="20"/>
        </w:rPr>
        <w:t xml:space="preserve"> </w:t>
      </w:r>
      <w:r w:rsidR="00EC77D9" w:rsidRPr="0082613A">
        <w:rPr>
          <w:rFonts w:eastAsia="Times New Roman" w:cs="Tahoma"/>
          <w:bCs/>
          <w:i/>
          <w:iCs/>
          <w:color w:val="auto"/>
          <w:sz w:val="20"/>
          <w:szCs w:val="20"/>
          <w:lang w:eastAsia="es-ES"/>
        </w:rPr>
        <w:t>(Sic)</w:t>
      </w:r>
    </w:p>
    <w:p w14:paraId="5CCEB8EC" w14:textId="200EAB7C" w:rsidR="00EC77D9" w:rsidRPr="0082613A" w:rsidRDefault="00EC77D9" w:rsidP="00445624">
      <w:pPr>
        <w:spacing w:after="0" w:line="360" w:lineRule="auto"/>
        <w:ind w:left="567" w:right="567"/>
        <w:contextualSpacing/>
        <w:rPr>
          <w:rFonts w:eastAsia="Times New Roman" w:cs="Tahoma"/>
          <w:bCs/>
          <w:i/>
          <w:color w:val="auto"/>
          <w:sz w:val="20"/>
          <w:szCs w:val="20"/>
          <w:lang w:eastAsia="es-ES"/>
        </w:rPr>
      </w:pPr>
    </w:p>
    <w:p w14:paraId="01991E43" w14:textId="7A969951" w:rsidR="00EC77D9" w:rsidRPr="0082613A" w:rsidRDefault="00EC77D9" w:rsidP="00445624">
      <w:pPr>
        <w:spacing w:after="0" w:line="360" w:lineRule="auto"/>
        <w:ind w:left="567" w:right="567"/>
        <w:contextualSpacing/>
        <w:rPr>
          <w:rFonts w:eastAsia="Times New Roman" w:cs="Tahoma"/>
          <w:b/>
          <w:bCs/>
          <w:i/>
          <w:color w:val="auto"/>
          <w:sz w:val="20"/>
          <w:szCs w:val="20"/>
          <w:lang w:eastAsia="es-ES"/>
        </w:rPr>
      </w:pPr>
      <w:r w:rsidRPr="0082613A">
        <w:rPr>
          <w:rFonts w:eastAsia="Times New Roman" w:cs="Tahoma"/>
          <w:b/>
          <w:bCs/>
          <w:i/>
          <w:color w:val="auto"/>
          <w:sz w:val="20"/>
          <w:szCs w:val="20"/>
          <w:lang w:eastAsia="es-ES"/>
        </w:rPr>
        <w:t>“RAZONES O MOTIVOS DE LA INCONFORMIDAD</w:t>
      </w:r>
    </w:p>
    <w:p w14:paraId="6A2AB2B9" w14:textId="486A3899" w:rsidR="00EC77D9" w:rsidRPr="0082613A" w:rsidRDefault="00FF6861" w:rsidP="00445624">
      <w:pPr>
        <w:spacing w:after="0" w:line="360" w:lineRule="auto"/>
        <w:ind w:left="567" w:right="567"/>
        <w:contextualSpacing/>
        <w:rPr>
          <w:rFonts w:eastAsia="Times New Roman" w:cs="Tahoma"/>
          <w:bCs/>
          <w:color w:val="auto"/>
          <w:sz w:val="20"/>
          <w:szCs w:val="20"/>
          <w:lang w:eastAsia="es-ES"/>
        </w:rPr>
      </w:pPr>
      <w:r w:rsidRPr="0082613A">
        <w:rPr>
          <w:i/>
          <w:iCs/>
          <w:color w:val="000000"/>
          <w:sz w:val="20"/>
          <w:szCs w:val="20"/>
        </w:rPr>
        <w:t>NO ENTREGA INFORMACIÓN NUEVAMENTE</w:t>
      </w:r>
      <w:r w:rsidR="00EC77D9" w:rsidRPr="0082613A">
        <w:rPr>
          <w:i/>
          <w:color w:val="000000"/>
          <w:sz w:val="20"/>
          <w:szCs w:val="20"/>
        </w:rPr>
        <w:t>”</w:t>
      </w:r>
      <w:r w:rsidR="00EC77D9" w:rsidRPr="0082613A">
        <w:rPr>
          <w:bCs/>
          <w:i/>
          <w:color w:val="000000"/>
          <w:sz w:val="20"/>
          <w:szCs w:val="20"/>
        </w:rPr>
        <w:t xml:space="preserve"> </w:t>
      </w:r>
      <w:r w:rsidR="00EC77D9" w:rsidRPr="0082613A">
        <w:rPr>
          <w:rFonts w:eastAsia="Times New Roman" w:cs="Tahoma"/>
          <w:bCs/>
          <w:i/>
          <w:color w:val="auto"/>
          <w:sz w:val="20"/>
          <w:szCs w:val="20"/>
          <w:lang w:eastAsia="es-ES"/>
        </w:rPr>
        <w:t>(Sic)</w:t>
      </w:r>
    </w:p>
    <w:p w14:paraId="2EF5CAAD" w14:textId="77777777" w:rsidR="000823E5" w:rsidRPr="0082613A" w:rsidRDefault="000823E5" w:rsidP="00445624">
      <w:pPr>
        <w:spacing w:after="0" w:line="360" w:lineRule="auto"/>
        <w:contextualSpacing/>
        <w:rPr>
          <w:rFonts w:eastAsia="Calibri" w:cs="Tahoma"/>
          <w:b/>
          <w:color w:val="000000"/>
        </w:rPr>
      </w:pPr>
    </w:p>
    <w:p w14:paraId="32EBD4AE" w14:textId="01406C88" w:rsidR="00EC77D9" w:rsidRPr="0082613A" w:rsidRDefault="00EC77D9" w:rsidP="00445624">
      <w:pPr>
        <w:spacing w:after="0" w:line="360" w:lineRule="auto"/>
        <w:contextualSpacing/>
        <w:rPr>
          <w:rFonts w:eastAsia="Batang" w:cs="Tahoma"/>
          <w:b/>
          <w:bCs/>
          <w:color w:val="000000"/>
        </w:rPr>
      </w:pPr>
      <w:r w:rsidRPr="0082613A">
        <w:rPr>
          <w:rFonts w:eastAsia="Calibri" w:cs="Tahoma"/>
          <w:b/>
          <w:color w:val="000000"/>
        </w:rPr>
        <w:t>V</w:t>
      </w:r>
      <w:r w:rsidR="00955848" w:rsidRPr="0082613A">
        <w:rPr>
          <w:rFonts w:eastAsia="Calibri" w:cs="Tahoma"/>
          <w:b/>
          <w:color w:val="000000"/>
        </w:rPr>
        <w:t>I</w:t>
      </w:r>
      <w:r w:rsidRPr="0082613A">
        <w:rPr>
          <w:rFonts w:eastAsia="Calibri" w:cs="Tahoma"/>
          <w:b/>
          <w:color w:val="000000"/>
        </w:rPr>
        <w:t xml:space="preserve">. </w:t>
      </w:r>
      <w:r w:rsidRPr="0082613A">
        <w:rPr>
          <w:rFonts w:eastAsia="Batang" w:cs="Tahoma"/>
          <w:b/>
          <w:bCs/>
          <w:color w:val="000000"/>
        </w:rPr>
        <w:t>Trámite del Recurso de Revisión</w:t>
      </w:r>
      <w:r w:rsidRPr="0082613A">
        <w:rPr>
          <w:rFonts w:eastAsia="Calibri" w:cs="Tahoma"/>
          <w:b/>
          <w:color w:val="000000"/>
        </w:rPr>
        <w:t xml:space="preserve"> </w:t>
      </w:r>
      <w:r w:rsidRPr="0082613A">
        <w:rPr>
          <w:rFonts w:eastAsia="Batang" w:cs="Tahoma"/>
          <w:b/>
          <w:bCs/>
          <w:color w:val="000000"/>
        </w:rPr>
        <w:t>ante este Instituto.</w:t>
      </w:r>
    </w:p>
    <w:p w14:paraId="1C4ADB40" w14:textId="77777777" w:rsidR="00EC77D9" w:rsidRPr="0082613A" w:rsidRDefault="00EC77D9" w:rsidP="00445624">
      <w:pPr>
        <w:spacing w:after="0" w:line="360" w:lineRule="auto"/>
        <w:contextualSpacing/>
        <w:rPr>
          <w:rFonts w:eastAsia="Batang" w:cs="Tahoma"/>
          <w:bCs/>
          <w:color w:val="000000"/>
        </w:rPr>
      </w:pPr>
    </w:p>
    <w:p w14:paraId="7EC9EE07" w14:textId="64B05789" w:rsidR="00EC77D9" w:rsidRPr="0082613A" w:rsidRDefault="00EC77D9" w:rsidP="00445624">
      <w:pPr>
        <w:spacing w:after="0" w:line="360" w:lineRule="auto"/>
        <w:contextualSpacing/>
        <w:rPr>
          <w:rFonts w:eastAsia="Batang" w:cs="Tahoma"/>
          <w:b/>
          <w:bCs/>
          <w:color w:val="000000"/>
        </w:rPr>
      </w:pPr>
      <w:r w:rsidRPr="0082613A">
        <w:rPr>
          <w:rFonts w:eastAsia="Batang" w:cs="Tahoma"/>
          <w:b/>
          <w:bCs/>
          <w:color w:val="000000"/>
        </w:rPr>
        <w:t xml:space="preserve">a) Turno del Medio de Impugnación. </w:t>
      </w:r>
      <w:r w:rsidRPr="0082613A">
        <w:rPr>
          <w:rFonts w:eastAsia="Batang" w:cs="Tahoma"/>
          <w:bCs/>
          <w:color w:val="000000"/>
        </w:rPr>
        <w:t xml:space="preserve">El </w:t>
      </w:r>
      <w:r w:rsidR="00FF6861" w:rsidRPr="0082613A">
        <w:rPr>
          <w:rFonts w:eastAsia="Batang" w:cs="Tahoma"/>
          <w:bCs/>
          <w:color w:val="000000"/>
        </w:rPr>
        <w:t>primero de diciembre</w:t>
      </w:r>
      <w:r w:rsidRPr="0082613A">
        <w:rPr>
          <w:rFonts w:eastAsia="Batang" w:cs="Tahoma"/>
          <w:bCs/>
          <w:color w:val="000000"/>
        </w:rPr>
        <w:t xml:space="preserve"> </w:t>
      </w:r>
      <w:r w:rsidRPr="0082613A">
        <w:rPr>
          <w:rFonts w:eastAsia="Times New Roman" w:cs="Tahoma"/>
          <w:bCs/>
          <w:color w:val="auto"/>
          <w:lang w:eastAsia="es-ES"/>
        </w:rPr>
        <w:t>de dos mil veintidós</w:t>
      </w:r>
      <w:r w:rsidRPr="0082613A">
        <w:rPr>
          <w:rFonts w:eastAsia="Batang" w:cs="Tahoma"/>
          <w:bCs/>
          <w:color w:val="000000"/>
        </w:rPr>
        <w:t xml:space="preserve">, el </w:t>
      </w:r>
      <w:r w:rsidRPr="0082613A">
        <w:rPr>
          <w:rFonts w:eastAsia="Calibri" w:cs="Tahoma"/>
          <w:color w:val="000000"/>
          <w:lang w:val="es-ES"/>
        </w:rPr>
        <w:t>Sistema de Acceso a la Información Mexiquense (SAIMEX),</w:t>
      </w:r>
      <w:r w:rsidRPr="0082613A">
        <w:rPr>
          <w:rFonts w:eastAsia="Batang" w:cs="Tahoma"/>
          <w:bCs/>
          <w:color w:val="000000"/>
        </w:rPr>
        <w:t xml:space="preserve"> asignó el número de expediente </w:t>
      </w:r>
      <w:r w:rsidR="00FF6861" w:rsidRPr="0082613A">
        <w:rPr>
          <w:rFonts w:eastAsia="Batang" w:cs="Tahoma"/>
          <w:color w:val="000000"/>
        </w:rPr>
        <w:lastRenderedPageBreak/>
        <w:t>17041</w:t>
      </w:r>
      <w:r w:rsidRPr="0082613A">
        <w:rPr>
          <w:rFonts w:eastAsia="Calibri" w:cs="Tahoma"/>
        </w:rPr>
        <w:t>/INFOEM/IP/RR/2022</w:t>
      </w:r>
      <w:r w:rsidRPr="0082613A">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82613A" w:rsidRDefault="00EC77D9" w:rsidP="00445624">
      <w:pPr>
        <w:spacing w:after="0" w:line="360" w:lineRule="auto"/>
        <w:contextualSpacing/>
        <w:rPr>
          <w:rFonts w:eastAsia="Batang" w:cs="Tahoma"/>
          <w:bCs/>
          <w:color w:val="000000"/>
        </w:rPr>
      </w:pPr>
    </w:p>
    <w:p w14:paraId="385EEA5C" w14:textId="122E4AD0" w:rsidR="00EC77D9" w:rsidRPr="0082613A" w:rsidRDefault="00EC77D9" w:rsidP="00445624">
      <w:pPr>
        <w:spacing w:after="0" w:line="360" w:lineRule="auto"/>
        <w:contextualSpacing/>
        <w:rPr>
          <w:rFonts w:eastAsia="Times New Roman" w:cs="Tahoma"/>
          <w:b/>
          <w:bCs/>
          <w:color w:val="auto"/>
          <w:lang w:eastAsia="es-ES"/>
        </w:rPr>
      </w:pPr>
      <w:r w:rsidRPr="0082613A">
        <w:rPr>
          <w:rFonts w:eastAsia="Times New Roman" w:cs="Tahoma"/>
          <w:b/>
          <w:bCs/>
          <w:color w:val="auto"/>
          <w:lang w:eastAsia="es-ES"/>
        </w:rPr>
        <w:t>b) Admisión del Recurso de Revisión</w:t>
      </w:r>
      <w:r w:rsidRPr="0082613A">
        <w:rPr>
          <w:rFonts w:eastAsia="Times New Roman" w:cs="Tahoma"/>
          <w:b/>
          <w:bCs/>
          <w:color w:val="auto"/>
          <w:lang w:val="es-ES_tradnl" w:eastAsia="es-ES"/>
        </w:rPr>
        <w:t xml:space="preserve">. </w:t>
      </w:r>
      <w:r w:rsidRPr="0082613A">
        <w:rPr>
          <w:rFonts w:eastAsia="Batang" w:cs="Tahoma"/>
          <w:bCs/>
          <w:color w:val="000000"/>
        </w:rPr>
        <w:t xml:space="preserve">El </w:t>
      </w:r>
      <w:r w:rsidR="00FF6861" w:rsidRPr="0082613A">
        <w:rPr>
          <w:rFonts w:eastAsia="Batang" w:cs="Tahoma"/>
          <w:bCs/>
          <w:color w:val="000000"/>
        </w:rPr>
        <w:t>seis de diciembre</w:t>
      </w:r>
      <w:r w:rsidRPr="0082613A">
        <w:rPr>
          <w:rFonts w:eastAsia="Batang" w:cs="Tahoma"/>
          <w:bCs/>
          <w:color w:val="000000"/>
        </w:rPr>
        <w:t xml:space="preserve"> de dos mil veintidós</w:t>
      </w:r>
      <w:r w:rsidRPr="0082613A">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sidRPr="0082613A">
        <w:rPr>
          <w:rFonts w:eastAsia="Times New Roman" w:cs="Tahoma"/>
          <w:bCs/>
          <w:color w:val="auto"/>
          <w:lang w:val="es-ES_tradnl" w:eastAsia="es-ES"/>
        </w:rPr>
        <w:t xml:space="preserve"> </w:t>
      </w:r>
      <w:r w:rsidR="00FF6861" w:rsidRPr="0082613A">
        <w:rPr>
          <w:rFonts w:eastAsia="Times New Roman" w:cs="Tahoma"/>
          <w:bCs/>
          <w:color w:val="auto"/>
          <w:lang w:val="es-ES_tradnl" w:eastAsia="es-ES"/>
        </w:rPr>
        <w:t>el mismo día</w:t>
      </w:r>
      <w:r w:rsidR="00CB7980" w:rsidRPr="0082613A">
        <w:rPr>
          <w:rFonts w:eastAsia="Times New Roman" w:cs="Tahoma"/>
          <w:bCs/>
          <w:color w:val="auto"/>
          <w:lang w:val="es-ES_tradnl" w:eastAsia="es-ES"/>
        </w:rPr>
        <w:t xml:space="preserve">, </w:t>
      </w:r>
      <w:r w:rsidRPr="0082613A">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82613A" w:rsidRDefault="00EC77D9" w:rsidP="00445624">
      <w:pPr>
        <w:spacing w:after="0" w:line="360" w:lineRule="auto"/>
        <w:contextualSpacing/>
        <w:rPr>
          <w:rFonts w:cs="Tahoma"/>
        </w:rPr>
      </w:pPr>
    </w:p>
    <w:p w14:paraId="2F958A4A" w14:textId="77777777" w:rsidR="006C2C21" w:rsidRPr="0082613A" w:rsidRDefault="00EC77D9" w:rsidP="00445624">
      <w:pPr>
        <w:pStyle w:val="Prrafodelista"/>
        <w:tabs>
          <w:tab w:val="left" w:pos="567"/>
        </w:tabs>
        <w:spacing w:after="0" w:line="360" w:lineRule="auto"/>
        <w:ind w:left="0"/>
        <w:rPr>
          <w:rFonts w:cs="Tahoma"/>
        </w:rPr>
      </w:pPr>
      <w:r w:rsidRPr="0082613A">
        <w:rPr>
          <w:rFonts w:eastAsia="Times New Roman" w:cs="Tahoma"/>
          <w:b/>
          <w:bCs/>
          <w:color w:val="auto"/>
          <w:lang w:eastAsia="es-ES"/>
        </w:rPr>
        <w:t xml:space="preserve">c) </w:t>
      </w:r>
      <w:r w:rsidR="006C2C21" w:rsidRPr="0082613A">
        <w:rPr>
          <w:rFonts w:eastAsia="Batang" w:cs="Tahoma"/>
          <w:b/>
          <w:bCs/>
          <w:lang w:val="es-ES_tradnl"/>
        </w:rPr>
        <w:t>Informe Justificado</w:t>
      </w:r>
      <w:r w:rsidR="006C2C21" w:rsidRPr="0082613A">
        <w:rPr>
          <w:b/>
          <w:lang w:val="es-ES_tradnl"/>
        </w:rPr>
        <w:t xml:space="preserve">. </w:t>
      </w:r>
      <w:r w:rsidR="006C2C21" w:rsidRPr="0082613A">
        <w:rPr>
          <w:rFonts w:cs="Tahoma"/>
          <w:bCs/>
          <w:lang w:val="es-ES_tradnl"/>
        </w:rPr>
        <w:t xml:space="preserve">El nueve de enero de dos mil veintitrés, se recibió en este Instituto, a través del Sistema de Acceso a la Información Mexiquense (SAIMEX), el Informe Justificado del Sujeto Obligado, a través de un oficio sin número, </w:t>
      </w:r>
      <w:r w:rsidR="006C2C21" w:rsidRPr="0082613A">
        <w:rPr>
          <w:rFonts w:cs="Tahoma"/>
        </w:rPr>
        <w:t xml:space="preserve">suscrito por el Titular de la Unidad de Transparencia, dirigido al Solicitante, por medio del cual manifiesta y expone esencialmente lo siguiente: </w:t>
      </w:r>
    </w:p>
    <w:p w14:paraId="72E42969" w14:textId="361589BF" w:rsidR="006C2C21" w:rsidRPr="0082613A" w:rsidRDefault="006C2C21" w:rsidP="00445624">
      <w:pPr>
        <w:spacing w:after="0" w:line="360" w:lineRule="auto"/>
        <w:contextualSpacing/>
      </w:pPr>
    </w:p>
    <w:p w14:paraId="73522DBD" w14:textId="07C2DBB1" w:rsidR="006C2C21" w:rsidRPr="0082613A" w:rsidRDefault="006C2C21" w:rsidP="00445624">
      <w:pPr>
        <w:spacing w:after="0" w:line="360" w:lineRule="auto"/>
        <w:ind w:left="567" w:right="567"/>
        <w:contextualSpacing/>
        <w:rPr>
          <w:i/>
          <w:iCs/>
          <w:sz w:val="20"/>
          <w:szCs w:val="20"/>
        </w:rPr>
      </w:pPr>
      <w:r w:rsidRPr="0082613A">
        <w:rPr>
          <w:i/>
          <w:iCs/>
          <w:sz w:val="20"/>
          <w:szCs w:val="20"/>
        </w:rPr>
        <w:t>“…</w:t>
      </w:r>
    </w:p>
    <w:p w14:paraId="50834C70" w14:textId="3E342E62" w:rsidR="00EC77D9" w:rsidRPr="0082613A" w:rsidRDefault="006C2C21" w:rsidP="00445624">
      <w:pPr>
        <w:spacing w:after="0" w:line="360" w:lineRule="auto"/>
        <w:ind w:left="567" w:right="567"/>
        <w:contextualSpacing/>
        <w:rPr>
          <w:rFonts w:eastAsia="Times New Roman" w:cs="Tahoma"/>
          <w:bCs/>
          <w:i/>
          <w:iCs/>
          <w:color w:val="auto"/>
          <w:sz w:val="20"/>
          <w:szCs w:val="20"/>
          <w:lang w:val="es-ES" w:eastAsia="es-ES"/>
        </w:rPr>
      </w:pPr>
      <w:r w:rsidRPr="0082613A">
        <w:rPr>
          <w:i/>
          <w:iCs/>
          <w:sz w:val="20"/>
          <w:szCs w:val="20"/>
        </w:rPr>
        <w:t>Con el fin de poder darle una oportuna contestación al hoy recurrente le informo que este Sujeto Obligado al realizar un análisis en su solicitud procedió a turnarla al Servidor Público Habilitado poseedor de la información, mismo que nos informa que de conformidad con la Ley del Trabajo de los Servidores Públicos del Estado de México y Municipios en su artículo 47 mismo que se transcribe a continuación:</w:t>
      </w:r>
    </w:p>
    <w:p w14:paraId="76C6BA1A" w14:textId="77777777" w:rsidR="00EB253A" w:rsidRPr="0082613A" w:rsidRDefault="00EB253A" w:rsidP="00445624">
      <w:pPr>
        <w:widowControl w:val="0"/>
        <w:spacing w:after="0" w:line="360" w:lineRule="auto"/>
        <w:ind w:left="567" w:right="567"/>
        <w:contextualSpacing/>
        <w:rPr>
          <w:rFonts w:eastAsia="Times New Roman" w:cs="Tahoma"/>
          <w:b/>
          <w:i/>
          <w:iCs/>
          <w:color w:val="auto"/>
          <w:sz w:val="20"/>
          <w:szCs w:val="20"/>
          <w:lang w:eastAsia="es-ES"/>
        </w:rPr>
      </w:pPr>
    </w:p>
    <w:p w14:paraId="4447054F" w14:textId="05D44129" w:rsidR="00EB253A" w:rsidRPr="0082613A" w:rsidRDefault="00EB253A" w:rsidP="00445624">
      <w:pPr>
        <w:widowControl w:val="0"/>
        <w:spacing w:after="0" w:line="360" w:lineRule="auto"/>
        <w:ind w:left="567" w:right="567"/>
        <w:contextualSpacing/>
        <w:rPr>
          <w:i/>
          <w:iCs/>
          <w:sz w:val="20"/>
          <w:szCs w:val="20"/>
        </w:rPr>
      </w:pPr>
      <w:r w:rsidRPr="0082613A">
        <w:rPr>
          <w:i/>
          <w:iCs/>
          <w:sz w:val="20"/>
          <w:szCs w:val="20"/>
        </w:rPr>
        <w:t>ARTÍCULO 47. Para ingresar al servicio público se requiere:</w:t>
      </w:r>
    </w:p>
    <w:p w14:paraId="3DDAE443" w14:textId="0553DBEB" w:rsidR="00EB253A" w:rsidRPr="0082613A" w:rsidRDefault="00EB253A" w:rsidP="00445624">
      <w:pPr>
        <w:widowControl w:val="0"/>
        <w:spacing w:after="0" w:line="360" w:lineRule="auto"/>
        <w:ind w:left="567" w:right="567"/>
        <w:contextualSpacing/>
        <w:rPr>
          <w:i/>
          <w:iCs/>
          <w:sz w:val="20"/>
          <w:szCs w:val="20"/>
        </w:rPr>
      </w:pPr>
      <w:r w:rsidRPr="0082613A">
        <w:rPr>
          <w:i/>
          <w:iCs/>
          <w:sz w:val="20"/>
          <w:szCs w:val="20"/>
        </w:rPr>
        <w:t>…</w:t>
      </w:r>
    </w:p>
    <w:p w14:paraId="7D28792B" w14:textId="77777777" w:rsidR="00EB253A" w:rsidRPr="0082613A" w:rsidRDefault="00EB253A" w:rsidP="00445624">
      <w:pPr>
        <w:widowControl w:val="0"/>
        <w:spacing w:after="0" w:line="360" w:lineRule="auto"/>
        <w:ind w:left="567" w:right="567"/>
        <w:contextualSpacing/>
        <w:rPr>
          <w:i/>
          <w:iCs/>
          <w:sz w:val="20"/>
          <w:szCs w:val="20"/>
        </w:rPr>
      </w:pPr>
    </w:p>
    <w:p w14:paraId="1F64EEC6" w14:textId="5930A51D" w:rsidR="00EB253A" w:rsidRPr="0082613A" w:rsidRDefault="00EB253A" w:rsidP="00445624">
      <w:pPr>
        <w:widowControl w:val="0"/>
        <w:spacing w:after="0" w:line="360" w:lineRule="auto"/>
        <w:ind w:left="567" w:right="567"/>
        <w:contextualSpacing/>
        <w:rPr>
          <w:i/>
          <w:iCs/>
          <w:sz w:val="20"/>
          <w:szCs w:val="20"/>
        </w:rPr>
      </w:pPr>
      <w:r w:rsidRPr="0082613A">
        <w:rPr>
          <w:i/>
          <w:iCs/>
          <w:sz w:val="20"/>
          <w:szCs w:val="20"/>
        </w:rPr>
        <w:t>Cabe recalcar que, de acuerdo al artículo antes referido, la “LICENCIA DE CONDUCIR”, no forma parte de los requisitos para ser Servidor Público, por lo tanto, dentro de los expedientes de cada Servidor Público no obra documentación referente a licencia o licencias de conducir</w:t>
      </w:r>
    </w:p>
    <w:p w14:paraId="41FEB450" w14:textId="632906A3" w:rsidR="00EB253A" w:rsidRPr="0082613A" w:rsidRDefault="00EB253A" w:rsidP="00445624">
      <w:pPr>
        <w:widowControl w:val="0"/>
        <w:spacing w:after="0" w:line="360" w:lineRule="auto"/>
        <w:ind w:left="567" w:right="567"/>
        <w:contextualSpacing/>
        <w:rPr>
          <w:i/>
          <w:iCs/>
          <w:sz w:val="20"/>
          <w:szCs w:val="20"/>
        </w:rPr>
      </w:pPr>
      <w:r w:rsidRPr="0082613A">
        <w:rPr>
          <w:i/>
          <w:iCs/>
          <w:sz w:val="20"/>
          <w:szCs w:val="20"/>
        </w:rPr>
        <w:t>…”</w:t>
      </w:r>
    </w:p>
    <w:p w14:paraId="3A9BF6B5" w14:textId="77777777" w:rsidR="00EB253A" w:rsidRPr="0082613A" w:rsidRDefault="00EB253A" w:rsidP="00445624">
      <w:pPr>
        <w:spacing w:after="0" w:line="360" w:lineRule="auto"/>
        <w:contextualSpacing/>
        <w:rPr>
          <w:rFonts w:eastAsia="Times New Roman" w:cs="Tahoma"/>
          <w:b/>
          <w:color w:val="auto"/>
          <w:szCs w:val="24"/>
          <w:lang w:eastAsia="es-ES"/>
        </w:rPr>
      </w:pPr>
    </w:p>
    <w:p w14:paraId="0C5447B6" w14:textId="557FEAD9" w:rsidR="00EB253A" w:rsidRPr="0082613A" w:rsidRDefault="00EB253A" w:rsidP="00445624">
      <w:pPr>
        <w:spacing w:after="0" w:line="360" w:lineRule="auto"/>
        <w:contextualSpacing/>
        <w:rPr>
          <w:rFonts w:cs="Tahoma"/>
          <w:color w:val="0D0D0D" w:themeColor="text1" w:themeTint="F2"/>
        </w:rPr>
      </w:pPr>
      <w:r w:rsidRPr="0082613A">
        <w:rPr>
          <w:rFonts w:eastAsia="Times New Roman" w:cs="Tahoma"/>
          <w:b/>
          <w:color w:val="auto"/>
          <w:szCs w:val="24"/>
          <w:lang w:eastAsia="es-ES"/>
        </w:rPr>
        <w:t xml:space="preserve">d) </w:t>
      </w:r>
      <w:r w:rsidRPr="0082613A">
        <w:rPr>
          <w:rFonts w:eastAsia="Palatino Linotype" w:cs="Palatino Linotype"/>
          <w:b/>
          <w:bCs/>
          <w:lang w:val="es-ES"/>
        </w:rPr>
        <w:t xml:space="preserve">Ampliación de plazo para resolver. </w:t>
      </w:r>
      <w:r w:rsidRPr="0082613A">
        <w:rPr>
          <w:rFonts w:eastAsia="Palatino Linotype" w:cs="Palatino Linotype"/>
          <w:lang w:val="es-ES"/>
        </w:rPr>
        <w:t>El dos de febrero de dos mil veintitrés,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14:paraId="184FCF4F" w14:textId="77777777" w:rsidR="00EB253A" w:rsidRPr="0082613A" w:rsidRDefault="00EB253A" w:rsidP="00445624">
      <w:pPr>
        <w:spacing w:after="0" w:line="360" w:lineRule="auto"/>
        <w:ind w:right="-28"/>
        <w:contextualSpacing/>
        <w:rPr>
          <w:rFonts w:eastAsia="Calibri" w:cs="Tahoma"/>
          <w:bCs/>
          <w:color w:val="auto"/>
        </w:rPr>
      </w:pPr>
    </w:p>
    <w:p w14:paraId="48D0DA66"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F574696" w14:textId="77777777" w:rsidR="00EB253A" w:rsidRPr="0082613A" w:rsidRDefault="00EB253A" w:rsidP="00445624">
      <w:pPr>
        <w:spacing w:after="0" w:line="360" w:lineRule="auto"/>
        <w:contextualSpacing/>
        <w:rPr>
          <w:rFonts w:eastAsia="Palatino Linotype" w:cs="Palatino Linotype"/>
        </w:rPr>
      </w:pPr>
    </w:p>
    <w:p w14:paraId="223B9F91" w14:textId="59D78788"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 xml:space="preserve">Por ello, es menester precisar </w:t>
      </w:r>
      <w:r w:rsidR="00445624" w:rsidRPr="0082613A">
        <w:rPr>
          <w:rFonts w:eastAsia="Palatino Linotype" w:cs="Palatino Linotype"/>
        </w:rPr>
        <w:t>que,</w:t>
      </w:r>
      <w:r w:rsidRPr="0082613A">
        <w:rPr>
          <w:rFonts w:eastAsia="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465448E" w14:textId="77777777" w:rsidR="00EB253A" w:rsidRPr="0082613A" w:rsidRDefault="00EB253A" w:rsidP="00445624">
      <w:pPr>
        <w:spacing w:after="0" w:line="360" w:lineRule="auto"/>
        <w:contextualSpacing/>
        <w:rPr>
          <w:rFonts w:eastAsia="Palatino Linotype" w:cs="Palatino Linotype"/>
        </w:rPr>
      </w:pPr>
    </w:p>
    <w:p w14:paraId="1C03F559"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E8112D" w14:textId="77777777" w:rsidR="00EB253A" w:rsidRPr="0082613A" w:rsidRDefault="00EB253A" w:rsidP="00445624">
      <w:pPr>
        <w:spacing w:after="0" w:line="360" w:lineRule="auto"/>
        <w:contextualSpacing/>
        <w:rPr>
          <w:rFonts w:eastAsia="Palatino Linotype" w:cs="Palatino Linotype"/>
        </w:rPr>
      </w:pPr>
    </w:p>
    <w:p w14:paraId="07E7CDE2"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D2051B" w14:textId="77777777" w:rsidR="00EB253A" w:rsidRPr="0082613A" w:rsidRDefault="00EB253A" w:rsidP="00445624">
      <w:pPr>
        <w:spacing w:after="0" w:line="360" w:lineRule="auto"/>
        <w:contextualSpacing/>
        <w:rPr>
          <w:rFonts w:eastAsia="Palatino Linotype" w:cs="Palatino Linotype"/>
        </w:rPr>
      </w:pPr>
    </w:p>
    <w:p w14:paraId="2E1ACAE1"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4E5ED0F" w14:textId="77777777" w:rsidR="00EB253A" w:rsidRPr="0082613A" w:rsidRDefault="00EB253A" w:rsidP="00445624">
      <w:pPr>
        <w:spacing w:after="0" w:line="360" w:lineRule="auto"/>
        <w:contextualSpacing/>
        <w:rPr>
          <w:rFonts w:eastAsia="Palatino Linotype" w:cs="Palatino Linotype"/>
        </w:rPr>
      </w:pPr>
    </w:p>
    <w:p w14:paraId="13C431B1" w14:textId="77777777" w:rsidR="00EB253A" w:rsidRPr="0082613A" w:rsidRDefault="00EB253A" w:rsidP="00445624">
      <w:pPr>
        <w:numPr>
          <w:ilvl w:val="0"/>
          <w:numId w:val="6"/>
        </w:numPr>
        <w:spacing w:after="0" w:line="360" w:lineRule="auto"/>
        <w:contextualSpacing/>
        <w:rPr>
          <w:rFonts w:eastAsia="Palatino Linotype" w:cs="Palatino Linotype"/>
          <w:szCs w:val="24"/>
          <w:lang w:eastAsia="es-ES"/>
        </w:rPr>
      </w:pPr>
      <w:r w:rsidRPr="0082613A">
        <w:rPr>
          <w:rFonts w:eastAsia="Palatino Linotype" w:cs="Palatino Linotype"/>
          <w:b/>
          <w:bCs/>
          <w:lang w:eastAsia="es-ES"/>
        </w:rPr>
        <w:t>Complejidad del asunto:</w:t>
      </w:r>
      <w:r w:rsidRPr="0082613A">
        <w:rPr>
          <w:rFonts w:eastAsia="Palatino Linotype" w:cs="Palatino Linotype"/>
          <w:lang w:eastAsia="es-ES"/>
        </w:rPr>
        <w:t xml:space="preserve"> La complejidad de la prueba, la pluralidad de sujetos procesales, el tiempo transcurrido, las características y contexto del recurso.</w:t>
      </w:r>
    </w:p>
    <w:p w14:paraId="68B31396" w14:textId="77777777" w:rsidR="00EB253A" w:rsidRPr="0082613A" w:rsidRDefault="00EB253A" w:rsidP="00445624">
      <w:pPr>
        <w:spacing w:after="0" w:line="360" w:lineRule="auto"/>
        <w:ind w:left="720"/>
        <w:contextualSpacing/>
        <w:rPr>
          <w:rFonts w:eastAsia="Palatino Linotype" w:cs="Palatino Linotype"/>
          <w:lang w:eastAsia="es-ES"/>
        </w:rPr>
      </w:pPr>
    </w:p>
    <w:p w14:paraId="39035BDA" w14:textId="77777777" w:rsidR="00EB253A" w:rsidRPr="0082613A" w:rsidRDefault="00EB253A" w:rsidP="00445624">
      <w:pPr>
        <w:numPr>
          <w:ilvl w:val="0"/>
          <w:numId w:val="6"/>
        </w:numPr>
        <w:spacing w:after="0" w:line="360" w:lineRule="auto"/>
        <w:contextualSpacing/>
        <w:rPr>
          <w:rFonts w:eastAsia="Palatino Linotype" w:cs="Palatino Linotype"/>
          <w:lang w:eastAsia="es-ES"/>
        </w:rPr>
      </w:pPr>
      <w:r w:rsidRPr="0082613A">
        <w:rPr>
          <w:rFonts w:eastAsia="Palatino Linotype" w:cs="Palatino Linotype"/>
          <w:b/>
          <w:bCs/>
          <w:lang w:eastAsia="es-ES"/>
        </w:rPr>
        <w:t>Actividad Procesal del interesado:</w:t>
      </w:r>
      <w:r w:rsidRPr="0082613A">
        <w:rPr>
          <w:rFonts w:eastAsia="Palatino Linotype" w:cs="Palatino Linotype"/>
          <w:lang w:eastAsia="es-ES"/>
        </w:rPr>
        <w:t xml:space="preserve"> Acciones u omisiones del interesado.</w:t>
      </w:r>
    </w:p>
    <w:p w14:paraId="50E7856C" w14:textId="77777777" w:rsidR="00EB253A" w:rsidRPr="0082613A" w:rsidRDefault="00EB253A" w:rsidP="00445624">
      <w:pPr>
        <w:spacing w:after="0" w:line="360" w:lineRule="auto"/>
        <w:ind w:left="720"/>
        <w:contextualSpacing/>
        <w:rPr>
          <w:rFonts w:eastAsia="Palatino Linotype" w:cs="Palatino Linotype"/>
          <w:lang w:eastAsia="es-ES"/>
        </w:rPr>
      </w:pPr>
    </w:p>
    <w:p w14:paraId="5CF66829" w14:textId="77777777" w:rsidR="00EB253A" w:rsidRPr="0082613A" w:rsidRDefault="00EB253A" w:rsidP="00445624">
      <w:pPr>
        <w:numPr>
          <w:ilvl w:val="0"/>
          <w:numId w:val="6"/>
        </w:numPr>
        <w:spacing w:after="0" w:line="360" w:lineRule="auto"/>
        <w:contextualSpacing/>
        <w:rPr>
          <w:rFonts w:eastAsia="Palatino Linotype" w:cs="Palatino Linotype"/>
          <w:lang w:eastAsia="es-ES"/>
        </w:rPr>
      </w:pPr>
      <w:r w:rsidRPr="0082613A">
        <w:rPr>
          <w:rFonts w:eastAsia="Palatino Linotype" w:cs="Palatino Linotype"/>
          <w:b/>
          <w:bCs/>
          <w:lang w:eastAsia="es-ES"/>
        </w:rPr>
        <w:t>Conducta de la Autoridad:</w:t>
      </w:r>
      <w:r w:rsidRPr="0082613A">
        <w:rPr>
          <w:rFonts w:eastAsia="Palatino Linotype" w:cs="Palatino Linotype"/>
          <w:lang w:eastAsia="es-ES"/>
        </w:rPr>
        <w:t xml:space="preserve"> Las Acciones u omisiones realizadas en el procedimiento. Así como si la autoridad actuó con la debida diligencia.</w:t>
      </w:r>
    </w:p>
    <w:p w14:paraId="7406C442" w14:textId="77777777" w:rsidR="00EB253A" w:rsidRPr="0082613A" w:rsidRDefault="00EB253A" w:rsidP="00445624">
      <w:pPr>
        <w:spacing w:after="0" w:line="360" w:lineRule="auto"/>
        <w:ind w:left="720"/>
        <w:contextualSpacing/>
        <w:rPr>
          <w:rFonts w:eastAsia="Palatino Linotype" w:cs="Palatino Linotype"/>
          <w:lang w:eastAsia="es-ES"/>
        </w:rPr>
      </w:pPr>
    </w:p>
    <w:p w14:paraId="42A4103D" w14:textId="77777777" w:rsidR="00EB253A" w:rsidRPr="0082613A" w:rsidRDefault="00EB253A" w:rsidP="00445624">
      <w:pPr>
        <w:numPr>
          <w:ilvl w:val="0"/>
          <w:numId w:val="6"/>
        </w:numPr>
        <w:spacing w:after="0" w:line="360" w:lineRule="auto"/>
        <w:contextualSpacing/>
        <w:rPr>
          <w:rFonts w:eastAsia="Palatino Linotype" w:cs="Palatino Linotype"/>
          <w:lang w:eastAsia="es-ES"/>
        </w:rPr>
      </w:pPr>
      <w:r w:rsidRPr="0082613A">
        <w:rPr>
          <w:rFonts w:eastAsia="Palatino Linotype" w:cs="Palatino Linotype"/>
          <w:b/>
          <w:bCs/>
          <w:lang w:eastAsia="es-ES"/>
        </w:rPr>
        <w:t>La afectación generada en la situación jurídica de la persona involucrada en el proceso:</w:t>
      </w:r>
      <w:r w:rsidRPr="0082613A">
        <w:rPr>
          <w:rFonts w:eastAsia="Palatino Linotype" w:cs="Palatino Linotype"/>
          <w:lang w:eastAsia="es-ES"/>
        </w:rPr>
        <w:t xml:space="preserve"> Violación a sus derechos humanos.</w:t>
      </w:r>
    </w:p>
    <w:p w14:paraId="2B0FBC2B" w14:textId="77777777" w:rsidR="00EB253A" w:rsidRPr="0082613A" w:rsidRDefault="00EB253A" w:rsidP="00445624">
      <w:pPr>
        <w:spacing w:after="0" w:line="360" w:lineRule="auto"/>
        <w:contextualSpacing/>
        <w:rPr>
          <w:rFonts w:eastAsia="Palatino Linotype" w:cs="Palatino Linotype"/>
        </w:rPr>
      </w:pPr>
    </w:p>
    <w:p w14:paraId="15B28674"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82613A">
        <w:rPr>
          <w:rFonts w:eastAsia="Palatino Linotype" w:cs="Palatino Linotype"/>
        </w:rPr>
        <w:lastRenderedPageBreak/>
        <w:t>concluirse que es una excluyente de responsabilidad en relación con la actuación del funcionario, como ha acontecido en el caso que nos ocupa.</w:t>
      </w:r>
    </w:p>
    <w:p w14:paraId="7CDCD8E5"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 xml:space="preserve"> </w:t>
      </w:r>
    </w:p>
    <w:p w14:paraId="3F79B158"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Argumento que encuentra sustento en la jurisprudencia P./J. 32/92 emitida por el Pleno de la Suprema Corte de Justicia de la Nación de rubro “</w:t>
      </w:r>
      <w:r w:rsidRPr="0082613A">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82613A">
        <w:rPr>
          <w:rFonts w:eastAsia="Palatino Linotype" w:cs="Palatino Linotype"/>
        </w:rPr>
        <w:t>.”, visible en la Gaceta del Seminario Judicial de la Federación con el registro digital 205635.</w:t>
      </w:r>
    </w:p>
    <w:p w14:paraId="3A954307" w14:textId="77777777" w:rsidR="00EB253A" w:rsidRPr="0082613A" w:rsidRDefault="00EB253A" w:rsidP="00445624">
      <w:pPr>
        <w:spacing w:after="0" w:line="360" w:lineRule="auto"/>
        <w:contextualSpacing/>
        <w:rPr>
          <w:rFonts w:eastAsia="Palatino Linotype" w:cs="Palatino Linotype"/>
        </w:rPr>
      </w:pPr>
    </w:p>
    <w:p w14:paraId="0B393704"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005545" w14:textId="77777777" w:rsidR="00EB253A" w:rsidRPr="0082613A" w:rsidRDefault="00EB253A" w:rsidP="00445624">
      <w:pPr>
        <w:spacing w:after="0" w:line="360" w:lineRule="auto"/>
        <w:contextualSpacing/>
        <w:rPr>
          <w:rFonts w:eastAsia="Palatino Linotype" w:cs="Palatino Linotype"/>
        </w:rPr>
      </w:pPr>
    </w:p>
    <w:p w14:paraId="00D3F01E"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14:paraId="5DAF5D47" w14:textId="77777777" w:rsidR="00EB253A" w:rsidRPr="0082613A" w:rsidRDefault="00EB253A" w:rsidP="00445624">
      <w:pPr>
        <w:spacing w:after="0" w:line="360" w:lineRule="auto"/>
        <w:contextualSpacing/>
        <w:rPr>
          <w:rFonts w:eastAsia="Palatino Linotype" w:cs="Palatino Linotype"/>
        </w:rPr>
      </w:pPr>
    </w:p>
    <w:p w14:paraId="2B9A5758"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 xml:space="preserve"> “</w:t>
      </w:r>
      <w:r w:rsidRPr="0082613A">
        <w:rPr>
          <w:rFonts w:eastAsia="Palatino Linotype" w:cs="Palatino Linotype"/>
          <w:b/>
          <w:bCs/>
        </w:rPr>
        <w:t>PLAZO RAZONABLE PARA RESOLVER. DIMENSIÓN Y EFECTOS DE ESTE CONCEPTO CUANDO SE ADUCE EXCESIVA CARGA DE TRABAJO</w:t>
      </w:r>
      <w:r w:rsidRPr="0082613A">
        <w:rPr>
          <w:rFonts w:eastAsia="Palatino Linotype" w:cs="Palatino Linotype"/>
        </w:rPr>
        <w:t>.” consultable en el Seminario Judicial de la Federación y su gaceta, con el registro digital 2002351.</w:t>
      </w:r>
    </w:p>
    <w:p w14:paraId="5B159525" w14:textId="77777777" w:rsidR="00EB253A" w:rsidRPr="0082613A" w:rsidRDefault="00EB253A" w:rsidP="00445624">
      <w:pPr>
        <w:spacing w:after="0" w:line="360" w:lineRule="auto"/>
        <w:contextualSpacing/>
        <w:rPr>
          <w:rFonts w:eastAsia="Palatino Linotype" w:cs="Palatino Linotype"/>
        </w:rPr>
      </w:pPr>
    </w:p>
    <w:p w14:paraId="6607A5E6"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w:t>
      </w:r>
      <w:r w:rsidRPr="0082613A">
        <w:rPr>
          <w:rFonts w:eastAsia="Palatino Linotype" w:cs="Palatino Linotype"/>
          <w:b/>
          <w:bCs/>
        </w:rPr>
        <w:t>PLAZO RAZONABLE PARA RESOLVER. CONCEPTO Y ELEMENTOS QUE LO INTEGRAN A LA LUZ DEL DERECHO INTERNACIONAL DE LOS DERECHOS HUMANOS</w:t>
      </w:r>
      <w:r w:rsidRPr="0082613A">
        <w:rPr>
          <w:rFonts w:eastAsia="Palatino Linotype" w:cs="Palatino Linotype"/>
        </w:rPr>
        <w:t>.”, visible en el Seminario Judicial de la Federación y su gaceta, con el registro digital 2002350.</w:t>
      </w:r>
    </w:p>
    <w:p w14:paraId="4E745341" w14:textId="77777777" w:rsidR="00EB253A" w:rsidRPr="0082613A" w:rsidRDefault="00EB253A" w:rsidP="00445624">
      <w:pPr>
        <w:spacing w:after="0" w:line="360" w:lineRule="auto"/>
        <w:contextualSpacing/>
        <w:rPr>
          <w:rFonts w:eastAsia="Palatino Linotype" w:cs="Palatino Linotype"/>
        </w:rPr>
      </w:pPr>
    </w:p>
    <w:p w14:paraId="5FAAB143" w14:textId="77777777" w:rsidR="00EB253A" w:rsidRPr="0082613A" w:rsidRDefault="00EB253A" w:rsidP="00445624">
      <w:pPr>
        <w:spacing w:after="0" w:line="360" w:lineRule="auto"/>
        <w:contextualSpacing/>
        <w:rPr>
          <w:rFonts w:eastAsia="Palatino Linotype" w:cs="Palatino Linotype"/>
        </w:rPr>
      </w:pPr>
      <w:r w:rsidRPr="0082613A">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14:paraId="7320564E" w14:textId="77777777" w:rsidR="00EB253A" w:rsidRPr="0082613A" w:rsidRDefault="00EB253A" w:rsidP="00445624">
      <w:pPr>
        <w:widowControl w:val="0"/>
        <w:spacing w:after="0" w:line="360" w:lineRule="auto"/>
        <w:ind w:right="567"/>
        <w:contextualSpacing/>
        <w:rPr>
          <w:sz w:val="20"/>
          <w:szCs w:val="20"/>
        </w:rPr>
      </w:pPr>
    </w:p>
    <w:p w14:paraId="35AAACA3" w14:textId="51A20FE7" w:rsidR="00EC77D9" w:rsidRPr="0082613A" w:rsidRDefault="00EC77D9" w:rsidP="00445624">
      <w:pPr>
        <w:widowControl w:val="0"/>
        <w:spacing w:after="0" w:line="360" w:lineRule="auto"/>
        <w:contextualSpacing/>
        <w:rPr>
          <w:rFonts w:eastAsia="Times New Roman" w:cs="Tahoma"/>
          <w:color w:val="auto"/>
          <w:lang w:eastAsia="es-ES"/>
        </w:rPr>
      </w:pPr>
      <w:r w:rsidRPr="0082613A">
        <w:rPr>
          <w:rFonts w:eastAsia="Times New Roman" w:cs="Tahoma"/>
          <w:b/>
          <w:color w:val="auto"/>
          <w:lang w:eastAsia="es-ES"/>
        </w:rPr>
        <w:t>d) Cierre de instrucción.</w:t>
      </w:r>
      <w:r w:rsidRPr="0082613A">
        <w:rPr>
          <w:rFonts w:eastAsia="Times New Roman" w:cs="Tahoma"/>
          <w:color w:val="auto"/>
          <w:lang w:eastAsia="es-ES"/>
        </w:rPr>
        <w:t xml:space="preserve"> El </w:t>
      </w:r>
      <w:r w:rsidR="00EB253A" w:rsidRPr="0082613A">
        <w:rPr>
          <w:rFonts w:eastAsia="Times New Roman" w:cs="Tahoma"/>
          <w:color w:val="auto"/>
          <w:lang w:eastAsia="es-ES"/>
        </w:rPr>
        <w:t>tres de febrero</w:t>
      </w:r>
      <w:r w:rsidRPr="0082613A">
        <w:rPr>
          <w:rFonts w:eastAsia="Times New Roman" w:cs="Tahoma"/>
          <w:color w:val="auto"/>
          <w:lang w:eastAsia="es-ES"/>
        </w:rPr>
        <w:t xml:space="preserve"> de dos mil veinti</w:t>
      </w:r>
      <w:r w:rsidR="00EB253A" w:rsidRPr="0082613A">
        <w:rPr>
          <w:rFonts w:eastAsia="Times New Roman" w:cs="Tahoma"/>
          <w:color w:val="auto"/>
          <w:lang w:eastAsia="es-ES"/>
        </w:rPr>
        <w:t>trés</w:t>
      </w:r>
      <w:r w:rsidRPr="0082613A">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sidRPr="0082613A">
        <w:rPr>
          <w:rFonts w:eastAsia="Times New Roman" w:cs="Tahoma"/>
          <w:color w:val="auto"/>
          <w:lang w:eastAsia="es-ES"/>
        </w:rPr>
        <w:t>mismo día</w:t>
      </w:r>
      <w:r w:rsidRPr="0082613A">
        <w:rPr>
          <w:rFonts w:eastAsia="Times New Roman" w:cs="Tahoma"/>
          <w:color w:val="auto"/>
          <w:lang w:eastAsia="es-ES"/>
        </w:rPr>
        <w:t xml:space="preserve">, a través del </w:t>
      </w:r>
      <w:r w:rsidRPr="0082613A">
        <w:rPr>
          <w:rFonts w:eastAsia="Times New Roman" w:cs="Tahoma"/>
          <w:color w:val="auto"/>
          <w:lang w:val="es-ES" w:eastAsia="es-ES"/>
        </w:rPr>
        <w:t>Sistema de Acceso a la Información Mexiquense (SAIMEX)</w:t>
      </w:r>
      <w:r w:rsidRPr="0082613A">
        <w:rPr>
          <w:rFonts w:eastAsia="Times New Roman" w:cs="Tahoma"/>
          <w:color w:val="auto"/>
          <w:lang w:eastAsia="es-ES"/>
        </w:rPr>
        <w:t xml:space="preserve">. </w:t>
      </w:r>
    </w:p>
    <w:p w14:paraId="4335717B" w14:textId="77777777" w:rsidR="00955848" w:rsidRPr="0082613A" w:rsidRDefault="00955848" w:rsidP="00445624">
      <w:pPr>
        <w:widowControl w:val="0"/>
        <w:spacing w:after="0" w:line="360" w:lineRule="auto"/>
        <w:contextualSpacing/>
        <w:rPr>
          <w:rFonts w:eastAsia="Times New Roman" w:cs="Tahoma"/>
          <w:color w:val="auto"/>
          <w:lang w:eastAsia="es-ES"/>
        </w:rPr>
      </w:pPr>
    </w:p>
    <w:p w14:paraId="77C7A5C4" w14:textId="77777777" w:rsidR="00EC77D9" w:rsidRPr="0082613A" w:rsidRDefault="00EC77D9" w:rsidP="00445624">
      <w:pPr>
        <w:spacing w:after="0" w:line="360" w:lineRule="auto"/>
        <w:contextualSpacing/>
        <w:rPr>
          <w:rFonts w:eastAsia="Times New Roman" w:cs="Tahoma"/>
          <w:color w:val="000000"/>
          <w:lang w:eastAsia="es-ES"/>
        </w:rPr>
      </w:pPr>
      <w:r w:rsidRPr="0082613A">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82613A" w:rsidRDefault="00EC77D9" w:rsidP="00445624">
      <w:pPr>
        <w:spacing w:after="0" w:line="360" w:lineRule="auto"/>
        <w:contextualSpacing/>
        <w:rPr>
          <w:rFonts w:eastAsia="Times New Roman" w:cs="Tahoma"/>
          <w:bCs/>
          <w:iCs/>
          <w:color w:val="auto"/>
          <w:lang w:val="es-ES" w:eastAsia="es-ES"/>
        </w:rPr>
      </w:pPr>
    </w:p>
    <w:p w14:paraId="4B442488" w14:textId="77777777" w:rsidR="00EC77D9" w:rsidRPr="0082613A" w:rsidRDefault="00EC77D9" w:rsidP="00445624">
      <w:pPr>
        <w:spacing w:after="0" w:line="360" w:lineRule="auto"/>
        <w:contextualSpacing/>
        <w:jc w:val="center"/>
        <w:rPr>
          <w:rFonts w:eastAsia="Times New Roman" w:cs="Tahoma"/>
          <w:b/>
          <w:color w:val="auto"/>
          <w:lang w:val="es-ES" w:eastAsia="es-ES"/>
        </w:rPr>
      </w:pPr>
      <w:r w:rsidRPr="0082613A">
        <w:rPr>
          <w:rFonts w:eastAsia="Times New Roman" w:cs="Tahoma"/>
          <w:b/>
          <w:color w:val="auto"/>
          <w:lang w:val="es-ES" w:eastAsia="es-ES"/>
        </w:rPr>
        <w:t>C O N S I D E R A N D O S:</w:t>
      </w:r>
    </w:p>
    <w:p w14:paraId="103A6474" w14:textId="77777777" w:rsidR="00EC77D9" w:rsidRPr="0082613A" w:rsidRDefault="00EC77D9" w:rsidP="00445624">
      <w:pPr>
        <w:spacing w:after="0" w:line="360" w:lineRule="auto"/>
        <w:contextualSpacing/>
        <w:jc w:val="center"/>
        <w:rPr>
          <w:rFonts w:eastAsia="Times New Roman" w:cs="Tahoma"/>
          <w:b/>
          <w:color w:val="auto"/>
          <w:lang w:val="es-ES" w:eastAsia="es-ES"/>
        </w:rPr>
      </w:pPr>
    </w:p>
    <w:p w14:paraId="2B2C70F6" w14:textId="77777777" w:rsidR="00EC77D9" w:rsidRPr="0082613A" w:rsidRDefault="00EC77D9" w:rsidP="00445624">
      <w:pPr>
        <w:autoSpaceDE w:val="0"/>
        <w:autoSpaceDN w:val="0"/>
        <w:adjustRightInd w:val="0"/>
        <w:spacing w:after="0" w:line="360" w:lineRule="auto"/>
        <w:contextualSpacing/>
        <w:rPr>
          <w:rFonts w:eastAsia="Times New Roman" w:cs="Tahoma"/>
          <w:b/>
          <w:color w:val="auto"/>
          <w:lang w:val="es-ES" w:eastAsia="es-ES"/>
        </w:rPr>
      </w:pPr>
      <w:r w:rsidRPr="0082613A">
        <w:rPr>
          <w:rFonts w:eastAsia="Calibri" w:cs="Tahoma"/>
          <w:b/>
          <w:color w:val="000000"/>
          <w:lang w:val="es-ES" w:eastAsia="es-MX"/>
        </w:rPr>
        <w:t>PRIMERO</w:t>
      </w:r>
      <w:r w:rsidRPr="0082613A">
        <w:rPr>
          <w:rFonts w:eastAsia="Calibri" w:cs="Tahoma"/>
          <w:color w:val="000000"/>
          <w:lang w:val="es-ES" w:eastAsia="es-MX"/>
        </w:rPr>
        <w:t xml:space="preserve">. </w:t>
      </w:r>
      <w:r w:rsidRPr="0082613A">
        <w:rPr>
          <w:rFonts w:eastAsia="Times New Roman" w:cs="Tahoma"/>
          <w:b/>
          <w:color w:val="auto"/>
          <w:lang w:val="es-ES" w:eastAsia="es-ES"/>
        </w:rPr>
        <w:t>Competencia.</w:t>
      </w:r>
    </w:p>
    <w:p w14:paraId="62F65765" w14:textId="77777777" w:rsidR="00EC77D9" w:rsidRPr="0082613A" w:rsidRDefault="00EC77D9" w:rsidP="00445624">
      <w:pPr>
        <w:autoSpaceDE w:val="0"/>
        <w:autoSpaceDN w:val="0"/>
        <w:adjustRightInd w:val="0"/>
        <w:spacing w:after="0" w:line="360" w:lineRule="auto"/>
        <w:contextualSpacing/>
        <w:rPr>
          <w:rFonts w:eastAsia="Times New Roman" w:cs="Tahoma"/>
          <w:b/>
          <w:color w:val="auto"/>
          <w:lang w:val="es-ES" w:eastAsia="es-ES"/>
        </w:rPr>
      </w:pPr>
    </w:p>
    <w:p w14:paraId="1F83A937" w14:textId="77777777" w:rsidR="00EC77D9" w:rsidRPr="0082613A" w:rsidRDefault="00EC77D9" w:rsidP="00445624">
      <w:pPr>
        <w:spacing w:after="0" w:line="360" w:lineRule="auto"/>
        <w:contextualSpacing/>
        <w:rPr>
          <w:rFonts w:eastAsia="Times New Roman" w:cs="Tahoma"/>
          <w:bCs/>
          <w:color w:val="auto"/>
          <w:lang w:eastAsia="es-ES"/>
        </w:rPr>
      </w:pPr>
      <w:bookmarkStart w:id="0" w:name="_Hlk63334754"/>
      <w:r w:rsidRPr="0082613A">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w:t>
      </w:r>
      <w:r w:rsidRPr="0082613A">
        <w:rPr>
          <w:rFonts w:eastAsia="Times New Roman" w:cs="Tahoma"/>
          <w:bCs/>
          <w:color w:val="auto"/>
          <w:lang w:eastAsia="es-ES"/>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2613A">
        <w:rPr>
          <w:rFonts w:eastAsia="Times New Roman" w:cs="Times New Roman"/>
          <w:bCs/>
          <w:color w:val="auto"/>
          <w:lang w:eastAsia="es-ES"/>
        </w:rPr>
        <w:t xml:space="preserve"> 7°, </w:t>
      </w:r>
      <w:r w:rsidRPr="0082613A">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82613A" w:rsidRDefault="00EC77D9" w:rsidP="00445624">
      <w:pPr>
        <w:spacing w:after="0" w:line="360" w:lineRule="auto"/>
        <w:contextualSpacing/>
      </w:pPr>
    </w:p>
    <w:p w14:paraId="1A678CDB" w14:textId="12474C5D" w:rsidR="00EC77D9" w:rsidRPr="0082613A" w:rsidRDefault="00EC77D9" w:rsidP="00445624">
      <w:pPr>
        <w:autoSpaceDE w:val="0"/>
        <w:autoSpaceDN w:val="0"/>
        <w:adjustRightInd w:val="0"/>
        <w:spacing w:after="0" w:line="360" w:lineRule="auto"/>
        <w:contextualSpacing/>
        <w:rPr>
          <w:rFonts w:eastAsia="Times New Roman" w:cs="Tahoma"/>
          <w:color w:val="auto"/>
          <w:lang w:val="es-ES" w:eastAsia="es-ES"/>
        </w:rPr>
      </w:pPr>
      <w:r w:rsidRPr="0082613A">
        <w:rPr>
          <w:rFonts w:eastAsia="Calibri" w:cs="Tahoma"/>
          <w:b/>
          <w:color w:val="000000"/>
          <w:lang w:val="es-ES" w:eastAsia="es-MX"/>
        </w:rPr>
        <w:t>SEGUNDO</w:t>
      </w:r>
      <w:r w:rsidRPr="0082613A">
        <w:rPr>
          <w:rFonts w:eastAsia="Calibri" w:cs="Tahoma"/>
          <w:color w:val="000000"/>
          <w:lang w:val="es-ES" w:eastAsia="es-MX"/>
        </w:rPr>
        <w:t xml:space="preserve">. </w:t>
      </w:r>
      <w:r w:rsidRPr="0082613A">
        <w:rPr>
          <w:rFonts w:eastAsia="Times New Roman" w:cs="Tahoma"/>
          <w:b/>
          <w:color w:val="auto"/>
          <w:lang w:val="es-ES" w:eastAsia="es-ES"/>
        </w:rPr>
        <w:t xml:space="preserve">Causales de improcedencia </w:t>
      </w:r>
    </w:p>
    <w:p w14:paraId="53A4CC85" w14:textId="77777777" w:rsidR="007F20F1" w:rsidRPr="0082613A" w:rsidRDefault="007F20F1" w:rsidP="00445624">
      <w:pPr>
        <w:autoSpaceDE w:val="0"/>
        <w:autoSpaceDN w:val="0"/>
        <w:adjustRightInd w:val="0"/>
        <w:spacing w:after="0" w:line="360" w:lineRule="auto"/>
        <w:contextualSpacing/>
        <w:rPr>
          <w:rFonts w:eastAsia="Times New Roman" w:cs="Tahoma"/>
          <w:color w:val="auto"/>
          <w:lang w:val="es-ES" w:eastAsia="es-ES"/>
        </w:rPr>
      </w:pPr>
    </w:p>
    <w:p w14:paraId="5E0147CF" w14:textId="77777777" w:rsidR="00EC77D9" w:rsidRPr="0082613A" w:rsidRDefault="00EC77D9" w:rsidP="00445624">
      <w:pPr>
        <w:autoSpaceDE w:val="0"/>
        <w:autoSpaceDN w:val="0"/>
        <w:adjustRightInd w:val="0"/>
        <w:spacing w:after="0" w:line="360" w:lineRule="auto"/>
        <w:contextualSpacing/>
        <w:rPr>
          <w:rFonts w:eastAsia="Times New Roman" w:cs="Tahoma"/>
          <w:color w:val="auto"/>
          <w:lang w:val="es-ES" w:eastAsia="es-ES"/>
        </w:rPr>
      </w:pPr>
      <w:r w:rsidRPr="0082613A">
        <w:rPr>
          <w:rFonts w:eastAsia="Times New Roman" w:cs="Tahoma"/>
          <w:color w:val="auto"/>
          <w:lang w:val="es-ES" w:eastAsia="es-ES"/>
        </w:rPr>
        <w:t xml:space="preserve">De las constancias que forma parte del Recurso de Revisión que se analiza, se advierte que previo al estudio del fondo de la </w:t>
      </w:r>
      <w:r w:rsidRPr="0082613A">
        <w:rPr>
          <w:rFonts w:eastAsia="Times New Roman" w:cs="Tahoma"/>
          <w:i/>
          <w:color w:val="auto"/>
          <w:lang w:val="es-ES" w:eastAsia="es-ES"/>
        </w:rPr>
        <w:t>litis</w:t>
      </w:r>
      <w:r w:rsidRPr="0082613A">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82613A" w:rsidRDefault="00EC77D9" w:rsidP="00445624">
      <w:pPr>
        <w:autoSpaceDE w:val="0"/>
        <w:autoSpaceDN w:val="0"/>
        <w:adjustRightInd w:val="0"/>
        <w:spacing w:after="0" w:line="360" w:lineRule="auto"/>
        <w:contextualSpacing/>
        <w:rPr>
          <w:rFonts w:eastAsia="Times New Roman" w:cs="Tahoma"/>
          <w:color w:val="auto"/>
          <w:lang w:val="es-ES" w:eastAsia="es-ES"/>
        </w:rPr>
      </w:pPr>
    </w:p>
    <w:p w14:paraId="3B9478FB" w14:textId="77777777" w:rsidR="00EC77D9" w:rsidRPr="0082613A" w:rsidRDefault="00EC77D9" w:rsidP="00445624">
      <w:pPr>
        <w:spacing w:after="0" w:line="360" w:lineRule="auto"/>
        <w:contextualSpacing/>
        <w:rPr>
          <w:b/>
          <w:lang w:val="es-ES"/>
        </w:rPr>
      </w:pPr>
      <w:r w:rsidRPr="0082613A">
        <w:rPr>
          <w:b/>
          <w:lang w:val="es-ES"/>
        </w:rPr>
        <w:t>Causales de improcedencia</w:t>
      </w:r>
    </w:p>
    <w:p w14:paraId="49F1FD7D" w14:textId="77777777" w:rsidR="00EC77D9" w:rsidRPr="0082613A" w:rsidRDefault="00EC77D9" w:rsidP="00445624">
      <w:pPr>
        <w:spacing w:after="0" w:line="360" w:lineRule="auto"/>
        <w:contextualSpacing/>
      </w:pPr>
    </w:p>
    <w:p w14:paraId="6396891D" w14:textId="77777777" w:rsidR="00EC77D9" w:rsidRPr="0082613A" w:rsidRDefault="00EC77D9" w:rsidP="00445624">
      <w:pPr>
        <w:spacing w:after="0" w:line="360" w:lineRule="auto"/>
        <w:contextualSpacing/>
        <w:rPr>
          <w:rFonts w:eastAsia="Times New Roman" w:cs="Tahoma"/>
          <w:color w:val="auto"/>
          <w:lang w:eastAsia="es-ES"/>
        </w:rPr>
      </w:pPr>
      <w:r w:rsidRPr="0082613A">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82613A" w:rsidRDefault="00EC77D9" w:rsidP="00445624">
      <w:pPr>
        <w:spacing w:after="0" w:line="360" w:lineRule="auto"/>
        <w:contextualSpacing/>
        <w:rPr>
          <w:rFonts w:eastAsia="Times New Roman" w:cs="Tahoma"/>
          <w:color w:val="auto"/>
          <w:lang w:eastAsia="es-ES"/>
        </w:rPr>
      </w:pPr>
    </w:p>
    <w:p w14:paraId="09D4E746" w14:textId="07DFEDA1" w:rsidR="00EC77D9" w:rsidRPr="0082613A" w:rsidRDefault="00EC77D9" w:rsidP="00445624">
      <w:pPr>
        <w:spacing w:after="0" w:line="360" w:lineRule="auto"/>
        <w:contextualSpacing/>
        <w:rPr>
          <w:rFonts w:eastAsia="Times New Roman" w:cs="Tahoma"/>
          <w:color w:val="auto"/>
          <w:lang w:eastAsia="es-ES"/>
        </w:rPr>
      </w:pPr>
      <w:r w:rsidRPr="0082613A">
        <w:rPr>
          <w:rFonts w:eastAsia="Times New Roman" w:cs="Tahoma"/>
          <w:color w:val="auto"/>
          <w:lang w:eastAsia="es-ES"/>
        </w:rPr>
        <w:t>En el presente caso, </w:t>
      </w:r>
      <w:r w:rsidRPr="0082613A">
        <w:rPr>
          <w:rFonts w:eastAsia="Times New Roman" w:cs="Tahoma"/>
          <w:b/>
          <w:bCs/>
          <w:color w:val="auto"/>
          <w:lang w:eastAsia="es-ES"/>
        </w:rPr>
        <w:t>no se actualiza ninguna de las causales de improcedencia</w:t>
      </w:r>
      <w:r w:rsidRPr="0082613A">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82613A">
        <w:rPr>
          <w:rFonts w:eastAsia="Times New Roman" w:cs="Tahoma"/>
          <w:color w:val="auto"/>
          <w:lang w:eastAsia="es-ES"/>
        </w:rPr>
        <w:t xml:space="preserve">parte </w:t>
      </w:r>
      <w:r w:rsidRPr="0082613A">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82613A" w:rsidRDefault="00AF590D" w:rsidP="00445624">
      <w:pPr>
        <w:spacing w:after="0" w:line="360" w:lineRule="auto"/>
        <w:contextualSpacing/>
        <w:rPr>
          <w:rFonts w:eastAsia="Times New Roman" w:cs="Tahoma"/>
          <w:color w:val="auto"/>
          <w:lang w:eastAsia="es-ES"/>
        </w:rPr>
      </w:pPr>
    </w:p>
    <w:p w14:paraId="24171D74" w14:textId="77777777" w:rsidR="00EC77D9" w:rsidRPr="0082613A" w:rsidRDefault="00EC77D9" w:rsidP="00445624">
      <w:pPr>
        <w:spacing w:after="0" w:line="360" w:lineRule="auto"/>
        <w:contextualSpacing/>
        <w:rPr>
          <w:rFonts w:eastAsia="Times New Roman" w:cs="Tahoma"/>
          <w:color w:val="auto"/>
          <w:lang w:val="es-ES" w:eastAsia="es-ES"/>
        </w:rPr>
      </w:pPr>
      <w:r w:rsidRPr="0082613A">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82613A">
        <w:rPr>
          <w:rFonts w:eastAsia="Times New Roman" w:cs="Tahoma"/>
          <w:b/>
          <w:color w:val="auto"/>
          <w:lang w:val="es-ES" w:eastAsia="es-ES"/>
        </w:rPr>
        <w:t>negativa ficta</w:t>
      </w:r>
      <w:r w:rsidRPr="0082613A">
        <w:rPr>
          <w:rFonts w:eastAsia="Times New Roman" w:cs="Tahoma"/>
          <w:color w:val="auto"/>
          <w:lang w:val="es-ES" w:eastAsia="es-ES"/>
        </w:rPr>
        <w:t xml:space="preserve">, que genera la posibilidad de los particulares de interponer un recurso de revisión ante tal omisión, </w:t>
      </w:r>
      <w:r w:rsidRPr="0082613A">
        <w:rPr>
          <w:rFonts w:eastAsia="Times New Roman" w:cs="Tahoma"/>
          <w:color w:val="auto"/>
          <w:u w:val="single"/>
          <w:lang w:val="es-ES" w:eastAsia="es-ES"/>
        </w:rPr>
        <w:t>en cualquier momento</w:t>
      </w:r>
      <w:r w:rsidRPr="0082613A">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82613A" w:rsidRDefault="00EC77D9" w:rsidP="00445624">
      <w:pPr>
        <w:spacing w:after="0" w:line="360" w:lineRule="auto"/>
        <w:contextualSpacing/>
        <w:rPr>
          <w:rFonts w:eastAsia="Times New Roman" w:cs="Tahoma"/>
          <w:color w:val="auto"/>
          <w:lang w:val="es-ES" w:eastAsia="es-ES"/>
        </w:rPr>
      </w:pPr>
    </w:p>
    <w:p w14:paraId="7A1A32E3" w14:textId="30F6D611" w:rsidR="00EC77D9" w:rsidRPr="0082613A" w:rsidRDefault="00EC77D9" w:rsidP="00445624">
      <w:pPr>
        <w:spacing w:after="0" w:line="360" w:lineRule="auto"/>
        <w:contextualSpacing/>
        <w:rPr>
          <w:rFonts w:eastAsia="Times New Roman" w:cs="Tahoma"/>
          <w:bCs/>
          <w:color w:val="auto"/>
          <w:lang w:val="es-ES" w:eastAsia="es-ES"/>
        </w:rPr>
      </w:pPr>
      <w:r w:rsidRPr="0082613A">
        <w:rPr>
          <w:rFonts w:eastAsia="Times New Roman" w:cs="Tahoma"/>
          <w:color w:val="auto"/>
          <w:lang w:val="es-ES" w:eastAsia="es-ES"/>
        </w:rPr>
        <w:t>Conforme a lo anterior, se actualiza la causal de procedencia señalada en el artículo 179, fracción VII, de la Ley de la materia</w:t>
      </w:r>
      <w:r w:rsidRPr="0082613A">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82613A" w:rsidRDefault="008C7A9D" w:rsidP="00445624">
      <w:pPr>
        <w:spacing w:after="0" w:line="360" w:lineRule="auto"/>
        <w:contextualSpacing/>
        <w:rPr>
          <w:rFonts w:eastAsia="Times New Roman" w:cs="Tahoma"/>
          <w:bCs/>
          <w:color w:val="auto"/>
          <w:lang w:val="es-ES" w:eastAsia="es-ES"/>
        </w:rPr>
      </w:pPr>
    </w:p>
    <w:p w14:paraId="20A66367" w14:textId="77777777" w:rsidR="002622AA" w:rsidRPr="0082613A" w:rsidRDefault="002622AA" w:rsidP="002622AA">
      <w:pPr>
        <w:spacing w:after="0" w:line="360" w:lineRule="auto"/>
        <w:rPr>
          <w:rFonts w:eastAsia="Times New Roman" w:cs="Tahoma"/>
          <w:b/>
          <w:bCs/>
          <w:color w:val="auto"/>
          <w:lang w:eastAsia="es-ES"/>
        </w:rPr>
      </w:pPr>
      <w:r w:rsidRPr="0082613A">
        <w:rPr>
          <w:rFonts w:eastAsia="Times New Roman" w:cs="Tahoma"/>
          <w:b/>
          <w:bCs/>
          <w:color w:val="auto"/>
          <w:lang w:eastAsia="es-ES"/>
        </w:rPr>
        <w:t>Causales de sobreseimiento.</w:t>
      </w:r>
    </w:p>
    <w:p w14:paraId="2A402EE0" w14:textId="77777777" w:rsidR="002622AA" w:rsidRPr="0082613A" w:rsidRDefault="002622AA" w:rsidP="002622AA">
      <w:pPr>
        <w:spacing w:after="0" w:line="360" w:lineRule="auto"/>
        <w:rPr>
          <w:rFonts w:eastAsia="Times New Roman" w:cs="Tahoma"/>
          <w:b/>
          <w:bCs/>
          <w:color w:val="auto"/>
          <w:lang w:eastAsia="es-ES"/>
        </w:rPr>
      </w:pPr>
    </w:p>
    <w:p w14:paraId="7B5313A6" w14:textId="77777777" w:rsidR="002622AA" w:rsidRPr="0082613A" w:rsidRDefault="002622AA" w:rsidP="002622AA">
      <w:pPr>
        <w:spacing w:after="0" w:line="360" w:lineRule="auto"/>
        <w:rPr>
          <w:rFonts w:eastAsia="Times New Roman" w:cs="Tahoma"/>
          <w:color w:val="auto"/>
          <w:szCs w:val="24"/>
          <w:lang w:eastAsia="es-ES"/>
        </w:rPr>
      </w:pPr>
      <w:r w:rsidRPr="0082613A">
        <w:rPr>
          <w:rFonts w:eastAsia="Times New Roman" w:cs="Tahoma"/>
          <w:color w:val="auto"/>
          <w:szCs w:val="24"/>
          <w:lang w:eastAsia="es-ES"/>
        </w:rPr>
        <w:t>Por ser de previo y especial pronunciamiento, este Instituto analiza si se actualiza alguna causal de sobreseimiento.</w:t>
      </w:r>
    </w:p>
    <w:p w14:paraId="3D25C410" w14:textId="77777777" w:rsidR="002622AA" w:rsidRPr="0082613A" w:rsidRDefault="002622AA" w:rsidP="002622AA">
      <w:pPr>
        <w:spacing w:after="0" w:line="360" w:lineRule="auto"/>
        <w:rPr>
          <w:rFonts w:eastAsia="Times New Roman" w:cs="Tahoma"/>
          <w:color w:val="auto"/>
          <w:szCs w:val="24"/>
          <w:lang w:eastAsia="es-ES"/>
        </w:rPr>
      </w:pPr>
    </w:p>
    <w:p w14:paraId="6CDF5DEB" w14:textId="77777777" w:rsidR="002622AA" w:rsidRPr="0082613A" w:rsidRDefault="002622AA" w:rsidP="002622AA">
      <w:pPr>
        <w:spacing w:after="0" w:line="360" w:lineRule="auto"/>
        <w:rPr>
          <w:rFonts w:eastAsia="Times New Roman" w:cs="Tahoma"/>
          <w:color w:val="auto"/>
          <w:szCs w:val="24"/>
          <w:lang w:eastAsia="es-ES"/>
        </w:rPr>
      </w:pPr>
      <w:r w:rsidRPr="0082613A">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w:t>
      </w:r>
      <w:r w:rsidRPr="0082613A">
        <w:rPr>
          <w:rFonts w:eastAsia="Times New Roman" w:cs="Tahoma"/>
          <w:color w:val="auto"/>
          <w:szCs w:val="24"/>
          <w:lang w:eastAsia="es-ES"/>
        </w:rPr>
        <w:lastRenderedPageBreak/>
        <w:t>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02304D8" w14:textId="77777777" w:rsidR="002622AA" w:rsidRPr="0082613A" w:rsidRDefault="002622AA" w:rsidP="002622AA">
      <w:pPr>
        <w:spacing w:after="0" w:line="360" w:lineRule="auto"/>
        <w:rPr>
          <w:rFonts w:eastAsia="Times New Roman" w:cs="Tahoma"/>
          <w:color w:val="auto"/>
          <w:szCs w:val="24"/>
          <w:lang w:eastAsia="es-ES"/>
        </w:rPr>
      </w:pPr>
    </w:p>
    <w:p w14:paraId="6A7DB1B3" w14:textId="77777777" w:rsidR="002622AA" w:rsidRPr="0082613A" w:rsidRDefault="002622AA" w:rsidP="002622AA">
      <w:pPr>
        <w:spacing w:after="0" w:line="360" w:lineRule="auto"/>
        <w:rPr>
          <w:rFonts w:eastAsia="Times New Roman" w:cs="Tahoma"/>
          <w:color w:val="auto"/>
          <w:szCs w:val="24"/>
          <w:lang w:val="es-ES" w:eastAsia="es-ES"/>
        </w:rPr>
      </w:pPr>
      <w:r w:rsidRPr="0082613A">
        <w:rPr>
          <w:rFonts w:eastAsia="Times New Roman" w:cs="Tahoma"/>
          <w:bCs/>
          <w:color w:val="auto"/>
          <w:szCs w:val="24"/>
          <w:lang w:val="es-ES" w:eastAsia="es-ES"/>
        </w:rPr>
        <w:t xml:space="preserve">Por tales motivos, </w:t>
      </w:r>
      <w:r w:rsidRPr="0082613A">
        <w:rPr>
          <w:rFonts w:eastAsia="Times New Roman" w:cs="Tahoma"/>
          <w:color w:val="auto"/>
          <w:szCs w:val="24"/>
          <w:lang w:val="es-ES" w:eastAsia="es-ES"/>
        </w:rPr>
        <w:t>se considera procedente entrar al fondo del presente asunto.</w:t>
      </w:r>
    </w:p>
    <w:p w14:paraId="0B77DFE7" w14:textId="3226575A" w:rsidR="00EC77D9" w:rsidRPr="0082613A" w:rsidRDefault="00EC77D9" w:rsidP="00445624">
      <w:pPr>
        <w:spacing w:after="0" w:line="360" w:lineRule="auto"/>
        <w:contextualSpacing/>
        <w:rPr>
          <w:rFonts w:eastAsia="Times New Roman" w:cs="Tahoma"/>
          <w:color w:val="auto"/>
          <w:lang w:eastAsia="es-ES"/>
        </w:rPr>
      </w:pPr>
    </w:p>
    <w:p w14:paraId="3B061803" w14:textId="77777777" w:rsidR="002622AA" w:rsidRPr="0082613A" w:rsidRDefault="002622AA" w:rsidP="002622AA">
      <w:pPr>
        <w:spacing w:after="0" w:line="360" w:lineRule="auto"/>
        <w:rPr>
          <w:rFonts w:eastAsia="Times New Roman" w:cs="Tahoma"/>
          <w:b/>
          <w:bCs/>
          <w:iCs/>
          <w:color w:val="auto"/>
          <w:lang w:val="es-ES" w:eastAsia="es-ES"/>
        </w:rPr>
      </w:pPr>
      <w:r w:rsidRPr="0082613A">
        <w:rPr>
          <w:rFonts w:eastAsia="Times New Roman" w:cs="Tahoma"/>
          <w:b/>
          <w:bCs/>
          <w:iCs/>
          <w:color w:val="auto"/>
          <w:lang w:val="es-ES" w:eastAsia="es-ES"/>
        </w:rPr>
        <w:t xml:space="preserve">TERCERO. Determinación de la Controversia. </w:t>
      </w:r>
    </w:p>
    <w:p w14:paraId="73D41124" w14:textId="77777777" w:rsidR="002622AA" w:rsidRPr="0082613A" w:rsidRDefault="002622AA" w:rsidP="002622AA">
      <w:pPr>
        <w:autoSpaceDE w:val="0"/>
        <w:autoSpaceDN w:val="0"/>
        <w:adjustRightInd w:val="0"/>
        <w:spacing w:after="0" w:line="360" w:lineRule="auto"/>
        <w:rPr>
          <w:rFonts w:eastAsia="Calibri" w:cs="Tahoma"/>
          <w:color w:val="000000"/>
          <w:szCs w:val="24"/>
          <w:lang w:val="es-ES" w:eastAsia="es-MX"/>
        </w:rPr>
      </w:pPr>
    </w:p>
    <w:p w14:paraId="70C98919" w14:textId="59578DFE" w:rsidR="00CF21C7" w:rsidRPr="0082613A" w:rsidRDefault="002622AA" w:rsidP="002622AA">
      <w:pPr>
        <w:tabs>
          <w:tab w:val="left" w:pos="4962"/>
        </w:tabs>
        <w:spacing w:after="0" w:line="360" w:lineRule="auto"/>
        <w:contextualSpacing/>
        <w:rPr>
          <w:rFonts w:eastAsia="Calibri" w:cs="Tahoma"/>
          <w:iCs/>
          <w:lang w:val="es-ES" w:eastAsia="es-ES_tradnl"/>
        </w:rPr>
      </w:pPr>
      <w:r w:rsidRPr="0082613A">
        <w:rPr>
          <w:rFonts w:eastAsia="Calibri" w:cs="Tahoma"/>
          <w:color w:val="000000"/>
          <w:szCs w:val="24"/>
          <w:lang w:val="es-ES" w:eastAsia="es-MX"/>
        </w:rPr>
        <w:t>Integradas las constancias que obran en el expediente en el que se actúa, se advierte que Particular requirió</w:t>
      </w:r>
      <w:r w:rsidRPr="0082613A">
        <w:rPr>
          <w:rFonts w:eastAsia="Calibri" w:cs="Tahoma"/>
          <w:iCs/>
          <w:lang w:val="es-ES" w:eastAsia="es-ES_tradnl"/>
        </w:rPr>
        <w:t xml:space="preserve"> </w:t>
      </w:r>
      <w:r w:rsidR="00CF21C7" w:rsidRPr="0082613A">
        <w:rPr>
          <w:rFonts w:eastAsia="Calibri" w:cs="Tahoma"/>
          <w:iCs/>
          <w:lang w:val="es-ES" w:eastAsia="es-ES_tradnl"/>
        </w:rPr>
        <w:t xml:space="preserve">las licencias de conducir de todos los servidores públicos que </w:t>
      </w:r>
      <w:r w:rsidR="00445624" w:rsidRPr="0082613A">
        <w:rPr>
          <w:rFonts w:eastAsia="Calibri" w:cs="Tahoma"/>
          <w:iCs/>
          <w:lang w:val="es-ES" w:eastAsia="es-ES_tradnl"/>
        </w:rPr>
        <w:t>contarán</w:t>
      </w:r>
      <w:r w:rsidR="00CF21C7" w:rsidRPr="0082613A">
        <w:rPr>
          <w:rFonts w:eastAsia="Calibri" w:cs="Tahoma"/>
          <w:iCs/>
          <w:lang w:val="es-ES" w:eastAsia="es-ES_tradnl"/>
        </w:rPr>
        <w:t xml:space="preserve"> con vehículos </w:t>
      </w:r>
      <w:r w:rsidR="008F2C96" w:rsidRPr="0082613A">
        <w:rPr>
          <w:rFonts w:eastAsia="Calibri" w:cs="Tahoma"/>
          <w:iCs/>
          <w:lang w:val="es-ES" w:eastAsia="es-ES_tradnl"/>
        </w:rPr>
        <w:t>oficiales</w:t>
      </w:r>
      <w:r w:rsidR="00CF21C7" w:rsidRPr="0082613A">
        <w:rPr>
          <w:rFonts w:eastAsia="Calibri" w:cs="Tahoma"/>
          <w:iCs/>
          <w:lang w:val="es-ES" w:eastAsia="es-ES_tradnl"/>
        </w:rPr>
        <w:t>.</w:t>
      </w:r>
    </w:p>
    <w:p w14:paraId="59A4A975" w14:textId="1D05CBC4" w:rsidR="00CF21C7" w:rsidRPr="0082613A" w:rsidRDefault="00CF21C7" w:rsidP="00445624">
      <w:pPr>
        <w:tabs>
          <w:tab w:val="left" w:pos="4962"/>
        </w:tabs>
        <w:spacing w:after="0" w:line="360" w:lineRule="auto"/>
        <w:contextualSpacing/>
        <w:rPr>
          <w:rFonts w:eastAsia="Calibri" w:cs="Tahoma"/>
          <w:iCs/>
          <w:lang w:val="es-ES" w:eastAsia="es-ES_tradnl"/>
        </w:rPr>
      </w:pPr>
    </w:p>
    <w:p w14:paraId="03F1DD75" w14:textId="4AA2F3E8" w:rsidR="00CF21C7" w:rsidRPr="0082613A" w:rsidRDefault="00CF21C7" w:rsidP="00445624">
      <w:pPr>
        <w:tabs>
          <w:tab w:val="left" w:pos="4962"/>
        </w:tabs>
        <w:spacing w:after="0" w:line="360" w:lineRule="auto"/>
        <w:contextualSpacing/>
        <w:rPr>
          <w:rFonts w:eastAsia="Calibri" w:cs="Tahoma"/>
          <w:iCs/>
          <w:lang w:val="es-ES" w:eastAsia="es-ES_tradnl"/>
        </w:rPr>
      </w:pPr>
      <w:r w:rsidRPr="0082613A">
        <w:rPr>
          <w:rFonts w:eastAsia="Calibri" w:cs="Tahoma"/>
          <w:iCs/>
          <w:lang w:val="es-ES" w:eastAsia="es-ES_tradnl"/>
        </w:rPr>
        <w:t>Ante la falta de respuesta del Ente Recurrido, el Particular, justamente se inconformó de dicha circunstancia, lo cual actualiza el supuesto previsto en el artículo 179, fracción VII, de la Ley de Transparencia y Acceso a la Información Pública del Estado de México y Municipios. Así las cosas, una vez admitido y notificado el Recurso de Revisión a las partes, el Sujeto Obligado, precisó que la licencia de conducir no forma</w:t>
      </w:r>
      <w:r w:rsidR="008F2C96" w:rsidRPr="0082613A">
        <w:rPr>
          <w:rFonts w:eastAsia="Calibri" w:cs="Tahoma"/>
          <w:iCs/>
          <w:lang w:val="es-ES" w:eastAsia="es-ES_tradnl"/>
        </w:rPr>
        <w:t>ba</w:t>
      </w:r>
      <w:r w:rsidRPr="0082613A">
        <w:rPr>
          <w:rFonts w:eastAsia="Calibri" w:cs="Tahoma"/>
          <w:iCs/>
          <w:lang w:val="es-ES" w:eastAsia="es-ES_tradnl"/>
        </w:rPr>
        <w:t xml:space="preserve"> parte de los requisitos para ser servidor público</w:t>
      </w:r>
      <w:r w:rsidR="008F2C96" w:rsidRPr="0082613A">
        <w:rPr>
          <w:rFonts w:eastAsia="Calibri" w:cs="Tahoma"/>
          <w:iCs/>
          <w:lang w:val="es-ES" w:eastAsia="es-ES_tradnl"/>
        </w:rPr>
        <w:t xml:space="preserve"> y, por lo tanto, no obraban dentro del expediente laboral de estos.</w:t>
      </w:r>
    </w:p>
    <w:p w14:paraId="31C1B3D7" w14:textId="77777777" w:rsidR="00EC77D9" w:rsidRPr="0082613A" w:rsidRDefault="00EC77D9" w:rsidP="00445624">
      <w:pPr>
        <w:tabs>
          <w:tab w:val="left" w:pos="4962"/>
        </w:tabs>
        <w:spacing w:after="0" w:line="360" w:lineRule="auto"/>
        <w:contextualSpacing/>
        <w:rPr>
          <w:rFonts w:eastAsia="Calibri" w:cs="Tahoma"/>
          <w:iCs/>
          <w:lang w:val="es-ES"/>
        </w:rPr>
      </w:pPr>
    </w:p>
    <w:p w14:paraId="6F1CFCEB" w14:textId="66814C16" w:rsidR="00EC77D9" w:rsidRPr="0082613A" w:rsidRDefault="00EC77D9" w:rsidP="00445624">
      <w:pPr>
        <w:tabs>
          <w:tab w:val="left" w:pos="4962"/>
        </w:tabs>
        <w:spacing w:after="0" w:line="360" w:lineRule="auto"/>
        <w:contextualSpacing/>
        <w:rPr>
          <w:rFonts w:eastAsia="Calibri" w:cs="Tahoma"/>
          <w:bCs/>
        </w:rPr>
      </w:pPr>
      <w:r w:rsidRPr="0082613A">
        <w:rPr>
          <w:rFonts w:eastAsia="Calibri" w:cs="Tahoma"/>
          <w:iCs/>
          <w:lang w:val="es-ES" w:eastAsia="es-ES_tradnl"/>
        </w:rPr>
        <w:t>Lo anterior, se desprende de las documentales que obran en el expediente de referencia, materia de la presente resolución, consistente en: la solicitud de acceso a la información</w:t>
      </w:r>
      <w:r w:rsidR="00EB253A" w:rsidRPr="0082613A">
        <w:rPr>
          <w:rFonts w:eastAsia="Calibri" w:cs="Tahoma"/>
          <w:iCs/>
          <w:lang w:val="es-ES" w:eastAsia="es-ES_tradnl"/>
        </w:rPr>
        <w:t>,</w:t>
      </w:r>
      <w:r w:rsidRPr="0082613A">
        <w:rPr>
          <w:rFonts w:eastAsia="Calibri" w:cs="Tahoma"/>
          <w:iCs/>
          <w:lang w:eastAsia="es-ES_tradnl"/>
        </w:rPr>
        <w:t xml:space="preserve"> el escrito </w:t>
      </w:r>
      <w:proofErr w:type="spellStart"/>
      <w:r w:rsidRPr="0082613A">
        <w:rPr>
          <w:rFonts w:eastAsia="Calibri" w:cs="Tahoma"/>
          <w:iCs/>
          <w:lang w:eastAsia="es-ES_tradnl"/>
        </w:rPr>
        <w:t>recursal</w:t>
      </w:r>
      <w:proofErr w:type="spellEnd"/>
      <w:r w:rsidR="00EB253A" w:rsidRPr="0082613A">
        <w:rPr>
          <w:rFonts w:eastAsia="Calibri" w:cs="Tahoma"/>
          <w:iCs/>
          <w:lang w:eastAsia="es-ES_tradnl"/>
        </w:rPr>
        <w:t xml:space="preserve"> y el Informe Justificado</w:t>
      </w:r>
      <w:r w:rsidRPr="0082613A">
        <w:rPr>
          <w:rFonts w:eastAsia="Calibri" w:cs="Tahoma"/>
          <w:iCs/>
          <w:lang w:eastAsia="es-ES_tradnl"/>
        </w:rPr>
        <w:t xml:space="preserve">; </w:t>
      </w:r>
      <w:r w:rsidRPr="0082613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384FC740" w:rsidR="00EC77D9" w:rsidRPr="0082613A" w:rsidRDefault="00EC77D9" w:rsidP="00445624">
      <w:pPr>
        <w:spacing w:after="0" w:line="360" w:lineRule="auto"/>
        <w:contextualSpacing/>
        <w:rPr>
          <w:rFonts w:eastAsia="Calibri" w:cs="Tahoma"/>
          <w:color w:val="auto"/>
          <w:lang w:eastAsia="es-ES_tradnl"/>
        </w:rPr>
      </w:pPr>
    </w:p>
    <w:p w14:paraId="1B0A93A6" w14:textId="77777777" w:rsidR="00EC5FB3" w:rsidRPr="0082613A" w:rsidRDefault="00EC5FB3" w:rsidP="00EC5FB3">
      <w:pPr>
        <w:spacing w:after="0" w:line="360" w:lineRule="auto"/>
        <w:rPr>
          <w:rFonts w:eastAsia="Times New Roman" w:cs="Tahoma"/>
          <w:b/>
          <w:bCs/>
          <w:iCs/>
          <w:color w:val="auto"/>
          <w:lang w:eastAsia="es-ES"/>
        </w:rPr>
      </w:pPr>
      <w:r w:rsidRPr="0082613A">
        <w:rPr>
          <w:rFonts w:eastAsia="Times New Roman" w:cs="Tahoma"/>
          <w:b/>
          <w:bCs/>
          <w:iCs/>
          <w:color w:val="auto"/>
          <w:lang w:val="es-ES" w:eastAsia="es-ES"/>
        </w:rPr>
        <w:t xml:space="preserve">CUARTO. </w:t>
      </w:r>
      <w:r w:rsidRPr="0082613A">
        <w:rPr>
          <w:rFonts w:eastAsia="Times New Roman" w:cs="Tahoma"/>
          <w:b/>
          <w:bCs/>
          <w:iCs/>
          <w:color w:val="auto"/>
          <w:lang w:eastAsia="es-ES"/>
        </w:rPr>
        <w:t>Marco normativo aplicable en materia de transparencia y acceso a la información pública.</w:t>
      </w:r>
    </w:p>
    <w:p w14:paraId="7FCEF994" w14:textId="77777777" w:rsidR="00EC5FB3" w:rsidRPr="0082613A" w:rsidRDefault="00EC5FB3" w:rsidP="00EC5FB3">
      <w:pPr>
        <w:spacing w:after="0" w:line="360" w:lineRule="auto"/>
        <w:rPr>
          <w:rFonts w:eastAsia="Times New Roman" w:cs="Tahoma"/>
          <w:b/>
          <w:bCs/>
          <w:iCs/>
          <w:color w:val="auto"/>
          <w:lang w:eastAsia="es-ES"/>
        </w:rPr>
      </w:pPr>
    </w:p>
    <w:p w14:paraId="42499E66" w14:textId="77777777" w:rsidR="00EC5FB3" w:rsidRPr="0082613A" w:rsidRDefault="00EC5FB3" w:rsidP="00EC5FB3">
      <w:pPr>
        <w:spacing w:after="0" w:line="360" w:lineRule="auto"/>
        <w:rPr>
          <w:rFonts w:eastAsia="Times New Roman" w:cs="Tahoma"/>
          <w:bCs/>
          <w:iCs/>
          <w:color w:val="auto"/>
          <w:lang w:eastAsia="es-ES"/>
        </w:rPr>
      </w:pPr>
      <w:r w:rsidRPr="0082613A">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D4E7DCF" w14:textId="77777777" w:rsidR="00EC5FB3" w:rsidRPr="0082613A" w:rsidRDefault="00EC5FB3" w:rsidP="00EC5FB3">
      <w:pPr>
        <w:spacing w:after="0" w:line="360" w:lineRule="auto"/>
        <w:rPr>
          <w:rFonts w:eastAsia="Times New Roman" w:cs="Tahoma"/>
          <w:bCs/>
          <w:iCs/>
          <w:color w:val="auto"/>
          <w:lang w:eastAsia="es-ES"/>
        </w:rPr>
      </w:pPr>
    </w:p>
    <w:p w14:paraId="673D1E00" w14:textId="77777777" w:rsidR="00EC5FB3" w:rsidRPr="0082613A" w:rsidRDefault="00EC5FB3" w:rsidP="00EC5FB3">
      <w:pPr>
        <w:spacing w:after="0" w:line="360" w:lineRule="auto"/>
        <w:rPr>
          <w:rFonts w:eastAsia="Times New Roman" w:cs="Tahoma"/>
          <w:bCs/>
          <w:iCs/>
          <w:color w:val="auto"/>
          <w:lang w:eastAsia="es-ES"/>
        </w:rPr>
      </w:pPr>
      <w:r w:rsidRPr="0082613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EB4E1DC" w14:textId="77777777" w:rsidR="00EC5FB3" w:rsidRPr="0082613A" w:rsidRDefault="00EC5FB3" w:rsidP="00EC5FB3">
      <w:pPr>
        <w:spacing w:after="0" w:line="360" w:lineRule="auto"/>
        <w:rPr>
          <w:rFonts w:eastAsia="Times New Roman" w:cs="Tahoma"/>
          <w:bCs/>
          <w:iCs/>
          <w:color w:val="auto"/>
          <w:lang w:eastAsia="es-ES"/>
        </w:rPr>
      </w:pPr>
    </w:p>
    <w:p w14:paraId="6C497210" w14:textId="77777777" w:rsidR="00EC5FB3" w:rsidRPr="0082613A" w:rsidRDefault="00EC5FB3" w:rsidP="00EC5FB3">
      <w:pPr>
        <w:spacing w:after="0" w:line="360" w:lineRule="auto"/>
        <w:rPr>
          <w:rFonts w:eastAsia="Times New Roman" w:cs="Tahoma"/>
          <w:bCs/>
          <w:iCs/>
          <w:color w:val="auto"/>
          <w:lang w:eastAsia="es-ES"/>
        </w:rPr>
      </w:pPr>
      <w:r w:rsidRPr="0082613A">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8A9B20B" w14:textId="77777777" w:rsidR="00EC5FB3" w:rsidRPr="0082613A" w:rsidRDefault="00EC5FB3" w:rsidP="00EC5FB3">
      <w:pPr>
        <w:spacing w:after="0" w:line="360" w:lineRule="auto"/>
        <w:rPr>
          <w:rFonts w:eastAsia="Times New Roman" w:cs="Tahoma"/>
          <w:bCs/>
          <w:iCs/>
          <w:color w:val="auto"/>
          <w:lang w:eastAsia="es-ES"/>
        </w:rPr>
      </w:pPr>
    </w:p>
    <w:p w14:paraId="01202EEF" w14:textId="77777777" w:rsidR="00EC5FB3" w:rsidRPr="0082613A" w:rsidRDefault="00EC5FB3" w:rsidP="00EC5FB3">
      <w:pPr>
        <w:spacing w:after="0" w:line="360" w:lineRule="auto"/>
        <w:rPr>
          <w:rFonts w:eastAsia="Times New Roman" w:cs="Tahoma"/>
          <w:bCs/>
          <w:iCs/>
          <w:color w:val="auto"/>
          <w:lang w:eastAsia="es-ES"/>
        </w:rPr>
      </w:pPr>
      <w:r w:rsidRPr="0082613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4AB53F9F" w14:textId="77777777" w:rsidR="00EC5FB3" w:rsidRPr="0082613A" w:rsidRDefault="00EC5FB3" w:rsidP="00EC5FB3">
      <w:pPr>
        <w:spacing w:after="0" w:line="360" w:lineRule="auto"/>
        <w:rPr>
          <w:rFonts w:eastAsia="Times New Roman" w:cs="Tahoma"/>
          <w:bCs/>
          <w:iCs/>
          <w:color w:val="auto"/>
          <w:lang w:eastAsia="es-ES"/>
        </w:rPr>
      </w:pPr>
    </w:p>
    <w:p w14:paraId="26568477" w14:textId="77777777" w:rsidR="00EC5FB3" w:rsidRPr="0082613A" w:rsidRDefault="00EC5FB3" w:rsidP="00EC5FB3">
      <w:pPr>
        <w:spacing w:after="0" w:line="360" w:lineRule="auto"/>
        <w:rPr>
          <w:rFonts w:eastAsia="Times New Roman" w:cs="Tahoma"/>
          <w:bCs/>
          <w:iCs/>
          <w:color w:val="auto"/>
          <w:lang w:eastAsia="es-ES"/>
        </w:rPr>
      </w:pPr>
      <w:r w:rsidRPr="0082613A">
        <w:rPr>
          <w:rFonts w:eastAsia="Times New Roman" w:cs="Tahoma"/>
          <w:bCs/>
          <w:iCs/>
          <w:color w:val="auto"/>
          <w:lang w:eastAsia="es-ES"/>
        </w:rPr>
        <w:t>El artículo 12, que, quienes generen, recopilen, administren, manejen, procesen, archiven o conserven información pública serán responsables de la misma.</w:t>
      </w:r>
    </w:p>
    <w:p w14:paraId="60249608" w14:textId="77777777" w:rsidR="00EC5FB3" w:rsidRPr="0082613A" w:rsidRDefault="00EC5FB3" w:rsidP="00EC5FB3">
      <w:pPr>
        <w:spacing w:after="0" w:line="360" w:lineRule="auto"/>
        <w:rPr>
          <w:rFonts w:eastAsia="Times New Roman" w:cs="Tahoma"/>
          <w:bCs/>
          <w:iCs/>
          <w:color w:val="auto"/>
          <w:lang w:eastAsia="es-ES"/>
        </w:rPr>
      </w:pPr>
    </w:p>
    <w:p w14:paraId="769C91B6" w14:textId="77777777" w:rsidR="00EC5FB3" w:rsidRPr="0082613A" w:rsidRDefault="00EC5FB3" w:rsidP="00EC5FB3">
      <w:pPr>
        <w:spacing w:after="0" w:line="360" w:lineRule="auto"/>
        <w:rPr>
          <w:rFonts w:eastAsia="Times New Roman" w:cs="Tahoma"/>
          <w:bCs/>
          <w:iCs/>
          <w:color w:val="auto"/>
          <w:lang w:eastAsia="es-ES"/>
        </w:rPr>
      </w:pPr>
      <w:r w:rsidRPr="0082613A">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F8EE707" w14:textId="77777777" w:rsidR="00EC5FB3" w:rsidRPr="0082613A" w:rsidRDefault="00EC5FB3" w:rsidP="00EC5FB3">
      <w:pPr>
        <w:spacing w:after="0" w:line="360" w:lineRule="auto"/>
        <w:rPr>
          <w:rFonts w:eastAsia="Times New Roman" w:cs="Tahoma"/>
          <w:bCs/>
          <w:iCs/>
          <w:color w:val="auto"/>
          <w:lang w:eastAsia="es-ES"/>
        </w:rPr>
      </w:pPr>
    </w:p>
    <w:p w14:paraId="5841F7BE" w14:textId="77777777" w:rsidR="00EC5FB3" w:rsidRPr="0082613A" w:rsidRDefault="00EC5FB3" w:rsidP="00EC5FB3">
      <w:pPr>
        <w:spacing w:after="0" w:line="360" w:lineRule="auto"/>
        <w:rPr>
          <w:rFonts w:eastAsia="Times New Roman" w:cs="Tahoma"/>
          <w:bCs/>
          <w:iCs/>
          <w:color w:val="auto"/>
          <w:lang w:eastAsia="es-ES"/>
        </w:rPr>
      </w:pPr>
      <w:r w:rsidRPr="0082613A">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DB7B45F" w14:textId="77777777" w:rsidR="00EC5FB3" w:rsidRPr="0082613A" w:rsidRDefault="00EC5FB3" w:rsidP="00EC5FB3">
      <w:pPr>
        <w:spacing w:after="0" w:line="360" w:lineRule="auto"/>
        <w:rPr>
          <w:rFonts w:eastAsia="Times New Roman" w:cs="Tahoma"/>
          <w:bCs/>
          <w:iCs/>
          <w:color w:val="auto"/>
          <w:lang w:eastAsia="es-ES"/>
        </w:rPr>
      </w:pPr>
    </w:p>
    <w:p w14:paraId="7B8F7A92" w14:textId="77777777" w:rsidR="00EC5FB3" w:rsidRPr="0082613A" w:rsidRDefault="00EC5FB3" w:rsidP="00EC5FB3">
      <w:pPr>
        <w:spacing w:after="0" w:line="360" w:lineRule="auto"/>
        <w:rPr>
          <w:rFonts w:eastAsia="Times New Roman" w:cs="Tahoma"/>
          <w:b/>
          <w:bCs/>
          <w:iCs/>
          <w:color w:val="auto"/>
          <w:lang w:val="es-ES" w:eastAsia="es-ES"/>
        </w:rPr>
      </w:pPr>
      <w:r w:rsidRPr="0082613A">
        <w:rPr>
          <w:rFonts w:eastAsia="Times New Roman" w:cs="Tahoma"/>
          <w:b/>
          <w:bCs/>
          <w:iCs/>
          <w:color w:val="auto"/>
          <w:lang w:val="es-ES" w:eastAsia="es-ES"/>
        </w:rPr>
        <w:t>QUINTO. Estudio de Fondo.</w:t>
      </w:r>
    </w:p>
    <w:p w14:paraId="7F897857" w14:textId="77777777" w:rsidR="00EC5FB3" w:rsidRPr="0082613A" w:rsidRDefault="00EC5FB3" w:rsidP="00445624">
      <w:pPr>
        <w:spacing w:after="0" w:line="360" w:lineRule="auto"/>
        <w:contextualSpacing/>
        <w:rPr>
          <w:rFonts w:eastAsia="Calibri" w:cs="Tahoma"/>
          <w:color w:val="auto"/>
          <w:lang w:eastAsia="es-ES_tradnl"/>
        </w:rPr>
      </w:pPr>
    </w:p>
    <w:p w14:paraId="32385722" w14:textId="2D421AAD" w:rsidR="00EC77D9" w:rsidRPr="0082613A" w:rsidRDefault="00EC77D9" w:rsidP="00445624">
      <w:p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82613A">
        <w:rPr>
          <w:color w:val="000000"/>
        </w:rPr>
        <w:t>Ayuntamiento de Zinacantepec</w:t>
      </w:r>
      <w:r w:rsidRPr="0082613A">
        <w:rPr>
          <w:rFonts w:eastAsia="Times New Roman" w:cs="Tahoma"/>
          <w:iCs/>
          <w:color w:val="auto"/>
          <w:lang w:eastAsia="es-ES"/>
        </w:rPr>
        <w:t>, a</w:t>
      </w:r>
      <w:r w:rsidRPr="0082613A">
        <w:rPr>
          <w:rFonts w:eastAsia="Times New Roman" w:cs="Tahoma"/>
          <w:bCs/>
          <w:iCs/>
          <w:color w:val="auto"/>
          <w:lang w:eastAsia="es-ES"/>
        </w:rPr>
        <w:t xml:space="preserve"> la solicitud de información presentada. </w:t>
      </w:r>
    </w:p>
    <w:p w14:paraId="367391FD" w14:textId="77777777" w:rsidR="00EC77D9" w:rsidRPr="0082613A" w:rsidRDefault="00EC77D9" w:rsidP="00445624">
      <w:pPr>
        <w:spacing w:after="0" w:line="360" w:lineRule="auto"/>
        <w:contextualSpacing/>
        <w:rPr>
          <w:rFonts w:eastAsia="Times New Roman" w:cs="Tahoma"/>
          <w:bCs/>
          <w:iCs/>
          <w:color w:val="auto"/>
          <w:lang w:eastAsia="es-ES"/>
        </w:rPr>
      </w:pPr>
    </w:p>
    <w:p w14:paraId="0AB45A33" w14:textId="77777777" w:rsidR="00EC77D9" w:rsidRPr="0082613A" w:rsidRDefault="00EC77D9" w:rsidP="00445624">
      <w:p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82613A" w:rsidRDefault="00EC77D9" w:rsidP="00445624">
      <w:pPr>
        <w:spacing w:after="0" w:line="360" w:lineRule="auto"/>
        <w:contextualSpacing/>
        <w:rPr>
          <w:rFonts w:eastAsia="Times New Roman" w:cs="Tahoma"/>
          <w:bCs/>
          <w:iCs/>
          <w:color w:val="auto"/>
          <w:lang w:eastAsia="es-ES"/>
        </w:rPr>
      </w:pPr>
    </w:p>
    <w:p w14:paraId="2B345289" w14:textId="77777777" w:rsidR="00EC77D9" w:rsidRPr="0082613A" w:rsidRDefault="00EC77D9" w:rsidP="00445624">
      <w:pPr>
        <w:numPr>
          <w:ilvl w:val="0"/>
          <w:numId w:val="1"/>
        </w:num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82613A" w:rsidRDefault="00EC77D9" w:rsidP="00445624">
      <w:pPr>
        <w:spacing w:after="0" w:line="360" w:lineRule="auto"/>
        <w:ind w:left="720"/>
        <w:contextualSpacing/>
        <w:rPr>
          <w:rFonts w:eastAsia="Times New Roman" w:cs="Tahoma"/>
          <w:bCs/>
          <w:iCs/>
          <w:color w:val="auto"/>
          <w:lang w:eastAsia="es-ES"/>
        </w:rPr>
      </w:pPr>
    </w:p>
    <w:p w14:paraId="23E46162" w14:textId="77777777" w:rsidR="00EC77D9" w:rsidRPr="0082613A" w:rsidRDefault="00EC77D9" w:rsidP="00445624">
      <w:pPr>
        <w:numPr>
          <w:ilvl w:val="0"/>
          <w:numId w:val="1"/>
        </w:num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82613A" w:rsidRDefault="00EC77D9" w:rsidP="00445624">
      <w:pPr>
        <w:spacing w:after="0" w:line="360" w:lineRule="auto"/>
        <w:ind w:left="720"/>
        <w:contextualSpacing/>
        <w:rPr>
          <w:rFonts w:eastAsia="Times New Roman" w:cs="Tahoma"/>
          <w:bCs/>
          <w:iCs/>
          <w:color w:val="auto"/>
          <w:lang w:eastAsia="es-ES"/>
        </w:rPr>
      </w:pPr>
    </w:p>
    <w:p w14:paraId="2F681C81" w14:textId="77777777" w:rsidR="00EC77D9" w:rsidRPr="0082613A" w:rsidRDefault="00EC77D9" w:rsidP="00445624">
      <w:pPr>
        <w:numPr>
          <w:ilvl w:val="0"/>
          <w:numId w:val="1"/>
        </w:num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82613A" w:rsidRDefault="00EC77D9" w:rsidP="00445624">
      <w:pPr>
        <w:spacing w:after="0" w:line="360" w:lineRule="auto"/>
        <w:contextualSpacing/>
        <w:rPr>
          <w:rFonts w:eastAsia="Times New Roman" w:cs="Tahoma"/>
          <w:bCs/>
          <w:iCs/>
          <w:color w:val="auto"/>
          <w:lang w:eastAsia="es-ES"/>
        </w:rPr>
      </w:pPr>
    </w:p>
    <w:p w14:paraId="362D7C07" w14:textId="77777777" w:rsidR="00EC77D9" w:rsidRPr="0082613A" w:rsidRDefault="00EC77D9" w:rsidP="00445624">
      <w:p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 xml:space="preserve">Conforme a lo anterior, se deprende que </w:t>
      </w:r>
      <w:r w:rsidRPr="0082613A">
        <w:rPr>
          <w:rFonts w:eastAsia="Times New Roman" w:cs="Tahoma"/>
          <w:b/>
          <w:bCs/>
          <w:iCs/>
          <w:color w:val="auto"/>
          <w:lang w:eastAsia="es-ES"/>
        </w:rPr>
        <w:t>los objetivos de la Ley de la materia,</w:t>
      </w:r>
      <w:r w:rsidRPr="0082613A">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82613A" w:rsidRDefault="00EC77D9" w:rsidP="00445624">
      <w:pPr>
        <w:spacing w:after="0" w:line="360" w:lineRule="auto"/>
        <w:contextualSpacing/>
        <w:rPr>
          <w:rFonts w:eastAsia="Times New Roman" w:cs="Tahoma"/>
          <w:bCs/>
          <w:iCs/>
          <w:color w:val="auto"/>
          <w:lang w:eastAsia="es-ES"/>
        </w:rPr>
      </w:pPr>
    </w:p>
    <w:p w14:paraId="224C22BD" w14:textId="77777777" w:rsidR="00EC77D9" w:rsidRPr="0082613A" w:rsidRDefault="00EC77D9" w:rsidP="00445624">
      <w:p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 xml:space="preserve">En ese orden de ideas, para la atención de las solicitudes de acceso a la información, debe privilegiarse el </w:t>
      </w:r>
      <w:r w:rsidRPr="0082613A">
        <w:rPr>
          <w:rFonts w:eastAsia="Times New Roman" w:cs="Tahoma"/>
          <w:b/>
          <w:bCs/>
          <w:iCs/>
          <w:color w:val="auto"/>
          <w:lang w:eastAsia="es-ES"/>
        </w:rPr>
        <w:t>principio de máxima publicidad</w:t>
      </w:r>
      <w:r w:rsidRPr="0082613A">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82613A" w:rsidRDefault="00EC77D9" w:rsidP="00445624">
      <w:pPr>
        <w:spacing w:after="0" w:line="360" w:lineRule="auto"/>
        <w:contextualSpacing/>
        <w:rPr>
          <w:rFonts w:eastAsia="Times New Roman" w:cs="Tahoma"/>
          <w:bCs/>
          <w:iCs/>
          <w:color w:val="auto"/>
          <w:lang w:eastAsia="es-ES"/>
        </w:rPr>
      </w:pPr>
    </w:p>
    <w:p w14:paraId="15E834E6" w14:textId="77777777" w:rsidR="00EC77D9" w:rsidRPr="0082613A" w:rsidRDefault="00EC77D9" w:rsidP="00445624">
      <w:p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82613A" w:rsidRDefault="00EC77D9" w:rsidP="00445624">
      <w:pPr>
        <w:spacing w:after="0" w:line="360" w:lineRule="auto"/>
        <w:contextualSpacing/>
        <w:rPr>
          <w:rFonts w:eastAsia="Times New Roman" w:cs="Tahoma"/>
          <w:bCs/>
          <w:iCs/>
          <w:color w:val="auto"/>
          <w:lang w:eastAsia="es-ES"/>
        </w:rPr>
      </w:pPr>
    </w:p>
    <w:p w14:paraId="00EC16F0" w14:textId="53439FBE" w:rsidR="0093261A" w:rsidRPr="0082613A" w:rsidRDefault="00EC77D9" w:rsidP="00445624">
      <w:pPr>
        <w:numPr>
          <w:ilvl w:val="0"/>
          <w:numId w:val="2"/>
        </w:num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82613A" w:rsidRDefault="0093261A" w:rsidP="00445624">
      <w:pPr>
        <w:spacing w:after="0" w:line="360" w:lineRule="auto"/>
        <w:contextualSpacing/>
        <w:rPr>
          <w:rFonts w:eastAsia="Times New Roman" w:cs="Tahoma"/>
          <w:bCs/>
          <w:iCs/>
          <w:color w:val="auto"/>
          <w:lang w:eastAsia="es-ES"/>
        </w:rPr>
      </w:pPr>
    </w:p>
    <w:p w14:paraId="35E844F3" w14:textId="442990DF" w:rsidR="007505E8" w:rsidRPr="0082613A" w:rsidRDefault="00EC77D9" w:rsidP="00445624">
      <w:pPr>
        <w:numPr>
          <w:ilvl w:val="0"/>
          <w:numId w:val="2"/>
        </w:num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 xml:space="preserve">Los Sujetos Obligados podrán requerirle a los Solicitantes, que complementen, corrijan o amplíen su solicitud de información, cuando resulten los datos </w:t>
      </w:r>
      <w:r w:rsidRPr="0082613A">
        <w:rPr>
          <w:rFonts w:eastAsia="Times New Roman" w:cs="Tahoma"/>
          <w:bCs/>
          <w:iCs/>
          <w:color w:val="auto"/>
          <w:lang w:eastAsia="es-ES"/>
        </w:rPr>
        <w:lastRenderedPageBreak/>
        <w:t>proporcionados insuficientes, incorrectos, incompletos o erróneos; solicitar dicha aclaración, interrumpirá el plazo para dar respuesta y comenzará a computarse el día siguiente al desahogo de esta.</w:t>
      </w:r>
    </w:p>
    <w:p w14:paraId="61027250" w14:textId="77777777" w:rsidR="007505E8" w:rsidRPr="0082613A" w:rsidRDefault="007505E8" w:rsidP="00445624">
      <w:pPr>
        <w:spacing w:after="0" w:line="360" w:lineRule="auto"/>
        <w:ind w:left="720"/>
        <w:contextualSpacing/>
        <w:rPr>
          <w:rFonts w:eastAsia="Times New Roman" w:cs="Tahoma"/>
          <w:bCs/>
          <w:iCs/>
          <w:color w:val="auto"/>
          <w:lang w:eastAsia="es-ES"/>
        </w:rPr>
      </w:pPr>
    </w:p>
    <w:p w14:paraId="58B4FFCB" w14:textId="77777777" w:rsidR="00EC77D9" w:rsidRPr="0082613A" w:rsidRDefault="00EC77D9" w:rsidP="00445624">
      <w:pPr>
        <w:numPr>
          <w:ilvl w:val="0"/>
          <w:numId w:val="2"/>
        </w:numPr>
        <w:spacing w:after="0" w:line="360" w:lineRule="auto"/>
        <w:contextualSpacing/>
        <w:rPr>
          <w:rFonts w:eastAsia="Times New Roman" w:cs="Tahoma"/>
          <w:bCs/>
          <w:iCs/>
          <w:color w:val="auto"/>
          <w:lang w:eastAsia="es-ES"/>
        </w:rPr>
      </w:pPr>
      <w:r w:rsidRPr="0082613A">
        <w:rPr>
          <w:rFonts w:eastAsia="Times New Roman" w:cs="Tahoma"/>
          <w:bCs/>
          <w:iCs/>
          <w:color w:val="auto"/>
          <w:lang w:eastAsia="es-ES"/>
        </w:rPr>
        <w:t xml:space="preserve">Las respuestas a los requerimientos informativos deberán notificarse al interesado en el menor tiempo posible, que no podrá exceder </w:t>
      </w:r>
      <w:r w:rsidRPr="0082613A">
        <w:rPr>
          <w:rFonts w:eastAsia="Times New Roman" w:cs="Tahoma"/>
          <w:b/>
          <w:bCs/>
          <w:iCs/>
          <w:color w:val="auto"/>
          <w:lang w:eastAsia="es-ES"/>
        </w:rPr>
        <w:t>quince días, contados a partir del día siguiente a la presentación de ésta.</w:t>
      </w:r>
      <w:r w:rsidRPr="0082613A">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82613A" w:rsidRDefault="00EC77D9" w:rsidP="00445624">
      <w:pPr>
        <w:spacing w:after="0" w:line="360" w:lineRule="auto"/>
        <w:contextualSpacing/>
        <w:rPr>
          <w:rFonts w:eastAsia="Times New Roman" w:cs="Tahoma"/>
          <w:bCs/>
          <w:iCs/>
          <w:color w:val="auto"/>
          <w:lang w:eastAsia="es-ES"/>
        </w:rPr>
      </w:pPr>
    </w:p>
    <w:p w14:paraId="70A04FD2" w14:textId="77777777" w:rsidR="00EC77D9" w:rsidRPr="0082613A" w:rsidRDefault="00EC77D9" w:rsidP="00445624">
      <w:pPr>
        <w:numPr>
          <w:ilvl w:val="0"/>
          <w:numId w:val="2"/>
        </w:numPr>
        <w:spacing w:after="0" w:line="360" w:lineRule="auto"/>
        <w:contextualSpacing/>
        <w:rPr>
          <w:rFonts w:eastAsia="Times New Roman" w:cs="Tahoma"/>
          <w:b/>
          <w:bCs/>
          <w:iCs/>
          <w:color w:val="auto"/>
          <w:lang w:eastAsia="es-ES"/>
        </w:rPr>
      </w:pPr>
      <w:r w:rsidRPr="0082613A">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2613A">
        <w:rPr>
          <w:rFonts w:eastAsia="Times New Roman" w:cs="Tahoma"/>
          <w:b/>
          <w:bCs/>
          <w:iCs/>
          <w:color w:val="auto"/>
          <w:lang w:eastAsia="es-ES"/>
        </w:rPr>
        <w:t>que se encuentren en sus archivos o que estén constreñidos a elaborar;</w:t>
      </w:r>
    </w:p>
    <w:p w14:paraId="512323EC" w14:textId="77777777" w:rsidR="00EC77D9" w:rsidRPr="0082613A" w:rsidRDefault="00EC77D9" w:rsidP="00445624">
      <w:pPr>
        <w:spacing w:after="0" w:line="360" w:lineRule="auto"/>
        <w:contextualSpacing/>
        <w:rPr>
          <w:rFonts w:eastAsia="Times New Roman" w:cs="Tahoma"/>
          <w:b/>
          <w:bCs/>
          <w:iCs/>
          <w:color w:val="auto"/>
          <w:lang w:eastAsia="es-ES"/>
        </w:rPr>
      </w:pPr>
    </w:p>
    <w:p w14:paraId="68CDB196" w14:textId="69344559" w:rsidR="00EC77D9" w:rsidRPr="0082613A" w:rsidRDefault="00EC77D9" w:rsidP="00445624">
      <w:pPr>
        <w:numPr>
          <w:ilvl w:val="0"/>
          <w:numId w:val="2"/>
        </w:numPr>
        <w:spacing w:after="0" w:line="360" w:lineRule="auto"/>
        <w:contextualSpacing/>
        <w:rPr>
          <w:rFonts w:eastAsia="Times New Roman" w:cs="Tahoma"/>
          <w:b/>
          <w:bCs/>
          <w:iCs/>
          <w:color w:val="auto"/>
          <w:lang w:eastAsia="es-ES"/>
        </w:rPr>
      </w:pPr>
      <w:r w:rsidRPr="0082613A">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82613A" w:rsidRDefault="0093261A" w:rsidP="00445624">
      <w:pPr>
        <w:spacing w:after="0" w:line="360" w:lineRule="auto"/>
        <w:contextualSpacing/>
        <w:rPr>
          <w:rFonts w:eastAsia="Times New Roman" w:cs="Tahoma"/>
          <w:b/>
          <w:bCs/>
          <w:iCs/>
          <w:color w:val="auto"/>
          <w:lang w:eastAsia="es-ES"/>
        </w:rPr>
      </w:pPr>
    </w:p>
    <w:p w14:paraId="3622B45D" w14:textId="77777777" w:rsidR="00EC77D9" w:rsidRPr="0082613A" w:rsidRDefault="00EC77D9" w:rsidP="00445624">
      <w:pPr>
        <w:numPr>
          <w:ilvl w:val="0"/>
          <w:numId w:val="2"/>
        </w:numPr>
        <w:spacing w:after="0" w:line="360" w:lineRule="auto"/>
        <w:contextualSpacing/>
        <w:rPr>
          <w:rFonts w:eastAsia="Times New Roman" w:cs="Tahoma"/>
          <w:b/>
          <w:bCs/>
          <w:iCs/>
          <w:color w:val="auto"/>
          <w:lang w:eastAsia="es-ES"/>
        </w:rPr>
      </w:pPr>
      <w:r w:rsidRPr="0082613A">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w:t>
      </w:r>
      <w:r w:rsidRPr="0082613A">
        <w:rPr>
          <w:rFonts w:eastAsia="Times New Roman" w:cs="Tahoma"/>
          <w:bCs/>
          <w:iCs/>
          <w:color w:val="auto"/>
          <w:lang w:eastAsia="es-ES"/>
        </w:rPr>
        <w:lastRenderedPageBreak/>
        <w:t>los Sujetos Obligados darán por concluida la solicitud y procederán de ser el caso, a la destrucción del material.</w:t>
      </w:r>
    </w:p>
    <w:p w14:paraId="210DC243" w14:textId="77777777" w:rsidR="00B61BF0" w:rsidRPr="0082613A" w:rsidRDefault="00B61BF0" w:rsidP="00445624">
      <w:pPr>
        <w:spacing w:after="0" w:line="360" w:lineRule="auto"/>
        <w:contextualSpacing/>
        <w:rPr>
          <w:rFonts w:eastAsia="Calibri" w:cs="Tahoma"/>
        </w:rPr>
      </w:pPr>
    </w:p>
    <w:p w14:paraId="60F87A85" w14:textId="5EBC7A05" w:rsidR="000F5705" w:rsidRPr="0082613A" w:rsidRDefault="000F5705" w:rsidP="00445624">
      <w:pPr>
        <w:spacing w:after="0" w:line="360" w:lineRule="auto"/>
        <w:contextualSpacing/>
        <w:rPr>
          <w:rFonts w:eastAsia="Calibri" w:cs="Tahoma"/>
        </w:rPr>
      </w:pPr>
      <w:r w:rsidRPr="0082613A">
        <w:rPr>
          <w:rFonts w:eastAsia="Calibri" w:cs="Tahoma"/>
        </w:rPr>
        <w:t xml:space="preserve">Una vez establecido lo anterior, es de indicar que el agravio del Particular consistió en que, a la fecha de interposición del Recurso de Revisión, </w:t>
      </w:r>
      <w:r w:rsidRPr="0082613A">
        <w:rPr>
          <w:rFonts w:eastAsia="Calibri" w:cs="Tahoma"/>
          <w:bCs/>
        </w:rPr>
        <w:t xml:space="preserve">el </w:t>
      </w:r>
      <w:r w:rsidR="000C006D" w:rsidRPr="0082613A">
        <w:rPr>
          <w:bCs/>
          <w:color w:val="000000"/>
        </w:rPr>
        <w:t>Ayuntamiento de Zinacantepec</w:t>
      </w:r>
      <w:r w:rsidRPr="0082613A">
        <w:rPr>
          <w:rFonts w:eastAsia="Calibri" w:cs="Tahoma"/>
          <w:bCs/>
        </w:rPr>
        <w:t>, no había registrado respuesta al requerimiento</w:t>
      </w:r>
      <w:r w:rsidRPr="0082613A">
        <w:rPr>
          <w:rFonts w:eastAsia="Calibri" w:cs="Tahoma"/>
        </w:rPr>
        <w:t xml:space="preserve"> de acceso a la información, el cual se presentó, el </w:t>
      </w:r>
      <w:r w:rsidR="00FF6861" w:rsidRPr="0082613A">
        <w:rPr>
          <w:rFonts w:eastAsia="Calibri" w:cs="Tahoma"/>
        </w:rPr>
        <w:t xml:space="preserve">treinta y uno </w:t>
      </w:r>
      <w:r w:rsidR="001756F2" w:rsidRPr="0082613A">
        <w:rPr>
          <w:rFonts w:eastAsia="Calibri" w:cs="Tahoma"/>
        </w:rPr>
        <w:t xml:space="preserve">de </w:t>
      </w:r>
      <w:r w:rsidR="001B0790" w:rsidRPr="0082613A">
        <w:rPr>
          <w:rFonts w:eastAsia="Calibri" w:cs="Tahoma"/>
        </w:rPr>
        <w:t>octu</w:t>
      </w:r>
      <w:r w:rsidR="001756F2" w:rsidRPr="0082613A">
        <w:rPr>
          <w:rFonts w:eastAsia="Calibri" w:cs="Tahoma"/>
        </w:rPr>
        <w:t>bre</w:t>
      </w:r>
      <w:r w:rsidRPr="0082613A">
        <w:rPr>
          <w:rFonts w:eastAsia="Calibri" w:cs="Tahoma"/>
        </w:rPr>
        <w:t xml:space="preserve"> de dos mil veintidós.</w:t>
      </w:r>
    </w:p>
    <w:p w14:paraId="37813AFA" w14:textId="77777777" w:rsidR="000F5705" w:rsidRPr="0082613A" w:rsidRDefault="000F5705" w:rsidP="00445624">
      <w:pPr>
        <w:spacing w:after="0" w:line="360" w:lineRule="auto"/>
        <w:contextualSpacing/>
        <w:rPr>
          <w:rFonts w:eastAsia="Calibri" w:cs="Tahoma"/>
        </w:rPr>
      </w:pPr>
    </w:p>
    <w:p w14:paraId="07088253" w14:textId="4CC2E972" w:rsidR="001756F2" w:rsidRPr="0082613A" w:rsidRDefault="001756F2" w:rsidP="00445624">
      <w:pPr>
        <w:spacing w:after="0" w:line="360" w:lineRule="auto"/>
        <w:contextualSpacing/>
        <w:rPr>
          <w:rFonts w:eastAsia="Calibri" w:cs="Tahoma"/>
          <w:lang w:val="es-ES"/>
        </w:rPr>
      </w:pPr>
      <w:r w:rsidRPr="0082613A">
        <w:rPr>
          <w:rFonts w:eastAsia="Calibri" w:cs="Tahoma"/>
          <w:lang w:val="es-ES"/>
        </w:rPr>
        <w:t xml:space="preserve">Además, que se requirió una aclaración a la solicitud, en términos del artículo 159 de la Ley de Transparencia y Acceso a la Información Pública del Estado de México y Municipios, el </w:t>
      </w:r>
      <w:r w:rsidR="00FF6861" w:rsidRPr="0082613A">
        <w:rPr>
          <w:rFonts w:eastAsia="Calibri" w:cs="Tahoma"/>
          <w:lang w:val="es-ES"/>
        </w:rPr>
        <w:t>ocho de noviembre del año referidos</w:t>
      </w:r>
      <w:r w:rsidR="006237A9" w:rsidRPr="0082613A">
        <w:rPr>
          <w:rFonts w:eastAsia="Calibri" w:cs="Tahoma"/>
          <w:lang w:val="es-ES"/>
        </w:rPr>
        <w:t>; mismo</w:t>
      </w:r>
      <w:r w:rsidRPr="0082613A">
        <w:rPr>
          <w:rFonts w:eastAsia="Calibri" w:cs="Tahoma"/>
          <w:lang w:val="es-ES"/>
        </w:rPr>
        <w:t xml:space="preserve"> que </w:t>
      </w:r>
      <w:r w:rsidR="00955848" w:rsidRPr="0082613A">
        <w:rPr>
          <w:rFonts w:eastAsia="Calibri" w:cs="Tahoma"/>
          <w:lang w:val="es-ES"/>
        </w:rPr>
        <w:t>desahogó el</w:t>
      </w:r>
      <w:r w:rsidRPr="0082613A">
        <w:rPr>
          <w:rFonts w:eastAsia="Calibri" w:cs="Tahoma"/>
          <w:lang w:val="es-ES"/>
        </w:rPr>
        <w:t xml:space="preserve"> Particular, el mismo día.</w:t>
      </w:r>
    </w:p>
    <w:p w14:paraId="6C7C584E" w14:textId="77777777" w:rsidR="001756F2" w:rsidRPr="0082613A" w:rsidRDefault="001756F2" w:rsidP="00445624">
      <w:pPr>
        <w:spacing w:after="0" w:line="360" w:lineRule="auto"/>
        <w:contextualSpacing/>
        <w:rPr>
          <w:rFonts w:eastAsia="Calibri" w:cs="Tahoma"/>
          <w:lang w:val="es-ES"/>
        </w:rPr>
      </w:pPr>
    </w:p>
    <w:p w14:paraId="7954A457" w14:textId="335756DA" w:rsidR="001756F2" w:rsidRPr="0082613A" w:rsidRDefault="001756F2" w:rsidP="00445624">
      <w:pPr>
        <w:spacing w:after="0" w:line="360" w:lineRule="auto"/>
        <w:contextualSpacing/>
        <w:rPr>
          <w:rFonts w:eastAsia="Calibri" w:cs="Tahoma"/>
          <w:b/>
          <w:bCs/>
          <w:color w:val="000000"/>
        </w:rPr>
      </w:pPr>
      <w:r w:rsidRPr="0082613A">
        <w:rPr>
          <w:rFonts w:eastAsia="Calibri" w:cs="Tahoma"/>
          <w:bCs/>
          <w:color w:val="000000"/>
        </w:rPr>
        <w:t xml:space="preserve">En ese orden de ideas, el plazo con el que contaba el Sujeto Obligado para emitir contestación al requerimiento informativo, </w:t>
      </w:r>
      <w:r w:rsidRPr="0082613A">
        <w:rPr>
          <w:rFonts w:eastAsia="Calibri" w:cs="Tahoma"/>
          <w:b/>
          <w:bCs/>
          <w:color w:val="000000"/>
        </w:rPr>
        <w:t xml:space="preserve">comenzó a correr el </w:t>
      </w:r>
      <w:r w:rsidR="00FD3AD2" w:rsidRPr="0082613A">
        <w:rPr>
          <w:rFonts w:eastAsia="Calibri" w:cs="Tahoma"/>
          <w:b/>
          <w:bCs/>
          <w:color w:val="000000"/>
        </w:rPr>
        <w:t>primero</w:t>
      </w:r>
      <w:r w:rsidR="00DE492D" w:rsidRPr="0082613A">
        <w:rPr>
          <w:rFonts w:eastAsia="Calibri" w:cs="Tahoma"/>
          <w:b/>
          <w:bCs/>
          <w:color w:val="000000"/>
        </w:rPr>
        <w:t xml:space="preserve"> </w:t>
      </w:r>
      <w:r w:rsidRPr="0082613A">
        <w:rPr>
          <w:rFonts w:eastAsia="Calibri" w:cs="Tahoma"/>
          <w:b/>
          <w:bCs/>
          <w:color w:val="000000"/>
        </w:rPr>
        <w:t xml:space="preserve">y feneció el </w:t>
      </w:r>
      <w:r w:rsidR="00FD3AD2" w:rsidRPr="0082613A">
        <w:rPr>
          <w:rFonts w:eastAsia="Calibri" w:cs="Tahoma"/>
          <w:b/>
          <w:bCs/>
          <w:color w:val="000000"/>
        </w:rPr>
        <w:t>veinticuatro</w:t>
      </w:r>
      <w:r w:rsidR="00955848" w:rsidRPr="0082613A">
        <w:rPr>
          <w:rFonts w:eastAsia="Calibri" w:cs="Tahoma"/>
          <w:b/>
          <w:bCs/>
          <w:color w:val="000000"/>
        </w:rPr>
        <w:t xml:space="preserve">, </w:t>
      </w:r>
      <w:r w:rsidRPr="0082613A">
        <w:rPr>
          <w:rFonts w:eastAsia="Calibri" w:cs="Tahoma"/>
          <w:color w:val="000000"/>
        </w:rPr>
        <w:t xml:space="preserve">ambos </w:t>
      </w:r>
      <w:r w:rsidR="00DE492D" w:rsidRPr="0082613A">
        <w:rPr>
          <w:rFonts w:eastAsia="Calibri" w:cs="Tahoma"/>
          <w:color w:val="000000"/>
        </w:rPr>
        <w:t>de</w:t>
      </w:r>
      <w:r w:rsidR="00955848" w:rsidRPr="0082613A">
        <w:rPr>
          <w:rFonts w:eastAsia="Calibri" w:cs="Tahoma"/>
          <w:color w:val="000000"/>
        </w:rPr>
        <w:t xml:space="preserve"> </w:t>
      </w:r>
      <w:r w:rsidR="00FD3AD2" w:rsidRPr="0082613A">
        <w:rPr>
          <w:rFonts w:eastAsia="Calibri" w:cs="Tahoma"/>
          <w:color w:val="000000"/>
        </w:rPr>
        <w:t>noviembre de</w:t>
      </w:r>
      <w:r w:rsidRPr="0082613A">
        <w:rPr>
          <w:rFonts w:eastAsia="Calibri" w:cs="Tahoma"/>
          <w:color w:val="000000"/>
        </w:rPr>
        <w:t xml:space="preserve"> dos mil veintidós; lo</w:t>
      </w:r>
      <w:r w:rsidR="00DE492D" w:rsidRPr="0082613A">
        <w:rPr>
          <w:rFonts w:eastAsia="Calibri" w:cs="Tahoma"/>
          <w:color w:val="000000"/>
        </w:rPr>
        <w:t xml:space="preserve"> anterior, sin contar los días</w:t>
      </w:r>
      <w:r w:rsidR="001B0790" w:rsidRPr="0082613A">
        <w:rPr>
          <w:rFonts w:eastAsia="Calibri" w:cs="Tahoma"/>
          <w:color w:val="000000"/>
        </w:rPr>
        <w:t xml:space="preserve">, </w:t>
      </w:r>
      <w:r w:rsidR="00251BDC" w:rsidRPr="0082613A">
        <w:rPr>
          <w:rFonts w:eastAsia="Calibri" w:cs="Tahoma"/>
          <w:color w:val="000000"/>
        </w:rPr>
        <w:t>dos, cinco, seis,</w:t>
      </w:r>
      <w:r w:rsidR="008F2C96" w:rsidRPr="0082613A">
        <w:rPr>
          <w:rFonts w:eastAsia="Calibri" w:cs="Tahoma"/>
          <w:color w:val="000000"/>
        </w:rPr>
        <w:t xml:space="preserve"> ocho,</w:t>
      </w:r>
      <w:r w:rsidR="00251BDC" w:rsidRPr="0082613A">
        <w:rPr>
          <w:rFonts w:eastAsia="Calibri" w:cs="Tahoma"/>
          <w:color w:val="000000"/>
        </w:rPr>
        <w:t xml:space="preserve"> doce, trece, diecinueve</w:t>
      </w:r>
      <w:r w:rsidR="008F2C96" w:rsidRPr="0082613A">
        <w:rPr>
          <w:rFonts w:eastAsia="Calibri" w:cs="Tahoma"/>
          <w:color w:val="000000"/>
        </w:rPr>
        <w:t>,</w:t>
      </w:r>
      <w:r w:rsidR="00251BDC" w:rsidRPr="0082613A">
        <w:rPr>
          <w:rFonts w:eastAsia="Calibri" w:cs="Tahoma"/>
          <w:color w:val="000000"/>
        </w:rPr>
        <w:t xml:space="preserve"> veinte</w:t>
      </w:r>
      <w:r w:rsidR="008F2C96" w:rsidRPr="0082613A">
        <w:rPr>
          <w:rFonts w:eastAsia="Calibri" w:cs="Tahoma"/>
          <w:color w:val="000000"/>
        </w:rPr>
        <w:t xml:space="preserve"> y veintiuno</w:t>
      </w:r>
      <w:r w:rsidR="00251BDC" w:rsidRPr="0082613A">
        <w:rPr>
          <w:rFonts w:eastAsia="Calibri" w:cs="Tahoma"/>
          <w:color w:val="000000"/>
        </w:rPr>
        <w:t xml:space="preserve"> </w:t>
      </w:r>
      <w:r w:rsidR="00955848" w:rsidRPr="0082613A">
        <w:rPr>
          <w:rFonts w:eastAsia="Calibri" w:cs="Tahoma"/>
          <w:color w:val="000000"/>
        </w:rPr>
        <w:t>del mes y año mencionados</w:t>
      </w:r>
      <w:r w:rsidR="00DE492D" w:rsidRPr="0082613A">
        <w:rPr>
          <w:rFonts w:eastAsia="Calibri" w:cs="Tahoma"/>
          <w:color w:val="000000"/>
        </w:rPr>
        <w:t>, al ser inhábiles</w:t>
      </w:r>
      <w:r w:rsidRPr="0082613A">
        <w:rPr>
          <w:rFonts w:eastAsia="Calibri" w:cs="Tahoma"/>
          <w:color w:val="000000"/>
        </w:rPr>
        <w:t xml:space="preserve">, </w:t>
      </w:r>
      <w:r w:rsidRPr="0082613A">
        <w:rPr>
          <w:rFonts w:eastAsia="Batang" w:cs="Tahoma"/>
          <w:bCs/>
        </w:rPr>
        <w:t xml:space="preserve">de conformidad con los artículos 3°, fracción X, y 159 de la Ley de Transparencia y Acceso a la Información Pública del Estado de México y Municipios y </w:t>
      </w:r>
      <w:bookmarkStart w:id="1" w:name="_Hlk65786947"/>
      <w:r w:rsidRPr="0082613A">
        <w:rPr>
          <w:rFonts w:eastAsia="Batang" w:cs="Tahoma"/>
          <w:bCs/>
        </w:rPr>
        <w:t xml:space="preserve">el </w:t>
      </w:r>
      <w:r w:rsidRPr="0082613A">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sidRPr="0082613A">
        <w:rPr>
          <w:rFonts w:eastAsia="Batang" w:cs="Tahoma"/>
          <w:lang w:val="es-ES"/>
        </w:rPr>
        <w:t>mil veintitrés.</w:t>
      </w:r>
    </w:p>
    <w:p w14:paraId="32D2CA64" w14:textId="77777777" w:rsidR="000F5705" w:rsidRPr="0082613A" w:rsidRDefault="000F5705" w:rsidP="00445624">
      <w:pPr>
        <w:spacing w:after="0" w:line="360" w:lineRule="auto"/>
        <w:contextualSpacing/>
        <w:rPr>
          <w:rFonts w:eastAsia="Calibri" w:cs="Tahoma"/>
        </w:rPr>
      </w:pPr>
    </w:p>
    <w:p w14:paraId="3D28C3FF" w14:textId="38ABC2A9" w:rsidR="00047686" w:rsidRPr="0082613A" w:rsidRDefault="000F5705" w:rsidP="00445624">
      <w:pPr>
        <w:spacing w:after="0" w:line="360" w:lineRule="auto"/>
        <w:contextualSpacing/>
        <w:rPr>
          <w:rFonts w:eastAsia="Calibri" w:cs="Tahoma"/>
          <w:lang w:val="es-ES"/>
        </w:rPr>
      </w:pPr>
      <w:r w:rsidRPr="0082613A">
        <w:rPr>
          <w:rFonts w:eastAsia="Calibri" w:cs="Tahoma"/>
        </w:rPr>
        <w:t xml:space="preserve">Conforme a lo anterior, este Instituto verificó que, en efecto, no se registró una respuesta a la solicitud del ahora Recurrente, en el </w:t>
      </w:r>
      <w:r w:rsidRPr="0082613A">
        <w:rPr>
          <w:rFonts w:eastAsia="Calibri" w:cs="Tahoma"/>
          <w:lang w:val="es-ES"/>
        </w:rPr>
        <w:t>Sistema de Acceso a la Información Mexiquense (SAIMEX), sistema utilizado para presentar el requerimiento informativo, tal como se observa a continuación:</w:t>
      </w:r>
    </w:p>
    <w:p w14:paraId="3057A297" w14:textId="77777777" w:rsidR="008F2C96" w:rsidRPr="0082613A" w:rsidRDefault="008F2C96" w:rsidP="00445624">
      <w:pPr>
        <w:spacing w:after="0" w:line="360" w:lineRule="auto"/>
        <w:contextualSpacing/>
        <w:rPr>
          <w:rFonts w:eastAsia="Calibri" w:cs="Tahoma"/>
          <w:lang w:val="es-ES"/>
        </w:rPr>
      </w:pPr>
    </w:p>
    <w:p w14:paraId="6D438A9D" w14:textId="2ED9379B" w:rsidR="00BD5986" w:rsidRPr="0082613A" w:rsidRDefault="00FD3AD2" w:rsidP="00445624">
      <w:pPr>
        <w:spacing w:after="0" w:line="360" w:lineRule="auto"/>
        <w:contextualSpacing/>
        <w:jc w:val="center"/>
        <w:rPr>
          <w:rFonts w:eastAsia="Calibri" w:cs="Tahoma"/>
          <w:bCs/>
        </w:rPr>
      </w:pPr>
      <w:r w:rsidRPr="0082613A">
        <w:rPr>
          <w:rFonts w:eastAsia="Calibri" w:cs="Tahoma"/>
          <w:bCs/>
          <w:noProof/>
        </w:rPr>
        <w:lastRenderedPageBreak/>
        <w:drawing>
          <wp:inline distT="0" distB="0" distL="0" distR="0" wp14:anchorId="266E097D" wp14:editId="27661974">
            <wp:extent cx="2375338" cy="2059503"/>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97294" cy="2078540"/>
                    </a:xfrm>
                    <a:prstGeom prst="rect">
                      <a:avLst/>
                    </a:prstGeom>
                  </pic:spPr>
                </pic:pic>
              </a:graphicData>
            </a:graphic>
          </wp:inline>
        </w:drawing>
      </w:r>
    </w:p>
    <w:p w14:paraId="2EEC006E" w14:textId="77777777" w:rsidR="001B32AD" w:rsidRPr="0082613A" w:rsidRDefault="001B32AD" w:rsidP="00445624">
      <w:pPr>
        <w:spacing w:after="0" w:line="360" w:lineRule="auto"/>
        <w:contextualSpacing/>
        <w:jc w:val="center"/>
        <w:rPr>
          <w:rFonts w:eastAsia="Calibri" w:cs="Tahoma"/>
          <w:bCs/>
        </w:rPr>
      </w:pPr>
    </w:p>
    <w:p w14:paraId="2E0C5E60" w14:textId="1403C93F" w:rsidR="000F5705" w:rsidRPr="0082613A" w:rsidRDefault="000F5705" w:rsidP="00445624">
      <w:pPr>
        <w:spacing w:after="0" w:line="360" w:lineRule="auto"/>
        <w:contextualSpacing/>
        <w:rPr>
          <w:rFonts w:eastAsia="Calibri" w:cs="Tahoma"/>
          <w:b/>
          <w:bCs/>
        </w:rPr>
      </w:pPr>
      <w:r w:rsidRPr="0082613A">
        <w:rPr>
          <w:rFonts w:eastAsia="Calibri" w:cs="Tahoma"/>
          <w:bCs/>
        </w:rPr>
        <w:t xml:space="preserve">Así, se colige que, tal como lo precisó el Particular, </w:t>
      </w:r>
      <w:r w:rsidRPr="0082613A">
        <w:rPr>
          <w:rFonts w:eastAsia="Calibri" w:cs="Tahoma"/>
          <w:b/>
          <w:bCs/>
        </w:rPr>
        <w:t xml:space="preserve">el </w:t>
      </w:r>
      <w:r w:rsidR="000C006D" w:rsidRPr="0082613A">
        <w:rPr>
          <w:b/>
          <w:bCs/>
          <w:color w:val="000000"/>
        </w:rPr>
        <w:t>Ayuntamiento de Zinacantepec</w:t>
      </w:r>
      <w:r w:rsidRPr="0082613A">
        <w:rPr>
          <w:rFonts w:eastAsia="Calibri" w:cs="Tahoma"/>
        </w:rPr>
        <w:t xml:space="preserve">, no emitió respuesta para dar contestación a la solicitud de información, dentro de los plazos establecidos en el artículo 163, de la Ley de la materia, pues tenía hasta el </w:t>
      </w:r>
      <w:r w:rsidR="00FD3AD2" w:rsidRPr="0082613A">
        <w:rPr>
          <w:rFonts w:eastAsia="Calibri" w:cs="Tahoma"/>
        </w:rPr>
        <w:t>veinticuatro de noviembre de dos mil veintidós</w:t>
      </w:r>
      <w:r w:rsidR="00EC5FB3" w:rsidRPr="0082613A">
        <w:rPr>
          <w:rFonts w:eastAsia="Calibri" w:cs="Tahoma"/>
          <w:b/>
          <w:bCs/>
        </w:rPr>
        <w:t>, lo cual da como resultado que el agravio sea FUNDADO.</w:t>
      </w:r>
    </w:p>
    <w:p w14:paraId="4B7E008E" w14:textId="3BE81BA8" w:rsidR="00251BDC" w:rsidRPr="0082613A" w:rsidRDefault="00251BDC" w:rsidP="00445624">
      <w:pPr>
        <w:spacing w:after="0" w:line="360" w:lineRule="auto"/>
        <w:contextualSpacing/>
        <w:rPr>
          <w:rFonts w:eastAsia="Calibri" w:cs="Tahoma"/>
          <w:b/>
          <w:bCs/>
        </w:rPr>
      </w:pPr>
    </w:p>
    <w:p w14:paraId="1D94D73E" w14:textId="695A01DA" w:rsidR="008F2C96" w:rsidRPr="0082613A" w:rsidRDefault="00170570" w:rsidP="00445624">
      <w:pPr>
        <w:spacing w:after="0" w:line="360" w:lineRule="auto"/>
        <w:contextualSpacing/>
      </w:pPr>
      <w:r w:rsidRPr="0082613A">
        <w:t xml:space="preserve">Ahora bien, durante la sustanciación del </w:t>
      </w:r>
      <w:r w:rsidR="008F2C96" w:rsidRPr="0082613A">
        <w:t>M</w:t>
      </w:r>
      <w:r w:rsidRPr="0082613A">
        <w:t xml:space="preserve">edio de </w:t>
      </w:r>
      <w:r w:rsidR="008F2C96" w:rsidRPr="0082613A">
        <w:t>I</w:t>
      </w:r>
      <w:r w:rsidRPr="0082613A">
        <w:t xml:space="preserve">mpugnación, el Sujeto Obligado </w:t>
      </w:r>
      <w:r w:rsidR="008F2C96" w:rsidRPr="0082613A">
        <w:t>dio respuesta a la solicitud de información; por lo que, se procede a su análisis, del cual de las constancias que obran en el expediente se advierte que el Sujeto Obligado turno la solicitud de información a la Dirección de Administración, tal como se muestra a continuación:</w:t>
      </w:r>
    </w:p>
    <w:p w14:paraId="3D05E542" w14:textId="2638DF62" w:rsidR="008F2C96" w:rsidRPr="0082613A" w:rsidRDefault="008F2C96" w:rsidP="00445624">
      <w:pPr>
        <w:spacing w:after="0" w:line="360" w:lineRule="auto"/>
        <w:contextualSpacing/>
      </w:pPr>
    </w:p>
    <w:p w14:paraId="6EDE743C" w14:textId="2EA83EF3" w:rsidR="008F2C96" w:rsidRPr="0082613A" w:rsidRDefault="008F2C96" w:rsidP="008F2C96">
      <w:pPr>
        <w:spacing w:after="0" w:line="360" w:lineRule="auto"/>
        <w:contextualSpacing/>
        <w:jc w:val="center"/>
      </w:pPr>
      <w:r w:rsidRPr="0082613A">
        <w:rPr>
          <w:noProof/>
        </w:rPr>
        <w:drawing>
          <wp:inline distT="0" distB="0" distL="0" distR="0" wp14:anchorId="0783AF39" wp14:editId="61E5C0FF">
            <wp:extent cx="4724400" cy="2200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4400" cy="2200275"/>
                    </a:xfrm>
                    <a:prstGeom prst="rect">
                      <a:avLst/>
                    </a:prstGeom>
                  </pic:spPr>
                </pic:pic>
              </a:graphicData>
            </a:graphic>
          </wp:inline>
        </w:drawing>
      </w:r>
    </w:p>
    <w:p w14:paraId="3BC321C2" w14:textId="77777777" w:rsidR="008F2C96" w:rsidRPr="0082613A" w:rsidRDefault="008F2C96" w:rsidP="00445624">
      <w:pPr>
        <w:spacing w:after="0" w:line="360" w:lineRule="auto"/>
        <w:contextualSpacing/>
      </w:pPr>
    </w:p>
    <w:p w14:paraId="37727702" w14:textId="142D75E9" w:rsidR="008F2C96" w:rsidRPr="0082613A" w:rsidRDefault="008F2C96" w:rsidP="008F2C96">
      <w:pPr>
        <w:spacing w:after="0" w:line="360" w:lineRule="auto"/>
        <w:rPr>
          <w:rFonts w:cs="Tahoma"/>
          <w:bCs/>
        </w:rPr>
      </w:pPr>
      <w:r w:rsidRPr="0082613A">
        <w:rPr>
          <w:rFonts w:cs="Tahoma"/>
          <w:bCs/>
        </w:rPr>
        <w:lastRenderedPageBreak/>
        <w:t>Así,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D4C507C" w14:textId="77777777" w:rsidR="008F2C96" w:rsidRPr="0082613A" w:rsidRDefault="008F2C96" w:rsidP="008F2C96">
      <w:pPr>
        <w:spacing w:after="0" w:line="360" w:lineRule="auto"/>
        <w:rPr>
          <w:rFonts w:cs="Tahoma"/>
          <w:bCs/>
        </w:rPr>
      </w:pPr>
    </w:p>
    <w:p w14:paraId="33B866D6" w14:textId="77777777" w:rsidR="008F2C96" w:rsidRPr="0082613A" w:rsidRDefault="008F2C96" w:rsidP="008F2C96">
      <w:pPr>
        <w:numPr>
          <w:ilvl w:val="0"/>
          <w:numId w:val="7"/>
        </w:numPr>
        <w:spacing w:after="0" w:line="360" w:lineRule="auto"/>
        <w:rPr>
          <w:rFonts w:eastAsia="Calibri" w:cs="Tahoma"/>
          <w:bCs/>
          <w:color w:val="000000"/>
          <w:lang w:val="es-ES"/>
        </w:rPr>
      </w:pPr>
      <w:r w:rsidRPr="0082613A">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44DE5A6" w14:textId="77777777" w:rsidR="008F2C96" w:rsidRPr="0082613A" w:rsidRDefault="008F2C96" w:rsidP="008F2C96">
      <w:pPr>
        <w:spacing w:after="0" w:line="360" w:lineRule="auto"/>
        <w:ind w:left="720"/>
        <w:rPr>
          <w:rFonts w:eastAsia="Calibri" w:cs="Tahoma"/>
          <w:bCs/>
          <w:color w:val="000000"/>
          <w:lang w:val="es-ES"/>
        </w:rPr>
      </w:pPr>
    </w:p>
    <w:p w14:paraId="7B6FFD33" w14:textId="77777777" w:rsidR="008F2C96" w:rsidRPr="0082613A" w:rsidRDefault="008F2C96" w:rsidP="008F2C96">
      <w:pPr>
        <w:numPr>
          <w:ilvl w:val="0"/>
          <w:numId w:val="7"/>
        </w:numPr>
        <w:spacing w:after="0" w:line="360" w:lineRule="auto"/>
        <w:rPr>
          <w:rFonts w:eastAsia="Calibri" w:cs="Tahoma"/>
          <w:bCs/>
          <w:color w:val="000000"/>
          <w:lang w:val="es-ES"/>
        </w:rPr>
      </w:pPr>
      <w:r w:rsidRPr="0082613A">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2517CF3" w14:textId="77777777" w:rsidR="008F2C96" w:rsidRPr="0082613A" w:rsidRDefault="008F2C96" w:rsidP="008F2C96">
      <w:pPr>
        <w:spacing w:after="0" w:line="360" w:lineRule="auto"/>
        <w:rPr>
          <w:rFonts w:cs="Tahoma"/>
          <w:bCs/>
        </w:rPr>
      </w:pPr>
    </w:p>
    <w:p w14:paraId="5B332DA6" w14:textId="572A33B3" w:rsidR="008F2C96" w:rsidRPr="0082613A" w:rsidRDefault="008F2C96" w:rsidP="008F2C96">
      <w:pPr>
        <w:spacing w:after="0" w:line="360" w:lineRule="auto"/>
        <w:ind w:right="-28"/>
        <w:contextualSpacing/>
        <w:rPr>
          <w:rFonts w:eastAsia="Calibri" w:cs="Tahoma"/>
          <w:bCs/>
          <w:color w:val="auto"/>
        </w:rPr>
      </w:pPr>
      <w:r w:rsidRPr="0082613A">
        <w:rPr>
          <w:rFonts w:eastAsia="Calibri" w:cs="Tahoma"/>
          <w:bCs/>
          <w:color w:val="000000"/>
        </w:rPr>
        <w:t xml:space="preserve">Así, a efecto de determinar si el Sujeto Obligado cumplió con el procedimiento de búsqueda, resulta necesario precisar que los artículos </w:t>
      </w:r>
      <w:r w:rsidR="006C3E57" w:rsidRPr="0082613A">
        <w:rPr>
          <w:rFonts w:eastAsia="Calibri" w:cs="Tahoma"/>
          <w:bCs/>
          <w:color w:val="000000"/>
        </w:rPr>
        <w:t>22, fracción I, numeral 13, 52 y 53</w:t>
      </w:r>
      <w:r w:rsidRPr="0082613A">
        <w:rPr>
          <w:rFonts w:eastAsia="Calibri" w:cs="Tahoma"/>
          <w:bCs/>
          <w:color w:val="000000"/>
        </w:rPr>
        <w:t xml:space="preserve">, del Reglamento </w:t>
      </w:r>
      <w:r w:rsidR="006C3E57" w:rsidRPr="0082613A">
        <w:rPr>
          <w:rFonts w:eastAsia="Calibri" w:cs="Tahoma"/>
          <w:bCs/>
          <w:color w:val="000000"/>
        </w:rPr>
        <w:t>Orgánico Municipal de Zinacantepec</w:t>
      </w:r>
      <w:r w:rsidRPr="0082613A">
        <w:rPr>
          <w:rFonts w:eastAsia="Calibri" w:cs="Tahoma"/>
          <w:bCs/>
          <w:color w:val="000000"/>
        </w:rPr>
        <w:t xml:space="preserve">, establecen que el Sujeto Obligado para el ejercicio de sus funciones, contará con diversas unidades administrativas, entre las cuales se encuentra la Dirección de Administración, </w:t>
      </w:r>
      <w:r w:rsidR="006C3E57" w:rsidRPr="0082613A">
        <w:rPr>
          <w:rFonts w:eastAsia="Calibri" w:cs="Tahoma"/>
          <w:bCs/>
          <w:color w:val="000000"/>
        </w:rPr>
        <w:t>encargada de vigilar los procesos de reclutamiento y selección de personal; mantener el resguardo y actualización del Archivo de Personal del Ayuntamiento</w:t>
      </w:r>
      <w:r w:rsidR="002622AA" w:rsidRPr="0082613A">
        <w:rPr>
          <w:rFonts w:eastAsia="Calibri" w:cs="Tahoma"/>
          <w:bCs/>
          <w:color w:val="000000"/>
        </w:rPr>
        <w:t>; así como, de establecer controles del estado físico y mantenimiento del parque vehicular oficial, así como el pago de sus obligaciones fiscales y administrativas.</w:t>
      </w:r>
    </w:p>
    <w:p w14:paraId="556B1C0F" w14:textId="77777777" w:rsidR="008F2C96" w:rsidRPr="0082613A" w:rsidRDefault="008F2C96" w:rsidP="008F2C96">
      <w:pPr>
        <w:spacing w:after="0" w:line="360" w:lineRule="auto"/>
        <w:ind w:right="-28"/>
        <w:contextualSpacing/>
        <w:rPr>
          <w:rFonts w:eastAsia="Calibri" w:cs="Tahoma"/>
          <w:bCs/>
          <w:color w:val="auto"/>
        </w:rPr>
      </w:pPr>
    </w:p>
    <w:p w14:paraId="092054BA" w14:textId="533B83CC" w:rsidR="008F2C96" w:rsidRPr="0082613A" w:rsidRDefault="008F2C96" w:rsidP="008F2C96">
      <w:pPr>
        <w:spacing w:after="0" w:line="360" w:lineRule="auto"/>
        <w:ind w:right="-28"/>
        <w:contextualSpacing/>
        <w:rPr>
          <w:rFonts w:eastAsia="Calibri" w:cs="Tahoma"/>
          <w:bCs/>
          <w:iCs/>
          <w:color w:val="auto"/>
        </w:rPr>
      </w:pPr>
      <w:r w:rsidRPr="0082613A">
        <w:rPr>
          <w:rFonts w:eastAsia="Calibri" w:cs="Tahoma"/>
          <w:bCs/>
          <w:iCs/>
          <w:color w:val="auto"/>
        </w:rPr>
        <w:t xml:space="preserve">Así se logra vislumbrar que la Dirección de Administración cuenta con facultades para conocer todo lo relacionado </w:t>
      </w:r>
      <w:r w:rsidR="002622AA" w:rsidRPr="0082613A">
        <w:rPr>
          <w:rFonts w:eastAsia="Calibri" w:cs="Tahoma"/>
          <w:bCs/>
          <w:iCs/>
          <w:color w:val="auto"/>
        </w:rPr>
        <w:t xml:space="preserve">con la administración de los expedientes de personal y el parque </w:t>
      </w:r>
      <w:r w:rsidR="002622AA" w:rsidRPr="0082613A">
        <w:rPr>
          <w:rFonts w:eastAsia="Calibri" w:cs="Tahoma"/>
          <w:bCs/>
          <w:iCs/>
          <w:color w:val="auto"/>
        </w:rPr>
        <w:lastRenderedPageBreak/>
        <w:t>vehicular con el que contaba el Ayuntamiento</w:t>
      </w:r>
      <w:r w:rsidRPr="0082613A">
        <w:rPr>
          <w:rFonts w:eastAsia="Calibri" w:cs="Tahoma"/>
          <w:bCs/>
          <w:iCs/>
          <w:color w:val="auto"/>
        </w:rPr>
        <w:t>, por lo que, se considera que cumplió con el procedimiento de búsqueda establecido en el artículo 162 de la Ley de Transparencia y Acceso a la Información Pública del Estado de México y Municipios.</w:t>
      </w:r>
    </w:p>
    <w:p w14:paraId="4C63A04E" w14:textId="77777777" w:rsidR="008F2C96" w:rsidRPr="0082613A" w:rsidRDefault="008F2C96" w:rsidP="00445624">
      <w:pPr>
        <w:spacing w:after="0" w:line="360" w:lineRule="auto"/>
        <w:contextualSpacing/>
      </w:pPr>
    </w:p>
    <w:p w14:paraId="2F2B3CB1" w14:textId="61F13B48" w:rsidR="00857877" w:rsidRPr="0082613A" w:rsidRDefault="00B9408D" w:rsidP="00857877">
      <w:pPr>
        <w:spacing w:after="0" w:line="360" w:lineRule="auto"/>
        <w:contextualSpacing/>
        <w:rPr>
          <w:rFonts w:eastAsia="Calibri" w:cs="Tahoma"/>
        </w:rPr>
      </w:pPr>
      <w:r w:rsidRPr="0082613A">
        <w:t>Ahora bien, el servidor público habilitado de dicha área precisó</w:t>
      </w:r>
      <w:r w:rsidR="00857877" w:rsidRPr="0082613A">
        <w:t xml:space="preserve">, que la Licencia de Conducir no era un requisito para ser servidor público, por lo que, no obraba dentro de los expedientes de cada trabajador dicha documental; </w:t>
      </w:r>
      <w:r w:rsidR="00857877" w:rsidRPr="0082613A">
        <w:rPr>
          <w:rFonts w:eastAsia="Calibri" w:cs="Tahoma"/>
          <w:bCs/>
        </w:rPr>
        <w:t>al respecto, es señalar que este Instituto, no tiene atribuciones para pronunciarse sobre la veracidad de la información. A</w:t>
      </w:r>
      <w:r w:rsidR="00857877" w:rsidRPr="0082613A">
        <w:rPr>
          <w:rFonts w:eastAsia="Calibri" w:cs="Tahoma"/>
          <w:bCs/>
          <w:iCs/>
        </w:rPr>
        <w:t xml:space="preserve">poya lo anterior, el </w:t>
      </w:r>
      <w:r w:rsidR="00857877" w:rsidRPr="0082613A">
        <w:rPr>
          <w:rFonts w:eastAsia="Calibri" w:cs="Tahoma"/>
          <w:bCs/>
          <w:lang w:val="es-ES"/>
        </w:rPr>
        <w:t xml:space="preserve">Criterio de Interpretación, de la Primera Época, con número de registro </w:t>
      </w:r>
      <w:r w:rsidR="00857877" w:rsidRPr="0082613A">
        <w:rPr>
          <w:rFonts w:eastAsia="Calibri" w:cs="Tahoma"/>
          <w:bCs/>
        </w:rPr>
        <w:t>SO/031/2010,</w:t>
      </w:r>
      <w:r w:rsidR="00857877" w:rsidRPr="0082613A">
        <w:rPr>
          <w:rFonts w:eastAsia="Calibri" w:cs="Tahoma"/>
          <w:bCs/>
          <w:iCs/>
        </w:rPr>
        <w:t xml:space="preserve"> emitido por el Pleno del entonces Instituto Federal de Acceso a la Información y Protección de Datos, que a continuación se cita:</w:t>
      </w:r>
    </w:p>
    <w:p w14:paraId="28C41477" w14:textId="77777777" w:rsidR="00857877" w:rsidRPr="0082613A" w:rsidRDefault="00857877" w:rsidP="00857877">
      <w:pPr>
        <w:spacing w:after="0" w:line="360" w:lineRule="auto"/>
        <w:rPr>
          <w:rFonts w:eastAsia="Calibri" w:cs="Tahoma"/>
          <w:sz w:val="20"/>
          <w:szCs w:val="20"/>
        </w:rPr>
      </w:pPr>
    </w:p>
    <w:p w14:paraId="0551DB9F" w14:textId="77777777" w:rsidR="00857877" w:rsidRPr="0082613A" w:rsidRDefault="00857877" w:rsidP="00857877">
      <w:pPr>
        <w:spacing w:after="0" w:line="360" w:lineRule="auto"/>
        <w:ind w:left="567" w:right="567"/>
        <w:rPr>
          <w:rFonts w:eastAsia="Calibri" w:cs="Tahoma"/>
          <w:bCs/>
          <w:i/>
          <w:sz w:val="20"/>
          <w:szCs w:val="20"/>
        </w:rPr>
      </w:pPr>
      <w:r w:rsidRPr="0082613A">
        <w:rPr>
          <w:rFonts w:eastAsia="Calibri" w:cs="Tahoma"/>
          <w:b/>
          <w:bCs/>
          <w:i/>
          <w:sz w:val="20"/>
          <w:szCs w:val="20"/>
        </w:rPr>
        <w:t xml:space="preserve">“El Instituto Federal de Acceso a la Información y Protección de Datos </w:t>
      </w:r>
      <w:r w:rsidRPr="0082613A">
        <w:rPr>
          <w:rFonts w:eastAsia="Calibri" w:cs="Tahoma"/>
          <w:b/>
          <w:bCs/>
          <w:i/>
          <w:sz w:val="20"/>
          <w:szCs w:val="20"/>
          <w:u w:val="single"/>
        </w:rPr>
        <w:t xml:space="preserve">no cuenta con facultades para pronunciarse respecto de la veracidad de los documentos proporcionados por los sujetos obligados. </w:t>
      </w:r>
      <w:r w:rsidRPr="0082613A">
        <w:rPr>
          <w:rFonts w:eastAsia="Calibri" w:cs="Tahoma"/>
          <w:bCs/>
          <w:i/>
          <w:sz w:val="20"/>
          <w:szCs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6313B1" w14:textId="77777777" w:rsidR="00857877" w:rsidRPr="0082613A" w:rsidRDefault="00857877" w:rsidP="00857877">
      <w:pPr>
        <w:spacing w:after="0" w:line="360" w:lineRule="auto"/>
        <w:rPr>
          <w:rFonts w:eastAsia="Times New Roman" w:cs="Times New Roman"/>
          <w:color w:val="auto"/>
          <w:lang w:val="es-ES" w:eastAsia="es-ES"/>
        </w:rPr>
      </w:pPr>
    </w:p>
    <w:p w14:paraId="63F7383A" w14:textId="77777777" w:rsidR="00857877" w:rsidRPr="0082613A" w:rsidRDefault="00857877" w:rsidP="00857877">
      <w:pPr>
        <w:spacing w:after="0" w:line="360" w:lineRule="auto"/>
        <w:rPr>
          <w:rFonts w:cs="Tahoma"/>
        </w:rPr>
      </w:pPr>
      <w:r w:rsidRPr="0082613A">
        <w:rPr>
          <w:iCs/>
          <w:lang w:val="es-ES"/>
        </w:rPr>
        <w:t>Conforme a lo expuesto, se logra colegir que el Ente Recurrido</w:t>
      </w:r>
      <w:r w:rsidRPr="0082613A">
        <w:rPr>
          <w:iCs/>
        </w:rPr>
        <w:t xml:space="preserve"> </w:t>
      </w:r>
      <w:r w:rsidRPr="0082613A">
        <w:rPr>
          <w:iCs/>
          <w:lang w:val="es-ES"/>
        </w:rPr>
        <w:t>aludió a que la información era inexistente; sobre el tema, e</w:t>
      </w:r>
      <w:r w:rsidRPr="0082613A">
        <w:rPr>
          <w:lang w:val="es-ES_tradnl"/>
        </w:rPr>
        <w:t xml:space="preserve">l </w:t>
      </w:r>
      <w:r w:rsidRPr="0082613A">
        <w:rPr>
          <w:rFonts w:cs="Tahoma"/>
        </w:rPr>
        <w:t>Criterio SO/014/2017, emitido por el Instituto Nacional de Transparencia, Acceso a la Información Pública y Protección de Datos Personales en el Estado de México y Municipios, que señala lo siguiente:</w:t>
      </w:r>
    </w:p>
    <w:p w14:paraId="1E34FB7D" w14:textId="77777777" w:rsidR="00857877" w:rsidRPr="0082613A" w:rsidRDefault="00857877" w:rsidP="00857877">
      <w:pPr>
        <w:spacing w:after="0" w:line="360" w:lineRule="auto"/>
      </w:pPr>
    </w:p>
    <w:p w14:paraId="71A0ABE5" w14:textId="77777777" w:rsidR="00857877" w:rsidRPr="0082613A" w:rsidRDefault="00857877" w:rsidP="00857877">
      <w:pPr>
        <w:spacing w:after="0" w:line="360" w:lineRule="auto"/>
        <w:ind w:left="567" w:right="567"/>
        <w:rPr>
          <w:bCs/>
          <w:i/>
          <w:sz w:val="20"/>
          <w:szCs w:val="20"/>
          <w:lang w:val="es-ES"/>
        </w:rPr>
      </w:pPr>
      <w:r w:rsidRPr="0082613A">
        <w:rPr>
          <w:bCs/>
          <w:i/>
          <w:sz w:val="20"/>
          <w:szCs w:val="20"/>
          <w:lang w:val="es-ES"/>
        </w:rPr>
        <w:t>“</w:t>
      </w:r>
      <w:r w:rsidRPr="0082613A">
        <w:rPr>
          <w:b/>
          <w:bCs/>
          <w:i/>
          <w:sz w:val="20"/>
          <w:szCs w:val="20"/>
          <w:lang w:val="es-ES"/>
        </w:rPr>
        <w:t xml:space="preserve">Inexistencia. </w:t>
      </w:r>
      <w:r w:rsidRPr="0082613A">
        <w:rPr>
          <w:bCs/>
          <w:i/>
          <w:sz w:val="20"/>
          <w:szCs w:val="20"/>
          <w:lang w:val="es-ES"/>
        </w:rPr>
        <w:t>La inexistencia es una cuestión de hecho que se atribuye a la información solicitada e implica que ésta no se encuentra en los archivos del sujeto obligado, no obstante que cuenta con facultades para poseerla.”</w:t>
      </w:r>
    </w:p>
    <w:p w14:paraId="3BEF66F4" w14:textId="77777777" w:rsidR="00857877" w:rsidRPr="0082613A" w:rsidRDefault="00857877" w:rsidP="00857877">
      <w:pPr>
        <w:spacing w:after="0" w:line="360" w:lineRule="auto"/>
        <w:rPr>
          <w:bCs/>
        </w:rPr>
      </w:pPr>
    </w:p>
    <w:p w14:paraId="6A4D74BB" w14:textId="77777777" w:rsidR="00857877" w:rsidRPr="0082613A" w:rsidRDefault="00857877" w:rsidP="00857877">
      <w:pPr>
        <w:spacing w:after="0" w:line="360" w:lineRule="auto"/>
        <w:rPr>
          <w:lang w:val="es-ES"/>
        </w:rPr>
      </w:pPr>
      <w:r w:rsidRPr="0082613A">
        <w:t xml:space="preserve">Del citado criterio, se desprende que la inexistencia de la información, es una cuestión de hecho que se le atribuye a la misma, cuando ésta no se encuentra en los archivos del sujeto obligado. </w:t>
      </w:r>
      <w:r w:rsidRPr="0082613A">
        <w:rPr>
          <w:lang w:val="es-ES"/>
        </w:rPr>
        <w:t xml:space="preserve">En ese orden de ideas, según Trujillo, Humberto (2019), en el “Diccionario de Transparencia y Acceso a la Información Pública” (p. 171), </w:t>
      </w:r>
      <w:r w:rsidRPr="0082613A">
        <w:rPr>
          <w:b/>
          <w:bCs/>
          <w:lang w:val="es-ES"/>
        </w:rPr>
        <w:t>la inexistencia de la información</w:t>
      </w:r>
      <w:r w:rsidRPr="0082613A">
        <w:rPr>
          <w:lang w:val="es-ES"/>
        </w:rPr>
        <w:t>, es cuando la información requerida no se encuentra en los archivos públicos, reservados o clasificados, de los sujetos obligados.</w:t>
      </w:r>
    </w:p>
    <w:p w14:paraId="38841ED3" w14:textId="77777777" w:rsidR="00857877" w:rsidRPr="0082613A" w:rsidRDefault="00857877" w:rsidP="00857877">
      <w:pPr>
        <w:spacing w:after="0" w:line="360" w:lineRule="auto"/>
        <w:rPr>
          <w:lang w:val="es-ES"/>
        </w:rPr>
      </w:pPr>
    </w:p>
    <w:p w14:paraId="3F9F45EA" w14:textId="77777777" w:rsidR="00857877" w:rsidRPr="0082613A" w:rsidRDefault="00857877" w:rsidP="00857877">
      <w:pPr>
        <w:spacing w:after="0" w:line="360" w:lineRule="auto"/>
        <w:rPr>
          <w:rFonts w:eastAsia="Times New Roman" w:cs="Tahoma"/>
          <w:bCs/>
          <w:iCs/>
          <w:lang w:val="es-ES" w:eastAsia="es-ES"/>
        </w:rPr>
      </w:pPr>
      <w:r w:rsidRPr="0082613A">
        <w:rPr>
          <w:rFonts w:eastAsia="Times New Roman" w:cs="Tahoma"/>
          <w:color w:val="auto"/>
          <w:lang w:val="es-ES" w:eastAsia="es-ES"/>
        </w:rPr>
        <w:t>Así</w:t>
      </w:r>
      <w:r w:rsidRPr="0082613A">
        <w:rPr>
          <w:rFonts w:eastAsia="Times New Roman" w:cs="Tahoma"/>
          <w:color w:val="auto"/>
          <w:lang w:eastAsia="es-ES"/>
        </w:rPr>
        <w:t xml:space="preserve">, es posible concluir que la </w:t>
      </w:r>
      <w:r w:rsidRPr="0082613A">
        <w:rPr>
          <w:rFonts w:eastAsia="Times New Roman" w:cs="Tahoma"/>
          <w:b/>
          <w:color w:val="auto"/>
          <w:lang w:eastAsia="es-ES"/>
        </w:rPr>
        <w:t>inexistencia</w:t>
      </w:r>
      <w:r w:rsidRPr="0082613A">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82613A">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14:paraId="5C4A03DD" w14:textId="77777777" w:rsidR="00857877" w:rsidRPr="0082613A" w:rsidRDefault="00857877" w:rsidP="00857877">
      <w:pPr>
        <w:spacing w:after="0" w:line="360" w:lineRule="auto"/>
        <w:rPr>
          <w:rFonts w:eastAsia="Times New Roman" w:cs="Times New Roman"/>
          <w:color w:val="auto"/>
          <w:lang w:val="es-ES" w:eastAsia="es-ES"/>
        </w:rPr>
      </w:pPr>
    </w:p>
    <w:p w14:paraId="1121348A" w14:textId="07F32AED" w:rsidR="00857877" w:rsidRPr="0082613A" w:rsidRDefault="00857877" w:rsidP="00857877">
      <w:pPr>
        <w:spacing w:after="0" w:line="360" w:lineRule="auto"/>
        <w:rPr>
          <w:rFonts w:eastAsia="Times New Roman" w:cs="Tahoma"/>
          <w:iCs/>
          <w:color w:val="auto"/>
          <w:lang w:val="es-ES" w:eastAsia="es-ES"/>
        </w:rPr>
      </w:pPr>
      <w:r w:rsidRPr="0082613A">
        <w:rPr>
          <w:rFonts w:eastAsia="Times New Roman" w:cs="Tahoma"/>
          <w:bCs/>
          <w:color w:val="auto"/>
          <w:lang w:eastAsia="es-ES"/>
        </w:rPr>
        <w:t>En ese contexto, el Ente Recurrido indicó</w:t>
      </w:r>
      <w:r w:rsidRPr="0082613A">
        <w:rPr>
          <w:rFonts w:ascii="Times New Roman" w:eastAsia="Times New Roman" w:hAnsi="Times New Roman" w:cs="Times New Roman"/>
          <w:color w:val="auto"/>
          <w:sz w:val="20"/>
          <w:szCs w:val="20"/>
          <w:lang w:eastAsia="es-ES"/>
        </w:rPr>
        <w:t xml:space="preserve"> </w:t>
      </w:r>
      <w:r w:rsidRPr="0082613A">
        <w:rPr>
          <w:rFonts w:eastAsia="Times New Roman" w:cs="Tahoma"/>
          <w:bCs/>
          <w:color w:val="auto"/>
          <w:lang w:eastAsia="es-ES"/>
        </w:rPr>
        <w:t xml:space="preserve">las circunstancias por las cuales no contaba con la información, a saber, que no era requisito para ser servidor público, contar con Licencia de Conducir, y, por lo tanto, no obraba en los expedientes de personal; además, este Instituto revisó el artículo 47 de la </w:t>
      </w:r>
      <w:r w:rsidR="00EF6E5D" w:rsidRPr="0082613A">
        <w:t>Ley del Trabajo de los Servidores Públicos del Estado de México y Municipios, y no precisa entre sus requisitos que se deba contar con autorización para conducir.</w:t>
      </w:r>
      <w:r w:rsidR="00BB3490" w:rsidRPr="0082613A">
        <w:t xml:space="preserve"> </w:t>
      </w:r>
      <w:r w:rsidRPr="0082613A">
        <w:rPr>
          <w:rFonts w:eastAsia="Times New Roman" w:cs="Tahoma"/>
          <w:iCs/>
          <w:color w:val="auto"/>
          <w:lang w:val="es-ES" w:eastAsia="es-ES"/>
        </w:rPr>
        <w:t xml:space="preserve">Además, este Instituto </w:t>
      </w:r>
      <w:r w:rsidR="00EF6E5D" w:rsidRPr="0082613A">
        <w:rPr>
          <w:rFonts w:eastAsia="Times New Roman" w:cs="Tahoma"/>
          <w:iCs/>
          <w:color w:val="auto"/>
          <w:lang w:val="es-ES" w:eastAsia="es-ES"/>
        </w:rPr>
        <w:t>una búsqueda, en la normatividad aplicable al Sujeto Obligado, su página oficial y su Portal de Información Pública de Oficio Mexiquense y, no se localizó algún indicio de que la Dirección de Administración requiera la Licencia de Conducir, para los procesos de reclutamiento y selección de personal.</w:t>
      </w:r>
    </w:p>
    <w:p w14:paraId="011640F8" w14:textId="77777777" w:rsidR="00857877" w:rsidRPr="0082613A" w:rsidRDefault="00857877" w:rsidP="00857877">
      <w:pPr>
        <w:spacing w:after="0" w:line="360" w:lineRule="auto"/>
        <w:rPr>
          <w:rFonts w:eastAsia="Times New Roman" w:cs="Times New Roman"/>
          <w:color w:val="auto"/>
          <w:lang w:val="es-ES" w:eastAsia="es-ES"/>
        </w:rPr>
      </w:pPr>
    </w:p>
    <w:p w14:paraId="7C85A259" w14:textId="459E663D" w:rsidR="00666D61" w:rsidRPr="0082613A" w:rsidRDefault="00857877" w:rsidP="00C31721">
      <w:pPr>
        <w:spacing w:after="0" w:line="360" w:lineRule="auto"/>
        <w:rPr>
          <w:b/>
          <w:bCs/>
          <w:lang w:val="es-ES"/>
        </w:rPr>
      </w:pPr>
      <w:r w:rsidRPr="0082613A">
        <w:rPr>
          <w:lang w:val="es-ES"/>
        </w:rPr>
        <w:lastRenderedPageBreak/>
        <w:t xml:space="preserve">Por tales consideraciones, se advierte que la información solicitada es inexistente, así como, que la </w:t>
      </w:r>
      <w:r w:rsidRPr="0082613A">
        <w:rPr>
          <w:rFonts w:eastAsia="Calibri" w:cs="Tahoma"/>
        </w:rPr>
        <w:t xml:space="preserve">Dirección de </w:t>
      </w:r>
      <w:r w:rsidR="00EF6E5D" w:rsidRPr="0082613A">
        <w:rPr>
          <w:rFonts w:eastAsia="Calibri" w:cs="Tahoma"/>
        </w:rPr>
        <w:t>Administración</w:t>
      </w:r>
      <w:r w:rsidRPr="0082613A">
        <w:rPr>
          <w:bCs/>
          <w:iCs/>
          <w:lang w:val="es-ES"/>
        </w:rPr>
        <w:t>,</w:t>
      </w:r>
      <w:r w:rsidRPr="0082613A">
        <w:rPr>
          <w:lang w:val="es-ES"/>
        </w:rPr>
        <w:t xml:space="preserve"> señaló las razones por las cuales no contaba con lo peticionad; </w:t>
      </w:r>
      <w:r w:rsidR="00FD46D0" w:rsidRPr="0082613A">
        <w:rPr>
          <w:lang w:val="es-ES"/>
        </w:rPr>
        <w:t xml:space="preserve">si embargo, es necesario traer a colación los Lineamientos de Control Financiero y Administrativo para las Entidades Fiscalizables del Estado de México, que en su Título Segundo “Lineamientos de Control Financiero y Administrativo”, precisa que es obligación de la Dirección de Administración del Ayuntamiento de Zinacantepec,  tratándose de la conducción de vehículos o de aquel bien que lo amerite, </w:t>
      </w:r>
      <w:r w:rsidR="00FD46D0" w:rsidRPr="0082613A">
        <w:rPr>
          <w:b/>
          <w:bCs/>
          <w:lang w:val="es-ES"/>
        </w:rPr>
        <w:t>verificar que el servidor público cuente con licencia de conducir vigente.</w:t>
      </w:r>
    </w:p>
    <w:p w14:paraId="68C51B6F" w14:textId="77777777" w:rsidR="002622AA" w:rsidRPr="0082613A" w:rsidRDefault="002622AA" w:rsidP="00C31721">
      <w:pPr>
        <w:spacing w:after="0" w:line="360" w:lineRule="auto"/>
        <w:rPr>
          <w:b/>
          <w:bCs/>
          <w:lang w:val="es-ES"/>
        </w:rPr>
      </w:pPr>
    </w:p>
    <w:p w14:paraId="6C4EF758" w14:textId="15247C52" w:rsidR="00FD46D0" w:rsidRPr="0082613A" w:rsidRDefault="00FD46D0" w:rsidP="00C31721">
      <w:pPr>
        <w:spacing w:after="0" w:line="360" w:lineRule="auto"/>
        <w:rPr>
          <w:lang w:val="es-ES"/>
        </w:rPr>
      </w:pPr>
      <w:r w:rsidRPr="0082613A">
        <w:rPr>
          <w:lang w:val="es-ES"/>
        </w:rPr>
        <w:t xml:space="preserve">En ese contexto, la mayoría del Pleno interpreta que la función </w:t>
      </w:r>
      <w:r w:rsidR="00EC5FB3" w:rsidRPr="0082613A">
        <w:rPr>
          <w:lang w:val="es-ES"/>
        </w:rPr>
        <w:t xml:space="preserve">de verificar por parte de la Dirección de Administración, </w:t>
      </w:r>
      <w:r w:rsidRPr="0082613A">
        <w:rPr>
          <w:lang w:val="es-ES"/>
        </w:rPr>
        <w:t>establecida</w:t>
      </w:r>
      <w:r w:rsidR="00EC5FB3" w:rsidRPr="0082613A">
        <w:rPr>
          <w:lang w:val="es-ES"/>
        </w:rPr>
        <w:t xml:space="preserve"> en los Lineamientos referidos,</w:t>
      </w:r>
      <w:r w:rsidRPr="0082613A">
        <w:rPr>
          <w:lang w:val="es-ES"/>
        </w:rPr>
        <w:t xml:space="preserve"> implica que dicha área resguarde una copia de la licencia de conducir </w:t>
      </w:r>
      <w:r w:rsidR="00EC5FB3" w:rsidRPr="0082613A">
        <w:rPr>
          <w:lang w:val="es-ES"/>
        </w:rPr>
        <w:t>de los servidores públicos y, por lo tanto, deberían obrar en sus archivos.</w:t>
      </w:r>
    </w:p>
    <w:p w14:paraId="58B4A068" w14:textId="247AABB8" w:rsidR="00C31721" w:rsidRPr="0082613A" w:rsidRDefault="00C31721" w:rsidP="00C31721">
      <w:pPr>
        <w:spacing w:after="0" w:line="360" w:lineRule="auto"/>
        <w:rPr>
          <w:lang w:val="es-ES"/>
        </w:rPr>
      </w:pPr>
    </w:p>
    <w:p w14:paraId="1EA52BA4" w14:textId="60CFA17D" w:rsidR="00FD46D0" w:rsidRPr="0082613A" w:rsidRDefault="00EC5FB3" w:rsidP="00EC5FB3">
      <w:pPr>
        <w:spacing w:after="0" w:line="360" w:lineRule="auto"/>
        <w:rPr>
          <w:rFonts w:eastAsia="Times New Roman" w:cs="Tahoma"/>
          <w:color w:val="auto"/>
          <w:lang w:val="es-ES" w:eastAsia="es-ES"/>
        </w:rPr>
      </w:pPr>
      <w:r w:rsidRPr="0082613A">
        <w:rPr>
          <w:lang w:val="es-ES"/>
        </w:rPr>
        <w:t xml:space="preserve">Por tales consideraciones, la mayoría del Pleno estima que, al no existir las licencias de conducir de los servidores públicos, en los archivos de la Dirección de Administración, el Sujeto Obligado debe emitir </w:t>
      </w:r>
      <w:r w:rsidR="00FD46D0" w:rsidRPr="0082613A">
        <w:rPr>
          <w:rFonts w:eastAsia="Times New Roman" w:cs="Tahoma"/>
          <w:bCs/>
          <w:iCs/>
          <w:lang w:val="x-none" w:eastAsia="es-ES"/>
        </w:rPr>
        <w:t xml:space="preserve">el Acuerdo emitido por el Comité de Transparencia, donde confirme la inexistencia </w:t>
      </w:r>
      <w:r w:rsidRPr="0082613A">
        <w:rPr>
          <w:rFonts w:eastAsia="Times New Roman" w:cs="Tahoma"/>
          <w:bCs/>
          <w:iCs/>
          <w:lang w:eastAsia="es-ES"/>
        </w:rPr>
        <w:t>de dicha documentación</w:t>
      </w:r>
      <w:r w:rsidR="00FD46D0" w:rsidRPr="0082613A">
        <w:rPr>
          <w:rFonts w:eastAsia="Times New Roman" w:cs="Tahoma"/>
          <w:bCs/>
          <w:iCs/>
          <w:lang w:val="x-none" w:eastAsia="es-ES"/>
        </w:rPr>
        <w:t>; sobre esta situación</w:t>
      </w:r>
      <w:r w:rsidR="00FD46D0" w:rsidRPr="0082613A">
        <w:rPr>
          <w:rFonts w:eastAsia="Calibri" w:cs="Tahoma"/>
          <w:lang w:eastAsia="es-MX"/>
        </w:rPr>
        <w:t xml:space="preserve">, es necesario traer a colación </w:t>
      </w:r>
      <w:r w:rsidR="00FD46D0" w:rsidRPr="0082613A">
        <w:rPr>
          <w:rFonts w:eastAsia="Times New Roman" w:cs="Arial"/>
          <w:lang w:eastAsia="es-ES"/>
        </w:rPr>
        <w:t xml:space="preserve">el Criterio de interpretación, de la Primera Época, con clave de control </w:t>
      </w:r>
      <w:r w:rsidR="00FD46D0" w:rsidRPr="0082613A">
        <w:rPr>
          <w:rFonts w:cs="Tahoma"/>
        </w:rPr>
        <w:t>SO/012/2010</w:t>
      </w:r>
      <w:r w:rsidR="00FD46D0" w:rsidRPr="0082613A">
        <w:rPr>
          <w:rFonts w:eastAsia="Times New Roman" w:cs="Arial"/>
          <w:lang w:eastAsia="es-ES"/>
        </w:rPr>
        <w:t>, emitido por el Pleno del Instituto Nacional de Transparencia, Acceso a la Información y Protección de Datos Personales, mismo que se cita por analogía, establece lo siguiente:</w:t>
      </w:r>
    </w:p>
    <w:p w14:paraId="4187F5A4" w14:textId="77777777" w:rsidR="00FD46D0" w:rsidRPr="0082613A" w:rsidRDefault="00FD46D0" w:rsidP="00FD46D0">
      <w:pPr>
        <w:tabs>
          <w:tab w:val="left" w:pos="4667"/>
        </w:tabs>
        <w:spacing w:after="0" w:line="360" w:lineRule="auto"/>
        <w:rPr>
          <w:rFonts w:eastAsia="Times New Roman" w:cs="Arial"/>
          <w:lang w:eastAsia="es-ES"/>
        </w:rPr>
      </w:pPr>
    </w:p>
    <w:p w14:paraId="17E774DD" w14:textId="77777777" w:rsidR="00FD46D0" w:rsidRPr="0082613A" w:rsidRDefault="00FD46D0" w:rsidP="00FD46D0">
      <w:pPr>
        <w:widowControl w:val="0"/>
        <w:tabs>
          <w:tab w:val="left" w:pos="4253"/>
        </w:tabs>
        <w:spacing w:after="0" w:line="360" w:lineRule="auto"/>
        <w:ind w:left="567" w:right="561"/>
        <w:rPr>
          <w:rFonts w:eastAsia="Times New Roman" w:cs="Arial"/>
          <w:b/>
          <w:bCs/>
          <w:i/>
          <w:sz w:val="20"/>
          <w:szCs w:val="20"/>
          <w:lang w:eastAsia="es-ES"/>
        </w:rPr>
      </w:pPr>
      <w:r w:rsidRPr="0082613A">
        <w:rPr>
          <w:rFonts w:eastAsia="Times New Roman" w:cs="Arial"/>
          <w:b/>
          <w:bCs/>
          <w:i/>
          <w:sz w:val="20"/>
          <w:szCs w:val="20"/>
          <w:lang w:eastAsia="es-ES"/>
        </w:rPr>
        <w:t xml:space="preserve">“Propósito de la declaración formal de inexistencia. </w:t>
      </w:r>
      <w:r w:rsidRPr="0082613A">
        <w:rPr>
          <w:rFonts w:eastAsia="Times New Roman" w:cs="Arial"/>
          <w:bCs/>
          <w:i/>
          <w:sz w:val="20"/>
          <w:szCs w:val="20"/>
          <w:lang w:eastAsia="es-E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82613A">
        <w:rPr>
          <w:rFonts w:eastAsia="Times New Roman" w:cs="Arial"/>
          <w:b/>
          <w:bCs/>
          <w:i/>
          <w:sz w:val="20"/>
          <w:szCs w:val="20"/>
          <w:lang w:eastAsia="es-ES"/>
        </w:rPr>
        <w:t xml:space="preserve">es </w:t>
      </w:r>
      <w:r w:rsidRPr="0082613A">
        <w:rPr>
          <w:rFonts w:eastAsia="Times New Roman" w:cs="Arial"/>
          <w:b/>
          <w:bCs/>
          <w:i/>
          <w:sz w:val="20"/>
          <w:szCs w:val="20"/>
          <w:lang w:eastAsia="es-ES"/>
        </w:rPr>
        <w:lastRenderedPageBreak/>
        <w:t xml:space="preserve">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257B056C" w14:textId="77777777" w:rsidR="00FD46D0" w:rsidRPr="0082613A" w:rsidRDefault="00FD46D0" w:rsidP="00FD46D0">
      <w:pPr>
        <w:tabs>
          <w:tab w:val="left" w:pos="4667"/>
        </w:tabs>
        <w:spacing w:after="0" w:line="360" w:lineRule="auto"/>
        <w:rPr>
          <w:rFonts w:eastAsia="Times New Roman" w:cs="Arial"/>
          <w:lang w:eastAsia="es-ES"/>
        </w:rPr>
      </w:pPr>
    </w:p>
    <w:p w14:paraId="7B8BD07B" w14:textId="6F97543B" w:rsidR="00FD46D0" w:rsidRPr="0082613A" w:rsidRDefault="00FD46D0" w:rsidP="00FD46D0">
      <w:pPr>
        <w:spacing w:after="0" w:line="360" w:lineRule="auto"/>
        <w:rPr>
          <w:rFonts w:eastAsia="Times New Roman" w:cs="Tahoma"/>
          <w:bCs/>
          <w:iCs/>
          <w:color w:val="auto"/>
          <w:lang w:val="es-ES" w:eastAsia="es-ES"/>
        </w:rPr>
      </w:pPr>
      <w:r w:rsidRPr="0082613A">
        <w:rPr>
          <w:rFonts w:eastAsia="Times New Roman" w:cs="Arial"/>
          <w:lang w:eastAsia="es-ES"/>
        </w:rPr>
        <w:t xml:space="preserve">De la misma manera, el Criterio de interpretación, de la Segunda Época, con clave de control </w:t>
      </w:r>
      <w:r w:rsidRPr="0082613A">
        <w:rPr>
          <w:rFonts w:cs="Tahoma"/>
        </w:rPr>
        <w:t xml:space="preserve">SO/004/2019, emitido por </w:t>
      </w:r>
      <w:r w:rsidRPr="0082613A">
        <w:rPr>
          <w:rFonts w:eastAsia="Times New Roman" w:cs="Arial"/>
          <w:lang w:eastAsia="es-ES"/>
        </w:rPr>
        <w:t xml:space="preserve">el </w:t>
      </w:r>
      <w:r w:rsidRPr="0082613A">
        <w:rPr>
          <w:rFonts w:eastAsia="Times New Roman" w:cs="Tahoma"/>
          <w:bCs/>
          <w:iCs/>
          <w:color w:val="auto"/>
          <w:lang w:val="es-ES" w:eastAsia="es-ES"/>
        </w:rPr>
        <w:t xml:space="preserve">del Instituto Nacional de Transparencia, Acceso a la Información y Protección de Datos Personales, cuyo texto y rubro son los siguientes: </w:t>
      </w:r>
    </w:p>
    <w:p w14:paraId="3DC9ED21" w14:textId="77777777" w:rsidR="00FD46D0" w:rsidRPr="0082613A" w:rsidRDefault="00FD46D0" w:rsidP="00FD46D0">
      <w:pPr>
        <w:spacing w:after="0" w:line="360" w:lineRule="auto"/>
        <w:rPr>
          <w:rFonts w:eastAsia="Times New Roman" w:cs="Tahoma"/>
          <w:bCs/>
          <w:iCs/>
          <w:color w:val="auto"/>
          <w:lang w:val="es-ES" w:eastAsia="es-ES"/>
        </w:rPr>
      </w:pPr>
    </w:p>
    <w:p w14:paraId="069ADAF1" w14:textId="646ACBF1" w:rsidR="00FD46D0" w:rsidRPr="0082613A" w:rsidRDefault="00FD46D0" w:rsidP="00FD46D0">
      <w:pPr>
        <w:spacing w:after="0" w:line="360" w:lineRule="auto"/>
        <w:ind w:left="567" w:right="567"/>
        <w:rPr>
          <w:rFonts w:eastAsia="Times New Roman" w:cs="Tahoma"/>
          <w:bCs/>
          <w:i/>
          <w:color w:val="auto"/>
          <w:sz w:val="20"/>
          <w:szCs w:val="20"/>
          <w:lang w:val="es-ES" w:eastAsia="es-ES"/>
        </w:rPr>
      </w:pPr>
      <w:r w:rsidRPr="0082613A">
        <w:rPr>
          <w:rFonts w:eastAsia="Times New Roman" w:cs="Tahoma"/>
          <w:b/>
          <w:i/>
          <w:color w:val="auto"/>
          <w:sz w:val="20"/>
          <w:szCs w:val="20"/>
          <w:lang w:val="es-ES" w:eastAsia="es-ES"/>
        </w:rPr>
        <w:t>“Propósito de la declaración formal de inexistencia.</w:t>
      </w:r>
      <w:r w:rsidRPr="0082613A">
        <w:rPr>
          <w:rFonts w:eastAsia="Times New Roman" w:cs="Tahoma"/>
          <w:bCs/>
          <w:i/>
          <w:color w:val="auto"/>
          <w:sz w:val="20"/>
          <w:szCs w:val="20"/>
          <w:lang w:val="es-ES" w:eastAsia="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7DCDFBC1" w14:textId="77777777" w:rsidR="00FD46D0" w:rsidRPr="0082613A" w:rsidRDefault="00FD46D0" w:rsidP="00FD46D0">
      <w:pPr>
        <w:spacing w:after="0" w:line="360" w:lineRule="auto"/>
        <w:rPr>
          <w:rFonts w:eastAsia="Times New Roman" w:cs="Tahoma"/>
          <w:bCs/>
          <w:iCs/>
          <w:color w:val="auto"/>
          <w:lang w:val="es-ES" w:eastAsia="es-ES"/>
        </w:rPr>
      </w:pPr>
    </w:p>
    <w:p w14:paraId="30716783" w14:textId="1F976C87" w:rsidR="00FD46D0" w:rsidRPr="0082613A" w:rsidRDefault="00FD46D0" w:rsidP="002622AA">
      <w:pPr>
        <w:spacing w:after="0" w:line="360" w:lineRule="auto"/>
        <w:rPr>
          <w:rFonts w:eastAsia="Times New Roman" w:cs="Tahoma"/>
          <w:bCs/>
          <w:szCs w:val="20"/>
          <w:lang w:eastAsia="es-ES"/>
        </w:rPr>
      </w:pPr>
      <w:r w:rsidRPr="0082613A">
        <w:rPr>
          <w:rFonts w:eastAsia="Times New Roman" w:cs="Tahoma"/>
          <w:bCs/>
          <w:iCs/>
          <w:color w:val="auto"/>
          <w:lang w:eastAsia="es-ES"/>
        </w:rPr>
        <w:t>De lo anterior se colige que las declaraciones de inexistencia de los Comité</w:t>
      </w:r>
      <w:r w:rsidRPr="0082613A">
        <w:rPr>
          <w:rFonts w:eastAsia="Times New Roman" w:cs="Tahoma"/>
          <w:bCs/>
          <w:iCs/>
          <w:color w:val="auto"/>
          <w:lang w:val="x-none" w:eastAsia="es-ES"/>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82613A">
        <w:rPr>
          <w:rFonts w:eastAsia="Times New Roman" w:cs="Arial"/>
          <w:lang w:eastAsia="es-ES"/>
        </w:rPr>
        <w:t>determinadas unidades administrativas, los criterios de búsqueda y demás circunstancias tomadas en cuenta, con el fin de garantizar al solicitante que efectivamente se hicieron las gestiones necesarias para localizar la documentación de su interés.</w:t>
      </w:r>
      <w:r w:rsidR="002622AA" w:rsidRPr="0082613A">
        <w:rPr>
          <w:rFonts w:eastAsia="Times New Roman" w:cs="Arial"/>
          <w:lang w:eastAsia="es-ES"/>
        </w:rPr>
        <w:t xml:space="preserve"> </w:t>
      </w:r>
      <w:r w:rsidRPr="0082613A">
        <w:rPr>
          <w:rFonts w:eastAsia="Times New Roman" w:cs="Tahoma"/>
          <w:bCs/>
          <w:szCs w:val="20"/>
          <w:lang w:eastAsia="es-ES"/>
        </w:rPr>
        <w:t xml:space="preserve">Asimismo, según Calero, Natalia (2016), en la “Ley General de Transparencia y </w:t>
      </w:r>
      <w:r w:rsidRPr="0082613A">
        <w:rPr>
          <w:rFonts w:eastAsia="Times New Roman" w:cs="Tahoma"/>
          <w:bCs/>
          <w:szCs w:val="20"/>
          <w:lang w:eastAsia="es-ES"/>
        </w:rPr>
        <w:lastRenderedPageBreak/>
        <w:t>Acceso a la Información Pública Comentada” (p. 419), las declaraciones de inexistencia, deben contener lo siguiente:</w:t>
      </w:r>
    </w:p>
    <w:p w14:paraId="099CDCC4" w14:textId="77777777" w:rsidR="00FD46D0" w:rsidRPr="0082613A" w:rsidRDefault="00FD46D0" w:rsidP="00FD46D0">
      <w:pPr>
        <w:spacing w:after="0" w:line="360" w:lineRule="auto"/>
        <w:ind w:right="-93"/>
        <w:rPr>
          <w:rFonts w:eastAsia="Times New Roman" w:cs="Tahoma"/>
          <w:bCs/>
          <w:szCs w:val="20"/>
          <w:lang w:eastAsia="es-ES"/>
        </w:rPr>
      </w:pPr>
    </w:p>
    <w:p w14:paraId="61CE0C50" w14:textId="77777777" w:rsidR="00FD46D0" w:rsidRPr="0082613A" w:rsidRDefault="00FD46D0" w:rsidP="00EC5FB3">
      <w:pPr>
        <w:widowControl w:val="0"/>
        <w:numPr>
          <w:ilvl w:val="0"/>
          <w:numId w:val="8"/>
        </w:numPr>
        <w:spacing w:after="0" w:line="360" w:lineRule="auto"/>
        <w:ind w:left="714" w:right="-91" w:hanging="357"/>
        <w:contextualSpacing/>
        <w:rPr>
          <w:rFonts w:eastAsia="Times New Roman" w:cs="Tahoma"/>
          <w:b/>
          <w:bCs/>
          <w:szCs w:val="24"/>
          <w:lang w:eastAsia="es-ES"/>
        </w:rPr>
      </w:pPr>
      <w:r w:rsidRPr="0082613A">
        <w:rPr>
          <w:rFonts w:eastAsia="Times New Roman" w:cs="Tahoma"/>
          <w:b/>
          <w:bCs/>
          <w:szCs w:val="24"/>
          <w:lang w:eastAsia="es-ES"/>
        </w:rPr>
        <w:t>Los elementos que le permitan a los solicitantes tener certeza de que el Sujeto Obligado utilizó un criterio de búsqueda exhaustivo:</w:t>
      </w:r>
      <w:r w:rsidRPr="0082613A">
        <w:rPr>
          <w:rFonts w:eastAsia="Times New Roman" w:cs="Tahoma"/>
          <w:bCs/>
          <w:szCs w:val="24"/>
          <w:lang w:eastAsia="es-ES"/>
        </w:rPr>
        <w:t xml:space="preserve"> Para atender dicho supuesto, se debe precisar en qué unidades administrativas buscó, así como en el tipo de archivos y la manera en que realizó la indagación;</w:t>
      </w:r>
    </w:p>
    <w:p w14:paraId="05794198" w14:textId="77777777" w:rsidR="00FD46D0" w:rsidRPr="0082613A" w:rsidRDefault="00FD46D0" w:rsidP="00EC5FB3">
      <w:pPr>
        <w:numPr>
          <w:ilvl w:val="0"/>
          <w:numId w:val="8"/>
        </w:numPr>
        <w:spacing w:after="0" w:line="360" w:lineRule="auto"/>
        <w:ind w:right="-93"/>
        <w:contextualSpacing/>
        <w:rPr>
          <w:rFonts w:eastAsia="Times New Roman" w:cs="Tahoma"/>
          <w:b/>
          <w:bCs/>
          <w:szCs w:val="24"/>
          <w:lang w:eastAsia="es-ES"/>
        </w:rPr>
      </w:pPr>
      <w:r w:rsidRPr="0082613A">
        <w:rPr>
          <w:rFonts w:eastAsia="Times New Roman" w:cs="Tahoma"/>
          <w:b/>
          <w:bCs/>
          <w:szCs w:val="24"/>
          <w:lang w:eastAsia="es-ES"/>
        </w:rPr>
        <w:t xml:space="preserve">Las circunstancias de tiempo, modo y lugar que motiven las razones por las cuales la información es inexistente: </w:t>
      </w:r>
      <w:r w:rsidRPr="0082613A">
        <w:rPr>
          <w:rFonts w:eastAsia="Times New Roman" w:cs="Tahoma"/>
          <w:bCs/>
          <w:szCs w:val="24"/>
          <w:lang w:eastAsia="es-ES"/>
        </w:rPr>
        <w:t>Al respecto, los sujetos obligados para acreditar dicho punto, deberán proveer la mayor cantidad de elementos posibles que permitan evidencia las razones por las cuales la información requerida no existe</w:t>
      </w:r>
      <w:r w:rsidRPr="0082613A">
        <w:rPr>
          <w:rFonts w:eastAsia="Times New Roman" w:cs="Tahoma"/>
          <w:b/>
          <w:bCs/>
          <w:szCs w:val="24"/>
          <w:lang w:eastAsia="es-ES"/>
        </w:rPr>
        <w:t>,</w:t>
      </w:r>
      <w:r w:rsidRPr="0082613A">
        <w:rPr>
          <w:rFonts w:eastAsia="Times New Roman" w:cs="Tahoma"/>
          <w:bCs/>
          <w:szCs w:val="24"/>
          <w:lang w:eastAsia="es-ES"/>
        </w:rPr>
        <w:t xml:space="preserve"> y</w:t>
      </w:r>
    </w:p>
    <w:p w14:paraId="0E1259EA" w14:textId="77777777" w:rsidR="00FD46D0" w:rsidRPr="0082613A" w:rsidRDefault="00FD46D0" w:rsidP="00EC5FB3">
      <w:pPr>
        <w:numPr>
          <w:ilvl w:val="0"/>
          <w:numId w:val="8"/>
        </w:numPr>
        <w:spacing w:after="0" w:line="360" w:lineRule="auto"/>
        <w:ind w:right="-93"/>
        <w:contextualSpacing/>
        <w:rPr>
          <w:rFonts w:eastAsia="Times New Roman" w:cs="Tahoma"/>
          <w:szCs w:val="20"/>
          <w:lang w:val="es-ES" w:eastAsia="es-ES"/>
        </w:rPr>
      </w:pPr>
      <w:r w:rsidRPr="0082613A">
        <w:rPr>
          <w:rFonts w:eastAsia="Times New Roman" w:cs="Tahoma"/>
          <w:b/>
          <w:bCs/>
          <w:szCs w:val="24"/>
          <w:lang w:eastAsia="es-ES"/>
        </w:rPr>
        <w:t>El servidor público responsable de contar con ésta</w:t>
      </w:r>
      <w:r w:rsidRPr="0082613A">
        <w:rPr>
          <w:rFonts w:eastAsia="Times New Roman" w:cs="Tahoma"/>
          <w:bCs/>
          <w:szCs w:val="24"/>
          <w:lang w:eastAsia="es-ES"/>
        </w:rPr>
        <w:t>: Es importante indicar, el cargo y las razones jurídicas por las cuales debió generar la información.</w:t>
      </w:r>
    </w:p>
    <w:p w14:paraId="7110150F" w14:textId="77777777" w:rsidR="00FD46D0" w:rsidRPr="0082613A" w:rsidRDefault="00FD46D0" w:rsidP="00FD46D0">
      <w:pPr>
        <w:spacing w:after="0" w:line="360" w:lineRule="auto"/>
        <w:ind w:right="-93"/>
        <w:rPr>
          <w:rFonts w:eastAsia="Times New Roman" w:cs="Tahoma"/>
          <w:szCs w:val="20"/>
          <w:lang w:val="es-ES" w:eastAsia="es-ES"/>
        </w:rPr>
      </w:pPr>
    </w:p>
    <w:p w14:paraId="2E06FEEE" w14:textId="0A21C324" w:rsidR="00FD46D0" w:rsidRPr="0082613A" w:rsidRDefault="00FD46D0" w:rsidP="00FD46D0">
      <w:pPr>
        <w:autoSpaceDE w:val="0"/>
        <w:autoSpaceDN w:val="0"/>
        <w:adjustRightInd w:val="0"/>
        <w:spacing w:after="0" w:line="360" w:lineRule="auto"/>
        <w:rPr>
          <w:rFonts w:eastAsia="Times New Roman" w:cs="Tahoma"/>
          <w:bCs/>
          <w:iCs/>
          <w:lang w:val="x-none" w:eastAsia="es-ES"/>
        </w:rPr>
      </w:pPr>
      <w:r w:rsidRPr="0082613A">
        <w:rPr>
          <w:rFonts w:eastAsia="Times New Roman" w:cs="Tahoma"/>
          <w:szCs w:val="24"/>
          <w:lang w:eastAsia="es-MX"/>
        </w:rPr>
        <w:t xml:space="preserve">Conforme a lo citado, </w:t>
      </w:r>
      <w:r w:rsidR="00EC5FB3" w:rsidRPr="0082613A">
        <w:rPr>
          <w:rFonts w:eastAsia="Times New Roman" w:cs="Tahoma"/>
          <w:szCs w:val="24"/>
          <w:lang w:eastAsia="es-MX"/>
        </w:rPr>
        <w:t xml:space="preserve">la mayoría del Pleno </w:t>
      </w:r>
      <w:r w:rsidRPr="0082613A">
        <w:rPr>
          <w:rFonts w:eastAsia="Times New Roman" w:cs="Tahoma"/>
          <w:szCs w:val="24"/>
          <w:lang w:eastAsia="es-MX"/>
        </w:rPr>
        <w:t xml:space="preserve">considera que es necesario que el </w:t>
      </w:r>
      <w:r w:rsidR="00EC5FB3" w:rsidRPr="0082613A">
        <w:rPr>
          <w:rFonts w:eastAsia="Times New Roman" w:cs="Tahoma"/>
          <w:szCs w:val="24"/>
          <w:lang w:eastAsia="es-MX"/>
        </w:rPr>
        <w:t>Ayuntamiento</w:t>
      </w:r>
      <w:r w:rsidRPr="0082613A">
        <w:rPr>
          <w:rFonts w:eastAsia="Times New Roman" w:cs="Tahoma"/>
          <w:szCs w:val="24"/>
          <w:lang w:eastAsia="es-MX"/>
        </w:rPr>
        <w:t xml:space="preserve"> de </w:t>
      </w:r>
      <w:r w:rsidR="00EC5FB3" w:rsidRPr="0082613A">
        <w:rPr>
          <w:rFonts w:eastAsia="Times New Roman" w:cs="Tahoma"/>
          <w:szCs w:val="24"/>
          <w:lang w:eastAsia="es-MX"/>
        </w:rPr>
        <w:t>Zinacantepec</w:t>
      </w:r>
      <w:r w:rsidRPr="0082613A">
        <w:rPr>
          <w:rFonts w:eastAsia="Times New Roman" w:cs="Tahoma"/>
          <w:szCs w:val="24"/>
          <w:lang w:eastAsia="es-MX"/>
        </w:rPr>
        <w:t xml:space="preserve">, declare por medio de su </w:t>
      </w:r>
      <w:r w:rsidR="00EC5FB3" w:rsidRPr="0082613A">
        <w:rPr>
          <w:rFonts w:eastAsia="Times New Roman" w:cs="Tahoma"/>
          <w:szCs w:val="24"/>
          <w:lang w:eastAsia="es-MX"/>
        </w:rPr>
        <w:t>Comité</w:t>
      </w:r>
      <w:r w:rsidRPr="0082613A">
        <w:rPr>
          <w:rFonts w:eastAsia="Times New Roman" w:cs="Tahoma"/>
          <w:szCs w:val="24"/>
          <w:lang w:val="x-none" w:eastAsia="es-MX"/>
        </w:rPr>
        <w:t xml:space="preserve"> de Transparencia</w:t>
      </w:r>
      <w:r w:rsidR="00EC5FB3" w:rsidRPr="0082613A">
        <w:rPr>
          <w:rFonts w:eastAsia="Times New Roman" w:cs="Tahoma"/>
          <w:szCs w:val="24"/>
          <w:lang w:eastAsia="es-MX"/>
        </w:rPr>
        <w:t xml:space="preserve"> la inexistencia de las licencias de conducir de los servidores públicos, toda vez, que los </w:t>
      </w:r>
      <w:r w:rsidR="00EC5FB3" w:rsidRPr="0082613A">
        <w:rPr>
          <w:lang w:val="es-ES"/>
        </w:rPr>
        <w:t>Lineamientos de Control Financiero y Administrativo para las Entidades Fiscalizables del Estado de México, precisan la función de verificar que los servidores públicos cuenten con licencia de conducir vigente, en caso que utilicen vehículos oficiales;</w:t>
      </w:r>
      <w:r w:rsidRPr="0082613A">
        <w:rPr>
          <w:rFonts w:eastAsia="Times New Roman" w:cs="Tahoma"/>
          <w:bCs/>
          <w:iCs/>
          <w:lang w:val="x-none" w:eastAsia="es-ES"/>
        </w:rPr>
        <w:t xml:space="preserve"> para tal situación, deberá seguir el procedimiento establecido en l</w:t>
      </w:r>
      <w:r w:rsidRPr="0082613A">
        <w:rPr>
          <w:rFonts w:eastAsia="Times New Roman" w:cs="Tahoma"/>
          <w:szCs w:val="24"/>
          <w:lang w:eastAsia="es-MX"/>
        </w:rPr>
        <w:t>os artículos 169 y 170 de la Ley de Transparencia y Acceso a la Información Pública del Estado de México y Municipios, que precisan que cuando la información</w:t>
      </w:r>
      <w:r w:rsidRPr="0082613A">
        <w:rPr>
          <w:rFonts w:eastAsia="Times New Roman" w:cs="Tahoma"/>
          <w:szCs w:val="24"/>
          <w:lang w:val="x-none" w:eastAsia="es-MX"/>
        </w:rPr>
        <w:t xml:space="preserve"> no se encuentre en los archivos del Sujeto Obligado, el Comité de Transparencia deberá:</w:t>
      </w:r>
    </w:p>
    <w:p w14:paraId="5D6EC80D" w14:textId="77777777" w:rsidR="00FD46D0" w:rsidRPr="0082613A" w:rsidRDefault="00FD46D0" w:rsidP="00FD46D0">
      <w:pPr>
        <w:spacing w:after="0" w:line="360" w:lineRule="auto"/>
        <w:ind w:right="-93"/>
        <w:rPr>
          <w:rFonts w:eastAsia="Times New Roman" w:cs="Tahoma"/>
          <w:iCs/>
          <w:color w:val="auto"/>
          <w:lang w:val="es-ES" w:eastAsia="es-ES"/>
        </w:rPr>
      </w:pPr>
    </w:p>
    <w:p w14:paraId="7DFD8185" w14:textId="77777777" w:rsidR="00FD46D0" w:rsidRPr="0082613A" w:rsidRDefault="00FD46D0" w:rsidP="00FD46D0">
      <w:pPr>
        <w:numPr>
          <w:ilvl w:val="0"/>
          <w:numId w:val="9"/>
        </w:numPr>
        <w:spacing w:after="0" w:line="360" w:lineRule="auto"/>
        <w:jc w:val="left"/>
        <w:rPr>
          <w:rFonts w:eastAsia="Times New Roman" w:cs="Tahoma"/>
          <w:szCs w:val="24"/>
          <w:lang w:eastAsia="es-MX"/>
        </w:rPr>
      </w:pPr>
      <w:r w:rsidRPr="0082613A">
        <w:rPr>
          <w:rFonts w:eastAsia="Times New Roman" w:cs="Tahoma"/>
          <w:szCs w:val="24"/>
          <w:lang w:eastAsia="es-MX"/>
        </w:rPr>
        <w:t>Analizar el caso y tomar las medidas necesarias para localizar la información;</w:t>
      </w:r>
    </w:p>
    <w:p w14:paraId="2DE8F119" w14:textId="77777777" w:rsidR="00FD46D0" w:rsidRPr="0082613A" w:rsidRDefault="00FD46D0" w:rsidP="00FD46D0">
      <w:pPr>
        <w:widowControl w:val="0"/>
        <w:numPr>
          <w:ilvl w:val="0"/>
          <w:numId w:val="9"/>
        </w:numPr>
        <w:spacing w:after="0" w:line="360" w:lineRule="auto"/>
        <w:ind w:left="714" w:hanging="357"/>
        <w:jc w:val="left"/>
        <w:rPr>
          <w:rFonts w:eastAsia="Times New Roman" w:cs="Tahoma"/>
          <w:szCs w:val="24"/>
          <w:lang w:eastAsia="es-MX"/>
        </w:rPr>
      </w:pPr>
      <w:r w:rsidRPr="0082613A">
        <w:rPr>
          <w:rFonts w:eastAsia="Times New Roman" w:cs="Tahoma"/>
          <w:szCs w:val="24"/>
          <w:lang w:eastAsia="es-MX"/>
        </w:rPr>
        <w:t xml:space="preserve">Expedir una resolución que confirme la inexistencia de la información, que contenga los elementos mínimos que permitan al Solicitante tener la certeza de que se utilizó </w:t>
      </w:r>
      <w:r w:rsidRPr="0082613A">
        <w:rPr>
          <w:rFonts w:eastAsia="Times New Roman" w:cs="Tahoma"/>
          <w:szCs w:val="24"/>
          <w:lang w:eastAsia="es-MX"/>
        </w:rPr>
        <w:lastRenderedPageBreak/>
        <w:t>un criterio de búsqueda exhaustivo, así como, las circunstancias de modo, tiempo y lugar que generaron la inexistencia y el servidor público responsable de contar con la información;</w:t>
      </w:r>
    </w:p>
    <w:p w14:paraId="391E687D" w14:textId="77777777" w:rsidR="00FD46D0" w:rsidRPr="0082613A" w:rsidRDefault="00FD46D0" w:rsidP="00EC5FB3">
      <w:pPr>
        <w:numPr>
          <w:ilvl w:val="0"/>
          <w:numId w:val="9"/>
        </w:numPr>
        <w:spacing w:after="0" w:line="360" w:lineRule="auto"/>
        <w:rPr>
          <w:rFonts w:eastAsia="Times New Roman" w:cs="Tahoma"/>
          <w:szCs w:val="24"/>
          <w:lang w:eastAsia="es-MX"/>
        </w:rPr>
      </w:pPr>
      <w:r w:rsidRPr="0082613A">
        <w:rPr>
          <w:rFonts w:eastAsia="Times New Roman" w:cs="Tahoma"/>
          <w:szCs w:val="24"/>
          <w:lang w:eastAsia="es-MX"/>
        </w:rPr>
        <w:t>Ordenar, siempre que sea materialmente posible, que se genere o reponga la información en caso que ésta tuviera que existir o previa acreditación de la imposibilidad de su generación, exponga de forma fundada y motivada las razones de dicha situación, y</w:t>
      </w:r>
    </w:p>
    <w:p w14:paraId="321697E5" w14:textId="77777777" w:rsidR="00FD46D0" w:rsidRPr="0082613A" w:rsidRDefault="00FD46D0" w:rsidP="00FD46D0">
      <w:pPr>
        <w:spacing w:after="0" w:line="360" w:lineRule="auto"/>
        <w:rPr>
          <w:rFonts w:eastAsia="Times New Roman" w:cs="Tahoma"/>
          <w:color w:val="auto"/>
          <w:lang w:eastAsia="es-ES"/>
        </w:rPr>
      </w:pPr>
    </w:p>
    <w:p w14:paraId="27CDE969" w14:textId="4EADD496" w:rsidR="00FD46D0" w:rsidRPr="0082613A" w:rsidRDefault="00FD46D0" w:rsidP="00FD46D0">
      <w:pPr>
        <w:spacing w:after="0" w:line="360" w:lineRule="auto"/>
        <w:rPr>
          <w:rFonts w:eastAsia="Times New Roman" w:cs="Tahoma"/>
          <w:color w:val="auto"/>
          <w:lang w:val="x-none" w:eastAsia="es-ES"/>
        </w:rPr>
      </w:pPr>
      <w:r w:rsidRPr="0082613A">
        <w:rPr>
          <w:rFonts w:eastAsia="Times New Roman" w:cs="Tahoma"/>
          <w:color w:val="auto"/>
          <w:lang w:eastAsia="es-ES"/>
        </w:rPr>
        <w:t>Por tales circunstancias, se considera que</w:t>
      </w:r>
      <w:r w:rsidR="00EC5FB3" w:rsidRPr="0082613A">
        <w:rPr>
          <w:rFonts w:eastAsia="Times New Roman" w:cs="Tahoma"/>
          <w:color w:val="auto"/>
          <w:lang w:eastAsia="es-ES"/>
        </w:rPr>
        <w:t xml:space="preserve"> para dar por cumplido el requerimiento de información</w:t>
      </w:r>
      <w:r w:rsidRPr="0082613A">
        <w:rPr>
          <w:rFonts w:eastAsia="Times New Roman" w:cs="Tahoma"/>
          <w:color w:val="auto"/>
          <w:lang w:val="x-none" w:eastAsia="es-ES"/>
        </w:rPr>
        <w:t>, deberá declarar la inexistencia de manera formal, de manera fundada y motivada por el Comité de Transparencia, conforme a los criterios previamente establecidos, con el fin de garantizar al ahora Recurrente, que el documento peticionado, no obra en sus archivos y dar cumplimiento al tercer párrafo, del artículo 19 de la Ley de Transparencia y Acceso a la Información Pública del Estado de México y Municipios.</w:t>
      </w:r>
    </w:p>
    <w:p w14:paraId="3126DA3D" w14:textId="77777777" w:rsidR="00666D61" w:rsidRPr="0082613A" w:rsidRDefault="00666D61" w:rsidP="00445624">
      <w:pPr>
        <w:tabs>
          <w:tab w:val="left" w:pos="4962"/>
        </w:tabs>
        <w:spacing w:after="0" w:line="360" w:lineRule="auto"/>
        <w:contextualSpacing/>
        <w:rPr>
          <w:rFonts w:eastAsia="Times New Roman" w:cs="Tahoma"/>
          <w:color w:val="auto"/>
          <w:lang w:val="es-ES" w:eastAsia="es-ES"/>
        </w:rPr>
      </w:pPr>
    </w:p>
    <w:p w14:paraId="2D636013" w14:textId="77777777" w:rsidR="00EC77D9" w:rsidRPr="0082613A" w:rsidRDefault="00EC77D9" w:rsidP="00445624">
      <w:pPr>
        <w:spacing w:after="0" w:line="360" w:lineRule="auto"/>
        <w:contextualSpacing/>
        <w:rPr>
          <w:rFonts w:eastAsia="Calibri" w:cs="Tahoma"/>
          <w:b/>
          <w:color w:val="000000"/>
        </w:rPr>
      </w:pPr>
      <w:r w:rsidRPr="0082613A">
        <w:rPr>
          <w:rFonts w:eastAsia="Calibri" w:cs="Tahoma"/>
          <w:b/>
          <w:color w:val="000000"/>
        </w:rPr>
        <w:t xml:space="preserve">SEXTO. Decisión. </w:t>
      </w:r>
    </w:p>
    <w:p w14:paraId="5BB78247" w14:textId="77777777" w:rsidR="00975E93" w:rsidRPr="0082613A" w:rsidRDefault="00975E93" w:rsidP="00445624">
      <w:pPr>
        <w:spacing w:after="0" w:line="360" w:lineRule="auto"/>
        <w:contextualSpacing/>
        <w:rPr>
          <w:rFonts w:eastAsia="Times New Roman" w:cs="Tahoma"/>
          <w:color w:val="auto"/>
          <w:lang w:eastAsia="es-ES"/>
        </w:rPr>
      </w:pPr>
    </w:p>
    <w:p w14:paraId="27E7E374" w14:textId="0F2B3D08" w:rsidR="002622AA" w:rsidRPr="0082613A" w:rsidRDefault="002622AA" w:rsidP="002622AA">
      <w:pPr>
        <w:widowControl w:val="0"/>
        <w:spacing w:after="0" w:line="360" w:lineRule="auto"/>
        <w:rPr>
          <w:rFonts w:eastAsia="Calibri" w:cs="Tahoma"/>
          <w:iCs/>
          <w:lang w:val="x-none" w:eastAsia="es-ES_tradnl"/>
        </w:rPr>
      </w:pPr>
      <w:r w:rsidRPr="0082613A">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82613A">
        <w:rPr>
          <w:rFonts w:eastAsia="Times New Roman" w:cs="Tahoma"/>
          <w:b/>
          <w:bCs/>
          <w:color w:val="auto"/>
          <w:lang w:eastAsia="es-ES"/>
        </w:rPr>
        <w:t>ORDENAR</w:t>
      </w:r>
      <w:r w:rsidRPr="0082613A">
        <w:rPr>
          <w:rFonts w:eastAsia="Times New Roman" w:cs="Tahoma"/>
          <w:color w:val="auto"/>
          <w:lang w:eastAsia="es-ES"/>
        </w:rPr>
        <w:t xml:space="preserve"> al Sujeto Obligado,</w:t>
      </w:r>
      <w:r w:rsidRPr="0082613A">
        <w:rPr>
          <w:rFonts w:eastAsia="Calibri" w:cs="Tahoma"/>
          <w:color w:val="auto"/>
        </w:rPr>
        <w:t xml:space="preserve"> a efecto de que,  </w:t>
      </w:r>
      <w:r w:rsidRPr="0082613A">
        <w:rPr>
          <w:rFonts w:eastAsia="Calibri" w:cs="Times New Roman"/>
        </w:rPr>
        <w:t xml:space="preserve">entregue, a través del Sistema de Acceso a la Información Mexiquense (SAIMEX), el </w:t>
      </w:r>
      <w:r w:rsidRPr="0082613A">
        <w:rPr>
          <w:rFonts w:eastAsia="Calibri" w:cs="Tahoma"/>
          <w:iCs/>
          <w:lang w:val="x-none" w:eastAsia="es-ES_tradnl"/>
        </w:rPr>
        <w:t xml:space="preserve">Acuerdo del Comité de Transparencia, donde confirme la inexistencia </w:t>
      </w:r>
      <w:r w:rsidRPr="0082613A">
        <w:rPr>
          <w:rFonts w:eastAsia="Calibri" w:cs="Tahoma"/>
          <w:iCs/>
          <w:lang w:eastAsia="es-ES_tradnl"/>
        </w:rPr>
        <w:t>de las licencias de conducir de los servidores públicos</w:t>
      </w:r>
      <w:r w:rsidRPr="0082613A">
        <w:rPr>
          <w:rFonts w:eastAsia="Calibri" w:cs="Tahoma"/>
          <w:iCs/>
          <w:lang w:val="x-none" w:eastAsia="es-ES_tradnl"/>
        </w:rPr>
        <w:t>, conforme a lo establecido en el artículo 19, párrafo tercero, 169 y 170, de la Ley de Transparencia y Acceso a la Información Pública del Estado de México y Municipios.</w:t>
      </w:r>
    </w:p>
    <w:p w14:paraId="08D1020C" w14:textId="77777777" w:rsidR="002622AA" w:rsidRPr="0082613A" w:rsidRDefault="002622AA" w:rsidP="002622AA">
      <w:pPr>
        <w:widowControl w:val="0"/>
        <w:spacing w:after="0" w:line="360" w:lineRule="auto"/>
        <w:rPr>
          <w:rFonts w:cs="Tahoma"/>
        </w:rPr>
      </w:pPr>
    </w:p>
    <w:p w14:paraId="1E8385FF" w14:textId="77777777" w:rsidR="00EC77D9" w:rsidRPr="0082613A" w:rsidRDefault="00EC77D9" w:rsidP="00445624">
      <w:pPr>
        <w:autoSpaceDE w:val="0"/>
        <w:autoSpaceDN w:val="0"/>
        <w:adjustRightInd w:val="0"/>
        <w:spacing w:after="0" w:line="360" w:lineRule="auto"/>
        <w:contextualSpacing/>
        <w:rPr>
          <w:rFonts w:eastAsia="Calibri" w:cs="Tahoma"/>
          <w:b/>
          <w:bCs/>
          <w:iCs/>
          <w:color w:val="auto"/>
          <w:lang w:val="es-ES"/>
        </w:rPr>
      </w:pPr>
      <w:r w:rsidRPr="0082613A">
        <w:rPr>
          <w:rFonts w:eastAsia="Calibri" w:cs="Tahoma"/>
          <w:b/>
          <w:bCs/>
          <w:iCs/>
          <w:color w:val="auto"/>
          <w:lang w:val="es-ES"/>
        </w:rPr>
        <w:t>Términos de la Resolución para conocimiento del Particular.</w:t>
      </w:r>
    </w:p>
    <w:p w14:paraId="7E7185D8" w14:textId="77777777" w:rsidR="0097492D" w:rsidRPr="0082613A" w:rsidRDefault="0097492D" w:rsidP="00445624">
      <w:pPr>
        <w:autoSpaceDE w:val="0"/>
        <w:autoSpaceDN w:val="0"/>
        <w:adjustRightInd w:val="0"/>
        <w:spacing w:after="0" w:line="360" w:lineRule="auto"/>
        <w:contextualSpacing/>
        <w:rPr>
          <w:rFonts w:eastAsia="Calibri" w:cs="Tahoma"/>
          <w:b/>
          <w:bCs/>
          <w:iCs/>
          <w:color w:val="auto"/>
          <w:lang w:val="es-ES"/>
        </w:rPr>
      </w:pPr>
    </w:p>
    <w:p w14:paraId="0B94FAD2" w14:textId="2A729E5E" w:rsidR="00666D61" w:rsidRPr="0082613A" w:rsidRDefault="00666D61" w:rsidP="00445624">
      <w:pPr>
        <w:spacing w:after="0" w:line="360" w:lineRule="auto"/>
        <w:ind w:right="-28"/>
        <w:contextualSpacing/>
        <w:rPr>
          <w:lang w:eastAsia="es-MX"/>
        </w:rPr>
      </w:pPr>
      <w:r w:rsidRPr="0082613A">
        <w:rPr>
          <w:lang w:eastAsia="es-MX"/>
        </w:rPr>
        <w:lastRenderedPageBreak/>
        <w:t xml:space="preserve">Se le hace del conocimiento al Particular, que, en el presente caso, se le concedía la razón, pues si bien el Sujeto Obligado </w:t>
      </w:r>
      <w:r w:rsidR="00BB3490" w:rsidRPr="0082613A">
        <w:rPr>
          <w:lang w:eastAsia="es-MX"/>
        </w:rPr>
        <w:t>no dio respuesta en tiempo</w:t>
      </w:r>
      <w:r w:rsidRPr="0082613A">
        <w:rPr>
          <w:lang w:eastAsia="es-MX"/>
        </w:rPr>
        <w:t>, lo cierto es que, durante la sustanciación de los Medios de Impugnación precisó las razones por las cuales no contaba</w:t>
      </w:r>
      <w:r w:rsidR="002622AA" w:rsidRPr="0082613A">
        <w:rPr>
          <w:lang w:eastAsia="es-MX"/>
        </w:rPr>
        <w:t>, sin embargo, omitió proporcionar el Acuerdo emitido por el Comité de Transparencia, donde se confirmará la inexistencia de lo solicitado, por lo que, deberá entregárselo.</w:t>
      </w:r>
    </w:p>
    <w:p w14:paraId="0A323D90" w14:textId="447086BE" w:rsidR="002622AA" w:rsidRPr="0082613A" w:rsidRDefault="002622AA" w:rsidP="00445624">
      <w:pPr>
        <w:spacing w:after="0" w:line="360" w:lineRule="auto"/>
        <w:ind w:right="-28"/>
        <w:contextualSpacing/>
        <w:rPr>
          <w:lang w:eastAsia="es-MX"/>
        </w:rPr>
      </w:pPr>
    </w:p>
    <w:p w14:paraId="5C42FEE9" w14:textId="57DCF425" w:rsidR="002622AA" w:rsidRPr="0082613A" w:rsidRDefault="002622AA" w:rsidP="002622AA">
      <w:pPr>
        <w:spacing w:after="0" w:line="360" w:lineRule="auto"/>
        <w:rPr>
          <w:rFonts w:eastAsia="Calibri" w:cs="Tahoma"/>
          <w:bCs/>
          <w:iCs/>
          <w:color w:val="auto"/>
        </w:rPr>
      </w:pPr>
      <w:r w:rsidRPr="0082613A">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La </w:t>
      </w:r>
      <w:r w:rsidRPr="0082613A">
        <w:rPr>
          <w:rFonts w:eastAsia="Calibri" w:cs="Tahoma"/>
          <w:bCs/>
          <w:iCs/>
          <w:color w:val="auto"/>
        </w:rPr>
        <w:t>labor del Instituto, es apoyar a la población a acceder a la información pública y garantizar la protección de sus datos personales.</w:t>
      </w:r>
    </w:p>
    <w:p w14:paraId="528F0768" w14:textId="77777777" w:rsidR="002622AA" w:rsidRPr="0082613A" w:rsidRDefault="002622AA" w:rsidP="002622AA">
      <w:pPr>
        <w:spacing w:after="0" w:line="360" w:lineRule="auto"/>
        <w:rPr>
          <w:rFonts w:eastAsia="Calibri" w:cs="Tahoma"/>
          <w:bCs/>
          <w:iCs/>
          <w:color w:val="auto"/>
        </w:rPr>
      </w:pPr>
    </w:p>
    <w:p w14:paraId="113A15E0" w14:textId="77777777" w:rsidR="002622AA" w:rsidRPr="0082613A" w:rsidRDefault="002622AA" w:rsidP="002622AA">
      <w:pPr>
        <w:spacing w:after="0" w:line="360" w:lineRule="auto"/>
        <w:rPr>
          <w:rFonts w:eastAsia="Times New Roman" w:cs="Tahoma"/>
          <w:b/>
          <w:bCs/>
          <w:iCs/>
          <w:color w:val="auto"/>
          <w:lang w:eastAsia="es-ES"/>
        </w:rPr>
      </w:pPr>
      <w:r w:rsidRPr="0082613A">
        <w:rPr>
          <w:rFonts w:eastAsia="Times New Roman" w:cs="Tahoma"/>
          <w:b/>
          <w:bCs/>
          <w:iCs/>
          <w:color w:val="auto"/>
          <w:lang w:eastAsia="es-ES"/>
        </w:rPr>
        <w:t xml:space="preserve">SÉPTIMO. Vista a la Contraloría Interna y Órgano de Control y Vigilancia. </w:t>
      </w:r>
    </w:p>
    <w:p w14:paraId="7C65F50F" w14:textId="77777777" w:rsidR="002622AA" w:rsidRPr="0082613A" w:rsidRDefault="002622AA" w:rsidP="002622AA">
      <w:pPr>
        <w:spacing w:after="0" w:line="360" w:lineRule="auto"/>
        <w:rPr>
          <w:rFonts w:eastAsia="Times New Roman" w:cs="Tahoma"/>
          <w:bCs/>
          <w:color w:val="auto"/>
          <w:lang w:eastAsia="es-ES"/>
        </w:rPr>
      </w:pPr>
    </w:p>
    <w:p w14:paraId="6E77339D" w14:textId="77777777" w:rsidR="002622AA" w:rsidRPr="0082613A" w:rsidRDefault="002622AA" w:rsidP="002622AA">
      <w:pPr>
        <w:spacing w:after="0" w:line="360" w:lineRule="auto"/>
        <w:rPr>
          <w:rFonts w:eastAsia="Times New Roman" w:cs="Tahoma"/>
          <w:bCs/>
          <w:color w:val="auto"/>
          <w:lang w:eastAsia="es-ES"/>
        </w:rPr>
      </w:pPr>
      <w:r w:rsidRPr="0082613A">
        <w:rPr>
          <w:rFonts w:eastAsia="Times New Roman" w:cs="Tahoma"/>
          <w:bCs/>
          <w:color w:val="auto"/>
          <w:lang w:eastAsia="es-ES"/>
        </w:rPr>
        <w:t xml:space="preserve">En el caso en estudio, ha quedado acreditado que el Ayuntamiento de Zinacantepec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6E03EEEA" w14:textId="77777777" w:rsidR="002622AA" w:rsidRPr="0082613A" w:rsidRDefault="002622AA" w:rsidP="002622AA">
      <w:pPr>
        <w:spacing w:after="0" w:line="360" w:lineRule="auto"/>
        <w:rPr>
          <w:rFonts w:eastAsia="Times New Roman" w:cs="Tahoma"/>
          <w:bCs/>
          <w:color w:val="auto"/>
          <w:lang w:eastAsia="es-ES"/>
        </w:rPr>
      </w:pPr>
    </w:p>
    <w:p w14:paraId="27F181F8" w14:textId="77777777" w:rsidR="002622AA" w:rsidRPr="0082613A" w:rsidRDefault="002622AA" w:rsidP="002622AA">
      <w:pPr>
        <w:spacing w:after="0" w:line="360" w:lineRule="auto"/>
        <w:rPr>
          <w:rFonts w:eastAsia="Times New Roman" w:cs="Tahoma"/>
          <w:bCs/>
          <w:color w:val="auto"/>
          <w:lang w:eastAsia="es-ES"/>
        </w:rPr>
      </w:pPr>
      <w:r w:rsidRPr="0082613A">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B567FCC" w14:textId="77777777" w:rsidR="002622AA" w:rsidRPr="0082613A" w:rsidRDefault="002622AA" w:rsidP="002622AA">
      <w:pPr>
        <w:spacing w:after="0" w:line="360" w:lineRule="auto"/>
        <w:rPr>
          <w:rFonts w:eastAsia="Times New Roman" w:cs="Tahoma"/>
          <w:bCs/>
          <w:color w:val="auto"/>
          <w:lang w:eastAsia="es-ES"/>
        </w:rPr>
      </w:pPr>
      <w:r w:rsidRPr="0082613A">
        <w:rPr>
          <w:rFonts w:eastAsia="Times New Roman" w:cs="Tahoma"/>
          <w:bCs/>
          <w:color w:val="auto"/>
          <w:lang w:eastAsia="es-ES"/>
        </w:rPr>
        <w:lastRenderedPageBreak/>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2613A">
        <w:rPr>
          <w:rFonts w:eastAsia="Times New Roman" w:cs="Tahoma"/>
          <w:bCs/>
          <w:color w:val="auto"/>
          <w:lang w:val="es-ES_tradnl" w:eastAsia="es-ES"/>
        </w:rPr>
        <w:t>al Contralor Interno y Titular del Órgano de Control y Vigilancia de este Instituto</w:t>
      </w:r>
      <w:r w:rsidRPr="0082613A">
        <w:rPr>
          <w:rFonts w:eastAsia="Times New Roman" w:cs="Tahoma"/>
          <w:bCs/>
          <w:color w:val="auto"/>
          <w:lang w:eastAsia="es-ES"/>
        </w:rPr>
        <w:t>.</w:t>
      </w:r>
    </w:p>
    <w:p w14:paraId="50718B5A" w14:textId="77777777" w:rsidR="002622AA" w:rsidRPr="0082613A" w:rsidRDefault="002622AA" w:rsidP="002622AA">
      <w:pPr>
        <w:spacing w:after="0" w:line="360" w:lineRule="auto"/>
        <w:rPr>
          <w:rFonts w:eastAsia="Times New Roman" w:cs="Tahoma"/>
          <w:bCs/>
          <w:color w:val="auto"/>
          <w:lang w:eastAsia="es-ES"/>
        </w:rPr>
      </w:pPr>
    </w:p>
    <w:p w14:paraId="2EFBD828" w14:textId="77777777" w:rsidR="002622AA" w:rsidRPr="0082613A" w:rsidRDefault="002622AA" w:rsidP="002622AA">
      <w:pPr>
        <w:spacing w:after="0" w:line="360" w:lineRule="auto"/>
        <w:rPr>
          <w:rFonts w:eastAsia="Times New Roman" w:cs="Tahoma"/>
          <w:bCs/>
          <w:color w:val="auto"/>
          <w:lang w:eastAsia="es-ES"/>
        </w:rPr>
      </w:pPr>
      <w:r w:rsidRPr="0082613A">
        <w:rPr>
          <w:rFonts w:eastAsia="Times New Roman" w:cs="Tahoma"/>
          <w:bCs/>
          <w:color w:val="auto"/>
          <w:lang w:eastAsia="es-ES"/>
        </w:rPr>
        <w:t>Por lo expuesto y fundado, este Pleno:</w:t>
      </w:r>
    </w:p>
    <w:p w14:paraId="0EA055EB" w14:textId="77777777" w:rsidR="002622AA" w:rsidRPr="0082613A" w:rsidRDefault="002622AA" w:rsidP="002622AA">
      <w:pPr>
        <w:spacing w:after="0" w:line="360" w:lineRule="auto"/>
        <w:rPr>
          <w:rFonts w:eastAsia="Times New Roman" w:cs="Tahoma"/>
          <w:bCs/>
          <w:color w:val="auto"/>
          <w:lang w:eastAsia="es-ES"/>
        </w:rPr>
      </w:pPr>
    </w:p>
    <w:p w14:paraId="380CD49D" w14:textId="77777777" w:rsidR="002622AA" w:rsidRPr="0082613A" w:rsidRDefault="002622AA" w:rsidP="002622AA">
      <w:pPr>
        <w:spacing w:after="0" w:line="360" w:lineRule="auto"/>
        <w:jc w:val="center"/>
        <w:rPr>
          <w:rFonts w:eastAsia="Times New Roman" w:cs="Tahoma"/>
          <w:b/>
          <w:bCs/>
          <w:color w:val="auto"/>
          <w:lang w:eastAsia="es-ES"/>
        </w:rPr>
      </w:pPr>
      <w:r w:rsidRPr="0082613A">
        <w:rPr>
          <w:rFonts w:eastAsia="Times New Roman" w:cs="Tahoma"/>
          <w:b/>
          <w:bCs/>
          <w:color w:val="auto"/>
          <w:lang w:eastAsia="es-ES"/>
        </w:rPr>
        <w:t>R E S U E L V E:</w:t>
      </w:r>
    </w:p>
    <w:p w14:paraId="5F45665F" w14:textId="77777777" w:rsidR="002622AA" w:rsidRPr="0082613A" w:rsidRDefault="002622AA" w:rsidP="002622AA">
      <w:pPr>
        <w:spacing w:after="0" w:line="360" w:lineRule="auto"/>
        <w:ind w:right="113"/>
        <w:rPr>
          <w:rFonts w:eastAsia="Times New Roman" w:cs="Arial"/>
          <w:b/>
          <w:color w:val="auto"/>
          <w:lang w:eastAsia="es-ES"/>
        </w:rPr>
      </w:pPr>
    </w:p>
    <w:p w14:paraId="04753477" w14:textId="7B21D240" w:rsidR="002622AA" w:rsidRPr="0082613A" w:rsidRDefault="002622AA" w:rsidP="002622AA">
      <w:pPr>
        <w:widowControl w:val="0"/>
        <w:spacing w:after="0" w:line="360" w:lineRule="auto"/>
        <w:rPr>
          <w:rFonts w:eastAsia="Calibri" w:cs="Tahoma"/>
          <w:bCs/>
          <w:color w:val="auto"/>
        </w:rPr>
      </w:pPr>
      <w:r w:rsidRPr="0082613A">
        <w:rPr>
          <w:rFonts w:eastAsia="Times New Roman" w:cs="Tahoma"/>
          <w:b/>
          <w:bCs/>
          <w:color w:val="auto"/>
          <w:lang w:eastAsia="es-ES"/>
        </w:rPr>
        <w:t xml:space="preserve">PRIMERO. </w:t>
      </w:r>
      <w:r w:rsidRPr="0082613A">
        <w:rPr>
          <w:rFonts w:eastAsia="Calibri" w:cs="Tahoma"/>
          <w:bCs/>
          <w:color w:val="auto"/>
        </w:rPr>
        <w:t xml:space="preserve">Resultan </w:t>
      </w:r>
      <w:r w:rsidRPr="0082613A">
        <w:rPr>
          <w:rFonts w:eastAsia="Calibri" w:cs="Tahoma"/>
          <w:b/>
          <w:bCs/>
          <w:color w:val="auto"/>
        </w:rPr>
        <w:t>FUNDADAS</w:t>
      </w:r>
      <w:r w:rsidRPr="0082613A">
        <w:rPr>
          <w:rFonts w:eastAsia="Calibri" w:cs="Tahoma"/>
          <w:bCs/>
          <w:color w:val="auto"/>
        </w:rPr>
        <w:t xml:space="preserve"> las razones o motivos de inconformidad hechos valer por el Particular en el Recurso de Revisión 17041/INFOEM/IP/RR/2022</w:t>
      </w:r>
      <w:r w:rsidRPr="0082613A">
        <w:rPr>
          <w:rFonts w:eastAsia="Times New Roman" w:cs="Tahoma"/>
          <w:bCs/>
          <w:color w:val="0D0D0D"/>
          <w:lang w:eastAsia="es-ES"/>
        </w:rPr>
        <w:t>,</w:t>
      </w:r>
      <w:r w:rsidRPr="0082613A">
        <w:rPr>
          <w:rFonts w:eastAsia="Times New Roman" w:cs="Tahoma"/>
          <w:b/>
          <w:color w:val="0D0D0D"/>
          <w:lang w:eastAsia="es-ES"/>
        </w:rPr>
        <w:t xml:space="preserve"> </w:t>
      </w:r>
      <w:r w:rsidRPr="0082613A">
        <w:rPr>
          <w:rFonts w:eastAsia="Calibri" w:cs="Tahoma"/>
          <w:bCs/>
          <w:color w:val="auto"/>
        </w:rPr>
        <w:t xml:space="preserve">en términos de los considerandos </w:t>
      </w:r>
      <w:r w:rsidRPr="0082613A">
        <w:rPr>
          <w:rFonts w:eastAsia="Calibri" w:cs="Tahoma"/>
          <w:color w:val="auto"/>
        </w:rPr>
        <w:t>QUINTO y SEXTO de la</w:t>
      </w:r>
      <w:r w:rsidRPr="0082613A">
        <w:rPr>
          <w:rFonts w:eastAsia="Calibri" w:cs="Tahoma"/>
          <w:bCs/>
          <w:color w:val="auto"/>
        </w:rPr>
        <w:t xml:space="preserve"> presente Resolución.</w:t>
      </w:r>
    </w:p>
    <w:p w14:paraId="1F6A6690" w14:textId="77777777" w:rsidR="002622AA" w:rsidRPr="0082613A" w:rsidRDefault="002622AA" w:rsidP="002622AA">
      <w:pPr>
        <w:spacing w:after="0" w:line="360" w:lineRule="auto"/>
        <w:rPr>
          <w:rFonts w:eastAsia="Times New Roman" w:cs="Tahoma"/>
          <w:b/>
          <w:bCs/>
          <w:color w:val="auto"/>
          <w:lang w:eastAsia="es-ES"/>
        </w:rPr>
      </w:pPr>
    </w:p>
    <w:p w14:paraId="4FED7808" w14:textId="20B6AC7E" w:rsidR="002622AA" w:rsidRPr="0082613A" w:rsidRDefault="002622AA" w:rsidP="002622AA">
      <w:pPr>
        <w:spacing w:after="0" w:line="360" w:lineRule="auto"/>
        <w:ind w:right="-93"/>
        <w:rPr>
          <w:rFonts w:eastAsia="Times New Roman" w:cs="Tahoma"/>
          <w:color w:val="auto"/>
          <w:szCs w:val="20"/>
          <w:lang w:val="es-ES" w:eastAsia="es-ES"/>
        </w:rPr>
      </w:pPr>
      <w:r w:rsidRPr="0082613A">
        <w:rPr>
          <w:rFonts w:eastAsia="Calibri" w:cs="Tahoma"/>
          <w:b/>
          <w:bCs/>
          <w:color w:val="auto"/>
        </w:rPr>
        <w:t>SEGUNDO.</w:t>
      </w:r>
      <w:r w:rsidRPr="0082613A">
        <w:rPr>
          <w:rFonts w:eastAsia="Calibri" w:cs="Tahoma"/>
          <w:color w:val="auto"/>
          <w:lang w:eastAsia="es-MX"/>
        </w:rPr>
        <w:t xml:space="preserve"> Se </w:t>
      </w:r>
      <w:r w:rsidRPr="0082613A">
        <w:rPr>
          <w:rFonts w:eastAsia="Calibri" w:cs="Tahoma"/>
          <w:b/>
          <w:color w:val="auto"/>
          <w:lang w:eastAsia="es-MX"/>
        </w:rPr>
        <w:t xml:space="preserve">ORDENA </w:t>
      </w:r>
      <w:r w:rsidRPr="0082613A">
        <w:rPr>
          <w:rFonts w:eastAsia="Calibri" w:cs="Tahoma"/>
          <w:color w:val="auto"/>
          <w:lang w:eastAsia="es-MX"/>
        </w:rPr>
        <w:t xml:space="preserve">al Sujeto Obligado, </w:t>
      </w:r>
      <w:r w:rsidRPr="0082613A">
        <w:rPr>
          <w:rFonts w:eastAsia="Calibri" w:cs="Tahoma"/>
          <w:bCs/>
          <w:color w:val="auto"/>
        </w:rPr>
        <w:t>a efecto de que</w:t>
      </w:r>
      <w:r w:rsidRPr="0082613A">
        <w:rPr>
          <w:rFonts w:eastAsia="Times New Roman" w:cs="Tahoma"/>
          <w:color w:val="auto"/>
          <w:szCs w:val="20"/>
          <w:lang w:eastAsia="es-ES"/>
        </w:rPr>
        <w:t xml:space="preserve"> entregue, a través del </w:t>
      </w:r>
      <w:r w:rsidRPr="0082613A">
        <w:rPr>
          <w:rFonts w:eastAsia="Times New Roman" w:cs="Tahoma"/>
          <w:color w:val="auto"/>
          <w:szCs w:val="20"/>
          <w:lang w:val="es-ES" w:eastAsia="es-ES"/>
        </w:rPr>
        <w:t xml:space="preserve">Sistema de Acceso a la Información Mexiquense (SAIMEX), lo siguiente: </w:t>
      </w:r>
    </w:p>
    <w:p w14:paraId="72D35F84" w14:textId="091053A7" w:rsidR="00EC77D9" w:rsidRPr="0082613A" w:rsidRDefault="00EC77D9" w:rsidP="00445624">
      <w:pPr>
        <w:spacing w:after="0" w:line="360" w:lineRule="auto"/>
        <w:ind w:right="113"/>
        <w:contextualSpacing/>
        <w:rPr>
          <w:rFonts w:eastAsia="Times New Roman" w:cs="Arial"/>
          <w:b/>
          <w:color w:val="auto"/>
          <w:lang w:eastAsia="es-ES"/>
        </w:rPr>
      </w:pPr>
    </w:p>
    <w:p w14:paraId="5265F526" w14:textId="3C7D8463" w:rsidR="002622AA" w:rsidRPr="0082613A" w:rsidRDefault="002622AA" w:rsidP="002622AA">
      <w:pPr>
        <w:pStyle w:val="Prrafodelista"/>
        <w:numPr>
          <w:ilvl w:val="0"/>
          <w:numId w:val="12"/>
        </w:numPr>
        <w:spacing w:after="0" w:line="360" w:lineRule="auto"/>
        <w:ind w:right="113"/>
        <w:rPr>
          <w:rFonts w:eastAsia="Times New Roman" w:cs="Arial"/>
          <w:b/>
          <w:color w:val="auto"/>
          <w:lang w:eastAsia="es-ES"/>
        </w:rPr>
      </w:pPr>
      <w:r w:rsidRPr="0082613A">
        <w:rPr>
          <w:rFonts w:eastAsia="Calibri" w:cs="Times New Roman"/>
        </w:rPr>
        <w:t xml:space="preserve">El </w:t>
      </w:r>
      <w:r w:rsidRPr="0082613A">
        <w:rPr>
          <w:rFonts w:eastAsia="Calibri" w:cs="Tahoma"/>
          <w:iCs/>
          <w:lang w:val="x-none" w:eastAsia="es-ES_tradnl"/>
        </w:rPr>
        <w:t xml:space="preserve">Acuerdo del Comité de Transparencia, donde confirme la inexistencia </w:t>
      </w:r>
      <w:r w:rsidRPr="0082613A">
        <w:rPr>
          <w:rFonts w:eastAsia="Calibri" w:cs="Tahoma"/>
          <w:iCs/>
          <w:lang w:eastAsia="es-ES_tradnl"/>
        </w:rPr>
        <w:t>de las licencias de conducir de los servidores públicos</w:t>
      </w:r>
      <w:r w:rsidRPr="0082613A">
        <w:rPr>
          <w:rFonts w:eastAsia="Calibri" w:cs="Tahoma"/>
          <w:iCs/>
          <w:lang w:val="x-none" w:eastAsia="es-ES_tradnl"/>
        </w:rPr>
        <w:t>, conforme a lo establecido en el artículo 19, párrafo tercero, 169 y 170, de la Ley de Transparencia y Acceso a la Información Pública del Estado de México y Municipios.</w:t>
      </w:r>
    </w:p>
    <w:p w14:paraId="517D5A48" w14:textId="77777777" w:rsidR="002622AA" w:rsidRPr="0082613A" w:rsidRDefault="002622AA" w:rsidP="002622AA">
      <w:pPr>
        <w:spacing w:after="0" w:line="360" w:lineRule="auto"/>
        <w:rPr>
          <w:rFonts w:eastAsia="Calibri" w:cs="Tahoma"/>
          <w:b/>
          <w:bCs/>
          <w:iCs/>
          <w:color w:val="auto"/>
          <w:lang w:val="es-ES" w:eastAsia="es-ES"/>
        </w:rPr>
      </w:pPr>
    </w:p>
    <w:p w14:paraId="06AEEEA9" w14:textId="55484B4B" w:rsidR="002622AA" w:rsidRPr="0082613A" w:rsidRDefault="002622AA" w:rsidP="002622AA">
      <w:pPr>
        <w:spacing w:after="0" w:line="360" w:lineRule="auto"/>
        <w:rPr>
          <w:rFonts w:eastAsia="Calibri" w:cs="Tahoma"/>
          <w:bCs/>
          <w:iCs/>
          <w:color w:val="auto"/>
          <w:lang w:eastAsia="es-ES"/>
        </w:rPr>
      </w:pPr>
      <w:r w:rsidRPr="0082613A">
        <w:rPr>
          <w:rFonts w:eastAsia="Calibri" w:cs="Tahoma"/>
          <w:b/>
          <w:bCs/>
          <w:iCs/>
          <w:color w:val="auto"/>
          <w:lang w:val="es-ES" w:eastAsia="es-ES"/>
        </w:rPr>
        <w:t>TERCERO</w:t>
      </w:r>
      <w:r w:rsidRPr="0082613A">
        <w:rPr>
          <w:rFonts w:eastAsia="Calibri" w:cs="Tahoma"/>
          <w:b/>
          <w:bCs/>
          <w:color w:val="auto"/>
        </w:rPr>
        <w:t xml:space="preserve">. </w:t>
      </w:r>
      <w:r w:rsidRPr="0082613A">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w:t>
      </w:r>
      <w:r w:rsidRPr="0082613A">
        <w:rPr>
          <w:rFonts w:eastAsia="Calibri" w:cs="Tahoma"/>
          <w:bCs/>
          <w:iCs/>
          <w:color w:val="auto"/>
          <w:lang w:val="es-ES_tradnl" w:eastAsia="es-ES"/>
        </w:rPr>
        <w:lastRenderedPageBreak/>
        <w:t xml:space="preserve">conocimiento del Recurrente que tiene derecho a interponer nuevamente Recurso de Revisión ante este Instituto, por la respuesta que dé el Sujeto Obligado, en cumplimiento a esta Resolución.  </w:t>
      </w:r>
    </w:p>
    <w:p w14:paraId="000685F1" w14:textId="77777777" w:rsidR="002622AA" w:rsidRPr="0082613A" w:rsidRDefault="002622AA" w:rsidP="002622AA">
      <w:pPr>
        <w:spacing w:after="0" w:line="360" w:lineRule="auto"/>
        <w:rPr>
          <w:rFonts w:eastAsia="Calibri" w:cs="Tahoma"/>
          <w:b/>
          <w:bCs/>
          <w:color w:val="auto"/>
        </w:rPr>
      </w:pPr>
    </w:p>
    <w:p w14:paraId="154D190A" w14:textId="77777777" w:rsidR="002622AA" w:rsidRPr="0082613A" w:rsidRDefault="002622AA" w:rsidP="002622AA">
      <w:pPr>
        <w:spacing w:after="0" w:line="360" w:lineRule="auto"/>
        <w:rPr>
          <w:rFonts w:eastAsia="Times New Roman" w:cs="Tahoma"/>
          <w:color w:val="auto"/>
          <w:lang w:eastAsia="es-ES"/>
        </w:rPr>
      </w:pPr>
      <w:r w:rsidRPr="0082613A">
        <w:rPr>
          <w:rFonts w:eastAsia="Calibri" w:cs="Tahoma"/>
          <w:b/>
          <w:color w:val="auto"/>
          <w:lang w:eastAsia="es-MX"/>
        </w:rPr>
        <w:t>CUARTO</w:t>
      </w:r>
      <w:r w:rsidRPr="0082613A">
        <w:rPr>
          <w:rFonts w:eastAsia="Calibri" w:cs="Tahoma"/>
          <w:b/>
          <w:bCs/>
          <w:color w:val="auto"/>
        </w:rPr>
        <w:t xml:space="preserve">. </w:t>
      </w:r>
      <w:r w:rsidRPr="0082613A">
        <w:rPr>
          <w:rFonts w:eastAsia="Times New Roman" w:cs="Tahoma"/>
          <w:b/>
          <w:color w:val="auto"/>
          <w:lang w:eastAsia="es-ES"/>
        </w:rPr>
        <w:t xml:space="preserve">NOTIFÍQUESE </w:t>
      </w:r>
      <w:r w:rsidRPr="0082613A">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9C647BC" w14:textId="77777777" w:rsidR="002622AA" w:rsidRPr="0082613A" w:rsidRDefault="002622AA" w:rsidP="002622AA">
      <w:pPr>
        <w:spacing w:after="0" w:line="360" w:lineRule="auto"/>
        <w:rPr>
          <w:rFonts w:eastAsia="Times New Roman" w:cs="Tahoma"/>
          <w:i/>
          <w:color w:val="auto"/>
          <w:lang w:eastAsia="es-ES"/>
        </w:rPr>
      </w:pPr>
    </w:p>
    <w:p w14:paraId="56BADA25" w14:textId="77777777" w:rsidR="002622AA" w:rsidRPr="0082613A" w:rsidRDefault="002622AA" w:rsidP="002622AA">
      <w:pPr>
        <w:spacing w:after="0" w:line="360" w:lineRule="auto"/>
        <w:rPr>
          <w:rFonts w:eastAsia="Times New Roman" w:cs="Tahoma"/>
          <w:color w:val="auto"/>
          <w:lang w:eastAsia="es-ES"/>
        </w:rPr>
      </w:pPr>
      <w:r w:rsidRPr="0082613A">
        <w:rPr>
          <w:rFonts w:eastAsia="Calibri" w:cs="Tahoma"/>
          <w:b/>
          <w:bCs/>
          <w:iCs/>
          <w:color w:val="auto"/>
          <w:lang w:val="es-ES" w:eastAsia="es-ES"/>
        </w:rPr>
        <w:t>QUINTO</w:t>
      </w:r>
      <w:r w:rsidRPr="0082613A">
        <w:rPr>
          <w:rFonts w:eastAsia="Calibri" w:cs="Tahoma"/>
          <w:bCs/>
          <w:iCs/>
          <w:color w:val="auto"/>
          <w:lang w:val="es-ES" w:eastAsia="es-ES"/>
        </w:rPr>
        <w:t>.</w:t>
      </w:r>
      <w:r w:rsidRPr="0082613A">
        <w:rPr>
          <w:rFonts w:eastAsia="Times New Roman" w:cs="Tahoma"/>
          <w:b/>
          <w:color w:val="auto"/>
          <w:lang w:eastAsia="es-ES"/>
        </w:rPr>
        <w:t>NOTIFÍQUESE</w:t>
      </w:r>
      <w:r w:rsidRPr="0082613A">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94FA5D1" w14:textId="77777777" w:rsidR="002622AA" w:rsidRPr="0082613A" w:rsidRDefault="002622AA" w:rsidP="002622AA">
      <w:pPr>
        <w:spacing w:after="0" w:line="360" w:lineRule="auto"/>
        <w:rPr>
          <w:rFonts w:eastAsia="Times New Roman" w:cs="Tahoma"/>
          <w:color w:val="auto"/>
          <w:lang w:eastAsia="es-ES"/>
        </w:rPr>
      </w:pPr>
    </w:p>
    <w:p w14:paraId="5F991DBD" w14:textId="77777777" w:rsidR="002622AA" w:rsidRPr="0082613A" w:rsidRDefault="002622AA" w:rsidP="002622AA">
      <w:pPr>
        <w:spacing w:after="0" w:line="360" w:lineRule="auto"/>
        <w:rPr>
          <w:rFonts w:eastAsia="Calibri" w:cs="Times New Roman"/>
        </w:rPr>
      </w:pPr>
      <w:r w:rsidRPr="0082613A">
        <w:rPr>
          <w:rFonts w:eastAsia="Calibri" w:cs="Times New Roman"/>
          <w:b/>
          <w:bCs/>
        </w:rPr>
        <w:t>SEXTO.</w:t>
      </w:r>
      <w:r w:rsidRPr="0082613A">
        <w:rPr>
          <w:rFonts w:eastAsia="Calibri" w:cs="Times New Roman"/>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1016BB32" w14:textId="77777777" w:rsidR="002622AA" w:rsidRPr="0082613A" w:rsidRDefault="002622AA" w:rsidP="002622AA">
      <w:pPr>
        <w:spacing w:after="0" w:line="360" w:lineRule="auto"/>
        <w:ind w:right="-93"/>
        <w:rPr>
          <w:rFonts w:eastAsia="Times New Roman" w:cs="Times New Roman"/>
          <w:color w:val="000000"/>
          <w:shd w:val="clear" w:color="auto" w:fill="FFFFFF"/>
          <w:lang w:eastAsia="es-ES"/>
        </w:rPr>
      </w:pPr>
    </w:p>
    <w:p w14:paraId="53183758" w14:textId="77777777" w:rsidR="002622AA" w:rsidRPr="0082613A" w:rsidRDefault="002622AA" w:rsidP="002622AA">
      <w:pPr>
        <w:spacing w:after="0" w:line="360" w:lineRule="auto"/>
        <w:ind w:right="-93"/>
        <w:rPr>
          <w:rFonts w:eastAsia="Calibri" w:cs="Tahoma"/>
          <w:bCs/>
          <w:color w:val="auto"/>
        </w:rPr>
      </w:pPr>
      <w:r w:rsidRPr="0082613A">
        <w:rPr>
          <w:rFonts w:eastAsia="Times New Roman" w:cs="Tahoma"/>
          <w:b/>
          <w:color w:val="000000"/>
          <w:lang w:eastAsia="es-ES"/>
        </w:rPr>
        <w:t xml:space="preserve">SÉPTIMO. </w:t>
      </w:r>
      <w:r w:rsidRPr="0082613A">
        <w:rPr>
          <w:rFonts w:eastAsia="Calibri" w:cs="Tahoma"/>
          <w:bCs/>
          <w:color w:val="auto"/>
        </w:rPr>
        <w:t xml:space="preserve">Con fundamento en lo dispuesto en los artículos 190 de la </w:t>
      </w:r>
      <w:r w:rsidRPr="0082613A">
        <w:rPr>
          <w:rFonts w:eastAsia="Times New Roman" w:cs="Tahoma"/>
          <w:color w:val="auto"/>
          <w:lang w:eastAsia="es-ES"/>
        </w:rPr>
        <w:t xml:space="preserve">Ley de Transparencia y Acceso a la Información Pública del Estado de México y Municipios, gírese </w:t>
      </w:r>
      <w:r w:rsidRPr="0082613A">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82613A">
        <w:rPr>
          <w:rFonts w:eastAsia="Calibri" w:cs="Tahoma"/>
          <w:color w:val="auto"/>
        </w:rPr>
        <w:t xml:space="preserve">SÉPTIMO </w:t>
      </w:r>
      <w:r w:rsidRPr="0082613A">
        <w:rPr>
          <w:rFonts w:eastAsia="Calibri" w:cs="Tahoma"/>
          <w:bCs/>
          <w:color w:val="auto"/>
        </w:rPr>
        <w:t>de la presente Resolución.</w:t>
      </w:r>
    </w:p>
    <w:p w14:paraId="1C624BFE" w14:textId="77777777" w:rsidR="00666D61" w:rsidRPr="0082613A" w:rsidRDefault="00666D61" w:rsidP="00445624">
      <w:pPr>
        <w:spacing w:after="0" w:line="360" w:lineRule="auto"/>
        <w:ind w:right="-93"/>
        <w:contextualSpacing/>
        <w:rPr>
          <w:rFonts w:eastAsia="Calibri" w:cs="Tahoma"/>
          <w:bCs/>
          <w:color w:val="auto"/>
        </w:rPr>
      </w:pPr>
    </w:p>
    <w:p w14:paraId="020A024E" w14:textId="4D00E664" w:rsidR="00666D61" w:rsidRPr="009F475F" w:rsidRDefault="00666D61" w:rsidP="00445624">
      <w:pPr>
        <w:spacing w:after="0" w:line="360" w:lineRule="auto"/>
        <w:contextualSpacing/>
        <w:rPr>
          <w:rFonts w:eastAsia="Calibri" w:cs="Tahoma"/>
          <w:lang w:val="es-ES" w:eastAsia="es-ES_tradnl"/>
        </w:rPr>
      </w:pPr>
      <w:r w:rsidRPr="0082613A">
        <w:rPr>
          <w:rFonts w:eastAsia="Calibri" w:cs="Tahoma"/>
          <w:lang w:val="es-ES" w:eastAsia="es-ES_tradnl"/>
        </w:rPr>
        <w:lastRenderedPageBreak/>
        <w:t xml:space="preserve">ASÍ LO RESUELVE, POR </w:t>
      </w:r>
      <w:r w:rsidR="00C11FB9" w:rsidRPr="0082613A">
        <w:rPr>
          <w:rFonts w:eastAsia="Calibri" w:cs="Tahoma"/>
          <w:b/>
          <w:bCs/>
          <w:lang w:val="es-ES" w:eastAsia="es-ES_tradnl"/>
        </w:rPr>
        <w:t>MAYORÍA</w:t>
      </w:r>
      <w:r w:rsidRPr="0082613A">
        <w:rPr>
          <w:rFonts w:eastAsia="Calibri" w:cs="Tahoma"/>
          <w:lang w:val="es-ES" w:eastAsia="es-ES_tradnl"/>
        </w:rPr>
        <w:t xml:space="preserve"> DE VOTOS EL PLENO DEL INSTITUTO DE TRANSPARENCIA, ACCESO A LA INFORMACIÓN PÚBLICA Y PROTECCIÓN DE </w:t>
      </w:r>
      <w:r w:rsidR="009F475F" w:rsidRPr="0082613A">
        <w:rPr>
          <w:rFonts w:eastAsia="Calibri" w:cs="Tahoma"/>
          <w:lang w:val="es-ES" w:eastAsia="es-ES_tradnl"/>
        </w:rPr>
        <w:t>DATOS PERSONALES DEL ESTADO DE MÉXICO Y MUNICIPIOS, CONFORMADO POR LOS COMISIONADOS JOSÉ MARTÍNEZ VILCHIS, MARÍA DEL ROSARIO MEJÍA AYALA, SHARON CRISTINA MORALES MARTÍNEZ, LUIS GUSTAVO PARRA NORIEGA CON VOTO DISIDENTE Y GUADALUPE RAMÍREZ PEÑA CON VOTO PARTICULAR, EN LA SEXTA SESIÓN ORDINARIA, CELEBRADA EL QUINCE DE FEBRERO DE DOS MIL VEINTITRÉS, ANTE EL SECRETARIO TÉCNICO DEL PLENO, ALEXIS TAPIA RAMÍREZ</w:t>
      </w:r>
    </w:p>
    <w:p w14:paraId="1950A4FE" w14:textId="60D82B64" w:rsidR="00DB64A3" w:rsidRDefault="00DB64A3">
      <w:pPr>
        <w:jc w:val="left"/>
      </w:pPr>
      <w:r>
        <w:br w:type="page"/>
      </w:r>
    </w:p>
    <w:p w14:paraId="60057B89" w14:textId="77777777" w:rsidR="00C50842" w:rsidRDefault="00C50842" w:rsidP="00445624">
      <w:pPr>
        <w:spacing w:after="0" w:line="360" w:lineRule="auto"/>
        <w:contextualSpacing/>
      </w:pPr>
    </w:p>
    <w:sectPr w:rsidR="00C50842" w:rsidSect="001963CE">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613F" w14:textId="77777777" w:rsidR="00CB39C7" w:rsidRDefault="00CB39C7" w:rsidP="00EC77D9">
      <w:pPr>
        <w:spacing w:after="0" w:line="240" w:lineRule="auto"/>
      </w:pPr>
      <w:r>
        <w:separator/>
      </w:r>
    </w:p>
  </w:endnote>
  <w:endnote w:type="continuationSeparator" w:id="0">
    <w:p w14:paraId="13356FA1" w14:textId="77777777" w:rsidR="00CB39C7" w:rsidRDefault="00CB39C7"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1963CE" w:rsidRDefault="001963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3848">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3848">
              <w:rPr>
                <w:b/>
                <w:bCs/>
                <w:noProof/>
              </w:rPr>
              <w:t>19</w:t>
            </w:r>
            <w:r>
              <w:rPr>
                <w:b/>
                <w:bCs/>
                <w:sz w:val="24"/>
                <w:szCs w:val="24"/>
              </w:rPr>
              <w:fldChar w:fldCharType="end"/>
            </w:r>
          </w:p>
        </w:sdtContent>
      </w:sdt>
    </w:sdtContent>
  </w:sdt>
  <w:p w14:paraId="480CB874" w14:textId="77777777" w:rsidR="001963CE" w:rsidRDefault="00196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384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3848">
              <w:rPr>
                <w:b/>
                <w:bCs/>
                <w:noProof/>
              </w:rPr>
              <w:t>19</w:t>
            </w:r>
            <w:r>
              <w:rPr>
                <w:b/>
                <w:bCs/>
                <w:sz w:val="24"/>
                <w:szCs w:val="24"/>
              </w:rPr>
              <w:fldChar w:fldCharType="end"/>
            </w:r>
          </w:p>
        </w:sdtContent>
      </w:sdt>
    </w:sdtContent>
  </w:sdt>
  <w:p w14:paraId="604FB1E6" w14:textId="77777777" w:rsidR="001963CE" w:rsidRDefault="00196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AFBC" w14:textId="77777777" w:rsidR="00CB39C7" w:rsidRDefault="00CB39C7" w:rsidP="00EC77D9">
      <w:pPr>
        <w:spacing w:after="0" w:line="240" w:lineRule="auto"/>
      </w:pPr>
      <w:r>
        <w:separator/>
      </w:r>
    </w:p>
  </w:footnote>
  <w:footnote w:type="continuationSeparator" w:id="0">
    <w:p w14:paraId="03319B0B" w14:textId="77777777" w:rsidR="00CB39C7" w:rsidRDefault="00CB39C7"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4A0009A6" w14:textId="77777777" w:rsidTr="001963CE">
      <w:trPr>
        <w:trHeight w:val="132"/>
      </w:trPr>
      <w:tc>
        <w:tcPr>
          <w:tcW w:w="2691" w:type="dxa"/>
        </w:tcPr>
        <w:p w14:paraId="76E98208"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1963CE" w:rsidRPr="00EE1572" w:rsidRDefault="00A9167D" w:rsidP="001963CE">
          <w:pPr>
            <w:tabs>
              <w:tab w:val="right" w:pos="8838"/>
            </w:tabs>
            <w:ind w:left="-28" w:right="-32"/>
            <w:rPr>
              <w:rFonts w:eastAsia="Calibri" w:cs="Tahoma"/>
            </w:rPr>
          </w:pPr>
          <w:r w:rsidRPr="00EE1572">
            <w:rPr>
              <w:rFonts w:eastAsia="Calibri" w:cs="Tahoma"/>
            </w:rPr>
            <w:t>03846/INFOEM/IP/RR/2020</w:t>
          </w:r>
        </w:p>
      </w:tc>
    </w:tr>
    <w:tr w:rsidR="001963CE" w:rsidRPr="00E152D8" w14:paraId="4AB4C711" w14:textId="77777777" w:rsidTr="001963CE">
      <w:trPr>
        <w:trHeight w:val="261"/>
      </w:trPr>
      <w:tc>
        <w:tcPr>
          <w:tcW w:w="2691" w:type="dxa"/>
        </w:tcPr>
        <w:p w14:paraId="7E7EF0C1"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1963CE" w:rsidRPr="00EE1572" w:rsidRDefault="00A2050F"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4659C8A1" w14:textId="77777777" w:rsidTr="001963CE">
      <w:trPr>
        <w:trHeight w:val="261"/>
      </w:trPr>
      <w:tc>
        <w:tcPr>
          <w:tcW w:w="2691" w:type="dxa"/>
        </w:tcPr>
        <w:p w14:paraId="1445B8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1963CE" w:rsidRPr="00E152D8" w:rsidRDefault="00A9167D"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1963CE" w:rsidRDefault="0082613A">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1963CE" w:rsidRPr="00E152D8" w14:paraId="62A5EE36" w14:textId="77777777" w:rsidTr="001756F2">
      <w:trPr>
        <w:trHeight w:val="138"/>
      </w:trPr>
      <w:tc>
        <w:tcPr>
          <w:tcW w:w="2552" w:type="dxa"/>
          <w:vAlign w:val="center"/>
        </w:tcPr>
        <w:p w14:paraId="028A99F9" w14:textId="77777777" w:rsidR="001963CE" w:rsidRPr="00E152D8" w:rsidRDefault="00A9167D"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64B8CA56" w:rsidR="001963CE" w:rsidRPr="00051642" w:rsidRDefault="00FF6861" w:rsidP="001963CE">
          <w:pPr>
            <w:tabs>
              <w:tab w:val="right" w:pos="8838"/>
            </w:tabs>
            <w:ind w:right="-32"/>
            <w:rPr>
              <w:rFonts w:eastAsia="Calibri" w:cs="Tahoma"/>
            </w:rPr>
          </w:pPr>
          <w:r>
            <w:rPr>
              <w:rFonts w:eastAsia="Calibri" w:cs="Tahoma"/>
              <w:lang w:val="es-MX"/>
            </w:rPr>
            <w:t>17041</w:t>
          </w:r>
          <w:r w:rsidR="00A9167D">
            <w:rPr>
              <w:rFonts w:eastAsia="Calibri" w:cs="Tahoma"/>
              <w:lang w:val="es-MX"/>
            </w:rPr>
            <w:t>/INFOEM/IP/RR/2022</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23186AE0" w:rsidR="009E6F8A" w:rsidRPr="00051642" w:rsidRDefault="000C006D" w:rsidP="009E6F8A">
          <w:pPr>
            <w:tabs>
              <w:tab w:val="right" w:pos="8838"/>
            </w:tabs>
            <w:ind w:left="-28" w:right="-32"/>
            <w:rPr>
              <w:rFonts w:eastAsia="Calibri" w:cs="Tahoma"/>
              <w:lang w:val="es-MX"/>
            </w:rPr>
          </w:pPr>
          <w:r>
            <w:rPr>
              <w:color w:val="000000"/>
            </w:rPr>
            <w:t>Ayuntamiento de Zinacantepec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1963CE" w:rsidRDefault="0082613A" w:rsidP="001963CE">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1963CE" w:rsidRPr="00E152D8" w14:paraId="03E85E0E" w14:textId="77777777" w:rsidTr="00E84FAD">
      <w:trPr>
        <w:trHeight w:val="132"/>
      </w:trPr>
      <w:tc>
        <w:tcPr>
          <w:tcW w:w="2552" w:type="dxa"/>
        </w:tcPr>
        <w:p w14:paraId="67360501" w14:textId="1B94502D" w:rsidR="001963CE" w:rsidRPr="00E152D8" w:rsidRDefault="00E84FAD" w:rsidP="001963CE">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7EBE6E24" w:rsidR="001963CE" w:rsidRPr="00051642" w:rsidRDefault="00FF6861" w:rsidP="001963CE">
          <w:pPr>
            <w:tabs>
              <w:tab w:val="right" w:pos="8838"/>
            </w:tabs>
            <w:ind w:left="-111" w:right="-32"/>
            <w:rPr>
              <w:rFonts w:eastAsia="Calibri" w:cs="Tahoma"/>
            </w:rPr>
          </w:pPr>
          <w:r>
            <w:rPr>
              <w:rFonts w:eastAsia="Calibri" w:cs="Tahoma"/>
              <w:lang w:val="es-MX"/>
            </w:rPr>
            <w:t>17041</w:t>
          </w:r>
          <w:r w:rsidR="00A9167D">
            <w:rPr>
              <w:rFonts w:eastAsia="Calibri" w:cs="Tahoma"/>
              <w:lang w:val="es-MX"/>
            </w:rPr>
            <w:t>/INFOEM/IP/RR/2022</w:t>
          </w:r>
        </w:p>
      </w:tc>
    </w:tr>
    <w:tr w:rsidR="001963CE" w:rsidRPr="00E152D8" w14:paraId="5E1FE5FD" w14:textId="77777777" w:rsidTr="00E84FAD">
      <w:trPr>
        <w:trHeight w:val="132"/>
      </w:trPr>
      <w:tc>
        <w:tcPr>
          <w:tcW w:w="2552" w:type="dxa"/>
        </w:tcPr>
        <w:p w14:paraId="046D02FA" w14:textId="77777777" w:rsidR="001963CE" w:rsidRPr="00E152D8" w:rsidRDefault="00A9167D"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90ED485" w:rsidR="001963CE" w:rsidRPr="00E152D8" w:rsidRDefault="001963CE" w:rsidP="001963CE">
          <w:pPr>
            <w:tabs>
              <w:tab w:val="right" w:pos="8838"/>
            </w:tabs>
            <w:ind w:left="-111" w:right="-109"/>
            <w:rPr>
              <w:rFonts w:eastAsia="Calibri" w:cs="Tahoma"/>
              <w:lang w:val="es-MX"/>
            </w:rPr>
          </w:pPr>
        </w:p>
      </w:tc>
    </w:tr>
    <w:tr w:rsidR="001963CE" w:rsidRPr="00E152D8" w14:paraId="55B580D4" w14:textId="77777777" w:rsidTr="00E84FAD">
      <w:trPr>
        <w:trHeight w:val="261"/>
      </w:trPr>
      <w:tc>
        <w:tcPr>
          <w:tcW w:w="2552" w:type="dxa"/>
        </w:tcPr>
        <w:p w14:paraId="08C714D2"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18D96B6D" w:rsidR="001963CE" w:rsidRPr="00463532" w:rsidRDefault="000C006D" w:rsidP="001963CE">
          <w:pPr>
            <w:tabs>
              <w:tab w:val="right" w:pos="8838"/>
            </w:tabs>
            <w:ind w:left="-111" w:right="-32"/>
            <w:rPr>
              <w:rFonts w:eastAsia="Calibri" w:cs="Tahoma"/>
              <w:lang w:val="es-MX"/>
            </w:rPr>
          </w:pPr>
          <w:r>
            <w:rPr>
              <w:color w:val="000000"/>
            </w:rPr>
            <w:t>Ayuntamiento de Zinacantepec</w:t>
          </w:r>
        </w:p>
      </w:tc>
    </w:tr>
    <w:tr w:rsidR="001963CE" w:rsidRPr="00E152D8" w14:paraId="3EC166B6" w14:textId="77777777" w:rsidTr="00E84FAD">
      <w:trPr>
        <w:trHeight w:val="261"/>
      </w:trPr>
      <w:tc>
        <w:tcPr>
          <w:tcW w:w="2552" w:type="dxa"/>
        </w:tcPr>
        <w:p w14:paraId="2F1C1A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1963CE" w:rsidRPr="00E152D8" w:rsidRDefault="00A9167D"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1963CE" w:rsidRDefault="0082613A" w:rsidP="001963CE">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84.3pt;margin-top:-120.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9E4FD6"/>
    <w:multiLevelType w:val="hybridMultilevel"/>
    <w:tmpl w:val="2BC20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3046449">
    <w:abstractNumId w:val="2"/>
  </w:num>
  <w:num w:numId="2" w16cid:durableId="1766030514">
    <w:abstractNumId w:val="8"/>
  </w:num>
  <w:num w:numId="3" w16cid:durableId="2014843802">
    <w:abstractNumId w:val="4"/>
  </w:num>
  <w:num w:numId="4" w16cid:durableId="466554863">
    <w:abstractNumId w:val="3"/>
  </w:num>
  <w:num w:numId="5" w16cid:durableId="1034308307">
    <w:abstractNumId w:val="9"/>
  </w:num>
  <w:num w:numId="6" w16cid:durableId="1536887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6458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5844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5358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223125">
    <w:abstractNumId w:val="0"/>
  </w:num>
  <w:num w:numId="11" w16cid:durableId="1210416118">
    <w:abstractNumId w:val="1"/>
  </w:num>
  <w:num w:numId="12" w16cid:durableId="37415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144E2"/>
    <w:rsid w:val="00020AB8"/>
    <w:rsid w:val="00047686"/>
    <w:rsid w:val="00077B14"/>
    <w:rsid w:val="00081C90"/>
    <w:rsid w:val="000823E5"/>
    <w:rsid w:val="000C006D"/>
    <w:rsid w:val="000C0978"/>
    <w:rsid w:val="000D30AB"/>
    <w:rsid w:val="000F5705"/>
    <w:rsid w:val="00107737"/>
    <w:rsid w:val="00122140"/>
    <w:rsid w:val="00122644"/>
    <w:rsid w:val="0013258E"/>
    <w:rsid w:val="001448D9"/>
    <w:rsid w:val="00170570"/>
    <w:rsid w:val="00172038"/>
    <w:rsid w:val="001756F2"/>
    <w:rsid w:val="00182C11"/>
    <w:rsid w:val="001928BD"/>
    <w:rsid w:val="001952CF"/>
    <w:rsid w:val="001963CE"/>
    <w:rsid w:val="00196794"/>
    <w:rsid w:val="001B0790"/>
    <w:rsid w:val="001B32AD"/>
    <w:rsid w:val="001F55A5"/>
    <w:rsid w:val="00206B4A"/>
    <w:rsid w:val="00251BDC"/>
    <w:rsid w:val="002622AA"/>
    <w:rsid w:val="00265B53"/>
    <w:rsid w:val="002762F3"/>
    <w:rsid w:val="002A5660"/>
    <w:rsid w:val="002D2283"/>
    <w:rsid w:val="003044BA"/>
    <w:rsid w:val="00311C91"/>
    <w:rsid w:val="00341982"/>
    <w:rsid w:val="00356A74"/>
    <w:rsid w:val="003573E6"/>
    <w:rsid w:val="00363848"/>
    <w:rsid w:val="00365A89"/>
    <w:rsid w:val="00365F46"/>
    <w:rsid w:val="0038136C"/>
    <w:rsid w:val="00386736"/>
    <w:rsid w:val="003A2D05"/>
    <w:rsid w:val="003D0090"/>
    <w:rsid w:val="003E3B2A"/>
    <w:rsid w:val="004061A3"/>
    <w:rsid w:val="004265F9"/>
    <w:rsid w:val="00430E8A"/>
    <w:rsid w:val="00445624"/>
    <w:rsid w:val="00451C54"/>
    <w:rsid w:val="00454CCA"/>
    <w:rsid w:val="00463532"/>
    <w:rsid w:val="004641F0"/>
    <w:rsid w:val="00465182"/>
    <w:rsid w:val="00494A1F"/>
    <w:rsid w:val="00494ADB"/>
    <w:rsid w:val="004B54D0"/>
    <w:rsid w:val="004D7869"/>
    <w:rsid w:val="004E44D2"/>
    <w:rsid w:val="004E75ED"/>
    <w:rsid w:val="004F1F79"/>
    <w:rsid w:val="0054037C"/>
    <w:rsid w:val="00541CD3"/>
    <w:rsid w:val="005439B3"/>
    <w:rsid w:val="00563865"/>
    <w:rsid w:val="0058579C"/>
    <w:rsid w:val="005B78CE"/>
    <w:rsid w:val="005D1AB8"/>
    <w:rsid w:val="005F71FE"/>
    <w:rsid w:val="005F7AB9"/>
    <w:rsid w:val="006237A9"/>
    <w:rsid w:val="00636809"/>
    <w:rsid w:val="0065265A"/>
    <w:rsid w:val="00657F1C"/>
    <w:rsid w:val="006607EA"/>
    <w:rsid w:val="00666D61"/>
    <w:rsid w:val="006724BD"/>
    <w:rsid w:val="00683E00"/>
    <w:rsid w:val="00686C69"/>
    <w:rsid w:val="00687A5B"/>
    <w:rsid w:val="00695D3F"/>
    <w:rsid w:val="006A0F86"/>
    <w:rsid w:val="006A271A"/>
    <w:rsid w:val="006C291D"/>
    <w:rsid w:val="006C2C21"/>
    <w:rsid w:val="006C35BB"/>
    <w:rsid w:val="006C3E57"/>
    <w:rsid w:val="006C5476"/>
    <w:rsid w:val="006E4CE6"/>
    <w:rsid w:val="006F011A"/>
    <w:rsid w:val="007202EE"/>
    <w:rsid w:val="007505E8"/>
    <w:rsid w:val="00782DF8"/>
    <w:rsid w:val="007D1ADE"/>
    <w:rsid w:val="007D64DF"/>
    <w:rsid w:val="007D71D0"/>
    <w:rsid w:val="007F20F1"/>
    <w:rsid w:val="007F316A"/>
    <w:rsid w:val="008136DF"/>
    <w:rsid w:val="00817C75"/>
    <w:rsid w:val="00823825"/>
    <w:rsid w:val="0082527F"/>
    <w:rsid w:val="0082613A"/>
    <w:rsid w:val="00840587"/>
    <w:rsid w:val="00842C30"/>
    <w:rsid w:val="00844441"/>
    <w:rsid w:val="00850E31"/>
    <w:rsid w:val="00857877"/>
    <w:rsid w:val="00860287"/>
    <w:rsid w:val="00886CD4"/>
    <w:rsid w:val="00894760"/>
    <w:rsid w:val="008A3936"/>
    <w:rsid w:val="008C1A3E"/>
    <w:rsid w:val="008C4F52"/>
    <w:rsid w:val="008C7A9D"/>
    <w:rsid w:val="008F2C96"/>
    <w:rsid w:val="00911580"/>
    <w:rsid w:val="0093261A"/>
    <w:rsid w:val="0093576C"/>
    <w:rsid w:val="00955848"/>
    <w:rsid w:val="0097492D"/>
    <w:rsid w:val="00975E93"/>
    <w:rsid w:val="00992D34"/>
    <w:rsid w:val="009E6F8A"/>
    <w:rsid w:val="009F475F"/>
    <w:rsid w:val="00A2050F"/>
    <w:rsid w:val="00A3160A"/>
    <w:rsid w:val="00A64BAC"/>
    <w:rsid w:val="00A9167D"/>
    <w:rsid w:val="00AA0825"/>
    <w:rsid w:val="00AA4DA6"/>
    <w:rsid w:val="00AB2B19"/>
    <w:rsid w:val="00AE68A4"/>
    <w:rsid w:val="00AF590D"/>
    <w:rsid w:val="00B0253B"/>
    <w:rsid w:val="00B0598B"/>
    <w:rsid w:val="00B21155"/>
    <w:rsid w:val="00B233BF"/>
    <w:rsid w:val="00B24607"/>
    <w:rsid w:val="00B30BCA"/>
    <w:rsid w:val="00B617E5"/>
    <w:rsid w:val="00B61BF0"/>
    <w:rsid w:val="00B91B14"/>
    <w:rsid w:val="00B9408D"/>
    <w:rsid w:val="00BB2153"/>
    <w:rsid w:val="00BB3490"/>
    <w:rsid w:val="00BB3910"/>
    <w:rsid w:val="00BB7194"/>
    <w:rsid w:val="00BD5986"/>
    <w:rsid w:val="00C0402C"/>
    <w:rsid w:val="00C11FB9"/>
    <w:rsid w:val="00C31721"/>
    <w:rsid w:val="00C47955"/>
    <w:rsid w:val="00C50842"/>
    <w:rsid w:val="00C555B3"/>
    <w:rsid w:val="00C60547"/>
    <w:rsid w:val="00C63854"/>
    <w:rsid w:val="00C71C92"/>
    <w:rsid w:val="00C867B6"/>
    <w:rsid w:val="00C92269"/>
    <w:rsid w:val="00CB14D9"/>
    <w:rsid w:val="00CB39C7"/>
    <w:rsid w:val="00CB7980"/>
    <w:rsid w:val="00CE0477"/>
    <w:rsid w:val="00CF21C7"/>
    <w:rsid w:val="00CF5790"/>
    <w:rsid w:val="00CF5BEA"/>
    <w:rsid w:val="00D00E7E"/>
    <w:rsid w:val="00D01379"/>
    <w:rsid w:val="00D26876"/>
    <w:rsid w:val="00D32966"/>
    <w:rsid w:val="00D47421"/>
    <w:rsid w:val="00D84796"/>
    <w:rsid w:val="00DA4C87"/>
    <w:rsid w:val="00DB64A3"/>
    <w:rsid w:val="00DC3802"/>
    <w:rsid w:val="00DC6ABD"/>
    <w:rsid w:val="00DD6E79"/>
    <w:rsid w:val="00DE492D"/>
    <w:rsid w:val="00E003E9"/>
    <w:rsid w:val="00E075E2"/>
    <w:rsid w:val="00E36E12"/>
    <w:rsid w:val="00E40057"/>
    <w:rsid w:val="00E511FA"/>
    <w:rsid w:val="00E84FAD"/>
    <w:rsid w:val="00EA0E69"/>
    <w:rsid w:val="00EB253A"/>
    <w:rsid w:val="00EB6538"/>
    <w:rsid w:val="00EC5FB3"/>
    <w:rsid w:val="00EC77D9"/>
    <w:rsid w:val="00EE0509"/>
    <w:rsid w:val="00EF6E5D"/>
    <w:rsid w:val="00F10CB5"/>
    <w:rsid w:val="00F27576"/>
    <w:rsid w:val="00F67477"/>
    <w:rsid w:val="00F84FF3"/>
    <w:rsid w:val="00FA29C4"/>
    <w:rsid w:val="00FA4B2D"/>
    <w:rsid w:val="00FA65FF"/>
    <w:rsid w:val="00FA7798"/>
    <w:rsid w:val="00FB7385"/>
    <w:rsid w:val="00FD11C2"/>
    <w:rsid w:val="00FD3AD2"/>
    <w:rsid w:val="00FD46D0"/>
    <w:rsid w:val="00FF5246"/>
    <w:rsid w:val="00FF667F"/>
    <w:rsid w:val="00FF6861"/>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 w:type="character" w:styleId="Textoennegrita">
    <w:name w:val="Strong"/>
    <w:basedOn w:val="Fuentedeprrafopredeter"/>
    <w:uiPriority w:val="22"/>
    <w:qFormat/>
    <w:rsid w:val="004E75ED"/>
    <w:rPr>
      <w:b/>
      <w:bCs/>
    </w:rPr>
  </w:style>
  <w:style w:type="character" w:styleId="Mencinsinresolver">
    <w:name w:val="Unresolved Mention"/>
    <w:basedOn w:val="Fuentedeprrafopredeter"/>
    <w:uiPriority w:val="99"/>
    <w:semiHidden/>
    <w:unhideWhenUsed/>
    <w:rsid w:val="004E7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140050998">
      <w:bodyDiv w:val="1"/>
      <w:marLeft w:val="0"/>
      <w:marRight w:val="0"/>
      <w:marTop w:val="0"/>
      <w:marBottom w:val="0"/>
      <w:divBdr>
        <w:top w:val="none" w:sz="0" w:space="0" w:color="auto"/>
        <w:left w:val="none" w:sz="0" w:space="0" w:color="auto"/>
        <w:bottom w:val="none" w:sz="0" w:space="0" w:color="auto"/>
        <w:right w:val="none" w:sz="0" w:space="0" w:color="auto"/>
      </w:divBdr>
    </w:div>
    <w:div w:id="185023879">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72787424">
      <w:bodyDiv w:val="1"/>
      <w:marLeft w:val="0"/>
      <w:marRight w:val="0"/>
      <w:marTop w:val="0"/>
      <w:marBottom w:val="0"/>
      <w:divBdr>
        <w:top w:val="none" w:sz="0" w:space="0" w:color="auto"/>
        <w:left w:val="none" w:sz="0" w:space="0" w:color="auto"/>
        <w:bottom w:val="none" w:sz="0" w:space="0" w:color="auto"/>
        <w:right w:val="none" w:sz="0" w:space="0" w:color="auto"/>
      </w:divBdr>
    </w:div>
    <w:div w:id="337273174">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445272926">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34005542">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75885847">
      <w:bodyDiv w:val="1"/>
      <w:marLeft w:val="0"/>
      <w:marRight w:val="0"/>
      <w:marTop w:val="0"/>
      <w:marBottom w:val="0"/>
      <w:divBdr>
        <w:top w:val="none" w:sz="0" w:space="0" w:color="auto"/>
        <w:left w:val="none" w:sz="0" w:space="0" w:color="auto"/>
        <w:bottom w:val="none" w:sz="0" w:space="0" w:color="auto"/>
        <w:right w:val="none" w:sz="0" w:space="0" w:color="auto"/>
      </w:divBdr>
    </w:div>
    <w:div w:id="752236657">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929700490">
      <w:bodyDiv w:val="1"/>
      <w:marLeft w:val="0"/>
      <w:marRight w:val="0"/>
      <w:marTop w:val="0"/>
      <w:marBottom w:val="0"/>
      <w:divBdr>
        <w:top w:val="none" w:sz="0" w:space="0" w:color="auto"/>
        <w:left w:val="none" w:sz="0" w:space="0" w:color="auto"/>
        <w:bottom w:val="none" w:sz="0" w:space="0" w:color="auto"/>
        <w:right w:val="none" w:sz="0" w:space="0" w:color="auto"/>
      </w:divBdr>
    </w:div>
    <w:div w:id="102297277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92775244">
      <w:bodyDiv w:val="1"/>
      <w:marLeft w:val="0"/>
      <w:marRight w:val="0"/>
      <w:marTop w:val="0"/>
      <w:marBottom w:val="0"/>
      <w:divBdr>
        <w:top w:val="none" w:sz="0" w:space="0" w:color="auto"/>
        <w:left w:val="none" w:sz="0" w:space="0" w:color="auto"/>
        <w:bottom w:val="none" w:sz="0" w:space="0" w:color="auto"/>
        <w:right w:val="none" w:sz="0" w:space="0" w:color="auto"/>
      </w:divBdr>
    </w:div>
    <w:div w:id="1104616608">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36451739">
      <w:bodyDiv w:val="1"/>
      <w:marLeft w:val="0"/>
      <w:marRight w:val="0"/>
      <w:marTop w:val="0"/>
      <w:marBottom w:val="0"/>
      <w:divBdr>
        <w:top w:val="none" w:sz="0" w:space="0" w:color="auto"/>
        <w:left w:val="none" w:sz="0" w:space="0" w:color="auto"/>
        <w:bottom w:val="none" w:sz="0" w:space="0" w:color="auto"/>
        <w:right w:val="none" w:sz="0" w:space="0" w:color="auto"/>
      </w:divBdr>
    </w:div>
    <w:div w:id="1647781359">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14839873">
      <w:bodyDiv w:val="1"/>
      <w:marLeft w:val="0"/>
      <w:marRight w:val="0"/>
      <w:marTop w:val="0"/>
      <w:marBottom w:val="0"/>
      <w:divBdr>
        <w:top w:val="none" w:sz="0" w:space="0" w:color="auto"/>
        <w:left w:val="none" w:sz="0" w:space="0" w:color="auto"/>
        <w:bottom w:val="none" w:sz="0" w:space="0" w:color="auto"/>
        <w:right w:val="none" w:sz="0" w:space="0" w:color="auto"/>
      </w:divBdr>
    </w:div>
    <w:div w:id="1759057002">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00285783">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2902C-79FB-4573-B7D7-2BCB974B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7159</Words>
  <Characters>39379</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9</cp:revision>
  <dcterms:created xsi:type="dcterms:W3CDTF">2023-02-15T01:18:00Z</dcterms:created>
  <dcterms:modified xsi:type="dcterms:W3CDTF">2023-02-16T02:39:00Z</dcterms:modified>
</cp:coreProperties>
</file>