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A4621C" w:rsidR="00FF7F2D" w:rsidP="004668F2" w:rsidRDefault="00FF7F2D" w14:paraId="1AFEC72E" w14:textId="410C40BD">
      <w:pPr>
        <w:spacing w:after="0" w:line="360" w:lineRule="auto"/>
        <w:rPr>
          <w:rFonts w:cs="Tahoma"/>
        </w:rPr>
      </w:pPr>
      <w:r w:rsidRPr="00A4621C">
        <w:rPr>
          <w:rFonts w:cs="Tahoma"/>
        </w:rPr>
        <w:t xml:space="preserve">Resolución del Pleno del Instituto de Transparencia, Acceso a la Información Pública y Protección de Datos Personales del Estado de México y Municipios, con domicilio en Metepec, Estado de México, de fecha </w:t>
      </w:r>
      <w:r w:rsidRPr="00A4621C" w:rsidR="005B28F6">
        <w:rPr>
          <w:rFonts w:cs="Tahoma"/>
        </w:rPr>
        <w:t>quince</w:t>
      </w:r>
      <w:r w:rsidRPr="00A4621C">
        <w:rPr>
          <w:rFonts w:cs="Tahoma"/>
        </w:rPr>
        <w:t xml:space="preserve"> de febrero de dos mil veintitrés.</w:t>
      </w:r>
    </w:p>
    <w:p w:rsidRPr="00A4621C" w:rsidR="00FF7F2D" w:rsidP="004668F2" w:rsidRDefault="00FF7F2D" w14:paraId="3B2BF9C2" w14:textId="77777777">
      <w:pPr>
        <w:spacing w:after="0" w:line="360" w:lineRule="auto"/>
        <w:rPr>
          <w:rFonts w:cs="Tahoma"/>
          <w:bCs/>
        </w:rPr>
      </w:pPr>
    </w:p>
    <w:p w:rsidRPr="00A4621C" w:rsidR="00FF7F2D" w:rsidP="60491452" w:rsidRDefault="00FF7F2D" w14:paraId="21196B22" w14:textId="48F9A389">
      <w:pPr>
        <w:spacing w:after="0" w:line="360" w:lineRule="auto"/>
        <w:rPr>
          <w:rFonts w:cs="Tahoma"/>
        </w:rPr>
      </w:pPr>
      <w:r w:rsidRPr="60491452" w:rsidR="60491452">
        <w:rPr>
          <w:rFonts w:cs="Tahoma"/>
          <w:b w:val="1"/>
          <w:bCs w:val="1"/>
        </w:rPr>
        <w:t xml:space="preserve">VISTO </w:t>
      </w:r>
      <w:r w:rsidRPr="60491452" w:rsidR="60491452">
        <w:rPr>
          <w:rFonts w:cs="Tahoma"/>
        </w:rPr>
        <w:t xml:space="preserve">el expediente conformado con motivo del Recurso de Revisión </w:t>
      </w:r>
      <w:r w:rsidR="60491452">
        <w:rPr/>
        <w:t>16086/INFOEM/IP/RR/2022</w:t>
      </w:r>
      <w:r w:rsidRPr="60491452" w:rsidR="60491452">
        <w:rPr>
          <w:rFonts w:cs="Tahoma"/>
        </w:rPr>
        <w:t xml:space="preserve">, interpuesto por </w:t>
      </w:r>
      <w:r w:rsidRPr="60491452" w:rsidR="60491452">
        <w:rPr>
          <w:highlight w:val="black"/>
        </w:rPr>
        <w:t>XXXXXXXXXXXXXXXX</w:t>
      </w:r>
      <w:r w:rsidR="60491452">
        <w:rPr/>
        <w:t>, en lo sucesivo</w:t>
      </w:r>
      <w:r w:rsidRPr="60491452" w:rsidR="60491452">
        <w:rPr>
          <w:rFonts w:cs="Tahoma"/>
        </w:rPr>
        <w:t xml:space="preserve"> el</w:t>
      </w:r>
      <w:r w:rsidR="60491452">
        <w:rPr/>
        <w:t xml:space="preserve"> </w:t>
      </w:r>
      <w:r w:rsidRPr="60491452" w:rsidR="60491452">
        <w:rPr>
          <w:rFonts w:cs="Tahoma"/>
        </w:rPr>
        <w:t>Recurrente o Particular, en contra de la respuesta del Sujeto Obligado, Ayuntamiento de Xonacatlán, a la solicitud de información con número</w:t>
      </w:r>
      <w:r w:rsidRPr="60491452" w:rsidR="60491452">
        <w:rPr>
          <w:rFonts w:ascii="Verdana" w:hAnsi="Verdana"/>
          <w:b w:val="1"/>
          <w:bCs w:val="1"/>
          <w:color w:val="FF0000"/>
        </w:rPr>
        <w:t> </w:t>
      </w:r>
      <w:r w:rsidR="60491452">
        <w:rPr/>
        <w:t>00236/XONACAT/IP/2022</w:t>
      </w:r>
      <w:r w:rsidRPr="60491452" w:rsidR="60491452">
        <w:rPr>
          <w:rFonts w:cs="Tahoma"/>
        </w:rPr>
        <w:t>, se emite la presente Resolución, con base en los Antecedentes y Considerandos que se exponen a continuación:</w:t>
      </w:r>
    </w:p>
    <w:p w:rsidRPr="00A4621C" w:rsidR="00FF7F2D" w:rsidP="004668F2" w:rsidRDefault="00FF7F2D" w14:paraId="672FC127" w14:textId="77777777">
      <w:pPr>
        <w:tabs>
          <w:tab w:val="left" w:pos="6735"/>
        </w:tabs>
        <w:spacing w:after="0" w:line="360" w:lineRule="auto"/>
        <w:rPr>
          <w:rFonts w:cs="Tahoma"/>
        </w:rPr>
      </w:pPr>
    </w:p>
    <w:p w:rsidRPr="00A4621C" w:rsidR="00FF7F2D" w:rsidP="004668F2" w:rsidRDefault="00FF7F2D" w14:paraId="2E11F226" w14:textId="77777777">
      <w:pPr>
        <w:tabs>
          <w:tab w:val="center" w:pos="4522"/>
          <w:tab w:val="left" w:pos="7245"/>
        </w:tabs>
        <w:spacing w:after="0" w:line="360" w:lineRule="auto"/>
        <w:jc w:val="center"/>
        <w:rPr>
          <w:rFonts w:cs="Tahoma"/>
          <w:b/>
        </w:rPr>
      </w:pPr>
      <w:r w:rsidRPr="00A4621C">
        <w:rPr>
          <w:rFonts w:cs="Tahoma"/>
          <w:b/>
        </w:rPr>
        <w:t>A N T E C E D E N T E S:</w:t>
      </w:r>
    </w:p>
    <w:p w:rsidRPr="00A4621C" w:rsidR="00FF7F2D" w:rsidP="004668F2" w:rsidRDefault="00FF7F2D" w14:paraId="018374C0" w14:textId="77777777">
      <w:pPr>
        <w:spacing w:after="0" w:line="360" w:lineRule="auto"/>
      </w:pPr>
    </w:p>
    <w:p w:rsidRPr="00A4621C" w:rsidR="00FF7F2D" w:rsidP="004668F2" w:rsidRDefault="00FF7F2D" w14:paraId="2B228E2B"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A4621C">
        <w:rPr>
          <w:rFonts w:ascii="Palatino Linotype" w:hAnsi="Palatino Linotype" w:cs="Tahoma"/>
          <w:b/>
          <w:color w:val="000000" w:themeColor="text1"/>
          <w:szCs w:val="22"/>
        </w:rPr>
        <w:t xml:space="preserve">I. Presentación de la solicitud de información. </w:t>
      </w:r>
    </w:p>
    <w:p w:rsidRPr="00A4621C" w:rsidR="00FF7F2D" w:rsidP="004668F2" w:rsidRDefault="00FF7F2D" w14:paraId="67B4C5BC"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A4621C" w:rsidR="00FF7F2D" w:rsidP="004668F2" w:rsidRDefault="00FF7F2D" w14:paraId="1D12B8E5" w14:textId="00FBBDD2">
      <w:pPr>
        <w:tabs>
          <w:tab w:val="left" w:pos="567"/>
        </w:tabs>
        <w:spacing w:after="0" w:line="360" w:lineRule="auto"/>
        <w:ind w:right="-28"/>
        <w:rPr>
          <w:rFonts w:cs="Tahoma"/>
        </w:rPr>
      </w:pPr>
      <w:r w:rsidRPr="00A4621C">
        <w:rPr>
          <w:rFonts w:cs="Tahoma"/>
        </w:rPr>
        <w:t xml:space="preserve">Con fecha tres de octubre de dos mil veintidós, el Particular presentó una solicitud de acceso a la información pública, a través del Sistema de Acceso a la Información Mexiquense (SAIMEX), ante el Ayuntamiento de Xonacatlán, </w:t>
      </w:r>
      <w:r w:rsidRPr="00A4621C">
        <w:rPr>
          <w:rFonts w:cs="Tahoma"/>
          <w:b/>
          <w:bCs/>
        </w:rPr>
        <w:t>ya que si bien, se registró, el primero de dicho mes y año, también lo es, que fue inhábil, de conformidad con el artículo 3°, fracción X, de la Ley de Transparencia y Acceso a la Información Pública del Estado de México y Municipios</w:t>
      </w:r>
      <w:r w:rsidRPr="00A4621C" w:rsidR="00C81FFE">
        <w:rPr>
          <w:rFonts w:cs="Tahoma"/>
          <w:b/>
          <w:bCs/>
        </w:rPr>
        <w:t>,</w:t>
      </w:r>
      <w:r w:rsidRPr="00A4621C">
        <w:rPr>
          <w:rFonts w:cs="Tahoma"/>
          <w:b/>
          <w:bCs/>
        </w:rPr>
        <w:t xml:space="preserve">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A4621C">
        <w:rPr>
          <w:rFonts w:cs="Tahoma"/>
        </w:rPr>
        <w:t>en los siguientes términos:</w:t>
      </w:r>
    </w:p>
    <w:p w:rsidRPr="00A4621C" w:rsidR="00FF7F2D" w:rsidP="004668F2" w:rsidRDefault="00FF7F2D" w14:paraId="724BE116" w14:textId="77777777">
      <w:pPr>
        <w:tabs>
          <w:tab w:val="left" w:pos="567"/>
        </w:tabs>
        <w:spacing w:after="0" w:line="360" w:lineRule="auto"/>
        <w:ind w:right="-28"/>
        <w:rPr>
          <w:rFonts w:cs="Tahoma"/>
        </w:rPr>
      </w:pPr>
    </w:p>
    <w:p w:rsidRPr="00A4621C" w:rsidR="00C81FFE" w:rsidP="004668F2" w:rsidRDefault="00C81FFE" w14:paraId="54ADD314" w14:textId="77777777">
      <w:pPr>
        <w:tabs>
          <w:tab w:val="left" w:pos="567"/>
        </w:tabs>
        <w:spacing w:after="0" w:line="360" w:lineRule="auto"/>
        <w:ind w:right="-28"/>
        <w:rPr>
          <w:rFonts w:cs="Tahoma"/>
        </w:rPr>
      </w:pPr>
    </w:p>
    <w:p w:rsidRPr="00A4621C" w:rsidR="00FF7F2D" w:rsidP="004668F2" w:rsidRDefault="00FF7F2D" w14:paraId="6406F629" w14:textId="77777777">
      <w:pPr>
        <w:tabs>
          <w:tab w:val="left" w:pos="4667"/>
        </w:tabs>
        <w:spacing w:after="0" w:line="360" w:lineRule="auto"/>
        <w:ind w:left="567" w:right="567"/>
        <w:rPr>
          <w:rFonts w:cs="Tahoma"/>
          <w:b/>
          <w:bCs/>
          <w:i/>
          <w:sz w:val="20"/>
          <w:szCs w:val="20"/>
        </w:rPr>
      </w:pPr>
      <w:r w:rsidRPr="00A4621C">
        <w:rPr>
          <w:rFonts w:cs="Tahoma"/>
          <w:b/>
          <w:bCs/>
          <w:i/>
          <w:sz w:val="20"/>
          <w:szCs w:val="20"/>
        </w:rPr>
        <w:t>“DESCRIPCIÓN CLARA Y PRECISA DE LA INFORMACIÓN SOLICITADA</w:t>
      </w:r>
    </w:p>
    <w:p w:rsidRPr="00A4621C" w:rsidR="00FF7F2D" w:rsidP="004668F2" w:rsidRDefault="00FF7F2D" w14:paraId="7A1E75C2" w14:textId="70A58112">
      <w:pPr>
        <w:spacing w:after="0" w:line="360" w:lineRule="auto"/>
        <w:ind w:left="567" w:right="567"/>
        <w:rPr>
          <w:rFonts w:eastAsia="Times New Roman" w:cs="Times New Roman"/>
          <w:i/>
          <w:color w:val="auto"/>
          <w:sz w:val="20"/>
          <w:szCs w:val="20"/>
          <w:lang w:eastAsia="es-MX"/>
        </w:rPr>
      </w:pPr>
      <w:r w:rsidRPr="00A4621C">
        <w:rPr>
          <w:rFonts w:eastAsia="Times New Roman" w:cs="Times New Roman"/>
          <w:i/>
          <w:color w:val="auto"/>
          <w:sz w:val="20"/>
          <w:szCs w:val="20"/>
          <w:lang w:eastAsia="es-MX"/>
        </w:rPr>
        <w:lastRenderedPageBreak/>
        <w:t xml:space="preserve">Solicito conocer la cantidad de materiales por unidades, viajes o metros </w:t>
      </w:r>
      <w:proofErr w:type="spellStart"/>
      <w:r w:rsidRPr="00A4621C">
        <w:rPr>
          <w:rFonts w:eastAsia="Times New Roman" w:cs="Times New Roman"/>
          <w:i/>
          <w:color w:val="auto"/>
          <w:sz w:val="20"/>
          <w:szCs w:val="20"/>
          <w:lang w:eastAsia="es-MX"/>
        </w:rPr>
        <w:t>cubicos</w:t>
      </w:r>
      <w:proofErr w:type="spellEnd"/>
      <w:r w:rsidRPr="00A4621C">
        <w:rPr>
          <w:rFonts w:eastAsia="Times New Roman" w:cs="Times New Roman"/>
          <w:i/>
          <w:color w:val="auto"/>
          <w:sz w:val="20"/>
          <w:szCs w:val="20"/>
          <w:lang w:eastAsia="es-MX"/>
        </w:rPr>
        <w:t xml:space="preserve"> de los productos, que se ocuparon para implementar las adecuaciones del terreno que albergó la expo feria 2022, que erogó el actual Ayuntamiento de Xonacatlán</w:t>
      </w:r>
      <w:r w:rsidRPr="00A4621C">
        <w:rPr>
          <w:rFonts w:cs="Tahoma"/>
          <w:bCs/>
          <w:i/>
          <w:sz w:val="20"/>
          <w:szCs w:val="20"/>
        </w:rPr>
        <w:t xml:space="preserve">.” </w:t>
      </w:r>
      <w:r w:rsidRPr="00A4621C">
        <w:rPr>
          <w:rFonts w:eastAsia="Times New Roman" w:cs="Arial"/>
          <w:bCs/>
          <w:i/>
          <w:sz w:val="20"/>
          <w:szCs w:val="20"/>
          <w:lang w:eastAsia="es-ES"/>
        </w:rPr>
        <w:t>(Sic)</w:t>
      </w:r>
    </w:p>
    <w:p w:rsidRPr="00A4621C" w:rsidR="00FF7F2D" w:rsidP="004668F2" w:rsidRDefault="00FF7F2D" w14:paraId="5FF31BC1" w14:textId="77777777">
      <w:pPr>
        <w:tabs>
          <w:tab w:val="left" w:pos="4667"/>
        </w:tabs>
        <w:spacing w:after="0" w:line="360" w:lineRule="auto"/>
        <w:ind w:left="567" w:right="567"/>
        <w:rPr>
          <w:rFonts w:eastAsia="Times New Roman" w:cs="Tahoma"/>
          <w:b/>
          <w:bCs/>
          <w:i/>
          <w:iCs/>
          <w:sz w:val="20"/>
          <w:szCs w:val="20"/>
          <w:lang w:eastAsia="es-ES"/>
        </w:rPr>
      </w:pPr>
    </w:p>
    <w:p w:rsidRPr="00A4621C" w:rsidR="00FF7F2D" w:rsidP="004668F2" w:rsidRDefault="00FF7F2D" w14:paraId="7D987EC5" w14:textId="65D2B83E">
      <w:pPr>
        <w:tabs>
          <w:tab w:val="left" w:pos="4667"/>
        </w:tabs>
        <w:spacing w:after="0" w:line="360" w:lineRule="auto"/>
        <w:ind w:left="567" w:right="567"/>
        <w:rPr>
          <w:rFonts w:eastAsia="Times New Roman" w:cs="Tahoma"/>
          <w:b/>
          <w:bCs/>
          <w:i/>
          <w:iCs/>
          <w:sz w:val="20"/>
          <w:szCs w:val="20"/>
          <w:lang w:eastAsia="es-ES"/>
        </w:rPr>
      </w:pPr>
      <w:r w:rsidRPr="00A4621C">
        <w:rPr>
          <w:rFonts w:eastAsia="Times New Roman" w:cs="Tahoma"/>
          <w:b/>
          <w:bCs/>
          <w:i/>
          <w:iCs/>
          <w:sz w:val="20"/>
          <w:szCs w:val="20"/>
          <w:lang w:eastAsia="es-ES"/>
        </w:rPr>
        <w:t>“MODALIDAD DE ENTREGA</w:t>
      </w:r>
    </w:p>
    <w:p w:rsidRPr="00A4621C" w:rsidR="00FF7F2D" w:rsidP="004668F2" w:rsidRDefault="00FF7F2D" w14:paraId="5E444FF7" w14:textId="77777777">
      <w:pPr>
        <w:spacing w:after="0" w:line="360" w:lineRule="auto"/>
        <w:ind w:left="567" w:right="567"/>
        <w:rPr>
          <w:rFonts w:eastAsia="Times New Roman" w:cs="Arial"/>
          <w:bCs/>
          <w:i/>
          <w:iCs/>
          <w:sz w:val="20"/>
          <w:szCs w:val="20"/>
          <w:lang w:eastAsia="es-ES"/>
        </w:rPr>
      </w:pPr>
      <w:r w:rsidRPr="00A4621C">
        <w:rPr>
          <w:rFonts w:eastAsia="Times New Roman" w:cs="Arial"/>
          <w:bCs/>
          <w:i/>
          <w:iCs/>
          <w:sz w:val="20"/>
          <w:szCs w:val="20"/>
          <w:lang w:eastAsia="es-ES"/>
        </w:rPr>
        <w:t>A través del SAIMEX” (Sic)</w:t>
      </w:r>
    </w:p>
    <w:p w:rsidRPr="00A4621C" w:rsidR="00FF7F2D" w:rsidP="004668F2" w:rsidRDefault="00FF7F2D" w14:paraId="7DBC8F11" w14:textId="77777777">
      <w:pPr>
        <w:tabs>
          <w:tab w:val="left" w:pos="567"/>
        </w:tabs>
        <w:spacing w:after="0" w:line="360" w:lineRule="auto"/>
        <w:rPr>
          <w:rFonts w:eastAsia="Calibri" w:cs="Tahoma"/>
          <w:b/>
          <w:bCs/>
          <w:i/>
          <w:iCs/>
        </w:rPr>
      </w:pPr>
    </w:p>
    <w:p w:rsidRPr="00A4621C" w:rsidR="00FF7F2D" w:rsidP="004668F2" w:rsidRDefault="00FF7F2D" w14:paraId="45C9854C" w14:textId="77777777">
      <w:pPr>
        <w:tabs>
          <w:tab w:val="left" w:pos="4667"/>
        </w:tabs>
        <w:spacing w:after="0" w:line="360" w:lineRule="auto"/>
        <w:ind w:right="567"/>
        <w:rPr>
          <w:rFonts w:eastAsia="Times New Roman" w:cs="Tahoma"/>
          <w:b/>
          <w:bCs/>
          <w:color w:val="auto"/>
          <w:szCs w:val="24"/>
          <w:lang w:eastAsia="es-ES"/>
        </w:rPr>
      </w:pPr>
      <w:r w:rsidRPr="00A4621C">
        <w:rPr>
          <w:rFonts w:eastAsia="Times New Roman" w:cs="Tahoma"/>
          <w:b/>
          <w:bCs/>
          <w:color w:val="auto"/>
          <w:szCs w:val="24"/>
          <w:lang w:eastAsia="es-ES"/>
        </w:rPr>
        <w:t xml:space="preserve">II. </w:t>
      </w:r>
      <w:r w:rsidRPr="00A4621C">
        <w:rPr>
          <w:rFonts w:eastAsia="Times New Roman" w:cs="Tahoma"/>
          <w:b/>
          <w:color w:val="auto"/>
          <w:szCs w:val="24"/>
          <w:lang w:eastAsia="es-ES"/>
        </w:rPr>
        <w:t>Respuesta</w:t>
      </w:r>
      <w:r w:rsidRPr="00A4621C">
        <w:rPr>
          <w:rFonts w:eastAsia="Times New Roman" w:cs="Tahoma"/>
          <w:b/>
          <w:bCs/>
          <w:color w:val="auto"/>
          <w:szCs w:val="24"/>
          <w:lang w:eastAsia="es-ES"/>
        </w:rPr>
        <w:t xml:space="preserve"> del Sujeto Obligado.</w:t>
      </w:r>
    </w:p>
    <w:p w:rsidRPr="00A4621C" w:rsidR="00FF7F2D" w:rsidP="004668F2" w:rsidRDefault="00FF7F2D" w14:paraId="5F0B93D7" w14:textId="77777777">
      <w:pPr>
        <w:tabs>
          <w:tab w:val="left" w:pos="4667"/>
        </w:tabs>
        <w:spacing w:after="0" w:line="360" w:lineRule="auto"/>
        <w:ind w:right="567"/>
        <w:rPr>
          <w:rFonts w:eastAsia="Times New Roman" w:cs="Tahoma"/>
          <w:b/>
          <w:bCs/>
          <w:color w:val="auto"/>
          <w:szCs w:val="24"/>
          <w:lang w:eastAsia="es-ES"/>
        </w:rPr>
      </w:pPr>
    </w:p>
    <w:p w:rsidRPr="00A4621C" w:rsidR="00FF7F2D" w:rsidP="004668F2" w:rsidRDefault="00FF7F2D" w14:paraId="5A339A23" w14:textId="3316D6AF">
      <w:pPr>
        <w:autoSpaceDE w:val="0"/>
        <w:autoSpaceDN w:val="0"/>
        <w:adjustRightInd w:val="0"/>
        <w:spacing w:after="0" w:line="360" w:lineRule="auto"/>
        <w:rPr>
          <w:rFonts w:cs="Tahoma"/>
        </w:rPr>
      </w:pPr>
      <w:r w:rsidRPr="00A4621C">
        <w:rPr>
          <w:rFonts w:eastAsia="Calibri" w:cs="Tahoma"/>
          <w:color w:val="000000"/>
        </w:rPr>
        <w:t xml:space="preserve">Con fecha </w:t>
      </w:r>
      <w:r w:rsidRPr="00A4621C" w:rsidR="005D2D88">
        <w:rPr>
          <w:rFonts w:eastAsia="Calibri" w:cs="Tahoma"/>
          <w:color w:val="000000"/>
        </w:rPr>
        <w:t>trece de octubre</w:t>
      </w:r>
      <w:r w:rsidRPr="00A4621C">
        <w:rPr>
          <w:rFonts w:eastAsia="Calibri" w:cs="Tahoma"/>
          <w:color w:val="000000"/>
        </w:rPr>
        <w:t xml:space="preserve"> de dos mil veintidós, el Sujeto Obligado notificó al Particular, mediante el </w:t>
      </w:r>
      <w:r w:rsidRPr="00A4621C">
        <w:rPr>
          <w:rFonts w:eastAsia="Times New Roman" w:cs="Tahoma"/>
          <w:color w:val="auto"/>
          <w:lang w:eastAsia="es-ES"/>
        </w:rPr>
        <w:t>Sistema de Acceso a la Información Mexiquense (SAIMEX), la respuesta a la solicitud de acceso a la información, por medio del</w:t>
      </w:r>
      <w:r w:rsidRPr="00A4621C">
        <w:rPr>
          <w:rFonts w:cs="Tahoma"/>
        </w:rPr>
        <w:t xml:space="preserve"> Oficio </w:t>
      </w:r>
      <w:r w:rsidRPr="00A4621C" w:rsidR="005D2D88">
        <w:rPr>
          <w:rFonts w:cs="Tahoma"/>
        </w:rPr>
        <w:t>XON/UT/0492</w:t>
      </w:r>
      <w:r w:rsidRPr="00A4621C">
        <w:rPr>
          <w:rFonts w:cs="Tahoma"/>
        </w:rPr>
        <w:t xml:space="preserve">/2022, </w:t>
      </w:r>
      <w:r w:rsidRPr="00A4621C" w:rsidR="00C81FFE">
        <w:rPr>
          <w:rFonts w:cs="Tahoma"/>
        </w:rPr>
        <w:t>del tres de dicho mes y año,</w:t>
      </w:r>
      <w:r w:rsidRPr="00A4621C">
        <w:rPr>
          <w:rFonts w:cs="Tahoma"/>
        </w:rPr>
        <w:t xml:space="preserve"> dirigido al Solicitante, suscrito por el </w:t>
      </w:r>
      <w:r w:rsidRPr="00A4621C" w:rsidR="005D2D88">
        <w:rPr>
          <w:rFonts w:cs="Tahoma"/>
        </w:rPr>
        <w:t>Titular</w:t>
      </w:r>
      <w:r w:rsidRPr="00A4621C">
        <w:rPr>
          <w:rFonts w:cs="Tahoma"/>
        </w:rPr>
        <w:t xml:space="preserve"> de la Unidad de Transparencia, </w:t>
      </w:r>
      <w:r w:rsidRPr="00A4621C" w:rsidR="00C81FFE">
        <w:rPr>
          <w:rFonts w:cs="Tahoma"/>
        </w:rPr>
        <w:t>por medio del cual entrega la contestación realizada por la Dirección de Obras Públicas.</w:t>
      </w:r>
    </w:p>
    <w:p w:rsidRPr="00A4621C" w:rsidR="00AF3788" w:rsidP="004668F2" w:rsidRDefault="00AF3788" w14:paraId="25775112" w14:textId="6D6DDACE">
      <w:pPr>
        <w:autoSpaceDE w:val="0"/>
        <w:autoSpaceDN w:val="0"/>
        <w:adjustRightInd w:val="0"/>
        <w:spacing w:after="0" w:line="360" w:lineRule="auto"/>
        <w:rPr>
          <w:rFonts w:cs="Tahoma"/>
        </w:rPr>
      </w:pPr>
    </w:p>
    <w:p w:rsidRPr="00A4621C" w:rsidR="00AF3788" w:rsidP="004668F2" w:rsidRDefault="00C81FFE" w14:paraId="65078AF7" w14:textId="471421CF">
      <w:pPr>
        <w:autoSpaceDE w:val="0"/>
        <w:autoSpaceDN w:val="0"/>
        <w:adjustRightInd w:val="0"/>
        <w:spacing w:after="0" w:line="360" w:lineRule="auto"/>
        <w:rPr>
          <w:rFonts w:cs="Tahoma"/>
        </w:rPr>
      </w:pPr>
      <w:r w:rsidRPr="00A4621C">
        <w:rPr>
          <w:rFonts w:cs="Tahoma"/>
        </w:rPr>
        <w:t>El Sujeto Obligado adjuntó la digitalización del</w:t>
      </w:r>
      <w:r w:rsidRPr="00A4621C" w:rsidR="00AF3788">
        <w:rPr>
          <w:rFonts w:cs="Tahoma"/>
        </w:rPr>
        <w:t xml:space="preserve"> </w:t>
      </w:r>
      <w:r w:rsidRPr="00A4621C">
        <w:rPr>
          <w:rFonts w:cs="Tahoma"/>
        </w:rPr>
        <w:t>oficio número</w:t>
      </w:r>
      <w:r w:rsidRPr="00A4621C" w:rsidR="00AF3788">
        <w:rPr>
          <w:rFonts w:cs="Tahoma"/>
        </w:rPr>
        <w:t xml:space="preserve"> MXON/DOP/1086/2022</w:t>
      </w:r>
      <w:r w:rsidRPr="00A4621C">
        <w:rPr>
          <w:rFonts w:cs="Tahoma"/>
        </w:rPr>
        <w:t>, del veinte de octubre de dos mil veintidós</w:t>
      </w:r>
      <w:r w:rsidRPr="00A4621C" w:rsidR="00AF3788">
        <w:rPr>
          <w:rFonts w:cs="Tahoma"/>
        </w:rPr>
        <w:t>, dirigido al Titular de la Unidad de Transparencia, suscrito por el Director de Obras Públicas, a través del cual señaló esencialmente lo siguiente:</w:t>
      </w:r>
    </w:p>
    <w:p w:rsidRPr="00A4621C" w:rsidR="00AF3788" w:rsidP="004668F2" w:rsidRDefault="00AF3788" w14:paraId="40A40A21" w14:textId="77777777">
      <w:pPr>
        <w:autoSpaceDE w:val="0"/>
        <w:autoSpaceDN w:val="0"/>
        <w:adjustRightInd w:val="0"/>
        <w:spacing w:after="0" w:line="360" w:lineRule="auto"/>
        <w:rPr>
          <w:rFonts w:cs="Tahoma"/>
        </w:rPr>
      </w:pPr>
    </w:p>
    <w:p w:rsidRPr="00A4621C" w:rsidR="00AF3788" w:rsidP="004668F2" w:rsidRDefault="00AF3788" w14:paraId="6A1BEBB1" w14:textId="4C2DD1B9">
      <w:pPr>
        <w:autoSpaceDE w:val="0"/>
        <w:autoSpaceDN w:val="0"/>
        <w:adjustRightInd w:val="0"/>
        <w:spacing w:after="0" w:line="360" w:lineRule="auto"/>
        <w:ind w:left="567" w:right="567"/>
        <w:rPr>
          <w:rFonts w:cs="Tahoma"/>
          <w:i/>
          <w:iCs/>
          <w:sz w:val="20"/>
          <w:szCs w:val="20"/>
        </w:rPr>
      </w:pPr>
      <w:r w:rsidRPr="00A4621C">
        <w:rPr>
          <w:rFonts w:cs="Tahoma"/>
          <w:i/>
          <w:iCs/>
          <w:sz w:val="20"/>
          <w:szCs w:val="20"/>
        </w:rPr>
        <w:t>“…</w:t>
      </w:r>
    </w:p>
    <w:p w:rsidRPr="00A4621C" w:rsidR="00AF3788" w:rsidP="004668F2" w:rsidRDefault="00AF3788" w14:paraId="14D379AE" w14:textId="49B4AE1D">
      <w:pPr>
        <w:autoSpaceDE w:val="0"/>
        <w:autoSpaceDN w:val="0"/>
        <w:adjustRightInd w:val="0"/>
        <w:spacing w:after="0" w:line="360" w:lineRule="auto"/>
        <w:ind w:left="567" w:right="567"/>
        <w:rPr>
          <w:rFonts w:cs="Tahoma"/>
          <w:i/>
          <w:iCs/>
          <w:sz w:val="20"/>
          <w:szCs w:val="20"/>
        </w:rPr>
      </w:pPr>
      <w:r w:rsidRPr="00A4621C">
        <w:rPr>
          <w:rFonts w:cs="Tahoma"/>
          <w:i/>
          <w:iCs/>
          <w:sz w:val="20"/>
          <w:szCs w:val="20"/>
        </w:rPr>
        <w:t>Para dar seguimiento a su solicitud se le invita a enviar la solicitud una vez terminado el cierre trimestral.</w:t>
      </w:r>
    </w:p>
    <w:p w:rsidRPr="00A4621C" w:rsidR="00AF3788" w:rsidP="004668F2" w:rsidRDefault="00AF3788" w14:paraId="20012A01" w14:textId="4AC90B5B">
      <w:pPr>
        <w:autoSpaceDE w:val="0"/>
        <w:autoSpaceDN w:val="0"/>
        <w:adjustRightInd w:val="0"/>
        <w:spacing w:after="0" w:line="360" w:lineRule="auto"/>
        <w:ind w:left="567" w:right="567"/>
        <w:rPr>
          <w:rFonts w:cs="Tahoma"/>
          <w:i/>
          <w:iCs/>
          <w:sz w:val="20"/>
          <w:szCs w:val="20"/>
        </w:rPr>
      </w:pPr>
      <w:r w:rsidRPr="00A4621C">
        <w:rPr>
          <w:rFonts w:cs="Tahoma"/>
          <w:i/>
          <w:iCs/>
          <w:sz w:val="20"/>
          <w:szCs w:val="20"/>
        </w:rPr>
        <w:t>…“</w:t>
      </w:r>
    </w:p>
    <w:p w:rsidRPr="00A4621C" w:rsidR="00FF7F2D" w:rsidP="004668F2" w:rsidRDefault="00AF3788" w14:paraId="08AD144C" w14:textId="338868E6">
      <w:pPr>
        <w:autoSpaceDE w:val="0"/>
        <w:autoSpaceDN w:val="0"/>
        <w:adjustRightInd w:val="0"/>
        <w:spacing w:after="0" w:line="360" w:lineRule="auto"/>
        <w:ind w:left="567" w:right="567"/>
        <w:rPr>
          <w:rFonts w:cs="Tahoma"/>
          <w:i/>
          <w:iCs/>
          <w:sz w:val="20"/>
          <w:szCs w:val="20"/>
        </w:rPr>
      </w:pPr>
      <w:r w:rsidRPr="00A4621C">
        <w:rPr>
          <w:rFonts w:cs="Tahoma"/>
          <w:i/>
          <w:iCs/>
          <w:sz w:val="20"/>
          <w:szCs w:val="20"/>
        </w:rPr>
        <w:t xml:space="preserve"> </w:t>
      </w:r>
    </w:p>
    <w:p w:rsidRPr="00A4621C" w:rsidR="00FF7F2D" w:rsidP="004668F2" w:rsidRDefault="00FF7F2D" w14:paraId="72F06A71" w14:textId="77777777">
      <w:pPr>
        <w:autoSpaceDE w:val="0"/>
        <w:autoSpaceDN w:val="0"/>
        <w:adjustRightInd w:val="0"/>
        <w:spacing w:after="0" w:line="360" w:lineRule="auto"/>
        <w:rPr>
          <w:rFonts w:cs="Tahoma"/>
          <w:b/>
        </w:rPr>
      </w:pPr>
      <w:r w:rsidRPr="00A4621C">
        <w:rPr>
          <w:rFonts w:cs="Tahoma"/>
          <w:b/>
        </w:rPr>
        <w:t xml:space="preserve">III. Interposición del Recurso de Revisión. </w:t>
      </w:r>
    </w:p>
    <w:p w:rsidRPr="00A4621C" w:rsidR="00FF7F2D" w:rsidP="004668F2" w:rsidRDefault="00FF7F2D" w14:paraId="0C307228" w14:textId="77777777">
      <w:pPr>
        <w:autoSpaceDE w:val="0"/>
        <w:autoSpaceDN w:val="0"/>
        <w:adjustRightInd w:val="0"/>
        <w:spacing w:after="0" w:line="360" w:lineRule="auto"/>
        <w:rPr>
          <w:rFonts w:cs="Tahoma"/>
          <w:b/>
        </w:rPr>
      </w:pPr>
    </w:p>
    <w:p w:rsidRPr="00A4621C" w:rsidR="00FF7F2D" w:rsidP="004668F2" w:rsidRDefault="00FF7F2D" w14:paraId="39981ACF" w14:textId="1FB974DC">
      <w:pPr>
        <w:widowControl w:val="0"/>
        <w:spacing w:after="0" w:line="360" w:lineRule="auto"/>
        <w:rPr>
          <w:rFonts w:eastAsia="Times New Roman" w:cs="Tahoma"/>
          <w:bCs/>
          <w:color w:val="auto"/>
          <w:lang w:eastAsia="es-ES"/>
        </w:rPr>
      </w:pPr>
      <w:r w:rsidRPr="00A4621C">
        <w:rPr>
          <w:rFonts w:eastAsia="Calibri" w:cs="Times New Roman"/>
          <w:bCs/>
        </w:rPr>
        <w:t xml:space="preserve">Con fecha </w:t>
      </w:r>
      <w:r w:rsidRPr="00A4621C" w:rsidR="00AF3788">
        <w:rPr>
          <w:rFonts w:eastAsia="Calibri" w:cs="Times New Roman"/>
          <w:bCs/>
        </w:rPr>
        <w:t>tres de noviembre</w:t>
      </w:r>
      <w:r w:rsidRPr="00A4621C">
        <w:rPr>
          <w:rFonts w:eastAsia="Calibri" w:cs="Times New Roman"/>
          <w:bCs/>
        </w:rPr>
        <w:t xml:space="preserve"> de dos mil veintidós, se recibió en este Instituto, a través del Sistema de Acceso a la Información Mexiquense (SAIMEX), Recurso de Revisión interpuesto </w:t>
      </w:r>
      <w:r w:rsidRPr="00A4621C">
        <w:rPr>
          <w:rFonts w:eastAsia="Calibri" w:cs="Times New Roman"/>
          <w:bCs/>
        </w:rPr>
        <w:lastRenderedPageBreak/>
        <w:t xml:space="preserve">por la parte Recurrente, en contra de la respuesta del Sujeto Obligado, </w:t>
      </w:r>
      <w:r w:rsidRPr="00A4621C">
        <w:rPr>
          <w:rFonts w:eastAsia="Times New Roman" w:cs="Tahoma"/>
          <w:bCs/>
          <w:color w:val="auto"/>
          <w:lang w:eastAsia="es-ES"/>
        </w:rPr>
        <w:t>en los siguientes términos:</w:t>
      </w:r>
    </w:p>
    <w:p w:rsidRPr="00A4621C" w:rsidR="00FF7F2D" w:rsidP="004668F2" w:rsidRDefault="00FF7F2D" w14:paraId="1B494C78" w14:textId="77777777">
      <w:pPr>
        <w:tabs>
          <w:tab w:val="left" w:pos="4667"/>
        </w:tabs>
        <w:spacing w:after="0" w:line="360" w:lineRule="auto"/>
        <w:ind w:left="567" w:right="567"/>
        <w:rPr>
          <w:rFonts w:cs="Tahoma"/>
          <w:b/>
          <w:bCs/>
          <w:i/>
          <w:szCs w:val="20"/>
        </w:rPr>
      </w:pPr>
    </w:p>
    <w:p w:rsidRPr="00A4621C" w:rsidR="00FF7F2D" w:rsidP="004668F2" w:rsidRDefault="00FF7F2D" w14:paraId="66076631" w14:textId="77777777">
      <w:pPr>
        <w:tabs>
          <w:tab w:val="left" w:pos="4667"/>
        </w:tabs>
        <w:spacing w:after="0" w:line="360" w:lineRule="auto"/>
        <w:ind w:left="567" w:right="567"/>
        <w:rPr>
          <w:rFonts w:cs="Tahoma"/>
          <w:b/>
          <w:bCs/>
          <w:i/>
          <w:color w:val="auto"/>
          <w:sz w:val="20"/>
          <w:szCs w:val="20"/>
        </w:rPr>
      </w:pPr>
      <w:r w:rsidRPr="00A4621C">
        <w:rPr>
          <w:rFonts w:cs="Tahoma"/>
          <w:b/>
          <w:bCs/>
          <w:i/>
          <w:color w:val="auto"/>
          <w:sz w:val="20"/>
          <w:szCs w:val="20"/>
        </w:rPr>
        <w:t>“ACTO IMPUGNADO</w:t>
      </w:r>
    </w:p>
    <w:p w:rsidRPr="00A4621C" w:rsidR="00FF7F2D" w:rsidP="004668F2" w:rsidRDefault="00AF3788" w14:paraId="44E85465" w14:textId="71B6BAFA">
      <w:pPr>
        <w:spacing w:after="0" w:line="360" w:lineRule="auto"/>
        <w:ind w:left="567" w:right="567"/>
        <w:rPr>
          <w:rFonts w:eastAsia="Times New Roman" w:cs="Times New Roman"/>
          <w:i/>
          <w:color w:val="auto"/>
          <w:sz w:val="20"/>
          <w:szCs w:val="20"/>
          <w:lang w:eastAsia="es-MX"/>
        </w:rPr>
      </w:pPr>
      <w:r w:rsidRPr="00A4621C">
        <w:rPr>
          <w:rFonts w:eastAsia="Times New Roman" w:cs="Times New Roman"/>
          <w:i/>
          <w:color w:val="auto"/>
          <w:sz w:val="20"/>
          <w:szCs w:val="20"/>
          <w:lang w:eastAsia="es-MX"/>
        </w:rPr>
        <w:t>La falta de respuesta a una solicitud de acceso a la información y la falta de trámite a una solicitud.</w:t>
      </w:r>
      <w:r w:rsidRPr="00A4621C" w:rsidR="00FF7F2D">
        <w:rPr>
          <w:i/>
          <w:color w:val="auto"/>
          <w:sz w:val="20"/>
          <w:szCs w:val="20"/>
        </w:rPr>
        <w:t>”</w:t>
      </w:r>
      <w:r w:rsidRPr="00A4621C" w:rsidR="00FF7F2D">
        <w:rPr>
          <w:rFonts w:cs="Tahoma"/>
          <w:i/>
          <w:color w:val="auto"/>
          <w:sz w:val="20"/>
          <w:szCs w:val="20"/>
        </w:rPr>
        <w:t xml:space="preserve"> (Sic.)</w:t>
      </w:r>
    </w:p>
    <w:p w:rsidRPr="00A4621C" w:rsidR="00FF7F2D" w:rsidP="004668F2" w:rsidRDefault="00FF7F2D" w14:paraId="1FFA846E" w14:textId="77777777">
      <w:pPr>
        <w:autoSpaceDE w:val="0"/>
        <w:autoSpaceDN w:val="0"/>
        <w:adjustRightInd w:val="0"/>
        <w:spacing w:after="0" w:line="360" w:lineRule="auto"/>
        <w:ind w:left="567" w:right="567"/>
        <w:rPr>
          <w:rFonts w:cs="Tahoma"/>
          <w:i/>
          <w:color w:val="auto"/>
          <w:sz w:val="20"/>
          <w:szCs w:val="20"/>
        </w:rPr>
      </w:pPr>
    </w:p>
    <w:p w:rsidRPr="00A4621C" w:rsidR="00FF7F2D" w:rsidP="004668F2" w:rsidRDefault="00FF7F2D" w14:paraId="68B72C5A" w14:textId="77777777">
      <w:pPr>
        <w:autoSpaceDE w:val="0"/>
        <w:autoSpaceDN w:val="0"/>
        <w:adjustRightInd w:val="0"/>
        <w:spacing w:after="0" w:line="360" w:lineRule="auto"/>
        <w:ind w:left="567" w:right="567"/>
        <w:rPr>
          <w:rFonts w:cs="Tahoma"/>
          <w:b/>
          <w:i/>
          <w:color w:val="auto"/>
          <w:sz w:val="20"/>
          <w:szCs w:val="20"/>
        </w:rPr>
      </w:pPr>
      <w:r w:rsidRPr="00A4621C">
        <w:rPr>
          <w:rFonts w:cs="Tahoma"/>
          <w:b/>
          <w:i/>
          <w:color w:val="auto"/>
          <w:sz w:val="20"/>
          <w:szCs w:val="20"/>
        </w:rPr>
        <w:t>“RAZONES O MOTIVOS DE LA INCONFORMIDAD</w:t>
      </w:r>
    </w:p>
    <w:p w:rsidRPr="00A4621C" w:rsidR="00FF7F2D" w:rsidP="004668F2" w:rsidRDefault="00AF3788" w14:paraId="562D61F8" w14:textId="5AA07CD1">
      <w:pPr>
        <w:spacing w:after="0" w:line="360" w:lineRule="auto"/>
        <w:ind w:left="567" w:right="567"/>
        <w:rPr>
          <w:rFonts w:eastAsia="Times New Roman" w:cs="Times New Roman"/>
          <w:i/>
          <w:color w:val="auto"/>
          <w:sz w:val="20"/>
          <w:szCs w:val="20"/>
          <w:lang w:eastAsia="es-MX"/>
        </w:rPr>
      </w:pPr>
      <w:r w:rsidRPr="00A4621C">
        <w:rPr>
          <w:i/>
          <w:color w:val="000000"/>
          <w:sz w:val="20"/>
          <w:szCs w:val="20"/>
        </w:rPr>
        <w:t>La falta de respuesta a una solicitud de acceso a la información y la falta de trámite a una solicitud. Mi inconformo por la falta de respuesta del Sujeto Obligado, quien argumenta que al estar realizando “informes trimestrales”, la solicitud será entregada al final de la entrega de estos. Es de referir que la solicitud con folio 00236/XONACATAT/2022, se da por cumplida al entregar una respuesta mediante oficio No. MXON/DOP/1086/2022, en el cual, el Arq. Mizraim Dionisio Cortés Eduardo refiere, que “invita a enviar la solicitud una vez terminado el cierre trimestral”, situación que es contraria a los derechos que como ciudadano tengo. Solicito se tenga a bien revisar este recurso y se inste al Sujeto Obligado a cumplir con dicha solicitud</w:t>
      </w:r>
      <w:r w:rsidRPr="00A4621C" w:rsidR="00FF7F2D">
        <w:rPr>
          <w:rFonts w:eastAsia="Times New Roman" w:cs="Times New Roman"/>
          <w:i/>
          <w:color w:val="auto"/>
          <w:sz w:val="20"/>
          <w:szCs w:val="20"/>
          <w:lang w:eastAsia="es-MX"/>
        </w:rPr>
        <w:t>.</w:t>
      </w:r>
      <w:r w:rsidRPr="00A4621C" w:rsidR="00FF7F2D">
        <w:rPr>
          <w:rFonts w:cs="Tahoma"/>
          <w:i/>
          <w:color w:val="auto"/>
          <w:sz w:val="20"/>
          <w:szCs w:val="20"/>
        </w:rPr>
        <w:t>” (Sic.)</w:t>
      </w:r>
    </w:p>
    <w:p w:rsidRPr="00A4621C" w:rsidR="00FF7F2D" w:rsidP="004668F2" w:rsidRDefault="00FF7F2D" w14:paraId="261448CD" w14:textId="77777777">
      <w:pPr>
        <w:spacing w:after="0" w:line="360" w:lineRule="auto"/>
        <w:rPr>
          <w:rFonts w:cs="Tahoma"/>
          <w:bCs/>
        </w:rPr>
      </w:pPr>
    </w:p>
    <w:p w:rsidRPr="00A4621C" w:rsidR="00FF7F2D" w:rsidP="004668F2" w:rsidRDefault="00FF7F2D" w14:paraId="7339B4EA" w14:textId="7F9F3C7B">
      <w:pPr>
        <w:spacing w:after="0" w:line="360" w:lineRule="auto"/>
        <w:rPr>
          <w:rFonts w:eastAsia="Batang" w:cs="Tahoma"/>
          <w:b/>
          <w:bCs/>
        </w:rPr>
      </w:pPr>
      <w:r w:rsidRPr="00A4621C">
        <w:rPr>
          <w:rFonts w:cs="Tahoma"/>
          <w:b/>
        </w:rPr>
        <w:t xml:space="preserve">IV. </w:t>
      </w:r>
      <w:r w:rsidRPr="00A4621C">
        <w:rPr>
          <w:rFonts w:eastAsia="Batang" w:cs="Tahoma"/>
          <w:b/>
          <w:bCs/>
        </w:rPr>
        <w:t xml:space="preserve">Trámite del </w:t>
      </w:r>
      <w:r w:rsidRPr="00A4621C">
        <w:rPr>
          <w:rFonts w:cs="Tahoma"/>
          <w:b/>
        </w:rPr>
        <w:t xml:space="preserve">Recurso de Revisión </w:t>
      </w:r>
      <w:r w:rsidRPr="00A4621C">
        <w:rPr>
          <w:rFonts w:eastAsia="Batang" w:cs="Tahoma"/>
          <w:b/>
          <w:bCs/>
        </w:rPr>
        <w:t>ante este Instituto.</w:t>
      </w:r>
    </w:p>
    <w:p w:rsidRPr="00A4621C" w:rsidR="00AF3788" w:rsidP="004668F2" w:rsidRDefault="00AF3788" w14:paraId="1AE036B1" w14:textId="77777777">
      <w:pPr>
        <w:spacing w:after="0" w:line="360" w:lineRule="auto"/>
        <w:rPr>
          <w:rFonts w:eastAsia="Batang" w:cs="Tahoma"/>
          <w:b/>
          <w:bCs/>
        </w:rPr>
      </w:pPr>
    </w:p>
    <w:p w:rsidRPr="00A4621C" w:rsidR="00FF7F2D" w:rsidP="004668F2" w:rsidRDefault="00FF7F2D" w14:paraId="07DE6A0D" w14:textId="172C2913">
      <w:pPr>
        <w:spacing w:after="0" w:line="360" w:lineRule="auto"/>
        <w:rPr>
          <w:rFonts w:eastAsia="Batang" w:cs="Tahoma"/>
          <w:bCs/>
        </w:rPr>
      </w:pPr>
      <w:r w:rsidRPr="00A4621C">
        <w:rPr>
          <w:rFonts w:eastAsia="Batang" w:cs="Tahoma"/>
          <w:b/>
          <w:bCs/>
        </w:rPr>
        <w:t xml:space="preserve">a) Turno del Medio de Impugnación. </w:t>
      </w:r>
      <w:r w:rsidRPr="00A4621C">
        <w:rPr>
          <w:rFonts w:eastAsia="Batang" w:cs="Tahoma"/>
          <w:bCs/>
        </w:rPr>
        <w:t xml:space="preserve">El </w:t>
      </w:r>
      <w:r w:rsidRPr="00A4621C" w:rsidR="00AF3788">
        <w:rPr>
          <w:rFonts w:eastAsia="Batang" w:cs="Tahoma"/>
          <w:bCs/>
        </w:rPr>
        <w:t>tres de noviembre</w:t>
      </w:r>
      <w:r w:rsidRPr="00A4621C">
        <w:rPr>
          <w:rFonts w:eastAsia="Batang" w:cs="Tahoma"/>
          <w:bCs/>
        </w:rPr>
        <w:t xml:space="preserve"> de dos mil veintidós, el </w:t>
      </w:r>
      <w:r w:rsidRPr="00A4621C">
        <w:rPr>
          <w:rFonts w:cs="Tahoma"/>
        </w:rPr>
        <w:t>Sistema de Acceso a la Información Mexiquense (SAIMEX),</w:t>
      </w:r>
      <w:r w:rsidRPr="00A4621C">
        <w:rPr>
          <w:rFonts w:eastAsia="Batang" w:cs="Tahoma"/>
          <w:bCs/>
        </w:rPr>
        <w:t xml:space="preserve"> asignó el número de expediente </w:t>
      </w:r>
      <w:r w:rsidRPr="00A4621C">
        <w:rPr>
          <w:b/>
          <w:bCs/>
        </w:rPr>
        <w:t>1</w:t>
      </w:r>
      <w:r w:rsidRPr="00A4621C" w:rsidR="00AF3788">
        <w:rPr>
          <w:b/>
          <w:bCs/>
        </w:rPr>
        <w:t>6086</w:t>
      </w:r>
      <w:r w:rsidRPr="00A4621C">
        <w:rPr>
          <w:b/>
          <w:bCs/>
        </w:rPr>
        <w:t>/INFOEM/IP/RR/2022</w:t>
      </w:r>
      <w:r w:rsidRPr="00A4621C">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4621C" w:rsidR="00FF7F2D" w:rsidP="004668F2" w:rsidRDefault="00FF7F2D" w14:paraId="7A971DB5" w14:textId="77777777">
      <w:pPr>
        <w:spacing w:after="0" w:line="360" w:lineRule="auto"/>
        <w:rPr>
          <w:rFonts w:eastAsia="Batang" w:cs="Tahoma"/>
          <w:bCs/>
        </w:rPr>
      </w:pPr>
    </w:p>
    <w:p w:rsidRPr="00A4621C" w:rsidR="00FF7F2D" w:rsidP="004668F2" w:rsidRDefault="00FF7F2D" w14:paraId="125B904F" w14:textId="1801F58D">
      <w:pPr>
        <w:spacing w:after="0" w:line="360" w:lineRule="auto"/>
        <w:rPr>
          <w:rFonts w:eastAsia="Times New Roman" w:cs="Tahoma"/>
          <w:b/>
        </w:rPr>
      </w:pPr>
      <w:r w:rsidRPr="00A4621C">
        <w:rPr>
          <w:rFonts w:eastAsia="Batang" w:cs="Tahoma"/>
          <w:b/>
          <w:bCs/>
        </w:rPr>
        <w:t xml:space="preserve">b) Admisión del </w:t>
      </w:r>
      <w:r w:rsidRPr="00A4621C">
        <w:rPr>
          <w:rFonts w:cs="Tahoma"/>
          <w:b/>
        </w:rPr>
        <w:t>Recurso de Revisión</w:t>
      </w:r>
      <w:r w:rsidRPr="00A4621C">
        <w:rPr>
          <w:rFonts w:eastAsia="Batang" w:cs="Tahoma"/>
          <w:b/>
          <w:bCs/>
          <w:lang w:val="es-ES_tradnl"/>
        </w:rPr>
        <w:t xml:space="preserve">. </w:t>
      </w:r>
      <w:r w:rsidRPr="00A4621C">
        <w:rPr>
          <w:rFonts w:eastAsia="Batang" w:cs="Tahoma"/>
          <w:bCs/>
          <w:lang w:val="es-ES_tradnl"/>
        </w:rPr>
        <w:t xml:space="preserve">El </w:t>
      </w:r>
      <w:r w:rsidRPr="00A4621C" w:rsidR="00AF3788">
        <w:rPr>
          <w:rFonts w:eastAsia="Batang" w:cs="Tahoma"/>
          <w:bCs/>
          <w:lang w:val="es-ES_tradnl"/>
        </w:rPr>
        <w:t>ocho de noviembre</w:t>
      </w:r>
      <w:r w:rsidRPr="00A4621C">
        <w:rPr>
          <w:rFonts w:eastAsia="Batang" w:cs="Tahoma"/>
          <w:bCs/>
          <w:lang w:val="es-ES_tradnl"/>
        </w:rPr>
        <w:t xml:space="preserve"> de dos mil veintidós, se acordó la admisión del Recurso de Revisión interpuesto por el Recurrente en contra del Sujeto </w:t>
      </w:r>
      <w:r w:rsidRPr="00A4621C">
        <w:rPr>
          <w:rFonts w:eastAsia="Batang" w:cs="Tahoma"/>
          <w:bCs/>
          <w:lang w:val="es-ES_tradnl"/>
        </w:rPr>
        <w:lastRenderedPageBreak/>
        <w:t xml:space="preserve">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 </w:t>
      </w:r>
    </w:p>
    <w:p w:rsidRPr="00A4621C" w:rsidR="00FF7F2D" w:rsidP="004668F2" w:rsidRDefault="00FF7F2D" w14:paraId="5DBBDB5F" w14:textId="77777777">
      <w:pPr>
        <w:spacing w:after="0" w:line="360" w:lineRule="auto"/>
        <w:rPr>
          <w:rFonts w:cs="Tahoma"/>
          <w:bCs/>
        </w:rPr>
      </w:pPr>
    </w:p>
    <w:p w:rsidRPr="00A4621C" w:rsidR="00884E54" w:rsidP="004668F2" w:rsidRDefault="00FF7F2D" w14:paraId="483BB9FC" w14:textId="1EEFD2C5">
      <w:pPr>
        <w:spacing w:after="0" w:line="360" w:lineRule="auto"/>
        <w:contextualSpacing/>
        <w:rPr>
          <w:rFonts w:cs="Tahoma"/>
          <w:bCs/>
          <w:lang w:val="es-ES_tradnl"/>
        </w:rPr>
      </w:pPr>
      <w:r w:rsidRPr="00A4621C">
        <w:rPr>
          <w:rFonts w:cs="Tahoma"/>
          <w:b/>
        </w:rPr>
        <w:t>c)</w:t>
      </w:r>
      <w:r w:rsidRPr="00A4621C" w:rsidR="00884E54">
        <w:rPr>
          <w:rFonts w:cs="Tahoma"/>
          <w:b/>
        </w:rPr>
        <w:t xml:space="preserve"> </w:t>
      </w:r>
      <w:r w:rsidRPr="00A4621C" w:rsidR="00884E54">
        <w:rPr>
          <w:rFonts w:eastAsia="Batang" w:cs="Tahoma"/>
          <w:b/>
          <w:bCs/>
          <w:lang w:val="es-ES_tradnl"/>
        </w:rPr>
        <w:t>Informe Justificado</w:t>
      </w:r>
      <w:r w:rsidRPr="00A4621C" w:rsidR="00884E54">
        <w:rPr>
          <w:b/>
          <w:lang w:val="es-ES_tradnl"/>
        </w:rPr>
        <w:t xml:space="preserve">. </w:t>
      </w:r>
      <w:r w:rsidRPr="00A4621C" w:rsidR="00884E54">
        <w:rPr>
          <w:rFonts w:cs="Tahoma"/>
          <w:bCs/>
          <w:lang w:val="es-ES_tradnl"/>
        </w:rPr>
        <w:t xml:space="preserve">El diecinueve de diciembre de dos mil veintidós, se recibió en este Instituto, a través del Sistema de Acceso a la Información Mexiquense (SAIMEX), el Informe Justificado del Sujeto Obligado, a través de la digitalización de los siguientes documentos: </w:t>
      </w:r>
    </w:p>
    <w:p w:rsidRPr="00A4621C" w:rsidR="00884E54" w:rsidP="004668F2" w:rsidRDefault="00884E54" w14:paraId="717599AB" w14:textId="4795279D">
      <w:pPr>
        <w:spacing w:after="0" w:line="360" w:lineRule="auto"/>
        <w:contextualSpacing/>
        <w:rPr>
          <w:rFonts w:cs="Tahoma"/>
          <w:bCs/>
          <w:lang w:val="es-ES_tradnl"/>
        </w:rPr>
      </w:pPr>
    </w:p>
    <w:p w:rsidRPr="00A4621C" w:rsidR="00884E54" w:rsidP="004668F2" w:rsidRDefault="00884E54" w14:paraId="7A992055" w14:textId="62911CC3">
      <w:pPr>
        <w:spacing w:after="0" w:line="360" w:lineRule="auto"/>
        <w:contextualSpacing/>
        <w:rPr>
          <w:rFonts w:cs="Tahoma"/>
          <w:bCs/>
          <w:lang w:val="es-ES_tradnl"/>
        </w:rPr>
      </w:pPr>
      <w:r w:rsidRPr="00A4621C">
        <w:rPr>
          <w:rFonts w:cs="Tahoma"/>
          <w:bCs/>
          <w:lang w:val="es-ES_tradnl"/>
        </w:rPr>
        <w:t xml:space="preserve">i) Oficio </w:t>
      </w:r>
      <w:r w:rsidRPr="00A4621C" w:rsidR="00C81FFE">
        <w:rPr>
          <w:rFonts w:cs="Tahoma"/>
          <w:bCs/>
          <w:lang w:val="es-ES_tradnl"/>
        </w:rPr>
        <w:t>número</w:t>
      </w:r>
      <w:r w:rsidRPr="00A4621C">
        <w:rPr>
          <w:rFonts w:cs="Tahoma"/>
          <w:bCs/>
          <w:lang w:val="es-ES_tradnl"/>
        </w:rPr>
        <w:t xml:space="preserve"> XON/CMR/161/2022, de la fecha de su recepción</w:t>
      </w:r>
      <w:r w:rsidRPr="00A4621C" w:rsidR="00C81FFE">
        <w:rPr>
          <w:rFonts w:cs="Tahoma"/>
          <w:bCs/>
          <w:lang w:val="es-ES_tradnl"/>
        </w:rPr>
        <w:t>,</w:t>
      </w:r>
      <w:r w:rsidRPr="00A4621C">
        <w:rPr>
          <w:rFonts w:cs="Tahoma"/>
          <w:bCs/>
          <w:lang w:val="es-ES_tradnl"/>
        </w:rPr>
        <w:t xml:space="preserve"> dirigido al Titular de la Unidad de Transparencia, suscrito por el Coordinador General Municipal de Mejora Regulatoria, a través del cual señaló esencialmente lo siguiente:</w:t>
      </w:r>
    </w:p>
    <w:p w:rsidRPr="00A4621C" w:rsidR="00884E54" w:rsidP="004668F2" w:rsidRDefault="00884E54" w14:paraId="71DF1C91" w14:textId="77777777">
      <w:pPr>
        <w:spacing w:after="0" w:line="360" w:lineRule="auto"/>
        <w:contextualSpacing/>
        <w:rPr>
          <w:rFonts w:cs="Tahoma"/>
          <w:bCs/>
          <w:lang w:val="es-ES_tradnl"/>
        </w:rPr>
      </w:pPr>
    </w:p>
    <w:p w:rsidRPr="00A4621C" w:rsidR="00884E54" w:rsidP="004668F2" w:rsidRDefault="00884E54" w14:paraId="67AD7081" w14:textId="77777777">
      <w:pPr>
        <w:spacing w:after="0" w:line="360" w:lineRule="auto"/>
        <w:ind w:left="567" w:right="567"/>
        <w:contextualSpacing/>
        <w:rPr>
          <w:rFonts w:cs="Tahoma"/>
          <w:bCs/>
          <w:i/>
          <w:iCs/>
          <w:sz w:val="20"/>
          <w:szCs w:val="20"/>
          <w:lang w:val="es-ES_tradnl"/>
        </w:rPr>
      </w:pPr>
      <w:r w:rsidRPr="00A4621C">
        <w:rPr>
          <w:rFonts w:cs="Tahoma"/>
          <w:bCs/>
          <w:i/>
          <w:iCs/>
          <w:sz w:val="20"/>
          <w:szCs w:val="20"/>
          <w:lang w:val="es-ES_tradnl"/>
        </w:rPr>
        <w:t>“…</w:t>
      </w:r>
    </w:p>
    <w:p w:rsidRPr="00A4621C" w:rsidR="00884E54" w:rsidP="004668F2" w:rsidRDefault="00902D3B" w14:paraId="365AD7DB" w14:textId="3A47832D">
      <w:pPr>
        <w:spacing w:after="0" w:line="360" w:lineRule="auto"/>
        <w:ind w:left="567" w:right="567"/>
        <w:contextualSpacing/>
        <w:rPr>
          <w:rFonts w:cs="Tahoma"/>
          <w:bCs/>
          <w:i/>
          <w:iCs/>
          <w:sz w:val="20"/>
          <w:szCs w:val="20"/>
          <w:lang w:val="es-ES_tradnl"/>
        </w:rPr>
      </w:pPr>
      <w:r w:rsidRPr="00A4621C">
        <w:rPr>
          <w:rFonts w:cs="Tahoma"/>
          <w:bCs/>
          <w:i/>
          <w:iCs/>
          <w:sz w:val="20"/>
          <w:szCs w:val="20"/>
          <w:lang w:val="es-ES_tradnl"/>
        </w:rPr>
        <w:t>Por este medio reciba un cordial saludo y relación al oficio XON/UT/0622/2022, donde me solicita que informe si existe una cedula informativa (Registro Municipales de Trámites y servicios) con la denominación de “renta de terreno”, “préstamo de terreno” o “convenio de terreno” le comunico que no hay ningún registro en existencia con ese nombre.</w:t>
      </w:r>
    </w:p>
    <w:p w:rsidRPr="00A4621C" w:rsidR="00902D3B" w:rsidP="004668F2" w:rsidRDefault="00902D3B" w14:paraId="6480351B" w14:textId="1E4F0D5B">
      <w:pPr>
        <w:spacing w:after="0" w:line="360" w:lineRule="auto"/>
        <w:ind w:left="567" w:right="567"/>
        <w:contextualSpacing/>
        <w:rPr>
          <w:rFonts w:cs="Tahoma"/>
          <w:bCs/>
          <w:i/>
          <w:iCs/>
          <w:sz w:val="20"/>
          <w:szCs w:val="20"/>
          <w:lang w:val="es-ES_tradnl"/>
        </w:rPr>
      </w:pPr>
      <w:r w:rsidRPr="00A4621C">
        <w:rPr>
          <w:rFonts w:cs="Tahoma"/>
          <w:bCs/>
          <w:i/>
          <w:iCs/>
          <w:sz w:val="20"/>
          <w:szCs w:val="20"/>
          <w:lang w:val="es-ES_tradnl"/>
        </w:rPr>
        <w:t>…”</w:t>
      </w:r>
    </w:p>
    <w:p w:rsidRPr="00A4621C" w:rsidR="00902D3B" w:rsidP="004668F2" w:rsidRDefault="00902D3B" w14:paraId="74BE26BD" w14:textId="3DE116F9">
      <w:pPr>
        <w:spacing w:after="0" w:line="360" w:lineRule="auto"/>
        <w:ind w:right="567"/>
        <w:contextualSpacing/>
        <w:rPr>
          <w:rFonts w:cs="Tahoma"/>
          <w:bCs/>
          <w:i/>
          <w:iCs/>
          <w:sz w:val="20"/>
          <w:szCs w:val="20"/>
          <w:lang w:val="es-ES_tradnl"/>
        </w:rPr>
      </w:pPr>
    </w:p>
    <w:p w:rsidRPr="00A4621C" w:rsidR="00902D3B" w:rsidP="004668F2" w:rsidRDefault="00902D3B" w14:paraId="7F3B2119" w14:textId="659BC2AA">
      <w:pPr>
        <w:spacing w:after="0" w:line="360" w:lineRule="auto"/>
        <w:contextualSpacing/>
        <w:rPr>
          <w:rFonts w:cs="Tahoma"/>
          <w:bCs/>
          <w:szCs w:val="20"/>
          <w:lang w:val="es-ES_tradnl"/>
        </w:rPr>
      </w:pPr>
      <w:r w:rsidRPr="00A4621C">
        <w:rPr>
          <w:rFonts w:cs="Tahoma"/>
          <w:bCs/>
          <w:szCs w:val="20"/>
          <w:lang w:val="es-ES_tradnl"/>
        </w:rPr>
        <w:t>ii) Oficio</w:t>
      </w:r>
      <w:r w:rsidRPr="00A4621C" w:rsidR="00C81FFE">
        <w:rPr>
          <w:rFonts w:cs="Tahoma"/>
          <w:bCs/>
          <w:szCs w:val="20"/>
          <w:lang w:val="es-ES_tradnl"/>
        </w:rPr>
        <w:t xml:space="preserve"> número</w:t>
      </w:r>
      <w:r w:rsidRPr="00A4621C">
        <w:rPr>
          <w:rFonts w:cs="Tahoma"/>
          <w:bCs/>
          <w:szCs w:val="20"/>
          <w:lang w:val="es-ES_tradnl"/>
        </w:rPr>
        <w:t xml:space="preserve"> XON/UT/0624/2022, de la fech</w:t>
      </w:r>
      <w:r w:rsidRPr="00A4621C" w:rsidR="00C81FFE">
        <w:rPr>
          <w:rFonts w:cs="Tahoma"/>
          <w:bCs/>
          <w:szCs w:val="20"/>
          <w:lang w:val="es-ES_tradnl"/>
        </w:rPr>
        <w:t>a de su recepción, dirigido al S</w:t>
      </w:r>
      <w:r w:rsidRPr="00A4621C">
        <w:rPr>
          <w:rFonts w:cs="Tahoma"/>
          <w:bCs/>
          <w:szCs w:val="20"/>
          <w:lang w:val="es-ES_tradnl"/>
        </w:rPr>
        <w:t xml:space="preserve">olicitante, suscrito por el Titular de la Unidad de Transparencia, por medio del cual dio respuesta </w:t>
      </w:r>
      <w:r w:rsidRPr="00A4621C" w:rsidR="00C81FFE">
        <w:rPr>
          <w:rFonts w:cs="Tahoma"/>
          <w:bCs/>
          <w:szCs w:val="20"/>
          <w:lang w:val="es-ES_tradnl"/>
        </w:rPr>
        <w:t xml:space="preserve">a la solicitud de información </w:t>
      </w:r>
      <w:r w:rsidRPr="00A4621C" w:rsidR="00C81FFE">
        <w:t>00314/XONACAT/IP/2022</w:t>
      </w:r>
      <w:r w:rsidRPr="00A4621C">
        <w:rPr>
          <w:rFonts w:cs="Tahoma"/>
          <w:bCs/>
          <w:szCs w:val="20"/>
          <w:lang w:val="es-ES_tradnl"/>
        </w:rPr>
        <w:t>.</w:t>
      </w:r>
    </w:p>
    <w:p w:rsidRPr="00A4621C" w:rsidR="00902D3B" w:rsidP="004668F2" w:rsidRDefault="00902D3B" w14:paraId="4468DB43" w14:textId="05B07668">
      <w:pPr>
        <w:spacing w:after="0" w:line="360" w:lineRule="auto"/>
        <w:ind w:right="567"/>
        <w:contextualSpacing/>
        <w:rPr>
          <w:rFonts w:cs="Tahoma"/>
          <w:bCs/>
          <w:sz w:val="20"/>
          <w:szCs w:val="20"/>
          <w:lang w:val="es-ES_tradnl"/>
        </w:rPr>
      </w:pPr>
    </w:p>
    <w:p w:rsidRPr="00A4621C" w:rsidR="00902D3B" w:rsidP="004668F2" w:rsidRDefault="00902D3B" w14:paraId="2F59AD03" w14:textId="77A73A6C">
      <w:pPr>
        <w:spacing w:after="0" w:line="360" w:lineRule="auto"/>
        <w:contextualSpacing/>
        <w:rPr>
          <w:rFonts w:cs="Tahoma"/>
          <w:bCs/>
          <w:szCs w:val="20"/>
          <w:lang w:val="es-ES_tradnl"/>
        </w:rPr>
      </w:pPr>
      <w:r w:rsidRPr="00A4621C">
        <w:rPr>
          <w:rFonts w:cs="Tahoma"/>
          <w:bCs/>
          <w:szCs w:val="20"/>
          <w:lang w:val="es-ES_tradnl"/>
        </w:rPr>
        <w:t>iii) Acta</w:t>
      </w:r>
      <w:r w:rsidRPr="00A4621C" w:rsidR="00510DCA">
        <w:rPr>
          <w:rFonts w:cs="Tahoma"/>
          <w:bCs/>
          <w:szCs w:val="20"/>
          <w:lang w:val="es-ES_tradnl"/>
        </w:rPr>
        <w:t xml:space="preserve"> </w:t>
      </w:r>
      <w:r w:rsidRPr="00A4621C" w:rsidR="00F124D2">
        <w:rPr>
          <w:rFonts w:cs="Tahoma"/>
          <w:bCs/>
          <w:szCs w:val="20"/>
          <w:lang w:val="es-ES_tradnl"/>
        </w:rPr>
        <w:t xml:space="preserve">de Comité de Transparencia </w:t>
      </w:r>
      <w:r w:rsidRPr="00A4621C" w:rsidR="00C254C1">
        <w:rPr>
          <w:rFonts w:cs="Tahoma"/>
          <w:bCs/>
          <w:szCs w:val="20"/>
          <w:lang w:val="es-ES_tradnl"/>
        </w:rPr>
        <w:t>número</w:t>
      </w:r>
      <w:r w:rsidRPr="00A4621C" w:rsidR="00F124D2">
        <w:rPr>
          <w:rFonts w:cs="Tahoma"/>
          <w:bCs/>
          <w:szCs w:val="20"/>
          <w:lang w:val="es-ES_tradnl"/>
        </w:rPr>
        <w:t xml:space="preserve"> ACT/UT/ORD/0012/2022, </w:t>
      </w:r>
      <w:r w:rsidRPr="00A4621C" w:rsidR="00C254C1">
        <w:rPr>
          <w:rFonts w:cs="Tahoma"/>
          <w:bCs/>
          <w:szCs w:val="20"/>
          <w:lang w:val="es-ES_tradnl"/>
        </w:rPr>
        <w:t>del</w:t>
      </w:r>
      <w:r w:rsidRPr="00A4621C" w:rsidR="00F124D2">
        <w:rPr>
          <w:rFonts w:cs="Tahoma"/>
          <w:bCs/>
          <w:szCs w:val="20"/>
          <w:lang w:val="es-ES_tradnl"/>
        </w:rPr>
        <w:t xml:space="preserve"> quince de diciembre de dos mil veintidós, a través de la cual </w:t>
      </w:r>
      <w:r w:rsidRPr="00A4621C" w:rsidR="00C254C1">
        <w:rPr>
          <w:rFonts w:cs="Tahoma"/>
          <w:bCs/>
          <w:szCs w:val="20"/>
          <w:lang w:val="es-ES_tradnl"/>
        </w:rPr>
        <w:t xml:space="preserve">realizó diversas situaciones relacionadas con </w:t>
      </w:r>
      <w:r w:rsidRPr="00A4621C" w:rsidR="00C254C1">
        <w:rPr>
          <w:rFonts w:cs="Tahoma"/>
          <w:bCs/>
          <w:szCs w:val="20"/>
          <w:lang w:val="es-ES_tradnl"/>
        </w:rPr>
        <w:lastRenderedPageBreak/>
        <w:t xml:space="preserve">las solicitudes de acceso a la información </w:t>
      </w:r>
      <w:r w:rsidRPr="00A4621C" w:rsidR="00C02A5F">
        <w:rPr>
          <w:rFonts w:cs="Tahoma"/>
          <w:bCs/>
          <w:szCs w:val="20"/>
          <w:lang w:val="es-ES_tradnl"/>
        </w:rPr>
        <w:t>número 00306</w:t>
      </w:r>
      <w:r w:rsidRPr="00A4621C" w:rsidR="00C254C1">
        <w:t>/XONACAT/IP/2022 y 00139/XONACAT/IP/2022</w:t>
      </w:r>
    </w:p>
    <w:p w:rsidRPr="00A4621C" w:rsidR="00F124D2" w:rsidP="004668F2" w:rsidRDefault="00F124D2" w14:paraId="5021CA93" w14:textId="77777777">
      <w:pPr>
        <w:spacing w:after="0" w:line="360" w:lineRule="auto"/>
        <w:ind w:right="567"/>
        <w:contextualSpacing/>
        <w:rPr>
          <w:rFonts w:cs="Tahoma"/>
          <w:bCs/>
          <w:sz w:val="20"/>
          <w:szCs w:val="20"/>
          <w:lang w:val="es-ES_tradnl"/>
        </w:rPr>
      </w:pPr>
    </w:p>
    <w:p w:rsidRPr="00A4621C" w:rsidR="00884E54" w:rsidP="004668F2" w:rsidRDefault="00884E54" w14:paraId="5617C832" w14:textId="660E3073">
      <w:pPr>
        <w:spacing w:after="0" w:line="360" w:lineRule="auto"/>
        <w:contextualSpacing/>
        <w:rPr>
          <w:rFonts w:eastAsia="Palatino Linotype" w:cs="Palatino Linotype"/>
          <w:b/>
          <w:bCs/>
        </w:rPr>
      </w:pPr>
      <w:r w:rsidRPr="00A4621C">
        <w:rPr>
          <w:rFonts w:eastAsia="Palatino Linotype" w:cs="Palatino Linotype"/>
          <w:b/>
          <w:bCs/>
        </w:rPr>
        <w:t xml:space="preserve">d) </w:t>
      </w:r>
      <w:r w:rsidRPr="00A4621C">
        <w:rPr>
          <w:b/>
          <w:color w:val="0D0D0D" w:themeColor="text1" w:themeTint="F2"/>
        </w:rPr>
        <w:t xml:space="preserve">Vista del Informe Justificado: </w:t>
      </w:r>
      <w:r w:rsidRPr="00A4621C">
        <w:rPr>
          <w:bCs/>
          <w:color w:val="0D0D0D" w:themeColor="text1" w:themeTint="F2"/>
        </w:rPr>
        <w:t>El</w:t>
      </w:r>
      <w:r w:rsidRPr="00A4621C">
        <w:rPr>
          <w:b/>
          <w:color w:val="0D0D0D" w:themeColor="text1" w:themeTint="F2"/>
        </w:rPr>
        <w:t xml:space="preserve"> </w:t>
      </w:r>
      <w:r w:rsidRPr="00A4621C" w:rsidR="00902D3B">
        <w:rPr>
          <w:color w:val="0D0D0D" w:themeColor="text1" w:themeTint="F2"/>
        </w:rPr>
        <w:t>diecinueve de enero</w:t>
      </w:r>
      <w:r w:rsidRPr="00A4621C">
        <w:rPr>
          <w:color w:val="0D0D0D" w:themeColor="text1" w:themeTint="F2"/>
        </w:rPr>
        <w:t xml:space="preserve"> de dos mil veinti</w:t>
      </w:r>
      <w:r w:rsidRPr="00A4621C" w:rsidR="00902D3B">
        <w:rPr>
          <w:color w:val="0D0D0D" w:themeColor="text1" w:themeTint="F2"/>
        </w:rPr>
        <w:t>tré</w:t>
      </w:r>
      <w:r w:rsidRPr="00A4621C">
        <w:rPr>
          <w:color w:val="0D0D0D" w:themeColor="text1" w:themeTint="F2"/>
        </w:rPr>
        <w:t xml:space="preserve">s, se dictó acuerdo mediante el cual </w:t>
      </w:r>
      <w:r w:rsidRPr="00A4621C">
        <w:rPr>
          <w:b/>
          <w:color w:val="0D0D0D" w:themeColor="text1" w:themeTint="F2"/>
        </w:rPr>
        <w:t>se puso a la vista de la Particular el Informe Justificado,</w:t>
      </w:r>
      <w:r w:rsidRPr="00A4621C">
        <w:rPr>
          <w:color w:val="0D0D0D" w:themeColor="text1" w:themeTint="F2"/>
        </w:rPr>
        <w:t xml:space="preserve"> entregado por el Sujeto Obligado, el cual fue notificado a las partes, a través del Sistema de Acceso a la Información Mexiquense (SAIMEX), el treinta y uno del mismo mes y año. </w:t>
      </w:r>
      <w:r w:rsidRPr="00A4621C">
        <w:rPr>
          <w:b/>
          <w:bCs/>
          <w:color w:val="0D0D0D" w:themeColor="text1" w:themeTint="F2"/>
        </w:rPr>
        <w:t>Cabe señalar que la Recurrente fue omisa en realizar alguna manifestación que a su derecho conviniera y asistiera.</w:t>
      </w:r>
    </w:p>
    <w:p w:rsidRPr="00A4621C" w:rsidR="00FF7F2D" w:rsidP="004668F2" w:rsidRDefault="00FF7F2D" w14:paraId="2B5FB175" w14:textId="6968059F">
      <w:pPr>
        <w:spacing w:after="0" w:line="360" w:lineRule="auto"/>
        <w:rPr>
          <w:rFonts w:cs="Tahoma"/>
          <w:b/>
          <w:bCs/>
        </w:rPr>
      </w:pPr>
    </w:p>
    <w:p w:rsidRPr="00A4621C" w:rsidR="00FF7F2D" w:rsidP="004668F2" w:rsidRDefault="00013DC4" w14:paraId="1127A9BA" w14:textId="4554C678">
      <w:pPr>
        <w:spacing w:after="0" w:line="360" w:lineRule="auto"/>
        <w:rPr>
          <w:rFonts w:eastAsia="Palatino Linotype" w:cs="Palatino Linotype"/>
        </w:rPr>
      </w:pPr>
      <w:r w:rsidRPr="00A4621C">
        <w:rPr>
          <w:rFonts w:cs="Tahoma"/>
          <w:b/>
          <w:bCs/>
        </w:rPr>
        <w:t>e</w:t>
      </w:r>
      <w:r w:rsidRPr="00A4621C" w:rsidR="00FF7F2D">
        <w:rPr>
          <w:rFonts w:cs="Tahoma"/>
          <w:b/>
          <w:bCs/>
        </w:rPr>
        <w:t xml:space="preserve">) </w:t>
      </w:r>
      <w:r w:rsidRPr="00A4621C" w:rsidR="00FF7F2D">
        <w:rPr>
          <w:rFonts w:eastAsia="Palatino Linotype" w:cs="Palatino Linotype"/>
          <w:b/>
          <w:bCs/>
        </w:rPr>
        <w:t xml:space="preserve">Ampliación de plazo para resolver. </w:t>
      </w:r>
      <w:r w:rsidRPr="00A4621C" w:rsidR="00FF7F2D">
        <w:rPr>
          <w:rFonts w:eastAsia="Palatino Linotype" w:cs="Palatino Linotype"/>
        </w:rPr>
        <w:t xml:space="preserve">El </w:t>
      </w:r>
      <w:r w:rsidRPr="00A4621C" w:rsidR="00F124D2">
        <w:rPr>
          <w:rFonts w:eastAsia="Palatino Linotype" w:cs="Palatino Linotype"/>
        </w:rPr>
        <w:t>nueve de enero</w:t>
      </w:r>
      <w:r w:rsidRPr="00A4621C" w:rsidR="00FF7F2D">
        <w:rPr>
          <w:rFonts w:eastAsia="Palatino Linotype" w:cs="Palatino Linotype"/>
        </w:rPr>
        <w:t xml:space="preserve"> de dos mil veint</w:t>
      </w:r>
      <w:r w:rsidRPr="00A4621C" w:rsidR="00F124D2">
        <w:rPr>
          <w:rFonts w:eastAsia="Palatino Linotype" w:cs="Palatino Linotype"/>
        </w:rPr>
        <w:t>itrés</w:t>
      </w:r>
      <w:r w:rsidRPr="00A4621C" w:rsidR="00FF7F2D">
        <w:rPr>
          <w:rFonts w:eastAsia="Palatino Linotype" w:cs="Palatino Linotype"/>
        </w:rPr>
        <w:t xml:space="preserve">, el Comisionado </w:t>
      </w:r>
      <w:r w:rsidRPr="00A4621C">
        <w:rPr>
          <w:rFonts w:eastAsia="Palatino Linotype" w:cs="Palatino Linotype"/>
        </w:rPr>
        <w:t>p</w:t>
      </w:r>
      <w:r w:rsidRPr="00A4621C" w:rsidR="00FF7F2D">
        <w:rPr>
          <w:rFonts w:eastAsia="Palatino Linotype" w:cs="Palatino Linotype"/>
        </w:rPr>
        <w:t>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A4621C" w:rsidR="00FF7F2D" w:rsidP="004668F2" w:rsidRDefault="00FF7F2D" w14:paraId="39A6FE57" w14:textId="77777777">
      <w:pPr>
        <w:spacing w:after="0" w:line="360" w:lineRule="auto"/>
        <w:rPr>
          <w:rFonts w:eastAsia="Palatino Linotype" w:cs="Palatino Linotype"/>
        </w:rPr>
      </w:pPr>
    </w:p>
    <w:p w:rsidRPr="00A4621C" w:rsidR="00FF7F2D" w:rsidP="004668F2" w:rsidRDefault="00FF7F2D" w14:paraId="56782B2B" w14:textId="77777777">
      <w:pPr>
        <w:spacing w:after="0" w:line="360" w:lineRule="auto"/>
        <w:rPr>
          <w:rFonts w:cs="Tahoma"/>
        </w:rPr>
      </w:pPr>
      <w:r w:rsidRPr="00A4621C">
        <w:rPr>
          <w:rFonts w:cs="Tahoma"/>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A4621C" w:rsidR="00FF7F2D" w:rsidP="004668F2" w:rsidRDefault="00FF7F2D" w14:paraId="5B1CE91C" w14:textId="77777777">
      <w:pPr>
        <w:spacing w:after="0" w:line="360" w:lineRule="auto"/>
        <w:rPr>
          <w:rFonts w:cs="Tahoma"/>
        </w:rPr>
      </w:pPr>
    </w:p>
    <w:p w:rsidRPr="00A4621C" w:rsidR="00FF7F2D" w:rsidP="004668F2" w:rsidRDefault="00FF7F2D" w14:paraId="7F27C4DD" w14:textId="77777777">
      <w:pPr>
        <w:spacing w:after="0" w:line="360" w:lineRule="auto"/>
        <w:rPr>
          <w:rFonts w:cs="Tahoma"/>
        </w:rPr>
      </w:pPr>
      <w:r w:rsidRPr="00A4621C">
        <w:rPr>
          <w:rFonts w:cs="Tahoma"/>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w:t>
      </w:r>
      <w:r w:rsidRPr="00A4621C">
        <w:rPr>
          <w:rFonts w:cs="Tahoma"/>
        </w:rPr>
        <w:lastRenderedPageBreak/>
        <w:t>los parámetros establecidos por diversos órganos jurisdiccionales federales, aplicables también en procedimientos análogos, como el que nos ocupa.</w:t>
      </w:r>
    </w:p>
    <w:p w:rsidRPr="00A4621C" w:rsidR="00FF7F2D" w:rsidP="004668F2" w:rsidRDefault="00FF7F2D" w14:paraId="33B84F7E" w14:textId="77777777">
      <w:pPr>
        <w:spacing w:after="0" w:line="360" w:lineRule="auto"/>
        <w:rPr>
          <w:rFonts w:cs="Tahoma"/>
        </w:rPr>
      </w:pPr>
    </w:p>
    <w:p w:rsidRPr="00A4621C" w:rsidR="00FF7F2D" w:rsidP="004668F2" w:rsidRDefault="00FF7F2D" w14:paraId="40CE5C55" w14:textId="77777777">
      <w:pPr>
        <w:spacing w:after="0" w:line="360" w:lineRule="auto"/>
        <w:rPr>
          <w:rFonts w:cs="Tahoma"/>
        </w:rPr>
      </w:pPr>
      <w:r w:rsidRPr="00A4621C">
        <w:rPr>
          <w:rFonts w:cs="Tahoma"/>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A4621C" w:rsidR="00FF7F2D" w:rsidP="004668F2" w:rsidRDefault="00FF7F2D" w14:paraId="47B8EE43" w14:textId="77777777">
      <w:pPr>
        <w:spacing w:after="0" w:line="360" w:lineRule="auto"/>
        <w:rPr>
          <w:rFonts w:cs="Tahoma"/>
        </w:rPr>
      </w:pPr>
      <w:r w:rsidRPr="00A4621C">
        <w:rPr>
          <w:rFonts w:cs="Tahoma"/>
        </w:rPr>
        <w:t xml:space="preserve"> </w:t>
      </w:r>
    </w:p>
    <w:p w:rsidRPr="00A4621C" w:rsidR="00FF7F2D" w:rsidP="004668F2" w:rsidRDefault="00FF7F2D" w14:paraId="1C9961D3" w14:textId="77777777">
      <w:pPr>
        <w:spacing w:after="0" w:line="360" w:lineRule="auto"/>
        <w:rPr>
          <w:rFonts w:eastAsia="Calibri" w:cs="Tahoma"/>
          <w:bCs/>
        </w:rPr>
      </w:pPr>
      <w:r w:rsidRPr="00A4621C">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rsidRPr="00A4621C" w:rsidR="00FF7F2D" w:rsidP="004668F2" w:rsidRDefault="00FF7F2D" w14:paraId="434A9B31" w14:textId="77777777">
      <w:pPr>
        <w:spacing w:after="0" w:line="360" w:lineRule="auto"/>
        <w:rPr>
          <w:rFonts w:eastAsia="Calibri" w:cs="Tahoma"/>
          <w:bCs/>
        </w:rPr>
      </w:pPr>
      <w:r w:rsidRPr="00A4621C">
        <w:rPr>
          <w:rFonts w:eastAsia="Calibri" w:cs="Tahoma"/>
          <w:bCs/>
        </w:rPr>
        <w:t xml:space="preserve"> </w:t>
      </w:r>
    </w:p>
    <w:p w:rsidRPr="00A4621C" w:rsidR="00FF7F2D" w:rsidP="004668F2" w:rsidRDefault="00FF7F2D" w14:paraId="203081D7" w14:textId="77777777">
      <w:pPr>
        <w:numPr>
          <w:ilvl w:val="0"/>
          <w:numId w:val="1"/>
        </w:numPr>
        <w:spacing w:after="0" w:line="360" w:lineRule="auto"/>
        <w:contextualSpacing/>
        <w:jc w:val="left"/>
        <w:rPr>
          <w:rFonts w:eastAsia="Palatino Linotype" w:cs="Palatino Linotype"/>
          <w:szCs w:val="24"/>
          <w:lang w:eastAsia="es-ES"/>
        </w:rPr>
      </w:pPr>
      <w:r w:rsidRPr="00A4621C">
        <w:rPr>
          <w:rFonts w:eastAsia="Palatino Linotype" w:cs="Palatino Linotype"/>
          <w:b/>
          <w:bCs/>
          <w:szCs w:val="24"/>
          <w:lang w:eastAsia="es-ES"/>
        </w:rPr>
        <w:t>Complejidad del asunto:</w:t>
      </w:r>
      <w:r w:rsidRPr="00A4621C">
        <w:rPr>
          <w:rFonts w:eastAsia="Palatino Linotype" w:cs="Palatino Linotype"/>
          <w:szCs w:val="24"/>
          <w:lang w:eastAsia="es-ES"/>
        </w:rPr>
        <w:t xml:space="preserve"> La complejidad de la prueba, la pluralidad de sujetos procesales, el tiempo transcurrido, las características y contexto del recurso.</w:t>
      </w:r>
    </w:p>
    <w:p w:rsidRPr="00A4621C" w:rsidR="00FF7F2D" w:rsidP="004668F2" w:rsidRDefault="00FF7F2D" w14:paraId="7FF1E32D" w14:textId="77777777">
      <w:pPr>
        <w:spacing w:after="0" w:line="360" w:lineRule="auto"/>
        <w:ind w:left="720"/>
        <w:contextualSpacing/>
        <w:rPr>
          <w:rFonts w:eastAsia="Palatino Linotype" w:cs="Palatino Linotype"/>
          <w:szCs w:val="24"/>
          <w:lang w:eastAsia="es-ES"/>
        </w:rPr>
      </w:pPr>
    </w:p>
    <w:p w:rsidRPr="00A4621C" w:rsidR="00FF7F2D" w:rsidP="004668F2" w:rsidRDefault="00FF7F2D" w14:paraId="7DA53FE3" w14:textId="77777777">
      <w:pPr>
        <w:numPr>
          <w:ilvl w:val="0"/>
          <w:numId w:val="1"/>
        </w:numPr>
        <w:spacing w:after="0" w:line="360" w:lineRule="auto"/>
        <w:contextualSpacing/>
        <w:jc w:val="left"/>
        <w:rPr>
          <w:rFonts w:eastAsia="Palatino Linotype" w:cs="Palatino Linotype"/>
          <w:szCs w:val="24"/>
          <w:lang w:eastAsia="es-ES"/>
        </w:rPr>
      </w:pPr>
      <w:r w:rsidRPr="00A4621C">
        <w:rPr>
          <w:rFonts w:eastAsia="Palatino Linotype" w:cs="Palatino Linotype"/>
          <w:b/>
          <w:bCs/>
          <w:szCs w:val="24"/>
          <w:lang w:eastAsia="es-ES"/>
        </w:rPr>
        <w:t>Actividad Procesal del interesado:</w:t>
      </w:r>
      <w:r w:rsidRPr="00A4621C">
        <w:rPr>
          <w:rFonts w:eastAsia="Palatino Linotype" w:cs="Palatino Linotype"/>
          <w:szCs w:val="24"/>
          <w:lang w:eastAsia="es-ES"/>
        </w:rPr>
        <w:t xml:space="preserve"> Acciones u omisiones del interesado.</w:t>
      </w:r>
    </w:p>
    <w:p w:rsidRPr="00A4621C" w:rsidR="00FF7F2D" w:rsidP="004668F2" w:rsidRDefault="00FF7F2D" w14:paraId="4790E21F" w14:textId="77777777">
      <w:pPr>
        <w:spacing w:after="0" w:line="360" w:lineRule="auto"/>
        <w:ind w:left="720"/>
        <w:contextualSpacing/>
        <w:rPr>
          <w:rFonts w:eastAsia="Palatino Linotype" w:cs="Palatino Linotype"/>
          <w:szCs w:val="24"/>
          <w:lang w:eastAsia="es-ES"/>
        </w:rPr>
      </w:pPr>
    </w:p>
    <w:p w:rsidRPr="00A4621C" w:rsidR="00FF7F2D" w:rsidP="004668F2" w:rsidRDefault="00FF7F2D" w14:paraId="1C3FA671" w14:textId="77777777">
      <w:pPr>
        <w:numPr>
          <w:ilvl w:val="0"/>
          <w:numId w:val="1"/>
        </w:numPr>
        <w:spacing w:after="0" w:line="360" w:lineRule="auto"/>
        <w:contextualSpacing/>
        <w:jc w:val="left"/>
        <w:rPr>
          <w:rFonts w:eastAsia="Palatino Linotype" w:cs="Palatino Linotype"/>
          <w:szCs w:val="24"/>
          <w:lang w:eastAsia="es-ES"/>
        </w:rPr>
      </w:pPr>
      <w:r w:rsidRPr="00A4621C">
        <w:rPr>
          <w:rFonts w:eastAsia="Palatino Linotype" w:cs="Palatino Linotype"/>
          <w:b/>
          <w:bCs/>
          <w:szCs w:val="24"/>
          <w:lang w:eastAsia="es-ES"/>
        </w:rPr>
        <w:t>Conducta de la Autoridad:</w:t>
      </w:r>
      <w:r w:rsidRPr="00A4621C">
        <w:rPr>
          <w:rFonts w:eastAsia="Palatino Linotype" w:cs="Palatino Linotype"/>
          <w:szCs w:val="24"/>
          <w:lang w:eastAsia="es-ES"/>
        </w:rPr>
        <w:t xml:space="preserve"> Las Acciones u omisiones realizadas en el procedimiento. Así como si la autoridad actuó con la debida diligencia.</w:t>
      </w:r>
    </w:p>
    <w:p w:rsidRPr="00A4621C" w:rsidR="00FF7F2D" w:rsidP="004668F2" w:rsidRDefault="00FF7F2D" w14:paraId="50E0F519" w14:textId="77777777">
      <w:pPr>
        <w:spacing w:after="0" w:line="360" w:lineRule="auto"/>
        <w:ind w:left="720"/>
        <w:contextualSpacing/>
        <w:rPr>
          <w:rFonts w:eastAsia="Palatino Linotype" w:cs="Palatino Linotype"/>
          <w:szCs w:val="24"/>
          <w:lang w:eastAsia="es-ES"/>
        </w:rPr>
      </w:pPr>
    </w:p>
    <w:p w:rsidRPr="00A4621C" w:rsidR="00FF7F2D" w:rsidP="004668F2" w:rsidRDefault="00FF7F2D" w14:paraId="612794D3" w14:textId="77777777">
      <w:pPr>
        <w:numPr>
          <w:ilvl w:val="0"/>
          <w:numId w:val="1"/>
        </w:numPr>
        <w:spacing w:after="0" w:line="360" w:lineRule="auto"/>
        <w:contextualSpacing/>
        <w:jc w:val="left"/>
        <w:rPr>
          <w:rFonts w:eastAsia="Palatino Linotype" w:cs="Palatino Linotype"/>
          <w:szCs w:val="24"/>
          <w:lang w:eastAsia="es-ES"/>
        </w:rPr>
      </w:pPr>
      <w:r w:rsidRPr="00A4621C">
        <w:rPr>
          <w:rFonts w:eastAsia="Palatino Linotype" w:cs="Palatino Linotype"/>
          <w:b/>
          <w:bCs/>
          <w:szCs w:val="24"/>
          <w:lang w:eastAsia="es-ES"/>
        </w:rPr>
        <w:t xml:space="preserve">La afectación generada en la situación jurídica de la persona involucrada en el proceso: </w:t>
      </w:r>
      <w:r w:rsidRPr="00A4621C">
        <w:rPr>
          <w:rFonts w:eastAsia="Palatino Linotype" w:cs="Palatino Linotype"/>
          <w:szCs w:val="24"/>
          <w:lang w:eastAsia="es-ES"/>
        </w:rPr>
        <w:t>Violación a sus derechos humanos.</w:t>
      </w:r>
    </w:p>
    <w:p w:rsidRPr="00A4621C" w:rsidR="00FF7F2D" w:rsidP="004668F2" w:rsidRDefault="00FF7F2D" w14:paraId="46854D33" w14:textId="77777777">
      <w:pPr>
        <w:spacing w:after="0" w:line="360" w:lineRule="auto"/>
        <w:rPr>
          <w:rFonts w:eastAsia="Calibri" w:cs="Tahoma"/>
          <w:bCs/>
        </w:rPr>
      </w:pPr>
    </w:p>
    <w:p w:rsidRPr="00A4621C" w:rsidR="00FF7F2D" w:rsidP="004668F2" w:rsidRDefault="00FF7F2D" w14:paraId="02EF829C" w14:textId="77777777">
      <w:pPr>
        <w:spacing w:after="0" w:line="360" w:lineRule="auto"/>
        <w:rPr>
          <w:rFonts w:eastAsia="Calibri" w:cs="Tahoma"/>
          <w:bCs/>
        </w:rPr>
      </w:pPr>
      <w:r w:rsidRPr="00A4621C">
        <w:rPr>
          <w:rFonts w:eastAsia="Calibri" w:cs="Tahoma"/>
          <w:bC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A4621C" w:rsidR="00FF7F2D" w:rsidP="004668F2" w:rsidRDefault="00FF7F2D" w14:paraId="39724F6C" w14:textId="77777777">
      <w:pPr>
        <w:spacing w:after="0" w:line="360" w:lineRule="auto"/>
        <w:rPr>
          <w:rFonts w:eastAsia="Calibri" w:cs="Tahoma"/>
          <w:bCs/>
        </w:rPr>
      </w:pPr>
      <w:r w:rsidRPr="00A4621C">
        <w:rPr>
          <w:rFonts w:eastAsia="Calibri" w:cs="Tahoma"/>
          <w:bCs/>
        </w:rPr>
        <w:t xml:space="preserve"> </w:t>
      </w:r>
    </w:p>
    <w:p w:rsidRPr="00A4621C" w:rsidR="00FF7F2D" w:rsidP="004668F2" w:rsidRDefault="00FF7F2D" w14:paraId="715DB747" w14:textId="77777777">
      <w:pPr>
        <w:spacing w:after="0" w:line="360" w:lineRule="auto"/>
        <w:rPr>
          <w:rFonts w:eastAsia="Calibri" w:cs="Tahoma"/>
          <w:bCs/>
        </w:rPr>
      </w:pPr>
      <w:r w:rsidRPr="00A4621C">
        <w:rPr>
          <w:rFonts w:eastAsia="Calibri" w:cs="Tahoma"/>
          <w:bCs/>
        </w:rPr>
        <w:t xml:space="preserve">Argumento que encuentra sustento en la jurisprudencia P./J. 32/92 emitida por el Pleno de la Suprema Corte de Justicia de la Nación de rubro </w:t>
      </w:r>
      <w:r w:rsidRPr="00A4621C">
        <w:rPr>
          <w:rFonts w:eastAsia="Calibri" w:cs="Tahoma"/>
          <w:b/>
        </w:rPr>
        <w:t>“TÉRMINOS PROCESALES. PARA DETERMINAR SI UN FUNCIONARIO JUDICIAL ACTUÓ INDEBIDAMENTE POR NO RESPETARLOS SE DEBE ATENDER AL PRESUPUESTO QUE CONSIDERÓ EL LEGISLADOR AL FIJARLOS Y LAS CARACTERÍSTICAS DEL CASO.”</w:t>
      </w:r>
      <w:r w:rsidRPr="00A4621C">
        <w:rPr>
          <w:rFonts w:eastAsia="Calibri" w:cs="Tahoma"/>
          <w:bCs/>
        </w:rPr>
        <w:t>, visible en la Gaceta del Seminario Judicial de la Federación con el registro digital 205635.</w:t>
      </w:r>
    </w:p>
    <w:p w:rsidRPr="00A4621C" w:rsidR="00FF7F2D" w:rsidP="004668F2" w:rsidRDefault="00FF7F2D" w14:paraId="334D15DB" w14:textId="77777777">
      <w:pPr>
        <w:spacing w:after="0" w:line="360" w:lineRule="auto"/>
        <w:rPr>
          <w:rFonts w:eastAsia="Calibri" w:cs="Tahoma"/>
          <w:bCs/>
        </w:rPr>
      </w:pPr>
      <w:r w:rsidRPr="00A4621C">
        <w:rPr>
          <w:rFonts w:eastAsia="Calibri" w:cs="Tahoma"/>
          <w:bCs/>
        </w:rPr>
        <w:t xml:space="preserve"> </w:t>
      </w:r>
    </w:p>
    <w:p w:rsidRPr="00A4621C" w:rsidR="00FF7F2D" w:rsidP="004668F2" w:rsidRDefault="00FF7F2D" w14:paraId="2F4C3E2A" w14:textId="77777777">
      <w:pPr>
        <w:spacing w:after="0" w:line="360" w:lineRule="auto"/>
        <w:rPr>
          <w:rFonts w:eastAsia="Calibri" w:cs="Tahoma"/>
          <w:bCs/>
        </w:rPr>
      </w:pPr>
      <w:r w:rsidRPr="00A4621C">
        <w:rPr>
          <w:rFonts w:eastAsia="Calibri" w:cs="Tahoma"/>
          <w:bC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A4621C" w:rsidR="00FF7F2D" w:rsidP="004668F2" w:rsidRDefault="00FF7F2D" w14:paraId="1AF98F4D" w14:textId="77777777">
      <w:pPr>
        <w:spacing w:after="0" w:line="360" w:lineRule="auto"/>
        <w:rPr>
          <w:rFonts w:eastAsia="Calibri" w:cs="Tahoma"/>
          <w:bCs/>
        </w:rPr>
      </w:pPr>
    </w:p>
    <w:p w:rsidRPr="00A4621C" w:rsidR="00FF7F2D" w:rsidP="004668F2" w:rsidRDefault="00FF7F2D" w14:paraId="72FB3FBB" w14:textId="77777777">
      <w:pPr>
        <w:spacing w:after="0" w:line="360" w:lineRule="auto"/>
        <w:rPr>
          <w:rFonts w:eastAsia="Calibri" w:cs="Tahoma"/>
          <w:bCs/>
        </w:rPr>
      </w:pPr>
      <w:r w:rsidRPr="00A4621C">
        <w:rPr>
          <w:rFonts w:eastAsia="Calibri" w:cs="Tahoma"/>
          <w:bCs/>
        </w:rPr>
        <w:t>Al respecto, también son de considerar los criterios sostenidos por el Cuarto Tribunal Colegiado en Materia Administrativa del Primer Circuito, cuyos rubros y datos de identificación son los siguientes:</w:t>
      </w:r>
    </w:p>
    <w:p w:rsidRPr="00A4621C" w:rsidR="00FF7F2D" w:rsidP="004668F2" w:rsidRDefault="00FF7F2D" w14:paraId="2BC8E311" w14:textId="77777777">
      <w:pPr>
        <w:spacing w:after="0" w:line="360" w:lineRule="auto"/>
        <w:rPr>
          <w:rFonts w:eastAsia="Calibri" w:cs="Tahoma"/>
          <w:bCs/>
        </w:rPr>
      </w:pPr>
      <w:r w:rsidRPr="00A4621C">
        <w:rPr>
          <w:rFonts w:eastAsia="Calibri" w:cs="Tahoma"/>
          <w:bCs/>
        </w:rPr>
        <w:t xml:space="preserve"> </w:t>
      </w:r>
    </w:p>
    <w:p w:rsidRPr="00A4621C" w:rsidR="00FF7F2D" w:rsidP="004668F2" w:rsidRDefault="00FF7F2D" w14:paraId="54BBE003" w14:textId="77777777">
      <w:pPr>
        <w:spacing w:after="0" w:line="360" w:lineRule="auto"/>
        <w:rPr>
          <w:rFonts w:eastAsia="Calibri" w:cs="Tahoma"/>
          <w:bCs/>
        </w:rPr>
      </w:pPr>
      <w:r w:rsidRPr="00A4621C">
        <w:rPr>
          <w:rFonts w:eastAsia="Calibri" w:cs="Tahoma"/>
          <w:b/>
        </w:rPr>
        <w:lastRenderedPageBreak/>
        <w:t>“PLAZO RAZONABLE PARA RESOLVER. DIMENSIÓN Y EFECTOS DE ESTE CONCEPTO CUANDO SE ADUCE EXCESIVA CARGA DE TRABAJO.”</w:t>
      </w:r>
      <w:r w:rsidRPr="00A4621C">
        <w:rPr>
          <w:rFonts w:eastAsia="Calibri" w:cs="Tahoma"/>
          <w:bCs/>
        </w:rPr>
        <w:t xml:space="preserve"> consultable en el Seminario Judicial de la Federación y su gaceta, con el registro digital 2002351.</w:t>
      </w:r>
    </w:p>
    <w:p w:rsidRPr="00A4621C" w:rsidR="00FF7F2D" w:rsidP="004668F2" w:rsidRDefault="00FF7F2D" w14:paraId="468DAEF4" w14:textId="77777777">
      <w:pPr>
        <w:spacing w:after="0" w:line="360" w:lineRule="auto"/>
        <w:rPr>
          <w:rFonts w:eastAsia="Calibri" w:cs="Tahoma"/>
          <w:bCs/>
        </w:rPr>
      </w:pPr>
      <w:r w:rsidRPr="00A4621C">
        <w:rPr>
          <w:rFonts w:eastAsia="Calibri" w:cs="Tahoma"/>
          <w:bCs/>
        </w:rPr>
        <w:t xml:space="preserve"> </w:t>
      </w:r>
    </w:p>
    <w:p w:rsidRPr="00A4621C" w:rsidR="00FF7F2D" w:rsidP="004668F2" w:rsidRDefault="00FF7F2D" w14:paraId="447D94A4" w14:textId="77777777">
      <w:pPr>
        <w:spacing w:after="0" w:line="360" w:lineRule="auto"/>
        <w:rPr>
          <w:rFonts w:eastAsia="Calibri" w:cs="Tahoma"/>
          <w:bCs/>
        </w:rPr>
      </w:pPr>
      <w:r w:rsidRPr="00A4621C">
        <w:rPr>
          <w:rFonts w:eastAsia="Calibri" w:cs="Tahoma"/>
          <w:b/>
        </w:rPr>
        <w:t>“PLAZO RAZONABLE PARA RESOLVER. CONCEPTO Y ELEMENTOS QUE LO INTEGRAN A LA LUZ DEL DERECHO INTERNACIONAL DE LOS DERECHOS HUMANOS.”</w:t>
      </w:r>
      <w:r w:rsidRPr="00A4621C">
        <w:rPr>
          <w:rFonts w:eastAsia="Calibri" w:cs="Tahoma"/>
          <w:bCs/>
        </w:rPr>
        <w:t>, visible en el Seminario Judicial de la Federación y su gaceta, con el registro digital 2002350.</w:t>
      </w:r>
    </w:p>
    <w:p w:rsidRPr="00A4621C" w:rsidR="00FF7F2D" w:rsidP="004668F2" w:rsidRDefault="00FF7F2D" w14:paraId="20BC34CB" w14:textId="77777777">
      <w:pPr>
        <w:spacing w:after="0" w:line="360" w:lineRule="auto"/>
        <w:rPr>
          <w:rFonts w:eastAsia="Calibri" w:cs="Tahoma"/>
          <w:bCs/>
        </w:rPr>
      </w:pPr>
    </w:p>
    <w:p w:rsidRPr="00A4621C" w:rsidR="00FF7F2D" w:rsidP="004668F2" w:rsidRDefault="00FF7F2D" w14:paraId="6F4201B9" w14:textId="77777777">
      <w:pPr>
        <w:spacing w:after="0" w:line="360" w:lineRule="auto"/>
        <w:rPr>
          <w:rFonts w:eastAsia="Calibri" w:cs="Tahoma"/>
          <w:bCs/>
        </w:rPr>
      </w:pPr>
      <w:r w:rsidRPr="00A4621C">
        <w:rPr>
          <w:rFonts w:eastAsia="Calibri" w:cs="Tahoma"/>
          <w:bCs/>
        </w:rPr>
        <w:t>Por ello, este organismo garante comprometido con la tutela de los derechos humanos confiados, señala que este exceso del plazo legal para resolver el presente asunto, resulta de carácter excepcional.</w:t>
      </w:r>
    </w:p>
    <w:p w:rsidRPr="00A4621C" w:rsidR="00FF7F2D" w:rsidP="004668F2" w:rsidRDefault="00FF7F2D" w14:paraId="5248F5F7" w14:textId="77777777">
      <w:pPr>
        <w:spacing w:after="0" w:line="360" w:lineRule="auto"/>
        <w:rPr>
          <w:rFonts w:cs="Tahoma"/>
          <w:b/>
          <w:bCs/>
        </w:rPr>
      </w:pPr>
    </w:p>
    <w:p w:rsidRPr="00A4621C" w:rsidR="00FF7F2D" w:rsidP="004668F2" w:rsidRDefault="00013DC4" w14:paraId="5410E3F7" w14:textId="4761B9DE">
      <w:pPr>
        <w:spacing w:after="0" w:line="360" w:lineRule="auto"/>
        <w:rPr>
          <w:rFonts w:cs="Tahoma"/>
        </w:rPr>
      </w:pPr>
      <w:r w:rsidRPr="00A4621C">
        <w:rPr>
          <w:rFonts w:cs="Tahoma"/>
          <w:b/>
          <w:bCs/>
        </w:rPr>
        <w:t>f</w:t>
      </w:r>
      <w:r w:rsidRPr="00A4621C" w:rsidR="00FF7F2D">
        <w:rPr>
          <w:rFonts w:cs="Tahoma"/>
          <w:b/>
          <w:bCs/>
        </w:rPr>
        <w:t>) Cierre de instrucción.</w:t>
      </w:r>
      <w:r w:rsidRPr="00A4621C" w:rsidR="00FF7F2D">
        <w:rPr>
          <w:rFonts w:cs="Tahoma"/>
        </w:rPr>
        <w:t xml:space="preserve">  El </w:t>
      </w:r>
      <w:r w:rsidRPr="00A4621C" w:rsidR="00F124D2">
        <w:rPr>
          <w:rFonts w:cs="Tahoma"/>
        </w:rPr>
        <w:t>primero de febrero</w:t>
      </w:r>
      <w:r w:rsidRPr="00A4621C" w:rsidR="00FF7F2D">
        <w:rPr>
          <w:rFonts w:cs="Tahoma"/>
        </w:rPr>
        <w:t xml:space="preserve"> de dos mil veinti</w:t>
      </w:r>
      <w:r w:rsidRPr="00A4621C" w:rsidR="00F124D2">
        <w:rPr>
          <w:rFonts w:cs="Tahoma"/>
        </w:rPr>
        <w:t>trés</w:t>
      </w:r>
      <w:r w:rsidRPr="00A4621C" w:rsidR="00FF7F2D">
        <w:rPr>
          <w:rFonts w:cs="Tahoma"/>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debidamente notificado a las partes, a través del Sistema de Acceso a la Información Mexiquense (SAIMEX). </w:t>
      </w:r>
    </w:p>
    <w:p w:rsidRPr="00A4621C" w:rsidR="00FF7F2D" w:rsidP="004668F2" w:rsidRDefault="00FF7F2D" w14:paraId="27064F67" w14:textId="77777777">
      <w:pPr>
        <w:spacing w:after="0" w:line="360" w:lineRule="auto"/>
        <w:rPr>
          <w:rFonts w:cs="Tahoma"/>
        </w:rPr>
      </w:pPr>
    </w:p>
    <w:p w:rsidRPr="00A4621C" w:rsidR="00FF7F2D" w:rsidP="004668F2" w:rsidRDefault="00FF7F2D" w14:paraId="3820DFA3" w14:textId="77777777">
      <w:pPr>
        <w:spacing w:after="0" w:line="360" w:lineRule="auto"/>
        <w:rPr>
          <w:rFonts w:cs="Tahoma"/>
          <w:b/>
          <w:bCs/>
        </w:rPr>
      </w:pPr>
      <w:r w:rsidRPr="00A4621C">
        <w:rPr>
          <w:rFonts w:cs="Tahoma"/>
        </w:rPr>
        <w:t xml:space="preserve">En razón de que fue debidamente sustanciado el expediente electrónico y no existe diligencia pendiente de desahogo, se emite la resolución que conforme a Derecho proceda, de acuerdo a los siguientes: </w:t>
      </w:r>
    </w:p>
    <w:p w:rsidRPr="00A4621C" w:rsidR="00FF7F2D" w:rsidP="004668F2" w:rsidRDefault="00FF7F2D" w14:paraId="6030330D" w14:textId="77777777">
      <w:pPr>
        <w:spacing w:after="0" w:line="360" w:lineRule="auto"/>
        <w:jc w:val="center"/>
        <w:rPr>
          <w:rFonts w:cs="Tahoma"/>
          <w:b/>
        </w:rPr>
      </w:pPr>
      <w:r w:rsidRPr="00A4621C">
        <w:rPr>
          <w:rFonts w:cs="Tahoma"/>
          <w:b/>
        </w:rPr>
        <w:t>CONSIDERANDOS:</w:t>
      </w:r>
    </w:p>
    <w:p w:rsidRPr="00A4621C" w:rsidR="00FF7F2D" w:rsidP="004668F2" w:rsidRDefault="00FF7F2D" w14:paraId="34235476" w14:textId="77777777">
      <w:pPr>
        <w:autoSpaceDE w:val="0"/>
        <w:autoSpaceDN w:val="0"/>
        <w:adjustRightInd w:val="0"/>
        <w:spacing w:after="0" w:line="360" w:lineRule="auto"/>
        <w:rPr>
          <w:rFonts w:eastAsia="Calibri" w:cs="Tahoma"/>
          <w:b/>
          <w:lang w:eastAsia="es-MX"/>
        </w:rPr>
      </w:pPr>
    </w:p>
    <w:p w:rsidRPr="00A4621C" w:rsidR="00FF7F2D" w:rsidP="004668F2" w:rsidRDefault="00FF7F2D" w14:paraId="4A6C0B6F" w14:textId="77777777">
      <w:pPr>
        <w:autoSpaceDE w:val="0"/>
        <w:autoSpaceDN w:val="0"/>
        <w:adjustRightInd w:val="0"/>
        <w:spacing w:after="0" w:line="360" w:lineRule="auto"/>
        <w:rPr>
          <w:rFonts w:cs="Tahoma"/>
          <w:b/>
        </w:rPr>
      </w:pPr>
      <w:r w:rsidRPr="00A4621C">
        <w:rPr>
          <w:rFonts w:eastAsia="Calibri" w:cs="Tahoma"/>
          <w:b/>
          <w:lang w:eastAsia="es-MX"/>
        </w:rPr>
        <w:t>PRIMERO</w:t>
      </w:r>
      <w:r w:rsidRPr="00A4621C">
        <w:rPr>
          <w:rFonts w:eastAsia="Calibri" w:cs="Tahoma"/>
          <w:lang w:eastAsia="es-MX"/>
        </w:rPr>
        <w:t xml:space="preserve">. </w:t>
      </w:r>
      <w:r w:rsidRPr="00A4621C">
        <w:rPr>
          <w:rFonts w:cs="Tahoma"/>
          <w:b/>
        </w:rPr>
        <w:t>Competencia.</w:t>
      </w:r>
    </w:p>
    <w:p w:rsidRPr="00A4621C" w:rsidR="00FF7F2D" w:rsidP="004668F2" w:rsidRDefault="00FF7F2D" w14:paraId="2DFF6FA0" w14:textId="77777777">
      <w:pPr>
        <w:autoSpaceDE w:val="0"/>
        <w:autoSpaceDN w:val="0"/>
        <w:adjustRightInd w:val="0"/>
        <w:spacing w:after="0" w:line="360" w:lineRule="auto"/>
        <w:rPr>
          <w:rFonts w:cs="Tahoma"/>
          <w:b/>
        </w:rPr>
      </w:pPr>
    </w:p>
    <w:p w:rsidRPr="00A4621C" w:rsidR="00FF7F2D" w:rsidP="004668F2" w:rsidRDefault="00FF7F2D" w14:paraId="3B6A1FD9" w14:textId="77777777">
      <w:pPr>
        <w:spacing w:after="0" w:line="360" w:lineRule="auto"/>
        <w:rPr>
          <w:rFonts w:cs="Times New Roman"/>
        </w:rPr>
      </w:pPr>
      <w:r w:rsidRPr="00A4621C">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A4621C" w:rsidR="00FF7F2D" w:rsidP="004668F2" w:rsidRDefault="00FF7F2D" w14:paraId="71548FB0" w14:textId="77777777">
      <w:pPr>
        <w:autoSpaceDE w:val="0"/>
        <w:autoSpaceDN w:val="0"/>
        <w:adjustRightInd w:val="0"/>
        <w:spacing w:after="0" w:line="360" w:lineRule="auto"/>
        <w:rPr>
          <w:rFonts w:eastAsia="Calibri" w:cs="Tahoma"/>
          <w:b/>
          <w:lang w:eastAsia="es-MX"/>
        </w:rPr>
      </w:pPr>
    </w:p>
    <w:p w:rsidRPr="00A4621C" w:rsidR="00FF7F2D" w:rsidP="004668F2" w:rsidRDefault="00FF7F2D" w14:paraId="54193432" w14:textId="77777777">
      <w:pPr>
        <w:autoSpaceDE w:val="0"/>
        <w:autoSpaceDN w:val="0"/>
        <w:adjustRightInd w:val="0"/>
        <w:spacing w:after="0" w:line="360" w:lineRule="auto"/>
        <w:rPr>
          <w:rFonts w:cs="Tahoma"/>
          <w:b/>
        </w:rPr>
      </w:pPr>
      <w:r w:rsidRPr="00A4621C">
        <w:rPr>
          <w:rFonts w:eastAsia="Calibri" w:cs="Tahoma"/>
          <w:b/>
          <w:lang w:eastAsia="es-MX"/>
        </w:rPr>
        <w:t>SEGUNDO</w:t>
      </w:r>
      <w:r w:rsidRPr="00A4621C">
        <w:rPr>
          <w:rFonts w:eastAsia="Calibri" w:cs="Tahoma"/>
          <w:lang w:eastAsia="es-MX"/>
        </w:rPr>
        <w:t xml:space="preserve">. </w:t>
      </w:r>
      <w:r w:rsidRPr="00A4621C">
        <w:rPr>
          <w:rFonts w:cs="Tahoma"/>
          <w:b/>
        </w:rPr>
        <w:t>Causales de improcedencia y sobreseimiento.</w:t>
      </w:r>
    </w:p>
    <w:p w:rsidRPr="00A4621C" w:rsidR="00FF7F2D" w:rsidP="004668F2" w:rsidRDefault="00FF7F2D" w14:paraId="65F4334F" w14:textId="77777777">
      <w:pPr>
        <w:autoSpaceDE w:val="0"/>
        <w:autoSpaceDN w:val="0"/>
        <w:adjustRightInd w:val="0"/>
        <w:spacing w:after="0" w:line="360" w:lineRule="auto"/>
        <w:rPr>
          <w:rFonts w:cs="Tahoma"/>
          <w:b/>
        </w:rPr>
      </w:pPr>
    </w:p>
    <w:p w:rsidRPr="00A4621C" w:rsidR="00FF7F2D" w:rsidP="004668F2" w:rsidRDefault="00FF7F2D" w14:paraId="64615309" w14:textId="77777777">
      <w:pPr>
        <w:autoSpaceDE w:val="0"/>
        <w:autoSpaceDN w:val="0"/>
        <w:adjustRightInd w:val="0"/>
        <w:spacing w:after="0" w:line="360" w:lineRule="auto"/>
        <w:rPr>
          <w:rFonts w:cs="Tahoma"/>
        </w:rPr>
      </w:pPr>
      <w:r w:rsidRPr="00A4621C">
        <w:rPr>
          <w:rFonts w:cs="Tahoma"/>
        </w:rPr>
        <w:t xml:space="preserve">De las constancias que forma parte del Recurso de Revisión que se analiza, se advierte que previo al estudio del fondo de la </w:t>
      </w:r>
      <w:r w:rsidRPr="00A4621C">
        <w:rPr>
          <w:rFonts w:cs="Tahoma"/>
          <w:i/>
        </w:rPr>
        <w:t>litis</w:t>
      </w:r>
      <w:r w:rsidRPr="00A4621C">
        <w:rPr>
          <w:rFonts w:cs="Tahoma"/>
        </w:rPr>
        <w:t>, es necesario estudiar las causales de improcedencia y sobreseimiento que se adviertan, para determinar lo que en Derecho proceda.</w:t>
      </w:r>
    </w:p>
    <w:p w:rsidRPr="00A4621C" w:rsidR="00013DC4" w:rsidP="004668F2" w:rsidRDefault="00013DC4" w14:paraId="0D9ABD74" w14:textId="77777777">
      <w:pPr>
        <w:autoSpaceDE w:val="0"/>
        <w:autoSpaceDN w:val="0"/>
        <w:adjustRightInd w:val="0"/>
        <w:spacing w:after="0" w:line="360" w:lineRule="auto"/>
        <w:rPr>
          <w:rFonts w:eastAsia="Calibri" w:cs="Tahoma"/>
          <w:b/>
          <w:lang w:eastAsia="es-MX"/>
        </w:rPr>
      </w:pPr>
    </w:p>
    <w:p w:rsidRPr="00A4621C" w:rsidR="00FF7F2D" w:rsidP="004668F2" w:rsidRDefault="00FF7F2D" w14:paraId="04BB6B59" w14:textId="0B24609A">
      <w:pPr>
        <w:autoSpaceDE w:val="0"/>
        <w:autoSpaceDN w:val="0"/>
        <w:adjustRightInd w:val="0"/>
        <w:spacing w:after="0" w:line="360" w:lineRule="auto"/>
        <w:rPr>
          <w:rFonts w:eastAsia="Calibri" w:cs="Tahoma"/>
          <w:b/>
          <w:lang w:eastAsia="es-MX"/>
        </w:rPr>
      </w:pPr>
      <w:r w:rsidRPr="00A4621C">
        <w:rPr>
          <w:rFonts w:eastAsia="Calibri" w:cs="Tahoma"/>
          <w:b/>
          <w:lang w:eastAsia="es-MX"/>
        </w:rPr>
        <w:t>Causales de improcedencia.</w:t>
      </w:r>
    </w:p>
    <w:p w:rsidRPr="00A4621C" w:rsidR="00FF7F2D" w:rsidP="004668F2" w:rsidRDefault="00FF7F2D" w14:paraId="2511D81A" w14:textId="77777777">
      <w:pPr>
        <w:autoSpaceDE w:val="0"/>
        <w:autoSpaceDN w:val="0"/>
        <w:adjustRightInd w:val="0"/>
        <w:spacing w:after="0" w:line="360" w:lineRule="auto"/>
        <w:rPr>
          <w:rFonts w:eastAsia="Calibri" w:cs="Tahoma"/>
          <w:lang w:eastAsia="es-MX"/>
        </w:rPr>
      </w:pPr>
    </w:p>
    <w:p w:rsidRPr="00A4621C" w:rsidR="00FF7F2D" w:rsidP="004668F2" w:rsidRDefault="00FF7F2D" w14:paraId="389C1BB6" w14:textId="77777777">
      <w:pPr>
        <w:spacing w:after="0" w:line="360" w:lineRule="auto"/>
        <w:rPr>
          <w:rFonts w:eastAsia="Times New Roman" w:cs="Tahoma"/>
          <w:lang w:eastAsia="es-ES"/>
        </w:rPr>
      </w:pPr>
      <w:r w:rsidRPr="00A4621C">
        <w:rPr>
          <w:rFonts w:cs="Tahoma"/>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w:t>
      </w:r>
      <w:r w:rsidRPr="00A4621C">
        <w:rPr>
          <w:rFonts w:cs="Tahoma"/>
        </w:rPr>
        <w:lastRenderedPageBreak/>
        <w:t>establecidos en el artículo 191 de la Ley de Transparencia y Acceso a la Información Pública del Estado de México y Municipios, por ser improcedente.</w:t>
      </w:r>
    </w:p>
    <w:p w:rsidRPr="00A4621C" w:rsidR="00FF7F2D" w:rsidP="004668F2" w:rsidRDefault="00FF7F2D" w14:paraId="57DFECC8" w14:textId="77777777">
      <w:pPr>
        <w:spacing w:after="0" w:line="360" w:lineRule="auto"/>
        <w:rPr>
          <w:rFonts w:cs="Tahoma"/>
        </w:rPr>
      </w:pPr>
      <w:r w:rsidRPr="00A4621C">
        <w:rPr>
          <w:rFonts w:cs="Tahoma"/>
        </w:rPr>
        <w:t xml:space="preserve">  </w:t>
      </w:r>
    </w:p>
    <w:p w:rsidRPr="00A4621C" w:rsidR="00FF7F2D" w:rsidP="004668F2" w:rsidRDefault="00FF7F2D" w14:paraId="448BA26D" w14:textId="77777777">
      <w:pPr>
        <w:spacing w:after="0" w:line="360" w:lineRule="auto"/>
        <w:rPr>
          <w:rFonts w:cs="Tahoma"/>
        </w:rPr>
      </w:pPr>
      <w:r w:rsidRPr="00A4621C">
        <w:rPr>
          <w:rFonts w:cs="Tahoma"/>
        </w:rPr>
        <w:t>En el presente caso, </w:t>
      </w:r>
      <w:r w:rsidRPr="00A4621C">
        <w:rPr>
          <w:rFonts w:cs="Tahoma"/>
          <w:b/>
          <w:bCs/>
        </w:rPr>
        <w:t>no se actualiza ninguna de las causales de improcedencia</w:t>
      </w:r>
      <w:r w:rsidRPr="00A4621C">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A4621C" w:rsidR="00FF7F2D" w:rsidP="004668F2" w:rsidRDefault="00FF7F2D" w14:paraId="3BE30D69" w14:textId="77777777">
      <w:pPr>
        <w:spacing w:after="0" w:line="360" w:lineRule="auto"/>
        <w:rPr>
          <w:rFonts w:cs="Tahoma"/>
        </w:rPr>
      </w:pPr>
    </w:p>
    <w:p w:rsidRPr="00A4621C" w:rsidR="00FF7F2D" w:rsidP="004668F2" w:rsidRDefault="00FF7F2D" w14:paraId="10863882" w14:textId="1E74BFBE">
      <w:pPr>
        <w:spacing w:after="0" w:line="360" w:lineRule="auto"/>
        <w:rPr>
          <w:rFonts w:eastAsia="Times New Roman" w:cs="Tahoma"/>
          <w:lang w:eastAsia="es-ES"/>
        </w:rPr>
      </w:pPr>
      <w:r w:rsidRPr="00A4621C">
        <w:rPr>
          <w:rFonts w:cs="Tahoma"/>
        </w:rPr>
        <w:t xml:space="preserve">Por lo cual, se actualiza la causal de procedencia del Recurso de Revisión señalada en el artículo 179, fracción VI, de la Ley en cita, </w:t>
      </w:r>
      <w:r w:rsidRPr="00A4621C">
        <w:rPr>
          <w:rFonts w:eastAsia="Calibri" w:cs="Tahoma"/>
          <w:lang w:eastAsia="es-MX"/>
        </w:rPr>
        <w:t xml:space="preserve">pues la parte Recurrente se inconformó </w:t>
      </w:r>
      <w:r w:rsidRPr="00A4621C">
        <w:rPr>
          <w:rFonts w:cs="Tahoma"/>
        </w:rPr>
        <w:t xml:space="preserve">con la </w:t>
      </w:r>
      <w:r w:rsidRPr="00A4621C" w:rsidR="002E7AA9">
        <w:rPr>
          <w:rFonts w:cs="Tahoma"/>
        </w:rPr>
        <w:t>entrega de información que no corresponde con lo solicitado</w:t>
      </w:r>
      <w:r w:rsidRPr="00A4621C">
        <w:rPr>
          <w:rFonts w:cs="Tahoma"/>
        </w:rPr>
        <w:t>.</w:t>
      </w:r>
    </w:p>
    <w:p w:rsidRPr="00A4621C" w:rsidR="00FF7F2D" w:rsidP="004668F2" w:rsidRDefault="00FF7F2D" w14:paraId="08329205" w14:textId="77777777">
      <w:pPr>
        <w:spacing w:after="0" w:line="360" w:lineRule="auto"/>
        <w:rPr>
          <w:rFonts w:cs="Tahoma"/>
        </w:rPr>
      </w:pPr>
    </w:p>
    <w:p w:rsidRPr="00A4621C" w:rsidR="00FF7F2D" w:rsidP="004668F2" w:rsidRDefault="00FF7F2D" w14:paraId="17188589" w14:textId="77777777">
      <w:pPr>
        <w:spacing w:after="0" w:line="360" w:lineRule="auto"/>
        <w:rPr>
          <w:rFonts w:cs="Tahoma"/>
        </w:rPr>
      </w:pPr>
      <w:r w:rsidRPr="00A4621C">
        <w:rPr>
          <w:rFonts w:cs="Tahoma"/>
          <w:b/>
          <w:bCs/>
        </w:rPr>
        <w:t>Causales de sobreseimiento.</w:t>
      </w:r>
    </w:p>
    <w:p w:rsidRPr="00A4621C" w:rsidR="00FF7F2D" w:rsidP="004668F2" w:rsidRDefault="00FF7F2D" w14:paraId="22C7A9B2" w14:textId="77777777">
      <w:pPr>
        <w:spacing w:after="0" w:line="360" w:lineRule="auto"/>
        <w:rPr>
          <w:rFonts w:cs="Tahoma"/>
        </w:rPr>
      </w:pPr>
    </w:p>
    <w:p w:rsidRPr="00A4621C" w:rsidR="00FF7F2D" w:rsidP="004668F2" w:rsidRDefault="00FF7F2D" w14:paraId="60C5CBBB" w14:textId="77777777">
      <w:pPr>
        <w:spacing w:after="0" w:line="360" w:lineRule="auto"/>
        <w:rPr>
          <w:rFonts w:cs="Tahoma"/>
        </w:rPr>
      </w:pPr>
      <w:r w:rsidRPr="00A4621C">
        <w:rPr>
          <w:rFonts w:cs="Tahoma"/>
        </w:rPr>
        <w:t>Por ser de previo y especial pronunciamiento, este Instituto analiza si se actualiza alguna causal de sobreseimiento.</w:t>
      </w:r>
    </w:p>
    <w:p w:rsidRPr="00A4621C" w:rsidR="00FF7F2D" w:rsidP="004668F2" w:rsidRDefault="00FF7F2D" w14:paraId="1F25BC5F" w14:textId="77777777">
      <w:pPr>
        <w:spacing w:after="0" w:line="360" w:lineRule="auto"/>
        <w:rPr>
          <w:rFonts w:cs="Tahoma"/>
        </w:rPr>
      </w:pPr>
    </w:p>
    <w:p w:rsidRPr="00A4621C" w:rsidR="00FF7F2D" w:rsidP="004668F2" w:rsidRDefault="00FF7F2D" w14:paraId="05B85086" w14:textId="77777777">
      <w:pPr>
        <w:spacing w:after="0" w:line="360" w:lineRule="auto"/>
        <w:rPr>
          <w:rFonts w:cs="Tahoma"/>
        </w:rPr>
      </w:pPr>
      <w:r w:rsidRPr="00A4621C">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4621C" w:rsidR="00FF7F2D" w:rsidP="004668F2" w:rsidRDefault="00FF7F2D" w14:paraId="0AF5C726" w14:textId="77777777">
      <w:pPr>
        <w:spacing w:after="0" w:line="360" w:lineRule="auto"/>
        <w:rPr>
          <w:rFonts w:cs="Tahoma"/>
        </w:rPr>
      </w:pPr>
    </w:p>
    <w:p w:rsidRPr="00A4621C" w:rsidR="00FF7F2D" w:rsidP="004668F2" w:rsidRDefault="00FF7F2D" w14:paraId="11E5C590" w14:textId="77777777">
      <w:pPr>
        <w:tabs>
          <w:tab w:val="left" w:pos="4962"/>
        </w:tabs>
        <w:spacing w:after="0" w:line="360" w:lineRule="auto"/>
        <w:rPr>
          <w:rFonts w:cs="Tahoma"/>
        </w:rPr>
      </w:pPr>
      <w:r w:rsidRPr="00A4621C">
        <w:rPr>
          <w:rFonts w:cs="Tahoma"/>
          <w:bCs/>
        </w:rPr>
        <w:lastRenderedPageBreak/>
        <w:t xml:space="preserve">Por tales motivos, </w:t>
      </w:r>
      <w:r w:rsidRPr="00A4621C">
        <w:rPr>
          <w:rFonts w:cs="Tahoma"/>
        </w:rPr>
        <w:t xml:space="preserve">se considera procedente entrar al fondo del presente asunto. </w:t>
      </w:r>
    </w:p>
    <w:p w:rsidRPr="00A4621C" w:rsidR="00FF7F2D" w:rsidP="004668F2" w:rsidRDefault="00FF7F2D" w14:paraId="36D8E71A" w14:textId="77777777">
      <w:pPr>
        <w:tabs>
          <w:tab w:val="left" w:pos="4962"/>
        </w:tabs>
        <w:spacing w:after="0" w:line="360" w:lineRule="auto"/>
        <w:rPr>
          <w:rFonts w:eastAsia="Calibri" w:cs="Tahoma"/>
          <w:b/>
          <w:iCs/>
          <w:lang w:eastAsia="es-ES_tradnl"/>
        </w:rPr>
      </w:pPr>
    </w:p>
    <w:p w:rsidRPr="00A4621C" w:rsidR="00FF7F2D" w:rsidP="004668F2" w:rsidRDefault="00FF7F2D" w14:paraId="3A26965B" w14:textId="77777777">
      <w:pPr>
        <w:tabs>
          <w:tab w:val="left" w:pos="4962"/>
        </w:tabs>
        <w:spacing w:after="0" w:line="360" w:lineRule="auto"/>
        <w:rPr>
          <w:rFonts w:eastAsia="Calibri" w:cs="Tahoma"/>
          <w:b/>
          <w:iCs/>
          <w:lang w:eastAsia="es-ES_tradnl"/>
        </w:rPr>
      </w:pPr>
      <w:r w:rsidRPr="00A4621C">
        <w:rPr>
          <w:rFonts w:eastAsia="Calibri" w:cs="Tahoma"/>
          <w:b/>
          <w:iCs/>
          <w:lang w:eastAsia="es-ES_tradnl"/>
        </w:rPr>
        <w:t xml:space="preserve">TERCERO. Determinación de la Controversia. </w:t>
      </w:r>
    </w:p>
    <w:p w:rsidRPr="00A4621C" w:rsidR="00FF7F2D" w:rsidP="004668F2" w:rsidRDefault="00FF7F2D" w14:paraId="7562E697" w14:textId="77777777">
      <w:pPr>
        <w:spacing w:after="0" w:line="360" w:lineRule="auto"/>
      </w:pPr>
    </w:p>
    <w:p w:rsidRPr="00A4621C" w:rsidR="00FF7F2D" w:rsidP="004668F2" w:rsidRDefault="00FF7F2D" w14:paraId="6E351E45" w14:textId="3C592223">
      <w:pPr>
        <w:tabs>
          <w:tab w:val="left" w:pos="4962"/>
        </w:tabs>
        <w:spacing w:after="0" w:line="360" w:lineRule="auto"/>
        <w:rPr>
          <w:color w:val="000000"/>
        </w:rPr>
      </w:pPr>
      <w:r w:rsidRPr="00A4621C">
        <w:rPr>
          <w:rFonts w:eastAsia="Calibri" w:cs="Tahoma"/>
          <w:iCs/>
          <w:lang w:eastAsia="es-ES_tradnl"/>
        </w:rPr>
        <w:t xml:space="preserve">Con el objeto de ilustrar la controversia planteada, resulta conveniente precisar que, una vez realizado el estudio de las constancias que integran el expediente en que se actúa, se desprende que el Recurrente solicitó </w:t>
      </w:r>
      <w:r w:rsidRPr="00A4621C" w:rsidR="002E7AA9">
        <w:rPr>
          <w:color w:val="000000"/>
        </w:rPr>
        <w:t xml:space="preserve">conocer la cantidad de materiales </w:t>
      </w:r>
      <w:r w:rsidRPr="00A4621C" w:rsidR="00A47216">
        <w:rPr>
          <w:color w:val="000000"/>
        </w:rPr>
        <w:t>(</w:t>
      </w:r>
      <w:r w:rsidRPr="00A4621C" w:rsidR="002E7AA9">
        <w:rPr>
          <w:color w:val="000000"/>
        </w:rPr>
        <w:t>por unidades, viajes o metros cú</w:t>
      </w:r>
      <w:r w:rsidRPr="00A4621C" w:rsidR="00A47216">
        <w:rPr>
          <w:color w:val="000000"/>
        </w:rPr>
        <w:t>bicos, entre otros)</w:t>
      </w:r>
      <w:r w:rsidRPr="00A4621C" w:rsidR="002E7AA9">
        <w:rPr>
          <w:color w:val="000000"/>
        </w:rPr>
        <w:t xml:space="preserve">, que se ocuparon para implementar las adecuaciones </w:t>
      </w:r>
      <w:r w:rsidRPr="00A4621C" w:rsidR="00A47216">
        <w:rPr>
          <w:color w:val="000000"/>
        </w:rPr>
        <w:t>al</w:t>
      </w:r>
      <w:r w:rsidRPr="00A4621C" w:rsidR="002E7AA9">
        <w:rPr>
          <w:color w:val="000000"/>
        </w:rPr>
        <w:t xml:space="preserve"> terreno que albergó la </w:t>
      </w:r>
      <w:r w:rsidRPr="00A4621C" w:rsidR="00A47216">
        <w:rPr>
          <w:color w:val="000000"/>
        </w:rPr>
        <w:t>Expo F</w:t>
      </w:r>
      <w:r w:rsidRPr="00A4621C" w:rsidR="002E7AA9">
        <w:rPr>
          <w:color w:val="000000"/>
        </w:rPr>
        <w:t>eria</w:t>
      </w:r>
      <w:r w:rsidRPr="00A4621C" w:rsidR="00A47216">
        <w:rPr>
          <w:color w:val="000000"/>
        </w:rPr>
        <w:t>, dos mil veintidós</w:t>
      </w:r>
      <w:r w:rsidRPr="00A4621C" w:rsidR="002E7AA9">
        <w:rPr>
          <w:color w:val="000000"/>
        </w:rPr>
        <w:t>, que erogó el actual Ayuntamiento de Xonacatlán</w:t>
      </w:r>
      <w:r w:rsidRPr="00A4621C">
        <w:rPr>
          <w:color w:val="000000"/>
        </w:rPr>
        <w:t>.</w:t>
      </w:r>
    </w:p>
    <w:p w:rsidRPr="00A4621C" w:rsidR="00FF7F2D" w:rsidP="004668F2" w:rsidRDefault="00FF7F2D" w14:paraId="06D7412B" w14:textId="77777777">
      <w:pPr>
        <w:tabs>
          <w:tab w:val="left" w:pos="4962"/>
        </w:tabs>
        <w:spacing w:after="0" w:line="360" w:lineRule="auto"/>
        <w:rPr>
          <w:rFonts w:eastAsia="Calibri" w:cs="Tahoma"/>
          <w:iCs/>
          <w:lang w:eastAsia="es-ES_tradnl"/>
        </w:rPr>
      </w:pPr>
    </w:p>
    <w:p w:rsidRPr="00A4621C" w:rsidR="00FF7F2D" w:rsidP="004668F2" w:rsidRDefault="00FF7F2D" w14:paraId="0AEBCB17" w14:textId="03B43F88">
      <w:pPr>
        <w:tabs>
          <w:tab w:val="left" w:pos="4962"/>
        </w:tabs>
        <w:spacing w:after="0" w:line="360" w:lineRule="auto"/>
        <w:rPr>
          <w:rFonts w:eastAsia="Calibri" w:cs="Tahoma"/>
          <w:iCs/>
          <w:lang w:eastAsia="es-ES_tradnl"/>
        </w:rPr>
      </w:pPr>
      <w:r w:rsidRPr="00A4621C">
        <w:rPr>
          <w:rFonts w:eastAsia="Calibri" w:cs="Tahoma"/>
          <w:iCs/>
          <w:lang w:eastAsia="es-ES_tradnl"/>
        </w:rPr>
        <w:t>En respuesta, el Sujeto Obligado,</w:t>
      </w:r>
      <w:r w:rsidRPr="00A4621C" w:rsidR="002E7AA9">
        <w:rPr>
          <w:rFonts w:eastAsia="Calibri" w:cs="Tahoma"/>
          <w:iCs/>
          <w:lang w:eastAsia="es-ES_tradnl"/>
        </w:rPr>
        <w:t xml:space="preserve"> a través </w:t>
      </w:r>
      <w:r w:rsidRPr="00A4621C" w:rsidR="00A47216">
        <w:rPr>
          <w:rFonts w:eastAsia="Calibri" w:cs="Tahoma"/>
          <w:iCs/>
          <w:lang w:eastAsia="es-ES_tradnl"/>
        </w:rPr>
        <w:t>de la Dirección</w:t>
      </w:r>
      <w:r w:rsidRPr="00A4621C" w:rsidR="002E7AA9">
        <w:rPr>
          <w:rFonts w:eastAsia="Calibri" w:cs="Tahoma"/>
          <w:iCs/>
          <w:lang w:eastAsia="es-ES_tradnl"/>
        </w:rPr>
        <w:t xml:space="preserve"> de Obras Públicas invitó a realizar la solicitud de información una vez terminado el cierre trimestral</w:t>
      </w:r>
      <w:r w:rsidRPr="00A4621C">
        <w:rPr>
          <w:rFonts w:cs="Tahoma"/>
          <w:bCs/>
          <w:color w:val="000000"/>
        </w:rPr>
        <w:t>; ante dicha circunstancia</w:t>
      </w:r>
      <w:r w:rsidRPr="00A4621C">
        <w:rPr>
          <w:rFonts w:cs="Tahoma"/>
          <w:bCs/>
          <w:iCs/>
        </w:rPr>
        <w:t xml:space="preserve">, la parte Recurrente se inconformó </w:t>
      </w:r>
      <w:r w:rsidRPr="00A4621C" w:rsidR="00A47216">
        <w:rPr>
          <w:rFonts w:cs="Tahoma"/>
          <w:bCs/>
          <w:iCs/>
        </w:rPr>
        <w:t>de la entrega de información que no corresponde con lo solicitado</w:t>
      </w:r>
      <w:r w:rsidRPr="00A4621C">
        <w:rPr>
          <w:rFonts w:cs="Tahoma"/>
          <w:bCs/>
          <w:iCs/>
        </w:rPr>
        <w:t xml:space="preserve">, al señalar que </w:t>
      </w:r>
      <w:r w:rsidRPr="00A4621C" w:rsidR="002E7AA9">
        <w:rPr>
          <w:rFonts w:cs="Tahoma"/>
          <w:bCs/>
          <w:iCs/>
        </w:rPr>
        <w:t>la respuesta es contraria a sus derechos</w:t>
      </w:r>
      <w:r w:rsidRPr="00A4621C">
        <w:rPr>
          <w:rFonts w:cs="Tahoma"/>
          <w:bCs/>
          <w:iCs/>
        </w:rPr>
        <w:t xml:space="preserve">, lo cual actualiza el supuesto previsto en el artículo 179, fracción VI, de la Ley de Transparencia y Acceso a la Información Pública del Estado de México y Municipios. Una vez admitido y notificado </w:t>
      </w:r>
      <w:r w:rsidRPr="00A4621C" w:rsidR="00A47216">
        <w:rPr>
          <w:rFonts w:cs="Tahoma"/>
          <w:bCs/>
          <w:iCs/>
        </w:rPr>
        <w:t>el Recurso</w:t>
      </w:r>
      <w:r w:rsidRPr="00A4621C">
        <w:rPr>
          <w:rFonts w:cs="Tahoma"/>
          <w:bCs/>
          <w:iCs/>
        </w:rPr>
        <w:t xml:space="preserve"> de Revisión a las partes,</w:t>
      </w:r>
      <w:r w:rsidRPr="00A4621C" w:rsidR="002E7AA9">
        <w:rPr>
          <w:rFonts w:cs="Tahoma"/>
        </w:rPr>
        <w:t xml:space="preserve"> </w:t>
      </w:r>
      <w:r w:rsidRPr="00A4621C" w:rsidR="00A47216">
        <w:rPr>
          <w:rFonts w:cs="Tahoma"/>
        </w:rPr>
        <w:t>e</w:t>
      </w:r>
      <w:r w:rsidRPr="00A4621C" w:rsidR="002E7AA9">
        <w:rPr>
          <w:rFonts w:cs="Tahoma"/>
        </w:rPr>
        <w:t xml:space="preserve">l Sujeto Obligado entregó </w:t>
      </w:r>
      <w:r w:rsidRPr="00A4621C" w:rsidR="00A47216">
        <w:rPr>
          <w:rFonts w:cs="Tahoma"/>
        </w:rPr>
        <w:t>diversos documentos relacionados con otras solicitudes de información.</w:t>
      </w:r>
    </w:p>
    <w:p w:rsidRPr="00A4621C" w:rsidR="00FF7F2D" w:rsidP="004668F2" w:rsidRDefault="00FF7F2D" w14:paraId="12DAFB3D" w14:textId="77777777">
      <w:pPr>
        <w:tabs>
          <w:tab w:val="left" w:pos="4962"/>
        </w:tabs>
        <w:spacing w:after="0" w:line="360" w:lineRule="auto"/>
        <w:rPr>
          <w:rFonts w:eastAsia="Calibri" w:cs="Tahoma"/>
          <w:iCs/>
          <w:lang w:eastAsia="es-ES_tradnl"/>
        </w:rPr>
      </w:pPr>
    </w:p>
    <w:p w:rsidRPr="00A4621C" w:rsidR="00FF7F2D" w:rsidP="004668F2" w:rsidRDefault="00FF7F2D" w14:paraId="75E50A61" w14:textId="03553A59">
      <w:pPr>
        <w:tabs>
          <w:tab w:val="left" w:pos="4962"/>
        </w:tabs>
        <w:spacing w:after="0" w:line="360" w:lineRule="auto"/>
        <w:rPr>
          <w:rFonts w:eastAsia="Calibri" w:cs="Tahoma"/>
          <w:bCs/>
        </w:rPr>
      </w:pPr>
      <w:r w:rsidRPr="00A4621C">
        <w:rPr>
          <w:rFonts w:eastAsia="Calibri" w:cs="Tahoma"/>
          <w:iCs/>
          <w:lang w:eastAsia="es-ES_tradnl"/>
        </w:rPr>
        <w:t xml:space="preserve">Lo anterior se desprende de las documentales que obran en </w:t>
      </w:r>
      <w:r w:rsidRPr="00A4621C" w:rsidR="002E7AA9">
        <w:rPr>
          <w:rFonts w:eastAsia="Calibri" w:cs="Tahoma"/>
          <w:iCs/>
          <w:lang w:eastAsia="es-ES_tradnl"/>
        </w:rPr>
        <w:t>e</w:t>
      </w:r>
      <w:r w:rsidRPr="00A4621C">
        <w:rPr>
          <w:rFonts w:eastAsia="Calibri" w:cs="Tahoma"/>
          <w:iCs/>
          <w:lang w:eastAsia="es-ES_tradnl"/>
        </w:rPr>
        <w:t>l expediente de referencia, materia de la presente resolución, consistentes en: la solicitud de acceso a la información; la respuesta entregada</w:t>
      </w:r>
      <w:r w:rsidRPr="00A4621C" w:rsidR="002E7AA9">
        <w:rPr>
          <w:rFonts w:eastAsia="Calibri" w:cs="Tahoma"/>
          <w:iCs/>
          <w:lang w:eastAsia="es-ES_tradnl"/>
        </w:rPr>
        <w:t>,</w:t>
      </w:r>
      <w:r w:rsidRPr="00A4621C">
        <w:rPr>
          <w:rFonts w:eastAsia="Calibri" w:cs="Tahoma"/>
          <w:iCs/>
          <w:lang w:eastAsia="es-ES_tradnl"/>
        </w:rPr>
        <w:t xml:space="preserve"> el escrito </w:t>
      </w:r>
      <w:proofErr w:type="spellStart"/>
      <w:r w:rsidRPr="00A4621C">
        <w:rPr>
          <w:rFonts w:eastAsia="Calibri" w:cs="Tahoma"/>
          <w:iCs/>
          <w:lang w:eastAsia="es-ES_tradnl"/>
        </w:rPr>
        <w:t>recursal</w:t>
      </w:r>
      <w:proofErr w:type="spellEnd"/>
      <w:r w:rsidRPr="00A4621C" w:rsidR="002E7AA9">
        <w:rPr>
          <w:rFonts w:eastAsia="Calibri" w:cs="Tahoma"/>
          <w:iCs/>
          <w:lang w:eastAsia="es-ES_tradnl"/>
        </w:rPr>
        <w:t xml:space="preserve"> y el informe justificado</w:t>
      </w:r>
      <w:r w:rsidRPr="00A4621C">
        <w:rPr>
          <w:rFonts w:eastAsia="Calibri" w:cs="Tahoma"/>
          <w:iCs/>
          <w:lang w:eastAsia="es-ES_tradnl"/>
        </w:rPr>
        <w:t xml:space="preserve">; </w:t>
      </w:r>
      <w:r w:rsidRPr="00A4621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A4621C" w:rsidR="00FF7F2D" w:rsidP="004668F2" w:rsidRDefault="00FF7F2D" w14:paraId="6ECC266B" w14:textId="77777777">
      <w:pPr>
        <w:spacing w:after="0" w:line="360" w:lineRule="auto"/>
        <w:rPr>
          <w:rFonts w:cs="Tahoma"/>
          <w:b/>
        </w:rPr>
      </w:pPr>
    </w:p>
    <w:p w:rsidRPr="00A4621C" w:rsidR="00FF7F2D" w:rsidP="004668F2" w:rsidRDefault="00FF7F2D" w14:paraId="28EAC864" w14:textId="77777777">
      <w:pPr>
        <w:spacing w:after="0" w:line="360" w:lineRule="auto"/>
        <w:rPr>
          <w:rFonts w:cs="Tahoma"/>
          <w:b/>
        </w:rPr>
      </w:pPr>
      <w:r w:rsidRPr="00A4621C">
        <w:rPr>
          <w:rFonts w:cs="Tahoma"/>
          <w:b/>
        </w:rPr>
        <w:lastRenderedPageBreak/>
        <w:t>CUARTO. Marco normativo aplicable en materia de transparencia y acceso a la información pública.</w:t>
      </w:r>
    </w:p>
    <w:p w:rsidRPr="00A4621C" w:rsidR="00FF7F2D" w:rsidP="004668F2" w:rsidRDefault="00FF7F2D" w14:paraId="52165EFF" w14:textId="77777777">
      <w:pPr>
        <w:spacing w:after="0" w:line="360" w:lineRule="auto"/>
        <w:rPr>
          <w:rFonts w:cs="Tahoma"/>
          <w:b/>
        </w:rPr>
      </w:pPr>
    </w:p>
    <w:p w:rsidRPr="00A4621C" w:rsidR="00FF7F2D" w:rsidP="004668F2" w:rsidRDefault="00FF7F2D" w14:paraId="3F473F18" w14:textId="1A85D148">
      <w:pPr>
        <w:widowControl w:val="0"/>
        <w:spacing w:after="0" w:line="360" w:lineRule="auto"/>
        <w:rPr>
          <w:rFonts w:eastAsia="Times New Roman" w:cs="Tahoma"/>
          <w:lang w:eastAsia="es-MX"/>
        </w:rPr>
      </w:pPr>
      <w:r w:rsidRPr="00A4621C">
        <w:rPr>
          <w:rFonts w:eastAsia="Times New Roman" w:cs="Tahoma"/>
          <w:lang w:eastAsia="es-MX"/>
        </w:rPr>
        <w:t xml:space="preserve">El artículo 6°, Apartado A), fracción I de la Constitución Política de los Estados Unidos Mexicanos, establece que toda la información en posesión de cualquier </w:t>
      </w:r>
      <w:r w:rsidRPr="00A4621C" w:rsidR="00C02A5F">
        <w:rPr>
          <w:rFonts w:eastAsia="Times New Roman" w:cs="Tahoma"/>
          <w:lang w:eastAsia="es-MX"/>
        </w:rPr>
        <w:t>autoridad</w:t>
      </w:r>
      <w:r w:rsidRPr="00A4621C">
        <w:rPr>
          <w:rFonts w:eastAsia="Times New Roman" w:cs="Tahoma"/>
          <w:lang w:eastAsia="es-MX"/>
        </w:rPr>
        <w:t xml:space="preserve"> es pública y sólo podrá ser reservada temporalmente por razones de interés público.</w:t>
      </w:r>
    </w:p>
    <w:p w:rsidRPr="00A4621C" w:rsidR="00FF7F2D" w:rsidP="004668F2" w:rsidRDefault="00FF7F2D" w14:paraId="2B4C491F" w14:textId="77777777">
      <w:pPr>
        <w:widowControl w:val="0"/>
        <w:spacing w:after="0" w:line="360" w:lineRule="auto"/>
        <w:rPr>
          <w:rFonts w:eastAsia="Times New Roman" w:cs="Tahoma"/>
          <w:lang w:eastAsia="es-MX"/>
        </w:rPr>
      </w:pPr>
    </w:p>
    <w:p w:rsidRPr="00A4621C" w:rsidR="00FF7F2D" w:rsidP="004668F2" w:rsidRDefault="00FF7F2D" w14:paraId="289DF617" w14:textId="77777777">
      <w:pPr>
        <w:widowControl w:val="0"/>
        <w:spacing w:after="0" w:line="360" w:lineRule="auto"/>
        <w:rPr>
          <w:rFonts w:eastAsia="Times New Roman" w:cs="Tahoma"/>
          <w:lang w:eastAsia="es-MX"/>
        </w:rPr>
      </w:pPr>
      <w:r w:rsidRPr="00A4621C">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A4621C" w:rsidR="00FF7F2D" w:rsidP="004668F2" w:rsidRDefault="00FF7F2D" w14:paraId="4EF6A34D" w14:textId="77777777">
      <w:pPr>
        <w:widowControl w:val="0"/>
        <w:spacing w:after="0" w:line="360" w:lineRule="auto"/>
        <w:rPr>
          <w:rFonts w:eastAsia="Times New Roman" w:cs="Tahoma"/>
          <w:lang w:eastAsia="es-MX"/>
        </w:rPr>
      </w:pPr>
    </w:p>
    <w:p w:rsidRPr="00A4621C" w:rsidR="00FF7F2D" w:rsidP="004668F2" w:rsidRDefault="00FF7F2D" w14:paraId="66E39DBB" w14:textId="77777777">
      <w:pPr>
        <w:spacing w:after="0" w:line="360" w:lineRule="auto"/>
        <w:rPr>
          <w:rFonts w:eastAsia="Times New Roman" w:cs="Tahoma"/>
          <w:lang w:eastAsia="es-MX"/>
        </w:rPr>
      </w:pPr>
      <w:r w:rsidRPr="00A4621C">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A4621C" w:rsidR="00FF7F2D" w:rsidP="004668F2" w:rsidRDefault="00FF7F2D" w14:paraId="45270A31" w14:textId="77777777">
      <w:pPr>
        <w:widowControl w:val="0"/>
        <w:spacing w:after="0" w:line="360" w:lineRule="auto"/>
        <w:rPr>
          <w:rFonts w:eastAsia="Times New Roman" w:cs="Tahoma"/>
          <w:lang w:eastAsia="es-MX"/>
        </w:rPr>
      </w:pPr>
    </w:p>
    <w:p w:rsidRPr="00A4621C" w:rsidR="00FF7F2D" w:rsidP="004668F2" w:rsidRDefault="00FF7F2D" w14:paraId="05BECBED" w14:textId="77777777">
      <w:pPr>
        <w:widowControl w:val="0"/>
        <w:spacing w:after="0" w:line="360" w:lineRule="auto"/>
        <w:rPr>
          <w:rFonts w:eastAsia="Times New Roman" w:cs="Tahoma"/>
          <w:lang w:eastAsia="es-MX"/>
        </w:rPr>
      </w:pPr>
      <w:r w:rsidRPr="00A4621C">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A4621C" w:rsidR="00FF7F2D" w:rsidP="004668F2" w:rsidRDefault="00FF7F2D" w14:paraId="03A1F993" w14:textId="77777777">
      <w:pPr>
        <w:widowControl w:val="0"/>
        <w:spacing w:after="0" w:line="360" w:lineRule="auto"/>
        <w:rPr>
          <w:rFonts w:eastAsia="Times New Roman" w:cs="Tahoma"/>
          <w:lang w:eastAsia="es-MX"/>
        </w:rPr>
      </w:pPr>
    </w:p>
    <w:p w:rsidRPr="00A4621C" w:rsidR="00FF7F2D" w:rsidP="004668F2" w:rsidRDefault="00FF7F2D" w14:paraId="77F031E6" w14:textId="77777777">
      <w:pPr>
        <w:widowControl w:val="0"/>
        <w:spacing w:after="0" w:line="360" w:lineRule="auto"/>
        <w:rPr>
          <w:rFonts w:eastAsia="Times New Roman" w:cs="Tahoma"/>
          <w:lang w:eastAsia="es-MX"/>
        </w:rPr>
      </w:pPr>
      <w:r w:rsidRPr="00A4621C">
        <w:rPr>
          <w:rFonts w:eastAsia="Times New Roman" w:cs="Tahoma"/>
          <w:lang w:eastAsia="es-MX"/>
        </w:rPr>
        <w:t>El artículo 12, que, quienes generen, recopilen, administren, manejen, procesen, archiven o conserven información pública serán responsables de la misma.</w:t>
      </w:r>
    </w:p>
    <w:p w:rsidRPr="00A4621C" w:rsidR="00FF7F2D" w:rsidP="004668F2" w:rsidRDefault="00FF7F2D" w14:paraId="140F6CA9" w14:textId="77777777">
      <w:pPr>
        <w:widowControl w:val="0"/>
        <w:spacing w:after="0" w:line="360" w:lineRule="auto"/>
        <w:rPr>
          <w:rFonts w:eastAsia="Times New Roman" w:cs="Tahoma"/>
          <w:lang w:eastAsia="es-MX"/>
        </w:rPr>
      </w:pPr>
    </w:p>
    <w:p w:rsidRPr="00A4621C" w:rsidR="00FF7F2D" w:rsidP="004668F2" w:rsidRDefault="00FF7F2D" w14:paraId="2EC84857" w14:textId="77777777">
      <w:pPr>
        <w:widowControl w:val="0"/>
        <w:spacing w:after="0" w:line="360" w:lineRule="auto"/>
        <w:rPr>
          <w:rFonts w:eastAsia="Times New Roman" w:cs="Tahoma"/>
          <w:lang w:eastAsia="es-MX"/>
        </w:rPr>
      </w:pPr>
      <w:r w:rsidRPr="00A4621C">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A4621C" w:rsidR="00FF7F2D" w:rsidP="004668F2" w:rsidRDefault="00FF7F2D" w14:paraId="548C0D3E" w14:textId="77777777">
      <w:pPr>
        <w:widowControl w:val="0"/>
        <w:spacing w:after="0" w:line="360" w:lineRule="auto"/>
        <w:rPr>
          <w:rFonts w:eastAsia="Times New Roman" w:cs="Tahoma"/>
          <w:lang w:eastAsia="es-MX"/>
        </w:rPr>
      </w:pPr>
    </w:p>
    <w:p w:rsidRPr="00A4621C" w:rsidR="00FF7F2D" w:rsidP="004668F2" w:rsidRDefault="00FF7F2D" w14:paraId="1BE4E2FC" w14:textId="77777777">
      <w:pPr>
        <w:widowControl w:val="0"/>
        <w:spacing w:after="0" w:line="360" w:lineRule="auto"/>
        <w:rPr>
          <w:rFonts w:eastAsia="Times New Roman" w:cs="Tahoma"/>
          <w:lang w:eastAsia="es-MX"/>
        </w:rPr>
      </w:pPr>
      <w:r w:rsidRPr="00A4621C">
        <w:rPr>
          <w:rFonts w:eastAsia="Times New Roman" w:cs="Tahoma"/>
          <w:lang w:eastAsia="es-MX"/>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A4621C" w:rsidR="00FF7F2D" w:rsidP="004668F2" w:rsidRDefault="00FF7F2D" w14:paraId="7598B59F" w14:textId="77777777">
      <w:pPr>
        <w:spacing w:after="0" w:line="360" w:lineRule="auto"/>
        <w:rPr>
          <w:rFonts w:eastAsia="Times New Roman" w:cs="Tahoma"/>
          <w:b/>
          <w:lang w:eastAsia="es-ES"/>
        </w:rPr>
      </w:pPr>
    </w:p>
    <w:p w:rsidRPr="00A4621C" w:rsidR="00C505C0" w:rsidP="004668F2" w:rsidRDefault="00C505C0" w14:paraId="46562AAC" w14:textId="77777777">
      <w:pPr>
        <w:spacing w:after="0" w:line="360" w:lineRule="auto"/>
        <w:rPr>
          <w:rFonts w:eastAsia="Times New Roman" w:cs="Tahoma"/>
          <w:color w:val="auto"/>
          <w:lang w:eastAsia="es-ES"/>
        </w:rPr>
      </w:pPr>
      <w:r w:rsidRPr="00A4621C">
        <w:rPr>
          <w:rFonts w:eastAsia="Times New Roman" w:cs="Tahoma"/>
          <w:color w:val="auto"/>
          <w:lang w:eastAsia="es-ES"/>
        </w:rPr>
        <w:t xml:space="preserve">El artículo 92, fracción </w:t>
      </w:r>
      <w:r w:rsidRPr="00A4621C">
        <w:rPr>
          <w:rFonts w:eastAsia="Times New Roman" w:cs="Tahoma"/>
          <w:color w:val="auto"/>
          <w:lang w:val="x-none" w:eastAsia="es-ES"/>
        </w:rPr>
        <w:t>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rsidRPr="00A4621C" w:rsidR="00A47216" w:rsidP="004668F2" w:rsidRDefault="00A47216" w14:paraId="5C4FFDF8" w14:textId="77777777">
      <w:pPr>
        <w:spacing w:after="0" w:line="360" w:lineRule="auto"/>
        <w:rPr>
          <w:rFonts w:eastAsia="Times New Roman" w:cs="Tahoma"/>
          <w:b/>
          <w:lang w:eastAsia="es-ES"/>
        </w:rPr>
      </w:pPr>
    </w:p>
    <w:p w:rsidRPr="00A4621C" w:rsidR="00FF7F2D" w:rsidP="004668F2" w:rsidRDefault="00FF7F2D" w14:paraId="7E7C8B5F" w14:textId="77777777">
      <w:pPr>
        <w:spacing w:after="0" w:line="360" w:lineRule="auto"/>
        <w:rPr>
          <w:rFonts w:eastAsia="Times New Roman" w:cs="Tahoma"/>
          <w:b/>
          <w:lang w:eastAsia="es-ES"/>
        </w:rPr>
      </w:pPr>
      <w:r w:rsidRPr="00A4621C">
        <w:rPr>
          <w:rFonts w:eastAsia="Times New Roman" w:cs="Tahoma"/>
          <w:b/>
          <w:lang w:eastAsia="es-ES"/>
        </w:rPr>
        <w:t>QUINTO. Estudio de Fondo.</w:t>
      </w:r>
    </w:p>
    <w:p w:rsidRPr="00A4621C" w:rsidR="00FF7F2D" w:rsidP="004668F2" w:rsidRDefault="00FF7F2D" w14:paraId="0AFBAA09" w14:textId="77777777">
      <w:pPr>
        <w:spacing w:after="0" w:line="360" w:lineRule="auto"/>
        <w:rPr>
          <w:rFonts w:eastAsia="Times New Roman" w:cs="Tahoma"/>
          <w:b/>
          <w:lang w:eastAsia="es-ES"/>
        </w:rPr>
      </w:pPr>
    </w:p>
    <w:p w:rsidRPr="00A4621C" w:rsidR="00FF7F2D" w:rsidP="004668F2" w:rsidRDefault="00FF7F2D" w14:paraId="73B6CBBF" w14:textId="5B767038">
      <w:pPr>
        <w:tabs>
          <w:tab w:val="left" w:pos="2100"/>
        </w:tabs>
        <w:spacing w:after="0" w:line="360" w:lineRule="auto"/>
        <w:rPr>
          <w:rFonts w:cs="Tahoma"/>
        </w:rPr>
      </w:pPr>
      <w:r w:rsidRPr="00A4621C">
        <w:rPr>
          <w:rFonts w:cs="Tahoma"/>
        </w:rPr>
        <w:t xml:space="preserve">Expuestas las posturas de las partes, se procede analizar el agravio hecho valer por el </w:t>
      </w:r>
      <w:r w:rsidRPr="00A4621C">
        <w:rPr>
          <w:rFonts w:cs="Tahoma"/>
          <w:bCs/>
          <w:color w:val="000000"/>
        </w:rPr>
        <w:t>ahora Recurrente, referente a la entrega de información que no corresponde con lo solicitado</w:t>
      </w:r>
      <w:r w:rsidRPr="00A4621C">
        <w:rPr>
          <w:rFonts w:cs="Tahoma"/>
        </w:rPr>
        <w:t>; para lo cual en principio es necesario contextualizar la solicitud de información.</w:t>
      </w:r>
    </w:p>
    <w:p w:rsidRPr="00A4621C" w:rsidR="002253C7" w:rsidP="004668F2" w:rsidRDefault="002253C7" w14:paraId="4B9F2A5F" w14:textId="77777777">
      <w:pPr>
        <w:spacing w:after="0" w:line="360" w:lineRule="auto"/>
      </w:pPr>
    </w:p>
    <w:p w:rsidRPr="00A4621C" w:rsidR="005D0388" w:rsidP="004668F2" w:rsidRDefault="005D0388" w14:paraId="2C3CE75E" w14:textId="333677D0">
      <w:pPr>
        <w:spacing w:after="0" w:line="360" w:lineRule="auto"/>
      </w:pPr>
      <w:r w:rsidRPr="00A4621C">
        <w:t xml:space="preserve">Al respecto, López, Miguel, y </w:t>
      </w:r>
      <w:proofErr w:type="spellStart"/>
      <w:r w:rsidRPr="00A4621C">
        <w:t>Cancino</w:t>
      </w:r>
      <w:proofErr w:type="spellEnd"/>
      <w:r w:rsidRPr="00A4621C">
        <w:t xml:space="preserve">, Rodolfo (2020) en “La Contratación Pública y el Sistema Nacional Anticorrupción”. (p. 4), establecen que la </w:t>
      </w:r>
      <w:r w:rsidRPr="00A4621C">
        <w:rPr>
          <w:b/>
        </w:rPr>
        <w:t>contratación pública</w:t>
      </w:r>
      <w:r w:rsidRPr="00A4621C">
        <w:t>, es el procedimiento de carácter administrativo, por medio del cual, un ente público selecciona y posteriormente, celebra un acuerdo de voluntades, con una persona física o jurídica colectiva, para que ésta, proporcione o arrende un bien, preste algún servicio, o lleve a cabo la ejecución de una obra pública, con recursos públicos del Estado.</w:t>
      </w:r>
    </w:p>
    <w:p w:rsidRPr="00A4621C" w:rsidR="005D0388" w:rsidP="004668F2" w:rsidRDefault="005D0388" w14:paraId="3784CFAD" w14:textId="77777777">
      <w:pPr>
        <w:spacing w:after="0" w:line="360" w:lineRule="auto"/>
        <w:rPr>
          <w:rFonts w:eastAsia="Calibri" w:cs="Times New Roman"/>
        </w:rPr>
      </w:pPr>
    </w:p>
    <w:p w:rsidRPr="00A4621C" w:rsidR="00B87837" w:rsidP="004668F2" w:rsidRDefault="00B87837" w14:paraId="37366B84" w14:textId="77777777">
      <w:pPr>
        <w:spacing w:after="0" w:line="360" w:lineRule="auto"/>
        <w:rPr>
          <w:rFonts w:eastAsia="Calibri" w:cs="Times New Roman"/>
        </w:rPr>
      </w:pPr>
    </w:p>
    <w:p w:rsidRPr="00A4621C" w:rsidR="00B87837" w:rsidP="004668F2" w:rsidRDefault="00B87837" w14:paraId="3DC76811" w14:textId="77777777">
      <w:pPr>
        <w:spacing w:after="0" w:line="360" w:lineRule="auto"/>
        <w:rPr>
          <w:rFonts w:eastAsia="Calibri" w:cs="Times New Roman"/>
        </w:rPr>
      </w:pPr>
    </w:p>
    <w:p w:rsidRPr="00A4621C" w:rsidR="005D0388" w:rsidP="004668F2" w:rsidRDefault="003F27A5" w14:paraId="7D1FE11B" w14:textId="00771955">
      <w:pPr>
        <w:spacing w:after="0" w:line="360" w:lineRule="auto"/>
        <w:rPr>
          <w:rFonts w:eastAsia="Calibri" w:cs="Tahoma"/>
        </w:rPr>
      </w:pPr>
      <w:r w:rsidRPr="00A4621C">
        <w:rPr>
          <w:rFonts w:eastAsia="Calibri" w:cs="Times New Roman"/>
        </w:rPr>
        <w:t>En ese contexto</w:t>
      </w:r>
      <w:r w:rsidRPr="00A4621C" w:rsidR="005D0388">
        <w:rPr>
          <w:rFonts w:eastAsia="Calibri" w:cs="Times New Roman"/>
        </w:rPr>
        <w:t xml:space="preserve">, </w:t>
      </w:r>
      <w:r w:rsidRPr="00A4621C" w:rsidR="005D0388">
        <w:rPr>
          <w:rFonts w:eastAsia="Calibri" w:cs="Tahoma"/>
        </w:rPr>
        <w:t xml:space="preserve">los artículos 1°, fracción III, y 4° de la Ley de la de Contratación Pública del Estado de México y Municipios, especifica que los Ayuntamientos, serán los encargados de </w:t>
      </w:r>
      <w:r w:rsidRPr="00A4621C" w:rsidR="005D0388">
        <w:rPr>
          <w:rFonts w:eastAsia="Calibri" w:cs="Tahoma"/>
        </w:rPr>
        <w:lastRenderedPageBreak/>
        <w:t xml:space="preserve">realizar los actos relativos a la planeación, programación, presupuestación, ejecución y control de la adquisición (bienes muebles e inmuebles), arrendamiento (bienes muebles e inmuebles), y </w:t>
      </w:r>
      <w:r w:rsidRPr="00A4621C" w:rsidR="005D0388">
        <w:rPr>
          <w:rFonts w:eastAsia="Calibri" w:cs="Tahoma"/>
          <w:b/>
          <w:bCs/>
        </w:rPr>
        <w:t>la contratación de servicios de cualquier naturaleza,</w:t>
      </w:r>
      <w:r w:rsidRPr="00A4621C" w:rsidR="005D0388">
        <w:rPr>
          <w:rFonts w:eastAsia="Calibri" w:cs="Tahoma"/>
        </w:rPr>
        <w:t xml:space="preserve"> que realicen los Ayuntamientos de los Municipios. </w:t>
      </w:r>
    </w:p>
    <w:p w:rsidRPr="00A4621C" w:rsidR="005D0388" w:rsidP="004668F2" w:rsidRDefault="005D0388" w14:paraId="4B0BD107" w14:textId="77777777">
      <w:pPr>
        <w:spacing w:after="0" w:line="360" w:lineRule="auto"/>
        <w:rPr>
          <w:rFonts w:eastAsia="Calibri" w:cs="Tahoma"/>
        </w:rPr>
      </w:pPr>
    </w:p>
    <w:p w:rsidRPr="00A4621C" w:rsidR="005D0388" w:rsidP="004668F2" w:rsidRDefault="005D0388" w14:paraId="1F5EDC13" w14:textId="77777777">
      <w:pPr>
        <w:spacing w:after="0" w:line="360" w:lineRule="auto"/>
        <w:rPr>
          <w:rFonts w:eastAsia="Calibri" w:cs="Tahoma"/>
          <w:b/>
          <w:bCs/>
        </w:rPr>
      </w:pPr>
      <w:r w:rsidRPr="00A4621C">
        <w:rPr>
          <w:rFonts w:eastAsia="Calibri" w:cs="Tahoma"/>
        </w:rPr>
        <w:t xml:space="preserve">Además, conforme a los artículos 26 y 27 de dicho ordenamiento jurídico, las adquisiciones, arrendamientos y servicios, se adjudicarán a través de procedimientos de </w:t>
      </w:r>
      <w:r w:rsidRPr="00A4621C">
        <w:rPr>
          <w:rFonts w:eastAsia="Calibri" w:cs="Tahoma"/>
          <w:b/>
          <w:bCs/>
        </w:rPr>
        <w:t>licitación pública, invitación restringida y adjudicación directa.</w:t>
      </w:r>
    </w:p>
    <w:p w:rsidRPr="00A4621C" w:rsidR="005D0388" w:rsidP="004668F2" w:rsidRDefault="005D0388" w14:paraId="152D9946" w14:textId="77777777">
      <w:pPr>
        <w:spacing w:after="0" w:line="360" w:lineRule="auto"/>
        <w:rPr>
          <w:rFonts w:eastAsia="Calibri" w:cs="Tahoma"/>
          <w:b/>
          <w:bCs/>
        </w:rPr>
      </w:pPr>
    </w:p>
    <w:p w:rsidRPr="00A4621C" w:rsidR="005D0388" w:rsidP="004668F2" w:rsidRDefault="005D0388" w14:paraId="115DDA24" w14:textId="33A20C8C">
      <w:pPr>
        <w:spacing w:after="0" w:line="360" w:lineRule="auto"/>
        <w:rPr>
          <w:rFonts w:cs="Tahoma"/>
        </w:rPr>
      </w:pPr>
      <w:r w:rsidRPr="00A4621C">
        <w:rPr>
          <w:rFonts w:cs="Tahoma"/>
        </w:rPr>
        <w:t xml:space="preserve">En ese orden de ideas, conforme al artículo 65 de la Ley de Contratación Pública del Estado de México y Municipios, la adjudicación de un procedimiento de </w:t>
      </w:r>
      <w:r w:rsidRPr="00A4621C">
        <w:rPr>
          <w:rFonts w:cs="Tahoma"/>
          <w:b/>
          <w:bCs/>
        </w:rPr>
        <w:t xml:space="preserve">adquisición y arrendamiento de bienes y contratación de </w:t>
      </w:r>
      <w:r w:rsidRPr="00A4621C" w:rsidR="00C02A5F">
        <w:rPr>
          <w:rFonts w:cs="Tahoma"/>
          <w:b/>
          <w:bCs/>
        </w:rPr>
        <w:t>servicios</w:t>
      </w:r>
      <w:r w:rsidRPr="00A4621C">
        <w:rPr>
          <w:rFonts w:cs="Tahoma"/>
        </w:rPr>
        <w:t xml:space="preserve"> se realizará mediante la suscripción de un contrato, entre el Ayuntamiento y la persona a la cual haya ganado el procedimiento respectivo, dentro de los diez días hábiles siguientes a la notificación del fallo.</w:t>
      </w:r>
    </w:p>
    <w:p w:rsidRPr="00A4621C" w:rsidR="003F27A5" w:rsidP="004668F2" w:rsidRDefault="003F27A5" w14:paraId="74137B03" w14:textId="77777777">
      <w:pPr>
        <w:spacing w:after="0" w:line="360" w:lineRule="auto"/>
        <w:rPr>
          <w:rFonts w:cs="Tahoma"/>
        </w:rPr>
      </w:pPr>
    </w:p>
    <w:p w:rsidRPr="00A4621C" w:rsidR="003F27A5" w:rsidP="004668F2" w:rsidRDefault="003F27A5" w14:paraId="69956544" w14:textId="78D286B8">
      <w:pPr>
        <w:spacing w:after="0" w:line="360" w:lineRule="auto"/>
        <w:rPr>
          <w:rFonts w:eastAsia="Times New Roman" w:cs="Times New Roman"/>
          <w:szCs w:val="20"/>
          <w:lang w:eastAsia="es-ES"/>
        </w:rPr>
      </w:pPr>
      <w:r w:rsidRPr="00A4621C">
        <w:rPr>
          <w:rFonts w:cs="Tahoma"/>
        </w:rPr>
        <w:t xml:space="preserve">Por otra parte, </w:t>
      </w:r>
      <w:r w:rsidRPr="00A4621C">
        <w:rPr>
          <w:rFonts w:eastAsia="Times New Roman" w:cs="Tahoma"/>
          <w:lang w:eastAsia="es-ES"/>
        </w:rPr>
        <w:t xml:space="preserve">el artículo 12.4 del Código Administrativo del Estado de México, establece que las obras públicas son aquellas cuyo objeto principal sea </w:t>
      </w:r>
      <w:r w:rsidRPr="00A4621C">
        <w:rPr>
          <w:rFonts w:eastAsia="Calibri" w:cs="Tahoma"/>
        </w:rPr>
        <w:t>construir, instalar, ampliar, adecuar, remodelar, restaurar, conservar, mantener, modificar o demoler bienes inmuebles de los municipios c</w:t>
      </w:r>
      <w:r w:rsidRPr="00A4621C">
        <w:rPr>
          <w:rFonts w:eastAsia="Times New Roman" w:cs="Times New Roman"/>
          <w:szCs w:val="20"/>
          <w:lang w:eastAsia="es-ES"/>
        </w:rPr>
        <w:t>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rsidRPr="00A4621C" w:rsidR="003F27A5" w:rsidP="004668F2" w:rsidRDefault="003F27A5" w14:paraId="235ACB81" w14:textId="77777777">
      <w:pPr>
        <w:spacing w:after="0" w:line="360" w:lineRule="auto"/>
        <w:rPr>
          <w:rFonts w:eastAsia="Times New Roman" w:cs="Tahoma"/>
          <w:iCs/>
          <w:lang w:eastAsia="es-ES"/>
        </w:rPr>
      </w:pPr>
    </w:p>
    <w:p w:rsidRPr="00A4621C" w:rsidR="00B87837" w:rsidP="004668F2" w:rsidRDefault="00B87837" w14:paraId="25F02819" w14:textId="77777777">
      <w:pPr>
        <w:spacing w:after="0" w:line="360" w:lineRule="auto"/>
        <w:rPr>
          <w:rFonts w:eastAsia="Times New Roman" w:cs="Tahoma"/>
          <w:iCs/>
          <w:lang w:eastAsia="es-ES"/>
        </w:rPr>
      </w:pPr>
    </w:p>
    <w:p w:rsidRPr="00A4621C" w:rsidR="003F27A5" w:rsidP="004668F2" w:rsidRDefault="003F27A5" w14:paraId="6D3DD99E" w14:textId="1735076A">
      <w:pPr>
        <w:spacing w:after="0" w:line="360" w:lineRule="auto"/>
        <w:rPr>
          <w:rFonts w:eastAsia="Times New Roman" w:cs="Times New Roman"/>
          <w:iCs/>
          <w:szCs w:val="20"/>
          <w:lang w:eastAsia="es-ES"/>
        </w:rPr>
      </w:pPr>
      <w:r w:rsidRPr="00A4621C">
        <w:rPr>
          <w:rFonts w:eastAsia="Times New Roman" w:cs="Times New Roman"/>
          <w:iCs/>
          <w:szCs w:val="20"/>
          <w:lang w:eastAsia="es-ES"/>
        </w:rPr>
        <w:t xml:space="preserve">En ese orden de ideas, es responsabilidad de los Ayuntamientos ejecutar la obra pública respectiva, mediante contrato con terceros o por administración directa; dicho acto jurídico, </w:t>
      </w:r>
      <w:r w:rsidRPr="00A4621C">
        <w:rPr>
          <w:rFonts w:eastAsia="Times New Roman" w:cs="Times New Roman"/>
          <w:iCs/>
          <w:szCs w:val="20"/>
          <w:lang w:eastAsia="es-ES"/>
        </w:rPr>
        <w:lastRenderedPageBreak/>
        <w:t>será adjudicado a través de licitaciones públicas, invitación restringida o adjudicación directa, conforme a los artículos 12.8, 12.20 y 12.21 del Código mencionado.</w:t>
      </w:r>
    </w:p>
    <w:p w:rsidRPr="00A4621C" w:rsidR="003F27A5" w:rsidP="004668F2" w:rsidRDefault="003F27A5" w14:paraId="2A631795" w14:textId="43565E7B">
      <w:pPr>
        <w:spacing w:after="0" w:line="360" w:lineRule="auto"/>
        <w:rPr>
          <w:rFonts w:cs="Tahoma"/>
        </w:rPr>
      </w:pPr>
    </w:p>
    <w:p w:rsidRPr="00A4621C" w:rsidR="005D0388" w:rsidP="004668F2" w:rsidRDefault="001C536C" w14:paraId="31ECE683" w14:textId="76A85AD4">
      <w:pPr>
        <w:spacing w:after="0" w:line="360" w:lineRule="auto"/>
        <w:rPr>
          <w:rFonts w:eastAsia="Times New Roman" w:cs="Tahoma"/>
          <w:bCs/>
          <w:iCs/>
          <w:color w:val="auto"/>
          <w:lang w:eastAsia="es-MX"/>
        </w:rPr>
      </w:pPr>
      <w:r w:rsidRPr="00A4621C">
        <w:rPr>
          <w:rFonts w:eastAsia="Times New Roman" w:cs="Tahoma"/>
          <w:bCs/>
          <w:iCs/>
          <w:color w:val="auto"/>
          <w:lang w:eastAsia="es-MX"/>
        </w:rPr>
        <w:t>Además</w:t>
      </w:r>
      <w:r w:rsidRPr="00A4621C" w:rsidR="005D0388">
        <w:rPr>
          <w:rFonts w:eastAsia="Times New Roman" w:cs="Tahoma"/>
          <w:bCs/>
          <w:iCs/>
          <w:color w:val="auto"/>
          <w:lang w:eastAsia="es-MX"/>
        </w:rPr>
        <w:t xml:space="preserve">, el artículo 92, fracciones XXIX y XXXII de la Ley de Transparencia y Acceso a la Información Pública del Estado de México y Municipios, precisan que los contratos de cualquier </w:t>
      </w:r>
      <w:r w:rsidRPr="00A4621C" w:rsidR="00C02A5F">
        <w:rPr>
          <w:rFonts w:eastAsia="Times New Roman" w:cs="Tahoma"/>
          <w:bCs/>
          <w:iCs/>
          <w:color w:val="auto"/>
          <w:lang w:eastAsia="es-MX"/>
        </w:rPr>
        <w:t>naturaleza,</w:t>
      </w:r>
      <w:r w:rsidRPr="00A4621C" w:rsidR="005D0388">
        <w:rPr>
          <w:rFonts w:eastAsia="Times New Roman" w:cs="Tahoma"/>
          <w:bCs/>
          <w:iCs/>
          <w:color w:val="auto"/>
          <w:lang w:eastAsia="es-MX"/>
        </w:rPr>
        <w:t xml:space="preserve"> corresponden a información pública que los Sujetos Obligado deberán mantener actualizada, en sus portales de Internet.</w:t>
      </w:r>
    </w:p>
    <w:p w:rsidRPr="00A4621C" w:rsidR="00116583" w:rsidP="004668F2" w:rsidRDefault="00116583" w14:paraId="50CCAB6D" w14:textId="56D9454B">
      <w:pPr>
        <w:spacing w:after="0" w:line="360" w:lineRule="auto"/>
        <w:rPr>
          <w:rFonts w:eastAsia="Times New Roman" w:cs="Tahoma"/>
          <w:bCs/>
          <w:iCs/>
          <w:color w:val="auto"/>
          <w:lang w:eastAsia="es-MX"/>
        </w:rPr>
      </w:pPr>
    </w:p>
    <w:p w:rsidRPr="00A4621C" w:rsidR="003F27A5" w:rsidP="004668F2" w:rsidRDefault="00381608" w14:paraId="686A3403" w14:textId="27A72241">
      <w:pPr>
        <w:spacing w:after="0" w:line="360" w:lineRule="auto"/>
        <w:rPr>
          <w:rFonts w:eastAsia="Times New Roman" w:cs="Tahoma"/>
          <w:bCs/>
          <w:color w:val="auto"/>
          <w:lang w:eastAsia="es-ES"/>
        </w:rPr>
      </w:pPr>
      <w:r w:rsidRPr="00A4621C">
        <w:rPr>
          <w:rFonts w:eastAsia="Times New Roman" w:cs="Tahoma"/>
          <w:bCs/>
          <w:color w:val="auto"/>
          <w:lang w:eastAsia="es-ES"/>
        </w:rPr>
        <w:t>Ahora bien, respecto a la naturaleza de la información, es necesario traer a colación el Primer Informe de Gobierno de Xonacatlán, dos mil veintidós</w:t>
      </w:r>
      <w:r w:rsidRPr="00A4621C" w:rsidR="00E133AC">
        <w:rPr>
          <w:rFonts w:eastAsia="Times New Roman" w:cs="Tahoma"/>
          <w:bCs/>
          <w:color w:val="auto"/>
          <w:lang w:eastAsia="es-ES"/>
        </w:rPr>
        <w:t>, que precisa que en el mes de octubre se llevó a cabo la Primera Expo Feria Xonacatlán, dos mil veintidós, que previo análisis y estudio técnico, se trasladó del centro de la cabecera municipal, al recinto ubicado en el paraje “La Manga”.</w:t>
      </w:r>
    </w:p>
    <w:p w:rsidRPr="00A4621C" w:rsidR="003F27A5" w:rsidP="004668F2" w:rsidRDefault="003F27A5" w14:paraId="4D5A545F" w14:textId="77777777">
      <w:pPr>
        <w:spacing w:after="0" w:line="360" w:lineRule="auto"/>
        <w:rPr>
          <w:rFonts w:eastAsia="Times New Roman" w:cs="Tahoma"/>
          <w:bCs/>
          <w:color w:val="auto"/>
          <w:lang w:eastAsia="es-ES"/>
        </w:rPr>
      </w:pPr>
    </w:p>
    <w:p w:rsidRPr="00A4621C" w:rsidR="00E133AC" w:rsidP="004668F2" w:rsidRDefault="00560E11" w14:paraId="51D9DBB9" w14:textId="40E070A6">
      <w:pPr>
        <w:spacing w:after="0" w:line="360" w:lineRule="auto"/>
        <w:rPr>
          <w:rFonts w:eastAsia="Times New Roman" w:cs="Tahoma"/>
          <w:bCs/>
          <w:iCs/>
          <w:color w:val="auto"/>
          <w:lang w:eastAsia="es-MX"/>
        </w:rPr>
      </w:pPr>
      <w:r w:rsidRPr="00A4621C">
        <w:rPr>
          <w:rFonts w:eastAsia="Times New Roman" w:cs="Tahoma"/>
          <w:bCs/>
          <w:iCs/>
          <w:color w:val="auto"/>
          <w:lang w:eastAsia="es-MX"/>
        </w:rPr>
        <w:t xml:space="preserve">Además, este Instituto localizó en la cuenta oficial del Ayuntamiento, de la red social Facebook (consultada el siete de febrero de dos mil veintidós, en la liga </w:t>
      </w:r>
      <w:hyperlink w:history="1" r:id="rId7">
        <w:r w:rsidRPr="00A4621C">
          <w:rPr>
            <w:rStyle w:val="Hipervnculo"/>
            <w:rFonts w:eastAsia="Times New Roman" w:cs="Tahoma"/>
            <w:bCs/>
            <w:iCs/>
            <w:lang w:eastAsia="es-MX"/>
          </w:rPr>
          <w:t>https://www.facebook.com/LaCasadelPuebloXonacatlan/videos/comunicado-expo-feria-anual-2022/399586605681674</w:t>
        </w:r>
      </w:hyperlink>
      <w:r w:rsidRPr="00A4621C">
        <w:rPr>
          <w:rFonts w:eastAsia="Times New Roman" w:cs="Tahoma"/>
          <w:bCs/>
          <w:iCs/>
          <w:color w:val="auto"/>
          <w:lang w:eastAsia="es-MX"/>
        </w:rPr>
        <w:t>), un video mediante el cual el Presidente Municipal,  a partir del minuto 2:17, afirma que el Gobierno Municipal adquirió un terreno de dos hectáreas, en la calle Prolongación 16 de S</w:t>
      </w:r>
      <w:r w:rsidRPr="00A4621C" w:rsidR="00B87837">
        <w:rPr>
          <w:rFonts w:eastAsia="Times New Roman" w:cs="Tahoma"/>
          <w:bCs/>
          <w:iCs/>
          <w:color w:val="auto"/>
          <w:lang w:eastAsia="es-MX"/>
        </w:rPr>
        <w:t>eptiembre, en el cual se planeaba realizar la Expo Feria Xonacatlán, del primero al diez de octubre de dos mil veintidós, se muestra una imagen ilustrativa del audio visual referido:</w:t>
      </w:r>
    </w:p>
    <w:p w:rsidRPr="00A4621C" w:rsidR="00E133AC" w:rsidP="004668F2" w:rsidRDefault="00E133AC" w14:paraId="2DCF2652" w14:textId="77777777">
      <w:pPr>
        <w:spacing w:after="0" w:line="360" w:lineRule="auto"/>
        <w:rPr>
          <w:rFonts w:eastAsia="Times New Roman" w:cs="Tahoma"/>
          <w:bCs/>
          <w:iCs/>
          <w:color w:val="auto"/>
          <w:lang w:eastAsia="es-MX"/>
        </w:rPr>
      </w:pPr>
    </w:p>
    <w:p w:rsidRPr="00A4621C" w:rsidR="00E133AC" w:rsidP="004668F2" w:rsidRDefault="00560E11" w14:paraId="7EFDD0A8" w14:textId="3804709B">
      <w:pPr>
        <w:spacing w:after="0" w:line="360" w:lineRule="auto"/>
        <w:rPr>
          <w:rFonts w:eastAsia="Times New Roman" w:cs="Tahoma"/>
          <w:bCs/>
          <w:iCs/>
          <w:color w:val="auto"/>
          <w:lang w:eastAsia="es-MX"/>
        </w:rPr>
      </w:pPr>
      <w:r w:rsidRPr="00A4621C">
        <w:rPr>
          <w:rFonts w:eastAsia="Times New Roman" w:cs="Tahoma"/>
          <w:bCs/>
          <w:iCs/>
          <w:noProof/>
          <w:color w:val="auto"/>
          <w:lang w:val="es-MX" w:eastAsia="es-MX"/>
        </w:rPr>
        <w:lastRenderedPageBreak/>
        <w:drawing>
          <wp:inline distT="0" distB="0" distL="0" distR="0" wp14:anchorId="1D60C31A" wp14:editId="5633F48E">
            <wp:extent cx="5791835" cy="29197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919730"/>
                    </a:xfrm>
                    <a:prstGeom prst="rect">
                      <a:avLst/>
                    </a:prstGeom>
                  </pic:spPr>
                </pic:pic>
              </a:graphicData>
            </a:graphic>
          </wp:inline>
        </w:drawing>
      </w:r>
    </w:p>
    <w:p w:rsidRPr="00A4621C" w:rsidR="00CA742E" w:rsidP="004668F2" w:rsidRDefault="00CA742E" w14:paraId="558E17AF" w14:textId="77777777">
      <w:pPr>
        <w:spacing w:after="0" w:line="360" w:lineRule="auto"/>
        <w:rPr>
          <w:rFonts w:eastAsia="Times New Roman" w:cs="Tahoma"/>
          <w:bCs/>
          <w:iCs/>
          <w:color w:val="auto"/>
          <w:lang w:eastAsia="es-MX"/>
        </w:rPr>
      </w:pPr>
    </w:p>
    <w:p w:rsidRPr="00A4621C" w:rsidR="00B87837" w:rsidP="004668F2" w:rsidRDefault="00B87837" w14:paraId="48CE1B62" w14:textId="5AC45223">
      <w:pPr>
        <w:spacing w:after="0" w:line="360" w:lineRule="auto"/>
        <w:rPr>
          <w:rFonts w:eastAsia="Times New Roman" w:cs="Tahoma"/>
          <w:bCs/>
          <w:iCs/>
          <w:color w:val="auto"/>
          <w:lang w:eastAsia="es-MX"/>
        </w:rPr>
      </w:pPr>
      <w:r w:rsidRPr="00A4621C">
        <w:rPr>
          <w:rFonts w:eastAsia="Times New Roman" w:cs="Tahoma"/>
          <w:bCs/>
          <w:iCs/>
          <w:color w:val="auto"/>
          <w:lang w:eastAsia="es-MX"/>
        </w:rPr>
        <w:t>Además, se localizó el video publicado el veintiséis de septiembre de dos mil veintidós</w:t>
      </w:r>
      <w:r w:rsidRPr="00A4621C" w:rsidR="0058521A">
        <w:rPr>
          <w:rFonts w:eastAsia="Times New Roman" w:cs="Tahoma"/>
          <w:bCs/>
          <w:iCs/>
          <w:color w:val="auto"/>
          <w:lang w:eastAsia="es-MX"/>
        </w:rPr>
        <w:t>, en la cuenta oficial del Ayuntamiento, de la res social previamente referida (consultado el en la liga veitnidóshttps://www.facebook.com/LaCasadelPuebloXonacatlan/videos/26-de-septiembre-2022/355334953402523/, el siete de febrero de dos mil veintidós), en el cual se informa que los servidores públicos del Sujeto Obligado, suman esfuerzos para acondicionar el recinto que albergaría la Expo Feria Xonacatlán, dos mil veintidós.</w:t>
      </w:r>
    </w:p>
    <w:p w:rsidRPr="00A4621C" w:rsidR="00E133AC" w:rsidP="004668F2" w:rsidRDefault="00E133AC" w14:paraId="6A3AB810" w14:textId="77777777">
      <w:pPr>
        <w:spacing w:after="0" w:line="360" w:lineRule="auto"/>
        <w:rPr>
          <w:rFonts w:eastAsia="Times New Roman" w:cs="Tahoma"/>
          <w:bCs/>
          <w:iCs/>
          <w:color w:val="auto"/>
          <w:lang w:eastAsia="es-MX"/>
        </w:rPr>
      </w:pPr>
    </w:p>
    <w:p w:rsidRPr="00A4621C" w:rsidR="00B87837" w:rsidP="004668F2" w:rsidRDefault="0058521A" w14:paraId="7D4E5802" w14:textId="1B2F6D19">
      <w:pPr>
        <w:spacing w:after="0" w:line="360" w:lineRule="auto"/>
        <w:rPr>
          <w:rFonts w:eastAsia="Times New Roman" w:cs="Tahoma"/>
          <w:bCs/>
          <w:iCs/>
          <w:color w:val="auto"/>
          <w:lang w:eastAsia="es-MX"/>
        </w:rPr>
      </w:pPr>
      <w:r w:rsidRPr="00A4621C">
        <w:rPr>
          <w:rFonts w:eastAsia="Times New Roman" w:cs="Tahoma"/>
          <w:bCs/>
          <w:iCs/>
          <w:color w:val="auto"/>
          <w:lang w:eastAsia="es-MX"/>
        </w:rPr>
        <w:t>Con base a lo anterior, este Instituto advierte que la pretensión del ahora Recurrente, es obtener los documentos donde consten los materiales utilizados para realizar las adecuaciones en el recinto utilizado para llevar a cabo la Expo Feria Xonacatlán, dos mil veintidós.</w:t>
      </w:r>
    </w:p>
    <w:p w:rsidRPr="00A4621C" w:rsidR="00B87837" w:rsidP="004668F2" w:rsidRDefault="00B87837" w14:paraId="41933E69" w14:textId="77777777">
      <w:pPr>
        <w:spacing w:after="0" w:line="360" w:lineRule="auto"/>
        <w:rPr>
          <w:rFonts w:eastAsia="Times New Roman" w:cs="Tahoma"/>
          <w:bCs/>
          <w:iCs/>
          <w:color w:val="auto"/>
          <w:lang w:eastAsia="es-MX"/>
        </w:rPr>
      </w:pPr>
    </w:p>
    <w:p w:rsidRPr="00A4621C" w:rsidR="002253C7" w:rsidP="004668F2" w:rsidRDefault="002253C7" w14:paraId="3A034995" w14:textId="05792ABB">
      <w:pPr>
        <w:spacing w:after="0" w:line="360" w:lineRule="auto"/>
        <w:rPr>
          <w:rFonts w:eastAsia="Calibri" w:cs="Times New Roman"/>
          <w:bCs/>
          <w:iCs/>
        </w:rPr>
      </w:pPr>
      <w:r w:rsidRPr="00A4621C">
        <w:rPr>
          <w:rFonts w:eastAsia="Times New Roman" w:cs="Tahoma"/>
          <w:bCs/>
          <w:iCs/>
          <w:color w:val="auto"/>
          <w:lang w:eastAsia="es-MX"/>
        </w:rPr>
        <w:t xml:space="preserve">Con base en lo anterior se procede a realizar el estudio de la respuesta proporcionada por el Sujeto Obligado, </w:t>
      </w:r>
      <w:r w:rsidRPr="00A4621C">
        <w:rPr>
          <w:rFonts w:eastAsia="Calibri" w:cs="Tahoma"/>
          <w:bCs/>
        </w:rPr>
        <w:t xml:space="preserve">por lo que, se procede a su análisis; para lo cual, </w:t>
      </w:r>
      <w:r w:rsidRPr="00A4621C">
        <w:rPr>
          <w:rFonts w:eastAsia="Calibri" w:cs="Times New Roman"/>
          <w:bCs/>
        </w:rPr>
        <w:t xml:space="preserve">en principio se advierte que el </w:t>
      </w:r>
      <w:r w:rsidRPr="00A4621C">
        <w:rPr>
          <w:rFonts w:eastAsia="Calibri" w:cs="Times New Roman"/>
          <w:bCs/>
          <w:iCs/>
        </w:rPr>
        <w:t xml:space="preserve">Sujeto Obligado turno el requerimiento de información a la </w:t>
      </w:r>
      <w:r w:rsidRPr="00A4621C">
        <w:rPr>
          <w:rFonts w:eastAsia="Calibri" w:cs="Times New Roman"/>
          <w:b/>
          <w:iCs/>
        </w:rPr>
        <w:t>Dirección de Obras Públicas</w:t>
      </w:r>
      <w:r w:rsidRPr="00A4621C" w:rsidR="0058521A">
        <w:rPr>
          <w:rFonts w:eastAsia="Calibri" w:cs="Times New Roman"/>
          <w:b/>
          <w:iCs/>
        </w:rPr>
        <w:t>,</w:t>
      </w:r>
      <w:r w:rsidRPr="00A4621C">
        <w:rPr>
          <w:rFonts w:eastAsia="Calibri" w:cs="Times New Roman"/>
          <w:bCs/>
          <w:iCs/>
        </w:rPr>
        <w:t xml:space="preserve"> por lo que, </w:t>
      </w:r>
      <w:r w:rsidRPr="00A4621C">
        <w:rPr>
          <w:rFonts w:eastAsia="Calibri" w:cs="Times New Roman"/>
          <w:bCs/>
        </w:rPr>
        <w:t xml:space="preserve">es necesario hacer referencia, al procedimiento de búsqueda que deben de seguir </w:t>
      </w:r>
      <w:r w:rsidRPr="00A4621C">
        <w:rPr>
          <w:rFonts w:eastAsia="Calibri" w:cs="Times New Roman"/>
          <w:bCs/>
        </w:rPr>
        <w:lastRenderedPageBreak/>
        <w:t>los Sujetos Obligados para localizar la información, el cual se encuentra previsto en los artículos 160 y 162 de la Ley de Transparencia y Acceso a la Información Pública del Estado de México y Municipios, mismo que es el siguiente:</w:t>
      </w:r>
    </w:p>
    <w:p w:rsidRPr="00A4621C" w:rsidR="002253C7" w:rsidP="004668F2" w:rsidRDefault="002253C7" w14:paraId="2B2AB717" w14:textId="77777777">
      <w:pPr>
        <w:spacing w:after="0" w:line="360" w:lineRule="auto"/>
        <w:rPr>
          <w:rFonts w:eastAsia="Calibri" w:cs="Times New Roman"/>
          <w:bCs/>
        </w:rPr>
      </w:pPr>
    </w:p>
    <w:p w:rsidRPr="00A4621C" w:rsidR="002253C7" w:rsidP="004668F2" w:rsidRDefault="002253C7" w14:paraId="20BEBEA8" w14:textId="7B0D7574">
      <w:pPr>
        <w:numPr>
          <w:ilvl w:val="0"/>
          <w:numId w:val="7"/>
        </w:numPr>
        <w:spacing w:after="0" w:line="360" w:lineRule="auto"/>
        <w:rPr>
          <w:rFonts w:eastAsia="Calibri" w:cs="Times New Roman"/>
          <w:bCs/>
        </w:rPr>
      </w:pPr>
      <w:r w:rsidRPr="00A4621C">
        <w:rPr>
          <w:rFonts w:eastAsia="Calibri" w:cs="Times New Roman"/>
          <w:bCs/>
        </w:rPr>
        <w:t>Las Unidades de Transparencia garantizarán que las solicitudes de acceso a la información se turnen a todas las áreas competentes que cuenten con la información o deban tenerla -</w:t>
      </w:r>
      <w:r w:rsidRPr="00A4621C" w:rsidR="00C02A5F">
        <w:rPr>
          <w:rFonts w:eastAsia="Calibri" w:cs="Times New Roman"/>
          <w:bCs/>
        </w:rPr>
        <w:t>de acuerdo con</w:t>
      </w:r>
      <w:r w:rsidRPr="00A4621C">
        <w:rPr>
          <w:rFonts w:eastAsia="Calibri" w:cs="Times New Roman"/>
          <w:bCs/>
        </w:rPr>
        <w:t xml:space="preserve"> las facultades, competencias y funciones-, con el objeto de que dichas áreas realicen una búsqueda exhaustiva y razonable de la información requerida, y</w:t>
      </w:r>
    </w:p>
    <w:p w:rsidRPr="00A4621C" w:rsidR="005125C2" w:rsidP="004668F2" w:rsidRDefault="005125C2" w14:paraId="356675D2" w14:textId="77777777">
      <w:pPr>
        <w:spacing w:after="0" w:line="360" w:lineRule="auto"/>
        <w:ind w:left="720"/>
        <w:rPr>
          <w:rFonts w:eastAsia="Calibri" w:cs="Times New Roman"/>
          <w:bCs/>
        </w:rPr>
      </w:pPr>
    </w:p>
    <w:p w:rsidRPr="00A4621C" w:rsidR="002253C7" w:rsidP="004668F2" w:rsidRDefault="002253C7" w14:paraId="561DE082" w14:textId="5CFF9479">
      <w:pPr>
        <w:numPr>
          <w:ilvl w:val="0"/>
          <w:numId w:val="7"/>
        </w:numPr>
        <w:spacing w:after="0" w:line="360" w:lineRule="auto"/>
        <w:rPr>
          <w:rFonts w:eastAsia="Calibri" w:cs="Times New Roman"/>
          <w:bCs/>
        </w:rPr>
      </w:pPr>
      <w:r w:rsidRPr="00A4621C">
        <w:rPr>
          <w:rFonts w:eastAsia="Calibri" w:cs="Times New Roman"/>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A4621C" w:rsidR="002253C7" w:rsidP="004668F2" w:rsidRDefault="002253C7" w14:paraId="25DAFE64" w14:textId="77777777">
      <w:pPr>
        <w:spacing w:after="0" w:line="360" w:lineRule="auto"/>
        <w:contextualSpacing/>
        <w:rPr>
          <w:rFonts w:eastAsia="Calibri" w:cs="Tahoma"/>
          <w:iCs/>
          <w:lang w:eastAsia="es-ES_tradnl"/>
        </w:rPr>
      </w:pPr>
    </w:p>
    <w:p w:rsidRPr="00A4621C" w:rsidR="004E3DDF" w:rsidP="004668F2" w:rsidRDefault="002253C7" w14:paraId="18AB3197" w14:textId="7422E8EF">
      <w:pPr>
        <w:spacing w:after="0" w:line="360" w:lineRule="auto"/>
        <w:contextualSpacing/>
        <w:rPr>
          <w:rFonts w:eastAsia="Calibri" w:cs="Tahoma"/>
          <w:iCs/>
          <w:lang w:eastAsia="es-ES_tradnl"/>
        </w:rPr>
      </w:pPr>
      <w:r w:rsidRPr="00A4621C">
        <w:rPr>
          <w:rFonts w:eastAsia="Calibri" w:cs="Times New Roman"/>
          <w:bCs/>
        </w:rPr>
        <w:t>Así, a efecto de verificar que el Sujeto Obligado cumplió con dicho procedimiento, es necesario traer a colación</w:t>
      </w:r>
      <w:r w:rsidRPr="00A4621C" w:rsidR="00FF7F2D">
        <w:rPr>
          <w:rFonts w:eastAsia="Calibri" w:cs="Tahoma"/>
          <w:iCs/>
          <w:lang w:eastAsia="es-ES_tradnl"/>
        </w:rPr>
        <w:t xml:space="preserve"> l</w:t>
      </w:r>
      <w:r w:rsidRPr="00A4621C" w:rsidR="00402421">
        <w:rPr>
          <w:rFonts w:eastAsia="Calibri" w:cs="Tahoma"/>
          <w:iCs/>
          <w:lang w:eastAsia="es-ES_tradnl"/>
        </w:rPr>
        <w:t>os</w:t>
      </w:r>
      <w:r w:rsidRPr="00A4621C" w:rsidR="00FF7F2D">
        <w:rPr>
          <w:rFonts w:eastAsia="Calibri" w:cs="Tahoma"/>
          <w:iCs/>
          <w:lang w:eastAsia="es-ES_tradnl"/>
        </w:rPr>
        <w:t xml:space="preserve"> artículo</w:t>
      </w:r>
      <w:r w:rsidRPr="00A4621C" w:rsidR="00402421">
        <w:rPr>
          <w:rFonts w:eastAsia="Calibri" w:cs="Tahoma"/>
          <w:iCs/>
          <w:lang w:eastAsia="es-ES_tradnl"/>
        </w:rPr>
        <w:t>s</w:t>
      </w:r>
      <w:r w:rsidRPr="00A4621C" w:rsidR="00FF7F2D">
        <w:rPr>
          <w:rFonts w:eastAsia="Calibri" w:cs="Tahoma"/>
          <w:iCs/>
          <w:lang w:eastAsia="es-ES_tradnl"/>
        </w:rPr>
        <w:t xml:space="preserve"> </w:t>
      </w:r>
      <w:r w:rsidRPr="00A4621C">
        <w:rPr>
          <w:rFonts w:eastAsia="Calibri" w:cs="Tahoma"/>
          <w:iCs/>
          <w:lang w:eastAsia="es-ES_tradnl"/>
        </w:rPr>
        <w:t>52</w:t>
      </w:r>
      <w:r w:rsidRPr="00A4621C" w:rsidR="0058521A">
        <w:rPr>
          <w:rFonts w:eastAsia="Calibri" w:cs="Tahoma"/>
          <w:iCs/>
          <w:lang w:eastAsia="es-ES_tradnl"/>
        </w:rPr>
        <w:t>, fracciones</w:t>
      </w:r>
      <w:r w:rsidRPr="00A4621C">
        <w:rPr>
          <w:rFonts w:eastAsia="Calibri" w:cs="Tahoma"/>
          <w:iCs/>
          <w:lang w:eastAsia="es-ES_tradnl"/>
        </w:rPr>
        <w:t xml:space="preserve"> VIII</w:t>
      </w:r>
      <w:r w:rsidRPr="00A4621C" w:rsidR="007C1429">
        <w:rPr>
          <w:rFonts w:eastAsia="Calibri" w:cs="Tahoma"/>
          <w:iCs/>
          <w:lang w:eastAsia="es-ES_tradnl"/>
        </w:rPr>
        <w:t xml:space="preserve"> y XVI</w:t>
      </w:r>
      <w:r w:rsidRPr="00A4621C">
        <w:rPr>
          <w:rFonts w:eastAsia="Calibri" w:cs="Tahoma"/>
          <w:iCs/>
          <w:lang w:eastAsia="es-ES_tradnl"/>
        </w:rPr>
        <w:t xml:space="preserve">, </w:t>
      </w:r>
      <w:r w:rsidRPr="00A4621C" w:rsidR="00402421">
        <w:rPr>
          <w:rFonts w:eastAsia="Calibri" w:cs="Tahoma"/>
          <w:iCs/>
          <w:lang w:eastAsia="es-ES_tradnl"/>
        </w:rPr>
        <w:t xml:space="preserve">55 fracciones I y III, y 56 </w:t>
      </w:r>
      <w:r w:rsidRPr="00A4621C" w:rsidR="00FF7F2D">
        <w:rPr>
          <w:rFonts w:eastAsia="Calibri" w:cs="Tahoma"/>
          <w:iCs/>
          <w:lang w:eastAsia="es-ES_tradnl"/>
        </w:rPr>
        <w:t xml:space="preserve">del </w:t>
      </w:r>
      <w:r w:rsidRPr="00A4621C" w:rsidR="00402421">
        <w:rPr>
          <w:rFonts w:eastAsia="Calibri" w:cs="Tahoma"/>
          <w:iCs/>
          <w:lang w:eastAsia="es-ES_tradnl"/>
        </w:rPr>
        <w:t>Bando Municipal de Xonacatlán dos mil veintidós</w:t>
      </w:r>
      <w:r w:rsidRPr="00A4621C" w:rsidR="00FF7F2D">
        <w:rPr>
          <w:rFonts w:eastAsia="Calibri" w:cs="Tahoma"/>
          <w:iCs/>
          <w:lang w:eastAsia="es-ES_tradnl"/>
        </w:rPr>
        <w:t>,</w:t>
      </w:r>
      <w:r w:rsidRPr="00A4621C" w:rsidR="007C1429">
        <w:rPr>
          <w:rFonts w:eastAsia="Calibri" w:cs="Tahoma"/>
          <w:iCs/>
          <w:lang w:eastAsia="es-ES_tradnl"/>
        </w:rPr>
        <w:t xml:space="preserve"> con relación al Manual de Organización de la Dirección de Administración y Desarrollo de Personal,</w:t>
      </w:r>
      <w:r w:rsidRPr="00A4621C" w:rsidR="00FF7F2D">
        <w:rPr>
          <w:rFonts w:eastAsia="Calibri" w:cs="Tahoma"/>
          <w:iCs/>
          <w:lang w:eastAsia="es-ES_tradnl"/>
        </w:rPr>
        <w:t xml:space="preserve"> </w:t>
      </w:r>
      <w:r w:rsidRPr="00A4621C">
        <w:rPr>
          <w:rFonts w:eastAsia="Calibri" w:cs="Tahoma"/>
          <w:iCs/>
          <w:lang w:eastAsia="es-ES_tradnl"/>
        </w:rPr>
        <w:t xml:space="preserve">los cuales </w:t>
      </w:r>
      <w:r w:rsidRPr="00A4621C" w:rsidR="007C1429">
        <w:rPr>
          <w:rFonts w:eastAsia="Calibri" w:cs="Tahoma"/>
          <w:iCs/>
          <w:lang w:eastAsia="es-ES_tradnl"/>
        </w:rPr>
        <w:t>precisan</w:t>
      </w:r>
      <w:r w:rsidRPr="00A4621C" w:rsidR="00FF7F2D">
        <w:rPr>
          <w:rFonts w:eastAsia="Calibri" w:cs="Tahoma"/>
          <w:iCs/>
          <w:lang w:eastAsia="es-ES_tradnl"/>
        </w:rPr>
        <w:t xml:space="preserve"> </w:t>
      </w:r>
      <w:r w:rsidRPr="00A4621C" w:rsidR="004E3DDF">
        <w:rPr>
          <w:rFonts w:eastAsia="Calibri" w:cs="Tahoma"/>
          <w:iCs/>
          <w:lang w:eastAsia="es-ES_tradnl"/>
        </w:rPr>
        <w:t xml:space="preserve">que </w:t>
      </w:r>
      <w:r w:rsidRPr="00A4621C">
        <w:rPr>
          <w:rFonts w:eastAsia="Calibri" w:cs="Tahoma"/>
          <w:iCs/>
          <w:lang w:eastAsia="es-ES_tradnl"/>
        </w:rPr>
        <w:t xml:space="preserve">el Ayuntamiento </w:t>
      </w:r>
      <w:r w:rsidRPr="00A4621C" w:rsidR="004E3DDF">
        <w:rPr>
          <w:rFonts w:eastAsia="Calibri" w:cs="Tahoma"/>
          <w:iCs/>
          <w:lang w:eastAsia="es-ES_tradnl"/>
        </w:rPr>
        <w:t>para el cumplimiento de sus funciones, contará con diversas unidades administrativas para el ejercicio de sus funciones, entre las cuales, se encuentran las siguientes:</w:t>
      </w:r>
    </w:p>
    <w:p w:rsidRPr="00A4621C" w:rsidR="004E3DDF" w:rsidP="004668F2" w:rsidRDefault="004E3DDF" w14:paraId="7A4F1CB2" w14:textId="77777777">
      <w:pPr>
        <w:spacing w:after="0" w:line="360" w:lineRule="auto"/>
        <w:contextualSpacing/>
        <w:rPr>
          <w:rFonts w:eastAsia="Calibri" w:cs="Tahoma"/>
          <w:iCs/>
          <w:lang w:eastAsia="es-ES_tradnl"/>
        </w:rPr>
      </w:pPr>
    </w:p>
    <w:p w:rsidRPr="00A4621C" w:rsidR="001C536C" w:rsidP="004668F2" w:rsidRDefault="002253C7" w14:paraId="2D5E0048" w14:textId="6C9A52E9">
      <w:pPr>
        <w:pStyle w:val="Prrafodelista"/>
        <w:numPr>
          <w:ilvl w:val="0"/>
          <w:numId w:val="9"/>
        </w:numPr>
        <w:spacing w:line="360" w:lineRule="auto"/>
        <w:jc w:val="both"/>
        <w:rPr>
          <w:rFonts w:ascii="Palatino Linotype" w:hAnsi="Palatino Linotype" w:cs="Tahoma"/>
          <w:bCs/>
          <w:iCs/>
          <w:lang w:eastAsia="es-MX"/>
        </w:rPr>
      </w:pPr>
      <w:r w:rsidRPr="00A4621C">
        <w:rPr>
          <w:rFonts w:ascii="Palatino Linotype" w:hAnsi="Palatino Linotype" w:eastAsia="Calibri" w:cs="Tahoma"/>
          <w:b/>
          <w:iCs/>
          <w:lang w:eastAsia="es-ES_tradnl"/>
        </w:rPr>
        <w:t>Dirección de Obras Públicas</w:t>
      </w:r>
      <w:r w:rsidRPr="00A4621C" w:rsidR="004E3DDF">
        <w:rPr>
          <w:rFonts w:ascii="Palatino Linotype" w:hAnsi="Palatino Linotype" w:eastAsia="Calibri" w:cs="Tahoma"/>
          <w:iCs/>
          <w:lang w:eastAsia="es-ES_tradnl"/>
        </w:rPr>
        <w:t xml:space="preserve"> encargada de </w:t>
      </w:r>
      <w:r w:rsidRPr="00A4621C" w:rsidR="00402421">
        <w:rPr>
          <w:rFonts w:ascii="Palatino Linotype" w:hAnsi="Palatino Linotype" w:eastAsia="Calibri" w:cs="Tahoma"/>
          <w:iCs/>
          <w:lang w:eastAsia="es-ES_tradnl"/>
        </w:rPr>
        <w:t>reparar y ejecu</w:t>
      </w:r>
      <w:r w:rsidRPr="00A4621C" w:rsidR="004E3DDF">
        <w:rPr>
          <w:rFonts w:ascii="Palatino Linotype" w:hAnsi="Palatino Linotype" w:eastAsia="Calibri" w:cs="Tahoma"/>
          <w:iCs/>
          <w:lang w:eastAsia="es-ES_tradnl"/>
        </w:rPr>
        <w:t>tar el programa de obra pública; así como, de</w:t>
      </w:r>
      <w:r w:rsidRPr="00A4621C" w:rsidR="00402421">
        <w:rPr>
          <w:rFonts w:ascii="Palatino Linotype" w:hAnsi="Palatino Linotype" w:eastAsia="Calibri" w:cs="Tahoma"/>
          <w:iCs/>
          <w:lang w:eastAsia="es-ES_tradnl"/>
        </w:rPr>
        <w:t xml:space="preserve"> licitar, concursar o asignar en su caso servici</w:t>
      </w:r>
      <w:r w:rsidRPr="00A4621C" w:rsidR="004E3DDF">
        <w:rPr>
          <w:rFonts w:ascii="Palatino Linotype" w:hAnsi="Palatino Linotype" w:eastAsia="Calibri" w:cs="Tahoma"/>
          <w:iCs/>
          <w:lang w:eastAsia="es-ES_tradnl"/>
        </w:rPr>
        <w:t>os de obras públicas aprobadas, y</w:t>
      </w:r>
    </w:p>
    <w:p w:rsidRPr="00A4621C" w:rsidR="004E3DDF" w:rsidP="004668F2" w:rsidRDefault="004E3DDF" w14:paraId="776BAA0E" w14:textId="77777777">
      <w:pPr>
        <w:pStyle w:val="Prrafodelista"/>
        <w:spacing w:line="360" w:lineRule="auto"/>
        <w:jc w:val="both"/>
        <w:rPr>
          <w:rFonts w:ascii="Palatino Linotype" w:hAnsi="Palatino Linotype" w:cs="Tahoma"/>
          <w:bCs/>
          <w:iCs/>
          <w:lang w:eastAsia="es-MX"/>
        </w:rPr>
      </w:pPr>
    </w:p>
    <w:p w:rsidRPr="00A4621C" w:rsidR="004E3DDF" w:rsidP="004668F2" w:rsidRDefault="004E3DDF" w14:paraId="71E15582" w14:textId="0033B5C4">
      <w:pPr>
        <w:pStyle w:val="Prrafodelista"/>
        <w:numPr>
          <w:ilvl w:val="0"/>
          <w:numId w:val="9"/>
        </w:numPr>
        <w:spacing w:line="360" w:lineRule="auto"/>
        <w:jc w:val="both"/>
        <w:rPr>
          <w:rFonts w:ascii="Palatino Linotype" w:hAnsi="Palatino Linotype" w:cs="Tahoma"/>
          <w:bCs/>
          <w:iCs/>
          <w:lang w:eastAsia="es-MX"/>
        </w:rPr>
      </w:pPr>
      <w:r w:rsidRPr="00A4621C">
        <w:rPr>
          <w:rFonts w:ascii="Palatino Linotype" w:hAnsi="Palatino Linotype" w:cs="Tahoma"/>
          <w:b/>
          <w:bCs/>
          <w:iCs/>
          <w:lang w:eastAsia="es-MX"/>
        </w:rPr>
        <w:lastRenderedPageBreak/>
        <w:t xml:space="preserve">Dirección de Administración y Desarrollo de Personal </w:t>
      </w:r>
      <w:r w:rsidRPr="00A4621C">
        <w:rPr>
          <w:rFonts w:ascii="Palatino Linotype" w:hAnsi="Palatino Linotype" w:cs="Tahoma"/>
          <w:bCs/>
          <w:iCs/>
          <w:lang w:eastAsia="es-MX"/>
        </w:rPr>
        <w:t>encargada de intervenir, vigilar y dar el seguimiento correspondiente a todos los procedimientos de adquisición, arrendamiento de inmuebles, contratación de servicios, enajenación y subasta de bienes; de revisar, suscribir y vigilar todos aquellos contratos que se formalicen con proveedores, así como su ejecución y ejercicio, relativos a fallos de adjudicación de procesos respectivos; así como, implementar y supervisar que se lleven a cabo todas las actividades relacionadas al mantenimiento, adecuación, conservación, aseo y limpieza de las áreas que integran el Ayuntamiento.</w:t>
      </w:r>
    </w:p>
    <w:p w:rsidRPr="00A4621C" w:rsidR="004E3DDF" w:rsidP="004668F2" w:rsidRDefault="004E3DDF" w14:paraId="5AD0D507" w14:textId="77777777">
      <w:pPr>
        <w:pStyle w:val="Prrafodelista"/>
        <w:spacing w:line="360" w:lineRule="auto"/>
        <w:rPr>
          <w:rFonts w:ascii="Palatino Linotype" w:hAnsi="Palatino Linotype" w:cs="Tahoma"/>
          <w:bCs/>
          <w:iCs/>
          <w:lang w:eastAsia="es-MX"/>
        </w:rPr>
      </w:pPr>
    </w:p>
    <w:p w:rsidRPr="00A4621C" w:rsidR="004E3DDF" w:rsidP="004668F2" w:rsidRDefault="004E3DDF" w14:paraId="1A45BB6B" w14:textId="24A08EAE">
      <w:pPr>
        <w:pStyle w:val="Prrafodelista"/>
        <w:spacing w:line="360" w:lineRule="auto"/>
        <w:jc w:val="both"/>
        <w:rPr>
          <w:rFonts w:ascii="Palatino Linotype" w:hAnsi="Palatino Linotype" w:cs="Tahoma"/>
          <w:bCs/>
          <w:iCs/>
          <w:lang w:eastAsia="es-MX"/>
        </w:rPr>
      </w:pPr>
      <w:r w:rsidRPr="00A4621C">
        <w:rPr>
          <w:rFonts w:ascii="Palatino Linotype" w:hAnsi="Palatino Linotype" w:cs="Tahoma"/>
          <w:bCs/>
          <w:iCs/>
          <w:lang w:eastAsia="es-MX"/>
        </w:rPr>
        <w:t xml:space="preserve">Lo anterior, a través de la </w:t>
      </w:r>
      <w:r w:rsidRPr="00A4621C">
        <w:rPr>
          <w:rFonts w:ascii="Palatino Linotype" w:hAnsi="Palatino Linotype" w:cs="Tahoma"/>
          <w:b/>
          <w:bCs/>
          <w:iCs/>
          <w:lang w:eastAsia="es-MX"/>
        </w:rPr>
        <w:t>Coordinación de Adquisiciones</w:t>
      </w:r>
      <w:r w:rsidRPr="00A4621C">
        <w:rPr>
          <w:rFonts w:ascii="Palatino Linotype" w:hAnsi="Palatino Linotype" w:cs="Tahoma"/>
          <w:bCs/>
          <w:iCs/>
          <w:lang w:eastAsia="es-MX"/>
        </w:rPr>
        <w:t xml:space="preserve"> que lleva a cabo los procedimientos para la adquisición de los bienes y servicios y el arrendamiento, adquisición y enajenación de inmuebles; autoriza y suscribe los pedidos-contrato que se finquen relativos a procedimientos de adquisiciones y compras de bienes, materiales y suministros; elabora los contratos de adquisición de los bienes y servicios y de arrendamiento, adquisición y enajenación de inmuebles</w:t>
      </w:r>
      <w:r w:rsidRPr="00A4621C" w:rsidR="004668F2">
        <w:rPr>
          <w:rFonts w:ascii="Palatino Linotype" w:hAnsi="Palatino Linotype" w:cs="Tahoma"/>
          <w:bCs/>
          <w:iCs/>
          <w:lang w:eastAsia="es-MX"/>
        </w:rPr>
        <w:t>; así como, controla y vigila el anejo y operación del almacén municipal, estableciendo un sistema estricto de recepción, resguardo y entrega de materiales, bienes y suministros.</w:t>
      </w:r>
      <w:r w:rsidRPr="00A4621C">
        <w:rPr>
          <w:rFonts w:ascii="Palatino Linotype" w:hAnsi="Palatino Linotype" w:cs="Tahoma"/>
          <w:bCs/>
          <w:iCs/>
          <w:lang w:eastAsia="es-MX"/>
        </w:rPr>
        <w:t xml:space="preserve"> </w:t>
      </w:r>
    </w:p>
    <w:p w:rsidRPr="00A4621C" w:rsidR="004E3DDF" w:rsidP="004668F2" w:rsidRDefault="004E3DDF" w14:paraId="34932848" w14:textId="77777777">
      <w:pPr>
        <w:pStyle w:val="Prrafodelista"/>
        <w:spacing w:line="360" w:lineRule="auto"/>
        <w:rPr>
          <w:rFonts w:ascii="Palatino Linotype" w:hAnsi="Palatino Linotype" w:cs="Tahoma"/>
          <w:bCs/>
          <w:iCs/>
          <w:lang w:eastAsia="es-MX"/>
        </w:rPr>
      </w:pPr>
    </w:p>
    <w:p w:rsidRPr="00A4621C" w:rsidR="002253C7" w:rsidP="004668F2" w:rsidRDefault="002253C7" w14:paraId="4501F788" w14:textId="1562736F">
      <w:pPr>
        <w:spacing w:after="0" w:line="360" w:lineRule="auto"/>
        <w:rPr>
          <w:rFonts w:eastAsia="Calibri" w:cs="Tahoma"/>
          <w:color w:val="000000"/>
          <w:szCs w:val="24"/>
          <w:lang w:eastAsia="es-MX"/>
        </w:rPr>
      </w:pPr>
      <w:r w:rsidRPr="00A4621C">
        <w:rPr>
          <w:rFonts w:eastAsia="Calibri" w:cs="Times New Roman"/>
        </w:rPr>
        <w:t>De tal circunstancia</w:t>
      </w:r>
      <w:r w:rsidRPr="00A4621C">
        <w:rPr>
          <w:rFonts w:eastAsia="Calibri" w:cs="Tahoma"/>
          <w:bCs/>
          <w:iCs/>
        </w:rPr>
        <w:t>, se logra colegir que el Sujeto Obligado</w:t>
      </w:r>
      <w:r w:rsidRPr="00A4621C" w:rsidR="004668F2">
        <w:rPr>
          <w:rFonts w:eastAsia="Calibri" w:cs="Tahoma"/>
          <w:bCs/>
          <w:iCs/>
        </w:rPr>
        <w:t xml:space="preserve"> </w:t>
      </w:r>
      <w:r w:rsidRPr="00A4621C" w:rsidR="004668F2">
        <w:rPr>
          <w:rFonts w:eastAsia="Calibri" w:cs="Tahoma"/>
          <w:b/>
          <w:bCs/>
          <w:iCs/>
        </w:rPr>
        <w:t>no</w:t>
      </w:r>
      <w:r w:rsidRPr="00A4621C">
        <w:rPr>
          <w:rFonts w:eastAsia="Calibri" w:cs="Tahoma"/>
          <w:b/>
          <w:bCs/>
          <w:iCs/>
        </w:rPr>
        <w:t xml:space="preserve"> cumplió con el procedimiento de búsqueda</w:t>
      </w:r>
      <w:r w:rsidRPr="00A4621C" w:rsidR="004668F2">
        <w:rPr>
          <w:rFonts w:eastAsia="Calibri" w:cs="Tahoma"/>
          <w:b/>
          <w:bCs/>
          <w:iCs/>
        </w:rPr>
        <w:t>,</w:t>
      </w:r>
      <w:r w:rsidRPr="00A4621C">
        <w:rPr>
          <w:rFonts w:eastAsia="Calibri" w:cs="Tahoma"/>
          <w:bCs/>
          <w:iCs/>
        </w:rPr>
        <w:t xml:space="preserve"> </w:t>
      </w:r>
      <w:r w:rsidRPr="00A4621C">
        <w:rPr>
          <w:rFonts w:eastAsia="Calibri" w:cs="Tahoma"/>
          <w:color w:val="000000"/>
          <w:szCs w:val="24"/>
          <w:lang w:eastAsia="es-MX"/>
        </w:rPr>
        <w:t>establecido en el artículo 162 de la Ley de Transparencia y Acceso a la Información Pública del Estado de México y Municipios, pues el Ayuntamiento</w:t>
      </w:r>
      <w:r w:rsidRPr="00A4621C" w:rsidR="004668F2">
        <w:rPr>
          <w:rFonts w:eastAsia="Calibri" w:cs="Tahoma"/>
          <w:color w:val="000000"/>
          <w:szCs w:val="24"/>
          <w:lang w:eastAsia="es-MX"/>
        </w:rPr>
        <w:t xml:space="preserve"> únicamente</w:t>
      </w:r>
      <w:r w:rsidRPr="00A4621C">
        <w:rPr>
          <w:rFonts w:eastAsia="Calibri" w:cs="Tahoma"/>
          <w:color w:val="000000"/>
          <w:szCs w:val="24"/>
          <w:lang w:eastAsia="es-MX"/>
        </w:rPr>
        <w:t xml:space="preserve"> turno la solicitud de información, </w:t>
      </w:r>
      <w:r w:rsidRPr="00A4621C" w:rsidR="004668F2">
        <w:rPr>
          <w:rFonts w:eastAsia="Calibri" w:cs="Tahoma"/>
          <w:color w:val="000000"/>
          <w:szCs w:val="24"/>
          <w:lang w:eastAsia="es-MX"/>
        </w:rPr>
        <w:t>a la Dirección de Obras Públicas, cuando la Dirección de Administración y Desarrollo de Personal, a través de la Coordinación de Adquisiciones, tiene atribuciones para conocer de lo requerido, al realizar los procedimientos de adquisición de bienes y suministros, así como, controlar el Almacén Municipal.</w:t>
      </w:r>
    </w:p>
    <w:p w:rsidRPr="00A4621C" w:rsidR="001C536C" w:rsidP="004668F2" w:rsidRDefault="001C536C" w14:paraId="76EF2028" w14:textId="77777777">
      <w:pPr>
        <w:spacing w:after="0" w:line="360" w:lineRule="auto"/>
        <w:rPr>
          <w:rFonts w:eastAsia="Times New Roman" w:cs="Tahoma"/>
          <w:bCs/>
          <w:iCs/>
          <w:color w:val="auto"/>
          <w:lang w:eastAsia="es-MX"/>
        </w:rPr>
      </w:pPr>
    </w:p>
    <w:p w:rsidRPr="00A4621C" w:rsidR="004668F2" w:rsidP="004668F2" w:rsidRDefault="004668F2" w14:paraId="7CF32B68" w14:textId="77777777">
      <w:pPr>
        <w:spacing w:after="0" w:line="360" w:lineRule="auto"/>
        <w:rPr>
          <w:rFonts w:eastAsia="Times New Roman" w:cs="Tahoma"/>
          <w:bCs/>
          <w:iCs/>
          <w:color w:val="auto"/>
          <w:lang w:eastAsia="es-MX"/>
        </w:rPr>
      </w:pPr>
    </w:p>
    <w:p w:rsidRPr="00A4621C" w:rsidR="006176A0" w:rsidP="004668F2" w:rsidRDefault="004668F2" w14:paraId="12AE867D" w14:textId="77777777">
      <w:pPr>
        <w:spacing w:after="0" w:line="360" w:lineRule="auto"/>
        <w:rPr>
          <w:rFonts w:eastAsia="Times New Roman" w:cs="Tahoma"/>
          <w:bCs/>
          <w:iCs/>
          <w:color w:val="auto"/>
          <w:lang w:eastAsia="es-MX"/>
        </w:rPr>
      </w:pPr>
      <w:r w:rsidRPr="00A4621C">
        <w:rPr>
          <w:rFonts w:eastAsia="Times New Roman" w:cs="Tahoma"/>
          <w:bCs/>
          <w:iCs/>
          <w:color w:val="auto"/>
          <w:lang w:eastAsia="es-MX"/>
        </w:rPr>
        <w:lastRenderedPageBreak/>
        <w:t>Ahora bien, sin menoscabar lo anterior, se procede analizar la respuesta entregada por la Dirección de Obras Públicas, en la cual únicamente precisó que se encontraba en cierre de informes trimestrales y que hasta concluyera dicha situación, se dar</w:t>
      </w:r>
      <w:r w:rsidRPr="00A4621C" w:rsidR="006176A0">
        <w:rPr>
          <w:rFonts w:eastAsia="Times New Roman" w:cs="Tahoma"/>
          <w:bCs/>
          <w:iCs/>
          <w:color w:val="auto"/>
          <w:lang w:eastAsia="es-MX"/>
        </w:rPr>
        <w:t xml:space="preserve">ía respuesta al requerimiento; lo cual resulta </w:t>
      </w:r>
      <w:r w:rsidRPr="00A4621C" w:rsidR="006176A0">
        <w:rPr>
          <w:rFonts w:eastAsia="Times New Roman" w:cs="Tahoma"/>
          <w:b/>
          <w:bCs/>
          <w:iCs/>
          <w:color w:val="auto"/>
          <w:lang w:eastAsia="es-MX"/>
        </w:rPr>
        <w:t xml:space="preserve">incongruente, </w:t>
      </w:r>
      <w:r w:rsidRPr="00A4621C" w:rsidR="006176A0">
        <w:rPr>
          <w:rFonts w:eastAsia="Times New Roman" w:cs="Tahoma"/>
          <w:bCs/>
          <w:iCs/>
          <w:color w:val="auto"/>
          <w:lang w:eastAsia="es-MX"/>
        </w:rPr>
        <w:t xml:space="preserve">pues debe hacerse hincapié que la pretensión del Recurrente no es obtener información trimestral, sino los materiales que fueron utilizados a la fecha de la solicitud. </w:t>
      </w:r>
    </w:p>
    <w:p w:rsidRPr="00A4621C" w:rsidR="006176A0" w:rsidP="004668F2" w:rsidRDefault="006176A0" w14:paraId="1C92B145" w14:textId="77777777">
      <w:pPr>
        <w:spacing w:after="0" w:line="360" w:lineRule="auto"/>
        <w:rPr>
          <w:rFonts w:eastAsia="Times New Roman" w:cs="Tahoma"/>
          <w:bCs/>
          <w:iCs/>
          <w:color w:val="auto"/>
          <w:lang w:eastAsia="es-MX"/>
        </w:rPr>
      </w:pPr>
    </w:p>
    <w:p w:rsidRPr="00A4621C" w:rsidR="004F3CBF" w:rsidP="004668F2" w:rsidRDefault="006176A0" w14:paraId="7A4B0733" w14:textId="7F1B7857">
      <w:pPr>
        <w:spacing w:after="0" w:line="360" w:lineRule="auto"/>
        <w:rPr>
          <w:rFonts w:eastAsia="Calibri" w:cs="Tahoma"/>
          <w:color w:val="000000"/>
          <w:szCs w:val="24"/>
          <w:lang w:eastAsia="es-MX"/>
        </w:rPr>
      </w:pPr>
      <w:r w:rsidRPr="00A4621C">
        <w:rPr>
          <w:rFonts w:eastAsia="Times New Roman" w:cs="Tahoma"/>
          <w:bCs/>
          <w:iCs/>
          <w:color w:val="auto"/>
          <w:lang w:eastAsia="es-MX"/>
        </w:rPr>
        <w:t>S</w:t>
      </w:r>
      <w:r w:rsidRPr="00A4621C" w:rsidR="004F3CBF">
        <w:rPr>
          <w:rFonts w:cs="Tahoma"/>
          <w:iCs/>
        </w:rPr>
        <w:t>obre dicha situación,</w:t>
      </w:r>
      <w:r w:rsidRPr="00A4621C" w:rsidR="004F3CBF">
        <w:rPr>
          <w:rFonts w:eastAsia="Calibri" w:cs="Tahoma"/>
          <w:color w:val="000000"/>
          <w:szCs w:val="24"/>
          <w:lang w:eastAsia="es-MX"/>
        </w:rPr>
        <w:t xml:space="preserve"> el </w:t>
      </w:r>
      <w:r w:rsidRPr="00A4621C" w:rsidR="004F3CBF">
        <w:rPr>
          <w:rFonts w:cs="Tahoma"/>
        </w:rPr>
        <w:t xml:space="preserve">artículo 1.8, fracción IX, del Código Administrativo del Estado de México, establece </w:t>
      </w:r>
      <w:r w:rsidRPr="00A4621C" w:rsidR="004F3CBF">
        <w:t>que para que un acto administrativo tenga validez, deberá guarda</w:t>
      </w:r>
      <w:r w:rsidRPr="00A4621C">
        <w:t>r congruencia con lo solicitado; si</w:t>
      </w:r>
      <w:r w:rsidRPr="00A4621C" w:rsidR="004F3CBF">
        <w:t>tuación que se robustece, con el Criterio de Interpretación, con clave de control SO/002/2017, de la Segunda Época, emitido por el Instituto</w:t>
      </w:r>
      <w:r w:rsidRPr="00A4621C" w:rsidR="004F3CBF">
        <w:rPr>
          <w:rFonts w:eastAsia="Calibri" w:cs="Tahoma"/>
          <w:bCs/>
        </w:rPr>
        <w:t xml:space="preserve"> Nacional de Transparencia, Acceso a la Información y Protección de Datos Personales, que señala lo siguiente:</w:t>
      </w:r>
    </w:p>
    <w:p w:rsidRPr="00A4621C" w:rsidR="004F3CBF" w:rsidP="004668F2" w:rsidRDefault="004F3CBF" w14:paraId="2B602F35" w14:textId="77777777">
      <w:pPr>
        <w:spacing w:after="0" w:line="360" w:lineRule="auto"/>
        <w:rPr>
          <w:rFonts w:eastAsia="Calibri" w:cs="Tahoma"/>
          <w:bCs/>
          <w:color w:val="auto"/>
        </w:rPr>
      </w:pPr>
    </w:p>
    <w:p w:rsidRPr="00A4621C" w:rsidR="004F3CBF" w:rsidP="004668F2" w:rsidRDefault="004F3CBF" w14:paraId="272F3077" w14:textId="60F2A4A8">
      <w:pPr>
        <w:spacing w:after="0" w:line="360" w:lineRule="auto"/>
        <w:ind w:left="567" w:right="567"/>
        <w:rPr>
          <w:rFonts w:eastAsia="Calibri" w:cs="Tahoma"/>
          <w:i/>
          <w:sz w:val="18"/>
          <w:szCs w:val="20"/>
        </w:rPr>
      </w:pPr>
      <w:r w:rsidRPr="00A4621C">
        <w:rPr>
          <w:rFonts w:eastAsia="Calibri" w:cs="Tahoma"/>
          <w:b/>
          <w:bCs/>
          <w:i/>
          <w:sz w:val="20"/>
        </w:rPr>
        <w:t xml:space="preserve">“Congruencia y exhaustividad. Sus alcances para garantizar el derecho de acceso a la información. </w:t>
      </w:r>
      <w:r w:rsidRPr="00A4621C">
        <w:rPr>
          <w:rFonts w:eastAsia="Calibri" w:cs="Tahoma"/>
          <w:bCs/>
          <w:i/>
          <w:sz w:val="20"/>
        </w:rPr>
        <w:t xml:space="preserve">De conformidad con el artículo </w:t>
      </w:r>
      <w:r w:rsidRPr="00A4621C">
        <w:rPr>
          <w:rFonts w:eastAsia="Calibri" w:cs="Tahoma"/>
          <w:bCs/>
          <w:i/>
          <w:sz w:val="20"/>
          <w:lang w:val="es-ES_tradnl"/>
        </w:rPr>
        <w:t>3 de la Ley Federal de Procedimiento Administrativo</w:t>
      </w:r>
      <w:r w:rsidRPr="00A4621C">
        <w:rPr>
          <w:rFonts w:eastAsia="Calibri" w:cs="Tahoma"/>
          <w:bCs/>
          <w:i/>
          <w:sz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4621C">
        <w:rPr>
          <w:rFonts w:eastAsia="Calibri" w:cs="Tahoma"/>
          <w:b/>
          <w:i/>
          <w:sz w:val="20"/>
        </w:rPr>
        <w:t>la congruencia implica que exista concordancia entre el requerimiento formulado por el particular y la respuesta proporcionada por el sujeto obligado</w:t>
      </w:r>
      <w:r w:rsidRPr="00A4621C">
        <w:rPr>
          <w:rFonts w:eastAsia="Calibri" w:cs="Tahoma"/>
          <w:bCs/>
          <w:i/>
          <w:sz w:val="20"/>
        </w:rPr>
        <w:t xml:space="preserve">; mientras que </w:t>
      </w:r>
      <w:r w:rsidRPr="00A4621C">
        <w:rPr>
          <w:rFonts w:eastAsia="Calibri" w:cs="Tahoma"/>
          <w:i/>
          <w:sz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A4621C" w:rsidR="005125C2" w:rsidP="004668F2" w:rsidRDefault="005125C2" w14:paraId="57A3BD69" w14:textId="77777777">
      <w:pPr>
        <w:spacing w:after="0" w:line="360" w:lineRule="auto"/>
        <w:ind w:left="567" w:right="567"/>
        <w:rPr>
          <w:rFonts w:eastAsia="Calibri" w:cs="Tahoma"/>
          <w:i/>
          <w:sz w:val="20"/>
          <w:szCs w:val="20"/>
        </w:rPr>
      </w:pPr>
    </w:p>
    <w:p w:rsidRPr="00A4621C" w:rsidR="004F3CBF" w:rsidP="004668F2" w:rsidRDefault="004F3CBF" w14:paraId="60F34521" w14:textId="4E370C29">
      <w:pPr>
        <w:spacing w:after="0" w:line="360" w:lineRule="auto"/>
        <w:rPr>
          <w:b/>
        </w:rPr>
      </w:pPr>
      <w:r w:rsidRPr="00A4621C">
        <w:t xml:space="preserve">Del citado criterio, se desprende que </w:t>
      </w:r>
      <w:r w:rsidRPr="00A4621C">
        <w:rPr>
          <w:bCs/>
        </w:rPr>
        <w:t>todo acto administrativo debe apegarse al</w:t>
      </w:r>
      <w:r w:rsidRPr="00A4621C">
        <w:t xml:space="preserve"> </w:t>
      </w:r>
      <w:r w:rsidRPr="00A4621C">
        <w:rPr>
          <w:b/>
        </w:rPr>
        <w:t xml:space="preserve">Principio de Congruencia, </w:t>
      </w:r>
      <w:r w:rsidRPr="00A4621C">
        <w:t>el cual</w:t>
      </w:r>
      <w:r w:rsidRPr="00A4621C">
        <w:rPr>
          <w:b/>
        </w:rPr>
        <w:t xml:space="preserve"> </w:t>
      </w:r>
      <w:r w:rsidRPr="00A4621C">
        <w:t xml:space="preserve">implica que exista concordancia entre el requerimiento formulado y la </w:t>
      </w:r>
      <w:r w:rsidRPr="00A4621C">
        <w:lastRenderedPageBreak/>
        <w:t xml:space="preserve">respuesta entregada; por tales consideraciones, </w:t>
      </w:r>
      <w:r w:rsidRPr="00A4621C" w:rsidR="006176A0">
        <w:t>la Dirección de Obras Públicas</w:t>
      </w:r>
      <w:r w:rsidRPr="00A4621C">
        <w:t xml:space="preserve"> </w:t>
      </w:r>
      <w:r w:rsidRPr="00A4621C" w:rsidR="006176A0">
        <w:t xml:space="preserve">incumplió con dicho principio, al ceñir su respuesta únicamente a que se encontraba cerrando los informes trimestrales, lo cual da como resultado que el agravio sea </w:t>
      </w:r>
      <w:r w:rsidRPr="00A4621C" w:rsidR="006176A0">
        <w:rPr>
          <w:b/>
        </w:rPr>
        <w:t>FUNDADO.</w:t>
      </w:r>
    </w:p>
    <w:p w:rsidRPr="00A4621C" w:rsidR="004F3CBF" w:rsidP="004668F2" w:rsidRDefault="004F3CBF" w14:paraId="3D1BB3D9" w14:textId="4FBE381E">
      <w:pPr>
        <w:spacing w:after="0" w:line="360" w:lineRule="auto"/>
        <w:rPr>
          <w:rFonts w:cs="Tahoma"/>
          <w:bCs/>
        </w:rPr>
      </w:pPr>
    </w:p>
    <w:p w:rsidRPr="00A4621C" w:rsidR="00C02A5F" w:rsidP="004668F2" w:rsidRDefault="00C02A5F" w14:paraId="4F7BB59B" w14:textId="031FE562">
      <w:pPr>
        <w:spacing w:after="0" w:line="360" w:lineRule="auto"/>
        <w:rPr>
          <w:rFonts w:cs="Tahoma"/>
          <w:bCs/>
          <w:lang w:val="x-none"/>
        </w:rPr>
      </w:pPr>
      <w:r w:rsidRPr="00A4621C">
        <w:rPr>
          <w:rFonts w:cs="Tahoma"/>
          <w:bCs/>
        </w:rPr>
        <w:t>Ahora bien, durante la sustanciación</w:t>
      </w:r>
      <w:r w:rsidRPr="00A4621C">
        <w:rPr>
          <w:rFonts w:cs="Tahoma"/>
          <w:bCs/>
          <w:lang w:val="x-none"/>
        </w:rPr>
        <w:t xml:space="preserve"> del Medio de Impugnación, el Sujeto Obligado señaló lo siguiente:</w:t>
      </w:r>
    </w:p>
    <w:p w:rsidRPr="00A4621C" w:rsidR="00C02A5F" w:rsidP="004668F2" w:rsidRDefault="00C02A5F" w14:paraId="79AF9952" w14:textId="6099CBE3">
      <w:pPr>
        <w:spacing w:after="0" w:line="360" w:lineRule="auto"/>
        <w:rPr>
          <w:rFonts w:cs="Tahoma"/>
          <w:bCs/>
        </w:rPr>
      </w:pPr>
    </w:p>
    <w:p w:rsidRPr="00A4621C" w:rsidR="00C02A5F" w:rsidP="00C02A5F" w:rsidRDefault="006A152F" w14:paraId="072FA001" w14:textId="53348C42">
      <w:pPr>
        <w:pStyle w:val="Prrafodelista"/>
        <w:numPr>
          <w:ilvl w:val="0"/>
          <w:numId w:val="10"/>
        </w:numPr>
        <w:spacing w:line="360" w:lineRule="auto"/>
        <w:rPr>
          <w:rFonts w:cs="Tahoma"/>
          <w:bCs/>
        </w:rPr>
      </w:pPr>
      <w:r w:rsidRPr="00A4621C">
        <w:rPr>
          <w:rFonts w:ascii="Palatino Linotype" w:hAnsi="Palatino Linotype" w:cs="Tahoma"/>
          <w:bCs/>
        </w:rPr>
        <w:t xml:space="preserve">Que no </w:t>
      </w:r>
      <w:proofErr w:type="spellStart"/>
      <w:r w:rsidRPr="00A4621C">
        <w:rPr>
          <w:rFonts w:ascii="Palatino Linotype" w:hAnsi="Palatino Linotype" w:cs="Tahoma"/>
          <w:bCs/>
        </w:rPr>
        <w:t>exist</w:t>
      </w:r>
      <w:r w:rsidRPr="00A4621C">
        <w:rPr>
          <w:rFonts w:ascii="Palatino Linotype" w:hAnsi="Palatino Linotype" w:cs="Tahoma"/>
          <w:bCs/>
          <w:lang w:val="x-none"/>
        </w:rPr>
        <w:t>ía</w:t>
      </w:r>
      <w:proofErr w:type="spellEnd"/>
      <w:r w:rsidRPr="00A4621C">
        <w:rPr>
          <w:rFonts w:ascii="Palatino Linotype" w:hAnsi="Palatino Linotype" w:cs="Tahoma"/>
          <w:bCs/>
          <w:lang w:val="x-none"/>
        </w:rPr>
        <w:t xml:space="preserve"> un trámite con la denominación “renta de terreno”, “préstamo de terreno” o “convenio de terreno”;</w:t>
      </w:r>
    </w:p>
    <w:p w:rsidRPr="00A4621C" w:rsidR="006A152F" w:rsidP="006A152F" w:rsidRDefault="006A152F" w14:paraId="1A59913A" w14:textId="77777777">
      <w:pPr>
        <w:pStyle w:val="Prrafodelista"/>
        <w:spacing w:line="360" w:lineRule="auto"/>
        <w:rPr>
          <w:rFonts w:cs="Tahoma"/>
          <w:bCs/>
        </w:rPr>
      </w:pPr>
    </w:p>
    <w:p w:rsidRPr="00A4621C" w:rsidR="006A152F" w:rsidP="00C02A5F" w:rsidRDefault="006A152F" w14:paraId="07A2CB33" w14:textId="21F5B0BF">
      <w:pPr>
        <w:pStyle w:val="Prrafodelista"/>
        <w:numPr>
          <w:ilvl w:val="0"/>
          <w:numId w:val="10"/>
        </w:numPr>
        <w:spacing w:line="360" w:lineRule="auto"/>
        <w:rPr>
          <w:rFonts w:cs="Tahoma"/>
          <w:bCs/>
        </w:rPr>
      </w:pPr>
      <w:r w:rsidRPr="00A4621C">
        <w:rPr>
          <w:rFonts w:ascii="Palatino Linotype" w:hAnsi="Palatino Linotype" w:cs="Tahoma"/>
          <w:bCs/>
        </w:rPr>
        <w:t>La forma para acceder al Tabulador de sueldos;</w:t>
      </w:r>
    </w:p>
    <w:p w:rsidRPr="00A4621C" w:rsidR="006A152F" w:rsidP="006A152F" w:rsidRDefault="006A152F" w14:paraId="7A533183" w14:textId="77777777">
      <w:pPr>
        <w:pStyle w:val="Prrafodelista"/>
        <w:rPr>
          <w:rFonts w:cs="Tahoma"/>
          <w:bCs/>
        </w:rPr>
      </w:pPr>
    </w:p>
    <w:p w:rsidRPr="00A4621C" w:rsidR="006A152F" w:rsidP="006A152F" w:rsidRDefault="006A152F" w14:paraId="698A5106" w14:textId="0DCC669D">
      <w:pPr>
        <w:pStyle w:val="Prrafodelista"/>
        <w:numPr>
          <w:ilvl w:val="0"/>
          <w:numId w:val="10"/>
        </w:numPr>
        <w:spacing w:line="360" w:lineRule="auto"/>
        <w:jc w:val="both"/>
        <w:rPr>
          <w:rFonts w:cs="Tahoma"/>
          <w:bCs/>
        </w:rPr>
      </w:pPr>
      <w:proofErr w:type="spellStart"/>
      <w:r w:rsidRPr="00A4621C">
        <w:rPr>
          <w:rFonts w:ascii="Palatino Linotype" w:hAnsi="Palatino Linotype" w:cs="Tahoma"/>
          <w:bCs/>
        </w:rPr>
        <w:t>Entreg</w:t>
      </w:r>
      <w:r w:rsidRPr="00A4621C">
        <w:rPr>
          <w:rFonts w:ascii="Palatino Linotype" w:hAnsi="Palatino Linotype" w:cs="Tahoma"/>
          <w:bCs/>
          <w:lang w:val="x-none"/>
        </w:rPr>
        <w:t>ó</w:t>
      </w:r>
      <w:proofErr w:type="spellEnd"/>
      <w:r w:rsidRPr="00A4621C">
        <w:rPr>
          <w:rFonts w:ascii="Palatino Linotype" w:hAnsi="Palatino Linotype" w:cs="Tahoma"/>
          <w:bCs/>
          <w:lang w:val="x-none"/>
        </w:rPr>
        <w:t xml:space="preserve"> el Acuerdo emitido por el Comité de Transparencia, por medio del cual confirmó la entrega de un contrato en versión pública respecto a una repavimentación, la destrucción de la respuesta a una solicitud de información y la inexistencia de determinada información.</w:t>
      </w:r>
    </w:p>
    <w:p w:rsidRPr="00A4621C" w:rsidR="006A152F" w:rsidP="006A152F" w:rsidRDefault="006A152F" w14:paraId="316FDB94" w14:textId="77777777">
      <w:pPr>
        <w:pStyle w:val="Prrafodelista"/>
        <w:rPr>
          <w:rFonts w:cs="Tahoma"/>
          <w:bCs/>
        </w:rPr>
      </w:pPr>
    </w:p>
    <w:p w:rsidRPr="00A4621C" w:rsidR="006A152F" w:rsidP="006A152F" w:rsidRDefault="006A152F" w14:paraId="75895ADE" w14:textId="146C1D0E">
      <w:pPr>
        <w:spacing w:line="360" w:lineRule="auto"/>
        <w:rPr>
          <w:rFonts w:cs="Tahoma"/>
          <w:bCs/>
        </w:rPr>
      </w:pPr>
      <w:r w:rsidRPr="00A4621C">
        <w:rPr>
          <w:rFonts w:cs="Tahoma"/>
          <w:bCs/>
        </w:rPr>
        <w:t xml:space="preserve">En ese orden de ideas, de la </w:t>
      </w:r>
      <w:proofErr w:type="spellStart"/>
      <w:r w:rsidRPr="00A4621C">
        <w:rPr>
          <w:rFonts w:cs="Tahoma"/>
          <w:bCs/>
        </w:rPr>
        <w:t>revisi</w:t>
      </w:r>
      <w:r w:rsidRPr="00A4621C">
        <w:rPr>
          <w:rFonts w:cs="Tahoma"/>
          <w:bCs/>
          <w:lang w:val="x-none"/>
        </w:rPr>
        <w:t>ón</w:t>
      </w:r>
      <w:proofErr w:type="spellEnd"/>
      <w:r w:rsidRPr="00A4621C">
        <w:rPr>
          <w:rFonts w:cs="Tahoma"/>
          <w:bCs/>
          <w:lang w:val="x-none"/>
        </w:rPr>
        <w:t xml:space="preserve"> de la documentación proporcionada durante la sustanciación del Medio de Impugnación, se logra vislumbrar que la información proporcionada no corresponde con lo solicitado, ni guarda relación con la solicitud primigenia.</w:t>
      </w:r>
    </w:p>
    <w:p w:rsidRPr="00A4621C" w:rsidR="00FF7F2D" w:rsidP="004668F2" w:rsidRDefault="00FF7F2D" w14:paraId="072C83DF" w14:textId="77777777">
      <w:pPr>
        <w:spacing w:after="0" w:line="360" w:lineRule="auto"/>
      </w:pPr>
    </w:p>
    <w:p w:rsidRPr="00A4621C" w:rsidR="00FF7F2D" w:rsidP="006A152F" w:rsidRDefault="00FF7F2D" w14:paraId="51CBACCC" w14:textId="1C8997CA">
      <w:pPr>
        <w:spacing w:after="0" w:line="360" w:lineRule="auto"/>
        <w:rPr>
          <w:color w:val="auto"/>
        </w:rPr>
      </w:pPr>
      <w:r w:rsidRPr="00A4621C">
        <w:rPr>
          <w:rFonts w:eastAsia="Times New Roman" w:cs="Tahoma"/>
          <w:bCs/>
          <w:color w:val="auto"/>
          <w:lang w:eastAsia="es-ES"/>
        </w:rPr>
        <w:t xml:space="preserve">Conforme a lo anterior, resulta procedente ordenar la entrega </w:t>
      </w:r>
      <w:r w:rsidRPr="00A4621C" w:rsidR="006A152F">
        <w:rPr>
          <w:rFonts w:eastAsia="Times New Roman" w:cs="Tahoma"/>
          <w:bCs/>
          <w:color w:val="auto"/>
          <w:lang w:eastAsia="es-ES"/>
        </w:rPr>
        <w:t>de los documentos con los que contar</w:t>
      </w:r>
      <w:r w:rsidRPr="00A4621C" w:rsidR="006A152F">
        <w:rPr>
          <w:rFonts w:eastAsia="Times New Roman" w:cs="Tahoma"/>
          <w:bCs/>
          <w:color w:val="auto"/>
          <w:lang w:val="x-none" w:eastAsia="es-ES"/>
        </w:rPr>
        <w:t xml:space="preserve">á a la fecha de la solicitud, donde consten </w:t>
      </w:r>
      <w:r w:rsidRPr="00A4621C" w:rsidR="006A152F">
        <w:rPr>
          <w:rFonts w:eastAsia="Times New Roman" w:cs="Tahoma"/>
          <w:bCs/>
          <w:iCs/>
          <w:color w:val="auto"/>
          <w:lang w:eastAsia="es-MX"/>
        </w:rPr>
        <w:t>los materiales utilizados para realizar las adecuaciones en el recinto utilizado para llevar a cabo la Expo Feria Xonacatlán, dos mil veintidós;</w:t>
      </w:r>
      <w:r w:rsidRPr="00A4621C">
        <w:rPr>
          <w:rFonts w:eastAsia="Times New Roman" w:cs="Tahoma"/>
          <w:bCs/>
          <w:color w:val="auto"/>
          <w:lang w:eastAsia="es-ES"/>
        </w:rPr>
        <w:t xml:space="preserve"> </w:t>
      </w:r>
      <w:r w:rsidRPr="00A4621C">
        <w:rPr>
          <w:rFonts w:eastAsia="Calibri" w:cs="Tahoma"/>
          <w:color w:val="000000"/>
          <w:szCs w:val="24"/>
          <w:lang w:eastAsia="es-MX"/>
        </w:rPr>
        <w:t>d</w:t>
      </w:r>
      <w:r w:rsidRPr="00A4621C">
        <w:rPr>
          <w:rFonts w:eastAsia="Calibri" w:cs="Tahoma"/>
          <w:bCs/>
          <w:lang w:eastAsia="es-MX"/>
        </w:rPr>
        <w:t xml:space="preserve">icha </w:t>
      </w:r>
      <w:r w:rsidRPr="00A4621C">
        <w:rPr>
          <w:rFonts w:eastAsia="Times New Roman" w:cs="Tahoma"/>
          <w:color w:val="auto"/>
          <w:szCs w:val="24"/>
          <w:lang w:eastAsia="es-ES"/>
        </w:rPr>
        <w:t xml:space="preserve">determinación toma sustento, en el artículo 12 de la Ley de Transparencia y Acceso a la Información Pública del Estado de México y Municipios, que precisa que los sujetos obligados sólo están constreñidos a proporcionar la información pública que obre en sus archivos, en el estado en que esta se encuentre; por lo que, la entrega no comprende el </w:t>
      </w:r>
      <w:r w:rsidRPr="00A4621C">
        <w:rPr>
          <w:rFonts w:eastAsia="Times New Roman" w:cs="Tahoma"/>
          <w:color w:val="auto"/>
          <w:szCs w:val="24"/>
          <w:lang w:eastAsia="es-ES"/>
        </w:rPr>
        <w:lastRenderedPageBreak/>
        <w:t>procesamiento de la misma, ni presentarla conforme al interés del solicitante, además, que tampoco deberá generarla, resumirla, efectuar cálculos o practicar investigaciones.</w:t>
      </w:r>
    </w:p>
    <w:p w:rsidRPr="00A4621C" w:rsidR="00FF7F2D" w:rsidP="004668F2" w:rsidRDefault="00FF7F2D" w14:paraId="0DB0DD16" w14:textId="77777777">
      <w:pPr>
        <w:spacing w:after="0" w:line="360" w:lineRule="auto"/>
        <w:rPr>
          <w:rFonts w:eastAsia="Times New Roman" w:cs="Tahoma"/>
          <w:color w:val="auto"/>
          <w:szCs w:val="24"/>
          <w:lang w:eastAsia="es-ES"/>
        </w:rPr>
      </w:pPr>
    </w:p>
    <w:p w:rsidRPr="00A4621C" w:rsidR="00FF7F2D" w:rsidP="004668F2" w:rsidRDefault="00FF7F2D" w14:paraId="551E59B3" w14:textId="77777777">
      <w:pPr>
        <w:spacing w:after="0" w:line="360" w:lineRule="auto"/>
        <w:rPr>
          <w:rFonts w:eastAsia="Times New Roman" w:cs="Tahoma"/>
          <w:i/>
          <w:iCs/>
          <w:color w:val="auto"/>
          <w:sz w:val="20"/>
          <w:szCs w:val="20"/>
          <w:lang w:eastAsia="es-ES"/>
        </w:rPr>
      </w:pPr>
      <w:r w:rsidRPr="00A4621C">
        <w:rPr>
          <w:rFonts w:eastAsia="Times New Roman" w:cs="Tahoma"/>
          <w:color w:val="auto"/>
          <w:szCs w:val="24"/>
          <w:lang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A4621C" w:rsidR="00FF7F2D" w:rsidP="004668F2" w:rsidRDefault="00FF7F2D" w14:paraId="08641786" w14:textId="77777777">
      <w:pPr>
        <w:spacing w:after="0" w:line="360" w:lineRule="auto"/>
        <w:rPr>
          <w:rFonts w:eastAsia="Times New Roman" w:cs="Tahoma"/>
          <w:color w:val="auto"/>
          <w:szCs w:val="24"/>
          <w:lang w:eastAsia="es-ES"/>
        </w:rPr>
      </w:pPr>
    </w:p>
    <w:p w:rsidRPr="00A4621C" w:rsidR="00FF7F2D" w:rsidP="004668F2" w:rsidRDefault="00FF7F2D" w14:paraId="02E72DF3" w14:textId="1E7C768D">
      <w:pPr>
        <w:spacing w:after="0" w:line="360" w:lineRule="auto"/>
        <w:rPr>
          <w:rFonts w:eastAsia="Times New Roman" w:cs="Tahoma"/>
          <w:color w:val="auto"/>
          <w:szCs w:val="24"/>
          <w:lang w:eastAsia="es-ES"/>
        </w:rPr>
      </w:pPr>
      <w:r w:rsidRPr="00A4621C">
        <w:rPr>
          <w:rFonts w:eastAsia="Times New Roman" w:cs="Tahoma"/>
          <w:color w:val="auto"/>
          <w:szCs w:val="24"/>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w:t>
      </w:r>
      <w:r w:rsidRPr="00A4621C" w:rsidR="005125C2">
        <w:rPr>
          <w:rFonts w:eastAsia="Times New Roman" w:cs="Tahoma"/>
          <w:color w:val="auto"/>
          <w:szCs w:val="24"/>
          <w:lang w:eastAsia="es-ES"/>
        </w:rPr>
        <w:t>la información requerida</w:t>
      </w:r>
      <w:r w:rsidRPr="00A4621C">
        <w:rPr>
          <w:rFonts w:eastAsia="Times New Roman" w:cs="Tahoma"/>
          <w:color w:val="auto"/>
          <w:szCs w:val="24"/>
          <w:lang w:eastAsia="es-ES"/>
        </w:rPr>
        <w:t>.</w:t>
      </w:r>
    </w:p>
    <w:p w:rsidRPr="00A4621C" w:rsidR="00FF7F2D" w:rsidP="004668F2" w:rsidRDefault="00FF7F2D" w14:paraId="79DA7494" w14:textId="77777777">
      <w:pPr>
        <w:spacing w:after="0" w:line="360" w:lineRule="auto"/>
      </w:pPr>
    </w:p>
    <w:p w:rsidRPr="00A4621C" w:rsidR="00FF7F2D" w:rsidP="004668F2" w:rsidRDefault="00FF7F2D" w14:paraId="4CB73F8A" w14:textId="2ADE9826">
      <w:pPr>
        <w:spacing w:after="0" w:line="360" w:lineRule="auto"/>
      </w:pPr>
      <w:r w:rsidRPr="00A4621C">
        <w:t xml:space="preserve">Para tal circunstancia, el Sujeto Obligado deberá realizar una búsqueda exhaustiva y razonable, en términos del artículo 162 de la Ley de Transparencia y Acceso a la Información Pública del Estado de México y Municipios, </w:t>
      </w:r>
      <w:r w:rsidRPr="00A4621C" w:rsidR="005125C2">
        <w:t xml:space="preserve">en todas sus </w:t>
      </w:r>
      <w:r w:rsidRPr="00A4621C">
        <w:t>Unidades Administrativas</w:t>
      </w:r>
      <w:r w:rsidRPr="00A4621C" w:rsidR="005125C2">
        <w:t xml:space="preserve"> competentes entre las que no podrá omitir a la Dirección de Obras Públicas</w:t>
      </w:r>
      <w:r w:rsidRPr="00A4621C" w:rsidR="006A152F">
        <w:t xml:space="preserve"> y la de Administración</w:t>
      </w:r>
      <w:r w:rsidRPr="00A4621C" w:rsidR="006A152F">
        <w:rPr>
          <w:lang w:val="x-none"/>
        </w:rPr>
        <w:t xml:space="preserve"> y Desarrollo de Personal</w:t>
      </w:r>
      <w:r w:rsidRPr="00A4621C" w:rsidR="005125C2">
        <w:t>.</w:t>
      </w:r>
    </w:p>
    <w:p w:rsidRPr="00A4621C" w:rsidR="00FF7F2D" w:rsidP="004668F2" w:rsidRDefault="00FF7F2D" w14:paraId="2D0D5F96" w14:textId="77777777">
      <w:pPr>
        <w:spacing w:after="0" w:line="360" w:lineRule="auto"/>
      </w:pPr>
    </w:p>
    <w:p w:rsidRPr="00A4621C" w:rsidR="00FF7F2D" w:rsidP="004668F2" w:rsidRDefault="00FF7F2D" w14:paraId="7518B7C9" w14:textId="77777777">
      <w:pPr>
        <w:spacing w:after="0" w:line="360" w:lineRule="auto"/>
        <w:rPr>
          <w:rFonts w:eastAsia="Times New Roman" w:cs="Tahoma"/>
          <w:bCs/>
          <w:color w:val="auto"/>
          <w:lang w:eastAsia="es-ES"/>
        </w:rPr>
      </w:pPr>
      <w:r w:rsidRPr="00A4621C">
        <w:rPr>
          <w:rFonts w:eastAsia="Times New Roman" w:cs="Tahoma"/>
          <w:iCs/>
          <w:color w:val="auto"/>
          <w:szCs w:val="24"/>
          <w:lang w:eastAsia="es-ES"/>
        </w:rPr>
        <w:t xml:space="preserve">Finalmente, </w:t>
      </w:r>
      <w:r w:rsidRPr="00A4621C">
        <w:rPr>
          <w:rFonts w:eastAsia="Times New Roman" w:cs="Tahoma"/>
          <w:bCs/>
          <w:color w:val="auto"/>
          <w:lang w:val="es-ES_tradnl" w:eastAsia="es-ES"/>
        </w:rPr>
        <w:t>no pasa desapercibido para este Instituto que los documentos que den cuenta de lo solicitado, pudieran contener datos o información clasificada; por lo que, en el supuesto, deberá elaborar la versión pública respectiva; a</w:t>
      </w:r>
      <w:r w:rsidRPr="00A4621C">
        <w:rPr>
          <w:rFonts w:eastAsia="Times New Roman" w:cs="Tahoma"/>
          <w:bCs/>
          <w:color w:val="auto"/>
          <w:lang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w:t>
      </w:r>
      <w:r w:rsidRPr="00A4621C">
        <w:rPr>
          <w:rFonts w:eastAsia="Times New Roman" w:cs="Tahoma"/>
          <w:bCs/>
          <w:color w:val="auto"/>
          <w:lang w:eastAsia="es-ES"/>
        </w:rPr>
        <w:lastRenderedPageBreak/>
        <w:t>deberá elaborar una versión Pública en la que se testen las partes o secciones clasificadas, indicando su contenido de manera genérica y fundando y motivando su clasificación.</w:t>
      </w:r>
    </w:p>
    <w:p w:rsidRPr="00A4621C" w:rsidR="00FF7F2D" w:rsidP="004668F2" w:rsidRDefault="00FF7F2D" w14:paraId="504F7FFF" w14:textId="77777777">
      <w:pPr>
        <w:spacing w:after="0" w:line="360" w:lineRule="auto"/>
        <w:rPr>
          <w:rFonts w:eastAsia="Times New Roman" w:cs="Tahoma"/>
          <w:bCs/>
          <w:color w:val="auto"/>
          <w:lang w:eastAsia="es-ES"/>
        </w:rPr>
      </w:pPr>
    </w:p>
    <w:p w:rsidRPr="00A4621C" w:rsidR="00FF7F2D" w:rsidP="004668F2" w:rsidRDefault="00FF7F2D" w14:paraId="14EE3BB9" w14:textId="77777777">
      <w:pPr>
        <w:spacing w:after="0" w:line="360" w:lineRule="auto"/>
        <w:rPr>
          <w:rFonts w:eastAsia="Times New Roman" w:cs="Tahoma"/>
          <w:bCs/>
          <w:color w:val="auto"/>
          <w:lang w:eastAsia="es-ES"/>
        </w:rPr>
      </w:pPr>
      <w:r w:rsidRPr="00A4621C">
        <w:rPr>
          <w:rFonts w:eastAsia="Times New Roman" w:cs="Tahoma"/>
          <w:bCs/>
          <w:color w:val="auto"/>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A4621C" w:rsidR="00FF7F2D" w:rsidP="004668F2" w:rsidRDefault="00FF7F2D" w14:paraId="1275D2C5" w14:textId="77777777">
      <w:pPr>
        <w:spacing w:after="0" w:line="360" w:lineRule="auto"/>
        <w:rPr>
          <w:rFonts w:eastAsia="Times New Roman" w:cs="Tahoma"/>
          <w:color w:val="auto"/>
          <w:lang w:eastAsia="es-ES"/>
        </w:rPr>
      </w:pPr>
    </w:p>
    <w:p w:rsidRPr="00A4621C" w:rsidR="00FF7F2D" w:rsidP="004668F2" w:rsidRDefault="00FF7F2D" w14:paraId="02DEF5E5" w14:textId="6DD8111A">
      <w:pPr>
        <w:spacing w:after="0" w:line="360" w:lineRule="auto"/>
        <w:rPr>
          <w:rFonts w:eastAsia="Times New Roman" w:cs="Tahoma"/>
          <w:b/>
          <w:lang w:eastAsia="es-ES"/>
        </w:rPr>
      </w:pPr>
      <w:r w:rsidRPr="00A4621C">
        <w:rPr>
          <w:rFonts w:eastAsia="Times New Roman" w:cs="Tahoma"/>
          <w:b/>
          <w:lang w:eastAsia="es-ES"/>
        </w:rPr>
        <w:t xml:space="preserve">SEXTO. Decisión. </w:t>
      </w:r>
    </w:p>
    <w:p w:rsidRPr="00A4621C" w:rsidR="005125C2" w:rsidP="004668F2" w:rsidRDefault="005125C2" w14:paraId="6ACD788F" w14:textId="77777777">
      <w:pPr>
        <w:tabs>
          <w:tab w:val="left" w:pos="4962"/>
        </w:tabs>
        <w:spacing w:after="0" w:line="360" w:lineRule="auto"/>
        <w:rPr>
          <w:rFonts w:eastAsia="Times New Roman" w:cs="Tahoma"/>
          <w:color w:val="auto"/>
          <w:lang w:eastAsia="es-MX"/>
        </w:rPr>
      </w:pPr>
    </w:p>
    <w:p w:rsidRPr="00A4621C" w:rsidR="00FF7F2D" w:rsidP="004668F2" w:rsidRDefault="005B5177" w14:paraId="3E8BF4A9" w14:textId="31FA3B35">
      <w:pPr>
        <w:spacing w:after="0" w:line="360" w:lineRule="auto"/>
      </w:pPr>
      <w:r w:rsidRPr="00A4621C">
        <w:rPr>
          <w:rFonts w:cs="Tahoma"/>
          <w:lang w:eastAsia="es-MX"/>
        </w:rPr>
        <w:t>C</w:t>
      </w:r>
      <w:r w:rsidRPr="00A4621C" w:rsidR="00FF7F2D">
        <w:rPr>
          <w:rFonts w:cs="Tahoma"/>
          <w:lang w:eastAsia="es-MX"/>
        </w:rPr>
        <w:t xml:space="preserve">on fundamento en el artículo 186, fracción III, de la Ley de Transparencia y Acceso a la Información Pública del Estado de México y Municipios, este Instituto considera procedente </w:t>
      </w:r>
      <w:r w:rsidRPr="00A4621C" w:rsidR="00FF7F2D">
        <w:rPr>
          <w:rFonts w:cs="Tahoma"/>
          <w:b/>
          <w:lang w:eastAsia="es-MX"/>
        </w:rPr>
        <w:t xml:space="preserve">REVOCAR </w:t>
      </w:r>
      <w:r w:rsidRPr="00A4621C" w:rsidR="00FF7F2D">
        <w:rPr>
          <w:rFonts w:cs="Tahoma"/>
          <w:bCs/>
          <w:lang w:eastAsia="es-MX"/>
        </w:rPr>
        <w:t xml:space="preserve">la repuesta otorgada </w:t>
      </w:r>
      <w:r w:rsidRPr="00A4621C" w:rsidR="00FF7F2D">
        <w:rPr>
          <w:rFonts w:cs="Tahoma"/>
          <w:lang w:eastAsia="es-MX"/>
        </w:rPr>
        <w:t xml:space="preserve">por el Ayuntamiento de </w:t>
      </w:r>
      <w:r w:rsidRPr="00A4621C" w:rsidR="005125C2">
        <w:rPr>
          <w:rFonts w:cs="Tahoma"/>
          <w:lang w:eastAsia="es-MX"/>
        </w:rPr>
        <w:t>Xonacatlán</w:t>
      </w:r>
      <w:r w:rsidRPr="00A4621C" w:rsidR="00FF7F2D">
        <w:rPr>
          <w:rFonts w:cs="Tahoma"/>
          <w:lang w:eastAsia="es-MX"/>
        </w:rPr>
        <w:t>, a efecto de que previa búsqueda exhaustiva y razonable en todas las áreas competentes</w:t>
      </w:r>
      <w:r w:rsidRPr="00A4621C" w:rsidR="006A152F">
        <w:rPr>
          <w:rFonts w:cs="Tahoma"/>
          <w:lang w:eastAsia="es-MX"/>
        </w:rPr>
        <w:t xml:space="preserve">, entre las cuales no </w:t>
      </w:r>
      <w:proofErr w:type="spellStart"/>
      <w:r w:rsidRPr="00A4621C" w:rsidR="006A152F">
        <w:rPr>
          <w:rFonts w:cs="Tahoma"/>
          <w:lang w:eastAsia="es-MX"/>
        </w:rPr>
        <w:t>podr</w:t>
      </w:r>
      <w:proofErr w:type="spellEnd"/>
      <w:r w:rsidRPr="00A4621C" w:rsidR="006A152F">
        <w:rPr>
          <w:rFonts w:cs="Tahoma"/>
          <w:lang w:val="x-none" w:eastAsia="es-MX"/>
        </w:rPr>
        <w:t xml:space="preserve">á omitir </w:t>
      </w:r>
      <w:r w:rsidRPr="00A4621C">
        <w:rPr>
          <w:rFonts w:cs="Tahoma"/>
          <w:lang w:val="x-none" w:eastAsia="es-MX"/>
        </w:rPr>
        <w:t>a la Dirección de Obras Públicas y la de Administración y Desarrollo de Personal</w:t>
      </w:r>
      <w:r w:rsidRPr="00A4621C" w:rsidR="00FF7F2D">
        <w:rPr>
          <w:rFonts w:cs="Tahoma"/>
          <w:lang w:eastAsia="es-MX"/>
        </w:rPr>
        <w:t xml:space="preserve">, entregue, </w:t>
      </w:r>
      <w:r w:rsidRPr="00A4621C" w:rsidR="00FF7F2D">
        <w:rPr>
          <w:rFonts w:cs="Tahoma"/>
        </w:rPr>
        <w:t xml:space="preserve">en su caso, en versión pública, </w:t>
      </w:r>
      <w:r w:rsidRPr="00A4621C">
        <w:rPr>
          <w:rFonts w:cs="Tahoma"/>
          <w:bCs/>
        </w:rPr>
        <w:t>los documentos con los que contar</w:t>
      </w:r>
      <w:r w:rsidRPr="00A4621C">
        <w:rPr>
          <w:rFonts w:cs="Tahoma"/>
          <w:bCs/>
          <w:lang w:val="x-none"/>
        </w:rPr>
        <w:t>á al tres de octubre de dos mil veintidós,</w:t>
      </w:r>
      <w:r w:rsidRPr="00A4621C" w:rsidR="00301BF9">
        <w:rPr>
          <w:rFonts w:cs="Tahoma"/>
          <w:bCs/>
        </w:rPr>
        <w:t xml:space="preserve"> donde conste la cantidad de</w:t>
      </w:r>
      <w:r w:rsidRPr="00A4621C">
        <w:rPr>
          <w:rFonts w:eastAsia="Times New Roman" w:cs="Tahoma"/>
          <w:bCs/>
          <w:iCs/>
          <w:color w:val="auto"/>
          <w:lang w:eastAsia="es-MX"/>
        </w:rPr>
        <w:t xml:space="preserve"> materiales utilizados para realizar las adecuaciones en el recinto utilizado para llevar a cabo la Expo Feria Xonacatlán, 2022</w:t>
      </w:r>
      <w:r w:rsidRPr="00A4621C" w:rsidR="00FF7F2D">
        <w:rPr>
          <w:rFonts w:cs="Tahoma"/>
          <w:iCs/>
        </w:rPr>
        <w:t xml:space="preserve">. </w:t>
      </w:r>
      <w:r w:rsidRPr="00A4621C" w:rsidR="00FF7F2D">
        <w:rPr>
          <w:rFonts w:eastAsia="Calibri" w:cs="Tahoma"/>
          <w:iCs/>
          <w:lang w:eastAsia="es-ES_tradnl"/>
        </w:rPr>
        <w:t>Además, de ser necesario, deberá proporcionar el Acuerdo de Clasificación donde el Comité de Transparencia, confirme la eliminación de los datos o información clasificada.</w:t>
      </w:r>
    </w:p>
    <w:p w:rsidRPr="00A4621C" w:rsidR="00FF7F2D" w:rsidP="004668F2" w:rsidRDefault="00FF7F2D" w14:paraId="1A35C028" w14:textId="77777777">
      <w:pPr>
        <w:tabs>
          <w:tab w:val="left" w:pos="4962"/>
        </w:tabs>
        <w:spacing w:after="0" w:line="360" w:lineRule="auto"/>
        <w:rPr>
          <w:rFonts w:eastAsia="Calibri" w:cs="Tahoma"/>
          <w:iCs/>
          <w:lang w:eastAsia="es-ES_tradnl"/>
        </w:rPr>
      </w:pPr>
    </w:p>
    <w:p w:rsidRPr="00A4621C" w:rsidR="00FF7F2D" w:rsidP="004668F2" w:rsidRDefault="00FF7F2D" w14:paraId="1B1970F6" w14:textId="77777777">
      <w:pPr>
        <w:autoSpaceDE w:val="0"/>
        <w:autoSpaceDN w:val="0"/>
        <w:adjustRightInd w:val="0"/>
        <w:spacing w:after="0" w:line="360" w:lineRule="auto"/>
        <w:rPr>
          <w:rFonts w:eastAsia="Calibri" w:cs="Tahoma"/>
          <w:b/>
          <w:bCs/>
          <w:iCs/>
        </w:rPr>
      </w:pPr>
      <w:r w:rsidRPr="00A4621C">
        <w:rPr>
          <w:rFonts w:eastAsia="Calibri" w:cs="Tahoma"/>
          <w:b/>
          <w:bCs/>
          <w:iCs/>
        </w:rPr>
        <w:t>Términos de la Resolución para conocimiento del Particular.</w:t>
      </w:r>
    </w:p>
    <w:p w:rsidRPr="00A4621C" w:rsidR="00FF7F2D" w:rsidP="004668F2" w:rsidRDefault="00FF7F2D" w14:paraId="3A0F4A36" w14:textId="77777777">
      <w:pPr>
        <w:autoSpaceDE w:val="0"/>
        <w:autoSpaceDN w:val="0"/>
        <w:adjustRightInd w:val="0"/>
        <w:spacing w:after="0" w:line="360" w:lineRule="auto"/>
        <w:rPr>
          <w:rFonts w:eastAsia="Calibri" w:cs="Tahoma"/>
          <w:b/>
          <w:bCs/>
          <w:iCs/>
        </w:rPr>
      </w:pPr>
    </w:p>
    <w:p w:rsidRPr="00A4621C" w:rsidR="00FF7F2D" w:rsidP="004668F2" w:rsidRDefault="00FF7F2D" w14:paraId="779EBFF9" w14:textId="2868B3BD">
      <w:pPr>
        <w:spacing w:after="0" w:line="360" w:lineRule="auto"/>
        <w:rPr>
          <w:rFonts w:eastAsia="Calibri" w:cs="Tahoma"/>
          <w:bCs/>
          <w:iCs/>
        </w:rPr>
      </w:pPr>
      <w:r w:rsidRPr="00A4621C">
        <w:rPr>
          <w:rFonts w:eastAsia="Calibri" w:cs="Tahoma"/>
          <w:bCs/>
          <w:iCs/>
        </w:rPr>
        <w:t xml:space="preserve">Se le hace del conocimiento de la Particular, que, en el presente caso, se le concede la razón, pues el Sujeto Obligado no cumplió </w:t>
      </w:r>
      <w:r w:rsidRPr="00A4621C" w:rsidR="005B5177">
        <w:rPr>
          <w:rFonts w:eastAsia="Calibri" w:cs="Tahoma"/>
          <w:bCs/>
          <w:iCs/>
        </w:rPr>
        <w:t xml:space="preserve">con el procedimiento de </w:t>
      </w:r>
      <w:r w:rsidRPr="00A4621C" w:rsidR="005B5177">
        <w:rPr>
          <w:rFonts w:eastAsia="Calibri" w:cs="Tahoma"/>
          <w:bCs/>
          <w:iCs/>
          <w:lang w:val="x-none"/>
        </w:rPr>
        <w:t>búsqueda y la contestación realizada resultó incongruente, por lo que, deberá realizar una indagación en sus archivos y proporcionar la documentación que obre en sus archivos.</w:t>
      </w:r>
    </w:p>
    <w:p w:rsidRPr="00A4621C" w:rsidR="00FF7F2D" w:rsidP="004668F2" w:rsidRDefault="00FF7F2D" w14:paraId="2037A2CE" w14:textId="77777777">
      <w:pPr>
        <w:spacing w:after="0" w:line="360" w:lineRule="auto"/>
        <w:rPr>
          <w:rFonts w:eastAsia="Calibri" w:cs="Tahoma"/>
          <w:bCs/>
          <w:iCs/>
        </w:rPr>
      </w:pPr>
    </w:p>
    <w:p w:rsidRPr="00A4621C" w:rsidR="00FF7F2D" w:rsidP="004668F2" w:rsidRDefault="00FF7F2D" w14:paraId="116D6951" w14:textId="77777777">
      <w:pPr>
        <w:spacing w:after="0" w:line="360" w:lineRule="auto"/>
        <w:rPr>
          <w:rFonts w:eastAsia="Calibri" w:cs="Tahoma"/>
          <w:bCs/>
          <w:iCs/>
          <w:color w:val="auto"/>
          <w:lang w:val="es-ES_tradnl"/>
        </w:rPr>
      </w:pPr>
      <w:r w:rsidRPr="00A4621C">
        <w:rPr>
          <w:rFonts w:eastAsia="Calibri" w:cs="Tahoma"/>
          <w:bCs/>
          <w:iCs/>
          <w:color w:val="auto"/>
          <w:lang w:val="es-ES_tradnl"/>
        </w:rPr>
        <w:t>Finalmente, se le informa que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rsidRPr="00A4621C" w:rsidR="00FF7F2D" w:rsidP="004668F2" w:rsidRDefault="00FF7F2D" w14:paraId="2D6E0FE9" w14:textId="77777777">
      <w:pPr>
        <w:spacing w:after="0" w:line="360" w:lineRule="auto"/>
        <w:rPr>
          <w:rFonts w:eastAsia="Calibri" w:cs="Tahoma"/>
          <w:bCs/>
          <w:iCs/>
          <w:color w:val="auto"/>
          <w:szCs w:val="20"/>
          <w:lang w:eastAsia="es-ES"/>
        </w:rPr>
      </w:pPr>
    </w:p>
    <w:p w:rsidRPr="00A4621C" w:rsidR="00FF7F2D" w:rsidP="004668F2" w:rsidRDefault="00FF7F2D" w14:paraId="72651C0F" w14:textId="77777777">
      <w:pPr>
        <w:spacing w:after="0" w:line="360" w:lineRule="auto"/>
        <w:rPr>
          <w:rFonts w:eastAsia="Times New Roman" w:cs="Tahoma"/>
          <w:bCs/>
          <w:color w:val="auto"/>
          <w:lang w:eastAsia="es-ES"/>
        </w:rPr>
      </w:pPr>
      <w:r w:rsidRPr="00A4621C">
        <w:rPr>
          <w:rFonts w:eastAsia="Times New Roman" w:cs="Tahoma"/>
          <w:bCs/>
          <w:color w:val="auto"/>
          <w:lang w:eastAsia="es-ES"/>
        </w:rPr>
        <w:t>Por lo expuesto y fundado, este Pleno:</w:t>
      </w:r>
    </w:p>
    <w:p w:rsidRPr="00A4621C" w:rsidR="00FF7F2D" w:rsidP="004668F2" w:rsidRDefault="00FF7F2D" w14:paraId="2BF2510E" w14:textId="77777777">
      <w:pPr>
        <w:spacing w:after="0" w:line="360" w:lineRule="auto"/>
        <w:rPr>
          <w:rFonts w:eastAsia="Calibri" w:cs="Tahoma"/>
          <w:b/>
          <w:bCs/>
        </w:rPr>
      </w:pPr>
    </w:p>
    <w:p w:rsidRPr="00A4621C" w:rsidR="00FF7F2D" w:rsidP="004668F2" w:rsidRDefault="00FF7F2D" w14:paraId="799986CE" w14:textId="037C892A">
      <w:pPr>
        <w:spacing w:after="0" w:line="360" w:lineRule="auto"/>
        <w:jc w:val="center"/>
        <w:rPr>
          <w:rFonts w:eastAsia="Calibri" w:cs="Tahoma"/>
          <w:b/>
          <w:bCs/>
        </w:rPr>
      </w:pPr>
      <w:r w:rsidRPr="00A4621C">
        <w:rPr>
          <w:rFonts w:eastAsia="Calibri" w:cs="Tahoma"/>
          <w:b/>
          <w:bCs/>
        </w:rPr>
        <w:t>R E S U E L V E:</w:t>
      </w:r>
    </w:p>
    <w:p w:rsidRPr="00A4621C" w:rsidR="00FF7F2D" w:rsidP="004668F2" w:rsidRDefault="00FF7F2D" w14:paraId="11D595E2" w14:textId="77777777">
      <w:pPr>
        <w:spacing w:after="0" w:line="360" w:lineRule="auto"/>
        <w:jc w:val="left"/>
        <w:rPr>
          <w:rFonts w:eastAsia="Calibri" w:cs="Tahoma"/>
          <w:b/>
          <w:bCs/>
        </w:rPr>
      </w:pPr>
    </w:p>
    <w:p w:rsidRPr="00A4621C" w:rsidR="00FF7F2D" w:rsidP="004668F2" w:rsidRDefault="00FF7F2D" w14:paraId="49E3BB1E" w14:textId="2766AE14">
      <w:pPr>
        <w:spacing w:after="0" w:line="360" w:lineRule="auto"/>
        <w:rPr>
          <w:rFonts w:eastAsia="Calibri" w:cs="Tahoma"/>
          <w:bCs/>
        </w:rPr>
      </w:pPr>
      <w:r w:rsidRPr="00A4621C">
        <w:rPr>
          <w:rFonts w:eastAsia="Calibri" w:cs="Tahoma"/>
          <w:b/>
          <w:bCs/>
        </w:rPr>
        <w:t xml:space="preserve">PRIMERO. </w:t>
      </w:r>
      <w:r w:rsidRPr="00A4621C">
        <w:rPr>
          <w:rFonts w:eastAsia="Calibri" w:cs="Times New Roman"/>
          <w:color w:val="auto"/>
          <w:lang w:eastAsia="es-ES"/>
        </w:rPr>
        <w:t xml:space="preserve">Se </w:t>
      </w:r>
      <w:r w:rsidRPr="00A4621C">
        <w:rPr>
          <w:rFonts w:eastAsia="Calibri" w:cs="Times New Roman"/>
          <w:b/>
          <w:bCs/>
          <w:color w:val="auto"/>
          <w:lang w:eastAsia="es-ES"/>
        </w:rPr>
        <w:t>REVOCA</w:t>
      </w:r>
      <w:r w:rsidRPr="00A4621C">
        <w:rPr>
          <w:rFonts w:eastAsia="Calibri" w:cs="Times New Roman"/>
          <w:color w:val="auto"/>
          <w:lang w:eastAsia="es-ES"/>
        </w:rPr>
        <w:t xml:space="preserve"> la respuesta entregada por el Sujeto Obligado, a la solicitud de información con número </w:t>
      </w:r>
      <w:r w:rsidRPr="00A4621C" w:rsidR="005125C2">
        <w:t>00236/XONACAT/IP/2022</w:t>
      </w:r>
      <w:r w:rsidRPr="00A4621C">
        <w:rPr>
          <w:rFonts w:eastAsia="Calibri" w:cs="Tahoma"/>
          <w:bCs/>
        </w:rPr>
        <w:t xml:space="preserve">, por resultar </w:t>
      </w:r>
      <w:r w:rsidRPr="00A4621C">
        <w:rPr>
          <w:rFonts w:eastAsia="Calibri" w:cs="Tahoma"/>
          <w:b/>
        </w:rPr>
        <w:t xml:space="preserve">FUNDADOS </w:t>
      </w:r>
      <w:r w:rsidRPr="00A4621C">
        <w:rPr>
          <w:rFonts w:eastAsia="Calibri" w:cs="Tahoma"/>
          <w:bCs/>
        </w:rPr>
        <w:t>los motivos de inconformidad señalados por el Recurrente, en términos de los Considerando QUINTO y SEXTO de la presente Resolución.</w:t>
      </w:r>
    </w:p>
    <w:p w:rsidRPr="00A4621C" w:rsidR="00FF7F2D" w:rsidP="004668F2" w:rsidRDefault="00FF7F2D" w14:paraId="408E5AB2" w14:textId="77777777">
      <w:pPr>
        <w:spacing w:after="0" w:line="360" w:lineRule="auto"/>
        <w:rPr>
          <w:rFonts w:eastAsia="Calibri" w:cs="Tahoma"/>
          <w:bCs/>
        </w:rPr>
      </w:pPr>
    </w:p>
    <w:p w:rsidRPr="00A4621C" w:rsidR="00FF7F2D" w:rsidP="004668F2" w:rsidRDefault="00FF7F2D" w14:paraId="303A2E9D" w14:textId="3F208764">
      <w:pPr>
        <w:tabs>
          <w:tab w:val="left" w:pos="4962"/>
        </w:tabs>
        <w:spacing w:after="0" w:line="360" w:lineRule="auto"/>
        <w:rPr>
          <w:rFonts w:eastAsia="Calibri" w:cs="Tahoma"/>
          <w:bCs/>
        </w:rPr>
      </w:pPr>
      <w:r w:rsidRPr="00A4621C">
        <w:rPr>
          <w:rFonts w:eastAsia="Calibri" w:cs="Tahoma"/>
          <w:b/>
          <w:bCs/>
        </w:rPr>
        <w:t>SEGUNDO.</w:t>
      </w:r>
      <w:r w:rsidRPr="00A4621C">
        <w:rPr>
          <w:rFonts w:eastAsia="Calibri" w:cs="Tahoma"/>
          <w:lang w:eastAsia="es-MX"/>
        </w:rPr>
        <w:t xml:space="preserve">  </w:t>
      </w:r>
      <w:r w:rsidRPr="00A4621C">
        <w:rPr>
          <w:rFonts w:eastAsia="Calibri" w:cs="Tahoma"/>
          <w:bCs/>
        </w:rPr>
        <w:t xml:space="preserve">Se </w:t>
      </w:r>
      <w:r w:rsidRPr="00A4621C">
        <w:rPr>
          <w:rFonts w:eastAsia="Calibri" w:cs="Tahoma"/>
          <w:b/>
          <w:bCs/>
        </w:rPr>
        <w:t>ORDENA</w:t>
      </w:r>
      <w:r w:rsidRPr="00A4621C">
        <w:rPr>
          <w:rFonts w:eastAsia="Calibri" w:cs="Tahoma"/>
          <w:bCs/>
        </w:rPr>
        <w:t xml:space="preserve"> </w:t>
      </w:r>
      <w:r w:rsidRPr="00A4621C">
        <w:rPr>
          <w:rFonts w:eastAsia="Calibri" w:cs="Tahoma"/>
          <w:bCs/>
          <w:lang w:val="es-ES_tradnl"/>
        </w:rPr>
        <w:t xml:space="preserve">al Ente Recurrido, </w:t>
      </w:r>
      <w:r w:rsidRPr="00A4621C">
        <w:rPr>
          <w:rFonts w:eastAsia="Calibri" w:cs="Tahoma"/>
          <w:bCs/>
        </w:rPr>
        <w:t xml:space="preserve">a efecto de que previa búsqueda exhaustiva y razonable en los archivos de las unidades administrativas competentes, entregue, a través del Sistema de Acceso a la Información Mexiquense (SAIMEX), en su caso, en versión pública, </w:t>
      </w:r>
      <w:r w:rsidRPr="00A4621C" w:rsidR="005B5177">
        <w:rPr>
          <w:rFonts w:eastAsia="Calibri" w:cs="Tahoma"/>
          <w:bCs/>
        </w:rPr>
        <w:t>los documentos con los que contar</w:t>
      </w:r>
      <w:r w:rsidRPr="00A4621C" w:rsidR="005B5177">
        <w:rPr>
          <w:rFonts w:eastAsia="Calibri" w:cs="Tahoma"/>
          <w:bCs/>
          <w:lang w:val="x-none"/>
        </w:rPr>
        <w:t xml:space="preserve">á al tres de octubre de dos mil veintidós, donde conste </w:t>
      </w:r>
      <w:r w:rsidRPr="00A4621C">
        <w:rPr>
          <w:rFonts w:eastAsia="Calibri" w:cs="Tahoma"/>
          <w:bCs/>
        </w:rPr>
        <w:t>lo siguiente:</w:t>
      </w:r>
    </w:p>
    <w:p w:rsidRPr="00A4621C" w:rsidR="00FF7F2D" w:rsidP="004668F2" w:rsidRDefault="00FF7F2D" w14:paraId="431B0F9B" w14:textId="77777777">
      <w:pPr>
        <w:spacing w:after="0" w:line="360" w:lineRule="auto"/>
        <w:rPr>
          <w:rFonts w:eastAsia="Calibri" w:cs="Tahoma"/>
        </w:rPr>
      </w:pPr>
    </w:p>
    <w:p w:rsidRPr="00A4621C" w:rsidR="00FF7F2D" w:rsidP="004668F2" w:rsidRDefault="00013DC4" w14:paraId="2E6EC35B" w14:textId="481CC7BC">
      <w:pPr>
        <w:pStyle w:val="Prrafodelista"/>
        <w:numPr>
          <w:ilvl w:val="0"/>
          <w:numId w:val="6"/>
        </w:numPr>
        <w:autoSpaceDE w:val="0"/>
        <w:autoSpaceDN w:val="0"/>
        <w:adjustRightInd w:val="0"/>
        <w:spacing w:line="360" w:lineRule="auto"/>
        <w:ind w:right="-28"/>
        <w:jc w:val="both"/>
        <w:rPr>
          <w:rFonts w:ascii="Palatino Linotype" w:hAnsi="Palatino Linotype" w:cs="Tahoma"/>
          <w:iCs/>
        </w:rPr>
      </w:pPr>
      <w:r w:rsidRPr="00A4621C">
        <w:rPr>
          <w:rFonts w:ascii="Palatino Linotype" w:hAnsi="Palatino Linotype" w:cs="Tahoma"/>
          <w:bCs/>
        </w:rPr>
        <w:t>L</w:t>
      </w:r>
      <w:r w:rsidRPr="00A4621C" w:rsidR="00301BF9">
        <w:rPr>
          <w:rFonts w:ascii="Palatino Linotype" w:hAnsi="Palatino Linotype" w:cs="Tahoma"/>
          <w:bCs/>
        </w:rPr>
        <w:t>a cantidad de</w:t>
      </w:r>
      <w:r w:rsidRPr="00A4621C" w:rsidR="005B5177">
        <w:rPr>
          <w:rFonts w:ascii="Palatino Linotype" w:hAnsi="Palatino Linotype" w:cs="Tahoma"/>
          <w:bCs/>
          <w:iCs/>
        </w:rPr>
        <w:t xml:space="preserve"> materiales utilizados para realizar las adecuaciones en el recinto utilizado para llevar a cabo la Expo Feria Xonacatlán, 2022.</w:t>
      </w:r>
    </w:p>
    <w:p w:rsidRPr="00A4621C" w:rsidR="00013DC4" w:rsidP="004668F2" w:rsidRDefault="00013DC4" w14:paraId="354B7DEC" w14:textId="77777777">
      <w:pPr>
        <w:pStyle w:val="Prrafodelista"/>
        <w:autoSpaceDE w:val="0"/>
        <w:autoSpaceDN w:val="0"/>
        <w:adjustRightInd w:val="0"/>
        <w:spacing w:line="360" w:lineRule="auto"/>
        <w:ind w:left="714" w:right="-28"/>
        <w:jc w:val="both"/>
        <w:rPr>
          <w:rFonts w:ascii="Palatino Linotype" w:hAnsi="Palatino Linotype" w:eastAsia="Calibri" w:cs="Tahoma"/>
        </w:rPr>
      </w:pPr>
    </w:p>
    <w:p w:rsidRPr="00A4621C" w:rsidR="00FF7F2D" w:rsidP="004668F2" w:rsidRDefault="00FF7F2D" w14:paraId="6A494A4E" w14:textId="77777777">
      <w:pPr>
        <w:tabs>
          <w:tab w:val="left" w:pos="4962"/>
        </w:tabs>
        <w:spacing w:after="0" w:line="360" w:lineRule="auto"/>
        <w:rPr>
          <w:rFonts w:eastAsia="Calibri" w:cs="Tahoma"/>
          <w:bCs/>
          <w:iCs/>
          <w:color w:val="auto"/>
        </w:rPr>
      </w:pPr>
      <w:r w:rsidRPr="00A4621C">
        <w:rPr>
          <w:rFonts w:eastAsia="Calibri" w:cs="Tahoma"/>
          <w:bCs/>
          <w:iCs/>
          <w:color w:val="auto"/>
        </w:rPr>
        <w:t xml:space="preserve">Además, de ser necesario, deberá proporcionar el Acuerdo de Clasificación donde el Comité de Transparencia, confirme la eliminación de los datos o información clasificada, en la versión </w:t>
      </w:r>
      <w:r w:rsidRPr="00A4621C">
        <w:rPr>
          <w:rFonts w:eastAsia="Calibri" w:cs="Tahoma"/>
          <w:bCs/>
          <w:iCs/>
          <w:color w:val="auto"/>
        </w:rPr>
        <w:lastRenderedPageBreak/>
        <w:t>pública, de conformidad con los artículos 49, fracciones II y VIII y 132, fracción II de la Ley de Transparencia y Acceso a la Información Pública del Estado de México y Municipios.</w:t>
      </w:r>
    </w:p>
    <w:p w:rsidRPr="00A4621C" w:rsidR="00FF7F2D" w:rsidP="004668F2" w:rsidRDefault="00FF7F2D" w14:paraId="18B48F2B" w14:textId="77777777">
      <w:pPr>
        <w:spacing w:after="0" w:line="360" w:lineRule="auto"/>
        <w:rPr>
          <w:rFonts w:eastAsia="Calibri" w:cs="Tahoma"/>
          <w:b/>
          <w:bCs/>
        </w:rPr>
      </w:pPr>
    </w:p>
    <w:p w:rsidRPr="00A4621C" w:rsidR="00FF7F2D" w:rsidP="004668F2" w:rsidRDefault="00FF7F2D" w14:paraId="61E52F9F" w14:textId="77777777">
      <w:pPr>
        <w:spacing w:after="0" w:line="360" w:lineRule="auto"/>
        <w:rPr>
          <w:rFonts w:eastAsia="Times New Roman" w:cs="Tahoma"/>
          <w:i/>
          <w:color w:val="auto"/>
          <w:lang w:eastAsia="es-ES"/>
        </w:rPr>
      </w:pPr>
      <w:r w:rsidRPr="00A4621C">
        <w:rPr>
          <w:rFonts w:eastAsia="Calibri" w:cs="Tahoma"/>
          <w:b/>
          <w:bCs/>
          <w:color w:val="auto"/>
        </w:rPr>
        <w:t>TERCERO.</w:t>
      </w:r>
      <w:r w:rsidRPr="00A4621C">
        <w:rPr>
          <w:rFonts w:eastAsia="Times New Roman" w:cs="Tahoma"/>
          <w:lang w:eastAsia="es-ES"/>
        </w:rPr>
        <w:t xml:space="preserve"> </w:t>
      </w:r>
      <w:r w:rsidRPr="00A4621C">
        <w:rPr>
          <w:rFonts w:eastAsia="Times New Roman" w:cs="Tahoma"/>
          <w:b/>
          <w:color w:val="auto"/>
          <w:lang w:eastAsia="es-ES"/>
        </w:rPr>
        <w:t xml:space="preserve">NOTIFÍQUESE </w:t>
      </w:r>
      <w:r w:rsidRPr="00A4621C">
        <w:rPr>
          <w:rFonts w:eastAsia="Times New Roman" w:cs="Tahoma"/>
          <w:color w:val="auto"/>
          <w:lang w:eastAsia="es-ES"/>
        </w:rPr>
        <w:t>la presente resolución al Titular de la Unidad de Transparencia del Ayuntamiento de Coacalco de Berriozábal, para que conforme al artículo 186, último párrafo, 189, segundo párrafo y 194 de la Ley de la materia, dé cumplimiento a lo ordenado dentro del plazo de diez días hábiles, e informe a este Instituto en un plazo de tres días hábiles siguientes sobre el cumplimiento dado a la presente.</w:t>
      </w:r>
    </w:p>
    <w:p w:rsidRPr="00A4621C" w:rsidR="00FF7F2D" w:rsidP="004668F2" w:rsidRDefault="00FF7F2D" w14:paraId="4EAF9BC2" w14:textId="77777777">
      <w:pPr>
        <w:spacing w:after="0" w:line="360" w:lineRule="auto"/>
        <w:rPr>
          <w:rFonts w:eastAsia="Calibri" w:cs="Tahoma"/>
          <w:color w:val="auto"/>
          <w:lang w:eastAsia="es-MX"/>
        </w:rPr>
      </w:pPr>
    </w:p>
    <w:p w:rsidRPr="00A4621C" w:rsidR="00FF7F2D" w:rsidP="004668F2" w:rsidRDefault="00FF7F2D" w14:paraId="41F733F9" w14:textId="77777777">
      <w:pPr>
        <w:spacing w:after="0" w:line="360" w:lineRule="auto"/>
        <w:rPr>
          <w:rFonts w:eastAsia="Calibri" w:cs="Tahoma"/>
          <w:iCs/>
          <w:color w:val="000000"/>
        </w:rPr>
      </w:pPr>
      <w:r w:rsidRPr="00A4621C">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A4621C" w:rsidR="00FF7F2D" w:rsidP="004668F2" w:rsidRDefault="00FF7F2D" w14:paraId="4391B0C6" w14:textId="77777777">
      <w:pPr>
        <w:spacing w:after="0" w:line="360" w:lineRule="auto"/>
        <w:rPr>
          <w:rFonts w:eastAsia="Calibri" w:cs="Tahoma"/>
          <w:lang w:eastAsia="es-MX"/>
        </w:rPr>
      </w:pPr>
    </w:p>
    <w:p w:rsidRPr="00A4621C" w:rsidR="00FF7F2D" w:rsidP="004668F2" w:rsidRDefault="00FF7F2D" w14:paraId="47376330" w14:textId="77777777">
      <w:pPr>
        <w:spacing w:after="0" w:line="360" w:lineRule="auto"/>
        <w:rPr>
          <w:rFonts w:eastAsia="Times New Roman" w:cs="Tahoma"/>
          <w:color w:val="auto"/>
          <w:lang w:eastAsia="es-ES"/>
        </w:rPr>
      </w:pPr>
      <w:r w:rsidRPr="00A4621C">
        <w:rPr>
          <w:rFonts w:eastAsia="Calibri" w:cs="Tahoma"/>
          <w:b/>
          <w:color w:val="auto"/>
          <w:lang w:eastAsia="es-MX"/>
        </w:rPr>
        <w:t>CUARTO</w:t>
      </w:r>
      <w:r w:rsidRPr="00A4621C">
        <w:rPr>
          <w:rFonts w:eastAsia="Calibri" w:cs="Tahoma"/>
          <w:b/>
          <w:bCs/>
          <w:color w:val="auto"/>
        </w:rPr>
        <w:t>.</w:t>
      </w:r>
      <w:r w:rsidRPr="00A4621C">
        <w:rPr>
          <w:rFonts w:eastAsia="Calibri" w:cs="Tahoma"/>
          <w:color w:val="auto"/>
          <w:lang w:eastAsia="es-MX"/>
        </w:rPr>
        <w:t xml:space="preserve"> </w:t>
      </w:r>
      <w:r w:rsidRPr="00A4621C">
        <w:rPr>
          <w:rFonts w:eastAsia="Times New Roman" w:cs="Tahoma"/>
          <w:b/>
          <w:color w:val="auto"/>
          <w:lang w:eastAsia="es-ES"/>
        </w:rPr>
        <w:t>NOTIFÍQUESE</w:t>
      </w:r>
      <w:r w:rsidRPr="00A4621C">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A4621C" w:rsidR="00FF7F2D" w:rsidP="004668F2" w:rsidRDefault="00FF7F2D" w14:paraId="32E4F850" w14:textId="77777777">
      <w:pPr>
        <w:spacing w:after="0" w:line="360" w:lineRule="auto"/>
        <w:rPr>
          <w:rFonts w:eastAsia="Calibri" w:cs="Tahoma"/>
          <w:bCs/>
        </w:rPr>
      </w:pPr>
    </w:p>
    <w:p w:rsidR="0015586E" w:rsidP="00AE4234" w:rsidRDefault="00FF7F2D" w14:paraId="6794FE8C" w14:textId="3345B1B1">
      <w:pPr>
        <w:spacing w:after="0" w:line="360" w:lineRule="auto"/>
        <w:rPr>
          <w:rFonts w:cs="Arial"/>
        </w:rPr>
      </w:pPr>
      <w:r w:rsidRPr="00A4621C">
        <w:t xml:space="preserve">ASÍ LO RESUELVE, POR </w:t>
      </w:r>
      <w:r w:rsidRPr="00A4621C">
        <w:rPr>
          <w:b/>
          <w:bCs/>
        </w:rPr>
        <w:t>UNANIMIDAD</w:t>
      </w:r>
      <w:r w:rsidRPr="00A4621C">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A4621C" w:rsidR="005B5177">
        <w:t>SEXTA</w:t>
      </w:r>
      <w:r w:rsidRPr="00A4621C">
        <w:t xml:space="preserve"> SESIÓN ORDINARIA CELEBRADA EL </w:t>
      </w:r>
      <w:r w:rsidRPr="00A4621C" w:rsidR="005B5177">
        <w:t xml:space="preserve">QUINCE </w:t>
      </w:r>
      <w:r w:rsidRPr="00A4621C" w:rsidR="00013DC4">
        <w:t xml:space="preserve">DE FEBRERO </w:t>
      </w:r>
      <w:r w:rsidRPr="00A4621C">
        <w:t>DE DOS MIL VEINTI</w:t>
      </w:r>
      <w:r w:rsidRPr="00A4621C" w:rsidR="00013DC4">
        <w:t>TRÉ</w:t>
      </w:r>
      <w:r w:rsidRPr="00A4621C">
        <w:t>S, ANTE EL SECRETARIO TÉCNICO DEL PLENO, ALEXIS TAPIA RAMÍREZ.</w:t>
      </w:r>
      <w:r w:rsidR="0015586E">
        <w:rPr>
          <w:rFonts w:cs="Arial"/>
        </w:rPr>
        <w:br w:type="page"/>
      </w:r>
    </w:p>
    <w:p w:rsidRPr="0015586E" w:rsidR="00AA08CF" w:rsidP="004668F2" w:rsidRDefault="00AA08CF" w14:paraId="20A435E6" w14:textId="77777777">
      <w:pPr>
        <w:spacing w:after="0" w:line="360" w:lineRule="auto"/>
        <w:rPr>
          <w:rFonts w:cs="Arial"/>
        </w:rPr>
      </w:pPr>
    </w:p>
    <w:sectPr w:rsidRPr="0015586E" w:rsidR="00AA08CF" w:rsidSect="008C644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7BDA" w:rsidP="00FF7F2D" w:rsidRDefault="00C87BDA" w14:paraId="3042913F" w14:textId="77777777">
      <w:pPr>
        <w:spacing w:after="0" w:line="240" w:lineRule="auto"/>
      </w:pPr>
      <w:r>
        <w:separator/>
      </w:r>
    </w:p>
  </w:endnote>
  <w:endnote w:type="continuationSeparator" w:id="0">
    <w:p w:rsidR="00C87BDA" w:rsidP="00FF7F2D" w:rsidRDefault="00C87BDA" w14:paraId="75C2D7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F9094A" w14:paraId="03FD6772" w14:textId="7777777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A4621C" w14:paraId="2B763FE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F9094A" w14:paraId="5110CD65" w14:textId="7777777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01BF9">
              <w:rPr>
                <w:b/>
                <w:bCs/>
                <w:noProof/>
              </w:rPr>
              <w:t>24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01BF9">
              <w:rPr>
                <w:b/>
                <w:bCs/>
                <w:noProof/>
              </w:rPr>
              <w:t>26</w:t>
            </w:r>
            <w:r>
              <w:rPr>
                <w:b/>
                <w:bCs/>
                <w:sz w:val="24"/>
                <w:szCs w:val="24"/>
              </w:rPr>
              <w:fldChar w:fldCharType="end"/>
            </w:r>
          </w:p>
        </w:sdtContent>
      </w:sdt>
    </w:sdtContent>
  </w:sdt>
  <w:p w:rsidR="008C644E" w:rsidRDefault="00A4621C" w14:paraId="0CA47F93"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F9094A" w14:paraId="61A3EFCF" w14:textId="7777777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01BF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01BF9">
      <w:rPr>
        <w:b/>
        <w:bCs/>
        <w:noProof/>
      </w:rPr>
      <w:t>26</w:t>
    </w:r>
    <w:r>
      <w:rPr>
        <w:b/>
        <w:bCs/>
        <w:sz w:val="24"/>
        <w:szCs w:val="24"/>
      </w:rPr>
      <w:fldChar w:fldCharType="end"/>
    </w:r>
  </w:p>
  <w:p w:rsidR="008C644E" w:rsidP="00F73157" w:rsidRDefault="00F9094A" w14:paraId="6933D15B"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7BDA" w:rsidP="00FF7F2D" w:rsidRDefault="00C87BDA" w14:paraId="39B8701C" w14:textId="77777777">
      <w:pPr>
        <w:spacing w:after="0" w:line="240" w:lineRule="auto"/>
      </w:pPr>
      <w:r>
        <w:separator/>
      </w:r>
    </w:p>
  </w:footnote>
  <w:footnote w:type="continuationSeparator" w:id="0">
    <w:p w:rsidR="00C87BDA" w:rsidP="00FF7F2D" w:rsidRDefault="00C87BDA" w14:paraId="0583856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6B94ED68" w14:textId="77777777">
      <w:trPr>
        <w:trHeight w:val="1435"/>
      </w:trPr>
      <w:tc>
        <w:tcPr>
          <w:tcW w:w="3261" w:type="dxa"/>
        </w:tcPr>
        <w:p w:rsidRPr="008C644E" w:rsidR="008C644E" w:rsidP="008C644E" w:rsidRDefault="00A4621C" w14:paraId="15039A1F"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480638EC" w14:textId="77777777">
            <w:trPr>
              <w:trHeight w:val="144"/>
            </w:trPr>
            <w:tc>
              <w:tcPr>
                <w:tcW w:w="2559" w:type="dxa"/>
                <w:hideMark/>
              </w:tcPr>
              <w:p w:rsidRPr="008C644E" w:rsidR="008C644E" w:rsidP="008C644E" w:rsidRDefault="00F9094A" w14:paraId="463C566D" w14:textId="77777777">
                <w:pPr>
                  <w:pStyle w:val="Encabezado"/>
                  <w:rPr>
                    <w:b/>
                  </w:rPr>
                </w:pPr>
                <w:r w:rsidRPr="008C644E">
                  <w:rPr>
                    <w:b/>
                  </w:rPr>
                  <w:t>Recurso de Revisión:</w:t>
                </w:r>
              </w:p>
            </w:tc>
            <w:tc>
              <w:tcPr>
                <w:tcW w:w="3259" w:type="dxa"/>
                <w:hideMark/>
              </w:tcPr>
              <w:p w:rsidRPr="008C644E" w:rsidR="008C644E" w:rsidP="008C644E" w:rsidRDefault="00F9094A" w14:paraId="13CC7229" w14:textId="77777777">
                <w:pPr>
                  <w:pStyle w:val="Encabezado"/>
                </w:pPr>
                <w:r>
                  <w:t>01226/INFOEM/IP/RR/2022</w:t>
                </w:r>
              </w:p>
            </w:tc>
            <w:tc>
              <w:tcPr>
                <w:tcW w:w="3402" w:type="dxa"/>
              </w:tcPr>
              <w:p w:rsidRPr="008C644E" w:rsidR="008C644E" w:rsidP="008C644E" w:rsidRDefault="00A4621C" w14:paraId="25444B37" w14:textId="77777777">
                <w:pPr>
                  <w:pStyle w:val="Encabezado"/>
                  <w:rPr>
                    <w:bCs/>
                  </w:rPr>
                </w:pPr>
              </w:p>
            </w:tc>
          </w:tr>
          <w:tr w:rsidRPr="008C644E" w:rsidR="008C644E" w:rsidTr="00787244" w14:paraId="190001EB" w14:textId="77777777">
            <w:trPr>
              <w:trHeight w:val="283"/>
            </w:trPr>
            <w:tc>
              <w:tcPr>
                <w:tcW w:w="2559" w:type="dxa"/>
                <w:hideMark/>
              </w:tcPr>
              <w:p w:rsidRPr="008C644E" w:rsidR="008C644E" w:rsidP="008C644E" w:rsidRDefault="00F9094A" w14:paraId="31C29B90" w14:textId="77777777">
                <w:pPr>
                  <w:pStyle w:val="Encabezado"/>
                  <w:rPr>
                    <w:b/>
                  </w:rPr>
                </w:pPr>
                <w:r w:rsidRPr="008C644E">
                  <w:rPr>
                    <w:b/>
                  </w:rPr>
                  <w:t>Sujeto Obligado:</w:t>
                </w:r>
              </w:p>
            </w:tc>
            <w:tc>
              <w:tcPr>
                <w:tcW w:w="3259" w:type="dxa"/>
                <w:hideMark/>
              </w:tcPr>
              <w:p w:rsidRPr="008C644E" w:rsidR="008C644E" w:rsidP="00A075BA" w:rsidRDefault="00F9094A" w14:paraId="11D6B763" w14:textId="77777777">
                <w:pPr>
                  <w:pStyle w:val="Encabezado"/>
                </w:pPr>
                <w:r w:rsidRPr="008C644E">
                  <w:rPr>
                    <w:lang w:val="es-MX"/>
                  </w:rPr>
                  <w:t>Ayuntamiento</w:t>
                </w:r>
                <w:r>
                  <w:rPr>
                    <w:lang w:val="es-MX"/>
                  </w:rPr>
                  <w:t xml:space="preserve"> de</w:t>
                </w:r>
                <w:r w:rsidRPr="008C644E">
                  <w:rPr>
                    <w:lang w:val="es-MX"/>
                  </w:rPr>
                  <w:t xml:space="preserve"> </w:t>
                </w:r>
                <w:r>
                  <w:rPr>
                    <w:lang w:val="es-MX"/>
                  </w:rPr>
                  <w:t>Temascalapa</w:t>
                </w:r>
              </w:p>
            </w:tc>
            <w:tc>
              <w:tcPr>
                <w:tcW w:w="3402" w:type="dxa"/>
              </w:tcPr>
              <w:p w:rsidRPr="008C644E" w:rsidR="008C644E" w:rsidP="008C644E" w:rsidRDefault="00A4621C" w14:paraId="7545FCCC" w14:textId="77777777">
                <w:pPr>
                  <w:pStyle w:val="Encabezado"/>
                </w:pPr>
              </w:p>
            </w:tc>
          </w:tr>
          <w:tr w:rsidRPr="008C644E" w:rsidR="008C644E" w:rsidTr="00787244" w14:paraId="3780653D" w14:textId="77777777">
            <w:trPr>
              <w:trHeight w:val="283"/>
            </w:trPr>
            <w:tc>
              <w:tcPr>
                <w:tcW w:w="2559" w:type="dxa"/>
                <w:hideMark/>
              </w:tcPr>
              <w:p w:rsidRPr="008C644E" w:rsidR="008C644E" w:rsidP="008C644E" w:rsidRDefault="00F9094A" w14:paraId="305645C0" w14:textId="77777777">
                <w:pPr>
                  <w:pStyle w:val="Encabezado"/>
                  <w:rPr>
                    <w:b/>
                  </w:rPr>
                </w:pPr>
                <w:r w:rsidRPr="008C644E">
                  <w:rPr>
                    <w:b/>
                  </w:rPr>
                  <w:t xml:space="preserve">Comisionado Ponente: </w:t>
                </w:r>
              </w:p>
            </w:tc>
            <w:tc>
              <w:tcPr>
                <w:tcW w:w="3259" w:type="dxa"/>
                <w:hideMark/>
              </w:tcPr>
              <w:p w:rsidRPr="008C644E" w:rsidR="008C644E" w:rsidP="008C644E" w:rsidRDefault="00F9094A" w14:paraId="78BEA51F" w14:textId="77777777">
                <w:pPr>
                  <w:pStyle w:val="Encabezado"/>
                  <w:rPr>
                    <w:b/>
                  </w:rPr>
                </w:pPr>
                <w:r w:rsidRPr="008C644E">
                  <w:t>Luis Gustavo Parra Noriega</w:t>
                </w:r>
              </w:p>
            </w:tc>
            <w:tc>
              <w:tcPr>
                <w:tcW w:w="3402" w:type="dxa"/>
              </w:tcPr>
              <w:p w:rsidRPr="008C644E" w:rsidR="008C644E" w:rsidP="008C644E" w:rsidRDefault="00A4621C" w14:paraId="44D19650" w14:textId="77777777">
                <w:pPr>
                  <w:pStyle w:val="Encabezado"/>
                </w:pPr>
              </w:p>
            </w:tc>
          </w:tr>
        </w:tbl>
        <w:p w:rsidRPr="008C644E" w:rsidR="008C644E" w:rsidP="008C644E" w:rsidRDefault="00A4621C" w14:paraId="53B89765" w14:textId="77777777">
          <w:pPr>
            <w:pStyle w:val="Encabezado"/>
            <w:rPr>
              <w:b/>
            </w:rPr>
          </w:pPr>
        </w:p>
      </w:tc>
    </w:tr>
  </w:tbl>
  <w:p w:rsidR="008C644E" w:rsidRDefault="00A4621C" w14:paraId="4B64A851" w14:textId="77777777">
    <w:pPr>
      <w:pStyle w:val="Encabezado"/>
    </w:pPr>
    <w:r>
      <w:rPr>
        <w:noProof/>
      </w:rPr>
      <w:pict w14:anchorId="1986EFE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9" w:type="dxa"/>
      <w:tblLayout w:type="fixed"/>
      <w:tblLook w:val="04A0" w:firstRow="1" w:lastRow="0" w:firstColumn="1" w:lastColumn="0" w:noHBand="0" w:noVBand="1"/>
    </w:tblPr>
    <w:tblGrid>
      <w:gridCol w:w="3119"/>
      <w:gridCol w:w="6730"/>
    </w:tblGrid>
    <w:tr w:rsidR="008C644E" w:rsidTr="0088387D" w14:paraId="268F6AEF" w14:textId="77777777">
      <w:trPr>
        <w:trHeight w:val="1435"/>
      </w:trPr>
      <w:tc>
        <w:tcPr>
          <w:tcW w:w="3119" w:type="dxa"/>
        </w:tcPr>
        <w:p w:rsidR="008C644E" w:rsidP="008C644E" w:rsidRDefault="00A4621C" w14:paraId="00A0EC36" w14:textId="77777777">
          <w:pPr>
            <w:tabs>
              <w:tab w:val="right" w:pos="4273"/>
            </w:tabs>
            <w:spacing w:line="256" w:lineRule="auto"/>
            <w:rPr>
              <w:rFonts w:ascii="Garamond" w:hAnsi="Garamond" w:eastAsia="Calibri"/>
              <w:color w:val="auto"/>
            </w:rPr>
          </w:pPr>
        </w:p>
      </w:tc>
      <w:tc>
        <w:tcPr>
          <w:tcW w:w="6730" w:type="dxa"/>
          <w:hideMark/>
        </w:tcPr>
        <w:p w:rsidR="00D36646" w:rsidRDefault="00A4621C" w14:paraId="38927868" w14:textId="77777777"/>
        <w:tbl>
          <w:tblPr>
            <w:tblStyle w:val="Tablaconcuadrcula"/>
            <w:tblW w:w="8759" w:type="dxa"/>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260"/>
            <w:gridCol w:w="3089"/>
          </w:tblGrid>
          <w:tr w:rsidR="008C644E" w:rsidTr="00FF7F2D" w14:paraId="483FA63D" w14:textId="77777777">
            <w:trPr>
              <w:trHeight w:val="144"/>
            </w:trPr>
            <w:tc>
              <w:tcPr>
                <w:tcW w:w="2410" w:type="dxa"/>
                <w:hideMark/>
              </w:tcPr>
              <w:p w:rsidR="008C644E" w:rsidP="008C644E" w:rsidRDefault="00F9094A" w14:paraId="66220EBD" w14:textId="77777777">
                <w:pPr>
                  <w:tabs>
                    <w:tab w:val="right" w:pos="8838"/>
                  </w:tabs>
                  <w:ind w:left="-74" w:right="-105"/>
                  <w:rPr>
                    <w:rFonts w:eastAsia="Calibri" w:cs="Tahoma"/>
                    <w:b/>
                  </w:rPr>
                </w:pPr>
                <w:bookmarkStart w:name="_Hlk12526980" w:id="0"/>
                <w:r>
                  <w:rPr>
                    <w:rFonts w:eastAsia="Calibri" w:cs="Tahoma"/>
                    <w:b/>
                  </w:rPr>
                  <w:t>Recurso de Revisión:</w:t>
                </w:r>
              </w:p>
            </w:tc>
            <w:tc>
              <w:tcPr>
                <w:tcW w:w="3260" w:type="dxa"/>
                <w:hideMark/>
              </w:tcPr>
              <w:p w:rsidR="008C644E" w:rsidP="008C644E" w:rsidRDefault="00F9094A" w14:paraId="439C4F9D" w14:textId="2C417AA3">
                <w:pPr>
                  <w:tabs>
                    <w:tab w:val="right" w:pos="8838"/>
                  </w:tabs>
                  <w:ind w:left="-74" w:right="-105"/>
                  <w:rPr>
                    <w:rFonts w:eastAsia="Calibri" w:cs="Tahoma"/>
                    <w:bCs/>
                  </w:rPr>
                </w:pPr>
                <w:r>
                  <w:t>1</w:t>
                </w:r>
                <w:r w:rsidR="00FF7F2D">
                  <w:t>6086</w:t>
                </w:r>
                <w:r>
                  <w:t>/INFOEM/IP/RR/2022</w:t>
                </w:r>
              </w:p>
            </w:tc>
            <w:tc>
              <w:tcPr>
                <w:tcW w:w="3089" w:type="dxa"/>
              </w:tcPr>
              <w:p w:rsidR="008C644E" w:rsidP="008C644E" w:rsidRDefault="00A4621C" w14:paraId="5EA7038A" w14:textId="77777777">
                <w:pPr>
                  <w:tabs>
                    <w:tab w:val="right" w:pos="8838"/>
                  </w:tabs>
                  <w:ind w:left="-74" w:right="-105"/>
                  <w:rPr>
                    <w:rFonts w:eastAsia="Calibri" w:cs="Tahoma"/>
                    <w:bCs/>
                  </w:rPr>
                </w:pPr>
              </w:p>
            </w:tc>
            <w:bookmarkEnd w:id="0"/>
          </w:tr>
          <w:tr w:rsidR="008C644E" w:rsidTr="00FF7F2D" w14:paraId="6BCCE1C6" w14:textId="77777777">
            <w:trPr>
              <w:trHeight w:val="283"/>
            </w:trPr>
            <w:tc>
              <w:tcPr>
                <w:tcW w:w="2410" w:type="dxa"/>
                <w:hideMark/>
              </w:tcPr>
              <w:p w:rsidR="008C644E" w:rsidP="008C644E" w:rsidRDefault="00F9094A" w14:paraId="4CD95B95" w14:textId="77777777">
                <w:pPr>
                  <w:tabs>
                    <w:tab w:val="right" w:pos="8838"/>
                  </w:tabs>
                  <w:ind w:left="-74" w:right="-105"/>
                  <w:rPr>
                    <w:rFonts w:eastAsia="Calibri" w:cs="Tahoma"/>
                    <w:b/>
                  </w:rPr>
                </w:pPr>
                <w:r>
                  <w:rPr>
                    <w:rFonts w:eastAsia="Calibri" w:cs="Tahoma"/>
                    <w:b/>
                  </w:rPr>
                  <w:t>Sujeto Obligado:</w:t>
                </w:r>
              </w:p>
            </w:tc>
            <w:tc>
              <w:tcPr>
                <w:tcW w:w="3260" w:type="dxa"/>
                <w:hideMark/>
              </w:tcPr>
              <w:p w:rsidRPr="008C644E" w:rsidR="008C644E" w:rsidP="00412BE1" w:rsidRDefault="00F9094A" w14:paraId="499B52C6" w14:textId="3DBD1DD2">
                <w:pPr>
                  <w:tabs>
                    <w:tab w:val="left" w:pos="2834"/>
                    <w:tab w:val="right" w:pos="8838"/>
                  </w:tabs>
                  <w:ind w:left="-74" w:right="-105"/>
                  <w:rPr>
                    <w:rFonts w:eastAsia="Calibri" w:cs="Tahoma"/>
                  </w:rPr>
                </w:pPr>
                <w:r>
                  <w:rPr>
                    <w:rFonts w:eastAsia="Calibri" w:cs="Tahoma"/>
                    <w:lang w:val="es-MX"/>
                  </w:rPr>
                  <w:t xml:space="preserve">Ayuntamiento de </w:t>
                </w:r>
                <w:r w:rsidR="00FF7F2D">
                  <w:rPr>
                    <w:rFonts w:eastAsia="Calibri" w:cs="Tahoma"/>
                    <w:lang w:val="es-MX"/>
                  </w:rPr>
                  <w:t>Xonacatlán</w:t>
                </w:r>
              </w:p>
            </w:tc>
            <w:tc>
              <w:tcPr>
                <w:tcW w:w="3089" w:type="dxa"/>
              </w:tcPr>
              <w:p w:rsidR="008C644E" w:rsidP="008C644E" w:rsidRDefault="00A4621C" w14:paraId="66C34221" w14:textId="77777777">
                <w:pPr>
                  <w:tabs>
                    <w:tab w:val="left" w:pos="2834"/>
                    <w:tab w:val="right" w:pos="8838"/>
                  </w:tabs>
                  <w:ind w:left="-74" w:right="-105"/>
                  <w:rPr>
                    <w:rFonts w:eastAsia="Calibri" w:cs="Tahoma"/>
                  </w:rPr>
                </w:pPr>
              </w:p>
            </w:tc>
          </w:tr>
          <w:tr w:rsidR="008C644E" w:rsidTr="00FF7F2D" w14:paraId="213A534E" w14:textId="77777777">
            <w:trPr>
              <w:trHeight w:val="283"/>
            </w:trPr>
            <w:tc>
              <w:tcPr>
                <w:tcW w:w="2410" w:type="dxa"/>
                <w:hideMark/>
              </w:tcPr>
              <w:p w:rsidR="008C644E" w:rsidP="008C644E" w:rsidRDefault="00F9094A" w14:paraId="2DFE5773" w14:textId="77777777">
                <w:pPr>
                  <w:tabs>
                    <w:tab w:val="right" w:pos="8838"/>
                  </w:tabs>
                  <w:ind w:left="-74" w:right="-105"/>
                  <w:rPr>
                    <w:rFonts w:eastAsia="Calibri" w:cs="Tahoma"/>
                    <w:b/>
                  </w:rPr>
                </w:pPr>
                <w:r>
                  <w:rPr>
                    <w:rFonts w:eastAsia="Calibri" w:cs="Tahoma"/>
                    <w:b/>
                  </w:rPr>
                  <w:t xml:space="preserve">Comisionado Ponente: </w:t>
                </w:r>
              </w:p>
            </w:tc>
            <w:tc>
              <w:tcPr>
                <w:tcW w:w="3260" w:type="dxa"/>
                <w:hideMark/>
              </w:tcPr>
              <w:p w:rsidR="008C644E" w:rsidP="008C644E" w:rsidRDefault="00F9094A" w14:paraId="116DAD9F" w14:textId="77777777">
                <w:pPr>
                  <w:tabs>
                    <w:tab w:val="right" w:pos="8838"/>
                  </w:tabs>
                  <w:ind w:left="-74" w:right="-105"/>
                  <w:rPr>
                    <w:rFonts w:eastAsia="Calibri" w:cs="Tahoma"/>
                    <w:b/>
                  </w:rPr>
                </w:pPr>
                <w:r>
                  <w:rPr>
                    <w:rFonts w:eastAsia="Calibri" w:cs="Tahoma"/>
                  </w:rPr>
                  <w:t>Luis Gustavo Parra Noriega</w:t>
                </w:r>
              </w:p>
            </w:tc>
            <w:tc>
              <w:tcPr>
                <w:tcW w:w="3089" w:type="dxa"/>
              </w:tcPr>
              <w:p w:rsidR="008C644E" w:rsidP="008C644E" w:rsidRDefault="00A4621C" w14:paraId="37AA743F" w14:textId="77777777">
                <w:pPr>
                  <w:tabs>
                    <w:tab w:val="right" w:pos="8838"/>
                  </w:tabs>
                  <w:ind w:left="-74" w:right="-105"/>
                  <w:rPr>
                    <w:rFonts w:eastAsia="Calibri" w:cs="Tahoma"/>
                  </w:rPr>
                </w:pPr>
              </w:p>
            </w:tc>
          </w:tr>
        </w:tbl>
        <w:p w:rsidR="008C644E" w:rsidP="008C644E" w:rsidRDefault="00A4621C" w14:paraId="559A9693" w14:textId="77777777">
          <w:pPr>
            <w:tabs>
              <w:tab w:val="right" w:pos="8838"/>
            </w:tabs>
            <w:spacing w:line="256" w:lineRule="auto"/>
            <w:ind w:left="-28"/>
            <w:rPr>
              <w:rFonts w:ascii="Arial" w:hAnsi="Arial" w:eastAsia="Calibri" w:cs="Arial"/>
              <w:b/>
            </w:rPr>
          </w:pPr>
        </w:p>
      </w:tc>
    </w:tr>
  </w:tbl>
  <w:p w:rsidR="008C644E" w:rsidRDefault="00A4621C" w14:paraId="67060B05" w14:textId="77777777">
    <w:pPr>
      <w:pStyle w:val="Encabezado"/>
    </w:pPr>
    <w:r>
      <w:rPr>
        <w:noProof/>
      </w:rPr>
      <w:pict w14:anchorId="68AF44F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103.85pt;margin-top:-125.65pt;width:663.5pt;height:12in;z-index:-251658752;mso-wrap-edited:f;mso-width-percent:0;mso-height-percent:0;mso-position-horizontal-relative:margin;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60491452" w14:paraId="772DBA5F" w14:textId="77777777">
      <w:trPr>
        <w:trHeight w:val="1435"/>
      </w:trPr>
      <w:tc>
        <w:tcPr>
          <w:tcW w:w="2127" w:type="dxa"/>
          <w:tcMar/>
        </w:tcPr>
        <w:p w:rsidRPr="008C644E" w:rsidR="008C644E" w:rsidP="008C644E" w:rsidRDefault="00A4621C" w14:paraId="3F0DAA01" w14:textId="77777777">
          <w:pPr>
            <w:pStyle w:val="Encabezado"/>
          </w:pPr>
        </w:p>
      </w:tc>
      <w:tc>
        <w:tcPr>
          <w:tcW w:w="7512" w:type="dxa"/>
          <w:tcMar/>
          <w:hideMark/>
        </w:tcPr>
        <w:tbl>
          <w:tblPr>
            <w:tblStyle w:val="Tablaconcuadrcula"/>
            <w:tblW w:w="12331"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1"/>
            <w:gridCol w:w="3119"/>
            <w:gridCol w:w="3259"/>
            <w:gridCol w:w="3402"/>
          </w:tblGrid>
          <w:tr w:rsidRPr="008C644E" w:rsidR="003F2F0B" w:rsidTr="60491452" w14:paraId="79E74D41" w14:textId="77777777">
            <w:trPr>
              <w:trHeight w:val="144"/>
            </w:trPr>
            <w:tc>
              <w:tcPr>
                <w:tcW w:w="2551" w:type="dxa"/>
                <w:tcMar/>
                <w:hideMark/>
              </w:tcPr>
              <w:p w:rsidRPr="008C644E" w:rsidR="003F2F0B" w:rsidP="008C644E" w:rsidRDefault="00F9094A" w14:paraId="0A3FC26E" w14:textId="77777777">
                <w:pPr>
                  <w:pStyle w:val="Encabezado"/>
                  <w:rPr>
                    <w:b/>
                  </w:rPr>
                </w:pPr>
                <w:r w:rsidRPr="008C644E">
                  <w:rPr>
                    <w:b/>
                  </w:rPr>
                  <w:t>Recurso de Revisión:</w:t>
                </w:r>
              </w:p>
            </w:tc>
            <w:tc>
              <w:tcPr>
                <w:tcW w:w="3119" w:type="dxa"/>
                <w:tcMar/>
                <w:hideMark/>
              </w:tcPr>
              <w:p w:rsidRPr="00AC018A" w:rsidR="003F2F0B" w:rsidP="00FF7F2D" w:rsidRDefault="00F9094A" w14:paraId="4B12B62D" w14:textId="56AD5840">
                <w:pPr>
                  <w:pStyle w:val="Encabezado"/>
                  <w:ind w:left="-113"/>
                </w:pPr>
                <w:r>
                  <w:rPr>
                    <w:color w:val="000000"/>
                  </w:rPr>
                  <w:t>1</w:t>
                </w:r>
                <w:r w:rsidR="00FF7F2D">
                  <w:rPr>
                    <w:color w:val="000000"/>
                  </w:rPr>
                  <w:t>6086</w:t>
                </w:r>
                <w:r w:rsidRPr="00AC018A">
                  <w:rPr>
                    <w:color w:val="000000"/>
                  </w:rPr>
                  <w:t>/INFOEM/IP/RR/2022</w:t>
                </w:r>
              </w:p>
            </w:tc>
            <w:tc>
              <w:tcPr>
                <w:tcW w:w="3259" w:type="dxa"/>
                <w:tcMar/>
              </w:tcPr>
              <w:p w:rsidRPr="008C644E" w:rsidR="003F2F0B" w:rsidP="008C644E" w:rsidRDefault="00A4621C" w14:paraId="27E3A960" w14:textId="77777777">
                <w:pPr>
                  <w:pStyle w:val="Encabezado"/>
                  <w:rPr>
                    <w:bCs/>
                  </w:rPr>
                </w:pPr>
              </w:p>
            </w:tc>
            <w:tc>
              <w:tcPr>
                <w:tcW w:w="3402" w:type="dxa"/>
                <w:tcMar/>
              </w:tcPr>
              <w:p w:rsidRPr="008C644E" w:rsidR="003F2F0B" w:rsidP="008C644E" w:rsidRDefault="00A4621C" w14:paraId="63E59739" w14:textId="77777777">
                <w:pPr>
                  <w:pStyle w:val="Encabezado"/>
                  <w:rPr>
                    <w:bCs/>
                  </w:rPr>
                </w:pPr>
              </w:p>
            </w:tc>
          </w:tr>
          <w:tr w:rsidRPr="008C644E" w:rsidR="003F2F0B" w:rsidTr="60491452" w14:paraId="0CAABDB3" w14:textId="77777777">
            <w:trPr>
              <w:trHeight w:val="144"/>
            </w:trPr>
            <w:tc>
              <w:tcPr>
                <w:tcW w:w="2551" w:type="dxa"/>
                <w:tcMar/>
                <w:hideMark/>
              </w:tcPr>
              <w:p w:rsidRPr="008C644E" w:rsidR="003F2F0B" w:rsidP="008C644E" w:rsidRDefault="00F9094A" w14:paraId="398BB7DE" w14:textId="77777777">
                <w:pPr>
                  <w:pStyle w:val="Encabezado"/>
                  <w:rPr>
                    <w:b/>
                  </w:rPr>
                </w:pPr>
                <w:r w:rsidRPr="008C644E">
                  <w:rPr>
                    <w:b/>
                  </w:rPr>
                  <w:t>Recurrente:</w:t>
                </w:r>
              </w:p>
            </w:tc>
            <w:tc>
              <w:tcPr>
                <w:tcW w:w="3119" w:type="dxa"/>
                <w:tcMar/>
              </w:tcPr>
              <w:p w:rsidRPr="008C644E" w:rsidR="003F2F0B" w:rsidP="60491452" w:rsidRDefault="00FF7F2D" w14:paraId="40197FDD" w14:textId="5CA2B875">
                <w:pPr>
                  <w:pStyle w:val="Encabezado"/>
                  <w:bidi w:val="0"/>
                  <w:spacing w:before="0" w:beforeAutospacing="off" w:after="0" w:afterAutospacing="off" w:line="240" w:lineRule="auto"/>
                  <w:ind w:left="-113" w:right="0"/>
                  <w:jc w:val="both"/>
                  <w:rPr>
                    <w:highlight w:val="black"/>
                  </w:rPr>
                </w:pPr>
                <w:r w:rsidRPr="60491452" w:rsidR="60491452">
                  <w:rPr>
                    <w:highlight w:val="black"/>
                  </w:rPr>
                  <w:t>XXXXXXXXXXXXXXX</w:t>
                </w:r>
              </w:p>
            </w:tc>
            <w:tc>
              <w:tcPr>
                <w:tcW w:w="3259" w:type="dxa"/>
                <w:tcMar/>
              </w:tcPr>
              <w:p w:rsidRPr="008C644E" w:rsidR="003F2F0B" w:rsidP="008C644E" w:rsidRDefault="00A4621C" w14:paraId="2D4B0E50" w14:textId="77777777">
                <w:pPr>
                  <w:pStyle w:val="Encabezado"/>
                </w:pPr>
              </w:p>
            </w:tc>
            <w:tc>
              <w:tcPr>
                <w:tcW w:w="3402" w:type="dxa"/>
                <w:tcMar/>
              </w:tcPr>
              <w:p w:rsidRPr="008C644E" w:rsidR="003F2F0B" w:rsidP="008C644E" w:rsidRDefault="00A4621C" w14:paraId="3370E26A" w14:textId="77777777">
                <w:pPr>
                  <w:pStyle w:val="Encabezado"/>
                </w:pPr>
              </w:p>
            </w:tc>
          </w:tr>
          <w:tr w:rsidRPr="008C644E" w:rsidR="003F2F0B" w:rsidTr="60491452" w14:paraId="4AFFC52E" w14:textId="77777777">
            <w:trPr>
              <w:trHeight w:val="283"/>
            </w:trPr>
            <w:tc>
              <w:tcPr>
                <w:tcW w:w="2551" w:type="dxa"/>
                <w:tcMar/>
                <w:hideMark/>
              </w:tcPr>
              <w:p w:rsidRPr="008C644E" w:rsidR="003F2F0B" w:rsidP="008C644E" w:rsidRDefault="00F9094A" w14:paraId="0D3C308E" w14:textId="77777777">
                <w:pPr>
                  <w:pStyle w:val="Encabezado"/>
                  <w:rPr>
                    <w:b/>
                  </w:rPr>
                </w:pPr>
                <w:r w:rsidRPr="008C644E">
                  <w:rPr>
                    <w:b/>
                  </w:rPr>
                  <w:t>Sujeto Obligado:</w:t>
                </w:r>
              </w:p>
            </w:tc>
            <w:tc>
              <w:tcPr>
                <w:tcW w:w="3119" w:type="dxa"/>
                <w:tcMar/>
                <w:hideMark/>
              </w:tcPr>
              <w:p w:rsidRPr="008C644E" w:rsidR="003F2F0B" w:rsidP="00FF7F2D" w:rsidRDefault="00F9094A" w14:paraId="591F77B9" w14:textId="3312B8B9">
                <w:pPr>
                  <w:pStyle w:val="Encabezado"/>
                  <w:ind w:left="-113"/>
                </w:pPr>
                <w:r>
                  <w:rPr>
                    <w:lang w:val="es-MX"/>
                  </w:rPr>
                  <w:t xml:space="preserve">Ayuntamiento de </w:t>
                </w:r>
                <w:r w:rsidR="00FF7F2D">
                  <w:rPr>
                    <w:lang w:val="es-MX"/>
                  </w:rPr>
                  <w:t>Xonacatlán</w:t>
                </w:r>
              </w:p>
            </w:tc>
            <w:tc>
              <w:tcPr>
                <w:tcW w:w="3259" w:type="dxa"/>
                <w:tcMar/>
              </w:tcPr>
              <w:p w:rsidRPr="008C644E" w:rsidR="003F2F0B" w:rsidP="008C644E" w:rsidRDefault="00A4621C" w14:paraId="2740E0A1" w14:textId="77777777">
                <w:pPr>
                  <w:pStyle w:val="Encabezado"/>
                </w:pPr>
              </w:p>
            </w:tc>
            <w:tc>
              <w:tcPr>
                <w:tcW w:w="3402" w:type="dxa"/>
                <w:tcMar/>
              </w:tcPr>
              <w:p w:rsidRPr="008C644E" w:rsidR="003F2F0B" w:rsidP="008C644E" w:rsidRDefault="00A4621C" w14:paraId="7EF653F4" w14:textId="77777777">
                <w:pPr>
                  <w:pStyle w:val="Encabezado"/>
                </w:pPr>
              </w:p>
            </w:tc>
          </w:tr>
          <w:tr w:rsidRPr="008C644E" w:rsidR="003F2F0B" w:rsidTr="60491452" w14:paraId="41A724D7" w14:textId="77777777">
            <w:trPr>
              <w:trHeight w:val="283"/>
            </w:trPr>
            <w:tc>
              <w:tcPr>
                <w:tcW w:w="2551" w:type="dxa"/>
                <w:tcMar/>
                <w:hideMark/>
              </w:tcPr>
              <w:p w:rsidRPr="008C644E" w:rsidR="003F2F0B" w:rsidP="008C644E" w:rsidRDefault="00F9094A" w14:paraId="513C5432" w14:textId="77777777">
                <w:pPr>
                  <w:pStyle w:val="Encabezado"/>
                  <w:rPr>
                    <w:b/>
                  </w:rPr>
                </w:pPr>
                <w:r w:rsidRPr="008C644E">
                  <w:rPr>
                    <w:b/>
                  </w:rPr>
                  <w:t xml:space="preserve">Comisionado Ponente: </w:t>
                </w:r>
              </w:p>
            </w:tc>
            <w:tc>
              <w:tcPr>
                <w:tcW w:w="3119" w:type="dxa"/>
                <w:tcMar/>
                <w:hideMark/>
              </w:tcPr>
              <w:p w:rsidRPr="008C644E" w:rsidR="003F2F0B" w:rsidP="00FF7F2D" w:rsidRDefault="00F9094A" w14:paraId="1276DDE1" w14:textId="77777777">
                <w:pPr>
                  <w:pStyle w:val="Encabezado"/>
                  <w:ind w:left="-113"/>
                  <w:rPr>
                    <w:b/>
                  </w:rPr>
                </w:pPr>
                <w:r w:rsidRPr="008C644E">
                  <w:t>Luis Gustavo Parra Noriega</w:t>
                </w:r>
              </w:p>
            </w:tc>
            <w:tc>
              <w:tcPr>
                <w:tcW w:w="3259" w:type="dxa"/>
                <w:tcMar/>
              </w:tcPr>
              <w:p w:rsidRPr="008C644E" w:rsidR="003F2F0B" w:rsidP="008C644E" w:rsidRDefault="00A4621C" w14:paraId="752AC0CD" w14:textId="77777777">
                <w:pPr>
                  <w:pStyle w:val="Encabezado"/>
                </w:pPr>
              </w:p>
            </w:tc>
            <w:tc>
              <w:tcPr>
                <w:tcW w:w="3402" w:type="dxa"/>
                <w:tcMar/>
              </w:tcPr>
              <w:p w:rsidRPr="008C644E" w:rsidR="003F2F0B" w:rsidP="008C644E" w:rsidRDefault="00A4621C" w14:paraId="04335DEE" w14:textId="77777777">
                <w:pPr>
                  <w:pStyle w:val="Encabezado"/>
                </w:pPr>
              </w:p>
            </w:tc>
          </w:tr>
        </w:tbl>
        <w:p w:rsidRPr="008C644E" w:rsidR="008C644E" w:rsidP="008C644E" w:rsidRDefault="00A4621C" w14:paraId="443D1A7B" w14:textId="77777777">
          <w:pPr>
            <w:pStyle w:val="Encabezado"/>
            <w:rPr>
              <w:b/>
            </w:rPr>
          </w:pPr>
        </w:p>
      </w:tc>
    </w:tr>
  </w:tbl>
  <w:p w:rsidR="008C644E" w:rsidRDefault="00A4621C" w14:paraId="3053B89D" w14:textId="77777777">
    <w:pPr>
      <w:pStyle w:val="Encabezado"/>
    </w:pPr>
    <w:r>
      <w:rPr>
        <w:noProof/>
      </w:rPr>
      <w:pict w14:anchorId="26F4B65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5.8pt;margin-top:-140.75pt;width:663.5pt;height:12in;z-index:-251657728;mso-wrap-edited:f;mso-width-percent:0;mso-height-percent:0;mso-position-horizontal-relative:margin;mso-position-vertical-relative:margin;mso-width-percent:0;mso-height-percent:0" alt="MARCA DE AGUA - HOJA RESOLUCIÓN" o:spid="_x0000_s2049"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94D68"/>
    <w:multiLevelType w:val="hybridMultilevel"/>
    <w:tmpl w:val="AF2E18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EE32B1E"/>
    <w:multiLevelType w:val="hybridMultilevel"/>
    <w:tmpl w:val="F25E94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F8155AF"/>
    <w:multiLevelType w:val="hybridMultilevel"/>
    <w:tmpl w:val="75B636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4E5F4CAC"/>
    <w:multiLevelType w:val="hybridMultilevel"/>
    <w:tmpl w:val="6C8CCB9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701231C6"/>
    <w:multiLevelType w:val="hybridMultilevel"/>
    <w:tmpl w:val="483ECA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BB46F93"/>
    <w:multiLevelType w:val="hybridMultilevel"/>
    <w:tmpl w:val="367218F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502429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3244195">
    <w:abstractNumId w:val="5"/>
  </w:num>
  <w:num w:numId="3" w16cid:durableId="949430179">
    <w:abstractNumId w:val="7"/>
  </w:num>
  <w:num w:numId="4" w16cid:durableId="95829383">
    <w:abstractNumId w:val="2"/>
  </w:num>
  <w:num w:numId="5" w16cid:durableId="991326124">
    <w:abstractNumId w:val="6"/>
  </w:num>
  <w:num w:numId="6" w16cid:durableId="954679238">
    <w:abstractNumId w:val="1"/>
  </w:num>
  <w:num w:numId="7" w16cid:durableId="478764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462935">
    <w:abstractNumId w:val="4"/>
  </w:num>
  <w:num w:numId="9" w16cid:durableId="490289414">
    <w:abstractNumId w:val="0"/>
  </w:num>
  <w:num w:numId="10" w16cid:durableId="1499923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lang="es-ES" w:vendorID="64" w:dllVersion="0" w:nlCheck="1" w:checkStyle="0" w:appName="MSWord"/>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F2D"/>
    <w:rsid w:val="00013DC4"/>
    <w:rsid w:val="00116583"/>
    <w:rsid w:val="0015586E"/>
    <w:rsid w:val="001C536C"/>
    <w:rsid w:val="002253C7"/>
    <w:rsid w:val="002E7AA9"/>
    <w:rsid w:val="00301BF9"/>
    <w:rsid w:val="00381608"/>
    <w:rsid w:val="003F27A5"/>
    <w:rsid w:val="00402421"/>
    <w:rsid w:val="0042705F"/>
    <w:rsid w:val="004668F2"/>
    <w:rsid w:val="004E3DDF"/>
    <w:rsid w:val="004F3CBF"/>
    <w:rsid w:val="004F6D34"/>
    <w:rsid w:val="00503B0C"/>
    <w:rsid w:val="00510DCA"/>
    <w:rsid w:val="005125C2"/>
    <w:rsid w:val="00560E11"/>
    <w:rsid w:val="0058521A"/>
    <w:rsid w:val="005871BA"/>
    <w:rsid w:val="005B28F6"/>
    <w:rsid w:val="005B5177"/>
    <w:rsid w:val="005D0388"/>
    <w:rsid w:val="005D2D88"/>
    <w:rsid w:val="006176A0"/>
    <w:rsid w:val="006A152F"/>
    <w:rsid w:val="0072010E"/>
    <w:rsid w:val="00786CE1"/>
    <w:rsid w:val="007C1429"/>
    <w:rsid w:val="00820D97"/>
    <w:rsid w:val="00884E54"/>
    <w:rsid w:val="008B5AF5"/>
    <w:rsid w:val="00902D3B"/>
    <w:rsid w:val="00A4621C"/>
    <w:rsid w:val="00A47216"/>
    <w:rsid w:val="00AA08CF"/>
    <w:rsid w:val="00AE4234"/>
    <w:rsid w:val="00AF3788"/>
    <w:rsid w:val="00B75D5C"/>
    <w:rsid w:val="00B87837"/>
    <w:rsid w:val="00C02A5F"/>
    <w:rsid w:val="00C254C1"/>
    <w:rsid w:val="00C505C0"/>
    <w:rsid w:val="00C60EB0"/>
    <w:rsid w:val="00C81FFE"/>
    <w:rsid w:val="00C87BDA"/>
    <w:rsid w:val="00CA742E"/>
    <w:rsid w:val="00DE5C45"/>
    <w:rsid w:val="00E133AC"/>
    <w:rsid w:val="00EB00DA"/>
    <w:rsid w:val="00F124D2"/>
    <w:rsid w:val="00F9094A"/>
    <w:rsid w:val="00FF7F2D"/>
    <w:rsid w:val="604914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7A18F"/>
  <w15:chartTrackingRefBased/>
  <w15:docId w15:val="{6135EACE-9CA9-4CA2-A280-60A68900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7F2D"/>
    <w:pPr>
      <w:jc w:val="both"/>
    </w:pPr>
    <w:rPr>
      <w:rFonts w:ascii="Palatino Linotype" w:hAnsi="Palatino Linotype"/>
      <w:color w:val="000000" w:themeColor="text1"/>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FF7F2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F7F2D"/>
    <w:rPr>
      <w:rFonts w:ascii="Palatino Linotype" w:hAnsi="Palatino Linotype"/>
      <w:color w:val="000000" w:themeColor="text1"/>
    </w:rPr>
  </w:style>
  <w:style w:type="paragraph" w:styleId="Piedepgina">
    <w:name w:val="footer"/>
    <w:basedOn w:val="Normal"/>
    <w:link w:val="PiedepginaCar"/>
    <w:uiPriority w:val="99"/>
    <w:unhideWhenUsed/>
    <w:rsid w:val="00FF7F2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F7F2D"/>
    <w:rPr>
      <w:rFonts w:ascii="Palatino Linotype" w:hAnsi="Palatino Linotype"/>
      <w:color w:val="000000" w:themeColor="text1"/>
    </w:rPr>
  </w:style>
  <w:style w:type="table" w:styleId="Tablaconcuadrcula">
    <w:name w:val="Table Grid"/>
    <w:basedOn w:val="Tablanormal"/>
    <w:uiPriority w:val="59"/>
    <w:rsid w:val="00FF7F2D"/>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F7F2D"/>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F7F2D"/>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560E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3212">
      <w:bodyDiv w:val="1"/>
      <w:marLeft w:val="0"/>
      <w:marRight w:val="0"/>
      <w:marTop w:val="0"/>
      <w:marBottom w:val="0"/>
      <w:divBdr>
        <w:top w:val="none" w:sz="0" w:space="0" w:color="auto"/>
        <w:left w:val="none" w:sz="0" w:space="0" w:color="auto"/>
        <w:bottom w:val="none" w:sz="0" w:space="0" w:color="auto"/>
        <w:right w:val="none" w:sz="0" w:space="0" w:color="auto"/>
      </w:divBdr>
    </w:div>
    <w:div w:id="289553856">
      <w:bodyDiv w:val="1"/>
      <w:marLeft w:val="0"/>
      <w:marRight w:val="0"/>
      <w:marTop w:val="0"/>
      <w:marBottom w:val="0"/>
      <w:divBdr>
        <w:top w:val="none" w:sz="0" w:space="0" w:color="auto"/>
        <w:left w:val="none" w:sz="0" w:space="0" w:color="auto"/>
        <w:bottom w:val="none" w:sz="0" w:space="0" w:color="auto"/>
        <w:right w:val="none" w:sz="0" w:space="0" w:color="auto"/>
      </w:divBdr>
    </w:div>
    <w:div w:id="724597187">
      <w:bodyDiv w:val="1"/>
      <w:marLeft w:val="0"/>
      <w:marRight w:val="0"/>
      <w:marTop w:val="0"/>
      <w:marBottom w:val="0"/>
      <w:divBdr>
        <w:top w:val="none" w:sz="0" w:space="0" w:color="auto"/>
        <w:left w:val="none" w:sz="0" w:space="0" w:color="auto"/>
        <w:bottom w:val="none" w:sz="0" w:space="0" w:color="auto"/>
        <w:right w:val="none" w:sz="0" w:space="0" w:color="auto"/>
      </w:divBdr>
    </w:div>
    <w:div w:id="985204767">
      <w:bodyDiv w:val="1"/>
      <w:marLeft w:val="0"/>
      <w:marRight w:val="0"/>
      <w:marTop w:val="0"/>
      <w:marBottom w:val="0"/>
      <w:divBdr>
        <w:top w:val="none" w:sz="0" w:space="0" w:color="auto"/>
        <w:left w:val="none" w:sz="0" w:space="0" w:color="auto"/>
        <w:bottom w:val="none" w:sz="0" w:space="0" w:color="auto"/>
        <w:right w:val="none" w:sz="0" w:space="0" w:color="auto"/>
      </w:divBdr>
    </w:div>
    <w:div w:id="1280524805">
      <w:bodyDiv w:val="1"/>
      <w:marLeft w:val="0"/>
      <w:marRight w:val="0"/>
      <w:marTop w:val="0"/>
      <w:marBottom w:val="0"/>
      <w:divBdr>
        <w:top w:val="none" w:sz="0" w:space="0" w:color="auto"/>
        <w:left w:val="none" w:sz="0" w:space="0" w:color="auto"/>
        <w:bottom w:val="none" w:sz="0" w:space="0" w:color="auto"/>
        <w:right w:val="none" w:sz="0" w:space="0" w:color="auto"/>
      </w:divBdr>
    </w:div>
    <w:div w:id="1290816083">
      <w:bodyDiv w:val="1"/>
      <w:marLeft w:val="0"/>
      <w:marRight w:val="0"/>
      <w:marTop w:val="0"/>
      <w:marBottom w:val="0"/>
      <w:divBdr>
        <w:top w:val="none" w:sz="0" w:space="0" w:color="auto"/>
        <w:left w:val="none" w:sz="0" w:space="0" w:color="auto"/>
        <w:bottom w:val="none" w:sz="0" w:space="0" w:color="auto"/>
        <w:right w:val="none" w:sz="0" w:space="0" w:color="auto"/>
      </w:divBdr>
    </w:div>
    <w:div w:id="1307707558">
      <w:bodyDiv w:val="1"/>
      <w:marLeft w:val="0"/>
      <w:marRight w:val="0"/>
      <w:marTop w:val="0"/>
      <w:marBottom w:val="0"/>
      <w:divBdr>
        <w:top w:val="none" w:sz="0" w:space="0" w:color="auto"/>
        <w:left w:val="none" w:sz="0" w:space="0" w:color="auto"/>
        <w:bottom w:val="none" w:sz="0" w:space="0" w:color="auto"/>
        <w:right w:val="none" w:sz="0" w:space="0" w:color="auto"/>
      </w:divBdr>
    </w:div>
    <w:div w:id="198877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s://www.facebook.com/LaCasadelPuebloXonacatlan/videos/comunicado-expo-feria-anual-2022/399586605681674"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2b046c31e36a4470"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16c2328-ac8c-4279-b01f-f4afdd3917d4}"/>
      </w:docPartPr>
      <w:docPartBody>
        <w:p w14:paraId="325BC19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9</revision>
  <dcterms:created xsi:type="dcterms:W3CDTF">2023-02-08T03:09:00.0000000Z</dcterms:created>
  <dcterms:modified xsi:type="dcterms:W3CDTF">2023-03-09T19:55:17.1237176Z</dcterms:modified>
</coreProperties>
</file>