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B416E1" w:rsidRDefault="009F09BC" w:rsidP="009F09BC">
      <w:pPr>
        <w:tabs>
          <w:tab w:val="left" w:pos="3465"/>
        </w:tabs>
        <w:spacing w:before="240" w:after="360" w:line="360" w:lineRule="auto"/>
        <w:jc w:val="both"/>
        <w:rPr>
          <w:rFonts w:ascii="Palatino Linotype" w:hAnsi="Palatino Linotype"/>
          <w:color w:val="000000" w:themeColor="text1"/>
        </w:rPr>
      </w:pPr>
      <w:r w:rsidRPr="00B416E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677893" w:rsidRPr="00B416E1">
        <w:rPr>
          <w:rFonts w:ascii="Palatino Linotype" w:eastAsia="MS Mincho" w:hAnsi="Palatino Linotype" w:cs="Times New Roman"/>
          <w:color w:val="000000"/>
          <w:lang w:val="es-MX"/>
        </w:rPr>
        <w:t>veinticinco</w:t>
      </w:r>
      <w:r w:rsidR="009545D4">
        <w:rPr>
          <w:rFonts w:ascii="Palatino Linotype" w:eastAsia="MS Mincho" w:hAnsi="Palatino Linotype" w:cs="Times New Roman"/>
          <w:color w:val="000000"/>
          <w:lang w:val="es-MX"/>
        </w:rPr>
        <w:t xml:space="preserve"> (25)</w:t>
      </w:r>
      <w:r w:rsidR="00677893" w:rsidRPr="00B416E1">
        <w:rPr>
          <w:rFonts w:ascii="Palatino Linotype" w:eastAsia="MS Mincho" w:hAnsi="Palatino Linotype" w:cs="Times New Roman"/>
          <w:color w:val="000000"/>
          <w:lang w:val="es-MX"/>
        </w:rPr>
        <w:t xml:space="preserve"> de octubre de dos mil veintitrés.</w:t>
      </w:r>
    </w:p>
    <w:p w:rsidR="00677893" w:rsidRPr="00B416E1" w:rsidRDefault="00677893" w:rsidP="00677893">
      <w:pPr>
        <w:spacing w:line="360" w:lineRule="auto"/>
        <w:jc w:val="both"/>
        <w:rPr>
          <w:rFonts w:ascii="Palatino Linotype" w:eastAsia="Times New Roman" w:hAnsi="Palatino Linotype" w:cs="Times New Roman"/>
          <w:color w:val="000000" w:themeColor="text1"/>
        </w:rPr>
      </w:pPr>
      <w:r w:rsidRPr="00B416E1">
        <w:rPr>
          <w:rFonts w:ascii="Palatino Linotype" w:hAnsi="Palatino Linotype"/>
          <w:b/>
          <w:color w:val="000000" w:themeColor="text1"/>
        </w:rPr>
        <w:t>VISTO</w:t>
      </w:r>
      <w:r w:rsidRPr="00B416E1">
        <w:rPr>
          <w:rFonts w:ascii="Palatino Linotype" w:hAnsi="Palatino Linotype"/>
          <w:color w:val="000000" w:themeColor="text1"/>
        </w:rPr>
        <w:t xml:space="preserve"> el expediente electrónico formado con motivo del recurso de revisión </w:t>
      </w:r>
      <w:r w:rsidRPr="00B416E1">
        <w:rPr>
          <w:rFonts w:ascii="Palatino Linotype" w:hAnsi="Palatino Linotype"/>
          <w:b/>
          <w:bCs/>
        </w:rPr>
        <w:t>04093/INFOEM/ICR-360/IP/RR/2023</w:t>
      </w:r>
      <w:r w:rsidRPr="00B416E1">
        <w:rPr>
          <w:rFonts w:ascii="Palatino Linotype" w:eastAsia="Times New Roman" w:hAnsi="Palatino Linotype" w:cs="Arial"/>
          <w:bCs/>
          <w:color w:val="000000" w:themeColor="text1"/>
        </w:rPr>
        <w:t xml:space="preserve">, </w:t>
      </w:r>
      <w:r w:rsidRPr="00B416E1">
        <w:rPr>
          <w:rFonts w:ascii="Palatino Linotype" w:eastAsia="Times New Roman" w:hAnsi="Palatino Linotype" w:cs="Times New Roman"/>
          <w:color w:val="000000" w:themeColor="text1"/>
        </w:rPr>
        <w:t xml:space="preserve">interpuesto por </w:t>
      </w:r>
      <w:r w:rsidR="00653011">
        <w:rPr>
          <w:rFonts w:ascii="Palatino Linotype" w:eastAsia="Times New Roman" w:hAnsi="Palatino Linotype" w:cs="Times New Roman"/>
          <w:b/>
          <w:color w:val="000000" w:themeColor="text1"/>
        </w:rPr>
        <w:t xml:space="preserve">XXX </w:t>
      </w:r>
      <w:proofErr w:type="spellStart"/>
      <w:r w:rsidR="00653011">
        <w:rPr>
          <w:rFonts w:ascii="Palatino Linotype" w:eastAsia="Times New Roman" w:hAnsi="Palatino Linotype" w:cs="Times New Roman"/>
          <w:b/>
          <w:color w:val="000000" w:themeColor="text1"/>
        </w:rPr>
        <w:t>XXX</w:t>
      </w:r>
      <w:proofErr w:type="spellEnd"/>
      <w:r w:rsidR="00653011">
        <w:rPr>
          <w:rFonts w:ascii="Palatino Linotype" w:eastAsia="Times New Roman" w:hAnsi="Palatino Linotype" w:cs="Times New Roman"/>
          <w:b/>
          <w:color w:val="000000" w:themeColor="text1"/>
        </w:rPr>
        <w:t xml:space="preserve"> </w:t>
      </w:r>
      <w:proofErr w:type="spellStart"/>
      <w:r w:rsidR="00653011">
        <w:rPr>
          <w:rFonts w:ascii="Palatino Linotype" w:eastAsia="Times New Roman" w:hAnsi="Palatino Linotype" w:cs="Times New Roman"/>
          <w:b/>
          <w:color w:val="000000" w:themeColor="text1"/>
        </w:rPr>
        <w:t>XXX</w:t>
      </w:r>
      <w:proofErr w:type="spellEnd"/>
      <w:r w:rsidRPr="00B416E1">
        <w:rPr>
          <w:rFonts w:ascii="Palatino Linotype" w:eastAsia="Times New Roman" w:hAnsi="Palatino Linotype" w:cs="Times New Roman"/>
          <w:color w:val="000000" w:themeColor="text1"/>
        </w:rPr>
        <w:t xml:space="preserve">, en lo sucesivo el </w:t>
      </w:r>
      <w:r w:rsidRPr="00B416E1">
        <w:rPr>
          <w:rFonts w:ascii="Palatino Linotype" w:eastAsia="Times New Roman" w:hAnsi="Palatino Linotype" w:cs="Times New Roman"/>
          <w:b/>
          <w:bCs/>
          <w:color w:val="000000" w:themeColor="text1"/>
        </w:rPr>
        <w:t>RECURRENTE</w:t>
      </w:r>
      <w:r w:rsidRPr="00B416E1">
        <w:rPr>
          <w:rFonts w:ascii="Palatino Linotype" w:eastAsia="Times New Roman" w:hAnsi="Palatino Linotype" w:cs="Arial"/>
          <w:color w:val="000000" w:themeColor="text1"/>
        </w:rPr>
        <w:t xml:space="preserve">; en contra del incumplimiento al recurso de revisión 04093/INFOEM/IP/RR/2023, </w:t>
      </w:r>
      <w:r w:rsidR="009545D4">
        <w:rPr>
          <w:rFonts w:ascii="Palatino Linotype" w:eastAsia="Times New Roman" w:hAnsi="Palatino Linotype" w:cs="Arial"/>
          <w:color w:val="000000" w:themeColor="text1"/>
        </w:rPr>
        <w:t>d</w:t>
      </w:r>
      <w:r w:rsidRPr="00B416E1">
        <w:rPr>
          <w:rFonts w:ascii="Palatino Linotype" w:eastAsia="Times New Roman" w:hAnsi="Palatino Linotype" w:cs="Arial"/>
          <w:color w:val="000000" w:themeColor="text1"/>
        </w:rPr>
        <w:t xml:space="preserve">el </w:t>
      </w:r>
      <w:r w:rsidRPr="00B416E1">
        <w:rPr>
          <w:rFonts w:ascii="Palatino Linotype" w:eastAsia="Times New Roman" w:hAnsi="Palatino Linotype" w:cs="Arial"/>
          <w:b/>
          <w:color w:val="000000" w:themeColor="text1"/>
        </w:rPr>
        <w:t>Organismo Público Descentralizado para la Prestación de Los Servicios de Agua Potable Alcantarillado y Saneamiento del Municipio de la Paz México, OPDAPAS</w:t>
      </w:r>
      <w:r w:rsidR="009545D4">
        <w:rPr>
          <w:rFonts w:ascii="Palatino Linotype" w:eastAsia="Calibri" w:hAnsi="Palatino Linotype" w:cs="Arial"/>
          <w:color w:val="000000" w:themeColor="text1"/>
          <w:lang w:val="es-ES"/>
        </w:rPr>
        <w:t>, en adelante</w:t>
      </w:r>
      <w:r w:rsidRPr="00B416E1">
        <w:rPr>
          <w:rFonts w:ascii="Palatino Linotype" w:eastAsia="Times New Roman" w:hAnsi="Palatino Linotype" w:cs="Times New Roman"/>
          <w:color w:val="000000" w:themeColor="text1"/>
        </w:rPr>
        <w:t xml:space="preserve"> el</w:t>
      </w:r>
      <w:r w:rsidRPr="00B416E1">
        <w:rPr>
          <w:rFonts w:ascii="Palatino Linotype" w:eastAsia="Times New Roman" w:hAnsi="Palatino Linotype" w:cs="Times New Roman"/>
          <w:b/>
          <w:color w:val="000000" w:themeColor="text1"/>
        </w:rPr>
        <w:t xml:space="preserve"> SUJETO OBLIGADO</w:t>
      </w:r>
      <w:r w:rsidRPr="00B416E1">
        <w:rPr>
          <w:rFonts w:ascii="Palatino Linotype" w:eastAsia="Times New Roman" w:hAnsi="Palatino Linotype" w:cs="Times New Roman"/>
          <w:color w:val="000000" w:themeColor="text1"/>
        </w:rPr>
        <w:t>,</w:t>
      </w:r>
      <w:r w:rsidRPr="00B416E1">
        <w:rPr>
          <w:rFonts w:ascii="Palatino Linotype" w:eastAsia="Times New Roman" w:hAnsi="Palatino Linotype" w:cs="Times New Roman"/>
          <w:b/>
          <w:color w:val="000000" w:themeColor="text1"/>
        </w:rPr>
        <w:t xml:space="preserve"> </w:t>
      </w:r>
      <w:r w:rsidRPr="00B416E1">
        <w:rPr>
          <w:rFonts w:ascii="Palatino Linotype" w:eastAsia="Times New Roman" w:hAnsi="Palatino Linotype" w:cs="Times New Roman"/>
          <w:color w:val="000000" w:themeColor="text1"/>
        </w:rPr>
        <w:t>se procede a dictar la presente resolución, con base en los siguientes:</w:t>
      </w:r>
    </w:p>
    <w:p w:rsidR="00CE3153" w:rsidRPr="00B416E1" w:rsidRDefault="00CE3153" w:rsidP="00995B4E">
      <w:pPr>
        <w:spacing w:line="360" w:lineRule="auto"/>
        <w:jc w:val="both"/>
        <w:rPr>
          <w:rFonts w:ascii="Palatino Linotype" w:hAnsi="Palatino Linotype"/>
          <w:b/>
          <w:color w:val="000000" w:themeColor="text1"/>
        </w:rPr>
      </w:pPr>
    </w:p>
    <w:p w:rsidR="009F09BC" w:rsidRPr="00B416E1"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B416E1">
        <w:rPr>
          <w:rFonts w:ascii="Palatino Linotype" w:hAnsi="Palatino Linotype"/>
          <w:b/>
          <w:color w:val="000000" w:themeColor="text1"/>
          <w:sz w:val="24"/>
          <w:szCs w:val="24"/>
        </w:rPr>
        <w:t>ANTECEDENTES</w:t>
      </w:r>
      <w:bookmarkEnd w:id="0"/>
      <w:bookmarkEnd w:id="1"/>
      <w:bookmarkEnd w:id="2"/>
    </w:p>
    <w:p w:rsidR="00677893" w:rsidRPr="00B416E1"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677893" w:rsidRPr="00B416E1" w:rsidRDefault="00677893" w:rsidP="0067789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B416E1">
        <w:rPr>
          <w:rFonts w:ascii="Palatino Linotype" w:eastAsia="Calibri" w:hAnsi="Palatino Linotype" w:cs="Arial"/>
          <w:color w:val="000000" w:themeColor="text1"/>
          <w:lang w:val="es-ES"/>
        </w:rPr>
        <w:t>El treinta y uno de mayo de dos mil veintitrés, el particular</w:t>
      </w:r>
      <w:r w:rsidRPr="00B416E1">
        <w:rPr>
          <w:rFonts w:ascii="Palatino Linotype" w:hAnsi="Palatino Linotype"/>
          <w:color w:val="000000" w:themeColor="text1"/>
        </w:rPr>
        <w:t xml:space="preserve"> presentó</w:t>
      </w:r>
      <w:r w:rsidRPr="00B416E1">
        <w:rPr>
          <w:rFonts w:ascii="Palatino Linotype" w:hAnsi="Palatino Linotype"/>
          <w:b/>
          <w:color w:val="000000" w:themeColor="text1"/>
        </w:rPr>
        <w:t xml:space="preserve"> </w:t>
      </w:r>
      <w:r w:rsidRPr="00B416E1">
        <w:rPr>
          <w:rFonts w:ascii="Palatino Linotype" w:hAnsi="Palatino Linotype"/>
          <w:bCs/>
          <w:color w:val="000000" w:themeColor="text1"/>
        </w:rPr>
        <w:t>a través del Sistema de Acceso a la Información Mexiquense (</w:t>
      </w:r>
      <w:r w:rsidRPr="00B416E1">
        <w:rPr>
          <w:rFonts w:ascii="Palatino Linotype" w:eastAsia="Calibri" w:hAnsi="Palatino Linotype" w:cs="Arial"/>
          <w:color w:val="000000" w:themeColor="text1"/>
          <w:lang w:val="es-ES"/>
        </w:rPr>
        <w:t xml:space="preserve">SAIMEX), la solicitud de información pública registrada con el número </w:t>
      </w:r>
      <w:r w:rsidRPr="00B416E1">
        <w:rPr>
          <w:rFonts w:ascii="Palatino Linotype" w:hAnsi="Palatino Linotype"/>
          <w:b/>
          <w:bCs/>
        </w:rPr>
        <w:t>00046/OASLAPAZ/IP/2023</w:t>
      </w:r>
      <w:r w:rsidRPr="00B416E1">
        <w:rPr>
          <w:rFonts w:ascii="Palatino Linotype" w:eastAsia="Calibri" w:hAnsi="Palatino Linotype" w:cs="Arial"/>
          <w:b/>
          <w:color w:val="000000" w:themeColor="text1"/>
          <w:lang w:val="es-ES"/>
        </w:rPr>
        <w:t>,</w:t>
      </w:r>
      <w:r w:rsidRPr="00B416E1">
        <w:rPr>
          <w:rFonts w:ascii="Palatino Linotype" w:eastAsia="Calibri" w:hAnsi="Palatino Linotype" w:cs="Arial"/>
          <w:color w:val="000000" w:themeColor="text1"/>
          <w:lang w:val="es-ES"/>
        </w:rPr>
        <w:t xml:space="preserve"> </w:t>
      </w:r>
      <w:r w:rsidR="009545D4">
        <w:rPr>
          <w:rFonts w:ascii="Palatino Linotype" w:eastAsia="Calibri" w:hAnsi="Palatino Linotype" w:cs="Arial"/>
          <w:color w:val="000000" w:themeColor="text1"/>
          <w:lang w:val="es-ES"/>
        </w:rPr>
        <w:t>en la que</w:t>
      </w:r>
      <w:r w:rsidRPr="00B416E1">
        <w:rPr>
          <w:rFonts w:ascii="Palatino Linotype" w:eastAsia="Calibri" w:hAnsi="Palatino Linotype" w:cs="Arial"/>
          <w:color w:val="000000" w:themeColor="text1"/>
          <w:lang w:val="es-ES"/>
        </w:rPr>
        <w:t xml:space="preserve"> requirió lo siguiente:</w:t>
      </w:r>
    </w:p>
    <w:p w:rsidR="00677893" w:rsidRPr="00B416E1" w:rsidRDefault="00677893" w:rsidP="00677893">
      <w:pPr>
        <w:pStyle w:val="Prrafodelista"/>
        <w:spacing w:line="276" w:lineRule="auto"/>
        <w:ind w:left="567" w:right="567"/>
        <w:jc w:val="both"/>
        <w:rPr>
          <w:rFonts w:ascii="Palatino Linotype" w:hAnsi="Palatino Linotype"/>
          <w:i/>
          <w:color w:val="000000" w:themeColor="text1"/>
          <w:sz w:val="22"/>
          <w:szCs w:val="22"/>
        </w:rPr>
      </w:pPr>
    </w:p>
    <w:p w:rsidR="00677893" w:rsidRPr="009545D4" w:rsidRDefault="00677893" w:rsidP="00677893">
      <w:pPr>
        <w:pStyle w:val="Prrafodelista"/>
        <w:spacing w:line="276" w:lineRule="auto"/>
        <w:ind w:left="567" w:right="567"/>
        <w:jc w:val="both"/>
        <w:rPr>
          <w:rFonts w:ascii="Palatino Linotype" w:hAnsi="Palatino Linotype"/>
          <w:color w:val="000000" w:themeColor="text1"/>
          <w:szCs w:val="22"/>
        </w:rPr>
      </w:pPr>
      <w:r w:rsidRPr="009545D4">
        <w:rPr>
          <w:rFonts w:ascii="Palatino Linotype" w:hAnsi="Palatino Linotype"/>
          <w:i/>
          <w:color w:val="000000" w:themeColor="text1"/>
          <w:szCs w:val="22"/>
        </w:rPr>
        <w:t xml:space="preserve"> “</w:t>
      </w:r>
      <w:r w:rsidRPr="009545D4">
        <w:rPr>
          <w:rFonts w:ascii="Palatino Linotype" w:hAnsi="Palatino Linotype"/>
          <w:i/>
          <w:iCs/>
          <w:color w:val="000000" w:themeColor="text1"/>
          <w:szCs w:val="22"/>
        </w:rPr>
        <w:t xml:space="preserve">presupuesto ejercido en reparación de pozos y rebombeos, razón social de la empresa de quien lo realizo, si fuera el caso. Y LO QUE LE REALIZARON. </w:t>
      </w:r>
      <w:r w:rsidRPr="009545D4">
        <w:rPr>
          <w:rFonts w:ascii="Palatino Linotype" w:hAnsi="Palatino Linotype"/>
          <w:i/>
          <w:iCs/>
          <w:color w:val="000000" w:themeColor="text1"/>
          <w:szCs w:val="22"/>
        </w:rPr>
        <w:lastRenderedPageBreak/>
        <w:t>DURANTE EL AÑO 2022 ejemplo pozo r-25 $1200 000 CAMBIO DE BOMBA EMPRESA: MANTENIMIENTO SA DE CV</w:t>
      </w:r>
      <w:r w:rsidRPr="009545D4">
        <w:rPr>
          <w:rFonts w:ascii="Palatino Linotype" w:hAnsi="Palatino Linotype"/>
          <w:i/>
          <w:color w:val="000000" w:themeColor="text1"/>
          <w:szCs w:val="22"/>
        </w:rPr>
        <w:t xml:space="preserve">” </w:t>
      </w:r>
      <w:r w:rsidRPr="009545D4">
        <w:rPr>
          <w:rFonts w:ascii="Palatino Linotype" w:hAnsi="Palatino Linotype"/>
          <w:color w:val="000000" w:themeColor="text1"/>
          <w:szCs w:val="22"/>
        </w:rPr>
        <w:t>(Sic).</w:t>
      </w:r>
    </w:p>
    <w:p w:rsidR="00677893" w:rsidRPr="009545D4" w:rsidRDefault="00677893" w:rsidP="00677893">
      <w:pPr>
        <w:spacing w:line="360" w:lineRule="auto"/>
        <w:ind w:right="333"/>
        <w:jc w:val="both"/>
        <w:rPr>
          <w:rFonts w:ascii="Palatino Linotype" w:hAnsi="Palatino Linotype"/>
          <w:color w:val="000000" w:themeColor="text1"/>
          <w:sz w:val="28"/>
        </w:rPr>
      </w:pPr>
    </w:p>
    <w:p w:rsidR="00677893" w:rsidRPr="00B416E1" w:rsidRDefault="00677893" w:rsidP="00677893">
      <w:pPr>
        <w:pStyle w:val="Prrafodelista"/>
        <w:numPr>
          <w:ilvl w:val="0"/>
          <w:numId w:val="1"/>
        </w:numPr>
        <w:tabs>
          <w:tab w:val="left" w:pos="426"/>
        </w:tabs>
        <w:spacing w:line="360" w:lineRule="auto"/>
        <w:ind w:left="0" w:firstLine="0"/>
        <w:jc w:val="both"/>
        <w:rPr>
          <w:rFonts w:ascii="Palatino Linotype" w:eastAsia="MS Mincho" w:hAnsi="Palatino Linotype" w:cs="Times New Roman"/>
          <w:color w:val="000000" w:themeColor="text1"/>
        </w:rPr>
      </w:pPr>
      <w:r w:rsidRPr="00B416E1">
        <w:rPr>
          <w:rFonts w:ascii="Palatino Linotype" w:hAnsi="Palatino Linotype" w:cs="Arial"/>
          <w:color w:val="000000" w:themeColor="text1"/>
        </w:rPr>
        <w:t xml:space="preserve">Se hace constar que </w:t>
      </w:r>
      <w:r w:rsidRPr="00B416E1">
        <w:rPr>
          <w:rFonts w:ascii="Palatino Linotype" w:eastAsia="Times New Roman" w:hAnsi="Palatino Linotype" w:cs="Arial"/>
          <w:color w:val="000000" w:themeColor="text1"/>
          <w:lang w:val="es-ES"/>
        </w:rPr>
        <w:t xml:space="preserve">el entonces </w:t>
      </w:r>
      <w:r w:rsidRPr="00B416E1">
        <w:rPr>
          <w:rFonts w:ascii="Palatino Linotype" w:eastAsia="Times New Roman" w:hAnsi="Palatino Linotype" w:cs="Arial"/>
          <w:b/>
          <w:color w:val="000000" w:themeColor="text1"/>
          <w:lang w:val="es-ES"/>
        </w:rPr>
        <w:t>SOLICITANTE</w:t>
      </w:r>
      <w:r w:rsidRPr="00B416E1">
        <w:rPr>
          <w:rFonts w:ascii="Palatino Linotype" w:eastAsia="Times New Roman" w:hAnsi="Palatino Linotype" w:cs="Arial"/>
          <w:color w:val="000000" w:themeColor="text1"/>
          <w:lang w:val="es-ES"/>
        </w:rPr>
        <w:t xml:space="preserve"> señaló como modalidad de entrega de la información</w:t>
      </w:r>
      <w:r w:rsidRPr="00B416E1">
        <w:rPr>
          <w:rFonts w:ascii="Palatino Linotype" w:eastAsia="Times New Roman" w:hAnsi="Palatino Linotype" w:cs="Arial"/>
          <w:bCs/>
          <w:color w:val="000000" w:themeColor="text1"/>
          <w:lang w:val="es-ES"/>
        </w:rPr>
        <w:t>:</w:t>
      </w:r>
      <w:r w:rsidRPr="00B416E1">
        <w:rPr>
          <w:rFonts w:ascii="Palatino Linotype" w:eastAsia="Times New Roman" w:hAnsi="Palatino Linotype" w:cs="Arial"/>
          <w:b/>
          <w:color w:val="000000" w:themeColor="text1"/>
          <w:lang w:val="es-ES"/>
        </w:rPr>
        <w:t xml:space="preserve"> </w:t>
      </w:r>
      <w:r w:rsidRPr="00B416E1">
        <w:rPr>
          <w:rFonts w:ascii="Palatino Linotype" w:eastAsia="Times New Roman" w:hAnsi="Palatino Linotype" w:cs="Arial"/>
          <w:b/>
          <w:i/>
          <w:iCs/>
          <w:color w:val="000000" w:themeColor="text1"/>
          <w:lang w:val="es-ES"/>
        </w:rPr>
        <w:t>A través del SAIMEX</w:t>
      </w:r>
      <w:r w:rsidRPr="00B416E1">
        <w:rPr>
          <w:rFonts w:ascii="Palatino Linotype" w:eastAsia="Calibri" w:hAnsi="Palatino Linotype" w:cs="Arial"/>
          <w:color w:val="000000" w:themeColor="text1"/>
          <w:lang w:val="es-ES"/>
        </w:rPr>
        <w:t>.</w:t>
      </w:r>
    </w:p>
    <w:p w:rsidR="00677893" w:rsidRPr="00B416E1" w:rsidRDefault="00677893" w:rsidP="00677893">
      <w:pPr>
        <w:pStyle w:val="Prrafodelista"/>
        <w:spacing w:line="360" w:lineRule="auto"/>
        <w:ind w:left="284"/>
        <w:jc w:val="both"/>
        <w:rPr>
          <w:rFonts w:ascii="Palatino Linotype" w:eastAsia="MS Mincho" w:hAnsi="Palatino Linotype" w:cs="Times New Roman"/>
          <w:color w:val="000000" w:themeColor="text1"/>
        </w:rPr>
      </w:pPr>
    </w:p>
    <w:p w:rsidR="00677893" w:rsidRPr="00653011" w:rsidRDefault="00677893" w:rsidP="00677893">
      <w:pPr>
        <w:pStyle w:val="Prrafodelista"/>
        <w:numPr>
          <w:ilvl w:val="0"/>
          <w:numId w:val="1"/>
        </w:numPr>
        <w:tabs>
          <w:tab w:val="left" w:pos="426"/>
        </w:tabs>
        <w:spacing w:line="360" w:lineRule="auto"/>
        <w:ind w:left="0" w:firstLine="0"/>
        <w:jc w:val="both"/>
        <w:rPr>
          <w:rFonts w:ascii="Palatino Linotype" w:hAnsi="Palatino Linotype" w:cs="Arial"/>
        </w:rPr>
      </w:pPr>
      <w:r w:rsidRPr="00B416E1">
        <w:rPr>
          <w:rFonts w:ascii="Palatino Linotype" w:eastAsia="MS Mincho" w:hAnsi="Palatino Linotype" w:cs="Times New Roman"/>
          <w:color w:val="000000" w:themeColor="text1"/>
        </w:rPr>
        <w:t xml:space="preserve">El </w:t>
      </w:r>
      <w:r w:rsidRPr="00B416E1">
        <w:rPr>
          <w:rFonts w:ascii="Palatino Linotype" w:eastAsia="MS Mincho" w:hAnsi="Palatino Linotype" w:cs="Times New Roman"/>
          <w:b/>
          <w:bCs/>
          <w:color w:val="000000" w:themeColor="text1"/>
        </w:rPr>
        <w:t>SUJETO OBLIGADO</w:t>
      </w:r>
      <w:r w:rsidRPr="00B416E1">
        <w:rPr>
          <w:rFonts w:ascii="Palatino Linotype" w:eastAsia="MS Mincho" w:hAnsi="Palatino Linotype" w:cs="Times New Roman"/>
          <w:color w:val="000000" w:themeColor="text1"/>
        </w:rPr>
        <w:t xml:space="preserve"> no dio respuesta a la solicitud</w:t>
      </w:r>
      <w:r w:rsidR="00967DFA">
        <w:rPr>
          <w:rFonts w:ascii="Palatino Linotype" w:eastAsia="MS Mincho" w:hAnsi="Palatino Linotype" w:cs="Times New Roman"/>
          <w:color w:val="000000" w:themeColor="text1"/>
        </w:rPr>
        <w:t xml:space="preserve"> de información.</w:t>
      </w:r>
    </w:p>
    <w:p w:rsidR="00653011" w:rsidRPr="00653011" w:rsidRDefault="00653011" w:rsidP="00653011">
      <w:pPr>
        <w:tabs>
          <w:tab w:val="left" w:pos="426"/>
        </w:tabs>
        <w:spacing w:line="360" w:lineRule="auto"/>
        <w:jc w:val="both"/>
        <w:rPr>
          <w:rFonts w:ascii="Palatino Linotype" w:hAnsi="Palatino Linotype" w:cs="Arial"/>
        </w:rPr>
      </w:pPr>
    </w:p>
    <w:p w:rsidR="00677893" w:rsidRPr="00B416E1" w:rsidRDefault="00677893" w:rsidP="00677893">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szCs w:val="22"/>
        </w:rPr>
      </w:pPr>
      <w:r w:rsidRPr="00B416E1">
        <w:rPr>
          <w:rFonts w:ascii="Palatino Linotype" w:eastAsia="Times New Roman" w:hAnsi="Palatino Linotype" w:cs="Arial"/>
          <w:color w:val="000000" w:themeColor="text1"/>
          <w:lang w:val="es-ES"/>
        </w:rPr>
        <w:t xml:space="preserve">Derivado de la falta de respuesta, el trece (13) de julio de dos mil veintitrés, el particular interpuso el recurso de revisión </w:t>
      </w:r>
      <w:r w:rsidRPr="00B416E1">
        <w:rPr>
          <w:rFonts w:ascii="Palatino Linotype" w:hAnsi="Palatino Linotype"/>
          <w:b/>
          <w:bCs/>
        </w:rPr>
        <w:t>04093/INFOEM/IP/RR/2023</w:t>
      </w:r>
      <w:r w:rsidRPr="00B416E1">
        <w:rPr>
          <w:rFonts w:ascii="Palatino Linotype" w:eastAsia="Calibri" w:hAnsi="Palatino Linotype" w:cs="Arial"/>
          <w:color w:val="000000" w:themeColor="text1"/>
          <w:lang w:val="es-ES"/>
        </w:rPr>
        <w:t>;</w:t>
      </w:r>
      <w:r w:rsidRPr="00B416E1">
        <w:rPr>
          <w:rFonts w:ascii="Palatino Linotype" w:eastAsia="Times New Roman" w:hAnsi="Palatino Linotype" w:cs="Arial"/>
          <w:color w:val="000000" w:themeColor="text1"/>
          <w:lang w:val="es-ES"/>
        </w:rPr>
        <w:t xml:space="preserve"> impugnación en la que refirió lo siguiente:</w:t>
      </w:r>
    </w:p>
    <w:p w:rsidR="00677893" w:rsidRPr="00B416E1" w:rsidRDefault="00677893" w:rsidP="00677893">
      <w:pPr>
        <w:pStyle w:val="Prrafodelista"/>
        <w:tabs>
          <w:tab w:val="left" w:pos="426"/>
        </w:tabs>
        <w:spacing w:line="360" w:lineRule="auto"/>
        <w:ind w:left="284"/>
        <w:jc w:val="both"/>
        <w:rPr>
          <w:rFonts w:ascii="Palatino Linotype" w:eastAsia="Times New Roman" w:hAnsi="Palatino Linotype" w:cs="Arial"/>
          <w:color w:val="000000" w:themeColor="text1"/>
        </w:rPr>
      </w:pPr>
    </w:p>
    <w:p w:rsidR="00677893" w:rsidRPr="00B416E1" w:rsidRDefault="00677893" w:rsidP="00677893">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B416E1">
        <w:rPr>
          <w:rFonts w:ascii="Palatino Linotype" w:eastAsia="Times New Roman" w:hAnsi="Palatino Linotype" w:cs="Arial"/>
          <w:b/>
          <w:color w:val="000000" w:themeColor="text1"/>
          <w:sz w:val="22"/>
          <w:lang w:val="es-ES"/>
        </w:rPr>
        <w:t>Acto impugnado:</w:t>
      </w:r>
      <w:r w:rsidRPr="00B416E1">
        <w:rPr>
          <w:rFonts w:ascii="Palatino Linotype" w:eastAsia="Times New Roman" w:hAnsi="Palatino Linotype" w:cs="Arial"/>
          <w:color w:val="000000" w:themeColor="text1"/>
          <w:sz w:val="22"/>
          <w:lang w:val="es-ES"/>
        </w:rPr>
        <w:t xml:space="preserve"> “</w:t>
      </w:r>
      <w:r w:rsidRPr="00B416E1">
        <w:rPr>
          <w:rFonts w:ascii="Palatino Linotype" w:eastAsia="Times New Roman" w:hAnsi="Palatino Linotype" w:cs="Arial"/>
          <w:i/>
          <w:color w:val="000000" w:themeColor="text1"/>
          <w:sz w:val="22"/>
        </w:rPr>
        <w:t>Se concluyo el tiempo que por ley establece dar una respuesta</w:t>
      </w:r>
      <w:r w:rsidRPr="00B416E1">
        <w:rPr>
          <w:rFonts w:ascii="Palatino Linotype" w:eastAsia="Times New Roman" w:hAnsi="Palatino Linotype" w:cs="Arial"/>
          <w:i/>
          <w:color w:val="000000" w:themeColor="text1"/>
          <w:sz w:val="22"/>
          <w:lang w:val="es-ES"/>
        </w:rPr>
        <w:t>”</w:t>
      </w:r>
      <w:r w:rsidRPr="00B416E1">
        <w:rPr>
          <w:rFonts w:ascii="Palatino Linotype" w:eastAsia="Times New Roman" w:hAnsi="Palatino Linotype" w:cs="Arial"/>
          <w:color w:val="000000" w:themeColor="text1"/>
          <w:sz w:val="22"/>
          <w:lang w:val="es-ES"/>
        </w:rPr>
        <w:t xml:space="preserve"> (Sic).</w:t>
      </w:r>
    </w:p>
    <w:p w:rsidR="00677893" w:rsidRPr="00B416E1" w:rsidRDefault="00677893" w:rsidP="00677893">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rsidR="00677893" w:rsidRPr="00B416E1" w:rsidRDefault="00677893" w:rsidP="00677893">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B416E1">
        <w:rPr>
          <w:rFonts w:ascii="Palatino Linotype" w:eastAsia="Times New Roman" w:hAnsi="Palatino Linotype" w:cs="Arial"/>
          <w:b/>
          <w:color w:val="000000" w:themeColor="text1"/>
          <w:sz w:val="22"/>
          <w:lang w:val="es-ES"/>
        </w:rPr>
        <w:t>Razones o motivos de inconformidad:</w:t>
      </w:r>
      <w:r w:rsidRPr="00B416E1">
        <w:rPr>
          <w:rFonts w:ascii="Palatino Linotype" w:eastAsia="Times New Roman" w:hAnsi="Palatino Linotype" w:cs="Arial"/>
          <w:color w:val="000000" w:themeColor="text1"/>
          <w:sz w:val="22"/>
          <w:lang w:val="es-ES"/>
        </w:rPr>
        <w:t xml:space="preserve"> </w:t>
      </w:r>
      <w:r w:rsidRPr="00B416E1">
        <w:rPr>
          <w:rFonts w:ascii="Palatino Linotype" w:eastAsia="Times New Roman" w:hAnsi="Palatino Linotype" w:cs="Arial"/>
          <w:i/>
          <w:iCs/>
          <w:color w:val="000000" w:themeColor="text1"/>
          <w:sz w:val="22"/>
          <w:lang w:val="es-ES"/>
        </w:rPr>
        <w:t>“</w:t>
      </w:r>
      <w:r w:rsidRPr="00B416E1">
        <w:rPr>
          <w:rFonts w:ascii="Palatino Linotype" w:eastAsia="Times New Roman" w:hAnsi="Palatino Linotype" w:cs="Arial"/>
          <w:i/>
          <w:iCs/>
          <w:color w:val="000000" w:themeColor="text1"/>
          <w:sz w:val="22"/>
        </w:rPr>
        <w:t>no se obtuvo respuesta laguna por parte del organismo requerido</w:t>
      </w:r>
      <w:r w:rsidRPr="00B416E1">
        <w:rPr>
          <w:rFonts w:ascii="Palatino Linotype" w:eastAsia="Times New Roman" w:hAnsi="Palatino Linotype" w:cs="Arial"/>
          <w:i/>
          <w:iCs/>
          <w:color w:val="000000" w:themeColor="text1"/>
          <w:sz w:val="22"/>
          <w:lang w:val="es-ES"/>
        </w:rPr>
        <w:t>”</w:t>
      </w:r>
      <w:r w:rsidRPr="00B416E1">
        <w:rPr>
          <w:rFonts w:ascii="Palatino Linotype" w:eastAsia="Times New Roman" w:hAnsi="Palatino Linotype" w:cs="Arial"/>
          <w:color w:val="000000" w:themeColor="text1"/>
          <w:sz w:val="22"/>
          <w:lang w:val="es-ES"/>
        </w:rPr>
        <w:t xml:space="preserve"> (Sic).</w:t>
      </w:r>
    </w:p>
    <w:p w:rsidR="00677893" w:rsidRPr="00B416E1" w:rsidRDefault="00677893" w:rsidP="00677893">
      <w:pPr>
        <w:tabs>
          <w:tab w:val="left" w:pos="426"/>
        </w:tabs>
        <w:spacing w:line="360" w:lineRule="auto"/>
        <w:jc w:val="both"/>
        <w:rPr>
          <w:rFonts w:ascii="Palatino Linotype" w:hAnsi="Palatino Linotype"/>
          <w:color w:val="000000" w:themeColor="text1"/>
          <w:szCs w:val="22"/>
        </w:rPr>
      </w:pPr>
    </w:p>
    <w:p w:rsidR="00677893" w:rsidRPr="00B416E1" w:rsidRDefault="009545D4" w:rsidP="00E87D88">
      <w:pPr>
        <w:pStyle w:val="Prrafodelista"/>
        <w:numPr>
          <w:ilvl w:val="0"/>
          <w:numId w:val="1"/>
        </w:numPr>
        <w:tabs>
          <w:tab w:val="left" w:pos="284"/>
          <w:tab w:val="left" w:pos="426"/>
        </w:tabs>
        <w:spacing w:line="360" w:lineRule="auto"/>
        <w:ind w:left="0" w:firstLine="0"/>
        <w:jc w:val="both"/>
        <w:rPr>
          <w:rFonts w:ascii="Palatino Linotype" w:eastAsia="Calibri" w:hAnsi="Palatino Linotype" w:cs="Arial"/>
          <w:color w:val="000000" w:themeColor="text1"/>
          <w:lang w:val="es-ES"/>
        </w:rPr>
      </w:pPr>
      <w:r w:rsidRPr="00B416E1">
        <w:rPr>
          <w:rFonts w:ascii="Palatino Linotype" w:eastAsia="Calibri" w:hAnsi="Palatino Linotype" w:cs="Arial"/>
          <w:bCs/>
          <w:color w:val="000000" w:themeColor="text1"/>
        </w:rPr>
        <w:t>Asimismo</w:t>
      </w:r>
      <w:r w:rsidR="00E87D88" w:rsidRPr="00B416E1">
        <w:rPr>
          <w:rFonts w:ascii="Palatino Linotype" w:eastAsia="Calibri" w:hAnsi="Palatino Linotype" w:cs="Arial"/>
          <w:bCs/>
          <w:color w:val="000000" w:themeColor="text1"/>
        </w:rPr>
        <w:t xml:space="preserve">, con fundamento en lo dispuesto por el </w:t>
      </w:r>
      <w:r w:rsidR="00E87D88" w:rsidRPr="00B416E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se turnó a la </w:t>
      </w:r>
      <w:r w:rsidR="00E87D88" w:rsidRPr="00B416E1">
        <w:rPr>
          <w:rFonts w:ascii="Palatino Linotype" w:eastAsia="Calibri" w:hAnsi="Palatino Linotype" w:cs="Arial"/>
          <w:b/>
          <w:bCs/>
          <w:color w:val="000000" w:themeColor="text1"/>
          <w:lang w:val="es-ES"/>
        </w:rPr>
        <w:t>Comisionada María del Rosario Mejía Ayala</w:t>
      </w:r>
      <w:r w:rsidR="00E87D88" w:rsidRPr="00B416E1">
        <w:rPr>
          <w:rFonts w:ascii="Palatino Linotype" w:eastAsia="Calibri" w:hAnsi="Palatino Linotype" w:cs="Arial"/>
          <w:bCs/>
          <w:color w:val="000000" w:themeColor="text1"/>
          <w:lang w:val="es-ES"/>
        </w:rPr>
        <w:t xml:space="preserve">, </w:t>
      </w:r>
      <w:r>
        <w:rPr>
          <w:rFonts w:ascii="Palatino Linotype" w:eastAsia="Calibri" w:hAnsi="Palatino Linotype" w:cs="Arial"/>
          <w:bCs/>
          <w:color w:val="000000" w:themeColor="text1"/>
          <w:lang w:val="es-ES"/>
        </w:rPr>
        <w:t>para</w:t>
      </w:r>
      <w:r w:rsidR="00E87D88" w:rsidRPr="00B416E1">
        <w:rPr>
          <w:rFonts w:ascii="Palatino Linotype" w:eastAsia="Calibri" w:hAnsi="Palatino Linotype" w:cs="Arial"/>
          <w:bCs/>
          <w:color w:val="000000" w:themeColor="text1"/>
          <w:lang w:val="es-ES"/>
        </w:rPr>
        <w:t xml:space="preserve"> </w:t>
      </w:r>
      <w:r w:rsidR="00E87D88" w:rsidRPr="00B416E1">
        <w:rPr>
          <w:rFonts w:ascii="Palatino Linotype" w:eastAsia="Calibri" w:hAnsi="Palatino Linotype" w:cs="Arial"/>
          <w:bCs/>
          <w:color w:val="000000" w:themeColor="text1"/>
        </w:rPr>
        <w:t>su análisis.</w:t>
      </w:r>
    </w:p>
    <w:p w:rsidR="00E87D88" w:rsidRPr="00B416E1" w:rsidRDefault="00E87D88" w:rsidP="00E87D88">
      <w:pPr>
        <w:pStyle w:val="Prrafodelista"/>
        <w:tabs>
          <w:tab w:val="left" w:pos="284"/>
          <w:tab w:val="left" w:pos="426"/>
        </w:tabs>
        <w:spacing w:line="360" w:lineRule="auto"/>
        <w:ind w:left="0"/>
        <w:jc w:val="both"/>
        <w:rPr>
          <w:rFonts w:ascii="Palatino Linotype" w:eastAsia="Calibri" w:hAnsi="Palatino Linotype" w:cs="Arial"/>
          <w:color w:val="000000" w:themeColor="text1"/>
          <w:lang w:val="es-ES"/>
        </w:rPr>
      </w:pPr>
    </w:p>
    <w:p w:rsidR="00677893" w:rsidRPr="00B416E1" w:rsidRDefault="00677893" w:rsidP="0067789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B416E1">
        <w:rPr>
          <w:rFonts w:ascii="Palatino Linotype" w:eastAsia="Times New Roman" w:hAnsi="Palatino Linotype" w:cs="Arial"/>
          <w:color w:val="000000" w:themeColor="text1"/>
          <w:lang w:val="es-ES"/>
        </w:rPr>
        <w:t>La Comisionada Ponente</w:t>
      </w:r>
      <w:r w:rsidRPr="00B416E1">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dos (02) de </w:t>
      </w:r>
      <w:r w:rsidRPr="00B416E1">
        <w:rPr>
          <w:rFonts w:ascii="Palatino Linotype" w:eastAsia="Calibri" w:hAnsi="Palatino Linotype" w:cs="Arial"/>
          <w:color w:val="000000" w:themeColor="text1"/>
          <w:lang w:val="es-ES"/>
        </w:rPr>
        <w:lastRenderedPageBreak/>
        <w:t xml:space="preserve">agosto de dos mil veintitrés, puso a disposición de las partes el expediente electrónico </w:t>
      </w:r>
      <w:r w:rsidRPr="00B416E1">
        <w:rPr>
          <w:rFonts w:ascii="Palatino Linotype" w:eastAsia="Calibri" w:hAnsi="Palatino Linotype" w:cs="Arial"/>
          <w:color w:val="000000" w:themeColor="text1"/>
        </w:rPr>
        <w:t xml:space="preserve">vía </w:t>
      </w:r>
      <w:r w:rsidRPr="00B416E1">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B416E1">
        <w:rPr>
          <w:rFonts w:ascii="Palatino Linotype" w:eastAsia="Calibri" w:hAnsi="Palatino Linotype" w:cs="Arial"/>
          <w:b/>
          <w:color w:val="000000" w:themeColor="text1"/>
          <w:lang w:val="es-ES"/>
        </w:rPr>
        <w:t>SUJETO OBLIGADO</w:t>
      </w:r>
      <w:r w:rsidRPr="00B416E1">
        <w:rPr>
          <w:rFonts w:ascii="Palatino Linotype" w:eastAsia="Calibri" w:hAnsi="Palatino Linotype" w:cs="Arial"/>
          <w:color w:val="000000" w:themeColor="text1"/>
          <w:lang w:val="es-ES"/>
        </w:rPr>
        <w:t xml:space="preserve"> presentara </w:t>
      </w:r>
      <w:bookmarkEnd w:id="3"/>
      <w:r w:rsidRPr="00B416E1">
        <w:rPr>
          <w:rFonts w:ascii="Palatino Linotype" w:eastAsia="Calibri" w:hAnsi="Palatino Linotype" w:cs="Arial"/>
          <w:color w:val="000000" w:themeColor="text1"/>
          <w:lang w:val="es-ES"/>
        </w:rPr>
        <w:t>su informe justificado procedente.</w:t>
      </w:r>
    </w:p>
    <w:p w:rsidR="00677893" w:rsidRPr="00B416E1"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677893" w:rsidRPr="00B416E1" w:rsidRDefault="00677893" w:rsidP="00677893">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B416E1">
        <w:rPr>
          <w:rFonts w:ascii="Palatino Linotype" w:eastAsia="Calibri" w:hAnsi="Palatino Linotype" w:cs="Arial"/>
          <w:color w:val="000000" w:themeColor="text1"/>
          <w:lang w:val="es-ES"/>
        </w:rPr>
        <w:t xml:space="preserve">De las </w:t>
      </w:r>
      <w:r w:rsidRPr="00B416E1">
        <w:rPr>
          <w:rFonts w:ascii="Palatino Linotype" w:eastAsia="Calibri" w:hAnsi="Palatino Linotype" w:cs="Arial"/>
          <w:color w:val="000000" w:themeColor="text1"/>
        </w:rPr>
        <w:t xml:space="preserve">constancias que obran en el expediente digital del recurso de revisión que hoy se resuelve, se aprecia que el </w:t>
      </w:r>
      <w:r w:rsidRPr="00B416E1">
        <w:rPr>
          <w:rFonts w:ascii="Palatino Linotype" w:eastAsia="Calibri" w:hAnsi="Palatino Linotype" w:cs="Arial"/>
          <w:b/>
          <w:color w:val="000000" w:themeColor="text1"/>
        </w:rPr>
        <w:t xml:space="preserve">SUJETO OBLIGADO </w:t>
      </w:r>
      <w:r w:rsidRPr="00B416E1">
        <w:rPr>
          <w:rFonts w:ascii="Palatino Linotype" w:eastAsia="Calibri" w:hAnsi="Palatino Linotype" w:cs="Arial"/>
          <w:color w:val="000000" w:themeColor="text1"/>
        </w:rPr>
        <w:t xml:space="preserve">no rindió su informe justificado para manifestar lo que a su derecho conviniera; por su parte, el </w:t>
      </w:r>
      <w:r w:rsidRPr="00B416E1">
        <w:rPr>
          <w:rFonts w:ascii="Palatino Linotype" w:eastAsia="Calibri" w:hAnsi="Palatino Linotype" w:cs="Arial"/>
          <w:b/>
          <w:color w:val="000000" w:themeColor="text1"/>
        </w:rPr>
        <w:t xml:space="preserve">RECURRENTE </w:t>
      </w:r>
      <w:r w:rsidRPr="00B416E1">
        <w:rPr>
          <w:rFonts w:ascii="Palatino Linotype" w:eastAsia="Calibri" w:hAnsi="Palatino Linotype" w:cs="Arial"/>
          <w:color w:val="000000" w:themeColor="text1"/>
        </w:rPr>
        <w:t xml:space="preserve">no presentó alegatos ni ofreció medios de prueba. Se adjunta la captura del apartado de </w:t>
      </w:r>
      <w:r w:rsidRPr="00B416E1">
        <w:rPr>
          <w:rFonts w:ascii="Palatino Linotype" w:eastAsia="Calibri" w:hAnsi="Palatino Linotype" w:cs="Arial"/>
          <w:i/>
          <w:iCs/>
          <w:color w:val="000000" w:themeColor="text1"/>
        </w:rPr>
        <w:t>Manifestaciones</w:t>
      </w:r>
      <w:r w:rsidRPr="00B416E1">
        <w:rPr>
          <w:rFonts w:ascii="Palatino Linotype" w:eastAsia="Calibri" w:hAnsi="Palatino Linotype" w:cs="Arial"/>
          <w:color w:val="000000" w:themeColor="text1"/>
        </w:rPr>
        <w:t xml:space="preserve"> del </w:t>
      </w:r>
      <w:r w:rsidRPr="00B416E1">
        <w:rPr>
          <w:rFonts w:ascii="Palatino Linotype" w:eastAsia="Calibri" w:hAnsi="Palatino Linotype" w:cs="Arial"/>
          <w:iCs/>
          <w:color w:val="000000" w:themeColor="text1"/>
        </w:rPr>
        <w:t>SAIMEX</w:t>
      </w:r>
      <w:r w:rsidRPr="00B416E1">
        <w:rPr>
          <w:rFonts w:ascii="Palatino Linotype" w:eastAsia="Calibri" w:hAnsi="Palatino Linotype" w:cs="Arial"/>
          <w:color w:val="000000" w:themeColor="text1"/>
        </w:rPr>
        <w:t xml:space="preserve"> a modo de referencia:</w:t>
      </w:r>
    </w:p>
    <w:p w:rsidR="00677893" w:rsidRPr="00B416E1" w:rsidRDefault="00677893" w:rsidP="00677893">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677893" w:rsidRPr="00B416E1" w:rsidRDefault="00677893" w:rsidP="00677893">
      <w:pPr>
        <w:pStyle w:val="Prrafodelista"/>
        <w:tabs>
          <w:tab w:val="left" w:pos="426"/>
        </w:tabs>
        <w:spacing w:line="360" w:lineRule="auto"/>
        <w:ind w:left="0"/>
        <w:jc w:val="center"/>
      </w:pPr>
      <w:r w:rsidRPr="00B416E1">
        <w:rPr>
          <w:noProof/>
          <w:lang w:val="es-MX" w:eastAsia="es-MX"/>
        </w:rPr>
        <w:drawing>
          <wp:inline distT="0" distB="0" distL="0" distR="0" wp14:anchorId="15EFEDD3" wp14:editId="3083867A">
            <wp:extent cx="4814773" cy="1105905"/>
            <wp:effectExtent l="57150" t="57150" r="119380" b="113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2115" cy="11121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43478" w:rsidRPr="00B416E1" w:rsidRDefault="00543478" w:rsidP="00677893">
      <w:pPr>
        <w:pStyle w:val="Prrafodelista"/>
        <w:tabs>
          <w:tab w:val="left" w:pos="426"/>
        </w:tabs>
        <w:spacing w:line="360" w:lineRule="auto"/>
        <w:ind w:left="0"/>
        <w:jc w:val="center"/>
      </w:pPr>
    </w:p>
    <w:p w:rsidR="00677893" w:rsidRPr="00B416E1" w:rsidRDefault="00543478" w:rsidP="00677893">
      <w:pPr>
        <w:numPr>
          <w:ilvl w:val="0"/>
          <w:numId w:val="1"/>
        </w:numPr>
        <w:tabs>
          <w:tab w:val="left" w:pos="426"/>
        </w:tabs>
        <w:spacing w:line="360" w:lineRule="auto"/>
        <w:ind w:left="0" w:firstLine="0"/>
        <w:contextualSpacing/>
        <w:jc w:val="both"/>
        <w:rPr>
          <w:rFonts w:ascii="Palatino Linotype" w:eastAsia="MS Mincho" w:hAnsi="Palatino Linotype" w:cs="Times New Roman"/>
          <w:color w:val="000000"/>
          <w:lang w:val="es-MX"/>
        </w:rPr>
      </w:pPr>
      <w:r w:rsidRPr="00B416E1">
        <w:rPr>
          <w:rFonts w:ascii="Palatino Linotype" w:eastAsia="MS Mincho" w:hAnsi="Palatino Linotype" w:cs="Times New Roman"/>
          <w:lang w:val="es-MX"/>
        </w:rPr>
        <w:t>Una vez transcurrido el plazo decretado con anterioridad, en fecha</w:t>
      </w:r>
      <w:r w:rsidRPr="00B416E1">
        <w:rPr>
          <w:rFonts w:ascii="Palatino Linotype" w:eastAsia="Times New Roman" w:hAnsi="Palatino Linotype" w:cs="Arial"/>
          <w:color w:val="000000"/>
          <w:lang w:val="es-MX"/>
        </w:rPr>
        <w:t xml:space="preserve"> quince (15) de agosto de dos mil veintitrés</w:t>
      </w:r>
      <w:r w:rsidRPr="00B416E1">
        <w:rPr>
          <w:rFonts w:ascii="Palatino Linotype" w:eastAsia="MS Mincho" w:hAnsi="Palatino Linotype" w:cs="Times New Roman"/>
          <w:color w:val="000000"/>
          <w:lang w:val="es-MX"/>
        </w:rPr>
        <w:t xml:space="preserve"> </w:t>
      </w:r>
      <w:r w:rsidRPr="00B416E1">
        <w:rPr>
          <w:rFonts w:ascii="Palatino Linotype" w:eastAsia="MS Mincho" w:hAnsi="Palatino Linotype" w:cs="Arial"/>
          <w:color w:val="000000"/>
          <w:lang w:val="es-MX"/>
        </w:rPr>
        <w:t>se decretó el cierre del periodo de instrucción.</w:t>
      </w:r>
    </w:p>
    <w:p w:rsidR="00543478" w:rsidRPr="00B416E1" w:rsidRDefault="00543478" w:rsidP="00543478">
      <w:pPr>
        <w:tabs>
          <w:tab w:val="left" w:pos="426"/>
        </w:tabs>
        <w:spacing w:line="360" w:lineRule="auto"/>
        <w:contextualSpacing/>
        <w:jc w:val="both"/>
        <w:rPr>
          <w:rFonts w:ascii="Palatino Linotype" w:eastAsia="MS Mincho" w:hAnsi="Palatino Linotype" w:cs="Times New Roman"/>
          <w:color w:val="000000"/>
          <w:lang w:val="es-MX"/>
        </w:rPr>
      </w:pPr>
    </w:p>
    <w:p w:rsidR="00677893" w:rsidRPr="00B416E1" w:rsidRDefault="00677893" w:rsidP="00C373D3">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rPr>
        <w:lastRenderedPageBreak/>
        <w:t xml:space="preserve">En fecha veintiocho (28) de agosto de dos mil veintitrés, se notificó al RECURRENTE, la resolución ordenada en la Trigésima Sesión Ordinaria celebrada el veintitrés (23) de agosto de dos mil veintitrés, </w:t>
      </w:r>
      <w:r w:rsidRPr="00B416E1">
        <w:rPr>
          <w:rFonts w:ascii="Palatino Linotype" w:hAnsi="Palatino Linotype"/>
          <w:bCs/>
          <w:color w:val="000000" w:themeColor="text1"/>
        </w:rPr>
        <w:t>en la cual se determinó lo siguiente:</w:t>
      </w:r>
    </w:p>
    <w:p w:rsidR="00677893" w:rsidRPr="00473138" w:rsidRDefault="00677893" w:rsidP="00677893">
      <w:pPr>
        <w:pStyle w:val="Prrafodelista"/>
        <w:tabs>
          <w:tab w:val="left" w:pos="426"/>
        </w:tabs>
        <w:spacing w:line="360" w:lineRule="auto"/>
        <w:ind w:left="0"/>
        <w:jc w:val="both"/>
        <w:rPr>
          <w:rFonts w:ascii="Palatino Linotype" w:hAnsi="Palatino Linotype"/>
          <w:color w:val="000000" w:themeColor="text1"/>
          <w:sz w:val="22"/>
        </w:rPr>
      </w:pPr>
    </w:p>
    <w:p w:rsidR="00677893" w:rsidRPr="00473138" w:rsidRDefault="00677893" w:rsidP="00677893">
      <w:pPr>
        <w:spacing w:line="360" w:lineRule="auto"/>
        <w:ind w:left="426" w:right="333"/>
        <w:jc w:val="both"/>
        <w:rPr>
          <w:rFonts w:ascii="Palatino Linotype" w:hAnsi="Palatino Linotype" w:cs="Arial"/>
          <w:b/>
          <w:i/>
          <w:sz w:val="22"/>
        </w:rPr>
      </w:pPr>
      <w:r w:rsidRPr="00473138">
        <w:rPr>
          <w:rFonts w:ascii="Palatino Linotype" w:hAnsi="Palatino Linotype" w:cs="Arial"/>
          <w:b/>
          <w:i/>
          <w:sz w:val="22"/>
        </w:rPr>
        <w:t xml:space="preserve">PRIMERO. Resultan fundadas las razones o motivos de inconformidad hechos valer en el recurso de revisión 04093/INFOEM/IP/RR/2023, en términos del considerando CUARTO de la presente resolución. </w:t>
      </w:r>
    </w:p>
    <w:p w:rsidR="00677893" w:rsidRPr="00473138" w:rsidRDefault="00677893" w:rsidP="00677893">
      <w:pPr>
        <w:spacing w:line="360" w:lineRule="auto"/>
        <w:ind w:left="426" w:right="333"/>
        <w:jc w:val="both"/>
        <w:rPr>
          <w:rFonts w:ascii="Palatino Linotype" w:hAnsi="Palatino Linotype" w:cs="Arial"/>
          <w:b/>
          <w:i/>
          <w:sz w:val="22"/>
        </w:rPr>
      </w:pPr>
    </w:p>
    <w:p w:rsidR="00677893" w:rsidRPr="00473138" w:rsidRDefault="00677893" w:rsidP="00677893">
      <w:pPr>
        <w:spacing w:line="360" w:lineRule="auto"/>
        <w:ind w:left="426" w:right="333"/>
        <w:jc w:val="both"/>
        <w:rPr>
          <w:rFonts w:ascii="Palatino Linotype" w:hAnsi="Palatino Linotype" w:cs="Arial"/>
          <w:b/>
          <w:i/>
          <w:sz w:val="22"/>
        </w:rPr>
      </w:pPr>
      <w:r w:rsidRPr="00473138">
        <w:rPr>
          <w:rFonts w:ascii="Palatino Linotype" w:hAnsi="Palatino Linotype" w:cs="Arial"/>
          <w:b/>
          <w:i/>
          <w:sz w:val="22"/>
        </w:rPr>
        <w:t xml:space="preserve">SEGUNDO. Se ORDENA al Organismo Público Descentralizado para la Prestación de los Servicios de Agua Potable, Alcantarillado y Saneamiento del Municipio de La Paz México, dar atención a la solicitud de información 00046/OASLAPAZ/IP/2023 y en su caso entregar la información a través del Sistema de Acceso a la Información Mexiquense (SAIMEX). </w:t>
      </w:r>
    </w:p>
    <w:p w:rsidR="00677893" w:rsidRPr="00473138" w:rsidRDefault="00677893" w:rsidP="00677893">
      <w:pPr>
        <w:spacing w:line="360" w:lineRule="auto"/>
        <w:ind w:left="426" w:right="333"/>
        <w:jc w:val="both"/>
        <w:rPr>
          <w:rFonts w:ascii="Palatino Linotype" w:hAnsi="Palatino Linotype" w:cs="Arial"/>
          <w:b/>
          <w:i/>
          <w:sz w:val="22"/>
        </w:rPr>
      </w:pPr>
    </w:p>
    <w:p w:rsidR="00677893" w:rsidRPr="00473138" w:rsidRDefault="00677893" w:rsidP="00677893">
      <w:pPr>
        <w:spacing w:line="360" w:lineRule="auto"/>
        <w:ind w:left="426" w:right="333"/>
        <w:jc w:val="both"/>
        <w:rPr>
          <w:rFonts w:ascii="Palatino Linotype" w:hAnsi="Palatino Linotype" w:cs="Arial"/>
          <w:b/>
          <w:i/>
          <w:sz w:val="22"/>
        </w:rPr>
      </w:pPr>
      <w:r w:rsidRPr="00473138">
        <w:rPr>
          <w:rFonts w:ascii="Palatino Linotype" w:hAnsi="Palatino Linotype" w:cs="Arial"/>
          <w:b/>
          <w:i/>
          <w:sz w:val="22"/>
        </w:rPr>
        <w:t>TERCERO. Notifíquese al Titular de la Unidad de Transparencia del SUJETO OBLIGADO, vía SAIMEX, la presente resolución,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77893" w:rsidRPr="00473138" w:rsidRDefault="00677893" w:rsidP="00677893">
      <w:pPr>
        <w:spacing w:line="360" w:lineRule="auto"/>
        <w:ind w:left="426" w:right="333"/>
        <w:jc w:val="both"/>
        <w:rPr>
          <w:rFonts w:ascii="Palatino Linotype" w:hAnsi="Palatino Linotype" w:cs="Arial"/>
          <w:b/>
          <w:i/>
          <w:sz w:val="22"/>
        </w:rPr>
      </w:pPr>
    </w:p>
    <w:p w:rsidR="00677893" w:rsidRPr="00473138" w:rsidRDefault="00677893" w:rsidP="00677893">
      <w:pPr>
        <w:spacing w:line="360" w:lineRule="auto"/>
        <w:ind w:left="426" w:right="333"/>
        <w:jc w:val="both"/>
        <w:rPr>
          <w:rFonts w:ascii="Palatino Linotype" w:hAnsi="Palatino Linotype" w:cs="Arial"/>
          <w:b/>
          <w:i/>
          <w:sz w:val="22"/>
        </w:rPr>
      </w:pPr>
      <w:r w:rsidRPr="00473138">
        <w:rPr>
          <w:rFonts w:ascii="Palatino Linotype" w:hAnsi="Palatino Linotype" w:cs="Arial"/>
          <w:b/>
          <w:i/>
          <w:sz w:val="22"/>
        </w:rPr>
        <w:lastRenderedPageBreak/>
        <w:t xml:space="preserve">CUARTO. Notifíquese al RECURRENTE la presente resolución vía Sistema de Acceso a la Información Mexiquense (SAIMEX). </w:t>
      </w:r>
    </w:p>
    <w:p w:rsidR="00677893" w:rsidRPr="00473138" w:rsidRDefault="00677893" w:rsidP="00677893">
      <w:pPr>
        <w:spacing w:line="360" w:lineRule="auto"/>
        <w:ind w:left="426" w:right="333"/>
        <w:jc w:val="both"/>
        <w:rPr>
          <w:rFonts w:ascii="Palatino Linotype" w:hAnsi="Palatino Linotype" w:cs="Arial"/>
          <w:b/>
          <w:i/>
          <w:sz w:val="22"/>
        </w:rPr>
      </w:pPr>
    </w:p>
    <w:p w:rsidR="00677893" w:rsidRPr="00473138" w:rsidRDefault="00677893" w:rsidP="00677893">
      <w:pPr>
        <w:spacing w:line="360" w:lineRule="auto"/>
        <w:ind w:left="426" w:right="333"/>
        <w:jc w:val="both"/>
        <w:rPr>
          <w:rFonts w:ascii="Palatino Linotype" w:hAnsi="Palatino Linotype" w:cs="Arial"/>
          <w:b/>
          <w:i/>
          <w:sz w:val="22"/>
        </w:rPr>
      </w:pPr>
      <w:r w:rsidRPr="00473138">
        <w:rPr>
          <w:rFonts w:ascii="Palatino Linotype" w:hAnsi="Palatino Linotype" w:cs="Arial"/>
          <w:b/>
          <w:i/>
          <w:sz w:val="22"/>
        </w:rPr>
        <w:t>QUINTO.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77893" w:rsidRPr="00473138" w:rsidRDefault="00677893" w:rsidP="00677893">
      <w:pPr>
        <w:spacing w:line="360" w:lineRule="auto"/>
        <w:ind w:left="426" w:right="333"/>
        <w:jc w:val="both"/>
        <w:rPr>
          <w:rFonts w:ascii="Palatino Linotype" w:hAnsi="Palatino Linotype" w:cs="Arial"/>
          <w:b/>
          <w:i/>
          <w:sz w:val="22"/>
        </w:rPr>
      </w:pPr>
    </w:p>
    <w:p w:rsidR="00677893" w:rsidRPr="00473138" w:rsidRDefault="00677893" w:rsidP="00677893">
      <w:pPr>
        <w:spacing w:line="360" w:lineRule="auto"/>
        <w:ind w:left="426" w:right="333"/>
        <w:jc w:val="both"/>
        <w:rPr>
          <w:rFonts w:ascii="Palatino Linotype" w:hAnsi="Palatino Linotype" w:cs="Arial"/>
          <w:b/>
          <w:i/>
          <w:sz w:val="22"/>
        </w:rPr>
      </w:pPr>
      <w:r w:rsidRPr="00473138">
        <w:rPr>
          <w:rFonts w:ascii="Palatino Linotype" w:hAnsi="Palatino Linotype" w:cs="Arial"/>
          <w:b/>
          <w:i/>
          <w:sz w:val="22"/>
        </w:rPr>
        <w:t xml:space="preserve"> SEXTO. Hágase del conocimiento del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rsidR="00677893" w:rsidRPr="00473138" w:rsidRDefault="00677893" w:rsidP="00677893">
      <w:pPr>
        <w:spacing w:line="360" w:lineRule="auto"/>
        <w:ind w:left="426" w:right="333"/>
        <w:jc w:val="both"/>
        <w:rPr>
          <w:rFonts w:ascii="Palatino Linotype" w:hAnsi="Palatino Linotype" w:cs="Arial"/>
          <w:b/>
          <w:i/>
          <w:sz w:val="22"/>
        </w:rPr>
      </w:pPr>
    </w:p>
    <w:p w:rsidR="00677893" w:rsidRPr="00473138" w:rsidRDefault="00677893" w:rsidP="00677893">
      <w:pPr>
        <w:spacing w:line="360" w:lineRule="auto"/>
        <w:ind w:left="426" w:right="333"/>
        <w:jc w:val="both"/>
        <w:rPr>
          <w:rFonts w:ascii="Palatino Linotype" w:hAnsi="Palatino Linotype" w:cs="Arial"/>
          <w:b/>
          <w:i/>
          <w:sz w:val="22"/>
        </w:rPr>
      </w:pPr>
      <w:r w:rsidRPr="00473138">
        <w:rPr>
          <w:rFonts w:ascii="Palatino Linotype" w:hAnsi="Palatino Linotype" w:cs="Arial"/>
          <w:b/>
          <w:i/>
          <w:sz w:val="22"/>
        </w:rPr>
        <w:t>SÉPTIMO.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SEXTO de la presente resolución.</w:t>
      </w:r>
    </w:p>
    <w:p w:rsidR="00677893" w:rsidRPr="00473138" w:rsidRDefault="00677893" w:rsidP="00677893">
      <w:pPr>
        <w:spacing w:line="360" w:lineRule="auto"/>
        <w:ind w:left="426" w:right="333"/>
        <w:jc w:val="both"/>
        <w:rPr>
          <w:rFonts w:ascii="Palatino Linotype" w:hAnsi="Palatino Linotype" w:cs="Arial"/>
          <w:b/>
          <w:i/>
          <w:sz w:val="22"/>
        </w:rPr>
      </w:pPr>
    </w:p>
    <w:p w:rsidR="00653011" w:rsidRDefault="00677893" w:rsidP="00653011">
      <w:pPr>
        <w:pStyle w:val="Prrafodelista"/>
        <w:numPr>
          <w:ilvl w:val="0"/>
          <w:numId w:val="1"/>
        </w:numPr>
        <w:tabs>
          <w:tab w:val="left" w:pos="426"/>
        </w:tabs>
        <w:spacing w:line="360" w:lineRule="auto"/>
        <w:ind w:left="0" w:firstLine="0"/>
        <w:jc w:val="both"/>
        <w:rPr>
          <w:rFonts w:ascii="Palatino Linotype" w:eastAsia="Calibri" w:hAnsi="Palatino Linotype" w:cs="Tahoma"/>
          <w:bCs/>
          <w:color w:val="000000"/>
        </w:rPr>
      </w:pPr>
      <w:r w:rsidRPr="00B416E1">
        <w:rPr>
          <w:rFonts w:ascii="Palatino Linotype" w:eastAsia="Calibri" w:hAnsi="Palatino Linotype" w:cs="Tahoma"/>
          <w:color w:val="000000"/>
        </w:rPr>
        <w:t xml:space="preserve">De conformidad con el artículo 186, último párrafo de la Ley de Transparencia y Acceso a </w:t>
      </w:r>
      <w:r w:rsidRPr="00B416E1">
        <w:rPr>
          <w:rFonts w:ascii="Palatino Linotype" w:hAnsi="Palatino Linotype"/>
          <w:color w:val="000000" w:themeColor="text1"/>
        </w:rPr>
        <w:t>la</w:t>
      </w:r>
      <w:r w:rsidRPr="00B416E1">
        <w:rPr>
          <w:rFonts w:ascii="Palatino Linotype" w:eastAsia="Calibri" w:hAnsi="Palatino Linotype" w:cs="Tahoma"/>
          <w:color w:val="000000"/>
        </w:rPr>
        <w:t xml:space="preserve"> Información Pública del Estado de México y Municipios, el Sujeto Obligado debió dar cumplimiento a la </w:t>
      </w:r>
      <w:r w:rsidRPr="00B416E1">
        <w:rPr>
          <w:rFonts w:ascii="Palatino Linotype" w:hAnsi="Palatino Linotype"/>
          <w:color w:val="000000" w:themeColor="text1"/>
        </w:rPr>
        <w:t>Resolución</w:t>
      </w:r>
      <w:r w:rsidRPr="00B416E1">
        <w:rPr>
          <w:rFonts w:ascii="Palatino Linotype" w:eastAsia="Calibri" w:hAnsi="Palatino Linotype" w:cs="Tahoma"/>
          <w:color w:val="000000"/>
        </w:rPr>
        <w:t xml:space="preserve"> de referencia; sin embargo, de las </w:t>
      </w:r>
      <w:r w:rsidRPr="00B416E1">
        <w:rPr>
          <w:rFonts w:ascii="Palatino Linotype" w:eastAsia="Calibri" w:hAnsi="Palatino Linotype" w:cs="Tahoma"/>
          <w:color w:val="000000"/>
        </w:rPr>
        <w:lastRenderedPageBreak/>
        <w:t>constancias que obran en el expediente electrónico en que se actúa</w:t>
      </w:r>
      <w:r w:rsidRPr="00B416E1">
        <w:rPr>
          <w:rFonts w:ascii="Palatino Linotype" w:eastAsia="Calibri" w:hAnsi="Palatino Linotype" w:cs="Tahoma"/>
          <w:color w:val="000000"/>
          <w:lang w:val="es-ES"/>
        </w:rPr>
        <w:t xml:space="preserve">, se advierte que </w:t>
      </w:r>
      <w:r w:rsidRPr="00B416E1">
        <w:rPr>
          <w:rFonts w:ascii="Palatino Linotype" w:eastAsia="Calibri" w:hAnsi="Palatino Linotype" w:cs="Tahoma"/>
          <w:bCs/>
          <w:color w:val="000000"/>
        </w:rPr>
        <w:t>omitió dicha acción.</w:t>
      </w:r>
    </w:p>
    <w:p w:rsidR="00653011" w:rsidRPr="00653011" w:rsidRDefault="00653011" w:rsidP="00653011">
      <w:pPr>
        <w:tabs>
          <w:tab w:val="left" w:pos="426"/>
        </w:tabs>
        <w:spacing w:line="360" w:lineRule="auto"/>
        <w:jc w:val="both"/>
        <w:rPr>
          <w:rFonts w:ascii="Palatino Linotype" w:eastAsia="Calibri" w:hAnsi="Palatino Linotype" w:cs="Tahoma"/>
          <w:bCs/>
          <w:color w:val="000000"/>
        </w:rPr>
      </w:pPr>
      <w:bookmarkStart w:id="4" w:name="_GoBack"/>
      <w:bookmarkEnd w:id="4"/>
    </w:p>
    <w:p w:rsidR="00677893" w:rsidRPr="00B416E1" w:rsidRDefault="00677893" w:rsidP="00677893">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rPr>
        <w:t>Inconforme con lo anterior, en fecha veinticinco (25) de septiembre de dos mil veintitrés, el Particular interpuso los Recurso de Revisión señalados en el anterior Párrafo 1, ante este Instituto a través del Sistema de Acceso a la Información Mexiquense (SAIMEX), en contra de la falta de respuesta del Sujeto Obligado, en cumplimiento a la Resolución referida, en donde se agravió de lo siguiente:</w:t>
      </w:r>
    </w:p>
    <w:p w:rsidR="00677893" w:rsidRPr="00B416E1" w:rsidRDefault="00677893" w:rsidP="00677893">
      <w:pPr>
        <w:pStyle w:val="Prrafodelista"/>
        <w:rPr>
          <w:rFonts w:ascii="Palatino Linotype" w:hAnsi="Palatino Linotype"/>
          <w:color w:val="000000" w:themeColor="text1"/>
        </w:rPr>
      </w:pPr>
    </w:p>
    <w:p w:rsidR="00677893" w:rsidRPr="00B416E1" w:rsidRDefault="00677893" w:rsidP="00677893">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B416E1">
        <w:rPr>
          <w:rFonts w:ascii="Palatino Linotype" w:eastAsia="Times New Roman" w:hAnsi="Palatino Linotype" w:cs="Arial"/>
          <w:b/>
          <w:color w:val="000000" w:themeColor="text1"/>
          <w:sz w:val="22"/>
          <w:lang w:val="es-ES"/>
        </w:rPr>
        <w:t>Acto impugnado:</w:t>
      </w:r>
      <w:r w:rsidRPr="00B416E1">
        <w:rPr>
          <w:rFonts w:ascii="Palatino Linotype" w:eastAsia="Times New Roman" w:hAnsi="Palatino Linotype" w:cs="Arial"/>
          <w:color w:val="000000" w:themeColor="text1"/>
          <w:sz w:val="22"/>
          <w:lang w:val="es-ES"/>
        </w:rPr>
        <w:t xml:space="preserve"> “</w:t>
      </w:r>
      <w:r w:rsidRPr="00B416E1">
        <w:rPr>
          <w:rFonts w:ascii="Palatino Linotype" w:eastAsia="Times New Roman" w:hAnsi="Palatino Linotype" w:cs="Arial"/>
          <w:i/>
          <w:color w:val="000000" w:themeColor="text1"/>
          <w:sz w:val="22"/>
        </w:rPr>
        <w:t>El incumplimiento al recurso de revisión. 04093/INFOEM/IP/RR/2023 el Organismo Público Descentralizado para la Prestación de Los Servicios de Agua Potable Alcantarillado y Saneamiento del Municipio de la Paz México, OPDAPAS</w:t>
      </w:r>
      <w:r w:rsidRPr="00B416E1">
        <w:rPr>
          <w:rFonts w:ascii="Palatino Linotype" w:eastAsia="Times New Roman" w:hAnsi="Palatino Linotype" w:cs="Arial"/>
          <w:i/>
          <w:color w:val="000000" w:themeColor="text1"/>
          <w:sz w:val="22"/>
          <w:lang w:val="es-ES"/>
        </w:rPr>
        <w:t>”</w:t>
      </w:r>
      <w:r w:rsidRPr="00B416E1">
        <w:rPr>
          <w:rFonts w:ascii="Palatino Linotype" w:eastAsia="Times New Roman" w:hAnsi="Palatino Linotype" w:cs="Arial"/>
          <w:color w:val="000000" w:themeColor="text1"/>
          <w:sz w:val="22"/>
          <w:lang w:val="es-ES"/>
        </w:rPr>
        <w:t xml:space="preserve"> (Sic).</w:t>
      </w:r>
    </w:p>
    <w:p w:rsidR="00677893" w:rsidRPr="00B416E1" w:rsidRDefault="00677893" w:rsidP="00677893">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rsidR="00677893" w:rsidRPr="00B416E1" w:rsidRDefault="00677893" w:rsidP="00677893">
      <w:pPr>
        <w:pStyle w:val="Prrafodelista"/>
        <w:numPr>
          <w:ilvl w:val="0"/>
          <w:numId w:val="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B416E1">
        <w:rPr>
          <w:rFonts w:ascii="Palatino Linotype" w:eastAsia="Times New Roman" w:hAnsi="Palatino Linotype" w:cs="Arial"/>
          <w:b/>
          <w:color w:val="000000" w:themeColor="text1"/>
          <w:sz w:val="22"/>
          <w:lang w:val="es-ES"/>
        </w:rPr>
        <w:t>Razones o motivos de inconformidad:</w:t>
      </w:r>
      <w:r w:rsidRPr="00B416E1">
        <w:rPr>
          <w:rFonts w:ascii="Palatino Linotype" w:eastAsia="Times New Roman" w:hAnsi="Palatino Linotype" w:cs="Arial"/>
          <w:color w:val="000000" w:themeColor="text1"/>
          <w:sz w:val="22"/>
          <w:lang w:val="es-ES"/>
        </w:rPr>
        <w:t xml:space="preserve"> </w:t>
      </w:r>
      <w:r w:rsidRPr="00B416E1">
        <w:rPr>
          <w:rFonts w:ascii="Palatino Linotype" w:eastAsia="Times New Roman" w:hAnsi="Palatino Linotype" w:cs="Arial"/>
          <w:i/>
          <w:iCs/>
          <w:color w:val="000000" w:themeColor="text1"/>
          <w:sz w:val="22"/>
          <w:lang w:val="es-ES"/>
        </w:rPr>
        <w:t>“N</w:t>
      </w:r>
      <w:r w:rsidRPr="00B416E1">
        <w:rPr>
          <w:rFonts w:ascii="Palatino Linotype" w:eastAsia="Times New Roman" w:hAnsi="Palatino Linotype" w:cs="Arial"/>
          <w:i/>
          <w:iCs/>
          <w:color w:val="000000" w:themeColor="text1"/>
          <w:sz w:val="22"/>
        </w:rPr>
        <w:t>o se ha recibido ninguna información</w:t>
      </w:r>
      <w:r w:rsidRPr="00B416E1">
        <w:rPr>
          <w:rFonts w:ascii="Palatino Linotype" w:eastAsia="Times New Roman" w:hAnsi="Palatino Linotype" w:cs="Arial"/>
          <w:i/>
          <w:iCs/>
          <w:color w:val="000000" w:themeColor="text1"/>
          <w:sz w:val="22"/>
          <w:lang w:val="es-ES"/>
        </w:rPr>
        <w:t>”</w:t>
      </w:r>
      <w:r w:rsidRPr="00B416E1">
        <w:rPr>
          <w:rFonts w:ascii="Palatino Linotype" w:eastAsia="Times New Roman" w:hAnsi="Palatino Linotype" w:cs="Arial"/>
          <w:color w:val="000000" w:themeColor="text1"/>
          <w:sz w:val="22"/>
          <w:lang w:val="es-ES"/>
        </w:rPr>
        <w:t xml:space="preserve"> (Sic).</w:t>
      </w:r>
    </w:p>
    <w:p w:rsidR="00677893" w:rsidRPr="00B416E1" w:rsidRDefault="00677893" w:rsidP="00677893">
      <w:pPr>
        <w:pStyle w:val="Prrafodelista"/>
        <w:rPr>
          <w:rFonts w:ascii="Palatino Linotype" w:eastAsia="Times New Roman" w:hAnsi="Palatino Linotype" w:cs="Arial"/>
          <w:color w:val="000000" w:themeColor="text1"/>
          <w:sz w:val="22"/>
          <w:lang w:val="es-ES"/>
        </w:rPr>
      </w:pPr>
    </w:p>
    <w:p w:rsidR="00677893" w:rsidRPr="00B416E1" w:rsidRDefault="00677893" w:rsidP="0054347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lang w:val="es-MX"/>
        </w:rPr>
        <w:t>En fecha veintiséis de septiembre de dos mil veintitrés, con fundamento en lo dispuesto por el artículo 185, fracción II, de la ley de la materia, a través del acuerdo de admisión</w:t>
      </w:r>
      <w:r w:rsidRPr="00B416E1">
        <w:rPr>
          <w:rFonts w:ascii="Palatino Linotype" w:hAnsi="Palatino Linotype"/>
          <w:color w:val="000000" w:themeColor="text1"/>
        </w:rPr>
        <w:t xml:space="preserve"> de misma fecha</w:t>
      </w:r>
      <w:r w:rsidRPr="00B416E1">
        <w:rPr>
          <w:rFonts w:ascii="Palatino Linotype" w:hAnsi="Palatino Linotype"/>
          <w:color w:val="000000" w:themeColor="text1"/>
          <w:lang w:val="es-MX"/>
        </w:rPr>
        <w:t>, puso a disposición de las partes el expediente electrónico vía SAIMEX, a efecto de que en un plazo máximo de siete días manifestaran lo que a derecho convinieran, ofrecieran pruebas y alegatos según corresponda a los casos concretos, de esta forma para que el SUJETO OBLIGADO presentara su informe justificado procedente.</w:t>
      </w:r>
    </w:p>
    <w:p w:rsidR="00677893" w:rsidRPr="00B416E1" w:rsidRDefault="00677893" w:rsidP="00677893">
      <w:pPr>
        <w:pStyle w:val="Prrafodelista"/>
        <w:tabs>
          <w:tab w:val="left" w:pos="426"/>
        </w:tabs>
        <w:spacing w:line="360" w:lineRule="auto"/>
        <w:ind w:left="0"/>
        <w:jc w:val="both"/>
        <w:rPr>
          <w:rFonts w:ascii="Palatino Linotype" w:hAnsi="Palatino Linotype"/>
          <w:color w:val="000000" w:themeColor="text1"/>
        </w:rPr>
      </w:pPr>
    </w:p>
    <w:p w:rsidR="00677893" w:rsidRPr="00B416E1" w:rsidRDefault="00677893" w:rsidP="00543478">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rPr>
        <w:lastRenderedPageBreak/>
        <w:t>De las constancias que obran en el expediente digital del recurso de revisión que hoy se resuelve, se aprecia que el SUJETO OBLIGADO no rindió su informe justificado para manifestar lo que a su derecho conviniera; por su parte, el RECURRENTE no presentó alegatos ni ofreció medios de prueba. Se adjunta la captura del apartado de Manifestaciones del SAIMEX a modo de referencia:</w:t>
      </w:r>
    </w:p>
    <w:p w:rsidR="00677893" w:rsidRPr="00B416E1" w:rsidRDefault="00677893" w:rsidP="00677893">
      <w:pPr>
        <w:pStyle w:val="Prrafodelista"/>
        <w:tabs>
          <w:tab w:val="left" w:pos="426"/>
        </w:tabs>
        <w:spacing w:line="360" w:lineRule="auto"/>
        <w:ind w:left="0"/>
        <w:jc w:val="both"/>
        <w:rPr>
          <w:rFonts w:ascii="Palatino Linotype" w:hAnsi="Palatino Linotype"/>
          <w:color w:val="000000" w:themeColor="text1"/>
        </w:rPr>
      </w:pPr>
    </w:p>
    <w:p w:rsidR="00677893" w:rsidRPr="00B416E1" w:rsidRDefault="00677893" w:rsidP="00677893">
      <w:pPr>
        <w:tabs>
          <w:tab w:val="left" w:pos="426"/>
        </w:tabs>
        <w:spacing w:line="360" w:lineRule="auto"/>
        <w:jc w:val="both"/>
        <w:rPr>
          <w:rFonts w:ascii="Palatino Linotype" w:hAnsi="Palatino Linotype"/>
          <w:color w:val="000000" w:themeColor="text1"/>
        </w:rPr>
      </w:pPr>
      <w:r w:rsidRPr="00B416E1">
        <w:rPr>
          <w:rFonts w:ascii="Palatino Linotype" w:hAnsi="Palatino Linotype"/>
          <w:noProof/>
          <w:color w:val="000000" w:themeColor="text1"/>
          <w:lang w:val="es-MX" w:eastAsia="es-MX"/>
        </w:rPr>
        <w:drawing>
          <wp:inline distT="0" distB="0" distL="0" distR="0" wp14:anchorId="40CAD375" wp14:editId="401F00E0">
            <wp:extent cx="5610225" cy="1609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609725"/>
                    </a:xfrm>
                    <a:prstGeom prst="rect">
                      <a:avLst/>
                    </a:prstGeom>
                    <a:noFill/>
                    <a:ln>
                      <a:noFill/>
                    </a:ln>
                  </pic:spPr>
                </pic:pic>
              </a:graphicData>
            </a:graphic>
          </wp:inline>
        </w:drawing>
      </w:r>
    </w:p>
    <w:p w:rsidR="00677893" w:rsidRPr="00B416E1" w:rsidRDefault="00677893" w:rsidP="00677893">
      <w:pPr>
        <w:tabs>
          <w:tab w:val="left" w:pos="426"/>
        </w:tabs>
        <w:spacing w:line="360" w:lineRule="auto"/>
        <w:jc w:val="both"/>
        <w:rPr>
          <w:rFonts w:ascii="Palatino Linotype" w:hAnsi="Palatino Linotype"/>
          <w:color w:val="000000" w:themeColor="text1"/>
        </w:rPr>
      </w:pPr>
    </w:p>
    <w:p w:rsidR="00677893" w:rsidRPr="00B416E1" w:rsidRDefault="00677893" w:rsidP="004C76C2">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416E1">
        <w:rPr>
          <w:rFonts w:ascii="Palatino Linotype" w:hAnsi="Palatino Linotype"/>
          <w:color w:val="000000" w:themeColor="text1"/>
        </w:rPr>
        <w:t>Una vez transcurrido el plazo decretado con anterioridad, en fecha dieciocho (18) de octubre de dos mil veintitrés se decretó el cierre de instrucción y al no existir diligencias por realizar y se turnó el expediente a resolución correspondiente,</w:t>
      </w:r>
      <w:r w:rsidRPr="00B416E1">
        <w:t xml:space="preserve"> </w:t>
      </w:r>
      <w:r w:rsidRPr="00B416E1">
        <w:rPr>
          <w:rFonts w:ascii="Palatino Linotype" w:hAnsi="Palatino Linotype"/>
          <w:color w:val="000000" w:themeColor="text1"/>
        </w:rPr>
        <w:t xml:space="preserve">por lo que no habiendo más que hacer constar, y </w:t>
      </w:r>
      <w:r w:rsidRPr="00B416E1">
        <w:rPr>
          <w:rFonts w:ascii="Palatino Linotype" w:hAnsi="Palatino Linotype" w:cs="Arial"/>
          <w:color w:val="000000" w:themeColor="text1"/>
        </w:rPr>
        <w:t>-------------------------------------------------------------------------------------------------------------------------------------------------------------------</w:t>
      </w:r>
    </w:p>
    <w:p w:rsidR="007601B1" w:rsidRPr="00B416E1" w:rsidRDefault="007601B1" w:rsidP="00692B55">
      <w:pPr>
        <w:rPr>
          <w:rFonts w:ascii="Palatino Linotype" w:hAnsi="Palatino Linotype"/>
          <w:b/>
          <w:color w:val="000000" w:themeColor="text1"/>
        </w:rPr>
      </w:pPr>
    </w:p>
    <w:p w:rsidR="009F09BC" w:rsidRPr="00B416E1" w:rsidRDefault="009F09BC" w:rsidP="00A56791">
      <w:pPr>
        <w:pStyle w:val="Ttulo1"/>
        <w:spacing w:before="0" w:line="360" w:lineRule="auto"/>
        <w:jc w:val="center"/>
        <w:rPr>
          <w:rFonts w:ascii="Palatino Linotype" w:hAnsi="Palatino Linotype"/>
          <w:b/>
          <w:color w:val="000000" w:themeColor="text1"/>
          <w:sz w:val="24"/>
          <w:szCs w:val="24"/>
        </w:rPr>
      </w:pPr>
      <w:bookmarkStart w:id="5" w:name="_Toc491791302"/>
      <w:bookmarkStart w:id="6" w:name="_Toc83128578"/>
      <w:r w:rsidRPr="00B416E1">
        <w:rPr>
          <w:rFonts w:ascii="Palatino Linotype" w:hAnsi="Palatino Linotype"/>
          <w:b/>
          <w:color w:val="000000" w:themeColor="text1"/>
          <w:sz w:val="24"/>
          <w:szCs w:val="24"/>
        </w:rPr>
        <w:t>CONSIDERANDO</w:t>
      </w:r>
      <w:bookmarkEnd w:id="5"/>
      <w:bookmarkEnd w:id="6"/>
    </w:p>
    <w:p w:rsidR="009F09BC" w:rsidRPr="00B416E1" w:rsidRDefault="009F09BC" w:rsidP="009F09BC">
      <w:pPr>
        <w:rPr>
          <w:rFonts w:ascii="Palatino Linotype" w:hAnsi="Palatino Linotype"/>
          <w:color w:val="000000" w:themeColor="text1"/>
          <w:lang w:val="es-MX" w:eastAsia="en-US"/>
        </w:rPr>
      </w:pPr>
    </w:p>
    <w:p w:rsidR="009F09BC" w:rsidRPr="00B416E1" w:rsidRDefault="009F09BC" w:rsidP="009F09BC">
      <w:pPr>
        <w:pStyle w:val="Ttulo2"/>
        <w:rPr>
          <w:rFonts w:ascii="Palatino Linotype" w:hAnsi="Palatino Linotype"/>
          <w:b/>
          <w:color w:val="000000" w:themeColor="text1"/>
          <w:sz w:val="24"/>
          <w:szCs w:val="24"/>
        </w:rPr>
      </w:pPr>
      <w:bookmarkStart w:id="7" w:name="_Toc491791303"/>
      <w:bookmarkStart w:id="8" w:name="_Toc83128579"/>
      <w:r w:rsidRPr="00B416E1">
        <w:rPr>
          <w:rFonts w:ascii="Palatino Linotype" w:hAnsi="Palatino Linotype"/>
          <w:b/>
          <w:color w:val="000000" w:themeColor="text1"/>
          <w:sz w:val="24"/>
          <w:szCs w:val="24"/>
        </w:rPr>
        <w:t>PRIMERO. De la competencia</w:t>
      </w:r>
      <w:bookmarkEnd w:id="7"/>
      <w:bookmarkEnd w:id="8"/>
    </w:p>
    <w:p w:rsidR="009F09BC" w:rsidRPr="00B416E1" w:rsidRDefault="009F09BC" w:rsidP="00456AEE">
      <w:pPr>
        <w:spacing w:line="360" w:lineRule="auto"/>
        <w:rPr>
          <w:rFonts w:ascii="Palatino Linotype" w:hAnsi="Palatino Linotype"/>
          <w:color w:val="000000" w:themeColor="text1"/>
          <w:lang w:val="es-MX" w:eastAsia="en-US"/>
        </w:rPr>
      </w:pPr>
    </w:p>
    <w:p w:rsidR="00353F1D" w:rsidRPr="00B416E1" w:rsidRDefault="003F61A3" w:rsidP="00692B5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bookmarkStart w:id="9" w:name="_Hlk63334754"/>
      <w:r w:rsidRPr="00B416E1">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B416E1">
        <w:rPr>
          <w:rFonts w:ascii="Palatino Linotype" w:eastAsia="Times New Roman" w:hAnsi="Palatino Linotype" w:cs="Tahoma"/>
          <w:bCs/>
        </w:rPr>
        <w:t>la</w:t>
      </w:r>
      <w:r w:rsidRPr="00B416E1">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30AC9" w:rsidRPr="00B416E1">
        <w:rPr>
          <w:rFonts w:ascii="Palatino Linotype" w:eastAsia="Times New Roman" w:hAnsi="Palatino Linotype" w:cs="Tahoma"/>
          <w:bCs/>
        </w:rPr>
        <w:t>.</w:t>
      </w:r>
      <w:bookmarkEnd w:id="9"/>
    </w:p>
    <w:p w:rsidR="009F09BC" w:rsidRPr="00B416E1"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B416E1" w:rsidRDefault="009F09BC" w:rsidP="00456AEE">
      <w:pPr>
        <w:pStyle w:val="Ttulo2"/>
        <w:spacing w:before="0" w:line="360" w:lineRule="auto"/>
        <w:rPr>
          <w:rFonts w:ascii="Palatino Linotype" w:hAnsi="Palatino Linotype"/>
          <w:b/>
          <w:color w:val="000000" w:themeColor="text1"/>
          <w:sz w:val="24"/>
          <w:szCs w:val="24"/>
        </w:rPr>
      </w:pPr>
      <w:bookmarkStart w:id="10" w:name="_Toc491791304"/>
      <w:bookmarkStart w:id="11" w:name="_Toc83128580"/>
      <w:r w:rsidRPr="00B416E1">
        <w:rPr>
          <w:rFonts w:ascii="Palatino Linotype" w:hAnsi="Palatino Linotype"/>
          <w:b/>
          <w:color w:val="000000" w:themeColor="text1"/>
          <w:sz w:val="24"/>
          <w:szCs w:val="24"/>
        </w:rPr>
        <w:t>SEGUNDO. De la oportunidad y procedencia.</w:t>
      </w:r>
      <w:bookmarkEnd w:id="10"/>
      <w:bookmarkEnd w:id="11"/>
    </w:p>
    <w:p w:rsidR="008B6C7C" w:rsidRPr="00B416E1" w:rsidRDefault="008B6C7C" w:rsidP="00692B55">
      <w:pPr>
        <w:pStyle w:val="Prrafodelista"/>
        <w:numPr>
          <w:ilvl w:val="0"/>
          <w:numId w:val="1"/>
        </w:numPr>
        <w:tabs>
          <w:tab w:val="left" w:pos="426"/>
        </w:tabs>
        <w:spacing w:line="360" w:lineRule="auto"/>
        <w:ind w:left="0" w:firstLine="0"/>
        <w:jc w:val="both"/>
        <w:rPr>
          <w:rFonts w:ascii="Palatino Linotype" w:eastAsia="Times New Roman" w:hAnsi="Palatino Linotype" w:cs="Tahoma"/>
          <w:bCs/>
        </w:rPr>
      </w:pPr>
      <w:r w:rsidRPr="00B416E1">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B416E1">
        <w:rPr>
          <w:rFonts w:ascii="Palatino Linotype" w:hAnsi="Palatino Linotype"/>
        </w:rPr>
        <w:t>previamente</w:t>
      </w:r>
      <w:r w:rsidRPr="00B416E1">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B6C7C" w:rsidRPr="00B416E1" w:rsidRDefault="008B6C7C" w:rsidP="008B6C7C">
      <w:pPr>
        <w:spacing w:line="360" w:lineRule="auto"/>
        <w:jc w:val="both"/>
        <w:rPr>
          <w:rFonts w:ascii="Palatino Linotype" w:eastAsia="Times New Roman" w:hAnsi="Palatino Linotype" w:cs="Tahoma"/>
          <w:bCs/>
        </w:rPr>
      </w:pPr>
    </w:p>
    <w:p w:rsidR="008B6C7C" w:rsidRPr="00B416E1" w:rsidRDefault="008B6C7C" w:rsidP="00692B55">
      <w:pPr>
        <w:pStyle w:val="Prrafodelista"/>
        <w:numPr>
          <w:ilvl w:val="0"/>
          <w:numId w:val="1"/>
        </w:numPr>
        <w:tabs>
          <w:tab w:val="left" w:pos="426"/>
        </w:tabs>
        <w:spacing w:line="360" w:lineRule="auto"/>
        <w:ind w:left="0" w:firstLine="0"/>
        <w:jc w:val="both"/>
        <w:rPr>
          <w:rFonts w:ascii="Palatino Linotype" w:eastAsia="Times New Roman" w:hAnsi="Palatino Linotype" w:cs="Tahoma"/>
        </w:rPr>
      </w:pPr>
      <w:r w:rsidRPr="00B416E1">
        <w:rPr>
          <w:rFonts w:ascii="Palatino Linotype" w:eastAsia="Times New Roman" w:hAnsi="Palatino Linotype" w:cs="Tahoma"/>
        </w:rPr>
        <w:lastRenderedPageBreak/>
        <w:t xml:space="preserve">En el </w:t>
      </w:r>
      <w:r w:rsidRPr="00B416E1">
        <w:rPr>
          <w:rFonts w:ascii="Palatino Linotype" w:eastAsia="Times New Roman" w:hAnsi="Palatino Linotype" w:cs="Tahoma"/>
          <w:bCs/>
        </w:rPr>
        <w:t>presente</w:t>
      </w:r>
      <w:r w:rsidRPr="00B416E1">
        <w:rPr>
          <w:rFonts w:ascii="Palatino Linotype" w:eastAsia="Times New Roman" w:hAnsi="Palatino Linotype" w:cs="Tahoma"/>
        </w:rPr>
        <w:t xml:space="preserve"> caso, </w:t>
      </w:r>
      <w:r w:rsidRPr="00B416E1">
        <w:rPr>
          <w:rFonts w:ascii="Palatino Linotype" w:eastAsia="Times New Roman" w:hAnsi="Palatino Linotype" w:cs="Tahoma"/>
          <w:bCs/>
        </w:rPr>
        <w:t>no se actualiza ninguna de las causales de improcedencia</w:t>
      </w:r>
      <w:r w:rsidRPr="00B416E1">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8B6C7C" w:rsidRPr="00B416E1" w:rsidRDefault="008B6C7C" w:rsidP="008B6C7C">
      <w:pPr>
        <w:spacing w:line="360" w:lineRule="auto"/>
        <w:jc w:val="both"/>
        <w:rPr>
          <w:rFonts w:ascii="Palatino Linotype" w:eastAsia="Times New Roman" w:hAnsi="Palatino Linotype" w:cs="Tahoma"/>
        </w:rPr>
      </w:pPr>
    </w:p>
    <w:p w:rsidR="008B6C7C" w:rsidRPr="00B416E1" w:rsidRDefault="008B6C7C" w:rsidP="00692B55">
      <w:pPr>
        <w:pStyle w:val="Prrafodelista"/>
        <w:numPr>
          <w:ilvl w:val="0"/>
          <w:numId w:val="1"/>
        </w:numPr>
        <w:tabs>
          <w:tab w:val="left" w:pos="426"/>
        </w:tabs>
        <w:spacing w:line="360" w:lineRule="auto"/>
        <w:ind w:left="0" w:firstLine="0"/>
        <w:jc w:val="both"/>
        <w:rPr>
          <w:rFonts w:ascii="Palatino Linotype" w:eastAsia="Times New Roman" w:hAnsi="Palatino Linotype" w:cs="Tahoma"/>
          <w:lang w:val="es-ES"/>
        </w:rPr>
      </w:pPr>
      <w:r w:rsidRPr="00B416E1">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rsidR="009F09BC" w:rsidRPr="00B416E1" w:rsidRDefault="009F09BC" w:rsidP="00EF280A">
      <w:pPr>
        <w:pStyle w:val="Prrafodelista"/>
        <w:spacing w:line="360" w:lineRule="auto"/>
        <w:ind w:left="0"/>
        <w:jc w:val="both"/>
        <w:rPr>
          <w:rFonts w:ascii="Palatino Linotype" w:hAnsi="Palatino Linotype"/>
          <w:color w:val="000000" w:themeColor="text1"/>
        </w:rPr>
      </w:pPr>
    </w:p>
    <w:p w:rsidR="009F09BC" w:rsidRPr="00B416E1" w:rsidRDefault="009F09BC" w:rsidP="00CF0D2B">
      <w:pPr>
        <w:pStyle w:val="Ttulo1"/>
        <w:spacing w:before="0" w:line="360" w:lineRule="auto"/>
        <w:rPr>
          <w:rFonts w:ascii="Palatino Linotype" w:hAnsi="Palatino Linotype"/>
          <w:b/>
          <w:color w:val="000000" w:themeColor="text1"/>
          <w:sz w:val="24"/>
          <w:szCs w:val="24"/>
        </w:rPr>
      </w:pPr>
      <w:bookmarkStart w:id="12" w:name="_Toc34246179"/>
      <w:bookmarkStart w:id="13" w:name="_Toc50033991"/>
      <w:bookmarkStart w:id="14" w:name="_Toc51259588"/>
      <w:bookmarkStart w:id="15" w:name="_Toc83128581"/>
      <w:r w:rsidRPr="00B416E1">
        <w:rPr>
          <w:rFonts w:ascii="Palatino Linotype" w:hAnsi="Palatino Linotype"/>
          <w:b/>
          <w:color w:val="000000" w:themeColor="text1"/>
          <w:sz w:val="24"/>
          <w:szCs w:val="24"/>
        </w:rPr>
        <w:t xml:space="preserve">TERCERO. </w:t>
      </w:r>
      <w:bookmarkStart w:id="16" w:name="_Toc501021589"/>
      <w:r w:rsidRPr="00B416E1">
        <w:rPr>
          <w:rFonts w:ascii="Palatino Linotype" w:hAnsi="Palatino Linotype"/>
          <w:b/>
          <w:color w:val="000000" w:themeColor="text1"/>
          <w:sz w:val="24"/>
          <w:szCs w:val="24"/>
        </w:rPr>
        <w:t>De</w:t>
      </w:r>
      <w:r w:rsidR="00EA660A" w:rsidRPr="00B416E1">
        <w:rPr>
          <w:rFonts w:ascii="Palatino Linotype" w:hAnsi="Palatino Linotype"/>
          <w:b/>
          <w:color w:val="000000" w:themeColor="text1"/>
          <w:sz w:val="24"/>
          <w:szCs w:val="24"/>
        </w:rPr>
        <w:t xml:space="preserve"> las causales de sobreseimiento</w:t>
      </w:r>
      <w:r w:rsidRPr="00B416E1">
        <w:rPr>
          <w:rFonts w:ascii="Palatino Linotype" w:hAnsi="Palatino Linotype"/>
          <w:b/>
          <w:color w:val="000000" w:themeColor="text1"/>
          <w:sz w:val="24"/>
          <w:szCs w:val="24"/>
        </w:rPr>
        <w:t>.</w:t>
      </w:r>
      <w:bookmarkEnd w:id="12"/>
      <w:bookmarkEnd w:id="13"/>
      <w:bookmarkEnd w:id="14"/>
      <w:bookmarkEnd w:id="15"/>
      <w:bookmarkEnd w:id="16"/>
    </w:p>
    <w:p w:rsidR="005414D5" w:rsidRPr="00B416E1" w:rsidRDefault="005414D5" w:rsidP="00692B55">
      <w:pPr>
        <w:pStyle w:val="Prrafodelista"/>
        <w:numPr>
          <w:ilvl w:val="0"/>
          <w:numId w:val="1"/>
        </w:numPr>
        <w:tabs>
          <w:tab w:val="left" w:pos="426"/>
        </w:tabs>
        <w:spacing w:line="360" w:lineRule="auto"/>
        <w:ind w:left="0" w:firstLine="0"/>
        <w:jc w:val="both"/>
        <w:rPr>
          <w:rFonts w:ascii="Palatino Linotype" w:eastAsia="Times New Roman" w:hAnsi="Palatino Linotype" w:cs="Arial"/>
          <w:bCs/>
        </w:rPr>
      </w:pPr>
      <w:r w:rsidRPr="00B416E1">
        <w:rPr>
          <w:rFonts w:ascii="Palatino Linotype" w:eastAsia="Times New Roman" w:hAnsi="Palatino Linotype" w:cs="Tahoma"/>
        </w:rPr>
        <w:t xml:space="preserve">El artículo 192 de la </w:t>
      </w:r>
      <w:r w:rsidRPr="00B416E1">
        <w:rPr>
          <w:rFonts w:ascii="Palatino Linotype" w:eastAsia="Calibri" w:hAnsi="Palatino Linotype" w:cs="Tahoma"/>
          <w:bCs/>
          <w:color w:val="000000"/>
          <w:lang w:eastAsia="es-ES_tradnl"/>
        </w:rPr>
        <w:t xml:space="preserve">Ley Transparencia y Acceso a la Información Pública del Estado de México y </w:t>
      </w:r>
      <w:r w:rsidRPr="00B416E1">
        <w:rPr>
          <w:rFonts w:ascii="Palatino Linotype" w:eastAsia="Calibri" w:hAnsi="Palatino Linotype" w:cs="Arial"/>
        </w:rPr>
        <w:t>Municipios</w:t>
      </w:r>
      <w:r w:rsidRPr="00B416E1">
        <w:rPr>
          <w:rFonts w:ascii="Palatino Linotype" w:eastAsia="Calibri" w:hAnsi="Palatino Linotype" w:cs="Tahoma"/>
          <w:bCs/>
          <w:color w:val="000000"/>
          <w:lang w:eastAsia="es-ES_tradnl"/>
        </w:rPr>
        <w:t xml:space="preserve">, señala las causales por las cuales se puede sobreseer en todo o </w:t>
      </w:r>
      <w:r w:rsidRPr="00B416E1">
        <w:rPr>
          <w:rFonts w:ascii="Palatino Linotype" w:eastAsia="Calibri" w:hAnsi="Palatino Linotype" w:cs="Arial"/>
        </w:rPr>
        <w:t>en</w:t>
      </w:r>
      <w:r w:rsidRPr="00B416E1">
        <w:rPr>
          <w:rFonts w:ascii="Palatino Linotype" w:eastAsia="Calibri" w:hAnsi="Palatino Linotype" w:cs="Tahoma"/>
          <w:bCs/>
          <w:color w:val="000000"/>
          <w:lang w:eastAsia="es-ES_tradnl"/>
        </w:rPr>
        <w:t xml:space="preserve"> parte el Recurso de Revisión;</w:t>
      </w:r>
      <w:r w:rsidRPr="00B416E1">
        <w:rPr>
          <w:rFonts w:ascii="Palatino Linotype" w:eastAsia="Calibri" w:hAnsi="Palatino Linotype" w:cs="Tahoma"/>
          <w:lang w:eastAsia="es-ES_tradnl"/>
        </w:rPr>
        <w:t xml:space="preserve"> por lo que hace a la hipótesis prevista en </w:t>
      </w:r>
      <w:r w:rsidRPr="00B416E1">
        <w:rPr>
          <w:rFonts w:ascii="Palatino Linotype" w:eastAsia="Calibri" w:hAnsi="Palatino Linotype" w:cs="Tahoma"/>
          <w:bCs/>
          <w:lang w:eastAsia="es-ES_tradnl"/>
        </w:rPr>
        <w:t>la fracción IV,</w:t>
      </w:r>
      <w:r w:rsidRPr="00B416E1">
        <w:rPr>
          <w:rFonts w:ascii="Palatino Linotype" w:eastAsia="Calibri" w:hAnsi="Palatino Linotype" w:cs="Tahoma"/>
          <w:lang w:eastAsia="es-ES_tradnl"/>
        </w:rPr>
        <w:t xml:space="preserve"> señala</w:t>
      </w:r>
      <w:r w:rsidR="00BB5758" w:rsidRPr="00B416E1">
        <w:rPr>
          <w:rFonts w:ascii="Palatino Linotype" w:eastAsia="Calibri" w:hAnsi="Palatino Linotype" w:cs="Tahoma"/>
          <w:lang w:eastAsia="es-ES_tradnl"/>
        </w:rPr>
        <w:t xml:space="preserve"> que</w:t>
      </w:r>
      <w:r w:rsidRPr="00B416E1">
        <w:rPr>
          <w:rFonts w:ascii="Palatino Linotype" w:eastAsia="Calibri" w:hAnsi="Palatino Linotype" w:cs="Tahoma"/>
          <w:lang w:eastAsia="es-ES_tradnl"/>
        </w:rPr>
        <w:t xml:space="preserve"> una vez admitido el Recurso de Revisión, aparezca alguna causal de improcedencia en términos de la presente Ley, </w:t>
      </w:r>
      <w:r w:rsidRPr="00B416E1">
        <w:rPr>
          <w:rFonts w:ascii="Palatino Linotype" w:eastAsia="Calibri" w:hAnsi="Palatino Linotype" w:cs="Tahoma"/>
          <w:bCs/>
          <w:lang w:eastAsia="es-ES_tradnl"/>
        </w:rPr>
        <w:t>resulta necesario traer a colación</w:t>
      </w:r>
      <w:r w:rsidRPr="00B416E1">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B416E1">
        <w:rPr>
          <w:rFonts w:ascii="Palatino Linotype" w:eastAsia="Times New Roman" w:hAnsi="Palatino Linotype" w:cs="Arial"/>
          <w:bCs/>
        </w:rPr>
        <w:t>En ese orden de ideas, dicho artículo prevé lo siguiente:</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
          <w:bCs/>
          <w:i/>
          <w:sz w:val="22"/>
        </w:rPr>
        <w:lastRenderedPageBreak/>
        <w:t xml:space="preserve">“Artículo 179. </w:t>
      </w:r>
      <w:r w:rsidRPr="00473138">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411B64" w:rsidRPr="00473138" w:rsidRDefault="00411B64" w:rsidP="005414D5">
      <w:pPr>
        <w:spacing w:line="360" w:lineRule="auto"/>
        <w:ind w:left="567" w:right="567"/>
        <w:jc w:val="both"/>
        <w:rPr>
          <w:rFonts w:ascii="Palatino Linotype" w:hAnsi="Palatino Linotype" w:cs="Arial"/>
          <w:bCs/>
          <w:i/>
          <w:sz w:val="22"/>
        </w:rPr>
      </w:pP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I. La negativa a la información solicitada;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II. La clasificación de la información;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III. La declaración de inexistencia de la información;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IV. La declaración de incompetencia por el sujeto obligado;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V. La entrega de información incompleta;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VI. La entrega de información que no corresponda con lo solicitado;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VII. La falta de respuesta a una solicitud de acceso a la información;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VIII. La notificación, entrega o puesta a disposición de información en una modalidad o formato distinto al solicitado;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IX. La entrega o puesta a disposición de información en un formato incomprensible y/o no accesible para el solicitante;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X. Los costos o tiempos de entrega de la información;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XI. La falta de trámite a una solicitud;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XII. La negativa a permitir la consulta directa de la información;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 xml:space="preserve">XIII. La falta, deficiencia o insuficiencia de la fundamentación y/o motivación en la respuesta; y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XIV. La orientación a un trámite específico.</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w:t>
      </w:r>
    </w:p>
    <w:p w:rsidR="00BB5758" w:rsidRPr="00B416E1" w:rsidRDefault="00BB5758" w:rsidP="00BB5758">
      <w:pPr>
        <w:spacing w:line="360" w:lineRule="auto"/>
        <w:ind w:right="49"/>
        <w:contextualSpacing/>
        <w:jc w:val="both"/>
        <w:rPr>
          <w:rFonts w:ascii="Palatino Linotype" w:hAnsi="Palatino Linotype" w:cs="Tahoma"/>
          <w:lang w:val="es-ES"/>
        </w:rPr>
      </w:pPr>
    </w:p>
    <w:p w:rsidR="005414D5" w:rsidRPr="00B416E1"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416E1">
        <w:rPr>
          <w:rFonts w:ascii="Palatino Linotype" w:hAnsi="Palatino Linotype" w:cs="Tahoma"/>
          <w:lang w:val="es-ES"/>
        </w:rPr>
        <w:t xml:space="preserve">Ahora bien, el artículo 176 de la Ley de Transparencia y Acceso a la Información Pública del Estado de México y Municipios, establece que el Recurso de Revisión, es </w:t>
      </w:r>
      <w:r w:rsidRPr="00B416E1">
        <w:rPr>
          <w:rFonts w:ascii="Palatino Linotype" w:hAnsi="Palatino Linotype" w:cs="Tahoma"/>
          <w:lang w:val="es-ES"/>
        </w:rPr>
        <w:lastRenderedPageBreak/>
        <w:t xml:space="preserve">la garantía secundaria mediante la cual se pretende reparar cualquier afectación al </w:t>
      </w:r>
      <w:r w:rsidRPr="00B416E1">
        <w:rPr>
          <w:rFonts w:ascii="Palatino Linotype" w:eastAsia="Times New Roman" w:hAnsi="Palatino Linotype" w:cs="Tahoma"/>
        </w:rPr>
        <w:t>derecho</w:t>
      </w:r>
      <w:r w:rsidRPr="00B416E1">
        <w:rPr>
          <w:rFonts w:ascii="Palatino Linotype" w:hAnsi="Palatino Linotype" w:cs="Tahoma"/>
          <w:lang w:val="es-ES"/>
        </w:rPr>
        <w:t xml:space="preserve"> de acceso a la información pública.</w:t>
      </w:r>
    </w:p>
    <w:p w:rsidR="00BB5758" w:rsidRPr="00B416E1" w:rsidRDefault="00BB5758" w:rsidP="005414D5">
      <w:pPr>
        <w:tabs>
          <w:tab w:val="left" w:pos="4962"/>
        </w:tabs>
        <w:spacing w:line="360" w:lineRule="auto"/>
        <w:jc w:val="both"/>
        <w:rPr>
          <w:rFonts w:ascii="Palatino Linotype" w:hAnsi="Palatino Linotype" w:cs="Tahoma"/>
          <w:lang w:val="es-ES"/>
        </w:rPr>
      </w:pPr>
    </w:p>
    <w:p w:rsidR="005414D5" w:rsidRPr="00B416E1"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416E1">
        <w:rPr>
          <w:rFonts w:ascii="Palatino Linotype" w:hAnsi="Palatino Linotype" w:cs="Tahoma"/>
          <w:lang w:val="es-ES"/>
        </w:rPr>
        <w:t>Además, conforme al Diccionario de Transparencia y Acceso a la Información Pública y la página oficial de este Instituto (</w:t>
      </w:r>
      <w:hyperlink r:id="rId10" w:anchor="queEsRRdeIP" w:history="1">
        <w:r w:rsidRPr="00B416E1">
          <w:rPr>
            <w:rFonts w:ascii="Palatino Linotype" w:hAnsi="Palatino Linotype" w:cs="Tahoma"/>
            <w:lang w:val="es-ES"/>
          </w:rPr>
          <w:t>https://www.infoem.org.mx/es/content/informacion-publica#queEsRRdeIP</w:t>
        </w:r>
      </w:hyperlink>
      <w:r w:rsidRPr="00B416E1">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C14BA" w:rsidRPr="00B416E1" w:rsidRDefault="00CC14BA" w:rsidP="00CC14BA">
      <w:pPr>
        <w:spacing w:line="360" w:lineRule="auto"/>
        <w:ind w:right="49"/>
        <w:contextualSpacing/>
        <w:jc w:val="both"/>
        <w:rPr>
          <w:rFonts w:ascii="Palatino Linotype" w:hAnsi="Palatino Linotype" w:cs="Tahoma"/>
          <w:lang w:val="es-ES"/>
        </w:rPr>
      </w:pPr>
    </w:p>
    <w:p w:rsidR="005414D5" w:rsidRPr="00B416E1" w:rsidRDefault="005414D5" w:rsidP="00692B55">
      <w:pPr>
        <w:pStyle w:val="Prrafodelista"/>
        <w:numPr>
          <w:ilvl w:val="0"/>
          <w:numId w:val="1"/>
        </w:numPr>
        <w:tabs>
          <w:tab w:val="left" w:pos="426"/>
        </w:tabs>
        <w:spacing w:line="360" w:lineRule="auto"/>
        <w:ind w:left="0" w:firstLine="0"/>
        <w:jc w:val="both"/>
        <w:rPr>
          <w:rFonts w:ascii="Palatino Linotype" w:hAnsi="Palatino Linotype" w:cs="Tahoma"/>
          <w:lang w:val="es-ES"/>
        </w:rPr>
      </w:pPr>
      <w:r w:rsidRPr="00B416E1">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B416E1">
        <w:rPr>
          <w:rFonts w:ascii="Palatino Linotype" w:hAnsi="Palatino Linotype" w:cs="Tahoma"/>
          <w:b/>
          <w:u w:val="single"/>
          <w:lang w:val="es-ES"/>
        </w:rPr>
        <w:t>a una solicitud de información específica.</w:t>
      </w:r>
    </w:p>
    <w:p w:rsidR="00F849F2" w:rsidRPr="00B416E1" w:rsidRDefault="00F849F2" w:rsidP="00F849F2">
      <w:pPr>
        <w:pStyle w:val="Prrafodelista"/>
        <w:rPr>
          <w:rFonts w:ascii="Palatino Linotype" w:hAnsi="Palatino Linotype" w:cs="Tahoma"/>
          <w:lang w:val="es-ES"/>
        </w:rPr>
      </w:pPr>
    </w:p>
    <w:p w:rsidR="00B416E1" w:rsidRDefault="005414D5" w:rsidP="00B416E1">
      <w:pPr>
        <w:pStyle w:val="Prrafodelista"/>
        <w:numPr>
          <w:ilvl w:val="0"/>
          <w:numId w:val="1"/>
        </w:numPr>
        <w:tabs>
          <w:tab w:val="left" w:pos="426"/>
        </w:tabs>
        <w:spacing w:line="360" w:lineRule="auto"/>
        <w:ind w:left="0" w:firstLine="0"/>
        <w:jc w:val="both"/>
        <w:rPr>
          <w:rFonts w:ascii="Palatino Linotype" w:hAnsi="Palatino Linotype" w:cs="Tahoma"/>
          <w:bCs/>
          <w:color w:val="000000"/>
        </w:rPr>
      </w:pPr>
      <w:r w:rsidRPr="00B416E1">
        <w:rPr>
          <w:rFonts w:ascii="Palatino Linotype" w:hAnsi="Palatino Linotype" w:cs="Tahoma"/>
          <w:bCs/>
          <w:iCs/>
          <w:lang w:val="es-ES"/>
        </w:rPr>
        <w:t xml:space="preserve">Con </w:t>
      </w:r>
      <w:r w:rsidRPr="00B416E1">
        <w:rPr>
          <w:rFonts w:ascii="Palatino Linotype" w:hAnsi="Palatino Linotype" w:cs="Tahoma"/>
          <w:lang w:val="es-ES"/>
        </w:rPr>
        <w:t>base</w:t>
      </w:r>
      <w:r w:rsidRPr="00B416E1">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B416E1">
        <w:rPr>
          <w:rFonts w:ascii="Palatino Linotype" w:hAnsi="Palatino Linotype" w:cs="Tahoma"/>
          <w:lang w:val="es-ES"/>
        </w:rPr>
        <w:t>anteceden</w:t>
      </w:r>
      <w:r w:rsidRPr="00B416E1">
        <w:rPr>
          <w:rFonts w:ascii="Palatino Linotype" w:hAnsi="Palatino Linotype" w:cs="Tahoma"/>
          <w:bCs/>
          <w:iCs/>
          <w:lang w:val="es-ES"/>
        </w:rPr>
        <w:t xml:space="preserve">, es necesario precisar que </w:t>
      </w:r>
      <w:r w:rsidR="00BB5758" w:rsidRPr="00B416E1">
        <w:rPr>
          <w:rFonts w:ascii="Palatino Linotype" w:hAnsi="Palatino Linotype" w:cs="Tahoma"/>
          <w:bCs/>
          <w:color w:val="000000"/>
        </w:rPr>
        <w:t xml:space="preserve">en </w:t>
      </w:r>
      <w:r w:rsidRPr="00B416E1">
        <w:rPr>
          <w:rFonts w:ascii="Palatino Linotype" w:hAnsi="Palatino Linotype" w:cs="Tahoma"/>
          <w:bCs/>
          <w:color w:val="000000"/>
        </w:rPr>
        <w:t>l</w:t>
      </w:r>
      <w:r w:rsidR="00BB5758" w:rsidRPr="00B416E1">
        <w:rPr>
          <w:rFonts w:ascii="Palatino Linotype" w:hAnsi="Palatino Linotype" w:cs="Tahoma"/>
          <w:bCs/>
          <w:color w:val="000000"/>
        </w:rPr>
        <w:t>os</w:t>
      </w:r>
      <w:r w:rsidRPr="00B416E1">
        <w:rPr>
          <w:rFonts w:ascii="Palatino Linotype" w:hAnsi="Palatino Linotype" w:cs="Tahoma"/>
          <w:bCs/>
          <w:color w:val="000000"/>
        </w:rPr>
        <w:t xml:space="preserve"> expediente</w:t>
      </w:r>
      <w:r w:rsidR="00BB5758" w:rsidRPr="00B416E1">
        <w:rPr>
          <w:rFonts w:ascii="Palatino Linotype" w:hAnsi="Palatino Linotype" w:cs="Tahoma"/>
          <w:bCs/>
          <w:color w:val="000000"/>
        </w:rPr>
        <w:t>s</w:t>
      </w:r>
      <w:r w:rsidRPr="00B416E1">
        <w:rPr>
          <w:rFonts w:ascii="Palatino Linotype" w:hAnsi="Palatino Linotype" w:cs="Tahoma"/>
          <w:bCs/>
          <w:color w:val="000000"/>
        </w:rPr>
        <w:t xml:space="preserve"> con número de folio </w:t>
      </w:r>
      <w:r w:rsidR="00BB5758" w:rsidRPr="00B416E1">
        <w:rPr>
          <w:rFonts w:ascii="Palatino Linotype" w:eastAsia="Calibri" w:hAnsi="Palatino Linotype" w:cs="Tahoma"/>
        </w:rPr>
        <w:t>referidos en el anterior Párrafo 1</w:t>
      </w:r>
      <w:r w:rsidRPr="00B416E1">
        <w:rPr>
          <w:rFonts w:ascii="Palatino Linotype" w:hAnsi="Palatino Linotype" w:cs="Tahoma"/>
          <w:bCs/>
          <w:color w:val="000000"/>
        </w:rPr>
        <w:t xml:space="preserve">, se dictó </w:t>
      </w:r>
      <w:r w:rsidR="00BB5758" w:rsidRPr="00B416E1">
        <w:rPr>
          <w:rFonts w:ascii="Palatino Linotype" w:hAnsi="Palatino Linotype" w:cs="Tahoma"/>
          <w:bCs/>
          <w:color w:val="000000"/>
        </w:rPr>
        <w:t xml:space="preserve">una </w:t>
      </w:r>
      <w:r w:rsidRPr="00B416E1">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w:t>
      </w:r>
      <w:r w:rsidRPr="00B416E1">
        <w:rPr>
          <w:rFonts w:ascii="Palatino Linotype" w:hAnsi="Palatino Linotype" w:cs="Tahoma"/>
          <w:bCs/>
          <w:color w:val="000000"/>
        </w:rPr>
        <w:lastRenderedPageBreak/>
        <w:t xml:space="preserve">es decir, de la falta de respuesta; además, se concluyó </w:t>
      </w:r>
      <w:r w:rsidRPr="00B416E1">
        <w:rPr>
          <w:rFonts w:ascii="Palatino Linotype" w:hAnsi="Palatino Linotype" w:cs="Tahoma"/>
          <w:b/>
          <w:color w:val="000000"/>
        </w:rPr>
        <w:t xml:space="preserve">ORDENAR </w:t>
      </w:r>
      <w:r w:rsidRPr="00B416E1">
        <w:rPr>
          <w:rFonts w:ascii="Palatino Linotype" w:hAnsi="Palatino Linotype" w:cs="Tahoma"/>
          <w:bCs/>
          <w:color w:val="000000"/>
        </w:rPr>
        <w:t xml:space="preserve">al </w:t>
      </w:r>
      <w:r w:rsidR="00DE60AD" w:rsidRPr="00B416E1">
        <w:rPr>
          <w:rFonts w:ascii="Palatino Linotype" w:hAnsi="Palatino Linotype" w:cs="Tahoma"/>
          <w:b/>
          <w:bCs/>
          <w:color w:val="000000"/>
          <w:lang w:val="es-MX"/>
        </w:rPr>
        <w:t>Organismo Público Descentralizado para la Prestación de los Servicios de Agua Potable, Alcantarillado y Saneamiento del Municipio de La Paz</w:t>
      </w:r>
      <w:r w:rsidRPr="00B416E1">
        <w:rPr>
          <w:rFonts w:ascii="Palatino Linotype" w:hAnsi="Palatino Linotype" w:cs="Tahoma"/>
          <w:bCs/>
          <w:color w:val="000000"/>
        </w:rPr>
        <w:t>, a través del Sistema de Acceso a la Información Mexiquense (SAIMEX), dar trámite y respuesta a la solicitud de información.</w:t>
      </w:r>
    </w:p>
    <w:p w:rsidR="00B416E1" w:rsidRPr="00B416E1" w:rsidRDefault="00B416E1" w:rsidP="00B416E1">
      <w:pPr>
        <w:pStyle w:val="Prrafodelista"/>
        <w:rPr>
          <w:rFonts w:ascii="Palatino Linotype" w:hAnsi="Palatino Linotype" w:cs="Tahoma"/>
          <w:bCs/>
          <w:color w:val="000000"/>
        </w:rPr>
      </w:pPr>
    </w:p>
    <w:p w:rsidR="005414D5" w:rsidRPr="00B416E1" w:rsidRDefault="005414D5" w:rsidP="00B416E1">
      <w:pPr>
        <w:pStyle w:val="Prrafodelista"/>
        <w:numPr>
          <w:ilvl w:val="0"/>
          <w:numId w:val="1"/>
        </w:numPr>
        <w:tabs>
          <w:tab w:val="left" w:pos="426"/>
        </w:tabs>
        <w:spacing w:line="360" w:lineRule="auto"/>
        <w:ind w:left="0" w:firstLine="0"/>
        <w:jc w:val="both"/>
        <w:rPr>
          <w:rFonts w:ascii="Palatino Linotype" w:hAnsi="Palatino Linotype" w:cs="Tahoma"/>
          <w:bCs/>
          <w:color w:val="000000"/>
        </w:rPr>
      </w:pPr>
      <w:r w:rsidRPr="00B416E1">
        <w:rPr>
          <w:rFonts w:ascii="Palatino Linotype" w:hAnsi="Palatino Linotype" w:cs="Tahoma"/>
          <w:bCs/>
          <w:color w:val="000000"/>
        </w:rPr>
        <w:t xml:space="preserve">Asimismo, se le hizo del conocimiento al Recurrente que tenía derecho a interponer </w:t>
      </w:r>
      <w:r w:rsidRPr="00B416E1">
        <w:rPr>
          <w:rFonts w:ascii="Palatino Linotype" w:hAnsi="Palatino Linotype" w:cs="Tahoma"/>
          <w:bCs/>
          <w:iCs/>
          <w:lang w:val="es-ES"/>
        </w:rPr>
        <w:t>nuevamente</w:t>
      </w:r>
      <w:r w:rsidRPr="00B416E1">
        <w:rPr>
          <w:rFonts w:ascii="Palatino Linotype" w:hAnsi="Palatino Linotype" w:cs="Tahoma"/>
          <w:bCs/>
          <w:color w:val="000000"/>
        </w:rPr>
        <w:t xml:space="preserve"> Recurso de Revisión ante este Instituto, por la respuesta que diera el Sujeto </w:t>
      </w:r>
      <w:r w:rsidRPr="00B416E1">
        <w:rPr>
          <w:rFonts w:ascii="Palatino Linotype" w:hAnsi="Palatino Linotype" w:cs="Tahoma"/>
          <w:bCs/>
          <w:iCs/>
          <w:lang w:val="es-ES"/>
        </w:rPr>
        <w:t>Obligado</w:t>
      </w:r>
      <w:r w:rsidRPr="00B416E1">
        <w:rPr>
          <w:rFonts w:ascii="Palatino Linotype" w:hAnsi="Palatino Linotype" w:cs="Tahoma"/>
          <w:bCs/>
          <w:color w:val="000000"/>
        </w:rPr>
        <w:t xml:space="preserve">, en cumplimiento a la Resolución. Sobre el tema, el último párrafo del artículo </w:t>
      </w:r>
      <w:r w:rsidRPr="00B416E1">
        <w:rPr>
          <w:rFonts w:ascii="Palatino Linotype" w:hAnsi="Palatino Linotype" w:cs="Tahoma"/>
          <w:bCs/>
          <w:iCs/>
          <w:lang w:val="es-ES"/>
        </w:rPr>
        <w:t>179</w:t>
      </w:r>
      <w:r w:rsidRPr="00B416E1">
        <w:rPr>
          <w:rFonts w:ascii="Palatino Linotype" w:hAnsi="Palatino Linotype" w:cs="Tahoma"/>
          <w:bCs/>
          <w:color w:val="000000"/>
        </w:rPr>
        <w:t xml:space="preserve"> de la Ley de Transparencia y Acceso a la Información Pública del Estado de México y Municipios, precisa lo siguiente:</w:t>
      </w:r>
    </w:p>
    <w:p w:rsidR="003E42AE" w:rsidRPr="00473138" w:rsidRDefault="003E42AE" w:rsidP="005414D5">
      <w:pPr>
        <w:spacing w:line="360" w:lineRule="auto"/>
        <w:ind w:left="567" w:right="567"/>
        <w:jc w:val="both"/>
        <w:rPr>
          <w:rFonts w:ascii="Palatino Linotype" w:hAnsi="Palatino Linotype" w:cs="Arial"/>
          <w:b/>
          <w:bCs/>
          <w:i/>
          <w:sz w:val="22"/>
        </w:rPr>
      </w:pP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
          <w:bCs/>
          <w:i/>
          <w:sz w:val="22"/>
        </w:rPr>
        <w:t xml:space="preserve">“Artículo 179. </w:t>
      </w:r>
      <w:r w:rsidRPr="00473138">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w:t>
      </w:r>
    </w:p>
    <w:p w:rsidR="005414D5" w:rsidRPr="00473138" w:rsidRDefault="005414D5" w:rsidP="005414D5">
      <w:pPr>
        <w:spacing w:line="360" w:lineRule="auto"/>
        <w:ind w:left="567" w:right="567"/>
        <w:jc w:val="both"/>
        <w:rPr>
          <w:rFonts w:ascii="Palatino Linotype" w:hAnsi="Palatino Linotype" w:cs="Arial"/>
          <w:bCs/>
          <w:i/>
          <w:sz w:val="22"/>
        </w:rPr>
      </w:pPr>
      <w:r w:rsidRPr="00473138">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473138" w:rsidRDefault="00BB5758" w:rsidP="00BB5758">
      <w:pPr>
        <w:spacing w:line="360" w:lineRule="auto"/>
        <w:ind w:right="49"/>
        <w:contextualSpacing/>
        <w:jc w:val="both"/>
        <w:rPr>
          <w:rFonts w:ascii="Palatino Linotype" w:hAnsi="Palatino Linotype" w:cs="Tahoma"/>
          <w:bCs/>
          <w:iCs/>
          <w:sz w:val="22"/>
          <w:lang w:val="es-ES"/>
        </w:rPr>
      </w:pPr>
    </w:p>
    <w:p w:rsidR="005414D5" w:rsidRPr="00B416E1" w:rsidRDefault="005414D5" w:rsidP="00B416E1">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B416E1">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B416E1">
        <w:rPr>
          <w:rFonts w:ascii="Palatino Linotype" w:hAnsi="Palatino Linotype" w:cs="Tahoma"/>
          <w:bCs/>
          <w:color w:val="000000"/>
        </w:rPr>
        <w:t>cumplimiento</w:t>
      </w:r>
      <w:r w:rsidRPr="00B416E1">
        <w:rPr>
          <w:rFonts w:ascii="Palatino Linotype" w:hAnsi="Palatino Linotype" w:cs="Tahoma"/>
          <w:bCs/>
          <w:iCs/>
          <w:lang w:val="es-ES"/>
        </w:rPr>
        <w:t xml:space="preserve"> a las </w:t>
      </w:r>
      <w:r w:rsidRPr="00B416E1">
        <w:rPr>
          <w:rFonts w:ascii="Palatino Linotype" w:hAnsi="Palatino Linotype" w:cs="Tahoma"/>
          <w:bCs/>
          <w:color w:val="000000"/>
        </w:rPr>
        <w:t>resoluciones</w:t>
      </w:r>
      <w:r w:rsidRPr="00B416E1">
        <w:rPr>
          <w:rFonts w:ascii="Palatino Linotype" w:hAnsi="Palatino Linotype" w:cs="Tahoma"/>
          <w:bCs/>
          <w:iCs/>
          <w:lang w:val="es-ES"/>
        </w:rPr>
        <w:t xml:space="preserve"> de este Instituto, que hayan derivado de un </w:t>
      </w:r>
      <w:r w:rsidRPr="00B416E1">
        <w:rPr>
          <w:rFonts w:ascii="Palatino Linotype" w:hAnsi="Palatino Linotype" w:cs="Tahoma"/>
          <w:bCs/>
          <w:iCs/>
          <w:lang w:val="es-ES"/>
        </w:rPr>
        <w:lastRenderedPageBreak/>
        <w:t>Medio de Impugnación en donde la causal de procedencia fuera alguna de las fracciones referidas en el último párrafo, del artículo multicitado.</w:t>
      </w:r>
    </w:p>
    <w:p w:rsidR="00BB5758" w:rsidRPr="00B416E1" w:rsidRDefault="00BB5758" w:rsidP="00B416E1">
      <w:pPr>
        <w:spacing w:line="360" w:lineRule="auto"/>
        <w:ind w:right="49"/>
        <w:contextualSpacing/>
        <w:jc w:val="both"/>
        <w:rPr>
          <w:rFonts w:ascii="Palatino Linotype" w:hAnsi="Palatino Linotype" w:cs="Tahoma"/>
          <w:bCs/>
          <w:iCs/>
          <w:lang w:val="es-ES"/>
        </w:rPr>
      </w:pPr>
    </w:p>
    <w:p w:rsidR="005414D5" w:rsidRPr="00B416E1" w:rsidRDefault="005414D5" w:rsidP="00B416E1">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B416E1">
        <w:rPr>
          <w:rFonts w:ascii="Palatino Linotype" w:hAnsi="Palatino Linotype" w:cs="Tahoma"/>
          <w:bCs/>
          <w:iCs/>
          <w:lang w:val="es-ES"/>
        </w:rPr>
        <w:t>Ahora bien, d</w:t>
      </w:r>
      <w:r w:rsidR="003E42AE" w:rsidRPr="00B416E1">
        <w:rPr>
          <w:rFonts w:ascii="Palatino Linotype" w:hAnsi="Palatino Linotype" w:cs="Tahoma"/>
          <w:bCs/>
          <w:iCs/>
          <w:lang w:val="es-ES"/>
        </w:rPr>
        <w:t xml:space="preserve">e las constancias que obran en </w:t>
      </w:r>
      <w:r w:rsidR="00411B64" w:rsidRPr="00B416E1">
        <w:rPr>
          <w:rFonts w:ascii="Palatino Linotype" w:hAnsi="Palatino Linotype" w:cs="Tahoma"/>
          <w:bCs/>
          <w:iCs/>
          <w:lang w:val="es-ES"/>
        </w:rPr>
        <w:t>e</w:t>
      </w:r>
      <w:r w:rsidRPr="00B416E1">
        <w:rPr>
          <w:rFonts w:ascii="Palatino Linotype" w:hAnsi="Palatino Linotype" w:cs="Tahoma"/>
          <w:bCs/>
          <w:iCs/>
          <w:lang w:val="es-ES"/>
        </w:rPr>
        <w:t>l expediente</w:t>
      </w:r>
      <w:r w:rsidR="003E42AE" w:rsidRPr="00B416E1">
        <w:rPr>
          <w:rFonts w:ascii="Palatino Linotype" w:hAnsi="Palatino Linotype" w:cs="Tahoma"/>
          <w:bCs/>
          <w:iCs/>
          <w:lang w:val="es-ES"/>
        </w:rPr>
        <w:t xml:space="preserve"> electrónico en que se actúa</w:t>
      </w:r>
      <w:r w:rsidRPr="00B416E1">
        <w:rPr>
          <w:rFonts w:ascii="Palatino Linotype" w:hAnsi="Palatino Linotype" w:cs="Tahoma"/>
          <w:bCs/>
          <w:iCs/>
          <w:lang w:val="es-ES"/>
        </w:rPr>
        <w:t xml:space="preserve">, se logra vislumbrar que el Sujeto Obligado fue omiso dar cumplimiento a la </w:t>
      </w:r>
      <w:r w:rsidR="003E42AE" w:rsidRPr="00B416E1">
        <w:rPr>
          <w:rFonts w:ascii="Palatino Linotype" w:hAnsi="Palatino Linotype" w:cs="Tahoma"/>
          <w:bCs/>
          <w:iCs/>
          <w:lang w:val="es-ES"/>
        </w:rPr>
        <w:t>r</w:t>
      </w:r>
      <w:r w:rsidRPr="00B416E1">
        <w:rPr>
          <w:rFonts w:ascii="Palatino Linotype" w:hAnsi="Palatino Linotype" w:cs="Tahoma"/>
          <w:bCs/>
          <w:iCs/>
          <w:lang w:val="es-ES"/>
        </w:rPr>
        <w:t>esolución de</w:t>
      </w:r>
      <w:r w:rsidR="00BB5758" w:rsidRPr="00B416E1">
        <w:rPr>
          <w:rFonts w:ascii="Palatino Linotype" w:hAnsi="Palatino Linotype" w:cs="Tahoma"/>
          <w:bCs/>
          <w:iCs/>
          <w:lang w:val="es-ES"/>
        </w:rPr>
        <w:t xml:space="preserve"> </w:t>
      </w:r>
      <w:r w:rsidRPr="00B416E1">
        <w:rPr>
          <w:rFonts w:ascii="Palatino Linotype" w:hAnsi="Palatino Linotype" w:cs="Tahoma"/>
          <w:bCs/>
          <w:iCs/>
          <w:lang w:val="es-ES"/>
        </w:rPr>
        <w:t>l</w:t>
      </w:r>
      <w:r w:rsidR="00BB5758" w:rsidRPr="00B416E1">
        <w:rPr>
          <w:rFonts w:ascii="Palatino Linotype" w:hAnsi="Palatino Linotype" w:cs="Tahoma"/>
          <w:bCs/>
          <w:iCs/>
          <w:lang w:val="es-ES"/>
        </w:rPr>
        <w:t>os</w:t>
      </w:r>
      <w:r w:rsidRPr="00B416E1">
        <w:rPr>
          <w:rFonts w:ascii="Palatino Linotype" w:hAnsi="Palatino Linotype" w:cs="Tahoma"/>
          <w:bCs/>
          <w:iCs/>
          <w:lang w:val="es-ES"/>
        </w:rPr>
        <w:t xml:space="preserve"> </w:t>
      </w:r>
      <w:r w:rsidR="003E42AE" w:rsidRPr="00B416E1">
        <w:rPr>
          <w:rFonts w:ascii="Palatino Linotype" w:hAnsi="Palatino Linotype" w:cs="Tahoma"/>
          <w:bCs/>
          <w:iCs/>
          <w:lang w:val="es-ES"/>
        </w:rPr>
        <w:t xml:space="preserve">recursos de revisión que en su momento </w:t>
      </w:r>
      <w:r w:rsidR="00BB5758" w:rsidRPr="00B416E1">
        <w:rPr>
          <w:rFonts w:ascii="Palatino Linotype" w:hAnsi="Palatino Linotype" w:cs="Tahoma"/>
          <w:bCs/>
          <w:iCs/>
          <w:lang w:val="es-ES"/>
        </w:rPr>
        <w:t>fueron objeto de acumulación;</w:t>
      </w:r>
      <w:r w:rsidRPr="00B416E1">
        <w:rPr>
          <w:rFonts w:ascii="Palatino Linotype" w:hAnsi="Palatino Linotype" w:cs="Tahoma"/>
          <w:bCs/>
          <w:iCs/>
          <w:lang w:val="es-ES"/>
        </w:rPr>
        <w:t xml:space="preserve"> es decir, no había emitido respuesta a la fecha de interposición del segundo </w:t>
      </w:r>
      <w:r w:rsidR="003E42AE" w:rsidRPr="00B416E1">
        <w:rPr>
          <w:rFonts w:ascii="Palatino Linotype" w:hAnsi="Palatino Linotype" w:cs="Tahoma"/>
          <w:bCs/>
          <w:iCs/>
          <w:lang w:val="es-ES"/>
        </w:rPr>
        <w:t>medio de impugnación</w:t>
      </w:r>
      <w:r w:rsidRPr="00B416E1">
        <w:rPr>
          <w:rFonts w:ascii="Palatino Linotype" w:hAnsi="Palatino Linotype" w:cs="Tahoma"/>
          <w:bCs/>
          <w:iCs/>
          <w:lang w:val="es-ES"/>
        </w:rPr>
        <w:t>.</w:t>
      </w:r>
    </w:p>
    <w:p w:rsidR="00BB5758" w:rsidRPr="00B416E1" w:rsidRDefault="00BB5758" w:rsidP="005414D5">
      <w:pPr>
        <w:spacing w:line="360" w:lineRule="auto"/>
        <w:jc w:val="both"/>
        <w:rPr>
          <w:rFonts w:ascii="Palatino Linotype" w:eastAsia="Calibri" w:hAnsi="Palatino Linotype" w:cs="Tahoma"/>
          <w:color w:val="0D0D0D" w:themeColor="text1" w:themeTint="F2"/>
        </w:rPr>
      </w:pPr>
    </w:p>
    <w:p w:rsidR="005414D5" w:rsidRPr="00B416E1" w:rsidRDefault="003E42AE" w:rsidP="00B416E1">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sidRPr="00B416E1">
        <w:rPr>
          <w:rFonts w:ascii="Palatino Linotype" w:eastAsia="Calibri" w:hAnsi="Palatino Linotype" w:cs="Tahoma"/>
          <w:color w:val="0D0D0D" w:themeColor="text1" w:themeTint="F2"/>
        </w:rPr>
        <w:t>En tal virtud, se advierte que</w:t>
      </w:r>
      <w:r w:rsidR="005414D5" w:rsidRPr="00B416E1">
        <w:rPr>
          <w:rFonts w:ascii="Palatino Linotype" w:eastAsia="Calibri" w:hAnsi="Palatino Linotype" w:cs="Tahoma"/>
          <w:color w:val="0D0D0D" w:themeColor="text1" w:themeTint="F2"/>
        </w:rPr>
        <w:t xml:space="preserve"> al momento de presentar el </w:t>
      </w:r>
      <w:r w:rsidRPr="00B416E1">
        <w:rPr>
          <w:rFonts w:ascii="Palatino Linotype" w:eastAsia="Calibri" w:hAnsi="Palatino Linotype" w:cs="Tahoma"/>
          <w:color w:val="0D0D0D" w:themeColor="text1" w:themeTint="F2"/>
        </w:rPr>
        <w:t>segundo recurso de revisión, n</w:t>
      </w:r>
      <w:r w:rsidR="005414D5" w:rsidRPr="00B416E1">
        <w:rPr>
          <w:rFonts w:ascii="Palatino Linotype" w:eastAsia="Calibri" w:hAnsi="Palatino Linotype" w:cs="Tahoma"/>
          <w:color w:val="0D0D0D" w:themeColor="text1" w:themeTint="F2"/>
        </w:rPr>
        <w:t xml:space="preserve">o se </w:t>
      </w:r>
      <w:r w:rsidR="005414D5" w:rsidRPr="00B416E1">
        <w:rPr>
          <w:rFonts w:ascii="Palatino Linotype" w:hAnsi="Palatino Linotype" w:cs="Tahoma"/>
          <w:bCs/>
          <w:iCs/>
          <w:lang w:val="es-ES"/>
        </w:rPr>
        <w:t>configuraba</w:t>
      </w:r>
      <w:r w:rsidR="005414D5" w:rsidRPr="00B416E1">
        <w:rPr>
          <w:rFonts w:ascii="Palatino Linotype" w:eastAsia="Calibri" w:hAnsi="Palatino Linotype" w:cs="Tahoma"/>
          <w:color w:val="0D0D0D" w:themeColor="text1" w:themeTint="F2"/>
        </w:rPr>
        <w:t xml:space="preserve"> ninguna causal de procedencia</w:t>
      </w:r>
      <w:r w:rsidRPr="00B416E1">
        <w:rPr>
          <w:rFonts w:ascii="Palatino Linotype" w:eastAsia="Calibri" w:hAnsi="Palatino Linotype" w:cs="Tahoma"/>
          <w:color w:val="0D0D0D" w:themeColor="text1" w:themeTint="F2"/>
        </w:rPr>
        <w:t>;</w:t>
      </w:r>
      <w:r w:rsidR="005414D5" w:rsidRPr="00B416E1">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B416E1" w:rsidRDefault="005414D5" w:rsidP="005414D5">
      <w:pPr>
        <w:spacing w:line="360" w:lineRule="auto"/>
        <w:jc w:val="both"/>
        <w:rPr>
          <w:rFonts w:ascii="Palatino Linotype" w:eastAsia="Calibri" w:hAnsi="Palatino Linotype" w:cs="Tahoma"/>
          <w:color w:val="0D0D0D" w:themeColor="text1" w:themeTint="F2"/>
        </w:rPr>
      </w:pPr>
    </w:p>
    <w:p w:rsidR="00B416E1" w:rsidRDefault="00D60F5E" w:rsidP="00B416E1">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sidRPr="00B416E1">
        <w:rPr>
          <w:rFonts w:ascii="Palatino Linotype" w:eastAsia="Calibri" w:hAnsi="Palatino Linotype" w:cs="Tahoma"/>
          <w:color w:val="0D0D0D" w:themeColor="text1" w:themeTint="F2"/>
        </w:rPr>
        <w:t xml:space="preserve">En otras palabras, </w:t>
      </w:r>
      <w:r w:rsidR="005414D5" w:rsidRPr="00B416E1">
        <w:rPr>
          <w:rFonts w:ascii="Palatino Linotype" w:eastAsia="Calibri" w:hAnsi="Palatino Linotype" w:cs="Tahoma"/>
          <w:color w:val="0D0D0D" w:themeColor="text1" w:themeTint="F2"/>
        </w:rPr>
        <w:t>l</w:t>
      </w:r>
      <w:r w:rsidRPr="00B416E1">
        <w:rPr>
          <w:rFonts w:ascii="Palatino Linotype" w:eastAsia="Calibri" w:hAnsi="Palatino Linotype" w:cs="Tahoma"/>
          <w:color w:val="0D0D0D" w:themeColor="text1" w:themeTint="F2"/>
        </w:rPr>
        <w:t>a</w:t>
      </w:r>
      <w:r w:rsidR="005414D5" w:rsidRPr="00B416E1">
        <w:rPr>
          <w:rFonts w:ascii="Palatino Linotype" w:eastAsia="Calibri" w:hAnsi="Palatino Linotype" w:cs="Tahoma"/>
          <w:color w:val="0D0D0D" w:themeColor="text1" w:themeTint="F2"/>
        </w:rPr>
        <w:t xml:space="preserve"> Particular interpuso el </w:t>
      </w:r>
      <w:r w:rsidRPr="00B416E1">
        <w:rPr>
          <w:rFonts w:ascii="Palatino Linotype" w:eastAsia="Calibri" w:hAnsi="Palatino Linotype" w:cs="Tahoma"/>
          <w:color w:val="0D0D0D" w:themeColor="text1" w:themeTint="F2"/>
        </w:rPr>
        <w:t xml:space="preserve">medio de impugnación </w:t>
      </w:r>
      <w:r w:rsidR="005414D5" w:rsidRPr="00B416E1">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416E1">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sidRPr="00B416E1">
        <w:rPr>
          <w:rFonts w:ascii="Palatino Linotype" w:hAnsi="Palatino Linotype" w:cs="Tahoma"/>
          <w:bCs/>
          <w:color w:val="000000"/>
        </w:rPr>
        <w:t>ón primigenio.</w:t>
      </w:r>
    </w:p>
    <w:p w:rsidR="00B416E1" w:rsidRPr="00B416E1" w:rsidRDefault="00B416E1" w:rsidP="00B416E1">
      <w:pPr>
        <w:pStyle w:val="Prrafodelista"/>
        <w:rPr>
          <w:rFonts w:ascii="Palatino Linotype" w:eastAsia="Calibri" w:hAnsi="Palatino Linotype" w:cs="Tahoma"/>
          <w:bCs/>
          <w:color w:val="0D0D0D" w:themeColor="text1" w:themeTint="F2"/>
        </w:rPr>
      </w:pPr>
    </w:p>
    <w:p w:rsidR="005414D5" w:rsidRPr="00B416E1" w:rsidRDefault="005414D5" w:rsidP="00B416E1">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sidRPr="00B416E1">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B416E1">
        <w:rPr>
          <w:rFonts w:ascii="Palatino Linotype" w:eastAsia="Calibri" w:hAnsi="Palatino Linotype" w:cs="Tahoma"/>
          <w:color w:val="0D0D0D" w:themeColor="text1" w:themeTint="F2"/>
        </w:rPr>
        <w:t>información</w:t>
      </w:r>
      <w:r w:rsidRPr="00B416E1">
        <w:rPr>
          <w:rFonts w:ascii="Palatino Linotype" w:eastAsia="Calibri" w:hAnsi="Palatino Linotype" w:cs="Tahoma"/>
          <w:bCs/>
          <w:color w:val="0D0D0D" w:themeColor="text1" w:themeTint="F2"/>
        </w:rPr>
        <w:t xml:space="preserve">, pues al dar trámite al Segundo Recurso de </w:t>
      </w:r>
      <w:r w:rsidRPr="00B416E1">
        <w:rPr>
          <w:rFonts w:ascii="Palatino Linotype" w:eastAsia="Calibri" w:hAnsi="Palatino Linotype" w:cs="Tahoma"/>
          <w:bCs/>
          <w:color w:val="0D0D0D" w:themeColor="text1" w:themeTint="F2"/>
        </w:rPr>
        <w:lastRenderedPageBreak/>
        <w:t>Revisión, se interrumpe el procedimiento llevado a cabo por la Secretaría Técnica del Pleno, para garantizar el cumplimiento de las resoluciones emitidas.</w:t>
      </w:r>
    </w:p>
    <w:p w:rsidR="005414D5" w:rsidRPr="00B416E1" w:rsidRDefault="005414D5" w:rsidP="005414D5">
      <w:pPr>
        <w:spacing w:line="360" w:lineRule="auto"/>
        <w:jc w:val="both"/>
        <w:rPr>
          <w:rFonts w:ascii="Palatino Linotype" w:eastAsia="Calibri" w:hAnsi="Palatino Linotype" w:cs="Tahoma"/>
          <w:bCs/>
          <w:color w:val="0D0D0D" w:themeColor="text1" w:themeTint="F2"/>
        </w:rPr>
      </w:pPr>
    </w:p>
    <w:p w:rsidR="005414D5" w:rsidRPr="00B416E1" w:rsidRDefault="005414D5" w:rsidP="00B416E1">
      <w:pPr>
        <w:pStyle w:val="Prrafodelista"/>
        <w:numPr>
          <w:ilvl w:val="0"/>
          <w:numId w:val="1"/>
        </w:numPr>
        <w:spacing w:line="360" w:lineRule="auto"/>
        <w:ind w:left="0" w:firstLine="0"/>
        <w:contextualSpacing w:val="0"/>
        <w:jc w:val="both"/>
        <w:rPr>
          <w:rFonts w:ascii="Palatino Linotype" w:hAnsi="Palatino Linotype" w:cs="Tahoma"/>
        </w:rPr>
      </w:pPr>
      <w:r w:rsidRPr="00B416E1">
        <w:rPr>
          <w:rFonts w:ascii="Palatino Linotype" w:hAnsi="Palatino Linotype" w:cs="Tahoma"/>
          <w:lang w:val="es-ES"/>
        </w:rPr>
        <w:t xml:space="preserve">Por lo expuesto, se logra </w:t>
      </w:r>
      <w:r w:rsidR="00411B64" w:rsidRPr="00B416E1">
        <w:rPr>
          <w:rFonts w:ascii="Palatino Linotype" w:hAnsi="Palatino Linotype" w:cs="Tahoma"/>
          <w:lang w:val="es-ES"/>
        </w:rPr>
        <w:t>distinguir</w:t>
      </w:r>
      <w:r w:rsidRPr="00B416E1">
        <w:rPr>
          <w:rFonts w:ascii="Palatino Linotype" w:hAnsi="Palatino Linotype" w:cs="Tahoma"/>
          <w:lang w:val="es-ES"/>
        </w:rPr>
        <w:t xml:space="preserve"> que, la inconformidad referida por l</w:t>
      </w:r>
      <w:r w:rsidR="00BB5758" w:rsidRPr="00B416E1">
        <w:rPr>
          <w:rFonts w:ascii="Palatino Linotype" w:hAnsi="Palatino Linotype" w:cs="Tahoma"/>
          <w:lang w:val="es-ES"/>
        </w:rPr>
        <w:t>a</w:t>
      </w:r>
      <w:r w:rsidRPr="00B416E1">
        <w:rPr>
          <w:rFonts w:ascii="Palatino Linotype" w:hAnsi="Palatino Linotype" w:cs="Tahoma"/>
          <w:lang w:val="es-ES"/>
        </w:rPr>
        <w:t xml:space="preserve"> Particular, no actualizan ninguna causal de proc</w:t>
      </w:r>
      <w:r w:rsidR="00BB5758" w:rsidRPr="00B416E1">
        <w:rPr>
          <w:rFonts w:ascii="Palatino Linotype" w:hAnsi="Palatino Linotype" w:cs="Tahoma"/>
          <w:lang w:val="es-ES"/>
        </w:rPr>
        <w:t xml:space="preserve">edencia, pues como se refirió, </w:t>
      </w:r>
      <w:r w:rsidRPr="00B416E1">
        <w:rPr>
          <w:rFonts w:ascii="Palatino Linotype" w:hAnsi="Palatino Linotype" w:cs="Tahoma"/>
          <w:lang w:val="es-ES"/>
        </w:rPr>
        <w:t>l</w:t>
      </w:r>
      <w:r w:rsidR="00BB5758" w:rsidRPr="00B416E1">
        <w:rPr>
          <w:rFonts w:ascii="Palatino Linotype" w:hAnsi="Palatino Linotype" w:cs="Tahoma"/>
          <w:lang w:val="es-ES"/>
        </w:rPr>
        <w:t>a</w:t>
      </w:r>
      <w:r w:rsidRPr="00B416E1">
        <w:rPr>
          <w:rFonts w:ascii="Palatino Linotype" w:hAnsi="Palatino Linotype" w:cs="Tahoma"/>
          <w:lang w:val="es-ES"/>
        </w:rPr>
        <w:t xml:space="preserve"> Particular interpuso el segundo Recurso de Revisión, en un momento procesal inoportuno; por lo que, se concluye </w:t>
      </w:r>
      <w:r w:rsidRPr="00B416E1">
        <w:rPr>
          <w:rFonts w:ascii="Palatino Linotype" w:eastAsia="Calibri" w:hAnsi="Palatino Linotype" w:cs="Tahoma"/>
          <w:lang w:val="es-ES" w:eastAsia="es-ES_tradnl"/>
        </w:rPr>
        <w:t>que el agravio de</w:t>
      </w:r>
      <w:r w:rsidR="00BB5758" w:rsidRPr="00B416E1">
        <w:rPr>
          <w:rFonts w:ascii="Palatino Linotype" w:eastAsia="Calibri" w:hAnsi="Palatino Linotype" w:cs="Tahoma"/>
          <w:lang w:val="es-ES" w:eastAsia="es-ES_tradnl"/>
        </w:rPr>
        <w:t xml:space="preserve"> </w:t>
      </w:r>
      <w:r w:rsidRPr="00B416E1">
        <w:rPr>
          <w:rFonts w:ascii="Palatino Linotype" w:eastAsia="Calibri" w:hAnsi="Palatino Linotype" w:cs="Tahoma"/>
          <w:lang w:val="es-ES" w:eastAsia="es-ES_tradnl"/>
        </w:rPr>
        <w:t>l</w:t>
      </w:r>
      <w:r w:rsidR="00BB5758" w:rsidRPr="00B416E1">
        <w:rPr>
          <w:rFonts w:ascii="Palatino Linotype" w:eastAsia="Calibri" w:hAnsi="Palatino Linotype" w:cs="Tahoma"/>
          <w:lang w:val="es-ES" w:eastAsia="es-ES_tradnl"/>
        </w:rPr>
        <w:t>a</w:t>
      </w:r>
      <w:r w:rsidRPr="00B416E1">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B416E1">
        <w:rPr>
          <w:rFonts w:ascii="Palatino Linotype" w:hAnsi="Palatino Linotype" w:cs="Tahoma"/>
          <w:bCs/>
          <w:color w:val="000000"/>
          <w:lang w:val="es-ES"/>
        </w:rPr>
        <w:t xml:space="preserve"> y, por lo tanto, se materializa la</w:t>
      </w:r>
      <w:r w:rsidRPr="00B416E1">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Pr="00B416E1">
        <w:rPr>
          <w:rFonts w:ascii="Palatino Linotype" w:hAnsi="Palatino Linotype" w:cs="Tahoma"/>
          <w:lang w:val="es-ES"/>
        </w:rPr>
        <w:t xml:space="preserve">, lo procedente es </w:t>
      </w:r>
      <w:r w:rsidRPr="00B416E1">
        <w:rPr>
          <w:rFonts w:ascii="Palatino Linotype" w:hAnsi="Palatino Linotype" w:cs="Tahoma"/>
          <w:b/>
          <w:lang w:val="es-ES"/>
        </w:rPr>
        <w:t>SOBRESEER</w:t>
      </w:r>
      <w:r w:rsidRPr="00B416E1">
        <w:rPr>
          <w:rFonts w:ascii="Palatino Linotype" w:hAnsi="Palatino Linotype" w:cs="Tahoma"/>
          <w:lang w:val="es-ES"/>
        </w:rPr>
        <w:t xml:space="preserve"> el mismo. </w:t>
      </w:r>
    </w:p>
    <w:p w:rsidR="00BB5758" w:rsidRPr="00B416E1" w:rsidRDefault="00BB5758" w:rsidP="005414D5">
      <w:pPr>
        <w:spacing w:line="360" w:lineRule="auto"/>
        <w:jc w:val="both"/>
        <w:rPr>
          <w:rFonts w:ascii="Palatino Linotype" w:eastAsia="Times New Roman" w:hAnsi="Palatino Linotype" w:cs="Tahoma"/>
          <w:lang w:val="es-ES"/>
        </w:rPr>
      </w:pPr>
    </w:p>
    <w:p w:rsidR="005414D5" w:rsidRPr="00B416E1" w:rsidRDefault="00BB5758" w:rsidP="00B416E1">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B416E1">
        <w:rPr>
          <w:rFonts w:ascii="Palatino Linotype" w:eastAsia="Times New Roman" w:hAnsi="Palatino Linotype" w:cs="Tahoma"/>
          <w:lang w:val="es-ES"/>
        </w:rPr>
        <w:t>Atento a lo anterior, c</w:t>
      </w:r>
      <w:r w:rsidR="005414D5" w:rsidRPr="00B416E1">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B416E1">
        <w:rPr>
          <w:rFonts w:ascii="Palatino Linotype" w:hAnsi="Palatino Linotype" w:cs="Tahoma"/>
          <w:lang w:val="es-ES"/>
        </w:rPr>
        <w:t>Municipios</w:t>
      </w:r>
      <w:r w:rsidR="005414D5" w:rsidRPr="00B416E1">
        <w:rPr>
          <w:rFonts w:ascii="Palatino Linotype" w:eastAsia="Times New Roman" w:hAnsi="Palatino Linotype" w:cs="Tahoma"/>
          <w:lang w:val="es-ES"/>
        </w:rPr>
        <w:t xml:space="preserve">, se considera procedente </w:t>
      </w:r>
      <w:r w:rsidR="005414D5" w:rsidRPr="00B416E1">
        <w:rPr>
          <w:rFonts w:ascii="Palatino Linotype" w:eastAsia="Times New Roman" w:hAnsi="Palatino Linotype" w:cs="Tahoma"/>
          <w:b/>
          <w:lang w:val="es-ES"/>
        </w:rPr>
        <w:t xml:space="preserve">SOBRESEER </w:t>
      </w:r>
      <w:r w:rsidR="005414D5" w:rsidRPr="00B416E1">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B416E1" w:rsidRDefault="005414D5" w:rsidP="005414D5">
      <w:pPr>
        <w:spacing w:line="360" w:lineRule="auto"/>
        <w:contextualSpacing/>
        <w:jc w:val="both"/>
        <w:rPr>
          <w:rFonts w:ascii="Palatino Linotype" w:eastAsia="Times New Roman" w:hAnsi="Palatino Linotype" w:cs="Tahoma"/>
          <w:bCs/>
          <w:iCs/>
        </w:rPr>
      </w:pPr>
    </w:p>
    <w:p w:rsidR="005414D5" w:rsidRPr="00B416E1" w:rsidRDefault="00BB5758" w:rsidP="00B416E1">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sidRPr="00B416E1">
        <w:rPr>
          <w:rFonts w:ascii="Palatino Linotype" w:eastAsia="Times New Roman" w:hAnsi="Palatino Linotype" w:cs="Tahoma"/>
          <w:bCs/>
        </w:rPr>
        <w:t xml:space="preserve">Finalmente, </w:t>
      </w:r>
      <w:r w:rsidR="005414D5" w:rsidRPr="00B416E1">
        <w:rPr>
          <w:rFonts w:ascii="Palatino Linotype" w:eastAsia="Times New Roman" w:hAnsi="Palatino Linotype" w:cs="Tahoma"/>
          <w:bCs/>
          <w:color w:val="000000"/>
          <w:lang w:val="es-ES"/>
        </w:rPr>
        <w:t>es necesario precisar, que no deja en estado de indefensión a</w:t>
      </w:r>
      <w:r w:rsidRPr="00B416E1">
        <w:rPr>
          <w:rFonts w:ascii="Palatino Linotype" w:eastAsia="Times New Roman" w:hAnsi="Palatino Linotype" w:cs="Tahoma"/>
          <w:bCs/>
          <w:color w:val="000000"/>
          <w:lang w:val="es-ES"/>
        </w:rPr>
        <w:t xml:space="preserve"> </w:t>
      </w:r>
      <w:r w:rsidR="005414D5" w:rsidRPr="00B416E1">
        <w:rPr>
          <w:rFonts w:ascii="Palatino Linotype" w:eastAsia="Times New Roman" w:hAnsi="Palatino Linotype" w:cs="Tahoma"/>
          <w:bCs/>
          <w:color w:val="000000"/>
          <w:lang w:val="es-ES"/>
        </w:rPr>
        <w:t>l</w:t>
      </w:r>
      <w:r w:rsidRPr="00B416E1">
        <w:rPr>
          <w:rFonts w:ascii="Palatino Linotype" w:eastAsia="Times New Roman" w:hAnsi="Palatino Linotype" w:cs="Tahoma"/>
          <w:bCs/>
          <w:color w:val="000000"/>
          <w:lang w:val="es-ES"/>
        </w:rPr>
        <w:t>a</w:t>
      </w:r>
      <w:r w:rsidR="005414D5" w:rsidRPr="00B416E1">
        <w:rPr>
          <w:rFonts w:ascii="Palatino Linotype" w:eastAsia="Times New Roman" w:hAnsi="Palatino Linotype" w:cs="Tahoma"/>
          <w:bCs/>
          <w:color w:val="000000"/>
          <w:lang w:val="es-ES"/>
        </w:rPr>
        <w:t xml:space="preserve"> Solicitante, respecto a su solicitud inicial, pues en el presente caso, ya se emitió el </w:t>
      </w:r>
      <w:r w:rsidR="005414D5" w:rsidRPr="00B416E1">
        <w:rPr>
          <w:rFonts w:ascii="Palatino Linotype" w:eastAsia="Times New Roman" w:hAnsi="Palatino Linotype" w:cs="Tahoma"/>
          <w:bCs/>
          <w:color w:val="000000"/>
          <w:lang w:val="es-ES"/>
        </w:rPr>
        <w:lastRenderedPageBreak/>
        <w:t xml:space="preserve">Acuerdo de </w:t>
      </w:r>
      <w:r w:rsidR="005414D5" w:rsidRPr="00B416E1">
        <w:rPr>
          <w:rFonts w:ascii="Palatino Linotype" w:eastAsia="Times New Roman" w:hAnsi="Palatino Linotype" w:cs="Tahoma"/>
          <w:lang w:val="es-ES"/>
        </w:rPr>
        <w:t>Incumplimiento</w:t>
      </w:r>
      <w:r w:rsidR="005414D5" w:rsidRPr="00B416E1">
        <w:rPr>
          <w:rFonts w:ascii="Palatino Linotype" w:eastAsia="Times New Roman" w:hAnsi="Palatino Linotype" w:cs="Tahoma"/>
          <w:bCs/>
          <w:color w:val="000000"/>
          <w:lang w:val="es-ES"/>
        </w:rPr>
        <w:t xml:space="preserve"> a la Resolución de</w:t>
      </w:r>
      <w:r w:rsidRPr="00B416E1">
        <w:rPr>
          <w:rFonts w:ascii="Palatino Linotype" w:eastAsia="Times New Roman" w:hAnsi="Palatino Linotype" w:cs="Tahoma"/>
          <w:bCs/>
          <w:color w:val="000000"/>
          <w:lang w:val="es-ES"/>
        </w:rPr>
        <w:t xml:space="preserve"> </w:t>
      </w:r>
      <w:r w:rsidR="005414D5" w:rsidRPr="00B416E1">
        <w:rPr>
          <w:rFonts w:ascii="Palatino Linotype" w:eastAsia="Times New Roman" w:hAnsi="Palatino Linotype" w:cs="Tahoma"/>
          <w:bCs/>
          <w:color w:val="000000"/>
          <w:lang w:val="es-ES"/>
        </w:rPr>
        <w:t>l</w:t>
      </w:r>
      <w:r w:rsidRPr="00B416E1">
        <w:rPr>
          <w:rFonts w:ascii="Palatino Linotype" w:eastAsia="Times New Roman" w:hAnsi="Palatino Linotype" w:cs="Tahoma"/>
          <w:bCs/>
          <w:color w:val="000000"/>
          <w:lang w:val="es-ES"/>
        </w:rPr>
        <w:t>os r</w:t>
      </w:r>
      <w:r w:rsidR="005414D5" w:rsidRPr="00B416E1">
        <w:rPr>
          <w:rFonts w:ascii="Palatino Linotype" w:eastAsia="Times New Roman" w:hAnsi="Palatino Linotype" w:cs="Tahoma"/>
          <w:bCs/>
          <w:color w:val="000000"/>
          <w:lang w:val="es-ES"/>
        </w:rPr>
        <w:t>ecurso</w:t>
      </w:r>
      <w:r w:rsidRPr="00B416E1">
        <w:rPr>
          <w:rFonts w:ascii="Palatino Linotype" w:eastAsia="Times New Roman" w:hAnsi="Palatino Linotype" w:cs="Tahoma"/>
          <w:bCs/>
          <w:color w:val="000000"/>
          <w:lang w:val="es-ES"/>
        </w:rPr>
        <w:t>s</w:t>
      </w:r>
      <w:r w:rsidR="005414D5" w:rsidRPr="00B416E1">
        <w:rPr>
          <w:rFonts w:ascii="Palatino Linotype" w:eastAsia="Times New Roman" w:hAnsi="Palatino Linotype" w:cs="Tahoma"/>
          <w:bCs/>
          <w:color w:val="000000"/>
          <w:lang w:val="es-ES"/>
        </w:rPr>
        <w:t xml:space="preserve"> de </w:t>
      </w:r>
      <w:r w:rsidRPr="00B416E1">
        <w:rPr>
          <w:rFonts w:ascii="Palatino Linotype" w:eastAsia="Times New Roman" w:hAnsi="Palatino Linotype" w:cs="Tahoma"/>
          <w:bCs/>
          <w:color w:val="000000"/>
          <w:lang w:val="es-ES"/>
        </w:rPr>
        <w:t>r</w:t>
      </w:r>
      <w:r w:rsidR="005414D5" w:rsidRPr="00B416E1">
        <w:rPr>
          <w:rFonts w:ascii="Palatino Linotype" w:eastAsia="Times New Roman" w:hAnsi="Palatino Linotype" w:cs="Tahoma"/>
          <w:bCs/>
          <w:color w:val="000000"/>
          <w:lang w:val="es-ES"/>
        </w:rPr>
        <w:t xml:space="preserve">evisión </w:t>
      </w:r>
      <w:r w:rsidRPr="00B416E1">
        <w:rPr>
          <w:rFonts w:ascii="Palatino Linotype" w:hAnsi="Palatino Linotype"/>
          <w:color w:val="000000"/>
        </w:rPr>
        <w:t>objeto de acumulación</w:t>
      </w:r>
      <w:r w:rsidR="005414D5" w:rsidRPr="00B416E1">
        <w:rPr>
          <w:rFonts w:ascii="Palatino Linotype" w:hAnsi="Palatino Linotype"/>
          <w:color w:val="000000"/>
        </w:rPr>
        <w:t xml:space="preserve">, </w:t>
      </w:r>
      <w:r w:rsidR="005414D5" w:rsidRPr="00B416E1">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B416E1" w:rsidRDefault="005414D5" w:rsidP="005414D5"/>
    <w:p w:rsidR="00792D6A" w:rsidRPr="00B416E1" w:rsidRDefault="00792D6A" w:rsidP="00B416E1">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B416E1">
        <w:rPr>
          <w:rFonts w:ascii="Palatino Linotype" w:hAnsi="Palatino Linotype" w:cs="Arial"/>
          <w:color w:val="000000" w:themeColor="text1"/>
          <w:lang w:eastAsia="es-MX"/>
        </w:rPr>
        <w:t xml:space="preserve">Por lo </w:t>
      </w:r>
      <w:r w:rsidRPr="00B416E1">
        <w:rPr>
          <w:rFonts w:ascii="Palatino Linotype" w:eastAsia="Times New Roman" w:hAnsi="Palatino Linotype" w:cs="Tahoma"/>
          <w:bCs/>
        </w:rPr>
        <w:t>anteriormente</w:t>
      </w:r>
      <w:r w:rsidRPr="00B416E1">
        <w:rPr>
          <w:rFonts w:ascii="Palatino Linotype" w:hAnsi="Palatino Linotype" w:cs="Arial"/>
          <w:color w:val="000000" w:themeColor="text1"/>
          <w:lang w:eastAsia="es-MX"/>
        </w:rPr>
        <w:t xml:space="preserve"> expuesto y fundado, este </w:t>
      </w:r>
      <w:r w:rsidRPr="00B416E1">
        <w:rPr>
          <w:rFonts w:ascii="Palatino Linotype" w:hAnsi="Palatino Linotype" w:cs="Arial"/>
          <w:b/>
          <w:bCs/>
          <w:color w:val="000000" w:themeColor="text1"/>
          <w:lang w:eastAsia="es-MX"/>
        </w:rPr>
        <w:t>ÓRGANO GARANTE</w:t>
      </w:r>
      <w:r w:rsidRPr="00B416E1">
        <w:rPr>
          <w:rFonts w:ascii="Palatino Linotype" w:hAnsi="Palatino Linotype" w:cs="Arial"/>
          <w:color w:val="000000" w:themeColor="text1"/>
          <w:lang w:eastAsia="es-MX"/>
        </w:rPr>
        <w:t xml:space="preserve"> emite los siguientes:</w:t>
      </w:r>
    </w:p>
    <w:p w:rsidR="00982FCD" w:rsidRPr="00B416E1" w:rsidRDefault="00982FCD" w:rsidP="00982FCD">
      <w:pPr>
        <w:pStyle w:val="Prrafodelista"/>
        <w:rPr>
          <w:rFonts w:ascii="Palatino Linotype" w:hAnsi="Palatino Linotype"/>
          <w:color w:val="000000" w:themeColor="text1"/>
        </w:rPr>
      </w:pPr>
    </w:p>
    <w:p w:rsidR="009F09BC" w:rsidRPr="00B416E1"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7" w:name="_Toc504500693"/>
      <w:bookmarkStart w:id="18" w:name="_Toc534742545"/>
      <w:bookmarkStart w:id="19" w:name="_Toc2248738"/>
      <w:bookmarkStart w:id="20" w:name="_Toc34819440"/>
      <w:bookmarkStart w:id="21" w:name="_Toc51259595"/>
      <w:bookmarkStart w:id="22" w:name="_Toc83128595"/>
      <w:r w:rsidRPr="00B416E1">
        <w:rPr>
          <w:rFonts w:ascii="Palatino Linotype" w:eastAsia="Calibri" w:hAnsi="Palatino Linotype"/>
          <w:b/>
          <w:color w:val="000000" w:themeColor="text1"/>
          <w:sz w:val="24"/>
          <w:szCs w:val="24"/>
          <w:lang w:val="es-ES"/>
        </w:rPr>
        <w:t>R E S O L U T I V O S</w:t>
      </w:r>
      <w:bookmarkEnd w:id="17"/>
      <w:bookmarkEnd w:id="18"/>
      <w:bookmarkEnd w:id="19"/>
      <w:bookmarkEnd w:id="20"/>
      <w:bookmarkEnd w:id="21"/>
      <w:bookmarkEnd w:id="22"/>
    </w:p>
    <w:p w:rsidR="00CE7B83" w:rsidRPr="00B416E1" w:rsidRDefault="00CE7B83" w:rsidP="00CE7B83">
      <w:pPr>
        <w:rPr>
          <w:rFonts w:ascii="Palatino Linotype" w:hAnsi="Palatino Linotype"/>
          <w:color w:val="000000" w:themeColor="text1"/>
          <w:lang w:val="es-ES"/>
        </w:rPr>
      </w:pPr>
    </w:p>
    <w:p w:rsidR="00531473" w:rsidRPr="00B416E1" w:rsidRDefault="00531473" w:rsidP="00531473">
      <w:pPr>
        <w:spacing w:before="240" w:after="240" w:line="360" w:lineRule="auto"/>
        <w:jc w:val="both"/>
        <w:rPr>
          <w:rFonts w:ascii="Palatino Linotype" w:hAnsi="Palatino Linotype" w:cs="Arial"/>
        </w:rPr>
      </w:pPr>
      <w:r w:rsidRPr="00B416E1">
        <w:rPr>
          <w:rFonts w:ascii="Palatino Linotype" w:hAnsi="Palatino Linotype" w:cs="Arial"/>
          <w:b/>
          <w:bCs/>
          <w:lang w:eastAsia="es-MX"/>
        </w:rPr>
        <w:t>PRIMERO</w:t>
      </w:r>
      <w:r w:rsidRPr="00B416E1">
        <w:rPr>
          <w:rFonts w:ascii="Palatino Linotype" w:hAnsi="Palatino Linotype" w:cs="Arial"/>
        </w:rPr>
        <w:t xml:space="preserve">. Se </w:t>
      </w:r>
      <w:r w:rsidRPr="00B416E1">
        <w:rPr>
          <w:rFonts w:ascii="Palatino Linotype" w:hAnsi="Palatino Linotype" w:cs="Arial"/>
          <w:b/>
        </w:rPr>
        <w:t xml:space="preserve">SOBRESEE </w:t>
      </w:r>
      <w:r w:rsidR="00642B8B" w:rsidRPr="00B416E1">
        <w:rPr>
          <w:rFonts w:ascii="Palatino Linotype" w:hAnsi="Palatino Linotype" w:cs="Arial"/>
        </w:rPr>
        <w:t>e</w:t>
      </w:r>
      <w:r w:rsidR="00103414" w:rsidRPr="00B416E1">
        <w:rPr>
          <w:rFonts w:ascii="Palatino Linotype" w:hAnsi="Palatino Linotype" w:cs="Arial"/>
        </w:rPr>
        <w:t>l Recurso de R</w:t>
      </w:r>
      <w:r w:rsidRPr="00B416E1">
        <w:rPr>
          <w:rFonts w:ascii="Palatino Linotype" w:hAnsi="Palatino Linotype" w:cs="Arial"/>
        </w:rPr>
        <w:t>evisión</w:t>
      </w:r>
      <w:r w:rsidR="006A5154" w:rsidRPr="00B416E1">
        <w:rPr>
          <w:rFonts w:ascii="Palatino Linotype" w:hAnsi="Palatino Linotype" w:cs="Arial"/>
          <w:b/>
        </w:rPr>
        <w:t xml:space="preserve"> </w:t>
      </w:r>
      <w:r w:rsidR="00DE60AD" w:rsidRPr="00B416E1">
        <w:rPr>
          <w:rFonts w:ascii="Palatino Linotype" w:hAnsi="Palatino Linotype"/>
          <w:b/>
          <w:bCs/>
          <w:color w:val="000000" w:themeColor="text1"/>
          <w:lang w:val="es-MX"/>
        </w:rPr>
        <w:t>04093/INFOEM/ICR-360/IP/RR/2023</w:t>
      </w:r>
      <w:r w:rsidR="00473138">
        <w:rPr>
          <w:rFonts w:ascii="Palatino Linotype" w:hAnsi="Palatino Linotype"/>
          <w:b/>
          <w:bCs/>
          <w:color w:val="000000" w:themeColor="text1"/>
          <w:lang w:val="es-MX"/>
        </w:rPr>
        <w:t>,</w:t>
      </w:r>
      <w:r w:rsidRPr="00B416E1">
        <w:rPr>
          <w:rFonts w:ascii="Palatino Linotype" w:hAnsi="Palatino Linotype" w:cs="Arial"/>
        </w:rPr>
        <w:t xml:space="preserve"> </w:t>
      </w:r>
      <w:r w:rsidR="00103414" w:rsidRPr="00B416E1">
        <w:rPr>
          <w:rFonts w:ascii="Palatino Linotype" w:hAnsi="Palatino Linotype"/>
        </w:rPr>
        <w:t>conforme al artículo 1</w:t>
      </w:r>
      <w:r w:rsidR="00103414" w:rsidRPr="00B416E1">
        <w:rPr>
          <w:rFonts w:ascii="Palatino Linotype" w:hAnsi="Palatino Linotype" w:cs="Arial"/>
          <w:color w:val="000000" w:themeColor="text1"/>
        </w:rPr>
        <w:t>92 fracción I</w:t>
      </w:r>
      <w:r w:rsidR="00BB5758" w:rsidRPr="00B416E1">
        <w:rPr>
          <w:rFonts w:ascii="Palatino Linotype" w:hAnsi="Palatino Linotype" w:cs="Arial"/>
          <w:color w:val="000000" w:themeColor="text1"/>
        </w:rPr>
        <w:t>V</w:t>
      </w:r>
      <w:r w:rsidR="00103414" w:rsidRPr="00B416E1">
        <w:rPr>
          <w:rFonts w:ascii="Palatino Linotype" w:hAnsi="Palatino Linotype" w:cs="Arial"/>
          <w:color w:val="000000" w:themeColor="text1"/>
        </w:rPr>
        <w:t xml:space="preserve"> </w:t>
      </w:r>
      <w:r w:rsidR="00103414" w:rsidRPr="00B416E1">
        <w:rPr>
          <w:rFonts w:ascii="Palatino Linotype" w:hAnsi="Palatino Linotype"/>
        </w:rPr>
        <w:t>de la Ley de Transparencia y Acceso a la Información Pública del Estado de México y Municipios</w:t>
      </w:r>
      <w:r w:rsidR="00103414" w:rsidRPr="00B416E1">
        <w:rPr>
          <w:rFonts w:ascii="Palatino Linotype" w:hAnsi="Palatino Linotype" w:cs="Arial"/>
          <w:color w:val="000000" w:themeColor="text1"/>
        </w:rPr>
        <w:t xml:space="preserve">, </w:t>
      </w:r>
      <w:r w:rsidR="00BB5758" w:rsidRPr="00B416E1">
        <w:rPr>
          <w:rFonts w:ascii="Palatino Linotype" w:eastAsia="Times New Roman" w:hAnsi="Palatino Linotype" w:cs="Tahoma"/>
          <w:lang w:val="es-ES"/>
        </w:rPr>
        <w:t xml:space="preserve">por actualizarse la causal de improcedencia establecida en la fracción III, del artículo 191 de dicho ordenamiento jurídico, en términos del </w:t>
      </w:r>
      <w:r w:rsidR="00473138">
        <w:rPr>
          <w:rFonts w:ascii="Palatino Linotype" w:eastAsia="Times New Roman" w:hAnsi="Palatino Linotype" w:cs="Tahoma"/>
          <w:b/>
          <w:lang w:val="es-ES"/>
        </w:rPr>
        <w:t>c</w:t>
      </w:r>
      <w:r w:rsidR="00BB5758" w:rsidRPr="00B416E1">
        <w:rPr>
          <w:rFonts w:ascii="Palatino Linotype" w:eastAsia="Times New Roman" w:hAnsi="Palatino Linotype" w:cs="Tahoma"/>
          <w:b/>
          <w:lang w:val="es-ES"/>
        </w:rPr>
        <w:t xml:space="preserve">onsiderando </w:t>
      </w:r>
      <w:r w:rsidR="00473138" w:rsidRPr="00B416E1">
        <w:rPr>
          <w:rFonts w:ascii="Palatino Linotype" w:eastAsia="Times New Roman" w:hAnsi="Palatino Linotype" w:cs="Tahoma"/>
          <w:b/>
          <w:lang w:val="es-ES"/>
        </w:rPr>
        <w:t>TERCERO</w:t>
      </w:r>
      <w:r w:rsidR="00BB5758" w:rsidRPr="00B416E1">
        <w:rPr>
          <w:rFonts w:ascii="Palatino Linotype" w:eastAsia="Times New Roman" w:hAnsi="Palatino Linotype" w:cs="Tahoma"/>
          <w:lang w:val="es-ES"/>
        </w:rPr>
        <w:t xml:space="preserve"> de la presente Resolución.</w:t>
      </w:r>
    </w:p>
    <w:p w:rsidR="00531473" w:rsidRPr="00B416E1" w:rsidRDefault="00531473" w:rsidP="00531473">
      <w:pPr>
        <w:shd w:val="clear" w:color="auto" w:fill="FFFFFF"/>
        <w:spacing w:before="240" w:after="360" w:line="360" w:lineRule="auto"/>
        <w:jc w:val="both"/>
        <w:rPr>
          <w:rStyle w:val="Ttulo2Car"/>
          <w:b/>
        </w:rPr>
      </w:pPr>
      <w:bookmarkStart w:id="23" w:name="_Toc461648590"/>
      <w:bookmarkStart w:id="24" w:name="_Toc461648682"/>
      <w:bookmarkStart w:id="25" w:name="_Toc462228049"/>
      <w:bookmarkStart w:id="26" w:name="_Toc462228129"/>
      <w:bookmarkStart w:id="27" w:name="_Toc496099789"/>
      <w:bookmarkStart w:id="28" w:name="_Toc496100166"/>
      <w:bookmarkStart w:id="29" w:name="_Toc499756977"/>
      <w:bookmarkStart w:id="30" w:name="_Toc499757020"/>
      <w:bookmarkStart w:id="31" w:name="_Toc504377974"/>
      <w:r w:rsidRPr="00B416E1">
        <w:rPr>
          <w:rFonts w:ascii="Palatino Linotype" w:eastAsia="Times New Roman" w:hAnsi="Palatino Linotype" w:cs="Arial"/>
          <w:b/>
        </w:rPr>
        <w:t>SEGUNDO.</w:t>
      </w:r>
      <w:bookmarkEnd w:id="23"/>
      <w:bookmarkEnd w:id="24"/>
      <w:bookmarkEnd w:id="25"/>
      <w:bookmarkEnd w:id="26"/>
      <w:bookmarkEnd w:id="27"/>
      <w:bookmarkEnd w:id="28"/>
      <w:bookmarkEnd w:id="29"/>
      <w:bookmarkEnd w:id="30"/>
      <w:bookmarkEnd w:id="31"/>
      <w:r w:rsidRPr="00B416E1">
        <w:rPr>
          <w:rStyle w:val="Ttulo2Car"/>
        </w:rPr>
        <w:t xml:space="preserve"> </w:t>
      </w:r>
      <w:r w:rsidR="00103414" w:rsidRPr="00B416E1">
        <w:rPr>
          <w:rFonts w:ascii="Palatino Linotype" w:hAnsi="Palatino Linotype"/>
          <w:b/>
          <w:bCs/>
          <w:color w:val="222222"/>
          <w:lang w:val="es-ES"/>
        </w:rPr>
        <w:t>Notifíquese</w:t>
      </w:r>
      <w:r w:rsidR="00103414" w:rsidRPr="00B416E1">
        <w:rPr>
          <w:rFonts w:ascii="Palatino Linotype" w:eastAsia="MS Mincho" w:hAnsi="Palatino Linotype" w:cs="Arial"/>
          <w:b/>
          <w:bCs/>
          <w:color w:val="000000" w:themeColor="text1"/>
          <w:shd w:val="clear" w:color="auto" w:fill="FFFFFF"/>
        </w:rPr>
        <w:t xml:space="preserve"> </w:t>
      </w:r>
      <w:r w:rsidR="00103414" w:rsidRPr="00B416E1">
        <w:rPr>
          <w:rFonts w:ascii="Palatino Linotype" w:eastAsia="MS Mincho" w:hAnsi="Palatino Linotype"/>
          <w:color w:val="000000" w:themeColor="text1"/>
          <w:shd w:val="clear" w:color="auto" w:fill="FFFFFF"/>
        </w:rPr>
        <w:t>al Titular de la Unidad de Transparencia del</w:t>
      </w:r>
      <w:r w:rsidR="00103414" w:rsidRPr="00B416E1">
        <w:rPr>
          <w:rFonts w:ascii="Palatino Linotype" w:eastAsia="MS Mincho" w:hAnsi="Palatino Linotype"/>
          <w:b/>
          <w:bCs/>
          <w:color w:val="000000" w:themeColor="text1"/>
          <w:shd w:val="clear" w:color="auto" w:fill="FFFFFF"/>
        </w:rPr>
        <w:t xml:space="preserve"> SUJETO OBLIGADO</w:t>
      </w:r>
      <w:r w:rsidR="00103414" w:rsidRPr="00B416E1">
        <w:rPr>
          <w:rFonts w:ascii="Palatino Linotype" w:eastAsia="MS Mincho" w:hAnsi="Palatino Linotype"/>
          <w:color w:val="000000" w:themeColor="text1"/>
          <w:shd w:val="clear" w:color="auto" w:fill="FFFFFF"/>
        </w:rPr>
        <w:t xml:space="preserve"> vía </w:t>
      </w:r>
      <w:r w:rsidR="00103414" w:rsidRPr="00B416E1">
        <w:rPr>
          <w:rFonts w:ascii="Palatino Linotype" w:eastAsia="MS Mincho" w:hAnsi="Palatino Linotype"/>
          <w:b/>
          <w:color w:val="000000" w:themeColor="text1"/>
          <w:shd w:val="clear" w:color="auto" w:fill="FFFFFF"/>
        </w:rPr>
        <w:t>SAIMEX</w:t>
      </w:r>
      <w:r w:rsidR="00103414" w:rsidRPr="00B416E1">
        <w:rPr>
          <w:rFonts w:ascii="Palatino Linotype" w:eastAsia="MS Mincho" w:hAnsi="Palatino Linotype"/>
          <w:color w:val="000000" w:themeColor="text1"/>
          <w:shd w:val="clear" w:color="auto" w:fill="FFFFFF"/>
        </w:rPr>
        <w:t>, la presente resolución.</w:t>
      </w:r>
    </w:p>
    <w:p w:rsidR="00531473" w:rsidRPr="00B416E1"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B416E1">
        <w:rPr>
          <w:rFonts w:ascii="Palatino Linotype" w:hAnsi="Palatino Linotype" w:cs="Arial"/>
          <w:b/>
        </w:rPr>
        <w:t>TERCERO</w:t>
      </w:r>
      <w:r w:rsidRPr="00B416E1">
        <w:rPr>
          <w:rFonts w:ascii="Palatino Linotype" w:hAnsi="Palatino Linotype"/>
          <w:b/>
          <w:color w:val="222222"/>
          <w:lang w:eastAsia="es-ES_tradnl"/>
        </w:rPr>
        <w:t>.</w:t>
      </w:r>
      <w:r w:rsidRPr="00B416E1">
        <w:rPr>
          <w:rFonts w:ascii="Palatino Linotype" w:hAnsi="Palatino Linotype"/>
          <w:b/>
          <w:color w:val="222222"/>
          <w:sz w:val="22"/>
          <w:szCs w:val="22"/>
          <w:lang w:eastAsia="es-ES_tradnl"/>
        </w:rPr>
        <w:t xml:space="preserve"> </w:t>
      </w:r>
      <w:r w:rsidRPr="00B416E1">
        <w:rPr>
          <w:rFonts w:ascii="Palatino Linotype" w:hAnsi="Palatino Linotype"/>
          <w:b/>
          <w:color w:val="222222"/>
          <w:lang w:eastAsia="es-ES_tradnl"/>
        </w:rPr>
        <w:t xml:space="preserve">Notifíquese </w:t>
      </w:r>
      <w:r w:rsidRPr="00B416E1">
        <w:rPr>
          <w:rFonts w:ascii="Palatino Linotype" w:hAnsi="Palatino Linotype"/>
          <w:color w:val="222222"/>
          <w:lang w:eastAsia="es-ES_tradnl"/>
        </w:rPr>
        <w:t>a</w:t>
      </w:r>
      <w:r w:rsidRPr="00B416E1">
        <w:rPr>
          <w:rFonts w:ascii="Palatino Linotype" w:hAnsi="Palatino Linotype"/>
          <w:b/>
          <w:color w:val="222222"/>
          <w:lang w:eastAsia="es-ES_tradnl"/>
        </w:rPr>
        <w:t xml:space="preserve"> </w:t>
      </w:r>
      <w:r w:rsidR="00CE3153" w:rsidRPr="00B416E1">
        <w:rPr>
          <w:rFonts w:ascii="Palatino Linotype" w:hAnsi="Palatino Linotype"/>
          <w:b/>
          <w:szCs w:val="22"/>
        </w:rPr>
        <w:t>EL RECURRENTE</w:t>
      </w:r>
      <w:r w:rsidRPr="00B416E1">
        <w:rPr>
          <w:rFonts w:ascii="Palatino Linotype" w:hAnsi="Palatino Linotype"/>
          <w:color w:val="222222"/>
          <w:lang w:eastAsia="es-ES_tradnl"/>
        </w:rPr>
        <w:t xml:space="preserve"> la presente resolución, vía </w:t>
      </w:r>
      <w:r w:rsidRPr="00B416E1">
        <w:rPr>
          <w:rFonts w:ascii="Palatino Linotype" w:hAnsi="Palatino Linotype"/>
          <w:b/>
          <w:color w:val="222222"/>
          <w:lang w:eastAsia="es-ES_tradnl"/>
        </w:rPr>
        <w:t>SAIMEX</w:t>
      </w:r>
      <w:r w:rsidRPr="00B416E1">
        <w:rPr>
          <w:rFonts w:ascii="Palatino Linotype" w:hAnsi="Palatino Linotype"/>
          <w:color w:val="222222"/>
          <w:lang w:eastAsia="es-ES_tradnl"/>
        </w:rPr>
        <w:t>.</w:t>
      </w:r>
    </w:p>
    <w:p w:rsidR="00BB5758" w:rsidRPr="00B416E1"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Pr="00B416E1"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B416E1">
        <w:rPr>
          <w:rFonts w:ascii="Palatino Linotype" w:hAnsi="Palatino Linotype"/>
          <w:b/>
          <w:color w:val="222222"/>
          <w:lang w:eastAsia="es-ES_tradnl"/>
        </w:rPr>
        <w:t xml:space="preserve">CUARTO. </w:t>
      </w:r>
      <w:r w:rsidR="000E31C4" w:rsidRPr="00B416E1">
        <w:rPr>
          <w:rFonts w:ascii="Palatino Linotype" w:eastAsia="MS Mincho" w:hAnsi="Palatino Linotype"/>
        </w:rPr>
        <w:t xml:space="preserve">Se hace del conocimiento de </w:t>
      </w:r>
      <w:r w:rsidR="00CE3153" w:rsidRPr="00B416E1">
        <w:rPr>
          <w:rFonts w:ascii="Palatino Linotype" w:eastAsia="MS Mincho" w:hAnsi="Palatino Linotype"/>
          <w:b/>
        </w:rPr>
        <w:t>EL RECURRENTE</w:t>
      </w:r>
      <w:r w:rsidR="000E31C4" w:rsidRPr="00B416E1">
        <w:rPr>
          <w:rFonts w:ascii="Palatino Linotype" w:hAnsi="Palatino Linotype"/>
        </w:rPr>
        <w:t xml:space="preserve"> </w:t>
      </w:r>
      <w:r w:rsidR="000E31C4" w:rsidRPr="00B416E1">
        <w:rPr>
          <w:rFonts w:ascii="Palatino Linotype" w:eastAsia="MS Mincho" w:hAnsi="Palatino Linotype"/>
        </w:rPr>
        <w:t xml:space="preserve">que, de conformidad con </w:t>
      </w:r>
      <w:r w:rsidR="000E31C4" w:rsidRPr="00B416E1">
        <w:rPr>
          <w:rFonts w:ascii="Palatino Linotype" w:eastAsia="MS Mincho" w:hAnsi="Palatino Linotype"/>
        </w:rPr>
        <w:lastRenderedPageBreak/>
        <w:t>lo establecido en el artículo 196 de la Ley de Transparencia y Acceso a la Información Pública del Estado de México y Municipios, en caso de que considere que la resolución le cause algún perjuicio podrá impugnarla </w:t>
      </w:r>
      <w:r w:rsidR="000E31C4" w:rsidRPr="00B416E1">
        <w:rPr>
          <w:rFonts w:ascii="Palatino Linotype" w:eastAsia="MS Mincho" w:hAnsi="Palatino Linotype"/>
          <w:bCs/>
        </w:rPr>
        <w:t>vía juicio de amparo</w:t>
      </w:r>
      <w:r w:rsidR="000E31C4" w:rsidRPr="00B416E1">
        <w:rPr>
          <w:rFonts w:ascii="Palatino Linotype" w:eastAsia="MS Mincho" w:hAnsi="Palatino Linotype"/>
        </w:rPr>
        <w:t> en los términos de las leyes aplicables.</w:t>
      </w:r>
    </w:p>
    <w:p w:rsidR="00D60F5E" w:rsidRPr="00B416E1"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473138" w:rsidRPr="00473138" w:rsidRDefault="00473138" w:rsidP="00473138">
      <w:pPr>
        <w:spacing w:before="240" w:after="240" w:line="360" w:lineRule="auto"/>
        <w:ind w:firstLine="1"/>
        <w:jc w:val="both"/>
        <w:rPr>
          <w:rFonts w:ascii="Palatino Linotype" w:hAnsi="Palatino Linotype"/>
          <w:smallCaps/>
        </w:rPr>
      </w:pPr>
      <w:bookmarkStart w:id="32" w:name="_Hlk129792997"/>
      <w:r w:rsidRPr="00473138">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32"/>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11"/>
      <w:headerReference w:type="default" r:id="rId12"/>
      <w:footerReference w:type="default" r:id="rId13"/>
      <w:headerReference w:type="first" r:id="rId14"/>
      <w:foot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DE8" w:rsidRDefault="007D3DE8" w:rsidP="003B7751">
      <w:r>
        <w:separator/>
      </w:r>
    </w:p>
  </w:endnote>
  <w:endnote w:type="continuationSeparator" w:id="0">
    <w:p w:rsidR="007D3DE8" w:rsidRDefault="007D3DE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ascadia Code ExtraLight"/>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011">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3011">
              <w:rPr>
                <w:rFonts w:ascii="Palatino Linotype" w:hAnsi="Palatino Linotype"/>
                <w:bCs/>
                <w:noProof/>
                <w:sz w:val="20"/>
              </w:rPr>
              <w:t>17</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30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3011">
      <w:rPr>
        <w:rFonts w:ascii="Palatino Linotype" w:hAnsi="Palatino Linotype"/>
        <w:bCs/>
        <w:noProof/>
        <w:sz w:val="20"/>
      </w:rPr>
      <w:t>17</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DE8" w:rsidRDefault="007D3DE8" w:rsidP="003B7751">
      <w:r>
        <w:separator/>
      </w:r>
    </w:p>
  </w:footnote>
  <w:footnote w:type="continuationSeparator" w:id="0">
    <w:p w:rsidR="007D3DE8" w:rsidRDefault="007D3DE8"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7D3DE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127" w:type="dxa"/>
      <w:tblCellMar>
        <w:left w:w="70" w:type="dxa"/>
        <w:right w:w="70" w:type="dxa"/>
      </w:tblCellMar>
      <w:tblLook w:val="04A0" w:firstRow="1" w:lastRow="0" w:firstColumn="1" w:lastColumn="0" w:noHBand="0" w:noVBand="1"/>
    </w:tblPr>
    <w:tblGrid>
      <w:gridCol w:w="2976"/>
      <w:gridCol w:w="4395"/>
    </w:tblGrid>
    <w:tr w:rsidR="00D46375" w:rsidTr="009545D4">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395" w:type="dxa"/>
          <w:vAlign w:val="center"/>
          <w:hideMark/>
        </w:tcPr>
        <w:p w:rsidR="00D46375" w:rsidRPr="009545D4" w:rsidRDefault="00692B55" w:rsidP="002650A0">
          <w:pPr>
            <w:pStyle w:val="Encabezado"/>
            <w:rPr>
              <w:rFonts w:ascii="Palatino Linotype" w:hAnsi="Palatino Linotype"/>
              <w:sz w:val="22"/>
              <w:szCs w:val="22"/>
            </w:rPr>
          </w:pPr>
          <w:r w:rsidRPr="009545D4">
            <w:rPr>
              <w:rFonts w:ascii="Palatino Linotype" w:eastAsia="MS Mincho" w:hAnsi="Palatino Linotype" w:cs="Times New Roman"/>
              <w:bCs/>
              <w:sz w:val="22"/>
              <w:szCs w:val="20"/>
              <w:lang w:val="es-MX"/>
            </w:rPr>
            <w:t>04093/INFOEM/ICR-360/IP/RR/2023</w:t>
          </w:r>
        </w:p>
      </w:tc>
    </w:tr>
    <w:tr w:rsidR="00D46375" w:rsidTr="009545D4">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395" w:type="dxa"/>
          <w:vAlign w:val="center"/>
          <w:hideMark/>
        </w:tcPr>
        <w:p w:rsidR="00D46375" w:rsidRPr="009545D4" w:rsidRDefault="00692B55" w:rsidP="009F09BC">
          <w:pPr>
            <w:pStyle w:val="Encabezado"/>
            <w:jc w:val="both"/>
            <w:rPr>
              <w:rFonts w:ascii="Palatino Linotype" w:hAnsi="Palatino Linotype"/>
              <w:sz w:val="22"/>
              <w:szCs w:val="22"/>
            </w:rPr>
          </w:pPr>
          <w:r w:rsidRPr="009545D4">
            <w:rPr>
              <w:rFonts w:ascii="Palatino Linotype" w:eastAsia="Times New Roman" w:hAnsi="Palatino Linotype" w:cs="Arial"/>
              <w:color w:val="000000"/>
              <w:sz w:val="22"/>
              <w:szCs w:val="20"/>
              <w:lang w:val="es-MX"/>
            </w:rPr>
            <w:t>Organismo Público Descentralizado para la Prestación de los Servicios de Agua Potable, Alcantarillado y Saneamiento del Municipio de La Paz</w:t>
          </w:r>
        </w:p>
      </w:tc>
    </w:tr>
    <w:tr w:rsidR="00D46375" w:rsidTr="009545D4">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4395" w:type="dxa"/>
          <w:vAlign w:val="center"/>
          <w:hideMark/>
        </w:tcPr>
        <w:p w:rsidR="00D46375" w:rsidRPr="009545D4" w:rsidRDefault="00D46375" w:rsidP="00692B55">
          <w:pPr>
            <w:pStyle w:val="Encabezado"/>
            <w:jc w:val="both"/>
            <w:rPr>
              <w:rFonts w:ascii="Palatino Linotype" w:hAnsi="Palatino Linotype"/>
              <w:sz w:val="22"/>
              <w:szCs w:val="22"/>
            </w:rPr>
          </w:pPr>
          <w:r w:rsidRPr="009545D4">
            <w:rPr>
              <w:rFonts w:ascii="Palatino Linotype" w:eastAsia="Times New Roman" w:hAnsi="Palatino Linotype" w:cs="Arial"/>
              <w:color w:val="000000"/>
              <w:sz w:val="22"/>
              <w:szCs w:val="20"/>
              <w:lang w:val="es-MX"/>
            </w:rPr>
            <w:t>María del Rosario Mejía Ayala</w:t>
          </w:r>
        </w:p>
      </w:tc>
    </w:tr>
  </w:tbl>
  <w:p w:rsidR="00D46375" w:rsidRPr="00AE046A" w:rsidRDefault="007D3DE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CellMar>
        <w:left w:w="70" w:type="dxa"/>
        <w:right w:w="70" w:type="dxa"/>
      </w:tblCellMar>
      <w:tblLook w:val="04A0" w:firstRow="1" w:lastRow="0" w:firstColumn="1" w:lastColumn="0" w:noHBand="0" w:noVBand="1"/>
    </w:tblPr>
    <w:tblGrid>
      <w:gridCol w:w="2977"/>
      <w:gridCol w:w="4394"/>
    </w:tblGrid>
    <w:tr w:rsidR="00D46375" w:rsidRPr="009545D4" w:rsidTr="009545D4">
      <w:trPr>
        <w:trHeight w:val="227"/>
      </w:trPr>
      <w:tc>
        <w:tcPr>
          <w:tcW w:w="2977" w:type="dxa"/>
          <w:vAlign w:val="center"/>
          <w:hideMark/>
        </w:tcPr>
        <w:p w:rsidR="00D46375" w:rsidRPr="009545D4" w:rsidRDefault="00D46375" w:rsidP="009F09BC">
          <w:pPr>
            <w:jc w:val="right"/>
            <w:rPr>
              <w:rFonts w:ascii="Palatino Linotype" w:hAnsi="Palatino Linotype"/>
              <w:b/>
              <w:sz w:val="22"/>
              <w:szCs w:val="22"/>
            </w:rPr>
          </w:pPr>
          <w:r w:rsidRPr="009545D4">
            <w:rPr>
              <w:rFonts w:ascii="Palatino Linotype" w:hAnsi="Palatino Linotype"/>
              <w:b/>
              <w:sz w:val="22"/>
              <w:szCs w:val="22"/>
            </w:rPr>
            <w:t>Recurso de Revisión:</w:t>
          </w:r>
        </w:p>
      </w:tc>
      <w:tc>
        <w:tcPr>
          <w:tcW w:w="4394" w:type="dxa"/>
          <w:vAlign w:val="center"/>
          <w:hideMark/>
        </w:tcPr>
        <w:p w:rsidR="00D46375" w:rsidRPr="009545D4" w:rsidRDefault="00677893" w:rsidP="009545D4">
          <w:pPr>
            <w:pStyle w:val="Encabezado"/>
            <w:rPr>
              <w:rFonts w:ascii="Palatino Linotype" w:hAnsi="Palatino Linotype"/>
              <w:sz w:val="22"/>
              <w:szCs w:val="22"/>
            </w:rPr>
          </w:pPr>
          <w:r w:rsidRPr="009545D4">
            <w:rPr>
              <w:rFonts w:ascii="Palatino Linotype" w:hAnsi="Palatino Linotype" w:cs="Arial"/>
              <w:bCs/>
              <w:sz w:val="22"/>
              <w:szCs w:val="22"/>
              <w:lang w:val="es-MX" w:eastAsia="es-MX"/>
            </w:rPr>
            <w:t>04093/INFOEM/ICR-360/IP/RR/2023</w:t>
          </w:r>
        </w:p>
      </w:tc>
    </w:tr>
    <w:tr w:rsidR="00D46375" w:rsidRPr="009545D4" w:rsidTr="009545D4">
      <w:trPr>
        <w:trHeight w:val="242"/>
      </w:trPr>
      <w:tc>
        <w:tcPr>
          <w:tcW w:w="2977" w:type="dxa"/>
          <w:vAlign w:val="center"/>
          <w:hideMark/>
        </w:tcPr>
        <w:p w:rsidR="00D46375" w:rsidRPr="009545D4" w:rsidRDefault="00D46375" w:rsidP="009F09BC">
          <w:pPr>
            <w:jc w:val="right"/>
            <w:rPr>
              <w:rFonts w:ascii="Palatino Linotype" w:hAnsi="Palatino Linotype"/>
              <w:b/>
              <w:sz w:val="22"/>
              <w:szCs w:val="22"/>
            </w:rPr>
          </w:pPr>
          <w:r w:rsidRPr="009545D4">
            <w:rPr>
              <w:rFonts w:ascii="Palatino Linotype" w:hAnsi="Palatino Linotype"/>
              <w:b/>
              <w:sz w:val="22"/>
              <w:szCs w:val="22"/>
            </w:rPr>
            <w:t>Recurrente:</w:t>
          </w:r>
        </w:p>
      </w:tc>
      <w:tc>
        <w:tcPr>
          <w:tcW w:w="4394" w:type="dxa"/>
          <w:hideMark/>
        </w:tcPr>
        <w:p w:rsidR="00D46375" w:rsidRPr="009545D4" w:rsidRDefault="00653011" w:rsidP="009545D4">
          <w:pPr>
            <w:pStyle w:val="Encabezado"/>
            <w:tabs>
              <w:tab w:val="left" w:pos="521"/>
            </w:tabs>
            <w:rPr>
              <w:rFonts w:ascii="Palatino Linotype" w:hAnsi="Palatino Linotype"/>
              <w:sz w:val="22"/>
              <w:szCs w:val="22"/>
            </w:rPr>
          </w:pPr>
          <w:r>
            <w:rPr>
              <w:rFonts w:ascii="Palatino Linotype" w:hAnsi="Palatino Linotype"/>
              <w:sz w:val="22"/>
              <w:szCs w:val="22"/>
              <w:lang w:val="es-MX"/>
            </w:rPr>
            <w:t xml:space="preserve">XXX </w:t>
          </w:r>
          <w:proofErr w:type="spellStart"/>
          <w:r>
            <w:rPr>
              <w:rFonts w:ascii="Palatino Linotype" w:hAnsi="Palatino Linotype"/>
              <w:sz w:val="22"/>
              <w:szCs w:val="22"/>
              <w:lang w:val="es-MX"/>
            </w:rPr>
            <w:t>XXX</w:t>
          </w:r>
          <w:proofErr w:type="spellEnd"/>
          <w:r>
            <w:rPr>
              <w:rFonts w:ascii="Palatino Linotype" w:hAnsi="Palatino Linotype"/>
              <w:sz w:val="22"/>
              <w:szCs w:val="22"/>
              <w:lang w:val="es-MX"/>
            </w:rPr>
            <w:t xml:space="preserve"> </w:t>
          </w:r>
          <w:proofErr w:type="spellStart"/>
          <w:r>
            <w:rPr>
              <w:rFonts w:ascii="Palatino Linotype" w:hAnsi="Palatino Linotype"/>
              <w:sz w:val="22"/>
              <w:szCs w:val="22"/>
              <w:lang w:val="es-MX"/>
            </w:rPr>
            <w:t>XXX</w:t>
          </w:r>
          <w:proofErr w:type="spellEnd"/>
        </w:p>
      </w:tc>
    </w:tr>
    <w:tr w:rsidR="00D46375" w:rsidRPr="009545D4" w:rsidTr="009545D4">
      <w:trPr>
        <w:trHeight w:val="342"/>
      </w:trPr>
      <w:tc>
        <w:tcPr>
          <w:tcW w:w="2977" w:type="dxa"/>
          <w:vAlign w:val="center"/>
        </w:tcPr>
        <w:p w:rsidR="00D46375" w:rsidRPr="009545D4" w:rsidRDefault="00D46375" w:rsidP="009F09BC">
          <w:pPr>
            <w:jc w:val="right"/>
            <w:rPr>
              <w:rFonts w:ascii="Palatino Linotype" w:hAnsi="Palatino Linotype"/>
              <w:b/>
              <w:sz w:val="22"/>
              <w:szCs w:val="22"/>
            </w:rPr>
          </w:pPr>
          <w:r w:rsidRPr="009545D4">
            <w:rPr>
              <w:rFonts w:ascii="Palatino Linotype" w:hAnsi="Palatino Linotype"/>
              <w:b/>
              <w:sz w:val="22"/>
              <w:szCs w:val="22"/>
            </w:rPr>
            <w:t>Sujeto Obligado:</w:t>
          </w:r>
        </w:p>
      </w:tc>
      <w:tc>
        <w:tcPr>
          <w:tcW w:w="4394" w:type="dxa"/>
          <w:vAlign w:val="center"/>
        </w:tcPr>
        <w:p w:rsidR="00D46375" w:rsidRPr="009545D4" w:rsidRDefault="00677893" w:rsidP="009545D4">
          <w:pPr>
            <w:pStyle w:val="Encabezado"/>
            <w:rPr>
              <w:rFonts w:ascii="Palatino Linotype" w:hAnsi="Palatino Linotype"/>
              <w:sz w:val="22"/>
              <w:szCs w:val="22"/>
            </w:rPr>
          </w:pPr>
          <w:r w:rsidRPr="009545D4">
            <w:rPr>
              <w:rFonts w:ascii="Palatino Linotype" w:hAnsi="Palatino Linotype"/>
              <w:color w:val="000000" w:themeColor="text1"/>
              <w:sz w:val="22"/>
              <w:szCs w:val="22"/>
              <w:lang w:val="es-MX"/>
            </w:rPr>
            <w:t>Organismo Público Descentralizado para la Prestación de los Servicios de Agua Potable, Alcantarillado y Saneamiento del Municipio de La Paz</w:t>
          </w:r>
          <w:r w:rsidR="00056E93">
            <w:rPr>
              <w:rFonts w:ascii="Palatino Linotype" w:hAnsi="Palatino Linotype"/>
              <w:color w:val="000000" w:themeColor="text1"/>
              <w:sz w:val="22"/>
              <w:szCs w:val="22"/>
              <w:lang w:val="es-MX"/>
            </w:rPr>
            <w:t xml:space="preserve">, </w:t>
          </w:r>
          <w:r w:rsidR="00056E93" w:rsidRPr="00056E93">
            <w:rPr>
              <w:rFonts w:ascii="Palatino Linotype" w:eastAsia="Times New Roman" w:hAnsi="Palatino Linotype" w:cs="Arial"/>
              <w:color w:val="000000" w:themeColor="text1"/>
              <w:sz w:val="22"/>
            </w:rPr>
            <w:t>OPDAPAS</w:t>
          </w:r>
        </w:p>
      </w:tc>
    </w:tr>
    <w:tr w:rsidR="00D46375" w:rsidRPr="009545D4" w:rsidTr="009545D4">
      <w:trPr>
        <w:trHeight w:val="342"/>
      </w:trPr>
      <w:tc>
        <w:tcPr>
          <w:tcW w:w="2977" w:type="dxa"/>
          <w:vAlign w:val="center"/>
        </w:tcPr>
        <w:p w:rsidR="00D46375" w:rsidRPr="009545D4" w:rsidRDefault="00D46375" w:rsidP="009F09BC">
          <w:pPr>
            <w:jc w:val="right"/>
            <w:rPr>
              <w:rFonts w:ascii="Palatino Linotype" w:hAnsi="Palatino Linotype"/>
              <w:b/>
              <w:sz w:val="22"/>
              <w:szCs w:val="22"/>
            </w:rPr>
          </w:pPr>
          <w:r w:rsidRPr="009545D4">
            <w:rPr>
              <w:rFonts w:ascii="Palatino Linotype" w:hAnsi="Palatino Linotype"/>
              <w:b/>
              <w:sz w:val="22"/>
              <w:szCs w:val="22"/>
            </w:rPr>
            <w:t>Comisionada Ponente:</w:t>
          </w:r>
        </w:p>
      </w:tc>
      <w:tc>
        <w:tcPr>
          <w:tcW w:w="4394" w:type="dxa"/>
          <w:vAlign w:val="center"/>
        </w:tcPr>
        <w:p w:rsidR="00D46375" w:rsidRPr="009545D4" w:rsidRDefault="00D46375" w:rsidP="009545D4">
          <w:pPr>
            <w:pStyle w:val="Encabezado"/>
            <w:rPr>
              <w:rFonts w:ascii="Palatino Linotype" w:hAnsi="Palatino Linotype"/>
              <w:sz w:val="22"/>
              <w:szCs w:val="22"/>
            </w:rPr>
          </w:pPr>
          <w:r w:rsidRPr="009545D4">
            <w:rPr>
              <w:rFonts w:ascii="Palatino Linotype" w:hAnsi="Palatino Linotype"/>
              <w:sz w:val="22"/>
              <w:szCs w:val="22"/>
            </w:rPr>
            <w:t>María del Rosario Mejía Ayala</w:t>
          </w:r>
        </w:p>
      </w:tc>
    </w:tr>
  </w:tbl>
  <w:p w:rsidR="00D46375" w:rsidRPr="00C222C0" w:rsidRDefault="007D3DE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B63D88"/>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7"/>
  </w:num>
  <w:num w:numId="5">
    <w:abstractNumId w:val="9"/>
  </w:num>
  <w:num w:numId="6">
    <w:abstractNumId w:val="6"/>
  </w:num>
  <w:num w:numId="7">
    <w:abstractNumId w:val="5"/>
  </w:num>
  <w:num w:numId="8">
    <w:abstractNumId w:val="8"/>
  </w:num>
  <w:num w:numId="9">
    <w:abstractNumId w:val="1"/>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56E93"/>
    <w:rsid w:val="0008243D"/>
    <w:rsid w:val="000901F1"/>
    <w:rsid w:val="000A6153"/>
    <w:rsid w:val="000B42EA"/>
    <w:rsid w:val="000E1A02"/>
    <w:rsid w:val="000E31C4"/>
    <w:rsid w:val="000E4891"/>
    <w:rsid w:val="00103414"/>
    <w:rsid w:val="00114502"/>
    <w:rsid w:val="001269AD"/>
    <w:rsid w:val="001310C6"/>
    <w:rsid w:val="00134CE6"/>
    <w:rsid w:val="001352F5"/>
    <w:rsid w:val="00166F3E"/>
    <w:rsid w:val="001A18E7"/>
    <w:rsid w:val="001B19F1"/>
    <w:rsid w:val="001C0DB3"/>
    <w:rsid w:val="001C1A77"/>
    <w:rsid w:val="001C31A4"/>
    <w:rsid w:val="001C4290"/>
    <w:rsid w:val="001D23C1"/>
    <w:rsid w:val="001D373F"/>
    <w:rsid w:val="001D5404"/>
    <w:rsid w:val="001D630C"/>
    <w:rsid w:val="001E755B"/>
    <w:rsid w:val="00223C06"/>
    <w:rsid w:val="00237FA4"/>
    <w:rsid w:val="00252540"/>
    <w:rsid w:val="00264C9A"/>
    <w:rsid w:val="002650A0"/>
    <w:rsid w:val="00267A08"/>
    <w:rsid w:val="00272CA2"/>
    <w:rsid w:val="00277FAC"/>
    <w:rsid w:val="002901F4"/>
    <w:rsid w:val="00291500"/>
    <w:rsid w:val="0029504E"/>
    <w:rsid w:val="002A3B71"/>
    <w:rsid w:val="002C0D3C"/>
    <w:rsid w:val="002C4997"/>
    <w:rsid w:val="002C77D6"/>
    <w:rsid w:val="002D294C"/>
    <w:rsid w:val="002F7675"/>
    <w:rsid w:val="0030094A"/>
    <w:rsid w:val="00312281"/>
    <w:rsid w:val="00321085"/>
    <w:rsid w:val="00323FFD"/>
    <w:rsid w:val="00330AC9"/>
    <w:rsid w:val="003437D9"/>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5583"/>
    <w:rsid w:val="00437672"/>
    <w:rsid w:val="00456AEE"/>
    <w:rsid w:val="00456CFF"/>
    <w:rsid w:val="00473138"/>
    <w:rsid w:val="004C76C2"/>
    <w:rsid w:val="004D465B"/>
    <w:rsid w:val="004E4EE6"/>
    <w:rsid w:val="004E6CE4"/>
    <w:rsid w:val="004F34D1"/>
    <w:rsid w:val="00500BD7"/>
    <w:rsid w:val="00507B30"/>
    <w:rsid w:val="00531473"/>
    <w:rsid w:val="005331D8"/>
    <w:rsid w:val="005414D5"/>
    <w:rsid w:val="00541549"/>
    <w:rsid w:val="005432D0"/>
    <w:rsid w:val="00543478"/>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2406B"/>
    <w:rsid w:val="00642B8B"/>
    <w:rsid w:val="00647F7C"/>
    <w:rsid w:val="00653011"/>
    <w:rsid w:val="00657639"/>
    <w:rsid w:val="006672E1"/>
    <w:rsid w:val="00677893"/>
    <w:rsid w:val="00680C93"/>
    <w:rsid w:val="00692B55"/>
    <w:rsid w:val="0069487D"/>
    <w:rsid w:val="006A04B6"/>
    <w:rsid w:val="006A5154"/>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1AA9"/>
    <w:rsid w:val="007A460E"/>
    <w:rsid w:val="007A6A1A"/>
    <w:rsid w:val="007B0745"/>
    <w:rsid w:val="007B3713"/>
    <w:rsid w:val="007B5FAE"/>
    <w:rsid w:val="007C3C29"/>
    <w:rsid w:val="007D3DE8"/>
    <w:rsid w:val="007D711C"/>
    <w:rsid w:val="007E56E1"/>
    <w:rsid w:val="00804DAA"/>
    <w:rsid w:val="0082142B"/>
    <w:rsid w:val="008227A9"/>
    <w:rsid w:val="008526F4"/>
    <w:rsid w:val="008563C8"/>
    <w:rsid w:val="008573BF"/>
    <w:rsid w:val="0086792A"/>
    <w:rsid w:val="00873EB6"/>
    <w:rsid w:val="008A06F8"/>
    <w:rsid w:val="008A64D0"/>
    <w:rsid w:val="008A699B"/>
    <w:rsid w:val="008B0637"/>
    <w:rsid w:val="008B6C7C"/>
    <w:rsid w:val="008C1ED7"/>
    <w:rsid w:val="008E12E3"/>
    <w:rsid w:val="008E32EE"/>
    <w:rsid w:val="008E330F"/>
    <w:rsid w:val="008E6574"/>
    <w:rsid w:val="008F6D18"/>
    <w:rsid w:val="00911A75"/>
    <w:rsid w:val="009126F1"/>
    <w:rsid w:val="00925458"/>
    <w:rsid w:val="00926716"/>
    <w:rsid w:val="009335F9"/>
    <w:rsid w:val="00945135"/>
    <w:rsid w:val="0095341F"/>
    <w:rsid w:val="009545D4"/>
    <w:rsid w:val="00967DFA"/>
    <w:rsid w:val="00982FCD"/>
    <w:rsid w:val="00995B4E"/>
    <w:rsid w:val="009972BB"/>
    <w:rsid w:val="009A2251"/>
    <w:rsid w:val="009C1B6F"/>
    <w:rsid w:val="009C46F2"/>
    <w:rsid w:val="009D0241"/>
    <w:rsid w:val="009D5A32"/>
    <w:rsid w:val="009E5B16"/>
    <w:rsid w:val="009F09BC"/>
    <w:rsid w:val="00A147A0"/>
    <w:rsid w:val="00A224A7"/>
    <w:rsid w:val="00A23E82"/>
    <w:rsid w:val="00A429D6"/>
    <w:rsid w:val="00A47F71"/>
    <w:rsid w:val="00A533B8"/>
    <w:rsid w:val="00A56791"/>
    <w:rsid w:val="00A626EB"/>
    <w:rsid w:val="00A739EE"/>
    <w:rsid w:val="00A9000C"/>
    <w:rsid w:val="00AD316E"/>
    <w:rsid w:val="00AD63B4"/>
    <w:rsid w:val="00AF4BBC"/>
    <w:rsid w:val="00B0695D"/>
    <w:rsid w:val="00B07BF8"/>
    <w:rsid w:val="00B11CDD"/>
    <w:rsid w:val="00B416E1"/>
    <w:rsid w:val="00B5225F"/>
    <w:rsid w:val="00B530E8"/>
    <w:rsid w:val="00B86242"/>
    <w:rsid w:val="00B92791"/>
    <w:rsid w:val="00BB5758"/>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D1021"/>
    <w:rsid w:val="00DD628A"/>
    <w:rsid w:val="00DE2F5A"/>
    <w:rsid w:val="00DE60AD"/>
    <w:rsid w:val="00DF03A5"/>
    <w:rsid w:val="00E118BA"/>
    <w:rsid w:val="00E17429"/>
    <w:rsid w:val="00E25145"/>
    <w:rsid w:val="00E55966"/>
    <w:rsid w:val="00E56172"/>
    <w:rsid w:val="00E5636B"/>
    <w:rsid w:val="00E566C9"/>
    <w:rsid w:val="00E61C13"/>
    <w:rsid w:val="00E61DA9"/>
    <w:rsid w:val="00E87D88"/>
    <w:rsid w:val="00E92E04"/>
    <w:rsid w:val="00EA660A"/>
    <w:rsid w:val="00EB1CE2"/>
    <w:rsid w:val="00ED1D6B"/>
    <w:rsid w:val="00ED3A35"/>
    <w:rsid w:val="00ED6E75"/>
    <w:rsid w:val="00EF280A"/>
    <w:rsid w:val="00EF45F9"/>
    <w:rsid w:val="00F24A04"/>
    <w:rsid w:val="00F35B0C"/>
    <w:rsid w:val="00F42ADB"/>
    <w:rsid w:val="00F469C7"/>
    <w:rsid w:val="00F572AD"/>
    <w:rsid w:val="00F72588"/>
    <w:rsid w:val="00F7371C"/>
    <w:rsid w:val="00F849F2"/>
    <w:rsid w:val="00F946B5"/>
    <w:rsid w:val="00FB6D42"/>
    <w:rsid w:val="00FD2FA4"/>
    <w:rsid w:val="00FE3FBE"/>
    <w:rsid w:val="00FE50A0"/>
    <w:rsid w:val="00FE53A6"/>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47313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em.org.mx/es/content/informacion-publ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1B39-A3FF-4D9F-97FE-FC49CCE1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3204</Words>
  <Characters>17628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2023-08-03T17:58:00Z</cp:lastPrinted>
  <dcterms:created xsi:type="dcterms:W3CDTF">2023-10-24T16:59:00Z</dcterms:created>
  <dcterms:modified xsi:type="dcterms:W3CDTF">2023-10-31T16:48:00Z</dcterms:modified>
</cp:coreProperties>
</file>