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26in1rg"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doce de abril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16924/INFOEM/ICR-87/IP/RR/2022</w:t>
      </w:r>
      <w:r w:rsidDel="00000000" w:rsidR="00000000" w:rsidRPr="00000000">
        <w:rPr>
          <w:rFonts w:ascii="Palatino Linotype" w:cs="Palatino Linotype" w:eastAsia="Palatino Linotype" w:hAnsi="Palatino Linotype"/>
          <w:rtl w:val="0"/>
        </w:rPr>
        <w:t xml:space="preserve">, interpuesto </w:t>
      </w:r>
      <w:r w:rsidDel="00000000" w:rsidR="00000000" w:rsidRPr="00000000">
        <w:rPr>
          <w:rFonts w:ascii="Palatino Linotype" w:cs="Palatino Linotype" w:eastAsia="Palatino Linotype" w:hAnsi="Palatino Linotype"/>
          <w:b w:val="1"/>
          <w:rtl w:val="0"/>
        </w:rPr>
        <w:t xml:space="preserve">una persona usuaria que no proporcionó nombre o seudónimo para ser identificado</w:t>
      </w:r>
      <w:r w:rsidDel="00000000" w:rsidR="00000000" w:rsidRPr="00000000">
        <w:rPr>
          <w:rFonts w:ascii="Palatino Linotype" w:cs="Palatino Linotype" w:eastAsia="Palatino Linotype" w:hAnsi="Palatino Linotype"/>
          <w:rtl w:val="0"/>
        </w:rPr>
        <w:t xml:space="preserve">, quien en lo sucesivo será identificada como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falta de respuesta del </w:t>
      </w:r>
      <w:r w:rsidDel="00000000" w:rsidR="00000000" w:rsidRPr="00000000">
        <w:rPr>
          <w:rFonts w:ascii="Palatino Linotype" w:cs="Palatino Linotype" w:eastAsia="Palatino Linotype" w:hAnsi="Palatino Linotype"/>
          <w:b w:val="1"/>
          <w:rtl w:val="0"/>
        </w:rPr>
        <w:t xml:space="preserve">Ayuntamiento de Zinacantepec,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cumplimiento a la determinación del diverso con número </w:t>
      </w:r>
      <w:r w:rsidDel="00000000" w:rsidR="00000000" w:rsidRPr="00000000">
        <w:rPr>
          <w:rFonts w:ascii="Palatino Linotype" w:cs="Palatino Linotype" w:eastAsia="Palatino Linotype" w:hAnsi="Palatino Linotype"/>
          <w:b w:val="1"/>
          <w:sz w:val="22"/>
          <w:szCs w:val="22"/>
          <w:rtl w:val="0"/>
        </w:rPr>
        <w:t xml:space="preserve">16924/INFOEM//IP/RR/2022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primero de noviembre dos mil veintidós,</w:t>
      </w:r>
      <w:r w:rsidDel="00000000" w:rsidR="00000000" w:rsidRPr="00000000">
        <w:rPr>
          <w:rFonts w:ascii="Palatino Linotype" w:cs="Palatino Linotype" w:eastAsia="Palatino Linotype" w:hAnsi="Palatino Linotype"/>
          <w:rtl w:val="0"/>
        </w:rPr>
        <w:t xml:space="preserve"> la persona solicitante presentó,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01168/ZINACANT/IP/2022,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LOS RECIBOS DE PAGO DE AGUINALDO DE LOS AÑOS 2018, 2019, 2020, 2021 Y 2022.”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Sistema de Acceso a la Información Mexiquense (SAIMEX).</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no respondió a la solicitud de información formulada por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w:t>
      </w:r>
      <w:r w:rsidDel="00000000" w:rsidR="00000000" w:rsidRPr="00000000">
        <w:rPr>
          <w:rFonts w:ascii="Palatino Linotype" w:cs="Palatino Linotype" w:eastAsia="Palatino Linotype" w:hAnsi="Palatino Linotype"/>
          <w:rtl w:val="0"/>
        </w:rPr>
        <w:t xml:space="preserve">. Inconforme la persona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veinticinco de noviembre de dos mil veintidós</w:t>
      </w:r>
      <w:r w:rsidDel="00000000" w:rsidR="00000000" w:rsidRPr="00000000">
        <w:rPr>
          <w:rFonts w:ascii="Palatino Linotype" w:cs="Palatino Linotype" w:eastAsia="Palatino Linotype" w:hAnsi="Palatino Linotype"/>
          <w:rtl w:val="0"/>
        </w:rPr>
        <w:t xml:space="preserve"> interpuso el recurso de revisión a través de SAIMEX, expresando lo siguiente:</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B">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bookmarkStart w:colFirst="0" w:colLast="0" w:name="_heading=h.tyjcwt"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i w:val="1"/>
          <w:sz w:val="22"/>
          <w:szCs w:val="22"/>
          <w:rtl w:val="0"/>
        </w:rPr>
        <w:t xml:space="preserve"> “NO ENTREGA INFORMACIÓN. " (sic)</w:t>
      </w:r>
    </w:p>
    <w:p w:rsidR="00000000" w:rsidDel="00000000" w:rsidP="00000000" w:rsidRDefault="00000000" w:rsidRPr="00000000" w14:paraId="0000000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40" w:before="24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4. Trámite del Recurso de Revisión </w:t>
      </w:r>
      <w:r w:rsidDel="00000000" w:rsidR="00000000" w:rsidRPr="00000000">
        <w:rPr>
          <w:rFonts w:ascii="Palatino Linotype" w:cs="Palatino Linotype" w:eastAsia="Palatino Linotype" w:hAnsi="Palatino Linotype"/>
          <w:b w:val="1"/>
          <w:sz w:val="22"/>
          <w:szCs w:val="22"/>
          <w:rtl w:val="0"/>
        </w:rPr>
        <w:t xml:space="preserve">16924/INFOEM//IP/RR/2022 </w:t>
      </w:r>
      <w:r w:rsidDel="00000000" w:rsidR="00000000" w:rsidRPr="00000000">
        <w:rPr>
          <w:rFonts w:ascii="Palatino Linotype" w:cs="Palatino Linotype" w:eastAsia="Palatino Linotype" w:hAnsi="Palatino Linotype"/>
          <w:b w:val="1"/>
          <w:rtl w:val="0"/>
        </w:rPr>
        <w:t xml:space="preserve">ante el Instituto.</w:t>
      </w:r>
      <w:r w:rsidDel="00000000" w:rsidR="00000000" w:rsidRPr="00000000">
        <w:rPr>
          <w:rtl w:val="0"/>
        </w:rPr>
      </w:r>
    </w:p>
    <w:p w:rsidR="00000000" w:rsidDel="00000000" w:rsidP="00000000" w:rsidRDefault="00000000" w:rsidRPr="00000000" w14:paraId="0000001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16924/INFOEM/IP/RR/2022</w:t>
      </w:r>
      <w:r w:rsidDel="00000000" w:rsidR="00000000" w:rsidRPr="00000000">
        <w:rPr>
          <w:rFonts w:ascii="Palatino Linotype" w:cs="Palatino Linotype" w:eastAsia="Palatino Linotype" w:hAnsi="Palatino Linotype"/>
          <w:rtl w:val="0"/>
        </w:rPr>
        <w:t xml:space="preserve"> fue turnado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treinta de noviembre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c.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962150"/>
            <wp:effectExtent b="0" l="0" r="0" t="0"/>
            <wp:docPr id="10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bookmarkStart w:colFirst="0" w:colLast="0" w:name="_heading=h.3rdcrjn" w:id="5"/>
      <w:bookmarkEnd w:id="5"/>
      <w:r w:rsidDel="00000000" w:rsidR="00000000" w:rsidRPr="00000000">
        <w:rPr>
          <w:rFonts w:ascii="Palatino Linotype" w:cs="Palatino Linotype" w:eastAsia="Palatino Linotype" w:hAnsi="Palatino Linotype"/>
          <w:b w:val="1"/>
          <w:rtl w:val="0"/>
        </w:rPr>
        <w:t xml:space="preserve">d.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catorce de diciembre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 Resolución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once de enero de dos mil veintitrés</w:t>
      </w:r>
      <w:r w:rsidDel="00000000" w:rsidR="00000000" w:rsidRPr="00000000">
        <w:rPr>
          <w:rFonts w:ascii="Palatino Linotype" w:cs="Palatino Linotype" w:eastAsia="Palatino Linotype" w:hAnsi="Palatino Linotype"/>
          <w:rtl w:val="0"/>
        </w:rPr>
        <w:t xml:space="preserve">, el Pleno del Instituto de Transparencia, Accesos la Información Pública y Protección de Datos Personales del Estado de México y Municipios, durante la Primera Sesión Ordinaria, aprobó por unanimidad de votos, la Resolución del Recurso de Revisión, en la cual se determinó lo siguiente:</w:t>
      </w:r>
      <w:r w:rsidDel="00000000" w:rsidR="00000000" w:rsidRPr="00000000">
        <w:rPr>
          <w:rtl w:val="0"/>
        </w:rPr>
      </w:r>
    </w:p>
    <w:p w:rsidR="00000000" w:rsidDel="00000000" w:rsidP="00000000" w:rsidRDefault="00000000" w:rsidRPr="00000000" w14:paraId="00000016">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 </w:t>
      </w:r>
      <w:r w:rsidDel="00000000" w:rsidR="00000000" w:rsidRPr="00000000">
        <w:rPr>
          <w:rFonts w:ascii="Palatino Linotype" w:cs="Palatino Linotype" w:eastAsia="Palatino Linotype" w:hAnsi="Palatino Linotype"/>
          <w:i w:val="1"/>
          <w:sz w:val="22"/>
          <w:szCs w:val="22"/>
          <w:rtl w:val="0"/>
        </w:rPr>
        <w:t xml:space="preserve">Resultan </w:t>
      </w:r>
      <w:r w:rsidDel="00000000" w:rsidR="00000000" w:rsidRPr="00000000">
        <w:rPr>
          <w:rFonts w:ascii="Palatino Linotype" w:cs="Palatino Linotype" w:eastAsia="Palatino Linotype" w:hAnsi="Palatino Linotype"/>
          <w:b w:val="1"/>
          <w:i w:val="1"/>
          <w:sz w:val="22"/>
          <w:szCs w:val="22"/>
          <w:rtl w:val="0"/>
        </w:rPr>
        <w:t xml:space="preserve">fundados</w:t>
      </w:r>
      <w:r w:rsidDel="00000000" w:rsidR="00000000" w:rsidRPr="00000000">
        <w:rPr>
          <w:rFonts w:ascii="Palatino Linotype" w:cs="Palatino Linotype" w:eastAsia="Palatino Linotype" w:hAnsi="Palatino Linotype"/>
          <w:i w:val="1"/>
          <w:sz w:val="22"/>
          <w:szCs w:val="22"/>
          <w:rtl w:val="0"/>
        </w:rPr>
        <w:t xml:space="preserve"> los motivos de inconformidad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en términos del Considerando </w:t>
      </w: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de la presente resolución.</w:t>
      </w:r>
    </w:p>
    <w:p w:rsidR="00000000" w:rsidDel="00000000" w:rsidP="00000000" w:rsidRDefault="00000000" w:rsidRPr="00000000" w14:paraId="00000017">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Se</w:t>
      </w:r>
      <w:r w:rsidDel="00000000" w:rsidR="00000000" w:rsidRPr="00000000">
        <w:rPr>
          <w:rFonts w:ascii="Palatino Linotype" w:cs="Palatino Linotype" w:eastAsia="Palatino Linotype" w:hAnsi="Palatino Linotype"/>
          <w:b w:val="1"/>
          <w:i w:val="1"/>
          <w:sz w:val="22"/>
          <w:szCs w:val="22"/>
          <w:rtl w:val="0"/>
        </w:rPr>
        <w:t xml:space="preserve"> Ordena </w:t>
      </w:r>
      <w:r w:rsidDel="00000000" w:rsidR="00000000" w:rsidRPr="00000000">
        <w:rPr>
          <w:rFonts w:ascii="Palatino Linotype" w:cs="Palatino Linotype" w:eastAsia="Palatino Linotype" w:hAnsi="Palatino Linotype"/>
          <w:i w:val="1"/>
          <w:sz w:val="22"/>
          <w:szCs w:val="22"/>
          <w:rtl w:val="0"/>
        </w:rPr>
        <w:t xml:space="preserve">al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dé trámite, vía </w:t>
      </w:r>
      <w:r w:rsidDel="00000000" w:rsidR="00000000" w:rsidRPr="00000000">
        <w:rPr>
          <w:rFonts w:ascii="Palatino Linotype" w:cs="Palatino Linotype" w:eastAsia="Palatino Linotype" w:hAnsi="Palatino Linotype"/>
          <w:b w:val="1"/>
          <w:i w:val="1"/>
          <w:sz w:val="22"/>
          <w:szCs w:val="22"/>
          <w:rtl w:val="0"/>
        </w:rPr>
        <w:t xml:space="preserve">Sistema de Acceso a la Información Mexiquense, SAIMEX</w:t>
      </w:r>
      <w:r w:rsidDel="00000000" w:rsidR="00000000" w:rsidRPr="00000000">
        <w:rPr>
          <w:rFonts w:ascii="Palatino Linotype" w:cs="Palatino Linotype" w:eastAsia="Palatino Linotype" w:hAnsi="Palatino Linotype"/>
          <w:i w:val="1"/>
          <w:sz w:val="22"/>
          <w:szCs w:val="22"/>
          <w:rtl w:val="0"/>
        </w:rPr>
        <w:t xml:space="preserve">, a la solicitud de acceso a la información pública </w:t>
      </w:r>
      <w:r w:rsidDel="00000000" w:rsidR="00000000" w:rsidRPr="00000000">
        <w:rPr>
          <w:rFonts w:ascii="Palatino Linotype" w:cs="Palatino Linotype" w:eastAsia="Palatino Linotype" w:hAnsi="Palatino Linotype"/>
          <w:b w:val="1"/>
          <w:i w:val="1"/>
          <w:sz w:val="22"/>
          <w:szCs w:val="22"/>
          <w:rtl w:val="0"/>
        </w:rPr>
        <w:t xml:space="preserve">01168/ZINACANT/IP/2022 </w:t>
      </w:r>
      <w:r w:rsidDel="00000000" w:rsidR="00000000" w:rsidRPr="00000000">
        <w:rPr>
          <w:rFonts w:ascii="Palatino Linotype" w:cs="Palatino Linotype" w:eastAsia="Palatino Linotype" w:hAnsi="Palatino Linotype"/>
          <w:i w:val="1"/>
          <w:sz w:val="22"/>
          <w:szCs w:val="22"/>
          <w:rtl w:val="0"/>
        </w:rPr>
        <w:t xml:space="preserve">que dio origen al recurso de revisión </w:t>
      </w:r>
      <w:r w:rsidDel="00000000" w:rsidR="00000000" w:rsidRPr="00000000">
        <w:rPr>
          <w:rFonts w:ascii="Palatino Linotype" w:cs="Palatino Linotype" w:eastAsia="Palatino Linotype" w:hAnsi="Palatino Linotype"/>
          <w:b w:val="1"/>
          <w:i w:val="1"/>
          <w:sz w:val="22"/>
          <w:szCs w:val="22"/>
          <w:rtl w:val="0"/>
        </w:rPr>
        <w:t xml:space="preserve">16924/INFOEM/IP/RR/2022</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en términos del Considerando</w:t>
      </w:r>
      <w:r w:rsidDel="00000000" w:rsidR="00000000" w:rsidRPr="00000000">
        <w:rPr>
          <w:rFonts w:ascii="Palatino Linotype" w:cs="Palatino Linotype" w:eastAsia="Palatino Linotype" w:hAnsi="Palatino Linotype"/>
          <w:b w:val="1"/>
          <w:i w:val="1"/>
          <w:sz w:val="22"/>
          <w:szCs w:val="22"/>
          <w:rtl w:val="0"/>
        </w:rPr>
        <w:t xml:space="preserve"> Cuarto</w:t>
      </w:r>
      <w:r w:rsidDel="00000000" w:rsidR="00000000" w:rsidRPr="00000000">
        <w:rPr>
          <w:rFonts w:ascii="Palatino Linotype" w:cs="Palatino Linotype" w:eastAsia="Palatino Linotype" w:hAnsi="Palatino Linotype"/>
          <w:i w:val="1"/>
          <w:sz w:val="22"/>
          <w:szCs w:val="22"/>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18">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Tercero. Notifíquese, </w:t>
      </w:r>
      <w:r w:rsidDel="00000000" w:rsidR="00000000" w:rsidRPr="00000000">
        <w:rPr>
          <w:rFonts w:ascii="Palatino Linotype" w:cs="Palatino Linotype" w:eastAsia="Palatino Linotype" w:hAnsi="Palatino Linotype"/>
          <w:i w:val="1"/>
          <w:sz w:val="22"/>
          <w:szCs w:val="22"/>
          <w:rtl w:val="0"/>
        </w:rPr>
        <w:t xml:space="preserve">vía </w:t>
      </w:r>
      <w:r w:rsidDel="00000000" w:rsidR="00000000" w:rsidRPr="00000000">
        <w:rPr>
          <w:rFonts w:ascii="Palatino Linotype" w:cs="Palatino Linotype" w:eastAsia="Palatino Linotype" w:hAnsi="Palatino Linotype"/>
          <w:b w:val="1"/>
          <w:i w:val="1"/>
          <w:sz w:val="22"/>
          <w:szCs w:val="22"/>
          <w:rtl w:val="0"/>
        </w:rPr>
        <w:t xml:space="preserve">SAIMEX</w:t>
      </w:r>
      <w:r w:rsidDel="00000000" w:rsidR="00000000" w:rsidRPr="00000000">
        <w:rPr>
          <w:rFonts w:ascii="Palatino Linotype" w:cs="Palatino Linotype" w:eastAsia="Palatino Linotype" w:hAnsi="Palatino Linotype"/>
          <w:i w:val="1"/>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19">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 Notifíquese, </w:t>
      </w:r>
      <w:r w:rsidDel="00000000" w:rsidR="00000000" w:rsidRPr="00000000">
        <w:rPr>
          <w:rFonts w:ascii="Palatino Linotype" w:cs="Palatino Linotype" w:eastAsia="Palatino Linotype" w:hAnsi="Palatino Linotype"/>
          <w:i w:val="1"/>
          <w:sz w:val="22"/>
          <w:szCs w:val="22"/>
          <w:rtl w:val="0"/>
        </w:rPr>
        <w:t xml:space="preserve">vía </w:t>
      </w:r>
      <w:r w:rsidDel="00000000" w:rsidR="00000000" w:rsidRPr="00000000">
        <w:rPr>
          <w:rFonts w:ascii="Palatino Linotype" w:cs="Palatino Linotype" w:eastAsia="Palatino Linotype" w:hAnsi="Palatino Linotype"/>
          <w:b w:val="1"/>
          <w:i w:val="1"/>
          <w:sz w:val="22"/>
          <w:szCs w:val="22"/>
          <w:rtl w:val="0"/>
        </w:rPr>
        <w:t xml:space="preserve">SAIMEX,</w:t>
      </w:r>
      <w:r w:rsidDel="00000000" w:rsidR="00000000" w:rsidRPr="00000000">
        <w:rPr>
          <w:rFonts w:ascii="Palatino Linotype" w:cs="Palatino Linotype" w:eastAsia="Palatino Linotype" w:hAnsi="Palatino Linotype"/>
          <w:i w:val="1"/>
          <w:sz w:val="22"/>
          <w:szCs w:val="22"/>
          <w:rtl w:val="0"/>
        </w:rPr>
        <w:t xml:space="preserve"> a la parte </w:t>
      </w:r>
      <w:r w:rsidDel="00000000" w:rsidR="00000000" w:rsidRPr="00000000">
        <w:rPr>
          <w:rFonts w:ascii="Palatino Linotype" w:cs="Palatino Linotype" w:eastAsia="Palatino Linotype" w:hAnsi="Palatino Linotype"/>
          <w:b w:val="1"/>
          <w:i w:val="1"/>
          <w:sz w:val="22"/>
          <w:szCs w:val="22"/>
          <w:rtl w:val="0"/>
        </w:rPr>
        <w:t xml:space="preserve">Recurrente </w:t>
      </w:r>
      <w:r w:rsidDel="00000000" w:rsidR="00000000" w:rsidRPr="00000000">
        <w:rPr>
          <w:rFonts w:ascii="Palatino Linotype" w:cs="Palatino Linotype" w:eastAsia="Palatino Linotype" w:hAnsi="Palatino Linotype"/>
          <w:i w:val="1"/>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1A">
      <w:pPr>
        <w:spacing w:after="240" w:before="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 Notifíquese, </w:t>
      </w:r>
      <w:r w:rsidDel="00000000" w:rsidR="00000000" w:rsidRPr="00000000">
        <w:rPr>
          <w:rFonts w:ascii="Palatino Linotype" w:cs="Palatino Linotype" w:eastAsia="Palatino Linotype" w:hAnsi="Palatino Linotype"/>
          <w:i w:val="1"/>
          <w:sz w:val="22"/>
          <w:szCs w:val="22"/>
          <w:rtl w:val="0"/>
        </w:rPr>
        <w:t xml:space="preserve">a la parte </w:t>
      </w:r>
      <w:r w:rsidDel="00000000" w:rsidR="00000000" w:rsidRPr="00000000">
        <w:rPr>
          <w:rFonts w:ascii="Palatino Linotype" w:cs="Palatino Linotype" w:eastAsia="Palatino Linotype" w:hAnsi="Palatino Linotype"/>
          <w:b w:val="1"/>
          <w:i w:val="1"/>
          <w:sz w:val="22"/>
          <w:szCs w:val="22"/>
          <w:rtl w:val="0"/>
        </w:rPr>
        <w:t xml:space="preserve">Recurrente </w:t>
      </w:r>
      <w:r w:rsidDel="00000000" w:rsidR="00000000" w:rsidRPr="00000000">
        <w:rPr>
          <w:rFonts w:ascii="Palatino Linotype" w:cs="Palatino Linotype" w:eastAsia="Palatino Linotype" w:hAnsi="Palatino Linotype"/>
          <w:i w:val="1"/>
          <w:sz w:val="22"/>
          <w:szCs w:val="22"/>
          <w:rtl w:val="0"/>
        </w:rPr>
        <w:t xml:space="preserve">que la respuesta que dé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B">
      <w:pPr>
        <w:spacing w:after="240" w:before="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 Gírese </w:t>
      </w:r>
      <w:r w:rsidDel="00000000" w:rsidR="00000000" w:rsidRPr="00000000">
        <w:rPr>
          <w:rFonts w:ascii="Palatino Linotype" w:cs="Palatino Linotype" w:eastAsia="Palatino Linotype" w:hAnsi="Palatino Linotype"/>
          <w:i w:val="1"/>
          <w:sz w:val="22"/>
          <w:szCs w:val="22"/>
          <w:rtl w:val="0"/>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i w:val="1"/>
          <w:sz w:val="22"/>
          <w:szCs w:val="22"/>
          <w:rtl w:val="0"/>
        </w:rPr>
        <w:t xml:space="preserve"> Cuarto </w:t>
      </w:r>
      <w:r w:rsidDel="00000000" w:rsidR="00000000" w:rsidRPr="00000000">
        <w:rPr>
          <w:rFonts w:ascii="Palatino Linotype" w:cs="Palatino Linotype" w:eastAsia="Palatino Linotype" w:hAnsi="Palatino Linotype"/>
          <w:i w:val="1"/>
          <w:sz w:val="22"/>
          <w:szCs w:val="22"/>
          <w:rtl w:val="0"/>
        </w:rPr>
        <w:t xml:space="preserve">de la presente resolución.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1C">
      <w:pPr>
        <w:spacing w:after="240" w:before="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 </w:t>
      </w:r>
      <w:r w:rsidDel="00000000" w:rsidR="00000000" w:rsidRPr="00000000">
        <w:rPr>
          <w:rFonts w:ascii="Palatino Linotype" w:cs="Palatino Linotype" w:eastAsia="Palatino Linotype" w:hAnsi="Palatino Linotype"/>
          <w:i w:val="1"/>
          <w:sz w:val="22"/>
          <w:szCs w:val="22"/>
          <w:rtl w:val="0"/>
        </w:rPr>
        <w:t xml:space="preserve">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1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 Notificación de la Resolución del Recurso de Revisión 16924/INFOEM/IP/RR/2022. </w:t>
      </w:r>
      <w:r w:rsidDel="00000000" w:rsidR="00000000" w:rsidRPr="00000000">
        <w:rPr>
          <w:rFonts w:ascii="Palatino Linotype" w:cs="Palatino Linotype" w:eastAsia="Palatino Linotype" w:hAnsi="Palatino Linotype"/>
          <w:rtl w:val="0"/>
        </w:rPr>
        <w:t xml:space="preserve">El dieciséis de enero de dos mil veintitrés, se notificó a las partes la resolución del Medio de Impugnación previamente referido, por medio del Sistema de Acceso a la Información Mexiquense (SAIMEX). </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g. Acuerdo de Cumplimiento/Incumplimiento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treinta y uno de enero de dos mil veintitrés</w:t>
      </w:r>
      <w:r w:rsidDel="00000000" w:rsidR="00000000" w:rsidRPr="00000000">
        <w:rPr>
          <w:rFonts w:ascii="Palatino Linotype" w:cs="Palatino Linotype" w:eastAsia="Palatino Linotype" w:hAnsi="Palatino Linotype"/>
          <w:rtl w:val="0"/>
        </w:rPr>
        <w:t xml:space="preserve">, la Dirección de Cumplimientos de este Instituto notificó a las partes, el acuerdo de incumplimiento a la resolución. </w:t>
      </w:r>
    </w:p>
    <w:p w:rsidR="00000000" w:rsidDel="00000000" w:rsidP="00000000" w:rsidRDefault="00000000" w:rsidRPr="00000000" w14:paraId="0000001F">
      <w:pPr>
        <w:spacing w:after="240" w:before="240" w:line="360" w:lineRule="auto"/>
        <w:ind w:left="1418"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200, fracción I de la Ley de Transparencia y Acceso a la Información Pública del Estado de México y Municipios, se les hace de su conocimiento de las partes, el </w:t>
      </w:r>
      <w:r w:rsidDel="00000000" w:rsidR="00000000" w:rsidRPr="00000000">
        <w:rPr>
          <w:rFonts w:ascii="Palatino Linotype" w:cs="Palatino Linotype" w:eastAsia="Palatino Linotype" w:hAnsi="Palatino Linotype"/>
          <w:b w:val="1"/>
          <w:i w:val="1"/>
          <w:sz w:val="22"/>
          <w:szCs w:val="22"/>
          <w:rtl w:val="0"/>
        </w:rPr>
        <w:t xml:space="preserve">Acuerdo de Incumplimiento</w:t>
      </w:r>
      <w:r w:rsidDel="00000000" w:rsidR="00000000" w:rsidRPr="00000000">
        <w:rPr>
          <w:rFonts w:ascii="Palatino Linotype" w:cs="Palatino Linotype" w:eastAsia="Palatino Linotype" w:hAnsi="Palatino Linotype"/>
          <w:i w:val="1"/>
          <w:sz w:val="22"/>
          <w:szCs w:val="22"/>
          <w:rtl w:val="0"/>
        </w:rPr>
        <w:t xml:space="preserve"> a la Resolución del Recurso de Revisión al rubro indicado, emitido en fecha treinta y uno de enero de dos mil veintitres, que deriva de la solicitud de información señalada, para su conocimiento y efectos legales procedentes.”</w:t>
      </w:r>
    </w:p>
    <w:p w:rsidR="00000000" w:rsidDel="00000000" w:rsidP="00000000" w:rsidRDefault="00000000" w:rsidRPr="00000000" w14:paraId="00000020">
      <w:pPr>
        <w:spacing w:line="276" w:lineRule="auto"/>
        <w:ind w:left="851" w:right="85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21">
      <w:pPr>
        <w:spacing w:line="276" w:lineRule="auto"/>
        <w:ind w:left="851" w:right="8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2">
      <w:pPr>
        <w:spacing w:line="360" w:lineRule="auto"/>
        <w:ind w:left="851" w:right="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AI-RR-16924-2022.pdf: </w:t>
      </w:r>
      <w:r w:rsidDel="00000000" w:rsidR="00000000" w:rsidRPr="00000000">
        <w:rPr>
          <w:rFonts w:ascii="Palatino Linotype" w:cs="Palatino Linotype" w:eastAsia="Palatino Linotype" w:hAnsi="Palatino Linotype"/>
          <w:rtl w:val="0"/>
        </w:rPr>
        <w:t xml:space="preserve">Acuerdo de Incumplimiento de fecha treinta y uno de enero de dos mil veintitrés, mediante el cual, el Director de Cumplimientos da cuenta del incumplimiento a la resolución citada al rubro y adicionalmente, solicita se notifique el incumplimiento al Superior Jerárquico del responsable de dar cumplimiento a la Resolución de mérito, así como al Titular del Órgano Interno de Control del INFOEM para efecto de que, en uso de sus atribuciones, se impongan las medidas de apremio procedentes al Sujeto Obligado implicado a fin de garantizar el cumplimiento de la Resolución del Recurso de Revisión de mérito.</w:t>
      </w:r>
      <w:r w:rsidDel="00000000" w:rsidR="00000000" w:rsidRPr="00000000">
        <w:rPr>
          <w:rtl w:val="0"/>
        </w:rPr>
      </w:r>
    </w:p>
    <w:p w:rsidR="00000000" w:rsidDel="00000000" w:rsidP="00000000" w:rsidRDefault="00000000" w:rsidRPr="00000000" w14:paraId="00000023">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4">
      <w:pPr>
        <w:spacing w:line="360" w:lineRule="auto"/>
        <w:ind w:left="851"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 al SJ AI-RR-16924-2022.pdf: </w:t>
      </w:r>
      <w:r w:rsidDel="00000000" w:rsidR="00000000" w:rsidRPr="00000000">
        <w:rPr>
          <w:rFonts w:ascii="Palatino Linotype" w:cs="Palatino Linotype" w:eastAsia="Palatino Linotype" w:hAnsi="Palatino Linotype"/>
          <w:rtl w:val="0"/>
        </w:rPr>
        <w:t xml:space="preserve">Oficio INFOEM/STP/DC/467/2023, signado por el Director de Cumplimientos, mediante el cual se solicita que se notifique al superior jerárquico del responsable de dar cumplimiento a la resolución de mérito, a efecto de que dé cumplimiento a la misma en un periodo no mayor a cinco días hábiles.</w:t>
      </w:r>
    </w:p>
    <w:p w:rsidR="00000000" w:rsidDel="00000000" w:rsidP="00000000" w:rsidRDefault="00000000" w:rsidRPr="00000000" w14:paraId="00000025">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h. Turno a la Contraloría Interna para Imposición de Medida de Apremio.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treinta y uno de enero de dos mil veintitrés</w:t>
      </w:r>
      <w:r w:rsidDel="00000000" w:rsidR="00000000" w:rsidRPr="00000000">
        <w:rPr>
          <w:rFonts w:ascii="Palatino Linotype" w:cs="Palatino Linotype" w:eastAsia="Palatino Linotype" w:hAnsi="Palatino Linotype"/>
          <w:rtl w:val="0"/>
        </w:rPr>
        <w:t xml:space="preserve">, se notificó al Titular del Órgano de Control Interno, el oficio INFOEM/STP/DC/566/2023, de fecha primero de treinta y uno de enero de dos mil veintitrés, mediante el cual, el Director de Cumplimientos hace del conocimiento del Contralor que se emitió un incumplimiento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efecto de que en ejercicio de sus atribuciones, se impongan las medidas de apremio que conforme a derecho procedan.</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Interposición del Segundo Recurso de Revisión </w:t>
      </w:r>
      <w:r w:rsidDel="00000000" w:rsidR="00000000" w:rsidRPr="00000000">
        <w:rPr>
          <w:rFonts w:ascii="Palatino Linotype" w:cs="Palatino Linotype" w:eastAsia="Palatino Linotype" w:hAnsi="Palatino Linotype"/>
          <w:b w:val="1"/>
          <w:sz w:val="22"/>
          <w:szCs w:val="22"/>
          <w:rtl w:val="0"/>
        </w:rPr>
        <w:t xml:space="preserve">16924/INFOEM/ICR-87/IP/RR/2022</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siete de febrero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Recurso de Revisión en este Instituto, a través del Sistema de Acceso a la Información Mexiquense (SAIMEX), en contra de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cumplimiento a la resolución referida en el antecedente 4, e. expresando las siguientes manifestaciones:</w:t>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line="360" w:lineRule="auto"/>
        <w:ind w:left="927" w:righ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p w:rsidR="00000000" w:rsidDel="00000000" w:rsidP="00000000" w:rsidRDefault="00000000" w:rsidRPr="00000000" w14:paraId="0000002B">
      <w:pPr>
        <w:ind w:left="567" w:right="101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2C">
      <w:pPr>
        <w:spacing w:line="36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927" w:righ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la Inconformidad</w:t>
      </w:r>
    </w:p>
    <w:p w:rsidR="00000000" w:rsidDel="00000000" w:rsidP="00000000" w:rsidRDefault="00000000" w:rsidRPr="00000000" w14:paraId="0000002E">
      <w:pPr>
        <w:spacing w:line="276"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r w:rsidDel="00000000" w:rsidR="00000000" w:rsidRPr="00000000">
        <w:rPr>
          <w:rtl w:val="0"/>
        </w:rPr>
      </w:r>
    </w:p>
    <w:p w:rsidR="00000000" w:rsidDel="00000000" w:rsidP="00000000" w:rsidRDefault="00000000" w:rsidRPr="00000000" w14:paraId="0000002F">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Trámite del Recurso de Revisión con número 16924/INFOEM/ICR-87/IP/RR/2022 ante el Instituto.</w:t>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Turno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cinco de febrero de dos mil veintitrés</w:t>
      </w:r>
      <w:r w:rsidDel="00000000" w:rsidR="00000000" w:rsidRPr="00000000">
        <w:rPr>
          <w:rFonts w:ascii="Palatino Linotype" w:cs="Palatino Linotype" w:eastAsia="Palatino Linotype" w:hAnsi="Palatino Linotype"/>
          <w:rtl w:val="0"/>
        </w:rPr>
        <w:t xml:space="preserve">, el Sistema de Acceso a la Información Mexiquense (SAIMEX), asignó el número de expediente </w:t>
      </w:r>
      <w:r w:rsidDel="00000000" w:rsidR="00000000" w:rsidRPr="00000000">
        <w:rPr>
          <w:rFonts w:ascii="Palatino Linotype" w:cs="Palatino Linotype" w:eastAsia="Palatino Linotype" w:hAnsi="Palatino Linotype"/>
          <w:b w:val="1"/>
          <w:rtl w:val="0"/>
        </w:rPr>
        <w:t xml:space="preserve">16924/INFOEM/ICR-87/IP/RR/2022, </w:t>
      </w:r>
      <w:r w:rsidDel="00000000" w:rsidR="00000000" w:rsidRPr="00000000">
        <w:rPr>
          <w:rFonts w:ascii="Palatino Linotype" w:cs="Palatino Linotype" w:eastAsia="Palatino Linotype" w:hAnsi="Palatino Linotype"/>
          <w:rtl w:val="0"/>
        </w:rPr>
        <w:t xml:space="preserve">al Medio de Impugnación que nos ocupa, con base en el sistema aprobado por el Pleno de este Organismo Garante y lo turnó a la </w:t>
      </w:r>
      <w:r w:rsidDel="00000000" w:rsidR="00000000" w:rsidRPr="00000000">
        <w:rPr>
          <w:rFonts w:ascii="Palatino Linotype" w:cs="Palatino Linotype" w:eastAsia="Palatino Linotype" w:hAnsi="Palatino Linotype"/>
          <w:b w:val="1"/>
          <w:rtl w:val="0"/>
        </w:rPr>
        <w:t xml:space="preserve">Comisionada Ponente Guadalupe Ramírez Peña</w:t>
      </w:r>
      <w:r w:rsidDel="00000000" w:rsidR="00000000" w:rsidRPr="00000000">
        <w:rPr>
          <w:rFonts w:ascii="Palatino Linotype" w:cs="Palatino Linotype" w:eastAsia="Palatino Linotype" w:hAnsi="Palatino Linotype"/>
          <w:rtl w:val="0"/>
        </w:rPr>
        <w:t xml:space="preserve">, para los efectos del artículo 185, fracción I de la Ley de Transparencia y Acceso a la Información Pública del Estado de México y Municipios.</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Admisión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diez de febrero de dos mil veintitrés</w:t>
      </w:r>
      <w:r w:rsidDel="00000000" w:rsidR="00000000" w:rsidRPr="00000000">
        <w:rPr>
          <w:rFonts w:ascii="Palatino Linotype" w:cs="Palatino Linotype" w:eastAsia="Palatino Linotype" w:hAnsi="Palatino Linotype"/>
          <w:rtl w:val="0"/>
        </w:rPr>
        <w:t xml:space="preserve">, se acordó la admisión del Recurso de Revisión interpuesto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contra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Manifestaciones o Informe Justificado. </w:t>
      </w:r>
      <w:r w:rsidDel="00000000" w:rsidR="00000000" w:rsidRPr="00000000">
        <w:rPr>
          <w:rFonts w:ascii="Palatino Linotype" w:cs="Palatino Linotype" w:eastAsia="Palatino Linotype" w:hAnsi="Palatino Linotype"/>
          <w:rtl w:val="0"/>
        </w:rPr>
        <w:t xml:space="preserve">De las constancias del expediente electrónico del SAIMEX, se observa que las partes fueron omisas en emitir su informe justificado o manifestaciones que a su derecho convenga, por lo que se tiene por precluido su derecho para tal efecto.</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24525" cy="1979295"/>
            <wp:effectExtent b="0" l="0" r="0" t="0"/>
            <wp:docPr id="102" name="image6.png"/>
            <a:graphic>
              <a:graphicData uri="http://schemas.openxmlformats.org/drawingml/2006/picture">
                <pic:pic>
                  <pic:nvPicPr>
                    <pic:cNvPr id="0" name="image6.png"/>
                    <pic:cNvPicPr preferRelativeResize="0"/>
                  </pic:nvPicPr>
                  <pic:blipFill>
                    <a:blip r:embed="rId9"/>
                    <a:srcRect b="0" l="0" r="2410" t="0"/>
                    <a:stretch>
                      <a:fillRect/>
                    </a:stretch>
                  </pic:blipFill>
                  <pic:spPr>
                    <a:xfrm>
                      <a:off x="0" y="0"/>
                      <a:ext cx="5724525" cy="197929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A">
      <w:pPr>
        <w:widowControl w:val="0"/>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marzo de dos mil veintidós</w:t>
      </w:r>
      <w:r w:rsidDel="00000000" w:rsidR="00000000" w:rsidRPr="00000000">
        <w:rPr>
          <w:rFonts w:ascii="Palatino Linotype" w:cs="Palatino Linotype" w:eastAsia="Palatino Linotype" w:hAnsi="Palatino Linotype"/>
          <w:rtl w:val="0"/>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Ampliación del plazo.</w:t>
      </w:r>
      <w:r w:rsidDel="00000000" w:rsidR="00000000" w:rsidRPr="00000000">
        <w:rPr>
          <w:rFonts w:ascii="Palatino Linotype" w:cs="Palatino Linotype" w:eastAsia="Palatino Linotype" w:hAnsi="Palatino Linotype"/>
          <w:rtl w:val="0"/>
        </w:rPr>
        <w:t xml:space="preserve"> En fecha veintinueve de marzo de dos mil veintitrés,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D">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bookmarkStart w:colFirst="0" w:colLast="0" w:name="_heading=h.4d34og8" w:id="6"/>
      <w:bookmarkEnd w:id="6"/>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 los recursos de revisión, como se dispone en los artículos 163 y 166, del tenor literal siguiente: </w:t>
      </w:r>
    </w:p>
    <w:p w:rsidR="00000000" w:rsidDel="00000000" w:rsidP="00000000" w:rsidRDefault="00000000" w:rsidRPr="00000000" w14:paraId="0000004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41">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4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y en el asunto que se resuelve, el Pleno de este Instituto otorgó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el plazo de diez días hábiles para el cumplimiento de la resolución del recurso de revisión </w:t>
      </w:r>
      <w:r w:rsidDel="00000000" w:rsidR="00000000" w:rsidRPr="00000000">
        <w:rPr>
          <w:rFonts w:ascii="Palatino Linotype" w:cs="Palatino Linotype" w:eastAsia="Palatino Linotype" w:hAnsi="Palatino Linotype"/>
          <w:b w:val="1"/>
          <w:rtl w:val="0"/>
        </w:rPr>
        <w:t xml:space="preserve">16924/INFOEM/IP/RR/2022; </w:t>
      </w:r>
      <w:r w:rsidDel="00000000" w:rsidR="00000000" w:rsidRPr="00000000">
        <w:rPr>
          <w:rFonts w:ascii="Palatino Linotype" w:cs="Palatino Linotype" w:eastAsia="Palatino Linotype" w:hAnsi="Palatino Linotype"/>
          <w:rtl w:val="0"/>
        </w:rPr>
        <w:t xml:space="preserve">es así que,  en los casos en que transcurre el referido, sin que los Sujetos Obligados entreguen información que dé respuesta a la solicitud de información, ésta se considera negada; por lo que a la persona solicitante le asiste el derecho para presentar el recurso de revisión.</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47">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4C">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000000" w:rsidDel="00000000" w:rsidP="00000000" w:rsidRDefault="00000000" w:rsidRPr="00000000" w14:paraId="0000005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51">
      <w:pPr>
        <w:ind w:left="1134"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2">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53">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54">
      <w:pPr>
        <w:ind w:left="1134"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276"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que den los sujetos obligados derivada de la resolución a un recurso de revisión que proceda por las causales señaladas en las fracciones IV, </w:t>
      </w: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IX, X, XI y XII es susceptible de ser impugnada de nueva cuenta, mediante recurso de revisión, ante el Instituto.”</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asunto se actualiza la hipótesis jurídica citada, en atención 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combate falta de trámite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dicha circunstancia.</w:t>
      </w:r>
    </w:p>
    <w:p w:rsidR="00000000" w:rsidDel="00000000" w:rsidP="00000000" w:rsidRDefault="00000000" w:rsidRPr="00000000" w14:paraId="00000057">
      <w:pPr>
        <w:tabs>
          <w:tab w:val="left" w:leader="none" w:pos="8647"/>
        </w:tabs>
        <w:spacing w:after="240" w:before="240" w:line="360" w:lineRule="auto"/>
        <w:jc w:val="both"/>
        <w:rPr>
          <w:rFonts w:ascii="Palatino Linotype" w:cs="Palatino Linotype" w:eastAsia="Palatino Linotype" w:hAnsi="Palatino Linotype"/>
          <w:b w:val="1"/>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tabs>
          <w:tab w:val="left" w:leader="none"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B">
      <w:pPr>
        <w:tabs>
          <w:tab w:val="left" w:leader="none"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C">
      <w:pPr>
        <w:tabs>
          <w:tab w:val="left" w:leader="none"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D">
      <w:pPr>
        <w:tabs>
          <w:tab w:val="left" w:leader="none"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6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4">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F">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0">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2">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3">
      <w:pPr>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4">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7D">
      <w:pPr>
        <w:ind w:right="851"/>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E">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7F">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 ACIÓN.</w:t>
      </w:r>
    </w:p>
    <w:p w:rsidR="00000000" w:rsidDel="00000000" w:rsidP="00000000" w:rsidRDefault="00000000" w:rsidRPr="00000000" w14:paraId="0000008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85">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8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8B">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esto es, </w:t>
      </w:r>
      <w:r w:rsidDel="00000000" w:rsidR="00000000" w:rsidRPr="00000000">
        <w:rPr>
          <w:rFonts w:ascii="Palatino Linotype" w:cs="Palatino Linotype" w:eastAsia="Palatino Linotype" w:hAnsi="Palatino Linotype"/>
          <w:b w:val="1"/>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90">
      <w:pPr>
        <w:tabs>
          <w:tab w:val="left" w:leader="none"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este sentido, es conveniente recordar y analizar el requerimiento formulado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426"/>
        </w:tabs>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conviene señalar que el particular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6"/>
        </w:tabs>
        <w:spacing w:after="24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Recibos de pago de aguinaldo de los años 2018, 2019, 2020, 2021 y 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426"/>
        </w:tabs>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importante señalar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omiso en emitir su repuesta a la solicitud de información, por lo cual,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 la negativa de no entregar la información requerida, lo cual actualiza el supuesto previsto en el artículo 179, fracción VII, de la Ley de Transparencia y Acceso a la Información Pública del Estado de México y Municipios. </w:t>
      </w:r>
    </w:p>
    <w:p w:rsidR="00000000" w:rsidDel="00000000" w:rsidP="00000000" w:rsidRDefault="00000000" w:rsidRPr="00000000" w14:paraId="00000094">
      <w:pPr>
        <w:tabs>
          <w:tab w:val="left" w:leader="none"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una vez admitido y notificado el Recurso de Revisión a las partes, se tiene que las partes fueron omisas en pronunciarse, por lo que se tiene por precluido su derecho para tal efecto.</w:t>
      </w:r>
    </w:p>
    <w:p w:rsidR="00000000" w:rsidDel="00000000" w:rsidP="00000000" w:rsidRDefault="00000000" w:rsidRPr="00000000" w14:paraId="0000009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 tesitura, sobre la naturaleza de la información solicitada, conviene precisar la </w:t>
      </w:r>
      <w:r w:rsidDel="00000000" w:rsidR="00000000" w:rsidRPr="00000000">
        <w:rPr>
          <w:rFonts w:ascii="Palatino Linotype" w:cs="Palatino Linotype" w:eastAsia="Palatino Linotype" w:hAnsi="Palatino Linotype"/>
          <w:i w:val="1"/>
          <w:rtl w:val="0"/>
        </w:rPr>
        <w:t xml:space="preserve">Ley Federal del Trabajo</w:t>
      </w:r>
      <w:r w:rsidDel="00000000" w:rsidR="00000000" w:rsidRPr="00000000">
        <w:rPr>
          <w:rFonts w:ascii="Palatino Linotype" w:cs="Palatino Linotype" w:eastAsia="Palatino Linotype" w:hAnsi="Palatino Linotype"/>
          <w:rtl w:val="0"/>
        </w:rPr>
        <w:t xml:space="preserve"> en el artículo 804 fracción II, que además reconoce los recibos de pagos de salarios, por lo que resulta indispensable citar el artículo de referencia.</w:t>
      </w:r>
    </w:p>
    <w:p w:rsidR="00000000" w:rsidDel="00000000" w:rsidP="00000000" w:rsidRDefault="00000000" w:rsidRPr="00000000" w14:paraId="00000097">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line="259"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El patrón tiene obligación de conservar y exhibir en juicio los documentos que a continuación se precisan:</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line="259"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line="259" w:lineRule="auto"/>
        <w:ind w:left="993"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Listas de raya o nómina de personal, cuando se lleven en el centro de trabajo; </w:t>
      </w:r>
      <w:r w:rsidDel="00000000" w:rsidR="00000000" w:rsidRPr="00000000">
        <w:rPr>
          <w:rFonts w:ascii="Palatino Linotype" w:cs="Palatino Linotype" w:eastAsia="Palatino Linotype" w:hAnsi="Palatino Linotype"/>
          <w:b w:val="1"/>
          <w:i w:val="1"/>
          <w:sz w:val="22"/>
          <w:szCs w:val="22"/>
          <w:rtl w:val="0"/>
        </w:rPr>
        <w:t xml:space="preserve">o recibos de pagos de salarios;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line="259"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line="259" w:lineRule="auto"/>
        <w:ind w:left="855"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III y IV, durante el último año y un año después de que se extinga la relación laboral; y los mencionados en la fracción V, conforme lo señalen las Leyes que los rijan.”</w:t>
      </w:r>
    </w:p>
    <w:p w:rsidR="00000000" w:rsidDel="00000000" w:rsidP="00000000" w:rsidRDefault="00000000" w:rsidRPr="00000000" w14:paraId="0000009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09E">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institución o dependencia pública tiene la obligación de conservar y exhibir en el proceso los documentos que a continuación se precisan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w:t>
      </w:r>
      <w:r w:rsidDel="00000000" w:rsidR="00000000" w:rsidRPr="00000000">
        <w:rPr>
          <w:rFonts w:ascii="Palatino Linotype" w:cs="Palatino Linotype" w:eastAsia="Palatino Linotype" w:hAnsi="Palatino Linotype"/>
          <w:i w:val="1"/>
          <w:sz w:val="22"/>
          <w:szCs w:val="22"/>
          <w:rtl w:val="0"/>
        </w:rPr>
        <w:t xml:space="preserve"> o las constancias documentales del pago de salario cuando sea por depósito o mediante información electrónica;</w:t>
      </w:r>
    </w:p>
    <w:p w:rsidR="00000000" w:rsidDel="00000000" w:rsidP="00000000" w:rsidRDefault="00000000" w:rsidRPr="00000000" w14:paraId="000000A1">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2">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u w:val="single"/>
          <w:rtl w:val="0"/>
        </w:rPr>
        <w:t xml:space="preserve">Recibos o las constancias</w:t>
      </w:r>
      <w:r w:rsidDel="00000000" w:rsidR="00000000" w:rsidRPr="00000000">
        <w:rPr>
          <w:rFonts w:ascii="Palatino Linotype" w:cs="Palatino Linotype" w:eastAsia="Palatino Linotype" w:hAnsi="Palatino Linotype"/>
          <w:i w:val="1"/>
          <w:sz w:val="22"/>
          <w:szCs w:val="22"/>
          <w:rtl w:val="0"/>
        </w:rPr>
        <w:t xml:space="preserve"> de depósito o del medio de información magnética o electrónica que sean utilizadas para el pago de salarios, prima vacacional, </w:t>
      </w:r>
      <w:r w:rsidDel="00000000" w:rsidR="00000000" w:rsidRPr="00000000">
        <w:rPr>
          <w:rFonts w:ascii="Palatino Linotype" w:cs="Palatino Linotype" w:eastAsia="Palatino Linotype" w:hAnsi="Palatino Linotype"/>
          <w:b w:val="1"/>
          <w:i w:val="1"/>
          <w:sz w:val="22"/>
          <w:szCs w:val="22"/>
          <w:u w:val="single"/>
          <w:rtl w:val="0"/>
        </w:rPr>
        <w:t xml:space="preserve">aguinaldo</w:t>
      </w:r>
      <w:r w:rsidDel="00000000" w:rsidR="00000000" w:rsidRPr="00000000">
        <w:rPr>
          <w:rFonts w:ascii="Palatino Linotype" w:cs="Palatino Linotype" w:eastAsia="Palatino Linotype" w:hAnsi="Palatino Linotype"/>
          <w:i w:val="1"/>
          <w:sz w:val="22"/>
          <w:szCs w:val="22"/>
          <w:rtl w:val="0"/>
        </w:rPr>
        <w:t xml:space="preserve"> y demás prestaciones establecidas en la presente ley; y…</w:t>
      </w:r>
    </w:p>
    <w:p w:rsidR="00000000" w:rsidDel="00000000" w:rsidP="00000000" w:rsidRDefault="00000000" w:rsidRPr="00000000" w14:paraId="000000A3">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00000" w:rsidDel="00000000" w:rsidP="00000000" w:rsidRDefault="00000000" w:rsidRPr="00000000" w14:paraId="000000A4">
      <w:pPr>
        <w:tabs>
          <w:tab w:val="left" w:leader="none" w:pos="9072"/>
        </w:tabs>
        <w:spacing w:after="16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0A5">
      <w:pPr>
        <w:spacing w:after="12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0A6">
      <w:pPr>
        <w:spacing w:after="120" w:line="259"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7">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0A8">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000000" w:rsidDel="00000000" w:rsidP="00000000" w:rsidRDefault="00000000" w:rsidRPr="00000000" w14:paraId="000000A9">
      <w:pPr>
        <w:spacing w:after="160" w:line="259" w:lineRule="auto"/>
        <w:ind w:left="567"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350.-</w:t>
      </w:r>
      <w:r w:rsidDel="00000000" w:rsidR="00000000" w:rsidRPr="00000000">
        <w:rPr>
          <w:rFonts w:ascii="Palatino Linotype" w:cs="Palatino Linotype" w:eastAsia="Palatino Linotype" w:hAnsi="Palatino Linotype"/>
          <w:i w:val="1"/>
          <w:sz w:val="22"/>
          <w:szCs w:val="22"/>
          <w:rtl w:val="0"/>
        </w:rPr>
        <w:t xml:space="preserve"> La Secretaría y </w:t>
      </w:r>
      <w:r w:rsidDel="00000000" w:rsidR="00000000" w:rsidRPr="00000000">
        <w:rPr>
          <w:rFonts w:ascii="Palatino Linotype" w:cs="Palatino Linotype" w:eastAsia="Palatino Linotype" w:hAnsi="Palatino Linotype"/>
          <w:b w:val="1"/>
          <w:i w:val="1"/>
          <w:sz w:val="22"/>
          <w:szCs w:val="22"/>
          <w:rtl w:val="0"/>
        </w:rPr>
        <w:t xml:space="preserve">las tesorerías</w:t>
      </w:r>
      <w:r w:rsidDel="00000000" w:rsidR="00000000" w:rsidRPr="00000000">
        <w:rPr>
          <w:rFonts w:ascii="Palatino Linotype" w:cs="Palatino Linotype" w:eastAsia="Palatino Linotype" w:hAnsi="Palatino Linotype"/>
          <w:i w:val="1"/>
          <w:sz w:val="22"/>
          <w:szCs w:val="22"/>
          <w:rtl w:val="0"/>
        </w:rPr>
        <w:t xml:space="preserve"> enviarán al Órgano Superior, de manera trimestral, dentro de los primeros veinte días hábiles posteriores al término del trimestre que se informa, para su análisis, la siguiente información:</w:t>
      </w:r>
    </w:p>
    <w:p w:rsidR="00000000" w:rsidDel="00000000" w:rsidP="00000000" w:rsidRDefault="00000000" w:rsidRPr="00000000" w14:paraId="000000AA">
      <w:pPr>
        <w:spacing w:after="160" w:line="259" w:lineRule="auto"/>
        <w:ind w:left="567"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Patrimonial. </w:t>
      </w:r>
    </w:p>
    <w:p w:rsidR="00000000" w:rsidDel="00000000" w:rsidP="00000000" w:rsidRDefault="00000000" w:rsidRPr="00000000" w14:paraId="000000AB">
      <w:pPr>
        <w:spacing w:after="160" w:line="259" w:lineRule="auto"/>
        <w:ind w:left="567"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Presupuestal. </w:t>
      </w:r>
    </w:p>
    <w:p w:rsidR="00000000" w:rsidDel="00000000" w:rsidP="00000000" w:rsidRDefault="00000000" w:rsidRPr="00000000" w14:paraId="000000AC">
      <w:pPr>
        <w:spacing w:after="160" w:line="259" w:lineRule="auto"/>
        <w:ind w:left="567"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 la obra pública.</w:t>
      </w:r>
    </w:p>
    <w:p w:rsidR="00000000" w:rsidDel="00000000" w:rsidP="00000000" w:rsidRDefault="00000000" w:rsidRPr="00000000" w14:paraId="000000AD">
      <w:pPr>
        <w:spacing w:after="160" w:line="259" w:lineRule="auto"/>
        <w:ind w:left="567" w:right="8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De nómina.</w:t>
      </w:r>
    </w:p>
    <w:p w:rsidR="00000000" w:rsidDel="00000000" w:rsidP="00000000" w:rsidRDefault="00000000" w:rsidRPr="00000000" w14:paraId="000000AE">
      <w:pPr>
        <w:spacing w:after="160" w:line="259" w:lineRule="auto"/>
        <w:ind w:left="567"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Avance del cumplimiento del Plan de Desarrollo del Estado de México. </w:t>
      </w:r>
    </w:p>
    <w:p w:rsidR="00000000" w:rsidDel="00000000" w:rsidP="00000000" w:rsidRDefault="00000000" w:rsidRPr="00000000" w14:paraId="000000AF">
      <w:pPr>
        <w:spacing w:after="160" w:line="259" w:lineRule="auto"/>
        <w:ind w:left="851"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informes trimestrales deberán contener la evolución de las finanzas públicas integradas con los comentarios correspondientes y los estados financieros consolidados, así como un reporte de los ingresos y egresos de los organismos auxiliares.</w:t>
      </w:r>
    </w:p>
    <w:p w:rsidR="00000000" w:rsidDel="00000000" w:rsidP="00000000" w:rsidRDefault="00000000" w:rsidRPr="00000000" w14:paraId="000000B0">
      <w:pPr>
        <w:spacing w:after="160" w:line="259" w:lineRule="auto"/>
        <w:ind w:left="851" w:right="8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trimestral correspondiente al cuarto trimestre se entregará junto con las Cuentas Públicas del ejercicio fiscal de que se trate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los </w:t>
      </w:r>
      <w:r w:rsidDel="00000000" w:rsidR="00000000" w:rsidRPr="00000000">
        <w:rPr>
          <w:rFonts w:ascii="Palatino Linotype" w:cs="Palatino Linotype" w:eastAsia="Palatino Linotype" w:hAnsi="Palatino Linotype"/>
          <w:i w:val="1"/>
          <w:rtl w:val="0"/>
        </w:rPr>
        <w:t xml:space="preserve">recibos de nómina o comprobantes digitales por concepto de nómina </w:t>
      </w:r>
      <w:r w:rsidDel="00000000" w:rsidR="00000000" w:rsidRPr="00000000">
        <w:rPr>
          <w:rFonts w:ascii="Palatino Linotype" w:cs="Palatino Linotype" w:eastAsia="Palatino Linotype" w:hAnsi="Palatino Linotype"/>
          <w:rtl w:val="0"/>
        </w:rPr>
        <w:t xml:space="preserve">tienen como objetivo presentar la información del pago de las remuneraciones de cada uno de los servidores públicos de la entidad fiscalizable de que se trate correspondiente a un periodo determinado.</w:t>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Órgano Superior</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0B7">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8">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000000" w:rsidDel="00000000" w:rsidP="00000000" w:rsidRDefault="00000000" w:rsidRPr="00000000" w14:paraId="000000B9">
      <w:pPr>
        <w:spacing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000000" w:rsidDel="00000000" w:rsidP="00000000" w:rsidRDefault="00000000" w:rsidRPr="00000000" w14:paraId="000000BB">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con la finalidad de definir los criterios, los formatos y la documentación necesaria para presentar los informes trimestrales, que deben ser entregados a través de cuatro módulos, que contienen la siguiente información:</w:t>
      </w:r>
    </w:p>
    <w:p w:rsidR="00000000" w:rsidDel="00000000" w:rsidP="00000000" w:rsidRDefault="00000000" w:rsidRPr="00000000" w14:paraId="000000BF">
      <w:pPr>
        <w:spacing w:after="160" w:before="8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0225" cy="2324100"/>
            <wp:effectExtent b="0" l="0" r="0" t="0"/>
            <wp:docPr id="10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02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16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que con motivo de la nómina genera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contenida en el Módulo 4 Información administrativa, Submódulo Nómina y Comprobantes Fiscales, como se muestra a continuación:</w:t>
      </w:r>
    </w:p>
    <w:p w:rsidR="00000000" w:rsidDel="00000000" w:rsidP="00000000" w:rsidRDefault="00000000" w:rsidRPr="00000000" w14:paraId="000000C1">
      <w:pPr>
        <w:spacing w:after="16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0225" cy="2495550"/>
            <wp:effectExtent b="0" l="0" r="0" t="0"/>
            <wp:docPr id="10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10225" cy="2495550"/>
                    </a:xfrm>
                    <a:prstGeom prst="rect"/>
                    <a:ln/>
                  </pic:spPr>
                </pic:pic>
              </a:graphicData>
            </a:graphic>
          </wp:inline>
        </w:drawing>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2082800</wp:posOffset>
                </wp:positionV>
                <wp:extent cx="2686050" cy="514350"/>
                <wp:effectExtent b="0" l="0" r="0" t="0"/>
                <wp:wrapNone/>
                <wp:docPr id="97" name=""/>
                <a:graphic>
                  <a:graphicData uri="http://schemas.microsoft.com/office/word/2010/wordprocessingShape">
                    <wps:wsp>
                      <wps:cNvSpPr/>
                      <wps:cNvPr id="2" name="Shape 2"/>
                      <wps:spPr>
                        <a:xfrm>
                          <a:off x="4022025" y="3541875"/>
                          <a:ext cx="2647950" cy="47625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58.0000114440918"/>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2082800</wp:posOffset>
                </wp:positionV>
                <wp:extent cx="2686050" cy="514350"/>
                <wp:effectExtent b="0" l="0" r="0" t="0"/>
                <wp:wrapNone/>
                <wp:docPr id="97"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686050" cy="514350"/>
                        </a:xfrm>
                        <a:prstGeom prst="rect"/>
                        <a:ln/>
                      </pic:spPr>
                    </pic:pic>
                  </a:graphicData>
                </a:graphic>
              </wp:anchor>
            </w:drawing>
          </mc:Fallback>
        </mc:AlternateContent>
      </w:r>
    </w:p>
    <w:p w:rsidR="00000000" w:rsidDel="00000000" w:rsidP="00000000" w:rsidRDefault="00000000" w:rsidRPr="00000000" w14:paraId="000000C2">
      <w:pPr>
        <w:spacing w:after="360" w:before="24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Fonts w:ascii="Calibri" w:cs="Calibri" w:eastAsia="Calibri" w:hAnsi="Calibri"/>
          <w:sz w:val="22"/>
          <w:szCs w:val="22"/>
        </w:rPr>
        <w:drawing>
          <wp:inline distB="0" distT="0" distL="0" distR="0">
            <wp:extent cx="5609305" cy="7380664"/>
            <wp:effectExtent b="0" l="0" r="0" t="0"/>
            <wp:docPr descr="Interfaz de usuario gráfica&#10;&#10;Descripción generada automáticamente" id="103" name="image3.png"/>
            <a:graphic>
              <a:graphicData uri="http://schemas.openxmlformats.org/drawingml/2006/picture">
                <pic:pic>
                  <pic:nvPicPr>
                    <pic:cNvPr descr="Interfaz de usuario gráfica&#10;&#10;Descripción generada automáticamente" id="0" name="image3.png"/>
                    <pic:cNvPicPr preferRelativeResize="0"/>
                  </pic:nvPicPr>
                  <pic:blipFill>
                    <a:blip r:embed="rId13"/>
                    <a:srcRect b="13095" l="34623" r="36354" t="19010"/>
                    <a:stretch>
                      <a:fillRect/>
                    </a:stretch>
                  </pic:blipFill>
                  <pic:spPr>
                    <a:xfrm>
                      <a:off x="0" y="0"/>
                      <a:ext cx="5609305" cy="7380664"/>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estas condiciones, resulta claro que la información de mérito fue generada en ejercicio de las atribuciones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es oportuno precisar que la información requerida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after="160" w:line="276" w:lineRule="auto"/>
        <w:ind w:left="851" w:right="851"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sz w:val="22"/>
          <w:szCs w:val="22"/>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sz w:val="22"/>
          <w:szCs w:val="22"/>
          <w:rtl w:val="0"/>
        </w:rPr>
        <w:t xml:space="preserve"> o realice actos de autoridad </w:t>
      </w:r>
      <w:r w:rsidDel="00000000" w:rsidR="00000000" w:rsidRPr="00000000">
        <w:rPr>
          <w:rFonts w:ascii="Palatino Linotype" w:cs="Palatino Linotype" w:eastAsia="Palatino Linotype" w:hAnsi="Palatino Linotype"/>
          <w:b w:val="1"/>
          <w:i w:val="1"/>
          <w:sz w:val="22"/>
          <w:szCs w:val="22"/>
          <w:u w:val="single"/>
          <w:rtl w:val="0"/>
        </w:rPr>
        <w:t xml:space="preserve">en el ámbito de competencia del Estado de México y sus municipios</w:t>
      </w:r>
      <w:r w:rsidDel="00000000" w:rsidR="00000000" w:rsidRPr="00000000">
        <w:rPr>
          <w:rFonts w:ascii="Palatino Linotype" w:cs="Palatino Linotype" w:eastAsia="Palatino Linotype" w:hAnsi="Palatino Linotype"/>
          <w:i w:val="1"/>
          <w:sz w:val="22"/>
          <w:szCs w:val="22"/>
          <w:u w:val="single"/>
          <w:rtl w:val="0"/>
        </w:rPr>
        <w:t xml:space="preserve">.</w:t>
      </w:r>
    </w:p>
    <w:p w:rsidR="00000000" w:rsidDel="00000000" w:rsidP="00000000" w:rsidRDefault="00000000" w:rsidRPr="00000000" w14:paraId="000000C9">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23. Son sujetos obligados a transparentar y permitir el acceso a su información y proteger los datos personales que obren en su poder:</w:t>
      </w:r>
    </w:p>
    <w:p w:rsidR="00000000" w:rsidDel="00000000" w:rsidP="00000000" w:rsidRDefault="00000000" w:rsidRPr="00000000" w14:paraId="000000CA">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spacing w:after="160" w:line="276" w:lineRule="auto"/>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Los ayuntamientos y las dependencias, organismos, órganos y entidades de la administración municipal;</w:t>
      </w:r>
    </w:p>
    <w:p w:rsidR="00000000" w:rsidDel="00000000" w:rsidP="00000000" w:rsidRDefault="00000000" w:rsidRPr="00000000" w14:paraId="000000CC">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D">
      <w:pPr>
        <w:spacing w:after="160" w:line="276" w:lineRule="auto"/>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CE">
      <w:pPr>
        <w:spacing w:after="16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[Sic]</w:t>
      </w:r>
    </w:p>
    <w:p w:rsidR="00000000" w:rsidDel="00000000" w:rsidP="00000000" w:rsidRDefault="00000000" w:rsidRPr="00000000" w14:paraId="000000CF">
      <w:pPr>
        <w:spacing w:after="16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rtl w:val="0"/>
        </w:rPr>
        <w:t xml:space="preserve">01/2003</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02/2003</w:t>
      </w:r>
      <w:r w:rsidDel="00000000" w:rsidR="00000000" w:rsidRPr="00000000">
        <w:rPr>
          <w:rFonts w:ascii="Palatino Linotype" w:cs="Palatino Linotype" w:eastAsia="Palatino Linotype" w:hAnsi="Palatino Linotype"/>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0D1">
      <w:pPr>
        <w:spacing w:after="160" w:line="276" w:lineRule="auto"/>
        <w:ind w:left="851" w:right="851"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0D2">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3">
      <w:pPr>
        <w:spacing w:after="160" w:line="276" w:lineRule="auto"/>
        <w:ind w:left="851" w:right="851"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sz w:val="22"/>
          <w:szCs w:val="22"/>
          <w:u w:val="single"/>
          <w:rtl w:val="0"/>
        </w:rPr>
        <w:t xml:space="preserve">…”</w:t>
      </w:r>
    </w:p>
    <w:p w:rsidR="00000000" w:rsidDel="00000000" w:rsidP="00000000" w:rsidRDefault="00000000" w:rsidRPr="00000000" w14:paraId="000000D4">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spacing w:after="160" w:line="276" w:lineRule="auto"/>
        <w:ind w:left="851" w:right="851"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0D6">
      <w:pPr>
        <w:spacing w:after="16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7">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 </w:t>
      </w: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D8">
      <w:pPr>
        <w:spacing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el artículo 70 de la Ley General de Transparencia y Acceso a la Información Pública dispone lo siguiente: </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DC">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D">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w:t>
      </w:r>
      <w:r w:rsidDel="00000000" w:rsidR="00000000" w:rsidRPr="00000000">
        <w:rPr>
          <w:rFonts w:ascii="Palatino Linotype" w:cs="Palatino Linotype" w:eastAsia="Palatino Linotype" w:hAnsi="Palatino Linotype"/>
          <w:b w:val="1"/>
          <w:i w:val="1"/>
          <w:sz w:val="22"/>
          <w:szCs w:val="22"/>
          <w:u w:val="single"/>
          <w:rtl w:val="0"/>
        </w:rPr>
        <w:t xml:space="preserve">todas las percepciones</w:t>
      </w:r>
      <w:r w:rsidDel="00000000" w:rsidR="00000000" w:rsidRPr="00000000">
        <w:rPr>
          <w:rFonts w:ascii="Palatino Linotype" w:cs="Palatino Linotype" w:eastAsia="Palatino Linotype" w:hAnsi="Palatino Linotype"/>
          <w:i w:val="1"/>
          <w:sz w:val="22"/>
          <w:szCs w:val="22"/>
          <w:rtl w:val="0"/>
        </w:rPr>
        <w:t xml:space="preserve">, incluyendo sueldos, </w:t>
      </w:r>
      <w:r w:rsidDel="00000000" w:rsidR="00000000" w:rsidRPr="00000000">
        <w:rPr>
          <w:rFonts w:ascii="Palatino Linotype" w:cs="Palatino Linotype" w:eastAsia="Palatino Linotype" w:hAnsi="Palatino Linotype"/>
          <w:b w:val="1"/>
          <w:i w:val="1"/>
          <w:sz w:val="22"/>
          <w:szCs w:val="22"/>
          <w:u w:val="single"/>
          <w:rtl w:val="0"/>
        </w:rPr>
        <w:t xml:space="preserve">prestaciones,</w:t>
      </w:r>
      <w:r w:rsidDel="00000000" w:rsidR="00000000" w:rsidRPr="00000000">
        <w:rPr>
          <w:rFonts w:ascii="Palatino Linotype" w:cs="Palatino Linotype" w:eastAsia="Palatino Linotype" w:hAnsi="Palatino Linotype"/>
          <w:i w:val="1"/>
          <w:sz w:val="22"/>
          <w:szCs w:val="22"/>
          <w:rtl w:val="0"/>
        </w:rPr>
        <w:t xml:space="preserve"> gratificaciones, primas, comisiones, dietas, bonos, estímulos, ingresos y sistemas de compensación, señalando la periodicidad de dicha remuneración;” </w:t>
      </w:r>
    </w:p>
    <w:p w:rsidR="00000000" w:rsidDel="00000000" w:rsidP="00000000" w:rsidRDefault="00000000" w:rsidRPr="00000000" w14:paraId="000000D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artículo 92, fracción VIII de la Ley de Transparencia y Acceso a la Información Pública del Estado de México y Municipios, señala: </w:t>
      </w:r>
    </w:p>
    <w:p w:rsidR="00000000" w:rsidDel="00000000" w:rsidP="00000000" w:rsidRDefault="00000000" w:rsidRPr="00000000" w14:paraId="000000E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E2">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3">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w:t>
      </w:r>
      <w:r w:rsidDel="00000000" w:rsidR="00000000" w:rsidRPr="00000000">
        <w:rPr>
          <w:rFonts w:ascii="Palatino Linotype" w:cs="Palatino Linotype" w:eastAsia="Palatino Linotype" w:hAnsi="Palatino Linotype"/>
          <w:b w:val="1"/>
          <w:i w:val="1"/>
          <w:sz w:val="22"/>
          <w:szCs w:val="22"/>
          <w:u w:val="single"/>
          <w:rtl w:val="0"/>
        </w:rPr>
        <w:t xml:space="preserve">todas las percepciones</w:t>
      </w:r>
      <w:r w:rsidDel="00000000" w:rsidR="00000000" w:rsidRPr="00000000">
        <w:rPr>
          <w:rFonts w:ascii="Palatino Linotype" w:cs="Palatino Linotype" w:eastAsia="Palatino Linotype" w:hAnsi="Palatino Linotype"/>
          <w:i w:val="1"/>
          <w:sz w:val="22"/>
          <w:szCs w:val="22"/>
          <w:rtl w:val="0"/>
        </w:rPr>
        <w:t xml:space="preserve">,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E4">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otro orden de ideas, por cuanto hace al </w:t>
      </w:r>
      <w:r w:rsidDel="00000000" w:rsidR="00000000" w:rsidRPr="00000000">
        <w:rPr>
          <w:rFonts w:ascii="Palatino Linotype" w:cs="Palatino Linotype" w:eastAsia="Palatino Linotype" w:hAnsi="Palatino Linotype"/>
          <w:b w:val="1"/>
          <w:rtl w:val="0"/>
        </w:rPr>
        <w:t xml:space="preserve">pago de aguinaldo</w:t>
      </w:r>
      <w:r w:rsidDel="00000000" w:rsidR="00000000" w:rsidRPr="00000000">
        <w:rPr>
          <w:rFonts w:ascii="Palatino Linotype" w:cs="Palatino Linotype" w:eastAsia="Palatino Linotype" w:hAnsi="Palatino Linotype"/>
          <w:rtl w:val="0"/>
        </w:rPr>
        <w:t xml:space="preserve">, la Ley Federal del Trabajo que en su artículo 84 establece lo siguiente: </w:t>
      </w:r>
    </w:p>
    <w:bookmarkStart w:colFirst="0" w:colLast="0" w:name="bookmark=id.lnxbz9" w:id="8"/>
    <w:bookmarkEnd w:id="8"/>
    <w:p w:rsidR="00000000" w:rsidDel="00000000" w:rsidP="00000000" w:rsidRDefault="00000000" w:rsidRPr="00000000" w14:paraId="000000E8">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Artículo 84.- El salario se integra con</w:t>
      </w:r>
      <w:r w:rsidDel="00000000" w:rsidR="00000000" w:rsidRPr="00000000">
        <w:rPr>
          <w:rFonts w:ascii="Palatino Linotype" w:cs="Palatino Linotype" w:eastAsia="Palatino Linotype" w:hAnsi="Palatino Linotype"/>
          <w:i w:val="1"/>
          <w:sz w:val="22"/>
          <w:szCs w:val="22"/>
          <w:rtl w:val="0"/>
        </w:rPr>
        <w:t xml:space="preserve"> los pagos hechos en efectivo por cuota diaria, gratificaciones, percepciones, habitación, primas, comisiones, </w:t>
      </w:r>
      <w:r w:rsidDel="00000000" w:rsidR="00000000" w:rsidRPr="00000000">
        <w:rPr>
          <w:rFonts w:ascii="Palatino Linotype" w:cs="Palatino Linotype" w:eastAsia="Palatino Linotype" w:hAnsi="Palatino Linotype"/>
          <w:b w:val="1"/>
          <w:i w:val="1"/>
          <w:sz w:val="22"/>
          <w:szCs w:val="22"/>
          <w:u w:val="single"/>
          <w:rtl w:val="0"/>
        </w:rPr>
        <w:t xml:space="preserve">prestaciones en especie y cualquiera otra cantidad o prestación que se entregue al trabajador por su trabajo.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9">
      <w:pPr>
        <w:tabs>
          <w:tab w:val="left" w:leader="none" w:pos="6435"/>
        </w:tabs>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ab/>
      </w:r>
    </w:p>
    <w:p w:rsidR="00000000" w:rsidDel="00000000" w:rsidP="00000000" w:rsidRDefault="00000000" w:rsidRPr="00000000" w14:paraId="000000EA">
      <w:pPr>
        <w:tabs>
          <w:tab w:val="left" w:leader="none" w:pos="6435"/>
        </w:tabs>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tabs>
          <w:tab w:val="left" w:leader="none" w:pos="6435"/>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mayor abundamiento, el artículo 78 de la Ley del Trabajo de Servidores Públicos del Estado de México establece: </w:t>
      </w:r>
    </w:p>
    <w:p w:rsidR="00000000" w:rsidDel="00000000" w:rsidP="00000000" w:rsidRDefault="00000000" w:rsidRPr="00000000" w14:paraId="000000EC">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servidores públicos tendrán derecho a un aguinaldo anual, equivalente a 40 días de sueldo base</w:t>
      </w:r>
      <w:r w:rsidDel="00000000" w:rsidR="00000000" w:rsidRPr="00000000">
        <w:rPr>
          <w:rFonts w:ascii="Palatino Linotype" w:cs="Palatino Linotype" w:eastAsia="Palatino Linotype" w:hAnsi="Palatino Linotype"/>
          <w:i w:val="1"/>
          <w:sz w:val="22"/>
          <w:szCs w:val="22"/>
          <w:rtl w:val="0"/>
        </w:rPr>
        <w:t xml:space="preserve">, cuando menos, sin deducción alguna, y estará comprendido en el presupuesto de egresos correspondiente.</w:t>
      </w:r>
    </w:p>
    <w:p w:rsidR="00000000" w:rsidDel="00000000" w:rsidP="00000000" w:rsidRDefault="00000000" w:rsidRPr="00000000" w14:paraId="000000ED">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E">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Dicho aguinaldo deberá pagarse en </w:t>
      </w:r>
      <w:r w:rsidDel="00000000" w:rsidR="00000000" w:rsidRPr="00000000">
        <w:rPr>
          <w:rFonts w:ascii="Palatino Linotype" w:cs="Palatino Linotype" w:eastAsia="Palatino Linotype" w:hAnsi="Palatino Linotype"/>
          <w:b w:val="1"/>
          <w:i w:val="1"/>
          <w:sz w:val="22"/>
          <w:szCs w:val="22"/>
          <w:u w:val="single"/>
          <w:rtl w:val="0"/>
        </w:rPr>
        <w:t xml:space="preserve">dos entregas</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u w:val="single"/>
          <w:rtl w:val="0"/>
        </w:rPr>
        <w:t xml:space="preserve">primera de ellas previo al primer período vacacional y la segunda a más tardar el día 15 de diciembre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F">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0">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que hayan prestado sus servicios por un lapso menor a un año, tendrán derecho a que se les pague la parte proporcional del aguinaldo de acuerdo a los días efectivamente trabajados.</w:t>
      </w:r>
    </w:p>
    <w:p w:rsidR="00000000" w:rsidDel="00000000" w:rsidP="00000000" w:rsidRDefault="00000000" w:rsidRPr="00000000" w14:paraId="000000F1">
      <w:pPr>
        <w:tabs>
          <w:tab w:val="left" w:leader="none" w:pos="6435"/>
        </w:tabs>
        <w:spacing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esta disposición se reitera que en el artículo 220 k de la Ley previamente citada, mandata a las instituciones públicas el resguardo de diversos soportes documentales, entre los que destacan las constancias de depósito o cualquier medio de información magnético empleado para el pago de salarios, prima vacacional, </w:t>
      </w:r>
      <w:r w:rsidDel="00000000" w:rsidR="00000000" w:rsidRPr="00000000">
        <w:rPr>
          <w:rFonts w:ascii="Palatino Linotype" w:cs="Palatino Linotype" w:eastAsia="Palatino Linotype" w:hAnsi="Palatino Linotype"/>
          <w:b w:val="1"/>
          <w:u w:val="single"/>
          <w:rtl w:val="0"/>
        </w:rPr>
        <w:t xml:space="preserve">aguinaldo</w:t>
      </w:r>
      <w:r w:rsidDel="00000000" w:rsidR="00000000" w:rsidRPr="00000000">
        <w:rPr>
          <w:rFonts w:ascii="Palatino Linotype" w:cs="Palatino Linotype" w:eastAsia="Palatino Linotype" w:hAnsi="Palatino Linotype"/>
          <w:rtl w:val="0"/>
        </w:rPr>
        <w:t xml:space="preserve"> y demás prestaciones. </w:t>
      </w:r>
    </w:p>
    <w:p w:rsidR="00000000" w:rsidDel="00000000" w:rsidP="00000000" w:rsidRDefault="00000000" w:rsidRPr="00000000" w14:paraId="000000F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importante que para el cumplimiento de la presente resolución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seguir procedimiento establecido por el artículo 162 de la Ley de Transparencia y Acceso a la Información Pública del Estado de México y Municipios, ya que, no se puede perder de vista que para otorgar respuesta a la solicitud inicial,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000000" w:rsidDel="00000000" w:rsidP="00000000" w:rsidRDefault="00000000" w:rsidRPr="00000000" w14:paraId="000000F4">
      <w:pPr>
        <w:spacing w:after="240" w:before="240" w:lineRule="auto"/>
        <w:ind w:left="709"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000000" w:rsidDel="00000000" w:rsidP="00000000" w:rsidRDefault="00000000" w:rsidRPr="00000000" w14:paraId="000000F5">
      <w:pPr>
        <w:shd w:fill="ffffff" w:val="clear"/>
        <w:spacing w:after="240" w:before="240" w:line="360" w:lineRule="auto"/>
        <w:jc w:val="both"/>
        <w:rPr/>
      </w:pPr>
      <w:r w:rsidDel="00000000" w:rsidR="00000000" w:rsidRPr="00000000">
        <w:rPr>
          <w:rFonts w:ascii="Palatino Linotype" w:cs="Palatino Linotype" w:eastAsia="Palatino Linotype" w:hAnsi="Palatino Linotype"/>
          <w:rtl w:val="0"/>
        </w:rPr>
        <w:t xml:space="preserve">En este orden de ideas, se advierte que efectivamente la Unidad de Transparencia no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F6">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r w:rsidDel="00000000" w:rsidR="00000000" w:rsidRPr="00000000">
        <w:rPr>
          <w:rtl w:val="0"/>
        </w:rPr>
      </w:r>
    </w:p>
    <w:p w:rsidR="00000000" w:rsidDel="00000000" w:rsidP="00000000" w:rsidRDefault="00000000" w:rsidRPr="00000000" w14:paraId="000000F7">
      <w:pPr>
        <w:shd w:fill="ffffff" w:val="clear"/>
        <w:spacing w:line="360" w:lineRule="auto"/>
        <w:jc w:val="both"/>
        <w:rPr/>
      </w:pPr>
      <w:r w:rsidDel="00000000" w:rsidR="00000000" w:rsidRPr="00000000">
        <w:rPr>
          <w:rFonts w:ascii="Palatino Linotype" w:cs="Palatino Linotype" w:eastAsia="Palatino Linotype" w:hAnsi="Palatino Linotype"/>
          <w:rtl w:val="0"/>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r w:rsidDel="00000000" w:rsidR="00000000" w:rsidRPr="00000000">
        <w:rPr>
          <w:rtl w:val="0"/>
        </w:rPr>
      </w:r>
    </w:p>
    <w:p w:rsidR="00000000" w:rsidDel="00000000" w:rsidP="00000000" w:rsidRDefault="00000000" w:rsidRPr="00000000" w14:paraId="000000F8">
      <w:pPr>
        <w:shd w:fill="ffffff" w:val="clea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9">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160. </w:t>
      </w:r>
      <w:r w:rsidDel="00000000" w:rsidR="00000000" w:rsidRPr="00000000">
        <w:rPr>
          <w:rFonts w:ascii="Palatino Linotype" w:cs="Palatino Linotype" w:eastAsia="Palatino Linotype" w:hAnsi="Palatino Linotype"/>
          <w:i w:val="1"/>
          <w:sz w:val="22"/>
          <w:szCs w:val="22"/>
          <w:rtl w:val="0"/>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0FA">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En caso que la información solicitada consista en bases de datos se deberá privilegiar la entrega de la misma en formatos abiertos.</w:t>
      </w:r>
      <w:r w:rsidDel="00000000" w:rsidR="00000000" w:rsidRPr="00000000">
        <w:rPr>
          <w:rtl w:val="0"/>
        </w:rPr>
      </w:r>
    </w:p>
    <w:p w:rsidR="00000000" w:rsidDel="00000000" w:rsidP="00000000" w:rsidRDefault="00000000" w:rsidRPr="00000000" w14:paraId="000000FB">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r w:rsidDel="00000000" w:rsidR="00000000" w:rsidRPr="00000000">
        <w:rPr>
          <w:rtl w:val="0"/>
        </w:rPr>
      </w:r>
    </w:p>
    <w:p w:rsidR="00000000" w:rsidDel="00000000" w:rsidP="00000000" w:rsidRDefault="00000000" w:rsidRPr="00000000" w14:paraId="000000FC">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Del="00000000" w:rsidR="00000000" w:rsidRPr="00000000">
        <w:rPr>
          <w:rtl w:val="0"/>
        </w:rPr>
      </w:r>
    </w:p>
    <w:p w:rsidR="00000000" w:rsidDel="00000000" w:rsidP="00000000" w:rsidRDefault="00000000" w:rsidRPr="00000000" w14:paraId="000000FD">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r w:rsidDel="00000000" w:rsidR="00000000" w:rsidRPr="00000000">
        <w:rPr>
          <w:rtl w:val="0"/>
        </w:rPr>
      </w:r>
    </w:p>
    <w:p w:rsidR="00000000" w:rsidDel="00000000" w:rsidP="00000000" w:rsidRDefault="00000000" w:rsidRPr="00000000" w14:paraId="000000FE">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La información que se entregue en versión pública, cuya modalidad de reproducción o envío tenga un costo,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0FF">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Ante la falta de respuesta a una solicitud en el plazo previsto y en caso de que proceda el acceso, los costos de reproducción y envío correrán a cargo del sujeto obligado.”(Sic)</w:t>
      </w:r>
      <w:r w:rsidDel="00000000" w:rsidR="00000000" w:rsidRPr="00000000">
        <w:rPr>
          <w:rtl w:val="0"/>
        </w:rPr>
      </w:r>
    </w:p>
    <w:p w:rsidR="00000000" w:rsidDel="00000000" w:rsidP="00000000" w:rsidRDefault="00000000" w:rsidRPr="00000000" w14:paraId="00000100">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situación que no se advierte en el presente caso, por lo que para garantizar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000000" w:rsidDel="00000000" w:rsidP="00000000" w:rsidRDefault="00000000" w:rsidRPr="00000000" w14:paraId="0000010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realizar una búsqueda exhaustiva y razonable de la información peticionada en todas las áreas competentes para que se pronunciaran respecto de la solicitud del particular.</w:t>
      </w:r>
    </w:p>
    <w:p w:rsidR="00000000" w:rsidDel="00000000" w:rsidP="00000000" w:rsidRDefault="00000000" w:rsidRPr="00000000" w14:paraId="00000102">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es de señalar, que los artículos 93 y 95 de la Ley Orgánica Municipal del estado de México, establecen que son atribuciones de la Tesorería Municipal, las siguientes: </w:t>
      </w:r>
    </w:p>
    <w:p w:rsidR="00000000" w:rsidDel="00000000" w:rsidP="00000000" w:rsidRDefault="00000000" w:rsidRPr="00000000" w14:paraId="0000010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93.-</w:t>
      </w:r>
      <w:r w:rsidDel="00000000" w:rsidR="00000000" w:rsidRPr="00000000">
        <w:rPr>
          <w:rFonts w:ascii="Palatino Linotype" w:cs="Palatino Linotype" w:eastAsia="Palatino Linotype" w:hAnsi="Palatino Linotype"/>
          <w:i w:val="1"/>
          <w:sz w:val="22"/>
          <w:szCs w:val="22"/>
          <w:rtl w:val="0"/>
        </w:rPr>
        <w:t xml:space="preserve"> La tesorería municipal es el órgano encargado de la recaudación de los ingresos municipales y </w:t>
      </w:r>
      <w:r w:rsidDel="00000000" w:rsidR="00000000" w:rsidRPr="00000000">
        <w:rPr>
          <w:rFonts w:ascii="Palatino Linotype" w:cs="Palatino Linotype" w:eastAsia="Palatino Linotype" w:hAnsi="Palatino Linotype"/>
          <w:b w:val="1"/>
          <w:i w:val="1"/>
          <w:sz w:val="22"/>
          <w:szCs w:val="22"/>
          <w:u w:val="single"/>
          <w:rtl w:val="0"/>
        </w:rPr>
        <w:t xml:space="preserve">responsable de realizar las erogaciones que haga el ayuntamiento.</w:t>
      </w:r>
      <w:r w:rsidDel="00000000" w:rsidR="00000000" w:rsidRPr="00000000">
        <w:rPr>
          <w:rtl w:val="0"/>
        </w:rPr>
      </w:r>
    </w:p>
    <w:p w:rsidR="00000000" w:rsidDel="00000000" w:rsidP="00000000" w:rsidRDefault="00000000" w:rsidRPr="00000000" w14:paraId="0000010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w:t>
      </w:r>
    </w:p>
    <w:p w:rsidR="00000000" w:rsidDel="00000000" w:rsidP="00000000" w:rsidRDefault="00000000" w:rsidRPr="00000000" w14:paraId="0000010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la hacienda pública municipal, de conformidad con las disposiciones legales aplicables;</w:t>
      </w:r>
    </w:p>
    <w:p w:rsidR="00000000" w:rsidDel="00000000" w:rsidP="00000000" w:rsidRDefault="00000000" w:rsidRPr="00000000" w14:paraId="0000010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u w:val="single"/>
          <w:rtl w:val="0"/>
        </w:rPr>
        <w:t xml:space="preserve">Llevar los registros contables, financieros y administrativos</w:t>
      </w:r>
      <w:r w:rsidDel="00000000" w:rsidR="00000000" w:rsidRPr="00000000">
        <w:rPr>
          <w:rFonts w:ascii="Palatino Linotype" w:cs="Palatino Linotype" w:eastAsia="Palatino Linotype" w:hAnsi="Palatino Linotype"/>
          <w:i w:val="1"/>
          <w:sz w:val="22"/>
          <w:szCs w:val="22"/>
          <w:rtl w:val="0"/>
        </w:rPr>
        <w:t xml:space="preserve"> de los ingresos</w:t>
      </w:r>
      <w:r w:rsidDel="00000000" w:rsidR="00000000" w:rsidRPr="00000000">
        <w:rPr>
          <w:rFonts w:ascii="Palatino Linotype" w:cs="Palatino Linotype" w:eastAsia="Palatino Linotype" w:hAnsi="Palatino Linotype"/>
          <w:b w:val="1"/>
          <w:i w:val="1"/>
          <w:sz w:val="22"/>
          <w:szCs w:val="22"/>
          <w:u w:val="single"/>
          <w:rtl w:val="0"/>
        </w:rPr>
        <w:t xml:space="preserve">, egresos</w:t>
      </w:r>
      <w:r w:rsidDel="00000000" w:rsidR="00000000" w:rsidRPr="00000000">
        <w:rPr>
          <w:rFonts w:ascii="Palatino Linotype" w:cs="Palatino Linotype" w:eastAsia="Palatino Linotype" w:hAnsi="Palatino Linotype"/>
          <w:i w:val="1"/>
          <w:sz w:val="22"/>
          <w:szCs w:val="22"/>
          <w:rtl w:val="0"/>
        </w:rPr>
        <w:t xml:space="preserve">, e inventarios;</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artículos 55 y 56 del Bando Municipal de Zinacantepec, disponen: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55</w:t>
      </w:r>
      <w:r w:rsidDel="00000000" w:rsidR="00000000" w:rsidRPr="00000000">
        <w:rPr>
          <w:rFonts w:ascii="Palatino Linotype" w:cs="Palatino Linotype" w:eastAsia="Palatino Linotype" w:hAnsi="Palatino Linotype"/>
          <w:i w:val="1"/>
          <w:sz w:val="22"/>
          <w:szCs w:val="22"/>
          <w:rtl w:val="0"/>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w:t>
      </w:r>
      <w:r w:rsidDel="00000000" w:rsidR="00000000" w:rsidRPr="00000000">
        <w:rPr>
          <w:rFonts w:ascii="Palatino Linotype" w:cs="Palatino Linotype" w:eastAsia="Palatino Linotype" w:hAnsi="Palatino Linotype"/>
          <w:b w:val="1"/>
          <w:i w:val="1"/>
          <w:sz w:val="22"/>
          <w:szCs w:val="22"/>
          <w:u w:val="single"/>
          <w:rtl w:val="0"/>
        </w:rPr>
        <w:t xml:space="preserve">responsable de efectuar las erogaciones que realice con cargo al presupuesto aprobado por el Ayuntamiento.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56.</w:t>
      </w:r>
      <w:r w:rsidDel="00000000" w:rsidR="00000000" w:rsidRPr="00000000">
        <w:rPr>
          <w:rFonts w:ascii="Palatino Linotype" w:cs="Palatino Linotype" w:eastAsia="Palatino Linotype" w:hAnsi="Palatino Linotype"/>
          <w:i w:val="1"/>
          <w:sz w:val="22"/>
          <w:szCs w:val="22"/>
          <w:rtl w:val="0"/>
        </w:rPr>
        <w:t xml:space="preserve"> La Tesorería Municipal a través de la Tesorera Municipal, es el único órgano de la Administración Pública Municipal autorizado para </w:t>
      </w:r>
      <w:r w:rsidDel="00000000" w:rsidR="00000000" w:rsidRPr="00000000">
        <w:rPr>
          <w:rFonts w:ascii="Palatino Linotype" w:cs="Palatino Linotype" w:eastAsia="Palatino Linotype" w:hAnsi="Palatino Linotype"/>
          <w:b w:val="1"/>
          <w:i w:val="1"/>
          <w:sz w:val="22"/>
          <w:szCs w:val="22"/>
          <w:u w:val="single"/>
          <w:rtl w:val="0"/>
        </w:rPr>
        <w:t xml:space="preserve">ejecutar el ejercicio fiscal del año que transcurre</w:t>
      </w:r>
      <w:r w:rsidDel="00000000" w:rsidR="00000000" w:rsidRPr="00000000">
        <w:rPr>
          <w:rFonts w:ascii="Palatino Linotype" w:cs="Palatino Linotype" w:eastAsia="Palatino Linotype" w:hAnsi="Palatino Linotype"/>
          <w:i w:val="1"/>
          <w:sz w:val="22"/>
          <w:szCs w:val="22"/>
          <w:rtl w:val="0"/>
        </w:rPr>
        <w:t xml:space="preserv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el área con facultades competencias y funciones para generar, administrar y poseer la información pública solicitada es de manera enunciativa mas no limitativa, la Tesorería Municipal del Ayuntamiento de Zinacantepec.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anteriormente expuesto que se estima procedente ordenar  la entrega de los recibos de pago de aguinaldo de los años 2018, 2019, 2020, 2021 y los generados del primero de enero al primero de noviembre de dos mil veintidós, ello conforme a las disposiciones del siguiente considerando.</w:t>
      </w:r>
    </w:p>
    <w:p w:rsidR="00000000" w:rsidDel="00000000" w:rsidP="00000000" w:rsidRDefault="00000000" w:rsidRPr="00000000" w14:paraId="0000010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Como fue debidamente apuntado,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artículos 3, fracciones IX, XX, XXI, XXXII, XLV; 6, 91, 137, 143 fracción I, de la Ley de Transparencia y Acceso a la Información Pública del Estado de México y Municipios vigente establecen:</w:t>
      </w:r>
    </w:p>
    <w:p w:rsidR="00000000" w:rsidDel="00000000" w:rsidP="00000000" w:rsidRDefault="00000000" w:rsidRPr="00000000" w14:paraId="00000112">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13">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4">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15">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6">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17">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8">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9">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1A">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B">
      <w:pPr>
        <w:tabs>
          <w:tab w:val="left" w:leader="none" w:pos="1276"/>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1C">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1D">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E">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1F">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0">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21">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2">
      <w:pPr>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23">
      <w:pPr>
        <w:spacing w:after="240" w:before="24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25">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los </w:t>
      </w:r>
      <w:r w:rsidDel="00000000" w:rsidR="00000000" w:rsidRPr="00000000">
        <w:rPr>
          <w:rFonts w:ascii="Palatino Linotype" w:cs="Palatino Linotype" w:eastAsia="Palatino Linotype" w:hAnsi="Palatino Linotype"/>
          <w:b w:val="1"/>
          <w:rtl w:val="0"/>
        </w:rPr>
        <w:t xml:space="preserve">números de cuentas bancarias</w:t>
      </w:r>
      <w:r w:rsidDel="00000000" w:rsidR="00000000" w:rsidRPr="00000000">
        <w:rPr>
          <w:rFonts w:ascii="Palatino Linotype" w:cs="Palatino Linotype" w:eastAsia="Palatino Linotype" w:hAnsi="Palatino Linotype"/>
          <w:rtl w:val="0"/>
        </w:rPr>
        <w:t xml:space="preserve">, claves estandarizadas – interbancarias - (CLABES) y de tarjetas,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rtl w:val="0"/>
        </w:rPr>
        <w:t xml:space="preserve"> número de empleado, </w:t>
      </w:r>
      <w:r w:rsidDel="00000000" w:rsidR="00000000" w:rsidRPr="00000000">
        <w:rPr>
          <w:rFonts w:ascii="Palatino Linotype" w:cs="Palatino Linotype" w:eastAsia="Palatino Linotype" w:hAnsi="Palatino Linotype"/>
          <w:rtl w:val="0"/>
        </w:rPr>
        <w:t xml:space="preserve">así como de ser el caso, el </w:t>
      </w:r>
      <w:r w:rsidDel="00000000" w:rsidR="00000000" w:rsidRPr="00000000">
        <w:rPr>
          <w:rFonts w:ascii="Palatino Linotype" w:cs="Palatino Linotype" w:eastAsia="Palatino Linotype" w:hAnsi="Palatino Linotype"/>
          <w:b w:val="1"/>
          <w:rtl w:val="0"/>
        </w:rPr>
        <w:t xml:space="preserve">folio fiscal</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cadena original, </w:t>
      </w: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códigos bidimensionales o códigos QR,</w:t>
      </w:r>
      <w:r w:rsidDel="00000000" w:rsidR="00000000" w:rsidRPr="00000000">
        <w:rPr>
          <w:rFonts w:ascii="Palatino Linotype" w:cs="Palatino Linotype" w:eastAsia="Palatino Linotype" w:hAnsi="Palatino Linotype"/>
          <w:rtl w:val="0"/>
        </w:rPr>
        <w:t xml:space="preserve"> y cualquier información de carácter fiscal, bajo las siguientes consideraciones. </w:t>
      </w:r>
    </w:p>
    <w:p w:rsidR="00000000" w:rsidDel="00000000" w:rsidP="00000000" w:rsidRDefault="00000000" w:rsidRPr="00000000" w14:paraId="00000127">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2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12F">
      <w:pP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37">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38">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w:t>
      </w:r>
      <w:r w:rsidDel="00000000" w:rsidR="00000000" w:rsidRPr="00000000">
        <w:rPr>
          <w:rFonts w:ascii="Palatino Linotype" w:cs="Palatino Linotype" w:eastAsia="Palatino Linotype" w:hAnsi="Palatino Linotype"/>
          <w:b w:val="1"/>
          <w:rtl w:val="0"/>
        </w:rPr>
        <w:t xml:space="preserve">préstamos o descuentos de carácter personal</w:t>
      </w:r>
      <w:r w:rsidDel="00000000" w:rsidR="00000000" w:rsidRPr="00000000">
        <w:rPr>
          <w:rFonts w:ascii="Palatino Linotype" w:cs="Palatino Linotype" w:eastAsia="Palatino Linotype" w:hAnsi="Palatino Linotype"/>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3B">
      <w:pPr>
        <w:spacing w:after="240" w:before="240"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3C">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3D">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3E">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3F">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40">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41">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42">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43">
      <w:pPr>
        <w:spacing w:line="276"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44">
      <w:pPr>
        <w:spacing w:line="276" w:lineRule="auto"/>
        <w:ind w:left="993"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45">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al </w:t>
      </w:r>
      <w:r w:rsidDel="00000000" w:rsidR="00000000" w:rsidRPr="00000000">
        <w:rPr>
          <w:rFonts w:ascii="Palatino Linotype" w:cs="Palatino Linotype" w:eastAsia="Palatino Linotype" w:hAnsi="Palatino Linotype"/>
          <w:b w:val="1"/>
          <w:rtl w:val="0"/>
        </w:rPr>
        <w:t xml:space="preserve">número de empleado</w:t>
      </w:r>
      <w:r w:rsidDel="00000000" w:rsidR="00000000" w:rsidRPr="00000000">
        <w:rPr>
          <w:rFonts w:ascii="Palatino Linotype" w:cs="Palatino Linotype" w:eastAsia="Palatino Linotype" w:hAnsi="Palatino Linotype"/>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000000" w:rsidDel="00000000" w:rsidP="00000000" w:rsidRDefault="00000000" w:rsidRPr="00000000" w14:paraId="00000149">
      <w:pPr>
        <w:tabs>
          <w:tab w:val="left" w:leader="none" w:pos="7655"/>
        </w:tabs>
        <w:spacing w:after="240" w:before="240" w:line="276" w:lineRule="auto"/>
        <w:ind w:left="993"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1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información fiscal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Cadena Original</w:t>
      </w:r>
      <w:r w:rsidDel="00000000" w:rsidR="00000000" w:rsidRPr="00000000">
        <w:rPr>
          <w:rFonts w:ascii="Palatino Linotype" w:cs="Palatino Linotype" w:eastAsia="Palatino Linotype" w:hAnsi="Palatino Linotyp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analizar dicha circunstancia con la finalidad de determinar si se actualiza algún supuesto de confidencialidad.</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derivado del análisis efectuado por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Del="00000000" w:rsidR="00000000" w:rsidRPr="00000000">
        <w:rPr>
          <w:rFonts w:ascii="Palatino Linotype" w:cs="Palatino Linotype" w:eastAsia="Palatino Linotype" w:hAnsi="Palatino Linotype"/>
          <w:b w:val="1"/>
          <w:rtl w:val="0"/>
        </w:rPr>
        <w:t xml:space="preserve">que desempeñen funciones operativas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la leyenda de clasificación que se genere, deberá establecer ambos supuestos de clasificación: reserva y confidencialidad, en congruencia con los requisitos establecidos en los lineamientos citados.</w:t>
      </w:r>
    </w:p>
    <w:p w:rsidR="00000000" w:rsidDel="00000000" w:rsidP="00000000" w:rsidRDefault="00000000" w:rsidRPr="00000000" w14:paraId="00000153">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000000" w:rsidDel="00000000" w:rsidP="00000000" w:rsidRDefault="00000000" w:rsidRPr="00000000" w14:paraId="00000154">
      <w:pPr>
        <w:tabs>
          <w:tab w:val="left" w:leader="none" w:pos="4962"/>
        </w:tabs>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sz w:val="22"/>
          <w:szCs w:val="22"/>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1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Del="00000000" w:rsidR="00000000" w:rsidRPr="00000000">
        <w:rPr>
          <w:rFonts w:ascii="Palatino Linotype" w:cs="Palatino Linotype" w:eastAsia="Palatino Linotype" w:hAnsi="Palatino Linotype"/>
          <w:b w:val="1"/>
          <w:rtl w:val="0"/>
        </w:rPr>
        <w:t xml:space="preserve">funciones de carácter operativo.</w:t>
      </w:r>
      <w:r w:rsidDel="00000000" w:rsidR="00000000" w:rsidRPr="00000000">
        <w:rPr>
          <w:rtl w:val="0"/>
        </w:rPr>
      </w:r>
    </w:p>
    <w:p w:rsidR="00000000" w:rsidDel="00000000" w:rsidP="00000000" w:rsidRDefault="00000000" w:rsidRPr="00000000" w14:paraId="00000156">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emitidas por la Suprema corte de Justicia de la Nación, que son del literal siguiente:</w:t>
      </w:r>
    </w:p>
    <w:p w:rsidR="00000000" w:rsidDel="00000000" w:rsidP="00000000" w:rsidRDefault="00000000" w:rsidRPr="00000000" w14:paraId="00000157">
      <w:pPr>
        <w:spacing w:after="120" w:before="120" w:lineRule="auto"/>
        <w:ind w:left="851"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sz w:val="22"/>
          <w:szCs w:val="22"/>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sz w:val="22"/>
          <w:szCs w:val="22"/>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sz w:val="22"/>
          <w:szCs w:val="22"/>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sz w:val="22"/>
          <w:szCs w:val="22"/>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58">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sz w:val="22"/>
          <w:szCs w:val="22"/>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sz w:val="22"/>
          <w:szCs w:val="22"/>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sz w:val="22"/>
          <w:szCs w:val="22"/>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59">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A">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15B">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5C">
      <w:pPr>
        <w:spacing w:after="240" w:before="24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120" w:before="12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5E">
      <w:pPr>
        <w:spacing w:after="120" w:before="12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F">
      <w:pPr>
        <w:spacing w:after="120" w:before="12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0">
      <w:pPr>
        <w:spacing w:after="120" w:before="120" w:line="276"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61">
      <w:pPr>
        <w:spacing w:after="120" w:before="12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62">
      <w:pPr>
        <w:spacing w:after="120" w:before="12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65">
      <w:pPr>
        <w:spacing w:after="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(Sic)</w:t>
      </w:r>
    </w:p>
    <w:p w:rsidR="00000000" w:rsidDel="00000000" w:rsidP="00000000" w:rsidRDefault="00000000" w:rsidRPr="00000000" w14:paraId="0000016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6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68">
      <w:pPr>
        <w:tabs>
          <w:tab w:val="left" w:leader="none" w:pos="8222"/>
        </w:tabs>
        <w:spacing w:after="120" w:before="12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clasificación de la información se llevará a cabo en el momento en que:</w:t>
      </w:r>
    </w:p>
    <w:p w:rsidR="00000000" w:rsidDel="00000000" w:rsidP="00000000" w:rsidRDefault="00000000" w:rsidRPr="00000000" w14:paraId="00000169">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A">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6B">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C">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16D">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16E">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w:t>
      </w:r>
      <w:r w:rsidDel="00000000" w:rsidR="00000000" w:rsidRPr="00000000">
        <w:rPr>
          <w:rFonts w:ascii="Palatino Linotype" w:cs="Palatino Linotype" w:eastAsia="Palatino Linotype" w:hAnsi="Palatino Linotype"/>
          <w:i w:val="1"/>
          <w:sz w:val="22"/>
          <w:szCs w:val="22"/>
          <w:rtl w:val="0"/>
        </w:rPr>
        <w:t xml:space="preserve"> reservada o </w:t>
      </w:r>
      <w:r w:rsidDel="00000000" w:rsidR="00000000" w:rsidRPr="00000000">
        <w:rPr>
          <w:rFonts w:ascii="Palatino Linotype" w:cs="Palatino Linotype" w:eastAsia="Palatino Linotype" w:hAnsi="Palatino Linotype"/>
          <w:b w:val="1"/>
          <w:i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6F">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70">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71">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172">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173">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74">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75">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76">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77">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178">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79">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7A">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17B">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17C">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17D">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7E">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17F">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80">
      <w:pPr>
        <w:tabs>
          <w:tab w:val="left" w:leader="none" w:pos="8222"/>
        </w:tabs>
        <w:spacing w:after="120"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8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rsidR="00000000" w:rsidDel="00000000" w:rsidP="00000000" w:rsidRDefault="00000000" w:rsidRPr="00000000" w14:paraId="00000182">
      <w:pPr>
        <w:spacing w:line="276" w:lineRule="auto"/>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83">
      <w:pPr>
        <w:spacing w:line="276" w:lineRule="auto"/>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LEYENDA DE CLASIFICACIÓN</w:t>
      </w:r>
    </w:p>
    <w:p w:rsidR="00000000" w:rsidDel="00000000" w:rsidP="00000000" w:rsidRDefault="00000000" w:rsidRPr="00000000" w14:paraId="00000184">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5">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p w:rsidR="00000000" w:rsidDel="00000000" w:rsidP="00000000" w:rsidRDefault="00000000" w:rsidRPr="00000000" w14:paraId="00000186">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87">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Los documentos que integren un expediente reservado o confidencial en su totalidad no deberán marcarse en lo individual.</w:t>
      </w:r>
    </w:p>
    <w:p w:rsidR="00000000" w:rsidDel="00000000" w:rsidP="00000000" w:rsidRDefault="00000000" w:rsidRPr="00000000" w14:paraId="00000188">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o confidenciales, deberán ser marcados.</w:t>
      </w:r>
    </w:p>
    <w:p w:rsidR="00000000" w:rsidDel="00000000" w:rsidP="00000000" w:rsidRDefault="00000000" w:rsidRPr="00000000" w14:paraId="00000189">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formato para señalar la clasificación de expedientes que por su naturaleza sean en su totalidad reservados o confidenciales, es el siguiente:”</w:t>
      </w:r>
    </w:p>
    <w:p w:rsidR="00000000" w:rsidDel="00000000" w:rsidP="00000000" w:rsidRDefault="00000000" w:rsidRPr="00000000" w14:paraId="0000018A">
      <w:pPr>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B">
      <w:pPr>
        <w:ind w:left="851" w:right="900" w:firstLine="0"/>
        <w:jc w:val="both"/>
        <w:rPr>
          <w:rFonts w:ascii="Palatino Linotype" w:cs="Palatino Linotype" w:eastAsia="Palatino Linotype" w:hAnsi="Palatino Linotype"/>
          <w:i w:val="1"/>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8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8E">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90">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91">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92">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93">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9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9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9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9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A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A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A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A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A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A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A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B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B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B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B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B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B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B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B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B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B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B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B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C0">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1">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C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C4">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5">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C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80" w:before="28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CA">
      <w:pPr>
        <w:spacing w:line="360" w:lineRule="auto"/>
        <w:ind w:right="49"/>
        <w:jc w:val="both"/>
        <w:rPr>
          <w:rFonts w:ascii="Palatino Linotype" w:cs="Palatino Linotype" w:eastAsia="Palatino Linotype" w:hAnsi="Palatino Linotype"/>
        </w:rPr>
      </w:pPr>
      <w:bookmarkStart w:colFirst="0" w:colLast="0" w:name="_heading=h.3znysh7" w:id="9"/>
      <w:bookmarkEnd w:id="9"/>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el recurso de revisión</w:t>
      </w:r>
      <w:r w:rsidDel="00000000" w:rsidR="00000000" w:rsidRPr="00000000">
        <w:rPr>
          <w:rFonts w:ascii="Palatino Linotype" w:cs="Palatino Linotype" w:eastAsia="Palatino Linotype" w:hAnsi="Palatino Linotype"/>
          <w:b w:val="1"/>
          <w:rtl w:val="0"/>
        </w:rPr>
        <w:t xml:space="preserve"> 16924/INFOEM/ICR-87/IP/RR/2022,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1CB">
      <w:pPr>
        <w:spacing w:line="360" w:lineRule="auto"/>
        <w:jc w:val="both"/>
        <w:rPr>
          <w:rFonts w:ascii="Palatino Linotype" w:cs="Palatino Linotype" w:eastAsia="Palatino Linotype" w:hAnsi="Palatino Linotype"/>
          <w:b w:val="1"/>
        </w:rPr>
      </w:pPr>
      <w:bookmarkStart w:colFirst="0" w:colLast="0" w:name="_heading=h.3dy6vkm" w:id="10"/>
      <w:bookmarkEnd w:id="10"/>
      <w:r w:rsidDel="00000000" w:rsidR="00000000" w:rsidRPr="00000000">
        <w:rPr>
          <w:rtl w:val="0"/>
        </w:rPr>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de esta resolución, entregue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vía Sistema de Acceso a la Información Mexiquense (SAIMEX),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previa búsqueda exhaustiva y razonable, en </w:t>
      </w:r>
      <w:r w:rsidDel="00000000" w:rsidR="00000000" w:rsidRPr="00000000">
        <w:rPr>
          <w:rFonts w:ascii="Palatino Linotype" w:cs="Palatino Linotype" w:eastAsia="Palatino Linotype" w:hAnsi="Palatino Linotype"/>
          <w:b w:val="1"/>
          <w:rtl w:val="0"/>
        </w:rPr>
        <w:t xml:space="preserve">versión pública</w:t>
      </w:r>
      <w:r w:rsidDel="00000000" w:rsidR="00000000" w:rsidRPr="00000000">
        <w:rPr>
          <w:rFonts w:ascii="Palatino Linotype" w:cs="Palatino Linotype" w:eastAsia="Palatino Linotype" w:hAnsi="Palatino Linotype"/>
          <w:rtl w:val="0"/>
        </w:rPr>
        <w:t xml:space="preserve">, de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 siguiente:</w:t>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851" w:hanging="36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Recibos de pago de aguinaldo de todos los servidores públicos adscritos al Ayuntamiento de Zinacantepec, en los años 2018, 2019, 2020, 2021 y los generados del primero de enero al primero de noviembre de dos mil veintidós. </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16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rsidR="00000000" w:rsidDel="00000000" w:rsidP="00000000" w:rsidRDefault="00000000" w:rsidRPr="00000000" w14:paraId="000001D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bookmarkStart w:colFirst="0" w:colLast="0" w:name="_heading=h.1fob9te" w:id="11"/>
      <w:bookmarkEnd w:id="11"/>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 presente resolución vía Sistema de Acceso a la Información Mexiquense (SAIMEX), al Titular de la Unidad de Transparencia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00000" w:rsidDel="00000000" w:rsidP="00000000" w:rsidRDefault="00000000" w:rsidRPr="00000000" w14:paraId="000001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la presente resolución al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 </w:t>
      </w:r>
    </w:p>
    <w:p w:rsidR="00000000" w:rsidDel="00000000" w:rsidP="00000000" w:rsidRDefault="00000000" w:rsidRPr="00000000" w14:paraId="000001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MAYORÍA DE VOTOS, EL PLENO DEL INSTITUTO DE TRANSPARENCIA, ACCESO A LA INFORMACIÓN PÚBLICA Y PROTECCIÓN DE DATOS PERSONALES DEL ESTADO DE MÉXICO Y MUNICIPIOS, CONFORMADO POR LOS COMISIONADOS JOSÉ MARTÍNEZ VILCHIS, EMITIENDO VOTO PARTICULAR, MARÍA DEL ROSARIO MEJÍA AYALA, SHARON CRISTINA MORALES MARTÍNEZ, EMITIENDO VOTO DISIDENTE, LUIS GUSTAVO PARRA NORIEGA, EMITIENDO VOTO PARTICULAR Y GUADALUPE RAMÍREZ PEÑA; EN LA DÉCIMA TERCERA SESIÓN ORDINARIA CELEBRADA EL DOCE DE ABRIL DE DOS MIL VEINTITRÉS, ANTE EL SECRETARIO TÉCNICO DEL PLENO ALEXIS TAPIA RAMÍREZ.</w:t>
      </w:r>
    </w:p>
    <w:p w:rsidR="00000000" w:rsidDel="00000000" w:rsidP="00000000" w:rsidRDefault="00000000" w:rsidRPr="00000000" w14:paraId="000001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7">
      <w:pPr>
        <w:spacing w:line="360" w:lineRule="auto"/>
        <w:jc w:val="both"/>
        <w:rPr>
          <w:rFonts w:ascii="Palatino Linotype" w:cs="Palatino Linotype" w:eastAsia="Palatino Linotype" w:hAnsi="Palatino Linotype"/>
        </w:rPr>
      </w:pPr>
      <w:bookmarkStart w:colFirst="0" w:colLast="0" w:name="_heading=h.1t3h5sf" w:id="12"/>
      <w:bookmarkEnd w:id="12"/>
      <w:r w:rsidDel="00000000" w:rsidR="00000000" w:rsidRPr="00000000">
        <w:rPr>
          <w:rtl w:val="0"/>
        </w:rPr>
      </w:r>
    </w:p>
    <w:p w:rsidR="00000000" w:rsidDel="00000000" w:rsidP="00000000" w:rsidRDefault="00000000" w:rsidRPr="00000000" w14:paraId="000001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B">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E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E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https://www.osfem.gob.mx/04_Iconografia/Ent_Fisc/Doc_Apoy/Doc_Apoy.html</w:t>
        </w:r>
      </w:hyperlink>
      <w:r w:rsidDel="00000000" w:rsidR="00000000" w:rsidRPr="00000000">
        <w:rPr>
          <w:rtl w:val="0"/>
        </w:rPr>
      </w:r>
    </w:p>
  </w:footnote>
  <w:footnote w:id="3">
    <w:p w:rsidR="00000000" w:rsidDel="00000000" w:rsidP="00000000" w:rsidRDefault="00000000" w:rsidRPr="00000000" w14:paraId="000001E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150 de la Ley de Transparencia y Acceso a la Información Pública del Estado de México y Municipios</w:t>
      </w:r>
    </w:p>
  </w:footnote>
  <w:footnote w:id="4">
    <w:p w:rsidR="00000000" w:rsidDel="00000000" w:rsidP="00000000" w:rsidRDefault="00000000" w:rsidRPr="00000000" w14:paraId="000001F0">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165, ibídem</w:t>
      </w:r>
    </w:p>
  </w:footnote>
  <w:footnote w:id="5">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right" w:leader="none"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-415296</wp:posOffset>
          </wp:positionV>
          <wp:extent cx="7809865" cy="10165715"/>
          <wp:effectExtent b="0" l="0" r="0" t="0"/>
          <wp:wrapNone/>
          <wp:docPr id="9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237.0" w:type="dxa"/>
      <w:jc w:val="left"/>
      <w:tblInd w:w="2694.0" w:type="dxa"/>
      <w:tblLayout w:type="fixed"/>
      <w:tblLook w:val="0400"/>
    </w:tblPr>
    <w:tblGrid>
      <w:gridCol w:w="2551"/>
      <w:gridCol w:w="3686"/>
      <w:tblGridChange w:id="0">
        <w:tblGrid>
          <w:gridCol w:w="2551"/>
          <w:gridCol w:w="3686"/>
        </w:tblGrid>
      </w:tblGridChange>
    </w:tblGrid>
    <w:tr>
      <w:trPr>
        <w:cantSplit w:val="0"/>
        <w:tblHeader w:val="0"/>
      </w:trPr>
      <w:tc>
        <w:tcPr>
          <w:shd w:fill="auto" w:val="clear"/>
          <w:vAlign w:val="center"/>
        </w:tcPr>
        <w:p w:rsidR="00000000" w:rsidDel="00000000" w:rsidP="00000000" w:rsidRDefault="00000000" w:rsidRPr="00000000" w14:paraId="000001F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F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16924/INFOEM/ICR-87/IP/RR/2022</w:t>
          </w:r>
        </w:p>
      </w:tc>
    </w:tr>
    <w:tr>
      <w:trPr>
        <w:cantSplit w:val="0"/>
        <w:trHeight w:val="130" w:hRule="atLeast"/>
        <w:tblHeader w:val="0"/>
      </w:trPr>
      <w:tc>
        <w:tcPr>
          <w:shd w:fill="auto" w:val="clear"/>
          <w:vAlign w:val="center"/>
        </w:tcPr>
        <w:p w:rsidR="00000000" w:rsidDel="00000000" w:rsidP="00000000" w:rsidRDefault="00000000" w:rsidRPr="00000000" w14:paraId="000001F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F6">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F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F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1F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F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-1080122</wp:posOffset>
          </wp:positionH>
          <wp:positionV relativeFrom="paragraph">
            <wp:posOffset>-488300</wp:posOffset>
          </wp:positionV>
          <wp:extent cx="7809865" cy="10165715"/>
          <wp:effectExtent b="0" l="0" r="0" t="0"/>
          <wp:wrapNone/>
          <wp:docPr id="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6175.0" w:type="dxa"/>
      <w:jc w:val="left"/>
      <w:tblInd w:w="2672.0" w:type="dxa"/>
      <w:tblLayout w:type="fixed"/>
      <w:tblLook w:val="0400"/>
    </w:tblPr>
    <w:tblGrid>
      <w:gridCol w:w="2489"/>
      <w:gridCol w:w="3686"/>
      <w:tblGridChange w:id="0">
        <w:tblGrid>
          <w:gridCol w:w="2489"/>
          <w:gridCol w:w="3686"/>
        </w:tblGrid>
      </w:tblGridChange>
    </w:tblGrid>
    <w:tr>
      <w:trPr>
        <w:cantSplit w:val="0"/>
        <w:tblHeader w:val="0"/>
      </w:trPr>
      <w:tc>
        <w:tcPr>
          <w:shd w:fill="auto" w:val="clear"/>
        </w:tcPr>
        <w:p w:rsidR="00000000" w:rsidDel="00000000" w:rsidP="00000000" w:rsidRDefault="00000000" w:rsidRPr="00000000" w14:paraId="000001F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FE">
          <w:pPr>
            <w:ind w:right="-5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16924/INFOEM/ICR-87/IP/RR/2022</w:t>
          </w:r>
        </w:p>
      </w:tc>
    </w:tr>
    <w:tr>
      <w:trPr>
        <w:cantSplit w:val="0"/>
        <w:trHeight w:val="228" w:hRule="atLeast"/>
        <w:tblHeader w:val="0"/>
      </w:trPr>
      <w:tc>
        <w:tcPr>
          <w:shd w:fill="auto" w:val="clear"/>
          <w:vAlign w:val="center"/>
        </w:tcPr>
        <w:p w:rsidR="00000000" w:rsidDel="00000000" w:rsidP="00000000" w:rsidRDefault="00000000" w:rsidRPr="00000000" w14:paraId="000001F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0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shd w:fill="auto" w:val="clear"/>
          <w:vAlign w:val="center"/>
        </w:tcPr>
        <w:p w:rsidR="00000000" w:rsidDel="00000000" w:rsidP="00000000" w:rsidRDefault="00000000" w:rsidRPr="00000000" w14:paraId="0000020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0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a"/>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a"/>
    <w:tblPr>
      <w:tblStyleRowBandSize w:val="1"/>
      <w:tblStyleColBandSize w:val="1"/>
      <w:tblCellMar>
        <w:top w:w="0.0" w:type="dxa"/>
        <w:left w:w="115.0" w:type="dxa"/>
        <w:bottom w:w="0.0" w:type="dxa"/>
        <w:right w:w="115.0" w:type="dxa"/>
      </w:tblCellMar>
    </w:tblPr>
  </w:style>
  <w:style w:type="table" w:styleId="a2" w:customStyle="1">
    <w:basedOn w:val="TableNormala"/>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a3" w:customStyle="1">
    <w:basedOn w:val="TableNormala"/>
    <w:tblPr>
      <w:tblStyleRowBandSize w:val="1"/>
      <w:tblStyleColBandSize w:val="1"/>
      <w:tblCellMar>
        <w:top w:w="0.0" w:type="dxa"/>
        <w:left w:w="115.0" w:type="dxa"/>
        <w:bottom w:w="0.0" w:type="dxa"/>
        <w:right w:w="115.0" w:type="dxa"/>
      </w:tblCellMar>
    </w:tblPr>
  </w:style>
  <w:style w:type="table" w:styleId="a4" w:customStyle="1">
    <w:basedOn w:val="TableNormala"/>
    <w:tblPr>
      <w:tblStyleRowBandSize w:val="1"/>
      <w:tblStyleColBandSize w:val="1"/>
      <w:tblCellMar>
        <w:top w:w="0.0" w:type="dxa"/>
        <w:left w:w="115.0" w:type="dxa"/>
        <w:bottom w:w="0.0" w:type="dxa"/>
        <w:right w:w="115.0" w:type="dxa"/>
      </w:tblCellMar>
    </w:tblPr>
  </w:style>
  <w:style w:type="table" w:styleId="a5" w:customStyle="1">
    <w:basedOn w:val="TableNormal9"/>
    <w:tblPr>
      <w:tblStyleRowBandSize w:val="1"/>
      <w:tblStyleColBandSize w:val="1"/>
      <w:tblCellMar>
        <w:top w:w="0.0" w:type="dxa"/>
        <w:left w:w="115.0" w:type="dxa"/>
        <w:bottom w:w="0.0" w:type="dxa"/>
        <w:right w:w="115.0" w:type="dxa"/>
      </w:tblCellMar>
    </w:tblPr>
  </w:style>
  <w:style w:type="table" w:styleId="a6" w:customStyle="1">
    <w:basedOn w:val="TableNormal9"/>
    <w:tblPr>
      <w:tblStyleRowBandSize w:val="1"/>
      <w:tblStyleColBandSize w:val="1"/>
      <w:tblCellMar>
        <w:top w:w="0.0" w:type="dxa"/>
        <w:left w:w="115.0" w:type="dxa"/>
        <w:bottom w:w="0.0" w:type="dxa"/>
        <w:right w:w="115.0" w:type="dxa"/>
      </w:tblCellMar>
    </w:tblPr>
  </w:style>
  <w:style w:type="table" w:styleId="a7" w:customStyle="1">
    <w:basedOn w:val="TableNormal8"/>
    <w:tblPr>
      <w:tblStyleRowBandSize w:val="1"/>
      <w:tblStyleColBandSize w:val="1"/>
      <w:tblCellMar>
        <w:top w:w="0.0" w:type="dxa"/>
        <w:left w:w="115.0" w:type="dxa"/>
        <w:bottom w:w="0.0" w:type="dxa"/>
        <w:right w:w="115.0" w:type="dxa"/>
      </w:tblCellMar>
    </w:tblPr>
  </w:style>
  <w:style w:type="table" w:styleId="a8" w:customStyle="1">
    <w:basedOn w:val="TableNormal8"/>
    <w:tblPr>
      <w:tblStyleRowBandSize w:val="1"/>
      <w:tblStyleColBandSize w:val="1"/>
      <w:tblCellMar>
        <w:top w:w="0.0" w:type="dxa"/>
        <w:left w:w="115.0" w:type="dxa"/>
        <w:bottom w:w="0.0" w:type="dxa"/>
        <w:right w:w="115.0" w:type="dxa"/>
      </w:tblCellMar>
    </w:tblPr>
  </w:style>
  <w:style w:type="table" w:styleId="a9" w:customStyle="1">
    <w:basedOn w:val="TableNormal7"/>
    <w:tblPr>
      <w:tblStyleRowBandSize w:val="1"/>
      <w:tblStyleColBandSize w:val="1"/>
      <w:tblCellMar>
        <w:top w:w="0.0" w:type="dxa"/>
        <w:left w:w="115.0" w:type="dxa"/>
        <w:bottom w:w="0.0" w:type="dxa"/>
        <w:right w:w="115.0" w:type="dxa"/>
      </w:tblCellMar>
    </w:tblPr>
  </w:style>
  <w:style w:type="table" w:styleId="aa" w:customStyle="1">
    <w:basedOn w:val="TableNormal7"/>
    <w:tblPr>
      <w:tblStyleRowBandSize w:val="1"/>
      <w:tblStyleColBandSize w:val="1"/>
      <w:tblCellMar>
        <w:top w:w="0.0" w:type="dxa"/>
        <w:left w:w="115.0" w:type="dxa"/>
        <w:bottom w:w="0.0" w:type="dxa"/>
        <w:right w:w="115.0" w:type="dxa"/>
      </w:tblCellMar>
    </w:tblPr>
  </w:style>
  <w:style w:type="table" w:styleId="ab" w:customStyle="1">
    <w:basedOn w:val="TableNormal6"/>
    <w:tblPr>
      <w:tblStyleRowBandSize w:val="1"/>
      <w:tblStyleColBandSize w:val="1"/>
      <w:tblCellMar>
        <w:top w:w="0.0" w:type="dxa"/>
        <w:left w:w="115.0" w:type="dxa"/>
        <w:bottom w:w="0.0" w:type="dxa"/>
        <w:right w:w="115.0" w:type="dxa"/>
      </w:tblCellMar>
    </w:tblPr>
  </w:style>
  <w:style w:type="table" w:styleId="ac" w:customStyle="1">
    <w:basedOn w:val="TableNormal6"/>
    <w:tblPr>
      <w:tblStyleRowBandSize w:val="1"/>
      <w:tblStyleColBandSize w:val="1"/>
      <w:tblCellMar>
        <w:top w:w="0.0" w:type="dxa"/>
        <w:left w:w="115.0" w:type="dxa"/>
        <w:bottom w:w="0.0" w:type="dxa"/>
        <w:right w:w="115.0" w:type="dxa"/>
      </w:tblCellMar>
    </w:tblPr>
  </w:style>
  <w:style w:type="character" w:styleId="Mencinsinresolver4" w:customStyle="1">
    <w:name w:val="Mención sin resolver4"/>
    <w:basedOn w:val="Fuentedeprrafopredeter"/>
    <w:uiPriority w:val="99"/>
    <w:semiHidden w:val="1"/>
    <w:unhideWhenUsed w:val="1"/>
    <w:rsid w:val="00850B2E"/>
    <w:rPr>
      <w:color w:val="605e5c"/>
      <w:shd w:color="auto" w:fill="e1dfdd" w:val="clear"/>
    </w:rPr>
  </w:style>
  <w:style w:type="table" w:styleId="ad" w:customStyle="1">
    <w:basedOn w:val="TableNormal5"/>
    <w:tblPr>
      <w:tblStyleRowBandSize w:val="1"/>
      <w:tblStyleColBandSize w:val="1"/>
      <w:tblCellMar>
        <w:top w:w="0.0" w:type="dxa"/>
        <w:left w:w="115.0" w:type="dxa"/>
        <w:bottom w:w="0.0" w:type="dxa"/>
        <w:right w:w="115.0" w:type="dxa"/>
      </w:tblCellMar>
    </w:tblPr>
  </w:style>
  <w:style w:type="table" w:styleId="ae" w:customStyle="1">
    <w:basedOn w:val="TableNormal5"/>
    <w:tblPr>
      <w:tblStyleRowBandSize w:val="1"/>
      <w:tblStyleColBandSize w:val="1"/>
      <w:tblCellMar>
        <w:top w:w="0.0" w:type="dxa"/>
        <w:left w:w="115.0" w:type="dxa"/>
        <w:bottom w:w="0.0" w:type="dxa"/>
        <w:right w:w="115.0" w:type="dxa"/>
      </w:tblCellMar>
    </w:tblPr>
  </w:style>
  <w:style w:type="table" w:styleId="af" w:customStyle="1">
    <w:basedOn w:val="TableNormal4"/>
    <w:tblPr>
      <w:tblStyleRowBandSize w:val="1"/>
      <w:tblStyleColBandSize w:val="1"/>
      <w:tblCellMar>
        <w:top w:w="0.0" w:type="dxa"/>
        <w:left w:w="115.0" w:type="dxa"/>
        <w:bottom w:w="0.0" w:type="dxa"/>
        <w:right w:w="115.0" w:type="dxa"/>
      </w:tblCellMar>
    </w:tblPr>
  </w:style>
  <w:style w:type="table" w:styleId="af0" w:customStyle="1">
    <w:basedOn w:val="TableNormal4"/>
    <w:tblPr>
      <w:tblStyleRowBandSize w:val="1"/>
      <w:tblStyleColBandSize w:val="1"/>
      <w:tblCellMar>
        <w:top w:w="0.0" w:type="dxa"/>
        <w:left w:w="115.0" w:type="dxa"/>
        <w:bottom w:w="0.0" w:type="dxa"/>
        <w:right w:w="115.0" w:type="dxa"/>
      </w:tblCellMar>
    </w:tblPr>
  </w:style>
  <w:style w:type="table" w:styleId="af1" w:customStyle="1">
    <w:basedOn w:val="TableNormal3"/>
    <w:tblPr>
      <w:tblStyleRowBandSize w:val="1"/>
      <w:tblStyleColBandSize w:val="1"/>
      <w:tblCellMar>
        <w:top w:w="0.0" w:type="dxa"/>
        <w:left w:w="115.0" w:type="dxa"/>
        <w:bottom w:w="0.0" w:type="dxa"/>
        <w:right w:w="115.0" w:type="dxa"/>
      </w:tblCellMar>
    </w:tblPr>
  </w:style>
  <w:style w:type="table" w:styleId="af2" w:customStyle="1">
    <w:basedOn w:val="TableNormal3"/>
    <w:tblPr>
      <w:tblStyleRowBandSize w:val="1"/>
      <w:tblStyleColBandSize w:val="1"/>
      <w:tblCellMar>
        <w:top w:w="0.0" w:type="dxa"/>
        <w:left w:w="115.0" w:type="dxa"/>
        <w:bottom w:w="0.0" w:type="dxa"/>
        <w:right w:w="115.0" w:type="dxa"/>
      </w:tblCellMar>
    </w:tblPr>
  </w:style>
  <w:style w:type="table" w:styleId="af3" w:customStyle="1">
    <w:basedOn w:val="TableNormal2"/>
    <w:tblPr>
      <w:tblStyleRowBandSize w:val="1"/>
      <w:tblStyleColBandSize w:val="1"/>
      <w:tblCellMar>
        <w:top w:w="0.0" w:type="dxa"/>
        <w:left w:w="115.0" w:type="dxa"/>
        <w:bottom w:w="0.0" w:type="dxa"/>
        <w:right w:w="115.0" w:type="dxa"/>
      </w:tblCellMar>
    </w:tblPr>
  </w:style>
  <w:style w:type="table" w:styleId="af4" w:customStyle="1">
    <w:basedOn w:val="TableNormal2"/>
    <w:tblPr>
      <w:tblStyleRowBandSize w:val="1"/>
      <w:tblStyleColBandSize w:val="1"/>
      <w:tblCellMar>
        <w:top w:w="0.0" w:type="dxa"/>
        <w:left w:w="115.0" w:type="dxa"/>
        <w:bottom w:w="0.0" w:type="dxa"/>
        <w:right w:w="115.0" w:type="dxa"/>
      </w:tblCellMar>
    </w:tblPr>
  </w:style>
  <w:style w:type="table" w:styleId="af5" w:customStyle="1">
    <w:basedOn w:val="TableNormal1"/>
    <w:tblPr>
      <w:tblStyleRowBandSize w:val="1"/>
      <w:tblStyleColBandSize w:val="1"/>
      <w:tblCellMar>
        <w:top w:w="0.0" w:type="dxa"/>
        <w:left w:w="115.0" w:type="dxa"/>
        <w:bottom w:w="0.0" w:type="dxa"/>
        <w:right w:w="115.0" w:type="dxa"/>
      </w:tblCellMar>
    </w:tblPr>
  </w:style>
  <w:style w:type="table" w:styleId="af6" w:customStyle="1">
    <w:basedOn w:val="TableNormal1"/>
    <w:tblPr>
      <w:tblStyleRowBandSize w:val="1"/>
      <w:tblStyleColBandSize w:val="1"/>
      <w:tblCellMar>
        <w:top w:w="0.0" w:type="dxa"/>
        <w:left w:w="115.0" w:type="dxa"/>
        <w:bottom w:w="0.0" w:type="dxa"/>
        <w:right w:w="115.0" w:type="dxa"/>
      </w:tblCellMar>
    </w:tblPr>
  </w:style>
  <w:style w:type="table" w:styleId="af7" w:customStyle="1">
    <w:basedOn w:val="TableNormal0"/>
    <w:tblPr>
      <w:tblStyleRowBandSize w:val="1"/>
      <w:tblStyleColBandSize w:val="1"/>
      <w:tblCellMar>
        <w:top w:w="0.0" w:type="dxa"/>
        <w:left w:w="115.0" w:type="dxa"/>
        <w:bottom w:w="0.0" w:type="dxa"/>
        <w:right w:w="115.0" w:type="dxa"/>
      </w:tblCellMar>
    </w:tblPr>
  </w:style>
  <w:style w:type="table" w:styleId="af8" w:customStyle="1">
    <w:basedOn w:val="TableNormal0"/>
    <w:tblPr>
      <w:tblStyleRowBandSize w:val="1"/>
      <w:tblStyleColBandSize w:val="1"/>
      <w:tblCellMar>
        <w:top w:w="0.0" w:type="dxa"/>
        <w:left w:w="115.0" w:type="dxa"/>
        <w:bottom w:w="0.0" w:type="dxa"/>
        <w:right w:w="115.0" w:type="dxa"/>
      </w:tblCellMar>
    </w:tblPr>
  </w:style>
  <w:style w:type="table" w:styleId="Tabladelista1clara-nfasis111" w:customStyle="1">
    <w:name w:val="Tabla de lista 1 clara - Énfasis 111"/>
    <w:basedOn w:val="Tablanormal"/>
    <w:uiPriority w:val="46"/>
    <w:rsid w:val="00396AC8"/>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4/eyxtPtkAD9biRPBZ05u86IGg==">AMUW2mUiSthTpBUoDNCJeh1pcauwn6HrPN1Kd+Jt0A2WKF2r5GsSAi5qqhWYEE+Qd/yF3DLt2TPuOTBoWyaNnboGB4R0/ZDOEFtWPFKt7ctxmuHGvXzZVc/je32t+P1+Mpqv1n7e7S73yImRaCbtAspf1f4tfTSjgDIP8KcW3Tk2XqzYYNgtRAnAyJ3ZAZlwtNpNbdZDMkAuOPzRfwWkLQzwdpLOVKgK8ksLGJJFGNVaHb2Pn86mR7EjLqd+WNoZIG9sMWos/JjmvVt6FeB4gdFZxxJik7Ny/q2Zoi1qnZEB5Zr7OV0/E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2023-04-25T18:50:00Z</dcterms:created>
  <dc:creator>iMac</dc:creator>
</cp:coreProperties>
</file>