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BEEF93B"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C07218">
        <w:rPr>
          <w:rFonts w:ascii="Palatino Linotype" w:hAnsi="Palatino Linotype"/>
          <w:sz w:val="24"/>
          <w:szCs w:val="24"/>
        </w:rPr>
        <w:t xml:space="preserve">n Metepec, Estado de México; de </w:t>
      </w:r>
      <w:r w:rsidR="00231DB6">
        <w:rPr>
          <w:rFonts w:ascii="Palatino Linotype" w:hAnsi="Palatino Linotype"/>
          <w:sz w:val="24"/>
          <w:szCs w:val="24"/>
        </w:rPr>
        <w:t xml:space="preserve">veintinueve </w:t>
      </w:r>
      <w:r w:rsidRPr="007C7FFD">
        <w:rPr>
          <w:rFonts w:ascii="Palatino Linotype" w:hAnsi="Palatino Linotype"/>
          <w:sz w:val="24"/>
          <w:szCs w:val="24"/>
        </w:rPr>
        <w:t>(</w:t>
      </w:r>
      <w:r w:rsidR="00C07218">
        <w:rPr>
          <w:rFonts w:ascii="Palatino Linotype" w:hAnsi="Palatino Linotype"/>
          <w:sz w:val="24"/>
          <w:szCs w:val="24"/>
        </w:rPr>
        <w:t>2</w:t>
      </w:r>
      <w:r w:rsidR="00231DB6">
        <w:rPr>
          <w:rFonts w:ascii="Palatino Linotype" w:hAnsi="Palatino Linotype"/>
          <w:sz w:val="24"/>
          <w:szCs w:val="24"/>
        </w:rPr>
        <w:t>9</w:t>
      </w:r>
      <w:r w:rsidR="00BE6E79" w:rsidRPr="007C7FFD">
        <w:rPr>
          <w:rFonts w:ascii="Palatino Linotype" w:hAnsi="Palatino Linotype"/>
          <w:sz w:val="24"/>
          <w:szCs w:val="24"/>
        </w:rPr>
        <w:t xml:space="preserve">) de </w:t>
      </w:r>
      <w:r w:rsidR="00BA796B">
        <w:rPr>
          <w:rFonts w:ascii="Palatino Linotype" w:hAnsi="Palatino Linotype"/>
          <w:sz w:val="24"/>
          <w:szCs w:val="24"/>
        </w:rPr>
        <w:t>marzo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527680BC"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C07218" w:rsidRPr="00C07218">
        <w:rPr>
          <w:rFonts w:ascii="Palatino Linotype" w:hAnsi="Palatino Linotype"/>
          <w:b/>
          <w:sz w:val="24"/>
          <w:szCs w:val="24"/>
        </w:rPr>
        <w:t>16988</w:t>
      </w:r>
      <w:r w:rsidR="00C07218">
        <w:rPr>
          <w:rFonts w:ascii="Palatino Linotype" w:eastAsia="Calibri" w:hAnsi="Palatino Linotype" w:cs="Tahoma"/>
          <w:b/>
          <w:sz w:val="24"/>
          <w:lang w:eastAsia="en-US"/>
        </w:rPr>
        <w:t>/INFOEM/IP/RR/2022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973A51">
        <w:rPr>
          <w:rFonts w:ascii="Palatino Linotype" w:hAnsi="Palatino Linotype"/>
          <w:b/>
          <w:sz w:val="24"/>
          <w:szCs w:val="24"/>
        </w:rPr>
        <w:t>XXXXXXX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falta de</w:t>
      </w:r>
      <w:r w:rsidRPr="007C7FFD">
        <w:rPr>
          <w:rFonts w:ascii="Palatino Linotype" w:hAnsi="Palatino Linotype" w:cs="Arial"/>
          <w:sz w:val="24"/>
          <w:szCs w:val="24"/>
        </w:rPr>
        <w:t xml:space="preserve"> respuesta del </w:t>
      </w:r>
      <w:r w:rsidR="00C07218" w:rsidRPr="00C07218">
        <w:rPr>
          <w:rFonts w:ascii="Palatino Linotype" w:eastAsia="Calibri" w:hAnsi="Palatino Linotype" w:cs="Arial"/>
          <w:b/>
          <w:sz w:val="24"/>
        </w:rPr>
        <w:t>Organismo Público Descentralizado de Agua Potable Alcantarillado y Saneamiento de Chimalhuacán</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1C1A0E48"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C07218">
        <w:rPr>
          <w:rFonts w:ascii="Palatino Linotype" w:eastAsia="Calibri" w:hAnsi="Palatino Linotype" w:cs="Arial"/>
          <w:sz w:val="24"/>
          <w:lang w:val="es-ES"/>
        </w:rPr>
        <w:t>veinticinco</w:t>
      </w:r>
      <w:r w:rsidR="000904E7">
        <w:rPr>
          <w:rFonts w:ascii="Palatino Linotype" w:eastAsia="Calibri" w:hAnsi="Palatino Linotype" w:cs="Arial"/>
          <w:sz w:val="24"/>
          <w:lang w:val="es-ES"/>
        </w:rPr>
        <w:t xml:space="preserve"> (</w:t>
      </w:r>
      <w:r w:rsidR="00C07218">
        <w:rPr>
          <w:rFonts w:ascii="Palatino Linotype" w:eastAsia="Calibri" w:hAnsi="Palatino Linotype" w:cs="Arial"/>
          <w:sz w:val="24"/>
          <w:lang w:val="es-ES"/>
        </w:rPr>
        <w:t>25</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C07218">
        <w:rPr>
          <w:rFonts w:ascii="Palatino Linotype" w:eastAsia="Calibri" w:hAnsi="Palatino Linotype" w:cs="Arial"/>
          <w:sz w:val="24"/>
          <w:lang w:val="es-ES"/>
        </w:rPr>
        <w:t>octubre</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F714A9" w:rsidRPr="007C7FFD">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B13121">
        <w:rPr>
          <w:rFonts w:ascii="Palatino Linotype" w:hAnsi="Palatino Linotype" w:cs="Arial"/>
          <w:b/>
          <w:sz w:val="24"/>
          <w:lang w:val="es-ES"/>
        </w:rPr>
        <w:t>0</w:t>
      </w:r>
      <w:r w:rsidR="00C07218">
        <w:rPr>
          <w:rFonts w:ascii="Palatino Linotype" w:hAnsi="Palatino Linotype" w:cs="Arial"/>
          <w:b/>
          <w:sz w:val="24"/>
          <w:lang w:val="es-ES"/>
        </w:rPr>
        <w:t>093</w:t>
      </w:r>
      <w:r w:rsidR="006C28CC" w:rsidRPr="006C28CC">
        <w:rPr>
          <w:rFonts w:ascii="Palatino Linotype" w:hAnsi="Palatino Linotype" w:cs="Arial"/>
          <w:b/>
          <w:sz w:val="24"/>
          <w:lang w:val="es-ES"/>
        </w:rPr>
        <w:t>/</w:t>
      </w:r>
      <w:r w:rsidR="00C07218">
        <w:rPr>
          <w:rFonts w:ascii="Palatino Linotype" w:hAnsi="Palatino Linotype" w:cs="Arial"/>
          <w:b/>
          <w:sz w:val="24"/>
          <w:lang w:val="es-ES"/>
        </w:rPr>
        <w:t>OASCHIMAL</w:t>
      </w:r>
      <w:r w:rsidR="00B13121">
        <w:rPr>
          <w:rFonts w:ascii="Palatino Linotype" w:hAnsi="Palatino Linotype" w:cs="Arial"/>
          <w:b/>
          <w:sz w:val="24"/>
          <w:lang w:val="es-ES"/>
        </w:rPr>
        <w:t xml:space="preserve">/IP/2022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58C6E069" w14:textId="2F9BDA0A" w:rsidR="006C28CC" w:rsidRDefault="00C07218" w:rsidP="008A2519">
      <w:pPr>
        <w:pStyle w:val="Prrafodelista"/>
        <w:spacing w:line="360" w:lineRule="auto"/>
        <w:ind w:left="0"/>
        <w:jc w:val="both"/>
        <w:rPr>
          <w:rFonts w:ascii="Palatino Linotype" w:hAnsi="Palatino Linotype" w:cs="Arial"/>
          <w:b/>
          <w:sz w:val="24"/>
          <w:lang w:val="es-ES"/>
        </w:rPr>
      </w:pPr>
      <w:r w:rsidRPr="006C28CC">
        <w:rPr>
          <w:rFonts w:ascii="Palatino Linotype" w:hAnsi="Palatino Linotype" w:cs="Arial"/>
          <w:b/>
          <w:sz w:val="24"/>
          <w:lang w:val="es-ES"/>
        </w:rPr>
        <w:t>0</w:t>
      </w:r>
      <w:r>
        <w:rPr>
          <w:rFonts w:ascii="Palatino Linotype" w:hAnsi="Palatino Linotype" w:cs="Arial"/>
          <w:b/>
          <w:sz w:val="24"/>
          <w:lang w:val="es-ES"/>
        </w:rPr>
        <w:t>0093</w:t>
      </w:r>
      <w:r w:rsidRPr="006C28CC">
        <w:rPr>
          <w:rFonts w:ascii="Palatino Linotype" w:hAnsi="Palatino Linotype" w:cs="Arial"/>
          <w:b/>
          <w:sz w:val="24"/>
          <w:lang w:val="es-ES"/>
        </w:rPr>
        <w:t>/</w:t>
      </w:r>
      <w:r>
        <w:rPr>
          <w:rFonts w:ascii="Palatino Linotype" w:hAnsi="Palatino Linotype" w:cs="Arial"/>
          <w:b/>
          <w:sz w:val="24"/>
          <w:lang w:val="es-ES"/>
        </w:rPr>
        <w:t>OASCHIMAL/IP/2022</w:t>
      </w:r>
    </w:p>
    <w:p w14:paraId="6885341D" w14:textId="592D3817" w:rsidR="00C07218" w:rsidRDefault="00C07218" w:rsidP="008A2519">
      <w:pPr>
        <w:pStyle w:val="Prrafodelista"/>
        <w:spacing w:line="360" w:lineRule="auto"/>
        <w:ind w:left="0"/>
        <w:jc w:val="both"/>
        <w:rPr>
          <w:rFonts w:ascii="Palatino Linotype" w:hAnsi="Palatino Linotype"/>
          <w:i/>
        </w:rPr>
      </w:pPr>
      <w:r w:rsidRPr="00C07218">
        <w:rPr>
          <w:rFonts w:ascii="Palatino Linotype" w:hAnsi="Palatino Linotype"/>
          <w:i/>
        </w:rPr>
        <w:t xml:space="preserve">BUENAS NOCHES, SOLICITO SE ME INFORME CUANTOS JUICIOS LABORALES SE HAN PROMOVIDO EN ESTE AÑO 2022 EN CONTRA DEL ODAPAS DE CHIMALHUACAN, QUIENES SON LOS PROMOVENTES DE ESOS JUICIOS, MOTIVO DE LA SEPARACION DE </w:t>
      </w:r>
      <w:r w:rsidRPr="00C07218">
        <w:rPr>
          <w:rFonts w:ascii="Palatino Linotype" w:hAnsi="Palatino Linotype"/>
          <w:i/>
        </w:rPr>
        <w:lastRenderedPageBreak/>
        <w:t>SUS CARGOS Y EL ESTATUS ACTUAL QUE GUARDAN DICHOS JUICIOS LABORALES, GRACIAS</w:t>
      </w:r>
      <w:r w:rsidR="00BA796B" w:rsidRPr="00BA796B">
        <w:rPr>
          <w:rFonts w:ascii="Palatino Linotype" w:hAnsi="Palatino Linotype"/>
          <w:i/>
        </w:rPr>
        <w:t>.</w:t>
      </w:r>
    </w:p>
    <w:p w14:paraId="36CDB85A" w14:textId="77777777" w:rsidR="00C07218" w:rsidRDefault="00C07218"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0D26210D" w14:textId="0D08DA13" w:rsidR="00C07218" w:rsidRDefault="00C07218"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El Sujeto Obligado solicitó una prórroga para dar respuesta a la solicitud</w:t>
      </w:r>
    </w:p>
    <w:p w14:paraId="0ACEA6B9" w14:textId="77777777" w:rsidR="00C07218" w:rsidRPr="00C07218" w:rsidRDefault="00C07218" w:rsidP="00C07218">
      <w:pPr>
        <w:pStyle w:val="Prrafodelista"/>
        <w:rPr>
          <w:rFonts w:ascii="Palatino Linotype" w:hAnsi="Palatino Linotype" w:cs="Arial"/>
          <w:sz w:val="24"/>
          <w:lang w:val="es-ES"/>
        </w:rPr>
      </w:pPr>
    </w:p>
    <w:p w14:paraId="5E662ECD" w14:textId="5DDC57FC" w:rsidR="00BA796B" w:rsidRDefault="00BA796B"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De las constancias que obran en el expediente electrónico del SAIMEX </w:t>
      </w:r>
      <w:proofErr w:type="spellStart"/>
      <w:r>
        <w:rPr>
          <w:rFonts w:ascii="Palatino Linotype" w:hAnsi="Palatino Linotype" w:cs="Arial"/>
          <w:sz w:val="24"/>
          <w:lang w:val="es-ES"/>
        </w:rPr>
        <w:t>aperturado</w:t>
      </w:r>
      <w:proofErr w:type="spellEnd"/>
      <w:r>
        <w:rPr>
          <w:rFonts w:ascii="Palatino Linotype" w:hAnsi="Palatino Linotype" w:cs="Arial"/>
          <w:sz w:val="24"/>
          <w:lang w:val="es-ES"/>
        </w:rPr>
        <w:t xml:space="preserve"> con motivo de la solicitud de mérito que dio origen al recurso de revisión que se resuelve, se aprecia que el Sujeto Obligado no dio respuesta a la solicitud de acceso a la información pública.</w:t>
      </w:r>
    </w:p>
    <w:p w14:paraId="56A2BEDD" w14:textId="77777777" w:rsidR="00BA796B" w:rsidRPr="00BA796B" w:rsidRDefault="00BA796B" w:rsidP="00BA796B">
      <w:pPr>
        <w:pStyle w:val="Prrafodelista"/>
        <w:rPr>
          <w:rFonts w:ascii="Palatino Linotype" w:hAnsi="Palatino Linotype" w:cs="Arial"/>
          <w:sz w:val="24"/>
          <w:lang w:val="es-ES"/>
        </w:rPr>
      </w:pPr>
    </w:p>
    <w:p w14:paraId="518CDCD9" w14:textId="16E0B79E"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C07218">
        <w:rPr>
          <w:rFonts w:ascii="Palatino Linotype" w:eastAsia="Calibri" w:hAnsi="Palatino Linotype" w:cs="Arial"/>
          <w:sz w:val="24"/>
          <w:lang w:val="es-AR"/>
        </w:rPr>
        <w:t>veintinueve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2749BC">
        <w:rPr>
          <w:rFonts w:ascii="Palatino Linotype" w:eastAsia="Calibri" w:hAnsi="Palatino Linotype" w:cs="Arial"/>
          <w:sz w:val="24"/>
          <w:lang w:val="es-AR"/>
        </w:rPr>
        <w:t>2</w:t>
      </w:r>
      <w:r w:rsidR="00C07218">
        <w:rPr>
          <w:rFonts w:ascii="Palatino Linotype" w:eastAsia="Calibri" w:hAnsi="Palatino Linotype" w:cs="Arial"/>
          <w:sz w:val="24"/>
          <w:lang w:val="es-AR"/>
        </w:rPr>
        <w:t>9</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C07218">
        <w:rPr>
          <w:rFonts w:ascii="Palatino Linotype" w:eastAsia="Calibri" w:hAnsi="Palatino Linotype" w:cs="Arial"/>
          <w:sz w:val="24"/>
          <w:lang w:val="es-AR"/>
        </w:rPr>
        <w:t>noviembre</w:t>
      </w:r>
      <w:r w:rsidR="002749BC">
        <w:rPr>
          <w:rFonts w:ascii="Palatino Linotype" w:eastAsia="Calibri" w:hAnsi="Palatino Linotype" w:cs="Arial"/>
          <w:sz w:val="24"/>
          <w:lang w:val="es-AR"/>
        </w:rPr>
        <w:t xml:space="preserve"> de dos</w:t>
      </w:r>
      <w:r w:rsidR="005000AA" w:rsidRPr="007C7FFD">
        <w:rPr>
          <w:rFonts w:ascii="Palatino Linotype" w:hAnsi="Palatino Linotype" w:cs="Arial"/>
          <w:sz w:val="24"/>
          <w:lang w:val="es-ES"/>
        </w:rPr>
        <w:t xml:space="preserve">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w:t>
      </w:r>
      <w:r w:rsidR="002749BC">
        <w:rPr>
          <w:rFonts w:ascii="Palatino Linotype" w:hAnsi="Palatino Linotype" w:cs="Arial"/>
          <w:sz w:val="24"/>
          <w:lang w:val="es-ES"/>
        </w:rPr>
        <w:t xml:space="preserve"> el particular</w:t>
      </w:r>
      <w:r w:rsidR="005000AA" w:rsidRPr="007C7FFD">
        <w:rPr>
          <w:rFonts w:ascii="Palatino Linotype" w:hAnsi="Palatino Linotype" w:cs="Arial"/>
          <w:sz w:val="24"/>
          <w:lang w:val="es-ES"/>
        </w:rPr>
        <w:t xml:space="preserve"> </w:t>
      </w:r>
      <w:r w:rsidR="00C07218">
        <w:rPr>
          <w:rFonts w:ascii="Palatino Linotype" w:hAnsi="Palatino Linotype" w:cs="Arial"/>
          <w:sz w:val="24"/>
          <w:lang w:val="es-ES"/>
        </w:rPr>
        <w:t xml:space="preserve">promovió recurso de revisión mediante el cual </w:t>
      </w:r>
      <w:r w:rsidR="005000AA" w:rsidRPr="007C7FFD">
        <w:rPr>
          <w:rFonts w:ascii="Palatino Linotype" w:hAnsi="Palatino Linotype" w:cs="Arial"/>
          <w:sz w:val="24"/>
          <w:lang w:val="es-ES"/>
        </w:rPr>
        <w:t>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31370DD7"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C07218" w:rsidRPr="00C07218">
        <w:rPr>
          <w:rFonts w:ascii="Palatino Linotype" w:eastAsia="Calibri" w:hAnsi="Palatino Linotype" w:cs="Tahoma"/>
          <w:i/>
          <w:sz w:val="24"/>
          <w:szCs w:val="22"/>
          <w:lang w:eastAsia="en-US"/>
        </w:rPr>
        <w:t xml:space="preserve">la negativa a dar respuesta a la solicitud con </w:t>
      </w:r>
      <w:proofErr w:type="spellStart"/>
      <w:r w:rsidR="00C07218" w:rsidRPr="00C07218">
        <w:rPr>
          <w:rFonts w:ascii="Palatino Linotype" w:eastAsia="Calibri" w:hAnsi="Palatino Linotype" w:cs="Tahoma"/>
          <w:i/>
          <w:sz w:val="24"/>
          <w:szCs w:val="22"/>
          <w:lang w:eastAsia="en-US"/>
        </w:rPr>
        <w:t>numero</w:t>
      </w:r>
      <w:proofErr w:type="spellEnd"/>
      <w:r w:rsidR="00C07218" w:rsidRPr="00C07218">
        <w:rPr>
          <w:rFonts w:ascii="Palatino Linotype" w:eastAsia="Calibri" w:hAnsi="Palatino Linotype" w:cs="Tahoma"/>
          <w:i/>
          <w:sz w:val="24"/>
          <w:szCs w:val="22"/>
          <w:lang w:eastAsia="en-US"/>
        </w:rPr>
        <w:t xml:space="preserve"> de folio 00093/OASCHIMAL/IP/2022</w:t>
      </w:r>
      <w:proofErr w:type="gramStart"/>
      <w:r w:rsidR="00C07218" w:rsidRPr="00C07218">
        <w:rPr>
          <w:rFonts w:ascii="Palatino Linotype" w:eastAsia="Calibri" w:hAnsi="Palatino Linotype" w:cs="Tahoma"/>
          <w:i/>
          <w:sz w:val="24"/>
          <w:szCs w:val="22"/>
          <w:lang w:eastAsia="en-US"/>
        </w:rPr>
        <w:t>.</w:t>
      </w:r>
      <w:r w:rsidR="002749BC" w:rsidRPr="002749BC">
        <w:rPr>
          <w:rFonts w:ascii="Palatino Linotype" w:eastAsia="Calibri" w:hAnsi="Palatino Linotype" w:cs="Tahoma"/>
          <w:i/>
          <w:sz w:val="24"/>
          <w:szCs w:val="22"/>
          <w:lang w:eastAsia="en-US"/>
        </w:rPr>
        <w:t>.</w:t>
      </w:r>
      <w:r w:rsidRPr="007C7FFD">
        <w:rPr>
          <w:rFonts w:ascii="Palatino Linotype" w:hAnsi="Palatino Linotype"/>
          <w:bCs/>
          <w:i/>
          <w:iCs/>
          <w:sz w:val="24"/>
        </w:rPr>
        <w:t>”</w:t>
      </w:r>
      <w:proofErr w:type="gramEnd"/>
      <w:r w:rsidR="00B83EE1">
        <w:rPr>
          <w:rFonts w:ascii="Palatino Linotype" w:hAnsi="Palatino Linotype"/>
          <w:bCs/>
          <w:i/>
          <w:iCs/>
          <w:sz w:val="24"/>
        </w:rPr>
        <w:t xml:space="preserve"> (</w:t>
      </w:r>
      <w:proofErr w:type="gramStart"/>
      <w:r w:rsidR="00B83EE1">
        <w:rPr>
          <w:rFonts w:ascii="Palatino Linotype" w:hAnsi="Palatino Linotype"/>
          <w:bCs/>
          <w:i/>
          <w:iCs/>
          <w:sz w:val="24"/>
        </w:rPr>
        <w:t>sic</w:t>
      </w:r>
      <w:proofErr w:type="gramEnd"/>
      <w:r w:rsidR="00B83EE1">
        <w:rPr>
          <w:rFonts w:ascii="Palatino Linotype" w:hAnsi="Palatino Linotype"/>
          <w:bCs/>
          <w:i/>
          <w:iCs/>
          <w:sz w:val="24"/>
        </w:rPr>
        <w:t>)</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078AAA10"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C07218" w:rsidRPr="00C07218">
        <w:rPr>
          <w:rFonts w:ascii="Palatino Linotype" w:hAnsi="Palatino Linotype"/>
          <w:i/>
          <w:sz w:val="24"/>
        </w:rPr>
        <w:t xml:space="preserve">la autoridad es omisa en entregar la información, lo que se pidió mediante solicitud con folio 00093/OASCHIMAL/IP/2022, afectando mi derecho de acceso a la información </w:t>
      </w:r>
      <w:proofErr w:type="spellStart"/>
      <w:r w:rsidR="00C07218" w:rsidRPr="00C07218">
        <w:rPr>
          <w:rFonts w:ascii="Palatino Linotype" w:hAnsi="Palatino Linotype"/>
          <w:i/>
          <w:sz w:val="24"/>
        </w:rPr>
        <w:t>publica</w:t>
      </w:r>
      <w:proofErr w:type="spellEnd"/>
      <w:r w:rsidR="00C07218" w:rsidRPr="00C07218">
        <w:rPr>
          <w:rFonts w:ascii="Palatino Linotype" w:hAnsi="Palatino Linotype"/>
          <w:i/>
          <w:sz w:val="24"/>
        </w:rPr>
        <w:t>.</w:t>
      </w:r>
      <w:r w:rsidR="001A0283" w:rsidRPr="00ED737F">
        <w:rPr>
          <w:rFonts w:ascii="Palatino Linotype" w:hAnsi="Palatino Linotype" w:cstheme="minorBidi"/>
          <w:bCs/>
          <w:i/>
          <w:iCs/>
          <w:sz w:val="24"/>
        </w:rPr>
        <w:t>” (</w:t>
      </w:r>
      <w:proofErr w:type="gramStart"/>
      <w:r w:rsidR="001A0283" w:rsidRPr="00ED737F">
        <w:rPr>
          <w:rFonts w:ascii="Palatino Linotype" w:hAnsi="Palatino Linotype" w:cstheme="minorBidi"/>
          <w:bCs/>
          <w:i/>
          <w:iCs/>
          <w:sz w:val="24"/>
        </w:rPr>
        <w:t>sic</w:t>
      </w:r>
      <w:proofErr w:type="gramEnd"/>
      <w:r w:rsidR="001A0283" w:rsidRPr="00ED737F">
        <w:rPr>
          <w:rFonts w:ascii="Palatino Linotype" w:hAnsi="Palatino Linotype" w:cstheme="minorBidi"/>
          <w:bCs/>
          <w:i/>
          <w:iCs/>
          <w:sz w:val="24"/>
        </w:rPr>
        <w:t>)</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B73454D"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C07218">
        <w:rPr>
          <w:rFonts w:ascii="Palatino Linotype" w:eastAsia="Calibri" w:hAnsi="Palatino Linotype" w:cs="Arial"/>
          <w:sz w:val="24"/>
          <w:lang w:val="es-ES"/>
        </w:rPr>
        <w:t>cinco</w:t>
      </w:r>
      <w:r w:rsidR="00ED737F">
        <w:rPr>
          <w:rFonts w:ascii="Palatino Linotype" w:eastAsia="Calibri" w:hAnsi="Palatino Linotype" w:cs="Arial"/>
          <w:sz w:val="24"/>
          <w:lang w:val="es-ES"/>
        </w:rPr>
        <w:t xml:space="preserve"> (</w:t>
      </w:r>
      <w:r w:rsidR="00C07218">
        <w:rPr>
          <w:rFonts w:ascii="Palatino Linotype" w:eastAsia="Calibri" w:hAnsi="Palatino Linotype" w:cs="Arial"/>
          <w:sz w:val="24"/>
          <w:lang w:val="es-ES"/>
        </w:rPr>
        <w:t>5</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C07218">
        <w:rPr>
          <w:rFonts w:ascii="Palatino Linotype" w:eastAsia="Calibri" w:hAnsi="Palatino Linotype" w:cs="Arial"/>
          <w:sz w:val="24"/>
          <w:lang w:val="es-ES"/>
        </w:rPr>
        <w:t>diciembre</w:t>
      </w:r>
      <w:r w:rsidR="002749BC">
        <w:rPr>
          <w:rFonts w:ascii="Palatino Linotype" w:eastAsia="Calibri" w:hAnsi="Palatino Linotype" w:cs="Arial"/>
          <w:sz w:val="24"/>
          <w:lang w:val="es-ES"/>
        </w:rPr>
        <w:t xml:space="preserve"> de dos mil veinti</w:t>
      </w:r>
      <w:r w:rsidR="00C07218">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31B6122A" w14:textId="39351C9C" w:rsidR="00DC4C30" w:rsidRPr="00DC4C30"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7FFD">
        <w:rPr>
          <w:rFonts w:ascii="Palatino Linotype" w:eastAsiaTheme="minorEastAsia" w:hAnsi="Palatino Linotype"/>
          <w:color w:val="000000"/>
          <w:sz w:val="24"/>
          <w:szCs w:val="24"/>
          <w:lang w:val="es-ES_tradnl"/>
        </w:rPr>
        <w:t xml:space="preserve">El </w:t>
      </w:r>
      <w:r w:rsidRPr="007C7FFD">
        <w:rPr>
          <w:rFonts w:ascii="Palatino Linotype" w:eastAsiaTheme="minorEastAsia" w:hAnsi="Palatino Linotype"/>
          <w:b/>
          <w:color w:val="000000"/>
          <w:sz w:val="24"/>
          <w:szCs w:val="24"/>
          <w:lang w:val="es-ES_tradnl"/>
        </w:rPr>
        <w:t xml:space="preserve">SUJETO OBLIGADO </w:t>
      </w:r>
      <w:r w:rsidR="00ED737F">
        <w:rPr>
          <w:rFonts w:ascii="Palatino Linotype" w:eastAsiaTheme="minorEastAsia" w:hAnsi="Palatino Linotype"/>
          <w:color w:val="000000"/>
          <w:sz w:val="24"/>
          <w:szCs w:val="24"/>
          <w:lang w:val="es-ES_tradnl"/>
        </w:rPr>
        <w:t xml:space="preserve">el </w:t>
      </w:r>
      <w:r w:rsidR="00C07218">
        <w:rPr>
          <w:rFonts w:ascii="Palatino Linotype" w:eastAsiaTheme="minorEastAsia" w:hAnsi="Palatino Linotype"/>
          <w:color w:val="000000"/>
          <w:sz w:val="24"/>
          <w:szCs w:val="24"/>
          <w:lang w:val="es-ES_tradnl"/>
        </w:rPr>
        <w:t>nueve</w:t>
      </w:r>
      <w:r w:rsidR="00DC4C30">
        <w:rPr>
          <w:rFonts w:ascii="Palatino Linotype" w:eastAsiaTheme="minorEastAsia" w:hAnsi="Palatino Linotype"/>
          <w:color w:val="000000"/>
          <w:sz w:val="24"/>
          <w:szCs w:val="24"/>
          <w:lang w:val="es-ES_tradnl"/>
        </w:rPr>
        <w:t xml:space="preserve"> (</w:t>
      </w:r>
      <w:r w:rsidR="00C07218">
        <w:rPr>
          <w:rFonts w:ascii="Palatino Linotype" w:eastAsiaTheme="minorEastAsia" w:hAnsi="Palatino Linotype"/>
          <w:color w:val="000000"/>
          <w:sz w:val="24"/>
          <w:szCs w:val="24"/>
          <w:lang w:val="es-ES_tradnl"/>
        </w:rPr>
        <w:t>9</w:t>
      </w:r>
      <w:r w:rsidR="00DC4C30">
        <w:rPr>
          <w:rFonts w:ascii="Palatino Linotype" w:eastAsiaTheme="minorEastAsia" w:hAnsi="Palatino Linotype"/>
          <w:color w:val="000000"/>
          <w:sz w:val="24"/>
          <w:szCs w:val="24"/>
          <w:lang w:val="es-ES_tradnl"/>
        </w:rPr>
        <w:t>) de</w:t>
      </w:r>
      <w:r w:rsidR="002749BC">
        <w:rPr>
          <w:rFonts w:ascii="Palatino Linotype" w:eastAsiaTheme="minorEastAsia" w:hAnsi="Palatino Linotype"/>
          <w:color w:val="000000"/>
          <w:sz w:val="24"/>
          <w:szCs w:val="24"/>
          <w:lang w:val="es-ES_tradnl"/>
        </w:rPr>
        <w:t xml:space="preserve"> </w:t>
      </w:r>
      <w:r w:rsidR="00C07218">
        <w:rPr>
          <w:rFonts w:ascii="Palatino Linotype" w:eastAsiaTheme="minorEastAsia" w:hAnsi="Palatino Linotype"/>
          <w:color w:val="000000"/>
          <w:sz w:val="24"/>
          <w:szCs w:val="24"/>
          <w:lang w:val="es-ES_tradnl"/>
        </w:rPr>
        <w:t>diciembre</w:t>
      </w:r>
      <w:r w:rsidR="00ED737F">
        <w:rPr>
          <w:rFonts w:ascii="Palatino Linotype" w:eastAsiaTheme="minorEastAsia" w:hAnsi="Palatino Linotype"/>
          <w:color w:val="000000"/>
          <w:sz w:val="24"/>
          <w:szCs w:val="24"/>
          <w:lang w:val="es-ES_tradnl"/>
        </w:rPr>
        <w:t xml:space="preserve"> </w:t>
      </w:r>
      <w:r w:rsidR="00DC4C30">
        <w:rPr>
          <w:rFonts w:ascii="Palatino Linotype" w:eastAsiaTheme="minorEastAsia" w:hAnsi="Palatino Linotype"/>
          <w:color w:val="000000"/>
          <w:sz w:val="24"/>
          <w:szCs w:val="24"/>
          <w:lang w:val="es-ES_tradnl"/>
        </w:rPr>
        <w:t>de dos mil veinti</w:t>
      </w:r>
      <w:r w:rsidR="00C07218">
        <w:rPr>
          <w:rFonts w:ascii="Palatino Linotype" w:eastAsiaTheme="minorEastAsia" w:hAnsi="Palatino Linotype"/>
          <w:color w:val="000000"/>
          <w:sz w:val="24"/>
          <w:szCs w:val="24"/>
          <w:lang w:val="es-ES_tradnl"/>
        </w:rPr>
        <w:t>dós</w:t>
      </w:r>
      <w:r w:rsidR="00DC4C30">
        <w:rPr>
          <w:rFonts w:ascii="Palatino Linotype" w:eastAsiaTheme="minorEastAsia" w:hAnsi="Palatino Linotype"/>
          <w:color w:val="000000"/>
          <w:sz w:val="24"/>
          <w:szCs w:val="24"/>
          <w:lang w:val="es-ES_tradnl"/>
        </w:rPr>
        <w:t>, rindió su informe justificado a través de</w:t>
      </w:r>
      <w:r w:rsidR="00411CE7">
        <w:rPr>
          <w:rFonts w:ascii="Palatino Linotype" w:eastAsiaTheme="minorEastAsia" w:hAnsi="Palatino Linotype"/>
          <w:color w:val="000000"/>
          <w:sz w:val="24"/>
          <w:szCs w:val="24"/>
          <w:lang w:val="es-ES_tradnl"/>
        </w:rPr>
        <w:t>l</w:t>
      </w:r>
      <w:r w:rsidR="00DC4C30">
        <w:rPr>
          <w:rFonts w:ascii="Palatino Linotype" w:eastAsiaTheme="minorEastAsia" w:hAnsi="Palatino Linotype"/>
          <w:color w:val="000000"/>
          <w:sz w:val="24"/>
          <w:szCs w:val="24"/>
          <w:lang w:val="es-ES_tradnl"/>
        </w:rPr>
        <w:t xml:space="preserve"> documento electrónico </w:t>
      </w:r>
      <w:r w:rsidR="00ED737F">
        <w:rPr>
          <w:rFonts w:ascii="Palatino Linotype" w:eastAsiaTheme="minorEastAsia" w:hAnsi="Palatino Linotype"/>
          <w:color w:val="000000"/>
          <w:sz w:val="24"/>
          <w:szCs w:val="24"/>
          <w:lang w:val="es-ES_tradnl"/>
        </w:rPr>
        <w:t>que a continuación se describe</w:t>
      </w:r>
      <w:r w:rsidR="001D2908">
        <w:rPr>
          <w:rFonts w:ascii="Palatino Linotype" w:eastAsiaTheme="minorEastAsia" w:hAnsi="Palatino Linotype"/>
          <w:color w:val="000000"/>
          <w:sz w:val="24"/>
          <w:szCs w:val="24"/>
          <w:lang w:val="es-ES_tradnl"/>
        </w:rPr>
        <w:t xml:space="preserve">, </w:t>
      </w:r>
      <w:r w:rsidR="00C07218">
        <w:rPr>
          <w:rFonts w:ascii="Palatino Linotype" w:eastAsiaTheme="minorEastAsia" w:hAnsi="Palatino Linotype"/>
          <w:color w:val="000000"/>
          <w:sz w:val="24"/>
          <w:szCs w:val="24"/>
          <w:lang w:val="es-ES_tradnl"/>
        </w:rPr>
        <w:t>mismo que fue puesto a disposición del particular el quince de marzo de dos mil veintitrés</w:t>
      </w:r>
      <w:r w:rsidR="00ED737F">
        <w:rPr>
          <w:rFonts w:ascii="Palatino Linotype" w:eastAsiaTheme="minorEastAsia" w:hAnsi="Palatino Linotype"/>
          <w:color w:val="000000"/>
          <w:sz w:val="24"/>
          <w:szCs w:val="24"/>
          <w:lang w:val="es-ES_tradnl"/>
        </w:rPr>
        <w:t>:</w:t>
      </w:r>
    </w:p>
    <w:p w14:paraId="31D887E2" w14:textId="72650AB4" w:rsidR="00C07218" w:rsidRPr="00C07218" w:rsidRDefault="00C07218" w:rsidP="00411CE7">
      <w:pPr>
        <w:pStyle w:val="Prrafodelista"/>
        <w:numPr>
          <w:ilvl w:val="0"/>
          <w:numId w:val="23"/>
        </w:numPr>
        <w:tabs>
          <w:tab w:val="left" w:pos="284"/>
        </w:tabs>
        <w:spacing w:before="240" w:after="240" w:line="360" w:lineRule="auto"/>
        <w:ind w:left="567"/>
        <w:jc w:val="both"/>
        <w:rPr>
          <w:rStyle w:val="Hipervnculo"/>
          <w:rFonts w:ascii="Palatino Linotype" w:hAnsi="Palatino Linotype"/>
          <w:b/>
          <w:color w:val="auto"/>
          <w:sz w:val="24"/>
          <w:u w:val="none"/>
        </w:rPr>
      </w:pPr>
      <w:r>
        <w:rPr>
          <w:rStyle w:val="Hipervnculo"/>
          <w:rFonts w:ascii="Palatino Linotype" w:hAnsi="Palatino Linotype" w:cs="Arial"/>
          <w:b/>
          <w:bCs/>
          <w:color w:val="auto"/>
          <w:sz w:val="24"/>
          <w:u w:val="none"/>
        </w:rPr>
        <w:lastRenderedPageBreak/>
        <w:t>RESPUESTA DEL S.P.H. Y PRUEBA DE DAÑO.pdf:</w:t>
      </w:r>
      <w:r w:rsidR="00C63D27">
        <w:rPr>
          <w:rStyle w:val="Hipervnculo"/>
          <w:rFonts w:ascii="Palatino Linotype" w:hAnsi="Palatino Linotype" w:cs="Arial"/>
          <w:b/>
          <w:bCs/>
          <w:color w:val="auto"/>
          <w:sz w:val="24"/>
          <w:u w:val="none"/>
        </w:rPr>
        <w:t xml:space="preserve"> </w:t>
      </w:r>
      <w:r w:rsidR="00C63D27" w:rsidRPr="00C63D27">
        <w:rPr>
          <w:rStyle w:val="Hipervnculo"/>
          <w:rFonts w:ascii="Palatino Linotype" w:hAnsi="Palatino Linotype" w:cs="Arial"/>
          <w:bCs/>
          <w:color w:val="auto"/>
          <w:sz w:val="24"/>
          <w:u w:val="none"/>
        </w:rPr>
        <w:t>Oficio ODPAS/UJC/484/11-22 suscrito por el Titular de la Dirección Jurídica y Consultiva, mediante el cual refiere que la información es confidencial y se procede a realizar la prueba de daño, asimismo, menciona que son 14 juicios que han sido notificados al Sujeto Obligado.</w:t>
      </w:r>
    </w:p>
    <w:p w14:paraId="6F17EA90" w14:textId="42F4B9F4" w:rsidR="00C07218" w:rsidRPr="00C07218" w:rsidRDefault="00C07218" w:rsidP="00411CE7">
      <w:pPr>
        <w:pStyle w:val="Prrafodelista"/>
        <w:numPr>
          <w:ilvl w:val="0"/>
          <w:numId w:val="23"/>
        </w:numPr>
        <w:tabs>
          <w:tab w:val="left" w:pos="284"/>
        </w:tabs>
        <w:spacing w:before="240" w:after="240" w:line="360" w:lineRule="auto"/>
        <w:ind w:left="567"/>
        <w:jc w:val="both"/>
        <w:rPr>
          <w:rStyle w:val="Hipervnculo"/>
          <w:rFonts w:ascii="Palatino Linotype" w:hAnsi="Palatino Linotype"/>
          <w:b/>
          <w:color w:val="auto"/>
          <w:sz w:val="24"/>
          <w:u w:val="none"/>
        </w:rPr>
      </w:pPr>
      <w:r>
        <w:rPr>
          <w:rStyle w:val="Hipervnculo"/>
          <w:rFonts w:ascii="Palatino Linotype" w:hAnsi="Palatino Linotype" w:cs="Arial"/>
          <w:b/>
          <w:bCs/>
          <w:color w:val="auto"/>
          <w:sz w:val="24"/>
          <w:u w:val="none"/>
        </w:rPr>
        <w:t>507 OFICIO ENVIADO:</w:t>
      </w:r>
      <w:r w:rsidR="00C63D27">
        <w:rPr>
          <w:rStyle w:val="Hipervnculo"/>
          <w:rFonts w:ascii="Palatino Linotype" w:hAnsi="Palatino Linotype" w:cs="Arial"/>
          <w:b/>
          <w:bCs/>
          <w:color w:val="auto"/>
          <w:sz w:val="24"/>
          <w:u w:val="none"/>
        </w:rPr>
        <w:t xml:space="preserve"> </w:t>
      </w:r>
      <w:r w:rsidR="00C63D27" w:rsidRPr="00C63D27">
        <w:rPr>
          <w:rStyle w:val="Hipervnculo"/>
          <w:rFonts w:ascii="Palatino Linotype" w:hAnsi="Palatino Linotype" w:cs="Arial"/>
          <w:bCs/>
          <w:color w:val="auto"/>
          <w:sz w:val="24"/>
          <w:u w:val="none"/>
        </w:rPr>
        <w:t>Oficio UT/ODAPAS/00507/2022 suscrito por el Titular de la Unidad de Transparencia mediante el cual refiere que de acuerdo a la respuesta del Servidor Público Habilitado la información requerida es clasificada como reservada, asimismo, indica que adjunta el acuerdo de Comité de la Décima Cuarta Sesión Extraordinaria del Comité de Transparencia.</w:t>
      </w:r>
    </w:p>
    <w:p w14:paraId="4544F3B9" w14:textId="73484B62" w:rsidR="00C07218" w:rsidRPr="002749BC" w:rsidRDefault="00C07218" w:rsidP="00C07218">
      <w:pPr>
        <w:pStyle w:val="Prrafodelista"/>
        <w:numPr>
          <w:ilvl w:val="0"/>
          <w:numId w:val="23"/>
        </w:numPr>
        <w:tabs>
          <w:tab w:val="left" w:pos="284"/>
        </w:tabs>
        <w:spacing w:before="240" w:after="240" w:line="360" w:lineRule="auto"/>
        <w:ind w:left="567"/>
        <w:jc w:val="both"/>
        <w:rPr>
          <w:rFonts w:ascii="Palatino Linotype" w:hAnsi="Palatino Linotype"/>
          <w:sz w:val="24"/>
        </w:rPr>
      </w:pPr>
      <w:r>
        <w:rPr>
          <w:rStyle w:val="Hipervnculo"/>
          <w:rFonts w:ascii="Palatino Linotype" w:hAnsi="Palatino Linotype" w:cs="Arial"/>
          <w:b/>
          <w:bCs/>
          <w:color w:val="auto"/>
          <w:sz w:val="24"/>
          <w:u w:val="none"/>
        </w:rPr>
        <w:t>ACUERDO DE COMITÉ 93.PDF:</w:t>
      </w:r>
      <w:r w:rsidR="00C63D27">
        <w:rPr>
          <w:rStyle w:val="Hipervnculo"/>
          <w:rFonts w:ascii="Palatino Linotype" w:hAnsi="Palatino Linotype" w:cs="Arial"/>
          <w:b/>
          <w:bCs/>
          <w:color w:val="auto"/>
          <w:sz w:val="24"/>
          <w:u w:val="none"/>
        </w:rPr>
        <w:t xml:space="preserve"> </w:t>
      </w:r>
      <w:r w:rsidR="00C63D27" w:rsidRPr="00C63D27">
        <w:rPr>
          <w:rStyle w:val="Hipervnculo"/>
          <w:rFonts w:ascii="Palatino Linotype" w:hAnsi="Palatino Linotype" w:cs="Arial"/>
          <w:bCs/>
          <w:color w:val="auto"/>
          <w:sz w:val="24"/>
          <w:u w:val="none"/>
        </w:rPr>
        <w:t>Documento sin número de oficio que contiene un acuerdo mediante el cual se aprueba la propuesta de clasificación del Servidor Público Habilitado para dar respuesta a la solicitud 00093/OASCHIMAL/IP/2022</w:t>
      </w:r>
      <w:r w:rsidR="00C63D27">
        <w:rPr>
          <w:rStyle w:val="Hipervnculo"/>
          <w:rFonts w:ascii="Palatino Linotype" w:hAnsi="Palatino Linotype" w:cs="Arial"/>
          <w:bCs/>
          <w:color w:val="auto"/>
          <w:sz w:val="24"/>
          <w:u w:val="none"/>
        </w:rPr>
        <w:t>, reservando los expedientes por un plazo de tres años o hasta su conclusión.</w:t>
      </w:r>
    </w:p>
    <w:p w14:paraId="160271B7" w14:textId="37136A74" w:rsidR="002749BC" w:rsidRPr="002749BC" w:rsidRDefault="002749BC" w:rsidP="00C07218">
      <w:pPr>
        <w:pStyle w:val="Prrafodelista"/>
        <w:tabs>
          <w:tab w:val="left" w:pos="284"/>
        </w:tabs>
        <w:spacing w:before="240" w:after="240" w:line="360" w:lineRule="auto"/>
        <w:ind w:left="567"/>
        <w:jc w:val="both"/>
        <w:rPr>
          <w:rFonts w:ascii="Palatino Linotype" w:hAnsi="Palatino Linotype"/>
          <w:sz w:val="24"/>
        </w:rPr>
      </w:pPr>
    </w:p>
    <w:p w14:paraId="04016115" w14:textId="30681A99" w:rsidR="00BC6FDD" w:rsidRPr="00C63D27" w:rsidRDefault="002749BC" w:rsidP="00C63D2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veintidós</w:t>
      </w:r>
      <w:r w:rsidR="003E4CA3">
        <w:rPr>
          <w:rFonts w:ascii="Palatino Linotype" w:hAnsi="Palatino Linotype" w:cs="Tahoma"/>
          <w:sz w:val="24"/>
        </w:rPr>
        <w:t xml:space="preserve"> (</w:t>
      </w:r>
      <w:r>
        <w:rPr>
          <w:rFonts w:ascii="Palatino Linotype" w:hAnsi="Palatino Linotype" w:cs="Tahoma"/>
          <w:sz w:val="24"/>
        </w:rPr>
        <w:t>22</w:t>
      </w:r>
      <w:r w:rsidR="003E4CA3">
        <w:rPr>
          <w:rFonts w:ascii="Palatino Linotype" w:hAnsi="Palatino Linotype" w:cs="Tahoma"/>
          <w:sz w:val="24"/>
        </w:rPr>
        <w:t xml:space="preserve">) de </w:t>
      </w:r>
      <w:r w:rsidR="00C63D27">
        <w:rPr>
          <w:rFonts w:ascii="Palatino Linotype" w:hAnsi="Palatino Linotype" w:cs="Tahoma"/>
          <w:sz w:val="24"/>
        </w:rPr>
        <w:t>marzo</w:t>
      </w:r>
      <w:r w:rsidR="003E4CA3">
        <w:rPr>
          <w:rFonts w:ascii="Palatino Linotype" w:hAnsi="Palatino Linotype" w:cs="Tahoma"/>
          <w:sz w:val="24"/>
        </w:rPr>
        <w:t xml:space="preserve"> de dos mil veintitrés se notificó el acuerdo de ampliación de plazo para emitir resolución</w:t>
      </w:r>
      <w:r w:rsidR="00C63D27">
        <w:rPr>
          <w:rFonts w:ascii="Palatino Linotype" w:hAnsi="Palatino Linotype" w:cs="Tahoma"/>
          <w:sz w:val="24"/>
        </w:rPr>
        <w:t xml:space="preserve">, asimismo, </w:t>
      </w:r>
      <w:r w:rsidR="00D73603" w:rsidRPr="00C63D27">
        <w:rPr>
          <w:rFonts w:ascii="Palatino Linotype" w:eastAsia="Calibri" w:hAnsi="Palatino Linotype" w:cs="Arial"/>
          <w:sz w:val="24"/>
          <w:lang w:val="es-ES"/>
        </w:rPr>
        <w:t>la</w:t>
      </w:r>
      <w:r w:rsidR="005000AA" w:rsidRPr="00C63D27">
        <w:rPr>
          <w:rFonts w:ascii="Palatino Linotype" w:hAnsi="Palatino Linotype"/>
          <w:sz w:val="24"/>
        </w:rPr>
        <w:t xml:space="preserve"> Comisionad</w:t>
      </w:r>
      <w:r w:rsidR="00D73603" w:rsidRPr="00C63D27">
        <w:rPr>
          <w:rFonts w:ascii="Palatino Linotype" w:hAnsi="Palatino Linotype"/>
          <w:sz w:val="24"/>
        </w:rPr>
        <w:t>a</w:t>
      </w:r>
      <w:r w:rsidR="005000AA" w:rsidRPr="00C63D27">
        <w:rPr>
          <w:rFonts w:ascii="Palatino Linotype" w:hAnsi="Palatino Linotype"/>
          <w:sz w:val="24"/>
        </w:rPr>
        <w:t xml:space="preserve"> Ponente decretó el cierre de instrucción</w:t>
      </w:r>
      <w:r w:rsidR="00B83EE1" w:rsidRPr="00C63D27">
        <w:rPr>
          <w:rFonts w:ascii="Palatino Linotype" w:hAnsi="Palatino Linotype" w:cs="Arial"/>
          <w:sz w:val="24"/>
        </w:rPr>
        <w:t>,</w:t>
      </w:r>
      <w:r w:rsidR="001A0283" w:rsidRPr="00C63D27">
        <w:rPr>
          <w:rFonts w:ascii="Palatino Linotype" w:hAnsi="Palatino Linotype" w:cs="Arial"/>
          <w:sz w:val="24"/>
        </w:rPr>
        <w:t xml:space="preserve"> </w:t>
      </w:r>
      <w:r w:rsidR="00B83EE1" w:rsidRPr="00C63D27">
        <w:rPr>
          <w:rFonts w:ascii="Palatino Linotype" w:hAnsi="Palatino Linotype" w:cs="Arial"/>
          <w:sz w:val="24"/>
        </w:rPr>
        <w:t>p</w:t>
      </w:r>
      <w:r w:rsidR="003C497F" w:rsidRPr="00C63D27">
        <w:rPr>
          <w:rFonts w:ascii="Palatino Linotype" w:hAnsi="Palatino Linotype" w:cs="Tahoma"/>
          <w:sz w:val="24"/>
        </w:rPr>
        <w:t xml:space="preserve">or lo que turnó la presente resolución </w:t>
      </w:r>
      <w:r w:rsidR="003C5753" w:rsidRPr="00C63D27">
        <w:rPr>
          <w:rFonts w:ascii="Palatino Linotype" w:hAnsi="Palatino Linotype" w:cs="Tahoma"/>
          <w:sz w:val="24"/>
        </w:rPr>
        <w:t>para su aprobación.</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lastRenderedPageBreak/>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3BFE7192"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trigésimo y trigésimo primero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274F72F2"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w:t>
      </w:r>
      <w:r w:rsidRPr="00BC6FDD">
        <w:rPr>
          <w:rFonts w:ascii="Palatino Linotype" w:eastAsia="Calibri" w:hAnsi="Palatino Linotype" w:cs="Arial"/>
          <w:sz w:val="24"/>
          <w:szCs w:val="24"/>
          <w:lang w:val="es-ES"/>
        </w:rPr>
        <w:lastRenderedPageBreak/>
        <w:t xml:space="preserve">entregue la respuesta a la solicitud dentro del plazo previsto en la Ley, la solicitud se entenderá negada y el solicitante podrá interponer el recurso de revisión previsto en el ordenamiento en cita.  </w:t>
      </w:r>
    </w:p>
    <w:p w14:paraId="2DF975EC" w14:textId="77777777" w:rsidR="001D2908" w:rsidRPr="00BC6FDD"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BC6FDD"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w:t>
      </w:r>
      <w:r w:rsidRPr="00BC6FDD">
        <w:rPr>
          <w:rFonts w:ascii="Palatino Linotype" w:eastAsia="Calibri" w:hAnsi="Palatino Linotype" w:cs="Arial"/>
          <w:sz w:val="24"/>
          <w:szCs w:val="24"/>
          <w:lang w:val="es-ES"/>
        </w:rPr>
        <w:lastRenderedPageBreak/>
        <w:t xml:space="preserve">“Gaceta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55C29071" w14:textId="77777777" w:rsidR="001D2908" w:rsidRPr="00BC6FDD"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42C2AF3" w14:textId="77777777" w:rsidR="001D2908" w:rsidRPr="00BC6FDD"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BC6FDD">
        <w:rPr>
          <w:rFonts w:ascii="Palatino Linotype" w:eastAsia="Calibri" w:hAnsi="Palatino Linotype" w:cs="Arial"/>
          <w:i/>
          <w:sz w:val="24"/>
          <w:szCs w:val="24"/>
          <w:lang w:val="es-ES"/>
        </w:rPr>
        <w:lastRenderedPageBreak/>
        <w:t>respuesta por parte del Sujeto Obligado, momento a partir del cual deberá computarse el plazo previsto en el artículo 72 de la citada Ley.</w:t>
      </w:r>
    </w:p>
    <w:p w14:paraId="4D787555"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213A1B8B" w14:textId="77777777" w:rsidR="001D2908" w:rsidRPr="00BC6FDD"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BC6FDD"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2F059F0C" w14:textId="4018DEE6" w:rsidR="00601054" w:rsidRPr="002749BC"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C63D27">
        <w:rPr>
          <w:rFonts w:ascii="Palatino Linotype" w:hAnsi="Palatino Linotype"/>
          <w:bCs/>
          <w:sz w:val="24"/>
        </w:rPr>
        <w:t xml:space="preserve">, de los Juicios Laborales promovidos en contra del Sujeto Obligado del uno (1) de enero al veinticinco (25) de octubre de dos mil veintidós, </w:t>
      </w:r>
      <w:r w:rsidR="00601054">
        <w:rPr>
          <w:rFonts w:ascii="Palatino Linotype" w:hAnsi="Palatino Linotype"/>
          <w:bCs/>
          <w:sz w:val="24"/>
        </w:rPr>
        <w:t>lo siguiente:</w:t>
      </w:r>
    </w:p>
    <w:p w14:paraId="69A4ABE2" w14:textId="5FFE2A17" w:rsidR="00C63D27" w:rsidRPr="00C63D27" w:rsidRDefault="00C63D27" w:rsidP="00C63D27">
      <w:pPr>
        <w:pStyle w:val="Prrafodelista"/>
        <w:numPr>
          <w:ilvl w:val="0"/>
          <w:numId w:val="32"/>
        </w:numPr>
        <w:spacing w:line="360" w:lineRule="auto"/>
        <w:ind w:left="709"/>
        <w:jc w:val="both"/>
        <w:rPr>
          <w:rFonts w:ascii="Palatino Linotype" w:hAnsi="Palatino Linotype"/>
          <w:sz w:val="24"/>
          <w:szCs w:val="14"/>
          <w:lang w:eastAsia="es-MX"/>
        </w:rPr>
      </w:pPr>
      <w:r w:rsidRPr="00C63D27">
        <w:rPr>
          <w:rFonts w:ascii="Palatino Linotype" w:hAnsi="Palatino Linotype"/>
          <w:sz w:val="24"/>
          <w:szCs w:val="14"/>
          <w:lang w:eastAsia="es-MX"/>
        </w:rPr>
        <w:t xml:space="preserve">Número de </w:t>
      </w:r>
      <w:r>
        <w:rPr>
          <w:rFonts w:ascii="Palatino Linotype" w:hAnsi="Palatino Linotype"/>
          <w:sz w:val="24"/>
          <w:szCs w:val="14"/>
          <w:lang w:eastAsia="es-MX"/>
        </w:rPr>
        <w:t>Juicios;</w:t>
      </w:r>
    </w:p>
    <w:p w14:paraId="1E4A333B" w14:textId="53EF0F0D" w:rsidR="00C63D27" w:rsidRPr="00C63D27" w:rsidRDefault="00C63D27" w:rsidP="00C63D27">
      <w:pPr>
        <w:pStyle w:val="Prrafodelista"/>
        <w:numPr>
          <w:ilvl w:val="0"/>
          <w:numId w:val="32"/>
        </w:numPr>
        <w:spacing w:line="360" w:lineRule="auto"/>
        <w:ind w:left="709"/>
        <w:jc w:val="both"/>
        <w:rPr>
          <w:rFonts w:ascii="Palatino Linotype" w:hAnsi="Palatino Linotype"/>
          <w:sz w:val="24"/>
          <w:szCs w:val="14"/>
          <w:lang w:eastAsia="es-MX"/>
        </w:rPr>
      </w:pPr>
      <w:r>
        <w:rPr>
          <w:rFonts w:ascii="Palatino Linotype" w:hAnsi="Palatino Linotype"/>
          <w:sz w:val="24"/>
          <w:szCs w:val="14"/>
          <w:lang w:eastAsia="es-MX"/>
        </w:rPr>
        <w:t xml:space="preserve">Nombre de los </w:t>
      </w:r>
      <w:proofErr w:type="spellStart"/>
      <w:r>
        <w:rPr>
          <w:rFonts w:ascii="Palatino Linotype" w:hAnsi="Palatino Linotype"/>
          <w:sz w:val="24"/>
          <w:szCs w:val="14"/>
          <w:lang w:eastAsia="es-MX"/>
        </w:rPr>
        <w:t>p</w:t>
      </w:r>
      <w:r w:rsidRPr="00C63D27">
        <w:rPr>
          <w:rFonts w:ascii="Palatino Linotype" w:hAnsi="Palatino Linotype"/>
          <w:sz w:val="24"/>
          <w:szCs w:val="14"/>
          <w:lang w:eastAsia="es-MX"/>
        </w:rPr>
        <w:t>romoventes</w:t>
      </w:r>
      <w:proofErr w:type="spellEnd"/>
      <w:r>
        <w:rPr>
          <w:rFonts w:ascii="Palatino Linotype" w:hAnsi="Palatino Linotype"/>
          <w:sz w:val="24"/>
          <w:szCs w:val="14"/>
          <w:lang w:eastAsia="es-MX"/>
        </w:rPr>
        <w:t>;</w:t>
      </w:r>
    </w:p>
    <w:p w14:paraId="459B478F" w14:textId="4B9C047A" w:rsidR="00C63D27" w:rsidRDefault="00C63D27" w:rsidP="00C63D27">
      <w:pPr>
        <w:pStyle w:val="Prrafodelista"/>
        <w:numPr>
          <w:ilvl w:val="0"/>
          <w:numId w:val="32"/>
        </w:numPr>
        <w:spacing w:line="360" w:lineRule="auto"/>
        <w:ind w:left="709"/>
        <w:jc w:val="both"/>
        <w:rPr>
          <w:rFonts w:ascii="Palatino Linotype" w:hAnsi="Palatino Linotype"/>
          <w:sz w:val="24"/>
          <w:szCs w:val="14"/>
          <w:lang w:eastAsia="es-MX"/>
        </w:rPr>
      </w:pPr>
      <w:r w:rsidRPr="00C63D27">
        <w:rPr>
          <w:rFonts w:ascii="Palatino Linotype" w:hAnsi="Palatino Linotype"/>
          <w:sz w:val="24"/>
          <w:szCs w:val="14"/>
          <w:lang w:eastAsia="es-MX"/>
        </w:rPr>
        <w:t>Motivo de separación del cargo</w:t>
      </w:r>
      <w:r>
        <w:rPr>
          <w:rFonts w:ascii="Palatino Linotype" w:hAnsi="Palatino Linotype"/>
          <w:sz w:val="24"/>
          <w:szCs w:val="14"/>
          <w:lang w:eastAsia="es-MX"/>
        </w:rPr>
        <w:t>; y,</w:t>
      </w:r>
    </w:p>
    <w:p w14:paraId="75EBADC1" w14:textId="76B2FCE0" w:rsidR="00C63D27" w:rsidRPr="00C63D27" w:rsidRDefault="00C63D27" w:rsidP="00C63D27">
      <w:pPr>
        <w:pStyle w:val="Prrafodelista"/>
        <w:numPr>
          <w:ilvl w:val="0"/>
          <w:numId w:val="32"/>
        </w:numPr>
        <w:spacing w:line="360" w:lineRule="auto"/>
        <w:ind w:left="709"/>
        <w:jc w:val="both"/>
        <w:rPr>
          <w:rFonts w:ascii="Palatino Linotype" w:hAnsi="Palatino Linotype"/>
          <w:sz w:val="24"/>
          <w:szCs w:val="14"/>
          <w:lang w:eastAsia="es-MX"/>
        </w:rPr>
      </w:pPr>
      <w:r>
        <w:rPr>
          <w:rFonts w:ascii="Palatino Linotype" w:hAnsi="Palatino Linotype"/>
          <w:sz w:val="24"/>
          <w:szCs w:val="14"/>
          <w:lang w:eastAsia="es-MX"/>
        </w:rPr>
        <w:lastRenderedPageBreak/>
        <w:t>Es</w:t>
      </w:r>
      <w:r w:rsidRPr="00C63D27">
        <w:rPr>
          <w:rFonts w:ascii="Palatino Linotype" w:hAnsi="Palatino Linotype"/>
          <w:sz w:val="24"/>
          <w:szCs w:val="14"/>
          <w:lang w:eastAsia="es-MX"/>
        </w:rPr>
        <w:t xml:space="preserve">tatus actual que guardan </w:t>
      </w:r>
      <w:r>
        <w:rPr>
          <w:rFonts w:ascii="Palatino Linotype" w:hAnsi="Palatino Linotype"/>
          <w:sz w:val="24"/>
          <w:szCs w:val="14"/>
          <w:lang w:eastAsia="es-MX"/>
        </w:rPr>
        <w:t>los</w:t>
      </w:r>
      <w:r w:rsidRPr="00C63D27">
        <w:rPr>
          <w:rFonts w:ascii="Palatino Linotype" w:hAnsi="Palatino Linotype"/>
          <w:sz w:val="24"/>
          <w:szCs w:val="14"/>
          <w:lang w:eastAsia="es-MX"/>
        </w:rPr>
        <w:t xml:space="preserve"> juicios laborales.</w:t>
      </w:r>
    </w:p>
    <w:p w14:paraId="66B57D00" w14:textId="77777777" w:rsidR="00C63D27" w:rsidRDefault="00C63D27" w:rsidP="00C63D27">
      <w:pPr>
        <w:pStyle w:val="Prrafodelista"/>
        <w:spacing w:line="360" w:lineRule="auto"/>
        <w:ind w:left="709"/>
        <w:jc w:val="both"/>
        <w:rPr>
          <w:rFonts w:ascii="Palatino Linotype" w:hAnsi="Palatino Linotype"/>
          <w:sz w:val="24"/>
        </w:rPr>
      </w:pPr>
    </w:p>
    <w:p w14:paraId="218768EE" w14:textId="349B7A26" w:rsidR="004E24D9"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El Sujeto Obligado</w:t>
      </w:r>
      <w:r w:rsidR="00601054">
        <w:rPr>
          <w:rFonts w:ascii="Palatino Linotype" w:eastAsiaTheme="minorEastAsia" w:hAnsi="Palatino Linotype"/>
          <w:iCs/>
          <w:sz w:val="24"/>
          <w:lang w:val="es-ES_tradnl"/>
        </w:rPr>
        <w:t xml:space="preserve"> </w:t>
      </w:r>
      <w:r w:rsidR="00B30557">
        <w:rPr>
          <w:rFonts w:ascii="Palatino Linotype" w:eastAsiaTheme="minorEastAsia" w:hAnsi="Palatino Linotype"/>
          <w:iCs/>
          <w:sz w:val="24"/>
          <w:lang w:val="es-ES_tradnl"/>
        </w:rPr>
        <w:t xml:space="preserve">no </w:t>
      </w:r>
      <w:r w:rsidR="00A5216C">
        <w:rPr>
          <w:rFonts w:ascii="Palatino Linotype" w:eastAsiaTheme="minorEastAsia" w:hAnsi="Palatino Linotype"/>
          <w:iCs/>
          <w:sz w:val="24"/>
          <w:lang w:val="es-ES_tradnl"/>
        </w:rPr>
        <w:t>dio respuesta a la solicitud.</w:t>
      </w:r>
    </w:p>
    <w:p w14:paraId="77FCABCB" w14:textId="62D145DB" w:rsidR="00030C87" w:rsidRPr="007C7FFD"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 xml:space="preserve"> </w:t>
      </w:r>
    </w:p>
    <w:p w14:paraId="46653142" w14:textId="2F8B9F30"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el artículo 179 fracciones V</w:t>
      </w:r>
      <w:r w:rsidR="00C3678D">
        <w:rPr>
          <w:rFonts w:ascii="Palatino Linotype" w:hAnsi="Palatino Linotype" w:cs="Arial"/>
          <w:sz w:val="24"/>
          <w:szCs w:val="24"/>
          <w:lang w:val="es-ES" w:eastAsia="es-MX"/>
        </w:rPr>
        <w:t>II</w:t>
      </w:r>
      <w:r w:rsidR="00B35B3B">
        <w:rPr>
          <w:rFonts w:ascii="Palatino Linotype" w:hAnsi="Palatino Linotype" w:cs="Arial"/>
          <w:sz w:val="24"/>
          <w:szCs w:val="24"/>
          <w:lang w:val="es-ES" w:eastAsia="es-MX"/>
        </w:rPr>
        <w:t>, relativo a la falta de respuesta,</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 xml:space="preserve">SUJETO </w:t>
      </w:r>
      <w:r w:rsidRPr="007C7FFD">
        <w:rPr>
          <w:rFonts w:ascii="Palatino Linotype" w:hAnsi="Palatino Linotype" w:cs="Arial"/>
          <w:b/>
          <w:color w:val="000000"/>
          <w:sz w:val="24"/>
          <w:szCs w:val="24"/>
        </w:rPr>
        <w:lastRenderedPageBreak/>
        <w:t>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w:t>
      </w:r>
      <w:r w:rsidRPr="007C7FFD">
        <w:rPr>
          <w:rFonts w:ascii="Palatino Linotype" w:hAnsi="Palatino Linotype"/>
          <w:i/>
          <w:color w:val="000000"/>
          <w:sz w:val="24"/>
          <w:szCs w:val="24"/>
        </w:rPr>
        <w:lastRenderedPageBreak/>
        <w:t>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 xml:space="preserve">cuyo objeto es establecer principios, bases generales y procedimientos para tutelar y garantizar la transparencia y el derecho humano de </w:t>
      </w:r>
      <w:r w:rsidRPr="007C7FFD">
        <w:rPr>
          <w:rFonts w:ascii="Palatino Linotype" w:hAnsi="Palatino Linotype"/>
          <w:sz w:val="24"/>
          <w:szCs w:val="24"/>
        </w:rPr>
        <w:lastRenderedPageBreak/>
        <w:t>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lastRenderedPageBreak/>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lastRenderedPageBreak/>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7C7FFD">
        <w:rPr>
          <w:rFonts w:ascii="Palatino Linotype" w:hAnsi="Palatino Linotype"/>
          <w:sz w:val="24"/>
          <w:lang w:val="es-ES"/>
        </w:rPr>
        <w:lastRenderedPageBreak/>
        <w:t>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7C7FFD">
        <w:rPr>
          <w:rFonts w:ascii="Palatino Linotype" w:hAnsi="Palatino Linotype"/>
          <w:i/>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Amparo en revisión 257/2012. Ruth Corona Muñoz. 6 de diciembre de 2012. Unanimidad de votos. Ponente: Jean Claude </w:t>
      </w:r>
      <w:proofErr w:type="spellStart"/>
      <w:r w:rsidRPr="007C7FFD">
        <w:rPr>
          <w:rFonts w:ascii="Palatino Linotype" w:hAnsi="Palatino Linotype"/>
          <w:i/>
        </w:rPr>
        <w:t>Tron</w:t>
      </w:r>
      <w:proofErr w:type="spellEnd"/>
      <w:r w:rsidRPr="007C7FFD">
        <w:rPr>
          <w:rFonts w:ascii="Palatino Linotype" w:hAnsi="Palatino Linotype"/>
          <w:i/>
        </w:rPr>
        <w:t xml:space="preserve"> </w:t>
      </w:r>
      <w:proofErr w:type="spellStart"/>
      <w:r w:rsidRPr="007C7FFD">
        <w:rPr>
          <w:rFonts w:ascii="Palatino Linotype" w:hAnsi="Palatino Linotype"/>
          <w:i/>
        </w:rPr>
        <w:t>Petit</w:t>
      </w:r>
      <w:proofErr w:type="spellEnd"/>
      <w:r w:rsidRPr="007C7FFD">
        <w:rPr>
          <w:rFonts w:ascii="Palatino Linotype" w:hAnsi="Palatino Linotype"/>
          <w:i/>
        </w:rPr>
        <w: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6A9F8D0D"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C07218" w:rsidRPr="00C07218">
        <w:rPr>
          <w:rFonts w:ascii="Palatino Linotype" w:eastAsia="Calibri" w:hAnsi="Palatino Linotype" w:cs="Arial"/>
          <w:b/>
          <w:sz w:val="24"/>
        </w:rPr>
        <w:t>Organismo Público Descentralizado de Agua Potable Alcantarillado y Saneamiento de Chimalhuacán</w:t>
      </w:r>
      <w:r w:rsidRPr="007C7FFD">
        <w:rPr>
          <w:rFonts w:ascii="Palatino Linotype" w:hAnsi="Palatino Linotype" w:cs="Arial"/>
          <w:sz w:val="24"/>
        </w:rPr>
        <w:t xml:space="preserve">, al ser un Sujeto Obligado comprendido por la Legislación Local en materia de Transparencia, se </w:t>
      </w:r>
      <w:r w:rsidRPr="007C7FFD">
        <w:rPr>
          <w:rFonts w:ascii="Palatino Linotype" w:hAnsi="Palatino Linotype" w:cs="Arial"/>
          <w:sz w:val="24"/>
        </w:rPr>
        <w:lastRenderedPageBreak/>
        <w:t>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65082BE3"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83245B">
        <w:rPr>
          <w:rFonts w:ascii="Palatino Linotype" w:hAnsi="Palatino Linotype"/>
          <w:b/>
          <w:color w:val="000000" w:themeColor="text1"/>
          <w:sz w:val="24"/>
        </w:rPr>
        <w:t xml:space="preserve">clasificación de la información </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556D1E61" w14:textId="1F9129D4" w:rsidR="0083245B" w:rsidRPr="0083245B" w:rsidRDefault="008A06D7" w:rsidP="0083245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Recurrente </w:t>
      </w:r>
      <w:r w:rsidR="00AE265F">
        <w:rPr>
          <w:rFonts w:ascii="Palatino Linotype" w:eastAsia="Calibri" w:hAnsi="Palatino Linotype" w:cs="Arial"/>
          <w:sz w:val="24"/>
        </w:rPr>
        <w:t>solicitó</w:t>
      </w:r>
      <w:r w:rsidR="0083245B">
        <w:rPr>
          <w:rFonts w:ascii="Palatino Linotype" w:eastAsia="Calibri" w:hAnsi="Palatino Linotype" w:cs="Arial"/>
          <w:sz w:val="24"/>
        </w:rPr>
        <w:t xml:space="preserve">, </w:t>
      </w:r>
      <w:r w:rsidR="0083245B" w:rsidRPr="0083245B">
        <w:rPr>
          <w:rFonts w:ascii="Palatino Linotype" w:hAnsi="Palatino Linotype"/>
          <w:bCs/>
          <w:sz w:val="24"/>
        </w:rPr>
        <w:t>de los Juicios Laborales promovidos en contra del Sujeto Obligado del uno (1) de enero al veinticinco (25) de octubre de dos mil veintidós, lo siguiente:</w:t>
      </w:r>
    </w:p>
    <w:p w14:paraId="563352BE" w14:textId="77777777" w:rsidR="0083245B" w:rsidRPr="00C63D27" w:rsidRDefault="0083245B" w:rsidP="0083245B">
      <w:pPr>
        <w:pStyle w:val="Prrafodelista"/>
        <w:numPr>
          <w:ilvl w:val="0"/>
          <w:numId w:val="32"/>
        </w:numPr>
        <w:spacing w:line="360" w:lineRule="auto"/>
        <w:ind w:left="709"/>
        <w:jc w:val="both"/>
        <w:rPr>
          <w:rFonts w:ascii="Palatino Linotype" w:hAnsi="Palatino Linotype"/>
          <w:sz w:val="24"/>
          <w:szCs w:val="14"/>
          <w:lang w:eastAsia="es-MX"/>
        </w:rPr>
      </w:pPr>
      <w:r w:rsidRPr="00C63D27">
        <w:rPr>
          <w:rFonts w:ascii="Palatino Linotype" w:hAnsi="Palatino Linotype"/>
          <w:sz w:val="24"/>
          <w:szCs w:val="14"/>
          <w:lang w:eastAsia="es-MX"/>
        </w:rPr>
        <w:t xml:space="preserve">Número de </w:t>
      </w:r>
      <w:r>
        <w:rPr>
          <w:rFonts w:ascii="Palatino Linotype" w:hAnsi="Palatino Linotype"/>
          <w:sz w:val="24"/>
          <w:szCs w:val="14"/>
          <w:lang w:eastAsia="es-MX"/>
        </w:rPr>
        <w:t>Juicios;</w:t>
      </w:r>
    </w:p>
    <w:p w14:paraId="09FA2542" w14:textId="77777777" w:rsidR="0083245B" w:rsidRPr="00C63D27" w:rsidRDefault="0083245B" w:rsidP="0083245B">
      <w:pPr>
        <w:pStyle w:val="Prrafodelista"/>
        <w:numPr>
          <w:ilvl w:val="0"/>
          <w:numId w:val="32"/>
        </w:numPr>
        <w:spacing w:line="360" w:lineRule="auto"/>
        <w:ind w:left="709"/>
        <w:jc w:val="both"/>
        <w:rPr>
          <w:rFonts w:ascii="Palatino Linotype" w:hAnsi="Palatino Linotype"/>
          <w:sz w:val="24"/>
          <w:szCs w:val="14"/>
          <w:lang w:eastAsia="es-MX"/>
        </w:rPr>
      </w:pPr>
      <w:r>
        <w:rPr>
          <w:rFonts w:ascii="Palatino Linotype" w:hAnsi="Palatino Linotype"/>
          <w:sz w:val="24"/>
          <w:szCs w:val="14"/>
          <w:lang w:eastAsia="es-MX"/>
        </w:rPr>
        <w:t xml:space="preserve">Nombre de los </w:t>
      </w:r>
      <w:proofErr w:type="spellStart"/>
      <w:r>
        <w:rPr>
          <w:rFonts w:ascii="Palatino Linotype" w:hAnsi="Palatino Linotype"/>
          <w:sz w:val="24"/>
          <w:szCs w:val="14"/>
          <w:lang w:eastAsia="es-MX"/>
        </w:rPr>
        <w:t>p</w:t>
      </w:r>
      <w:r w:rsidRPr="00C63D27">
        <w:rPr>
          <w:rFonts w:ascii="Palatino Linotype" w:hAnsi="Palatino Linotype"/>
          <w:sz w:val="24"/>
          <w:szCs w:val="14"/>
          <w:lang w:eastAsia="es-MX"/>
        </w:rPr>
        <w:t>romoventes</w:t>
      </w:r>
      <w:proofErr w:type="spellEnd"/>
      <w:r>
        <w:rPr>
          <w:rFonts w:ascii="Palatino Linotype" w:hAnsi="Palatino Linotype"/>
          <w:sz w:val="24"/>
          <w:szCs w:val="14"/>
          <w:lang w:eastAsia="es-MX"/>
        </w:rPr>
        <w:t>;</w:t>
      </w:r>
    </w:p>
    <w:p w14:paraId="5C740D79" w14:textId="77777777" w:rsidR="0083245B" w:rsidRDefault="0083245B" w:rsidP="0083245B">
      <w:pPr>
        <w:pStyle w:val="Prrafodelista"/>
        <w:numPr>
          <w:ilvl w:val="0"/>
          <w:numId w:val="32"/>
        </w:numPr>
        <w:spacing w:line="360" w:lineRule="auto"/>
        <w:ind w:left="709"/>
        <w:jc w:val="both"/>
        <w:rPr>
          <w:rFonts w:ascii="Palatino Linotype" w:hAnsi="Palatino Linotype"/>
          <w:sz w:val="24"/>
          <w:szCs w:val="14"/>
          <w:lang w:eastAsia="es-MX"/>
        </w:rPr>
      </w:pPr>
      <w:r w:rsidRPr="00C63D27">
        <w:rPr>
          <w:rFonts w:ascii="Palatino Linotype" w:hAnsi="Palatino Linotype"/>
          <w:sz w:val="24"/>
          <w:szCs w:val="14"/>
          <w:lang w:eastAsia="es-MX"/>
        </w:rPr>
        <w:t>Motivo de separación del cargo</w:t>
      </w:r>
      <w:r>
        <w:rPr>
          <w:rFonts w:ascii="Palatino Linotype" w:hAnsi="Palatino Linotype"/>
          <w:sz w:val="24"/>
          <w:szCs w:val="14"/>
          <w:lang w:eastAsia="es-MX"/>
        </w:rPr>
        <w:t>; y,</w:t>
      </w:r>
    </w:p>
    <w:p w14:paraId="6B35B325" w14:textId="77777777" w:rsidR="0083245B" w:rsidRPr="00C63D27" w:rsidRDefault="0083245B" w:rsidP="0083245B">
      <w:pPr>
        <w:pStyle w:val="Prrafodelista"/>
        <w:numPr>
          <w:ilvl w:val="0"/>
          <w:numId w:val="32"/>
        </w:numPr>
        <w:spacing w:line="360" w:lineRule="auto"/>
        <w:ind w:left="709"/>
        <w:jc w:val="both"/>
        <w:rPr>
          <w:rFonts w:ascii="Palatino Linotype" w:hAnsi="Palatino Linotype"/>
          <w:sz w:val="24"/>
          <w:szCs w:val="14"/>
          <w:lang w:eastAsia="es-MX"/>
        </w:rPr>
      </w:pPr>
      <w:r>
        <w:rPr>
          <w:rFonts w:ascii="Palatino Linotype" w:hAnsi="Palatino Linotype"/>
          <w:sz w:val="24"/>
          <w:szCs w:val="14"/>
          <w:lang w:eastAsia="es-MX"/>
        </w:rPr>
        <w:t>Es</w:t>
      </w:r>
      <w:r w:rsidRPr="00C63D27">
        <w:rPr>
          <w:rFonts w:ascii="Palatino Linotype" w:hAnsi="Palatino Linotype"/>
          <w:sz w:val="24"/>
          <w:szCs w:val="14"/>
          <w:lang w:eastAsia="es-MX"/>
        </w:rPr>
        <w:t xml:space="preserve">tatus actual que guardan </w:t>
      </w:r>
      <w:r>
        <w:rPr>
          <w:rFonts w:ascii="Palatino Linotype" w:hAnsi="Palatino Linotype"/>
          <w:sz w:val="24"/>
          <w:szCs w:val="14"/>
          <w:lang w:eastAsia="es-MX"/>
        </w:rPr>
        <w:t>los</w:t>
      </w:r>
      <w:r w:rsidRPr="00C63D27">
        <w:rPr>
          <w:rFonts w:ascii="Palatino Linotype" w:hAnsi="Palatino Linotype"/>
          <w:sz w:val="24"/>
          <w:szCs w:val="14"/>
          <w:lang w:eastAsia="es-MX"/>
        </w:rPr>
        <w:t xml:space="preserve"> juicios laborales.</w:t>
      </w:r>
    </w:p>
    <w:p w14:paraId="0C57932E" w14:textId="77777777" w:rsidR="00DD4649" w:rsidRDefault="00DD4649" w:rsidP="00B115A9">
      <w:pPr>
        <w:pStyle w:val="Prrafodelista"/>
        <w:tabs>
          <w:tab w:val="left" w:pos="567"/>
        </w:tabs>
        <w:spacing w:line="360" w:lineRule="auto"/>
        <w:ind w:left="0"/>
        <w:jc w:val="both"/>
        <w:rPr>
          <w:rFonts w:ascii="Palatino Linotype" w:eastAsia="Calibri" w:hAnsi="Palatino Linotype" w:cs="Arial"/>
          <w:sz w:val="24"/>
        </w:rPr>
      </w:pPr>
    </w:p>
    <w:p w14:paraId="05889353" w14:textId="6A205522" w:rsidR="0083245B" w:rsidRDefault="0083245B" w:rsidP="0083245B">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El Sujeto Obligado fue omiso en emitir respuesta; sin embargo, mediante el informe justificado indicó que la información requerida es clasificada como reservada, a excepción del número de juicios laborales, ya que indicó la existencia de 14 juicios que tiene notificados el Sujeto Obligado; por lo que, la Litis del presente recurso de revisión se basa en determinar si la información que solicitó el particular actualiza alguna causal de clasificación que refirió el Sujeto Obligado, así como verificar si el acuerdo de clasificación se encuentra debidamente fundado y motivado.</w:t>
      </w:r>
    </w:p>
    <w:p w14:paraId="63888169" w14:textId="77777777" w:rsidR="0083245B" w:rsidRPr="00CA55D0" w:rsidRDefault="0083245B" w:rsidP="0083245B">
      <w:pPr>
        <w:pStyle w:val="Prrafodelista"/>
        <w:rPr>
          <w:rFonts w:ascii="Palatino Linotype" w:hAnsi="Palatino Linotype"/>
          <w:lang w:val="es-ES"/>
        </w:rPr>
      </w:pPr>
    </w:p>
    <w:p w14:paraId="06D98412"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s="Arial"/>
          <w:color w:val="000000" w:themeColor="text1"/>
          <w:sz w:val="24"/>
        </w:rPr>
      </w:pPr>
      <w:r w:rsidRPr="0083245B">
        <w:rPr>
          <w:rFonts w:ascii="Palatino Linotype" w:hAnsi="Palatino Linotype" w:cs="Arial"/>
          <w:color w:val="000000" w:themeColor="text1"/>
          <w:sz w:val="24"/>
        </w:rPr>
        <w:lastRenderedPageBreak/>
        <w:t>Los artículos 140 y 113 de la Ley Estatal y de la Ley General, respectivamente, señalan los supuestos para que una información pueda considerarse como reservada, que son los siguientes:</w:t>
      </w:r>
    </w:p>
    <w:p w14:paraId="61AC61BB" w14:textId="77777777" w:rsidR="0083245B" w:rsidRPr="00AF7502" w:rsidRDefault="0083245B" w:rsidP="0083245B">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83245B" w:rsidRPr="00AF7502" w14:paraId="19DE6291" w14:textId="77777777" w:rsidTr="00754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D2E2FCE" w14:textId="77777777" w:rsidR="0083245B" w:rsidRPr="00062CA2" w:rsidRDefault="0083245B" w:rsidP="00754DAB">
            <w:pPr>
              <w:autoSpaceDE w:val="0"/>
              <w:autoSpaceDN w:val="0"/>
              <w:adjustRightInd w:val="0"/>
              <w:jc w:val="center"/>
              <w:rPr>
                <w:rFonts w:ascii="Palatino Linotype" w:hAnsi="Palatino Linotype"/>
                <w:color w:val="000000" w:themeColor="text1"/>
                <w:sz w:val="20"/>
                <w:szCs w:val="16"/>
              </w:rPr>
            </w:pPr>
            <w:r w:rsidRPr="00062CA2">
              <w:rPr>
                <w:rFonts w:ascii="Palatino Linotype" w:hAnsi="Palatino Linotype" w:cs="Gill Sans,Bold"/>
                <w:color w:val="000000" w:themeColor="text1"/>
                <w:sz w:val="20"/>
                <w:szCs w:val="16"/>
              </w:rPr>
              <w:t>LEY ESTATAL</w:t>
            </w:r>
          </w:p>
        </w:tc>
        <w:tc>
          <w:tcPr>
            <w:tcW w:w="3969" w:type="dxa"/>
          </w:tcPr>
          <w:p w14:paraId="5FECC8C0" w14:textId="77777777" w:rsidR="0083245B" w:rsidRPr="00062CA2" w:rsidRDefault="0083245B" w:rsidP="00754DA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062CA2">
              <w:rPr>
                <w:rFonts w:ascii="Palatino Linotype" w:hAnsi="Palatino Linotype"/>
                <w:color w:val="000000" w:themeColor="text1"/>
                <w:sz w:val="20"/>
                <w:szCs w:val="16"/>
              </w:rPr>
              <w:t>LEY GENERAL</w:t>
            </w:r>
          </w:p>
        </w:tc>
      </w:tr>
      <w:tr w:rsidR="0083245B" w:rsidRPr="00AF7502" w14:paraId="66295ED0" w14:textId="77777777" w:rsidTr="00754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3780EF9"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I. Comprometa la seguridad pública y cuente con un propósito genuino y un efecto demostrable;</w:t>
            </w:r>
          </w:p>
          <w:p w14:paraId="2FE32613" w14:textId="77777777" w:rsidR="0083245B" w:rsidRPr="00062CA2" w:rsidRDefault="0083245B" w:rsidP="00754DAB">
            <w:pPr>
              <w:jc w:val="both"/>
              <w:rPr>
                <w:rFonts w:ascii="Palatino Linotype" w:hAnsi="Palatino Linotype"/>
                <w:color w:val="000000" w:themeColor="text1"/>
                <w:sz w:val="20"/>
                <w:szCs w:val="16"/>
              </w:rPr>
            </w:pPr>
          </w:p>
        </w:tc>
        <w:tc>
          <w:tcPr>
            <w:tcW w:w="3969" w:type="dxa"/>
          </w:tcPr>
          <w:p w14:paraId="3838628C"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I.</w:t>
            </w:r>
            <w:r w:rsidRPr="00062CA2">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83245B" w:rsidRPr="00AF7502" w14:paraId="19CED21D" w14:textId="77777777" w:rsidTr="00754DAB">
        <w:tc>
          <w:tcPr>
            <w:cnfStyle w:val="001000000000" w:firstRow="0" w:lastRow="0" w:firstColumn="1" w:lastColumn="0" w:oddVBand="0" w:evenVBand="0" w:oddHBand="0" w:evenHBand="0" w:firstRowFirstColumn="0" w:firstRowLastColumn="0" w:lastRowFirstColumn="0" w:lastRowLastColumn="0"/>
            <w:tcW w:w="4678" w:type="dxa"/>
          </w:tcPr>
          <w:p w14:paraId="5C27361D"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6753ED98"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II.</w:t>
            </w:r>
            <w:r w:rsidRPr="00062CA2">
              <w:rPr>
                <w:rFonts w:ascii="Palatino Linotype" w:hAnsi="Palatino Linotype"/>
                <w:color w:val="000000" w:themeColor="text1"/>
                <w:sz w:val="20"/>
                <w:szCs w:val="16"/>
                <w:lang w:val="es-ES"/>
              </w:rPr>
              <w:tab/>
              <w:t>Pueda menoscabar la conducción de las negociaciones y relaciones internacionales;</w:t>
            </w:r>
          </w:p>
        </w:tc>
      </w:tr>
      <w:tr w:rsidR="0083245B" w:rsidRPr="00AF7502" w14:paraId="09A026FC" w14:textId="77777777" w:rsidTr="00754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E5F599C"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1AFD7C8E"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III.</w:t>
            </w:r>
            <w:r w:rsidRPr="00062CA2">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83245B" w:rsidRPr="00AF7502" w14:paraId="1AFF554B" w14:textId="77777777" w:rsidTr="00754DAB">
        <w:tc>
          <w:tcPr>
            <w:cnfStyle w:val="001000000000" w:firstRow="0" w:lastRow="0" w:firstColumn="1" w:lastColumn="0" w:oddVBand="0" w:evenVBand="0" w:oddHBand="0" w:evenHBand="0" w:firstRowFirstColumn="0" w:firstRowLastColumn="0" w:lastRowFirstColumn="0" w:lastRowLastColumn="0"/>
            <w:tcW w:w="4678" w:type="dxa"/>
          </w:tcPr>
          <w:p w14:paraId="60044B64"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p>
        </w:tc>
        <w:tc>
          <w:tcPr>
            <w:tcW w:w="3969" w:type="dxa"/>
          </w:tcPr>
          <w:p w14:paraId="1FCD1DDC"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IV.</w:t>
            </w:r>
            <w:r w:rsidRPr="00062CA2">
              <w:rPr>
                <w:rFonts w:ascii="Palatino Linotype" w:hAnsi="Palatino Linotype"/>
                <w:color w:val="000000" w:themeColor="text1"/>
                <w:sz w:val="20"/>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83245B" w:rsidRPr="00AF7502" w14:paraId="5E087A9B" w14:textId="77777777" w:rsidTr="00754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077E5F4"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lastRenderedPageBreak/>
              <w:t>IV. Ponga en riesgo la vida, la seguridad o la salud de una persona física;</w:t>
            </w:r>
          </w:p>
        </w:tc>
        <w:tc>
          <w:tcPr>
            <w:tcW w:w="3969" w:type="dxa"/>
          </w:tcPr>
          <w:p w14:paraId="22BD94F7"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V.</w:t>
            </w:r>
            <w:r w:rsidRPr="00062CA2">
              <w:rPr>
                <w:rFonts w:ascii="Palatino Linotype" w:hAnsi="Palatino Linotype"/>
                <w:color w:val="000000" w:themeColor="text1"/>
                <w:sz w:val="20"/>
                <w:szCs w:val="16"/>
                <w:lang w:val="es-ES"/>
              </w:rPr>
              <w:tab/>
              <w:t>Pueda poner en riesgo la vida, seguridad o salud de una persona física;</w:t>
            </w:r>
          </w:p>
        </w:tc>
      </w:tr>
      <w:tr w:rsidR="0083245B" w:rsidRPr="00AF7502" w14:paraId="029291D5" w14:textId="77777777" w:rsidTr="00754DAB">
        <w:tc>
          <w:tcPr>
            <w:cnfStyle w:val="001000000000" w:firstRow="0" w:lastRow="0" w:firstColumn="1" w:lastColumn="0" w:oddVBand="0" w:evenVBand="0" w:oddHBand="0" w:evenHBand="0" w:firstRowFirstColumn="0" w:firstRowLastColumn="0" w:lastRowFirstColumn="0" w:lastRowLastColumn="0"/>
            <w:tcW w:w="4678" w:type="dxa"/>
          </w:tcPr>
          <w:p w14:paraId="065472F7"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V. Aquella cuya divulgación obstruya o pueda causar un serio perjuicio a:</w:t>
            </w:r>
          </w:p>
          <w:p w14:paraId="70CB1B5C"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p>
          <w:p w14:paraId="3AE58A04"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12EC7D05"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p>
          <w:p w14:paraId="1584D9D3"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2. La recaudación de las contribuciones.</w:t>
            </w:r>
          </w:p>
        </w:tc>
        <w:tc>
          <w:tcPr>
            <w:tcW w:w="3969" w:type="dxa"/>
          </w:tcPr>
          <w:p w14:paraId="24A51F30"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VI.</w:t>
            </w:r>
            <w:r w:rsidRPr="00062CA2">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6DAA3C5E"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36DACA60"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83245B" w:rsidRPr="00AF7502" w14:paraId="5CC55F55" w14:textId="77777777" w:rsidTr="00754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BF13A65"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005A205F"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VII.</w:t>
            </w:r>
            <w:r w:rsidRPr="00062CA2">
              <w:rPr>
                <w:rFonts w:ascii="Palatino Linotype" w:hAnsi="Palatino Linotype"/>
                <w:color w:val="000000" w:themeColor="text1"/>
                <w:sz w:val="20"/>
                <w:szCs w:val="16"/>
                <w:lang w:val="es-ES"/>
              </w:rPr>
              <w:tab/>
              <w:t>Obstruya la prevención o persecución de los delitos;</w:t>
            </w:r>
          </w:p>
          <w:p w14:paraId="1C98814E"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21A547EF"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83245B" w:rsidRPr="00AF7502" w14:paraId="063DFB80" w14:textId="77777777" w:rsidTr="00754DAB">
        <w:tc>
          <w:tcPr>
            <w:cnfStyle w:val="001000000000" w:firstRow="0" w:lastRow="0" w:firstColumn="1" w:lastColumn="0" w:oddVBand="0" w:evenVBand="0" w:oddHBand="0" w:evenHBand="0" w:firstRowFirstColumn="0" w:firstRowLastColumn="0" w:lastRowFirstColumn="0" w:lastRowLastColumn="0"/>
            <w:tcW w:w="4678" w:type="dxa"/>
          </w:tcPr>
          <w:p w14:paraId="1AE732F9"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329B2DEF"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VIII.</w:t>
            </w:r>
            <w:r w:rsidRPr="00062CA2">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83245B" w:rsidRPr="00AF7502" w14:paraId="7DDFF7D1" w14:textId="77777777" w:rsidTr="00754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2E61087"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p>
        </w:tc>
        <w:tc>
          <w:tcPr>
            <w:tcW w:w="3969" w:type="dxa"/>
          </w:tcPr>
          <w:p w14:paraId="1F14D945"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IX.</w:t>
            </w:r>
            <w:r w:rsidRPr="00062CA2">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83245B" w:rsidRPr="00AF7502" w14:paraId="225D72C1" w14:textId="77777777" w:rsidTr="00754DAB">
        <w:tc>
          <w:tcPr>
            <w:cnfStyle w:val="001000000000" w:firstRow="0" w:lastRow="0" w:firstColumn="1" w:lastColumn="0" w:oddVBand="0" w:evenVBand="0" w:oddHBand="0" w:evenHBand="0" w:firstRowFirstColumn="0" w:firstRowLastColumn="0" w:lastRowFirstColumn="0" w:lastRowLastColumn="0"/>
            <w:tcW w:w="4678" w:type="dxa"/>
          </w:tcPr>
          <w:p w14:paraId="1432FF45"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p>
        </w:tc>
        <w:tc>
          <w:tcPr>
            <w:tcW w:w="3969" w:type="dxa"/>
          </w:tcPr>
          <w:p w14:paraId="0377B4BD"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X.</w:t>
            </w:r>
            <w:r w:rsidRPr="00062CA2">
              <w:rPr>
                <w:rFonts w:ascii="Palatino Linotype" w:hAnsi="Palatino Linotype"/>
                <w:color w:val="000000" w:themeColor="text1"/>
                <w:sz w:val="20"/>
                <w:szCs w:val="16"/>
                <w:lang w:val="es-ES"/>
              </w:rPr>
              <w:tab/>
              <w:t>Afecte los derechos del debido proceso;</w:t>
            </w:r>
          </w:p>
        </w:tc>
      </w:tr>
      <w:tr w:rsidR="0083245B" w:rsidRPr="00AF7502" w14:paraId="170CAD9B" w14:textId="77777777" w:rsidTr="00754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6082383"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lastRenderedPageBreak/>
              <w:t>VIII. Vulnere la conducción de los expedientes judiciales o de los procedimientos administrativos seguidos en forma de juicio, en tanto no hayan quedado firmes;</w:t>
            </w:r>
          </w:p>
        </w:tc>
        <w:tc>
          <w:tcPr>
            <w:tcW w:w="3969" w:type="dxa"/>
          </w:tcPr>
          <w:p w14:paraId="31474AC8"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XI.</w:t>
            </w:r>
            <w:r w:rsidRPr="00062CA2">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83245B" w:rsidRPr="00AF7502" w14:paraId="3FB0276D" w14:textId="77777777" w:rsidTr="00754DAB">
        <w:tc>
          <w:tcPr>
            <w:cnfStyle w:val="001000000000" w:firstRow="0" w:lastRow="0" w:firstColumn="1" w:lastColumn="0" w:oddVBand="0" w:evenVBand="0" w:oddHBand="0" w:evenHBand="0" w:firstRowFirstColumn="0" w:firstRowLastColumn="0" w:lastRowFirstColumn="0" w:lastRowLastColumn="0"/>
            <w:tcW w:w="4678" w:type="dxa"/>
          </w:tcPr>
          <w:p w14:paraId="5C6CC9B5"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IX. Se encuentre contenida dentro de las investigaciones de hechos que la Ley señale como delitos y se tramiten ante el Ministerio Público;</w:t>
            </w:r>
          </w:p>
        </w:tc>
        <w:tc>
          <w:tcPr>
            <w:tcW w:w="3969" w:type="dxa"/>
          </w:tcPr>
          <w:p w14:paraId="5482F9A6"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XII.</w:t>
            </w:r>
            <w:r w:rsidRPr="00062CA2">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83245B" w:rsidRPr="00AF7502" w14:paraId="468C07F9" w14:textId="77777777" w:rsidTr="00754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3E55D6F" w14:textId="77777777" w:rsidR="0083245B" w:rsidRPr="00062CA2" w:rsidRDefault="0083245B" w:rsidP="00754DAB">
            <w:pPr>
              <w:autoSpaceDE w:val="0"/>
              <w:autoSpaceDN w:val="0"/>
              <w:adjustRightInd w:val="0"/>
              <w:ind w:left="-108"/>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3E472F" w14:textId="77777777" w:rsidR="0083245B" w:rsidRPr="00062CA2" w:rsidRDefault="0083245B" w:rsidP="00754DAB">
            <w:pPr>
              <w:autoSpaceDE w:val="0"/>
              <w:autoSpaceDN w:val="0"/>
              <w:adjustRightInd w:val="0"/>
              <w:jc w:val="both"/>
              <w:rPr>
                <w:rFonts w:ascii="Palatino Linotype" w:hAnsi="Palatino Linotype" w:cs="Arial"/>
                <w:color w:val="000000" w:themeColor="text1"/>
                <w:sz w:val="20"/>
                <w:szCs w:val="16"/>
              </w:rPr>
            </w:pPr>
            <w:r w:rsidRPr="00062CA2">
              <w:rPr>
                <w:rFonts w:ascii="Palatino Linotype" w:hAnsi="Palatino Linotype" w:cs="Arial"/>
                <w:color w:val="000000" w:themeColor="text1"/>
                <w:sz w:val="20"/>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7D3DCA6F" w14:textId="77777777" w:rsidR="0083245B" w:rsidRPr="00062CA2" w:rsidRDefault="0083245B" w:rsidP="00754DA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83245B" w:rsidRPr="00AF7502" w14:paraId="2FB49D75" w14:textId="77777777" w:rsidTr="00754DAB">
        <w:tc>
          <w:tcPr>
            <w:cnfStyle w:val="001000000000" w:firstRow="0" w:lastRow="0" w:firstColumn="1" w:lastColumn="0" w:oddVBand="0" w:evenVBand="0" w:oddHBand="0" w:evenHBand="0" w:firstRowFirstColumn="0" w:firstRowLastColumn="0" w:lastRowFirstColumn="0" w:lastRowLastColumn="0"/>
            <w:tcW w:w="4678" w:type="dxa"/>
          </w:tcPr>
          <w:p w14:paraId="051ABAD8" w14:textId="77777777" w:rsidR="0083245B" w:rsidRPr="00062CA2" w:rsidRDefault="0083245B" w:rsidP="00754DAB">
            <w:pPr>
              <w:jc w:val="both"/>
              <w:rPr>
                <w:rFonts w:ascii="Palatino Linotype" w:hAnsi="Palatino Linotype"/>
                <w:color w:val="000000" w:themeColor="text1"/>
                <w:sz w:val="20"/>
                <w:szCs w:val="16"/>
              </w:rPr>
            </w:pPr>
            <w:r w:rsidRPr="00062CA2">
              <w:rPr>
                <w:rFonts w:ascii="Palatino Linotype" w:hAnsi="Palatino Linotype" w:cs="Arial"/>
                <w:color w:val="000000" w:themeColor="text1"/>
                <w:sz w:val="20"/>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6D7EACB5" w14:textId="77777777" w:rsidR="0083245B" w:rsidRPr="00062CA2" w:rsidRDefault="0083245B" w:rsidP="00754DA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062CA2">
              <w:rPr>
                <w:rFonts w:ascii="Palatino Linotype" w:hAnsi="Palatino Linotype"/>
                <w:color w:val="000000" w:themeColor="text1"/>
                <w:sz w:val="20"/>
                <w:szCs w:val="16"/>
                <w:lang w:val="es-ES"/>
              </w:rPr>
              <w:t>XIII.</w:t>
            </w:r>
            <w:r w:rsidRPr="00062CA2">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F09552A" w14:textId="77777777" w:rsidR="0083245B" w:rsidRPr="00AF7502" w:rsidRDefault="0083245B" w:rsidP="0083245B">
      <w:pPr>
        <w:spacing w:line="360" w:lineRule="auto"/>
        <w:jc w:val="both"/>
        <w:rPr>
          <w:rFonts w:ascii="Palatino Linotype" w:hAnsi="Palatino Linotype" w:cs="Arial"/>
          <w:color w:val="000000" w:themeColor="text1"/>
        </w:rPr>
      </w:pPr>
    </w:p>
    <w:p w14:paraId="641506EB"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s="Arial"/>
          <w:color w:val="000000" w:themeColor="text1"/>
          <w:sz w:val="22"/>
        </w:rPr>
      </w:pPr>
      <w:r w:rsidRPr="0083245B">
        <w:rPr>
          <w:rFonts w:ascii="Palatino Linotype" w:hAnsi="Palatino Linotype" w:cs="Arial"/>
          <w:color w:val="000000" w:themeColor="text1"/>
          <w:sz w:val="22"/>
        </w:rPr>
        <w:lastRenderedPageBreak/>
        <w:t>Se debe identificar claramente el tipo de información y hacer un juicio de subsunción o encaje</w:t>
      </w:r>
      <w:r w:rsidRPr="0083245B">
        <w:rPr>
          <w:rFonts w:ascii="Palatino Linotype" w:hAnsi="Palatino Linotype" w:cs="Arial"/>
          <w:color w:val="000000" w:themeColor="text1"/>
          <w:sz w:val="22"/>
          <w:vertAlign w:val="superscript"/>
        </w:rPr>
        <w:footnoteReference w:id="6"/>
      </w:r>
      <w:r w:rsidRPr="0083245B">
        <w:rPr>
          <w:rFonts w:ascii="Palatino Linotype" w:hAnsi="Palatino Linotype" w:cs="Arial"/>
          <w:color w:val="000000" w:themeColor="text1"/>
          <w:sz w:val="22"/>
        </w:rPr>
        <w:t xml:space="preserve"> para acreditar que el supuesto de hecho corresponde estrictamente con la hipótesis jurídica. </w:t>
      </w:r>
    </w:p>
    <w:p w14:paraId="15B75D56" w14:textId="77777777" w:rsidR="0083245B" w:rsidRPr="00AF7502" w:rsidRDefault="0083245B" w:rsidP="0083245B">
      <w:pPr>
        <w:pStyle w:val="Ttulo3"/>
        <w:rPr>
          <w:rFonts w:ascii="Palatino Linotype" w:hAnsi="Palatino Linotype"/>
          <w:b/>
          <w:bCs/>
          <w:color w:val="auto"/>
        </w:rPr>
      </w:pPr>
      <w:bookmarkStart w:id="17" w:name="_Toc85735121"/>
      <w:r w:rsidRPr="00AF7502">
        <w:rPr>
          <w:rFonts w:ascii="Palatino Linotype" w:hAnsi="Palatino Linotype"/>
          <w:b/>
          <w:bCs/>
          <w:color w:val="auto"/>
        </w:rPr>
        <w:t>I. Condiciones especiales de la clasificación de la información como reservada</w:t>
      </w:r>
      <w:bookmarkEnd w:id="17"/>
      <w:r w:rsidRPr="00AF7502">
        <w:rPr>
          <w:rFonts w:ascii="Palatino Linotype" w:hAnsi="Palatino Linotype"/>
          <w:b/>
          <w:bCs/>
          <w:color w:val="auto"/>
        </w:rPr>
        <w:t xml:space="preserve"> </w:t>
      </w:r>
    </w:p>
    <w:p w14:paraId="3684584D" w14:textId="77777777" w:rsidR="0083245B" w:rsidRPr="00AF7502" w:rsidRDefault="0083245B" w:rsidP="0083245B">
      <w:pPr>
        <w:spacing w:line="360" w:lineRule="auto"/>
        <w:contextualSpacing/>
        <w:jc w:val="both"/>
        <w:rPr>
          <w:rFonts w:ascii="Palatino Linotype" w:hAnsi="Palatino Linotype" w:cs="Arial"/>
          <w:b/>
          <w:color w:val="000000" w:themeColor="text1"/>
        </w:rPr>
      </w:pPr>
    </w:p>
    <w:p w14:paraId="0E3C5452" w14:textId="77777777" w:rsidR="0083245B" w:rsidRPr="00AF7502" w:rsidRDefault="0083245B" w:rsidP="0083245B">
      <w:pPr>
        <w:pStyle w:val="Prrafodelista"/>
        <w:numPr>
          <w:ilvl w:val="3"/>
          <w:numId w:val="2"/>
        </w:numPr>
        <w:ind w:left="851"/>
        <w:rPr>
          <w:rFonts w:ascii="Palatino Linotype" w:eastAsiaTheme="majorEastAsia" w:hAnsi="Palatino Linotype" w:cstheme="majorBidi"/>
          <w:b/>
          <w:color w:val="000000" w:themeColor="text1"/>
        </w:rPr>
      </w:pPr>
      <w:r w:rsidRPr="00AF7502">
        <w:rPr>
          <w:rFonts w:ascii="Palatino Linotype" w:eastAsiaTheme="majorEastAsia" w:hAnsi="Palatino Linotype" w:cstheme="majorBidi"/>
          <w:b/>
          <w:color w:val="000000" w:themeColor="text1"/>
        </w:rPr>
        <w:t>La fundamentación específica.</w:t>
      </w:r>
    </w:p>
    <w:p w14:paraId="3B7B992B" w14:textId="77777777" w:rsidR="0083245B" w:rsidRPr="00AF7502" w:rsidRDefault="0083245B" w:rsidP="0083245B">
      <w:pPr>
        <w:rPr>
          <w:rFonts w:ascii="Palatino Linotype" w:eastAsiaTheme="majorEastAsia" w:hAnsi="Palatino Linotype" w:cstheme="majorBidi"/>
          <w:b/>
          <w:color w:val="000000" w:themeColor="text1"/>
        </w:rPr>
      </w:pPr>
    </w:p>
    <w:p w14:paraId="0FAFD620"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83245B">
        <w:rPr>
          <w:rFonts w:ascii="Palatino Linotype" w:hAnsi="Palatino Linotype" w:cs="Arial"/>
          <w:color w:val="000000" w:themeColor="text1"/>
          <w:sz w:val="24"/>
          <w:szCs w:val="24"/>
        </w:rPr>
        <w:t xml:space="preserve">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w:t>
      </w:r>
      <w:r w:rsidRPr="0083245B">
        <w:rPr>
          <w:rFonts w:ascii="Palatino Linotype" w:hAnsi="Palatino Linotype" w:cs="Arial"/>
          <w:color w:val="000000" w:themeColor="text1"/>
          <w:sz w:val="24"/>
          <w:szCs w:val="24"/>
        </w:rPr>
        <w:lastRenderedPageBreak/>
        <w:t>hecho y la hipótesis normativa, deberá señalar las razones, motivos o circunstancias que lo justifiquen, lo que no es lo mismo que repetir el supuesto de hecho y la hipótesis normativa, sino que se debe generar un juicio demostrativo.</w:t>
      </w:r>
    </w:p>
    <w:p w14:paraId="67B63262" w14:textId="77777777" w:rsidR="0083245B" w:rsidRPr="0083245B" w:rsidRDefault="0083245B" w:rsidP="0083245B">
      <w:pPr>
        <w:spacing w:line="360" w:lineRule="auto"/>
        <w:contextualSpacing/>
        <w:jc w:val="both"/>
        <w:rPr>
          <w:rFonts w:ascii="Palatino Linotype" w:hAnsi="Palatino Linotype" w:cs="Arial"/>
          <w:b/>
          <w:color w:val="000000" w:themeColor="text1"/>
          <w:sz w:val="24"/>
          <w:szCs w:val="24"/>
        </w:rPr>
      </w:pPr>
    </w:p>
    <w:p w14:paraId="53B7D29C" w14:textId="77777777" w:rsidR="0083245B" w:rsidRPr="0083245B" w:rsidRDefault="0083245B" w:rsidP="0083245B">
      <w:pPr>
        <w:pStyle w:val="Prrafodelista"/>
        <w:numPr>
          <w:ilvl w:val="0"/>
          <w:numId w:val="37"/>
        </w:numPr>
        <w:ind w:left="567"/>
        <w:rPr>
          <w:rFonts w:ascii="Palatino Linotype" w:eastAsiaTheme="majorEastAsia" w:hAnsi="Palatino Linotype" w:cstheme="majorBidi"/>
          <w:b/>
          <w:color w:val="000000" w:themeColor="text1"/>
          <w:sz w:val="24"/>
        </w:rPr>
      </w:pPr>
      <w:r w:rsidRPr="0083245B">
        <w:rPr>
          <w:rFonts w:ascii="Palatino Linotype" w:eastAsiaTheme="majorEastAsia" w:hAnsi="Palatino Linotype" w:cstheme="majorBidi"/>
          <w:b/>
          <w:color w:val="000000" w:themeColor="text1"/>
          <w:sz w:val="24"/>
        </w:rPr>
        <w:t>La prueba de daño.</w:t>
      </w:r>
    </w:p>
    <w:p w14:paraId="4E1791EC" w14:textId="77777777" w:rsidR="0083245B" w:rsidRPr="0083245B" w:rsidRDefault="0083245B" w:rsidP="0083245B">
      <w:pPr>
        <w:spacing w:line="360" w:lineRule="auto"/>
        <w:contextualSpacing/>
        <w:jc w:val="both"/>
        <w:rPr>
          <w:rFonts w:ascii="Palatino Linotype" w:hAnsi="Palatino Linotype"/>
          <w:color w:val="000000" w:themeColor="text1"/>
          <w:sz w:val="24"/>
          <w:szCs w:val="24"/>
        </w:rPr>
      </w:pPr>
    </w:p>
    <w:p w14:paraId="7945F01C"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83245B">
        <w:rPr>
          <w:rFonts w:ascii="Palatino Linotype" w:hAnsi="Palatino Linotype"/>
          <w:color w:val="000000" w:themeColor="text1"/>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5929" w14:textId="77777777" w:rsidR="0083245B" w:rsidRPr="0083245B" w:rsidRDefault="0083245B" w:rsidP="0083245B">
      <w:pPr>
        <w:spacing w:line="360" w:lineRule="auto"/>
        <w:contextualSpacing/>
        <w:jc w:val="both"/>
        <w:rPr>
          <w:rFonts w:ascii="Palatino Linotype" w:hAnsi="Palatino Linotype"/>
          <w:color w:val="000000" w:themeColor="text1"/>
          <w:sz w:val="24"/>
          <w:szCs w:val="24"/>
        </w:rPr>
      </w:pPr>
    </w:p>
    <w:p w14:paraId="667E3E74"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83245B">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142EC9B3" w14:textId="77777777" w:rsidR="0083245B" w:rsidRPr="00AF7502" w:rsidRDefault="0083245B" w:rsidP="0083245B">
      <w:pPr>
        <w:spacing w:line="360" w:lineRule="auto"/>
        <w:contextualSpacing/>
        <w:jc w:val="both"/>
        <w:rPr>
          <w:rFonts w:ascii="Palatino Linotype" w:hAnsi="Palatino Linotype"/>
          <w:color w:val="000000" w:themeColor="text1"/>
        </w:rPr>
      </w:pPr>
    </w:p>
    <w:p w14:paraId="61FC9E88" w14:textId="77777777" w:rsidR="0083245B" w:rsidRPr="0083245B" w:rsidRDefault="0083245B" w:rsidP="0083245B">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83245B">
        <w:rPr>
          <w:rFonts w:ascii="Palatino Linotype" w:hAnsi="Palatino Linotype" w:cs="Bookman Old Style"/>
          <w:bCs/>
          <w:i/>
          <w:color w:val="000000" w:themeColor="text1"/>
          <w:sz w:val="22"/>
        </w:rPr>
        <w:lastRenderedPageBreak/>
        <w:t xml:space="preserve">I. </w:t>
      </w:r>
      <w:r w:rsidRPr="0083245B">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14:paraId="335AC4B0" w14:textId="77777777" w:rsidR="0083245B" w:rsidRPr="0083245B" w:rsidRDefault="0083245B" w:rsidP="0083245B">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83245B">
        <w:rPr>
          <w:rFonts w:ascii="Palatino Linotype" w:hAnsi="Palatino Linotype" w:cs="Bookman Old Style"/>
          <w:bCs/>
          <w:i/>
          <w:color w:val="000000" w:themeColor="text1"/>
          <w:sz w:val="22"/>
        </w:rPr>
        <w:t xml:space="preserve">II. </w:t>
      </w:r>
      <w:r w:rsidRPr="0083245B">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3C386263" w14:textId="77777777" w:rsidR="0083245B" w:rsidRPr="0083245B" w:rsidRDefault="0083245B" w:rsidP="0083245B">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83245B">
        <w:rPr>
          <w:rFonts w:ascii="Palatino Linotype" w:hAnsi="Palatino Linotype" w:cs="Bookman Old Style"/>
          <w:bCs/>
          <w:i/>
          <w:color w:val="000000" w:themeColor="text1"/>
          <w:sz w:val="22"/>
        </w:rPr>
        <w:t xml:space="preserve">III. </w:t>
      </w:r>
      <w:r w:rsidRPr="0083245B">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5A23509F" w14:textId="77777777" w:rsidR="0083245B" w:rsidRPr="0083245B" w:rsidRDefault="0083245B" w:rsidP="0083245B">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olor w:val="000000" w:themeColor="text1"/>
          <w:sz w:val="24"/>
          <w:lang w:eastAsia="es-ES_tradnl"/>
        </w:rPr>
      </w:pPr>
      <w:r w:rsidRPr="0083245B">
        <w:rPr>
          <w:rFonts w:ascii="Palatino Linotype" w:hAnsi="Palatino Linotype"/>
          <w:color w:val="000000" w:themeColor="text1"/>
          <w:sz w:val="24"/>
          <w:lang w:eastAsia="es-ES_tradnl"/>
        </w:rPr>
        <w:t>Sobre el primer supuesto consideremos que según el diccionario del español jurídico, por riesgo podemos entender “la contingencia o proximidad de un daño”,</w:t>
      </w:r>
      <w:r w:rsidRPr="0083245B">
        <w:rPr>
          <w:rFonts w:ascii="Palatino Linotype" w:hAnsi="Palatino Linotype"/>
          <w:color w:val="000000" w:themeColor="text1"/>
          <w:sz w:val="24"/>
          <w:vertAlign w:val="superscript"/>
          <w:lang w:eastAsia="es-ES_tradnl"/>
        </w:rPr>
        <w:footnoteReference w:id="7"/>
      </w:r>
      <w:r w:rsidRPr="0083245B">
        <w:rPr>
          <w:rFonts w:ascii="Palatino Linotype" w:hAnsi="Palatino Linotype"/>
          <w:color w:val="000000" w:themeColor="text1"/>
          <w:sz w:val="24"/>
          <w:lang w:eastAsia="es-ES_tradnl"/>
        </w:rPr>
        <w:t xml:space="preserve"> mientras que el daño es considerado como un “perjuicio o lesión”</w:t>
      </w:r>
      <w:r w:rsidRPr="0083245B">
        <w:rPr>
          <w:rFonts w:ascii="Palatino Linotype" w:hAnsi="Palatino Linotype"/>
          <w:color w:val="000000" w:themeColor="text1"/>
          <w:sz w:val="24"/>
          <w:vertAlign w:val="superscript"/>
          <w:lang w:eastAsia="es-ES_tradnl"/>
        </w:rPr>
        <w:footnoteReference w:id="8"/>
      </w:r>
      <w:r w:rsidRPr="0083245B">
        <w:rPr>
          <w:rFonts w:ascii="Palatino Linotype" w:hAnsi="Palatino Linotype"/>
          <w:color w:val="000000" w:themeColor="text1"/>
          <w:sz w:val="24"/>
          <w:lang w:eastAsia="es-ES_tradnl"/>
        </w:rPr>
        <w:t>, mientras que según el Diccionario de la Lengua Española, lo real es</w:t>
      </w:r>
      <w:r w:rsidRPr="0083245B">
        <w:rPr>
          <w:rFonts w:ascii="Palatino Linotype" w:eastAsia="Arial Unicode MS" w:hAnsi="Palatino Linotype" w:cs="Arial Unicode MS"/>
          <w:color w:val="000000" w:themeColor="text1"/>
          <w:spacing w:val="4"/>
          <w:sz w:val="24"/>
          <w:shd w:val="clear" w:color="auto" w:fill="FFFFFF"/>
          <w:lang w:eastAsia="es-ES_tradnl"/>
        </w:rPr>
        <w:t xml:space="preserve"> lo “</w:t>
      </w:r>
      <w:r w:rsidRPr="0083245B">
        <w:rPr>
          <w:rFonts w:ascii="Palatino Linotype" w:hAnsi="Palatino Linotype"/>
          <w:color w:val="000000" w:themeColor="text1"/>
          <w:sz w:val="24"/>
          <w:lang w:eastAsia="es-ES_tradnl"/>
        </w:rPr>
        <w:t>(que</w:t>
      </w:r>
      <w:r w:rsidRPr="0083245B">
        <w:rPr>
          <w:rFonts w:ascii="Palatino Linotype" w:eastAsia="Arial Unicode MS" w:hAnsi="Palatino Linotype" w:cs="Arial Unicode MS"/>
          <w:color w:val="000000" w:themeColor="text1"/>
          <w:spacing w:val="4"/>
          <w:sz w:val="24"/>
          <w:shd w:val="clear" w:color="auto" w:fill="FFFFFF"/>
          <w:lang w:eastAsia="es-ES_tradnl"/>
        </w:rPr>
        <w:t xml:space="preserve"> </w:t>
      </w:r>
      <w:r w:rsidRPr="0083245B">
        <w:rPr>
          <w:rFonts w:ascii="Palatino Linotype" w:hAnsi="Palatino Linotype"/>
          <w:color w:val="000000" w:themeColor="text1"/>
          <w:sz w:val="24"/>
          <w:lang w:eastAsia="es-ES_tradnl"/>
        </w:rPr>
        <w:t>tiene</w:t>
      </w:r>
      <w:r w:rsidRPr="0083245B">
        <w:rPr>
          <w:rFonts w:ascii="Palatino Linotype" w:eastAsia="Arial Unicode MS" w:hAnsi="Palatino Linotype" w:cs="Arial Unicode MS"/>
          <w:color w:val="000000" w:themeColor="text1"/>
          <w:spacing w:val="4"/>
          <w:sz w:val="24"/>
          <w:shd w:val="clear" w:color="auto" w:fill="FFFFFF"/>
          <w:lang w:eastAsia="es-ES_tradnl"/>
        </w:rPr>
        <w:t xml:space="preserve"> </w:t>
      </w:r>
      <w:r w:rsidRPr="0083245B">
        <w:rPr>
          <w:rFonts w:ascii="Palatino Linotype" w:hAnsi="Palatino Linotype"/>
          <w:color w:val="000000" w:themeColor="text1"/>
          <w:sz w:val="24"/>
          <w:lang w:eastAsia="es-ES_tradnl"/>
        </w:rPr>
        <w:t>existencia</w:t>
      </w:r>
      <w:r w:rsidRPr="0083245B">
        <w:rPr>
          <w:rFonts w:ascii="Palatino Linotype" w:eastAsia="Arial Unicode MS" w:hAnsi="Palatino Linotype" w:cs="Arial Unicode MS"/>
          <w:color w:val="000000" w:themeColor="text1"/>
          <w:spacing w:val="4"/>
          <w:sz w:val="24"/>
          <w:shd w:val="clear" w:color="auto" w:fill="FFFFFF"/>
          <w:lang w:eastAsia="es-ES_tradnl"/>
        </w:rPr>
        <w:t xml:space="preserve"> </w:t>
      </w:r>
      <w:r w:rsidRPr="0083245B">
        <w:rPr>
          <w:rFonts w:ascii="Palatino Linotype" w:hAnsi="Palatino Linotype"/>
          <w:color w:val="000000" w:themeColor="text1"/>
          <w:sz w:val="24"/>
          <w:lang w:eastAsia="es-ES_tradnl"/>
        </w:rPr>
        <w:t>objetiva”,</w:t>
      </w:r>
      <w:r w:rsidRPr="0083245B">
        <w:rPr>
          <w:rFonts w:ascii="Palatino Linotype" w:hAnsi="Palatino Linotype"/>
          <w:color w:val="000000" w:themeColor="text1"/>
          <w:sz w:val="24"/>
          <w:vertAlign w:val="superscript"/>
          <w:lang w:eastAsia="es-ES_tradnl"/>
        </w:rPr>
        <w:footnoteReference w:id="9"/>
      </w:r>
      <w:r w:rsidRPr="0083245B">
        <w:rPr>
          <w:rFonts w:ascii="Palatino Linotype" w:hAnsi="Palatino Linotype"/>
          <w:color w:val="000000" w:themeColor="text1"/>
          <w:sz w:val="24"/>
          <w:lang w:eastAsia="es-ES_tradnl"/>
        </w:rPr>
        <w:t xml:space="preserve"> </w:t>
      </w:r>
      <w:r w:rsidRPr="0083245B">
        <w:rPr>
          <w:rFonts w:ascii="Palatino Linotype" w:eastAsia="Arial Unicode MS" w:hAnsi="Palatino Linotype" w:cs="Arial Unicode MS"/>
          <w:color w:val="000000" w:themeColor="text1"/>
          <w:spacing w:val="4"/>
          <w:sz w:val="24"/>
          <w:shd w:val="clear" w:color="auto" w:fill="FFFFFF"/>
          <w:lang w:eastAsia="es-ES_tradnl"/>
        </w:rPr>
        <w:t>mientras que lo demostrables es, según la misma fuente, aquello que se puede demostrar,</w:t>
      </w:r>
      <w:r w:rsidRPr="0083245B">
        <w:rPr>
          <w:rFonts w:ascii="Palatino Linotype" w:eastAsia="Arial Unicode MS" w:hAnsi="Palatino Linotype" w:cs="Arial Unicode MS"/>
          <w:color w:val="000000" w:themeColor="text1"/>
          <w:spacing w:val="4"/>
          <w:sz w:val="24"/>
          <w:shd w:val="clear" w:color="auto" w:fill="FFFFFF"/>
          <w:vertAlign w:val="superscript"/>
          <w:lang w:eastAsia="es-ES_tradnl"/>
        </w:rPr>
        <w:footnoteReference w:id="10"/>
      </w:r>
      <w:r w:rsidRPr="0083245B">
        <w:rPr>
          <w:rFonts w:ascii="Palatino Linotype" w:eastAsia="Arial Unicode MS" w:hAnsi="Palatino Linotype" w:cs="Arial Unicode MS"/>
          <w:color w:val="000000" w:themeColor="text1"/>
          <w:spacing w:val="4"/>
          <w:sz w:val="24"/>
          <w:shd w:val="clear" w:color="auto" w:fill="FFFFFF"/>
          <w:lang w:eastAsia="es-ES_tradnl"/>
        </w:rPr>
        <w:t xml:space="preserve"> es decir, </w:t>
      </w:r>
      <w:r w:rsidRPr="0083245B">
        <w:rPr>
          <w:rFonts w:ascii="Palatino Linotype" w:hAnsi="Palatino Linotype"/>
          <w:color w:val="000000" w:themeColor="text1"/>
          <w:sz w:val="24"/>
        </w:rPr>
        <w:t xml:space="preserve">“(manifestar, declarar. Probar, sirviéndose de cualquier género de demostración, </w:t>
      </w:r>
      <w:hyperlink r:id="rId9" w:anchor="6nAyKjE" w:history="1">
        <w:r w:rsidRPr="0083245B">
          <w:rPr>
            <w:rFonts w:ascii="Palatino Linotype" w:hAnsi="Palatino Linotype"/>
            <w:color w:val="000000" w:themeColor="text1"/>
            <w:sz w:val="24"/>
          </w:rPr>
          <w:t>enseñar</w:t>
        </w:r>
      </w:hyperlink>
      <w:r w:rsidRPr="0083245B">
        <w:rPr>
          <w:rFonts w:ascii="Palatino Linotype" w:hAnsi="Palatino Linotype"/>
          <w:color w:val="000000" w:themeColor="text1"/>
          <w:sz w:val="24"/>
        </w:rPr>
        <w:t xml:space="preserve"> mostrar o exponer algo)”.</w:t>
      </w:r>
      <w:r w:rsidRPr="0083245B">
        <w:rPr>
          <w:rFonts w:ascii="Palatino Linotype" w:hAnsi="Palatino Linotype"/>
          <w:color w:val="000000" w:themeColor="text1"/>
          <w:sz w:val="24"/>
          <w:vertAlign w:val="superscript"/>
        </w:rPr>
        <w:footnoteReference w:id="11"/>
      </w:r>
      <w:r w:rsidRPr="0083245B">
        <w:rPr>
          <w:rFonts w:ascii="Palatino Linotype" w:hAnsi="Palatino Linotype"/>
          <w:color w:val="000000" w:themeColor="text1"/>
          <w:sz w:val="24"/>
        </w:rPr>
        <w:t xml:space="preserve"> Mientras que lo identificable es </w:t>
      </w:r>
      <w:r w:rsidRPr="0083245B">
        <w:rPr>
          <w:rFonts w:ascii="Palatino Linotype" w:hAnsi="Palatino Linotype"/>
          <w:color w:val="000000" w:themeColor="text1"/>
          <w:sz w:val="24"/>
        </w:rPr>
        <w:lastRenderedPageBreak/>
        <w:t>lo que puede ser identificado,</w:t>
      </w:r>
      <w:r w:rsidRPr="0083245B">
        <w:rPr>
          <w:rFonts w:ascii="Palatino Linotype" w:hAnsi="Palatino Linotype"/>
          <w:color w:val="000000" w:themeColor="text1"/>
          <w:sz w:val="24"/>
          <w:vertAlign w:val="superscript"/>
        </w:rPr>
        <w:footnoteReference w:id="12"/>
      </w:r>
      <w:r w:rsidRPr="0083245B">
        <w:rPr>
          <w:rFonts w:ascii="Palatino Linotype" w:hAnsi="Palatino Linotype"/>
          <w:color w:val="000000" w:themeColor="text1"/>
          <w:sz w:val="24"/>
        </w:rPr>
        <w:t xml:space="preserve"> esto es,</w:t>
      </w:r>
      <w:r w:rsidRPr="0083245B">
        <w:rPr>
          <w:rFonts w:ascii="Palatino Linotype" w:hAnsi="Palatino Linotype"/>
          <w:color w:val="000000" w:themeColor="text1"/>
          <w:sz w:val="24"/>
          <w:lang w:eastAsia="es-ES_tradnl"/>
        </w:rPr>
        <w:t xml:space="preserve"> “(dar los datos necesarios para ser reconocido”.</w:t>
      </w:r>
      <w:r w:rsidRPr="0083245B">
        <w:rPr>
          <w:rFonts w:ascii="Palatino Linotype" w:hAnsi="Palatino Linotype"/>
          <w:color w:val="000000" w:themeColor="text1"/>
          <w:sz w:val="24"/>
          <w:vertAlign w:val="superscript"/>
          <w:lang w:eastAsia="es-ES_tradnl"/>
        </w:rPr>
        <w:footnoteReference w:id="13"/>
      </w:r>
    </w:p>
    <w:p w14:paraId="17D8C9BE" w14:textId="77777777" w:rsidR="0083245B" w:rsidRPr="0083245B" w:rsidRDefault="0083245B" w:rsidP="0083245B">
      <w:pPr>
        <w:shd w:val="clear" w:color="auto" w:fill="FFFFFF"/>
        <w:suppressAutoHyphens/>
        <w:jc w:val="both"/>
        <w:textAlignment w:val="baseline"/>
        <w:rPr>
          <w:rFonts w:ascii="Palatino Linotype" w:hAnsi="Palatino Linotype"/>
          <w:color w:val="000000" w:themeColor="text1"/>
          <w:sz w:val="6"/>
          <w:lang w:eastAsia="es-ES_tradnl"/>
        </w:rPr>
      </w:pPr>
    </w:p>
    <w:p w14:paraId="72C039AA"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3711F13" w14:textId="77777777" w:rsidR="0083245B" w:rsidRPr="0083245B" w:rsidRDefault="0083245B" w:rsidP="0083245B">
      <w:pPr>
        <w:spacing w:line="360" w:lineRule="auto"/>
        <w:contextualSpacing/>
        <w:jc w:val="both"/>
        <w:rPr>
          <w:rFonts w:ascii="Palatino Linotype" w:hAnsi="Palatino Linotype"/>
          <w:color w:val="000000" w:themeColor="text1"/>
          <w:sz w:val="24"/>
        </w:rPr>
      </w:pPr>
    </w:p>
    <w:p w14:paraId="35C20088"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 xml:space="preserve">Identificado ese riesgo, se debe demostrar que el mismo supera el interés público general porque se difunda dicha información. </w:t>
      </w:r>
    </w:p>
    <w:p w14:paraId="6E9B3912" w14:textId="77777777" w:rsidR="0083245B" w:rsidRPr="0083245B" w:rsidRDefault="0083245B" w:rsidP="0083245B">
      <w:pPr>
        <w:spacing w:line="360" w:lineRule="auto"/>
        <w:contextualSpacing/>
        <w:jc w:val="both"/>
        <w:rPr>
          <w:rFonts w:ascii="Palatino Linotype" w:hAnsi="Palatino Linotype"/>
          <w:color w:val="000000" w:themeColor="text1"/>
          <w:sz w:val="24"/>
        </w:rPr>
      </w:pPr>
    </w:p>
    <w:p w14:paraId="53E9554F"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Y, por último,  que la limitación es acorde con el principio de proporcionalidad, para ello, se sugiere emplear los tres juicios propuestos por la Corte Constitucional Colombiana</w:t>
      </w:r>
      <w:r w:rsidRPr="0083245B">
        <w:rPr>
          <w:rFonts w:ascii="Palatino Linotype" w:hAnsi="Palatino Linotype"/>
          <w:color w:val="000000" w:themeColor="text1"/>
          <w:sz w:val="24"/>
          <w:vertAlign w:val="superscript"/>
        </w:rPr>
        <w:footnoteReference w:id="14"/>
      </w:r>
      <w:r w:rsidRPr="0083245B">
        <w:rPr>
          <w:rFonts w:ascii="Palatino Linotype" w:hAnsi="Palatino Linotype"/>
          <w:color w:val="000000" w:themeColor="text1"/>
          <w:sz w:val="24"/>
        </w:rPr>
        <w:t xml:space="preserve">, siguiendo el principio de ponderación propuesto por el Tribunal </w:t>
      </w:r>
      <w:r w:rsidRPr="0083245B">
        <w:rPr>
          <w:rFonts w:ascii="Palatino Linotype" w:hAnsi="Palatino Linotype"/>
          <w:color w:val="000000" w:themeColor="text1"/>
          <w:sz w:val="24"/>
        </w:rPr>
        <w:lastRenderedPageBreak/>
        <w:t>Constitucional Alemán,</w:t>
      </w:r>
      <w:r w:rsidRPr="0083245B">
        <w:rPr>
          <w:rFonts w:ascii="Palatino Linotype" w:hAnsi="Palatino Linotype"/>
          <w:color w:val="000000" w:themeColor="text1"/>
          <w:sz w:val="24"/>
          <w:vertAlign w:val="superscript"/>
        </w:rPr>
        <w:footnoteReference w:id="15"/>
      </w:r>
      <w:r w:rsidRPr="0083245B">
        <w:rPr>
          <w:rFonts w:ascii="Palatino Linotype" w:hAnsi="Palatino Linotype"/>
          <w:color w:val="000000" w:themeColor="text1"/>
          <w:sz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97A9596" w14:textId="77777777" w:rsidR="0083245B" w:rsidRDefault="0083245B" w:rsidP="0083245B">
      <w:pPr>
        <w:keepNext/>
        <w:keepLines/>
        <w:pBdr>
          <w:top w:val="nil"/>
          <w:left w:val="nil"/>
          <w:bottom w:val="nil"/>
          <w:right w:val="nil"/>
          <w:between w:val="nil"/>
          <w:bar w:val="nil"/>
        </w:pBdr>
        <w:spacing w:before="240"/>
        <w:rPr>
          <w:rFonts w:ascii="Palatino Linotype" w:eastAsiaTheme="majorEastAsia" w:hAnsi="Palatino Linotype" w:cstheme="majorBidi"/>
          <w:b/>
          <w:color w:val="000000" w:themeColor="text1"/>
        </w:rPr>
      </w:pPr>
    </w:p>
    <w:p w14:paraId="2EC965D3" w14:textId="77777777" w:rsidR="0083245B" w:rsidRPr="00CA55D0" w:rsidRDefault="0083245B" w:rsidP="0083245B">
      <w:pPr>
        <w:pStyle w:val="Prrafodelista"/>
        <w:keepNext/>
        <w:keepLines/>
        <w:numPr>
          <w:ilvl w:val="0"/>
          <w:numId w:val="37"/>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rPr>
      </w:pPr>
      <w:r w:rsidRPr="00CA55D0">
        <w:rPr>
          <w:rFonts w:ascii="Palatino Linotype" w:eastAsiaTheme="majorEastAsia" w:hAnsi="Palatino Linotype" w:cstheme="majorBidi"/>
          <w:b/>
          <w:color w:val="000000" w:themeColor="text1"/>
        </w:rPr>
        <w:t>La clasificación de la información reservada debe ser de manera temporal.</w:t>
      </w:r>
    </w:p>
    <w:p w14:paraId="7F540A51" w14:textId="77777777" w:rsidR="0083245B" w:rsidRPr="00AF7502" w:rsidRDefault="0083245B" w:rsidP="0083245B">
      <w:pPr>
        <w:spacing w:line="360" w:lineRule="auto"/>
        <w:jc w:val="both"/>
        <w:rPr>
          <w:rFonts w:ascii="Palatino Linotype" w:hAnsi="Palatino Linotype"/>
          <w:b/>
          <w:color w:val="000000" w:themeColor="text1"/>
        </w:rPr>
      </w:pPr>
    </w:p>
    <w:p w14:paraId="561CCE3E"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 xml:space="preserve">La información que ha sido clasificada como reservada, tiene la cualidad de que esta debe ser de carácter temporal, es decir, no debe perpetuarse o petrificarse su </w:t>
      </w:r>
      <w:r w:rsidRPr="0083245B">
        <w:rPr>
          <w:rFonts w:ascii="Palatino Linotype" w:hAnsi="Palatino Linotype"/>
          <w:color w:val="000000" w:themeColor="text1"/>
          <w:sz w:val="24"/>
        </w:rPr>
        <w:lastRenderedPageBreak/>
        <w:t>clasificación y que esto traiga como consecuencia el no acceso a la misma y por tanto pierda en definitiva su calidad de pública.</w:t>
      </w:r>
    </w:p>
    <w:p w14:paraId="2A211470" w14:textId="77777777" w:rsidR="0083245B" w:rsidRPr="0083245B" w:rsidRDefault="0083245B" w:rsidP="0083245B">
      <w:pPr>
        <w:spacing w:line="360" w:lineRule="auto"/>
        <w:contextualSpacing/>
        <w:jc w:val="both"/>
        <w:rPr>
          <w:rFonts w:ascii="Palatino Linotype" w:hAnsi="Palatino Linotype"/>
          <w:color w:val="000000" w:themeColor="text1"/>
          <w:sz w:val="24"/>
        </w:rPr>
      </w:pPr>
    </w:p>
    <w:p w14:paraId="5219E673"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 xml:space="preserve">La temporalidad de la clasificación de la información se encuentra señalada en el artículo 125 de la Ley Estatal y en el 101 de la Ley General, artículos que contemplan que dicha información podrá permanecer con tal carácter </w:t>
      </w:r>
      <w:r w:rsidRPr="0083245B">
        <w:rPr>
          <w:rFonts w:ascii="Palatino Linotype" w:hAnsi="Palatino Linotype"/>
          <w:b/>
          <w:color w:val="000000" w:themeColor="text1"/>
          <w:sz w:val="24"/>
        </w:rPr>
        <w:t>hasta por un periodo de cinco años,</w:t>
      </w:r>
      <w:r w:rsidRPr="0083245B">
        <w:rPr>
          <w:rFonts w:ascii="Palatino Linotype" w:hAnsi="Palatino Linotype"/>
          <w:color w:val="000000" w:themeColor="text1"/>
          <w:sz w:val="24"/>
        </w:rPr>
        <w:t xml:space="preserve"> contados a partir de su clasificación, salvo que antes del cumplimiento del periodo de restricción, dejaran de existir los motivos de su reserva. </w:t>
      </w:r>
    </w:p>
    <w:p w14:paraId="46AABAD8" w14:textId="77777777" w:rsidR="0083245B" w:rsidRPr="0083245B" w:rsidRDefault="0083245B" w:rsidP="0083245B">
      <w:pPr>
        <w:contextualSpacing/>
        <w:rPr>
          <w:rFonts w:ascii="Palatino Linotype" w:hAnsi="Palatino Linotype"/>
          <w:color w:val="000000" w:themeColor="text1"/>
          <w:sz w:val="24"/>
        </w:rPr>
      </w:pPr>
    </w:p>
    <w:p w14:paraId="1ECECDFB"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EC0E408" w14:textId="77777777" w:rsidR="0083245B" w:rsidRPr="0083245B" w:rsidRDefault="0083245B" w:rsidP="0083245B">
      <w:pPr>
        <w:contextualSpacing/>
        <w:rPr>
          <w:rFonts w:ascii="Palatino Linotype" w:hAnsi="Palatino Linotype"/>
          <w:b/>
          <w:color w:val="000000" w:themeColor="text1"/>
          <w:sz w:val="24"/>
        </w:rPr>
      </w:pPr>
    </w:p>
    <w:p w14:paraId="48F8FC8B"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De</w:t>
      </w:r>
      <w:r w:rsidRPr="0083245B">
        <w:rPr>
          <w:rFonts w:ascii="Palatino Linotype" w:hAnsi="Palatino Linotype"/>
          <w:b/>
          <w:color w:val="000000" w:themeColor="text1"/>
          <w:sz w:val="24"/>
        </w:rPr>
        <w:t xml:space="preserve"> </w:t>
      </w:r>
      <w:r w:rsidRPr="0083245B">
        <w:rPr>
          <w:rFonts w:ascii="Palatino Linotype" w:hAnsi="Palatino Linotype"/>
          <w:color w:val="000000" w:themeColor="text1"/>
          <w:sz w:val="24"/>
        </w:rPr>
        <w:t xml:space="preserve">manera excepcional </w:t>
      </w:r>
      <w:r w:rsidRPr="0083245B">
        <w:rPr>
          <w:rFonts w:ascii="Palatino Linotype" w:hAnsi="Palatino Linotype"/>
          <w:b/>
          <w:color w:val="000000" w:themeColor="text1"/>
          <w:sz w:val="24"/>
        </w:rPr>
        <w:t>los sujetos obligados</w:t>
      </w:r>
      <w:r w:rsidRPr="0083245B">
        <w:rPr>
          <w:rFonts w:ascii="Palatino Linotype" w:hAnsi="Palatino Linotype"/>
          <w:color w:val="000000" w:themeColor="text1"/>
          <w:sz w:val="24"/>
        </w:rPr>
        <w:t xml:space="preserve"> con la aprobación de su Comité de Transparencia, </w:t>
      </w:r>
      <w:r w:rsidRPr="0083245B">
        <w:rPr>
          <w:rFonts w:ascii="Palatino Linotype" w:hAnsi="Palatino Linotype"/>
          <w:b/>
          <w:color w:val="000000" w:themeColor="text1"/>
          <w:sz w:val="24"/>
        </w:rPr>
        <w:t>podrán ampliar el periodo de reserva hasta por un plazo de cinco años adicionales y por una sola vez</w:t>
      </w:r>
      <w:r w:rsidRPr="0083245B">
        <w:rPr>
          <w:rFonts w:ascii="Palatino Linotype" w:hAnsi="Palatino Linotype"/>
          <w:color w:val="000000" w:themeColor="text1"/>
          <w:sz w:val="24"/>
        </w:rPr>
        <w:t xml:space="preserve">, siempre y cuando justifiquen que subsisten las causas que dieron origen a su clasificación, mediante la aplicación de una prueba de daño. </w:t>
      </w:r>
    </w:p>
    <w:p w14:paraId="12FD413B" w14:textId="77777777" w:rsidR="0083245B" w:rsidRPr="0083245B" w:rsidRDefault="0083245B" w:rsidP="0083245B">
      <w:pPr>
        <w:contextualSpacing/>
        <w:rPr>
          <w:rFonts w:ascii="Palatino Linotype" w:hAnsi="Palatino Linotype"/>
          <w:color w:val="000000" w:themeColor="text1"/>
          <w:sz w:val="24"/>
        </w:rPr>
      </w:pPr>
    </w:p>
    <w:p w14:paraId="18BC3B05" w14:textId="77777777" w:rsidR="0083245B" w:rsidRPr="0083245B" w:rsidRDefault="0083245B" w:rsidP="0083245B">
      <w:pPr>
        <w:numPr>
          <w:ilvl w:val="0"/>
          <w:numId w:val="2"/>
        </w:numPr>
        <w:spacing w:after="160" w:line="360" w:lineRule="auto"/>
        <w:ind w:left="0" w:firstLine="0"/>
        <w:contextualSpacing/>
        <w:jc w:val="both"/>
        <w:rPr>
          <w:rFonts w:ascii="Palatino Linotype" w:hAnsi="Palatino Linotype"/>
          <w:color w:val="000000" w:themeColor="text1"/>
          <w:sz w:val="24"/>
        </w:rPr>
      </w:pPr>
      <w:r w:rsidRPr="0083245B">
        <w:rPr>
          <w:rFonts w:ascii="Palatino Linotype" w:hAnsi="Palatino Linotype"/>
          <w:color w:val="000000" w:themeColor="text1"/>
          <w:sz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830E658" w14:textId="77777777" w:rsidR="0083245B" w:rsidRPr="0083245B" w:rsidRDefault="0083245B" w:rsidP="0083245B">
      <w:pPr>
        <w:shd w:val="clear" w:color="auto" w:fill="FFFFFF"/>
        <w:spacing w:before="240" w:afterAutospacing="1" w:line="360" w:lineRule="auto"/>
        <w:contextualSpacing/>
        <w:jc w:val="both"/>
        <w:textAlignment w:val="baseline"/>
        <w:rPr>
          <w:rFonts w:ascii="Palatino Linotype" w:hAnsi="Palatino Linotype"/>
          <w:color w:val="000000" w:themeColor="text1"/>
          <w:sz w:val="24"/>
        </w:rPr>
      </w:pPr>
    </w:p>
    <w:p w14:paraId="570161EF" w14:textId="77777777" w:rsidR="0083245B" w:rsidRPr="0083245B" w:rsidRDefault="0083245B" w:rsidP="0083245B">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lang w:eastAsia="es-MX"/>
        </w:rPr>
      </w:pPr>
      <w:r w:rsidRPr="0083245B">
        <w:rPr>
          <w:rFonts w:ascii="Palatino Linotype" w:hAnsi="Palatino Linotype"/>
          <w:color w:val="000000" w:themeColor="text1"/>
          <w:sz w:val="24"/>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6B16EEDB" w14:textId="77777777" w:rsidR="0083245B" w:rsidRPr="0083245B" w:rsidRDefault="0083245B" w:rsidP="0083245B">
      <w:pPr>
        <w:pStyle w:val="Prrafodelista"/>
        <w:rPr>
          <w:rFonts w:ascii="Palatino Linotype" w:hAnsi="Palatino Linotype" w:cs="Arial"/>
          <w:color w:val="000000" w:themeColor="text1"/>
          <w:sz w:val="28"/>
          <w:lang w:eastAsia="es-MX"/>
        </w:rPr>
      </w:pPr>
    </w:p>
    <w:p w14:paraId="69D62A03" w14:textId="77777777" w:rsidR="0083245B" w:rsidRPr="0083245B" w:rsidRDefault="0083245B" w:rsidP="0083245B">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lang w:eastAsia="es-MX"/>
        </w:rPr>
      </w:pPr>
      <w:r w:rsidRPr="0083245B">
        <w:rPr>
          <w:rFonts w:ascii="Palatino Linotype" w:hAnsi="Palatino Linotype" w:cs="Arial"/>
          <w:color w:val="000000" w:themeColor="text1"/>
          <w:sz w:val="24"/>
          <w:lang w:eastAsia="es-MX"/>
        </w:rPr>
        <w:lastRenderedPageBreak/>
        <w:t>Asimismo, para la clasificación de la información, se deben observar los lineamientos correspondientes, los cuales disponen lo siguiente:</w:t>
      </w:r>
    </w:p>
    <w:p w14:paraId="5816A901" w14:textId="77777777" w:rsidR="0083245B" w:rsidRPr="00AF7502" w:rsidRDefault="0083245B" w:rsidP="0083245B">
      <w:pPr>
        <w:pStyle w:val="Ttulo3"/>
        <w:ind w:left="142"/>
        <w:rPr>
          <w:rFonts w:ascii="Palatino Linotype" w:eastAsiaTheme="minorEastAsia" w:hAnsi="Palatino Linotype"/>
          <w:b/>
          <w:bCs/>
          <w:color w:val="auto"/>
        </w:rPr>
      </w:pPr>
      <w:bookmarkStart w:id="18" w:name="_Toc85735122"/>
      <w:r w:rsidRPr="00AF7502">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18"/>
    </w:p>
    <w:p w14:paraId="785E6520" w14:textId="77777777" w:rsidR="0083245B" w:rsidRPr="00AF7502" w:rsidRDefault="0083245B" w:rsidP="0083245B">
      <w:pPr>
        <w:pStyle w:val="Prrafodelista"/>
        <w:rPr>
          <w:rFonts w:ascii="Palatino Linotype" w:eastAsia="Calibri" w:hAnsi="Palatino Linotype" w:cs="Arial"/>
        </w:rPr>
      </w:pPr>
    </w:p>
    <w:p w14:paraId="585A6DB1" w14:textId="77777777" w:rsidR="0083245B" w:rsidRPr="0083245B" w:rsidRDefault="0083245B" w:rsidP="0083245B">
      <w:pPr>
        <w:pStyle w:val="Prrafodelista"/>
        <w:numPr>
          <w:ilvl w:val="0"/>
          <w:numId w:val="2"/>
        </w:numPr>
        <w:spacing w:line="360" w:lineRule="auto"/>
        <w:ind w:left="0" w:firstLine="0"/>
        <w:jc w:val="both"/>
        <w:rPr>
          <w:rFonts w:ascii="Palatino Linotype" w:hAnsi="Palatino Linotype" w:cs="Arial"/>
          <w:sz w:val="24"/>
        </w:rPr>
      </w:pPr>
      <w:r w:rsidRPr="0083245B">
        <w:rPr>
          <w:rFonts w:ascii="Palatino Linotype" w:hAnsi="Palatino Linotype"/>
          <w:color w:val="000000" w:themeColor="text1"/>
          <w:sz w:val="24"/>
        </w:rPr>
        <w:t xml:space="preserve">Para aplicar la prueba de daño, es necesario traer a contexto </w:t>
      </w:r>
      <w:r w:rsidRPr="0083245B">
        <w:rPr>
          <w:rFonts w:ascii="Palatino Linotype" w:hAnsi="Palatino Linotype" w:cs="Arial"/>
          <w:sz w:val="24"/>
        </w:rPr>
        <w:t xml:space="preserve">los </w:t>
      </w:r>
      <w:r w:rsidRPr="0083245B">
        <w:rPr>
          <w:rFonts w:ascii="Palatino Linotype" w:hAnsi="Palatino Linotype"/>
          <w:sz w:val="24"/>
        </w:rPr>
        <w:t>Lineamientos Generales en materia de clasificación y desclasificación de la información, así como para la elaboración de versiones públicas.</w:t>
      </w:r>
      <w:r w:rsidRPr="0083245B">
        <w:rPr>
          <w:rStyle w:val="Refdenotaalpie"/>
          <w:rFonts w:ascii="Palatino Linotype" w:hAnsi="Palatino Linotype"/>
          <w:sz w:val="24"/>
        </w:rPr>
        <w:footnoteReference w:id="16"/>
      </w:r>
    </w:p>
    <w:p w14:paraId="202EFCE3" w14:textId="77777777" w:rsidR="0083245B" w:rsidRPr="00AF7502" w:rsidRDefault="0083245B" w:rsidP="0083245B">
      <w:pPr>
        <w:pStyle w:val="Prrafodelista"/>
        <w:spacing w:line="360" w:lineRule="auto"/>
        <w:ind w:left="0"/>
        <w:jc w:val="both"/>
        <w:rPr>
          <w:rFonts w:ascii="Palatino Linotype" w:hAnsi="Palatino Linotype" w:cs="Arial"/>
        </w:rPr>
      </w:pPr>
    </w:p>
    <w:p w14:paraId="45A86549" w14:textId="77777777" w:rsidR="0083245B" w:rsidRPr="006F07D9" w:rsidRDefault="0083245B" w:rsidP="0083245B">
      <w:pPr>
        <w:spacing w:line="360" w:lineRule="auto"/>
        <w:ind w:left="567" w:right="616"/>
        <w:jc w:val="center"/>
        <w:rPr>
          <w:rFonts w:ascii="Palatino Linotype" w:hAnsi="Palatino Linotype"/>
          <w:b/>
          <w:bCs/>
          <w:i/>
          <w:iCs/>
          <w:sz w:val="22"/>
        </w:rPr>
      </w:pPr>
      <w:r w:rsidRPr="006F07D9">
        <w:rPr>
          <w:rFonts w:ascii="Palatino Linotype" w:hAnsi="Palatino Linotype"/>
          <w:b/>
          <w:bCs/>
          <w:i/>
          <w:iCs/>
          <w:sz w:val="22"/>
        </w:rPr>
        <w:t>TÍTULO SEXTO</w:t>
      </w:r>
    </w:p>
    <w:p w14:paraId="68426CAC" w14:textId="77777777" w:rsidR="0083245B" w:rsidRPr="006F07D9" w:rsidRDefault="0083245B" w:rsidP="0083245B">
      <w:pPr>
        <w:spacing w:line="360" w:lineRule="auto"/>
        <w:ind w:left="567" w:right="616"/>
        <w:jc w:val="center"/>
        <w:rPr>
          <w:rFonts w:ascii="Palatino Linotype" w:hAnsi="Palatino Linotype"/>
          <w:b/>
          <w:bCs/>
          <w:i/>
          <w:iCs/>
          <w:sz w:val="22"/>
        </w:rPr>
      </w:pPr>
      <w:r w:rsidRPr="006F07D9">
        <w:rPr>
          <w:rFonts w:ascii="Palatino Linotype" w:hAnsi="Palatino Linotype"/>
          <w:b/>
          <w:bCs/>
          <w:i/>
          <w:iCs/>
          <w:sz w:val="22"/>
        </w:rPr>
        <w:t>INFORMACIÓN CLASIFICADA</w:t>
      </w:r>
    </w:p>
    <w:p w14:paraId="574FE371" w14:textId="77777777" w:rsidR="0083245B" w:rsidRPr="006F07D9" w:rsidRDefault="0083245B" w:rsidP="0083245B">
      <w:pPr>
        <w:spacing w:line="360" w:lineRule="auto"/>
        <w:ind w:left="567" w:right="616"/>
        <w:jc w:val="center"/>
        <w:rPr>
          <w:rFonts w:ascii="Palatino Linotype" w:hAnsi="Palatino Linotype"/>
          <w:b/>
          <w:bCs/>
          <w:i/>
          <w:iCs/>
          <w:sz w:val="22"/>
        </w:rPr>
      </w:pPr>
      <w:r w:rsidRPr="006F07D9">
        <w:rPr>
          <w:rFonts w:ascii="Palatino Linotype" w:hAnsi="Palatino Linotype"/>
          <w:b/>
          <w:bCs/>
          <w:i/>
          <w:iCs/>
          <w:sz w:val="22"/>
        </w:rPr>
        <w:t>Capítulo I</w:t>
      </w:r>
    </w:p>
    <w:p w14:paraId="2ED5418A" w14:textId="77777777" w:rsidR="0083245B" w:rsidRPr="006F07D9" w:rsidRDefault="0083245B" w:rsidP="0083245B">
      <w:pPr>
        <w:spacing w:line="360" w:lineRule="auto"/>
        <w:ind w:left="567" w:right="616"/>
        <w:jc w:val="center"/>
        <w:rPr>
          <w:rFonts w:ascii="Palatino Linotype" w:hAnsi="Palatino Linotype"/>
          <w:b/>
          <w:bCs/>
          <w:i/>
          <w:iCs/>
          <w:sz w:val="22"/>
        </w:rPr>
      </w:pPr>
      <w:r w:rsidRPr="006F07D9">
        <w:rPr>
          <w:rFonts w:ascii="Palatino Linotype" w:hAnsi="Palatino Linotype"/>
          <w:b/>
          <w:bCs/>
          <w:i/>
          <w:iCs/>
          <w:sz w:val="22"/>
        </w:rPr>
        <w:t>De las disposiciones generales de la clasificación y desclasificación de la información</w:t>
      </w:r>
    </w:p>
    <w:p w14:paraId="46401CA8" w14:textId="77777777" w:rsidR="0083245B" w:rsidRPr="006F07D9" w:rsidRDefault="0083245B" w:rsidP="0083245B">
      <w:pPr>
        <w:spacing w:line="360" w:lineRule="auto"/>
        <w:ind w:left="567" w:right="616"/>
        <w:jc w:val="center"/>
        <w:rPr>
          <w:rFonts w:ascii="Palatino Linotype" w:hAnsi="Palatino Linotype"/>
          <w:i/>
          <w:iCs/>
          <w:sz w:val="22"/>
        </w:rPr>
      </w:pPr>
    </w:p>
    <w:p w14:paraId="2498247C" w14:textId="77777777" w:rsidR="0083245B" w:rsidRPr="006F07D9" w:rsidRDefault="0083245B" w:rsidP="0083245B">
      <w:pPr>
        <w:spacing w:line="360" w:lineRule="auto"/>
        <w:ind w:left="567" w:right="616"/>
        <w:jc w:val="both"/>
        <w:rPr>
          <w:rFonts w:ascii="Palatino Linotype" w:hAnsi="Palatino Linotype"/>
          <w:i/>
          <w:iCs/>
          <w:sz w:val="22"/>
        </w:rPr>
      </w:pPr>
      <w:r w:rsidRPr="006F07D9">
        <w:rPr>
          <w:rFonts w:ascii="Palatino Linotype" w:hAnsi="Palatino Linotype"/>
          <w:i/>
          <w:iCs/>
          <w:sz w:val="22"/>
        </w:rPr>
        <w:t xml:space="preserve">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w:t>
      </w:r>
      <w:r w:rsidRPr="006F07D9">
        <w:rPr>
          <w:rFonts w:ascii="Palatino Linotype" w:hAnsi="Palatino Linotype"/>
          <w:i/>
          <w:iCs/>
          <w:sz w:val="22"/>
        </w:rPr>
        <w:lastRenderedPageBreak/>
        <w:t>se difunda, y III. La limitación se adecua al principio de proporcionalidad y representa el medio menos restrictivo disponible para evitar el perjuicio.</w:t>
      </w:r>
    </w:p>
    <w:p w14:paraId="7BBC7F83" w14:textId="77777777" w:rsidR="0083245B" w:rsidRPr="006F07D9" w:rsidRDefault="0083245B" w:rsidP="0083245B">
      <w:pPr>
        <w:spacing w:line="360" w:lineRule="auto"/>
        <w:ind w:left="567" w:right="616"/>
        <w:jc w:val="both"/>
        <w:rPr>
          <w:rFonts w:ascii="Palatino Linotype" w:hAnsi="Palatino Linotype"/>
          <w:i/>
          <w:iCs/>
          <w:sz w:val="22"/>
        </w:rPr>
      </w:pPr>
    </w:p>
    <w:p w14:paraId="0974B5F6" w14:textId="77777777" w:rsidR="0083245B" w:rsidRPr="006F07D9" w:rsidRDefault="0083245B" w:rsidP="0083245B">
      <w:pPr>
        <w:shd w:val="clear" w:color="auto" w:fill="FFFFFF"/>
        <w:spacing w:line="360" w:lineRule="auto"/>
        <w:ind w:left="567" w:right="616"/>
        <w:jc w:val="center"/>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t>CAPÍTULO V</w:t>
      </w:r>
    </w:p>
    <w:p w14:paraId="5D754B19" w14:textId="77777777" w:rsidR="0083245B" w:rsidRPr="006F07D9" w:rsidRDefault="0083245B" w:rsidP="0083245B">
      <w:pPr>
        <w:shd w:val="clear" w:color="auto" w:fill="FFFFFF"/>
        <w:spacing w:line="360" w:lineRule="auto"/>
        <w:ind w:left="567" w:right="616"/>
        <w:jc w:val="center"/>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t>DE LA INFORMACIÓN RESERVADA</w:t>
      </w:r>
    </w:p>
    <w:p w14:paraId="77CEE8C7" w14:textId="77777777" w:rsidR="0083245B" w:rsidRPr="006F07D9" w:rsidRDefault="0083245B" w:rsidP="0083245B">
      <w:pPr>
        <w:spacing w:line="360" w:lineRule="auto"/>
        <w:ind w:left="567" w:right="616"/>
        <w:jc w:val="both"/>
        <w:rPr>
          <w:rFonts w:ascii="Palatino Linotype" w:hAnsi="Palatino Linotype"/>
          <w:i/>
          <w:iCs/>
          <w:sz w:val="22"/>
        </w:rPr>
      </w:pPr>
    </w:p>
    <w:p w14:paraId="57C50D4F" w14:textId="77777777" w:rsidR="0083245B" w:rsidRPr="006F07D9" w:rsidRDefault="0083245B" w:rsidP="0083245B">
      <w:pPr>
        <w:shd w:val="clear" w:color="auto" w:fill="FFFFFF"/>
        <w:spacing w:after="82" w:line="360" w:lineRule="auto"/>
        <w:ind w:left="567" w:right="616"/>
        <w:jc w:val="both"/>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t>Trigésimo tercero. </w:t>
      </w:r>
      <w:r w:rsidRPr="006F07D9">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3D9C62A5" w14:textId="77777777" w:rsidR="0083245B" w:rsidRPr="006F07D9" w:rsidRDefault="0083245B" w:rsidP="0083245B">
      <w:pPr>
        <w:shd w:val="clear" w:color="auto" w:fill="FFFFFF"/>
        <w:spacing w:after="82" w:line="360" w:lineRule="auto"/>
        <w:ind w:left="567" w:right="616"/>
        <w:jc w:val="both"/>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t>I.</w:t>
      </w:r>
      <w:r w:rsidRPr="006F07D9">
        <w:rPr>
          <w:rFonts w:ascii="Palatino Linotype" w:hAnsi="Palatino Linotype" w:cs="Arial"/>
          <w:i/>
          <w:iCs/>
          <w:color w:val="2F2F2F"/>
          <w:sz w:val="22"/>
          <w:lang w:eastAsia="es-MX"/>
        </w:rPr>
        <w:t>        </w:t>
      </w:r>
      <w:r w:rsidRPr="006F07D9">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338130B4" w14:textId="77777777" w:rsidR="0083245B" w:rsidRPr="006F07D9" w:rsidRDefault="0083245B" w:rsidP="0083245B">
      <w:pPr>
        <w:shd w:val="clear" w:color="auto" w:fill="FFFFFF"/>
        <w:spacing w:after="82" w:line="360" w:lineRule="auto"/>
        <w:ind w:left="567" w:right="616"/>
        <w:jc w:val="both"/>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t>II.</w:t>
      </w:r>
      <w:r w:rsidRPr="006F07D9">
        <w:rPr>
          <w:rFonts w:ascii="Palatino Linotype" w:hAnsi="Palatino Linotype" w:cs="Arial"/>
          <w:i/>
          <w:iCs/>
          <w:color w:val="2F2F2F"/>
          <w:sz w:val="22"/>
          <w:lang w:eastAsia="es-MX"/>
        </w:rPr>
        <w:t>       </w:t>
      </w:r>
      <w:r w:rsidRPr="006F07D9">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7E363E48" w14:textId="77777777" w:rsidR="0083245B" w:rsidRPr="006F07D9" w:rsidRDefault="0083245B" w:rsidP="0083245B">
      <w:pPr>
        <w:shd w:val="clear" w:color="auto" w:fill="FFFFFF"/>
        <w:spacing w:after="82" w:line="360" w:lineRule="auto"/>
        <w:ind w:left="567" w:right="616"/>
        <w:jc w:val="both"/>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t>III.</w:t>
      </w:r>
      <w:r w:rsidRPr="006F07D9">
        <w:rPr>
          <w:rFonts w:ascii="Palatino Linotype" w:hAnsi="Palatino Linotype" w:cs="Arial"/>
          <w:i/>
          <w:iCs/>
          <w:color w:val="2F2F2F"/>
          <w:sz w:val="22"/>
          <w:lang w:eastAsia="es-MX"/>
        </w:rPr>
        <w:t>      </w:t>
      </w:r>
      <w:r w:rsidRPr="006F07D9">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020048A5" w14:textId="77777777" w:rsidR="0083245B" w:rsidRPr="006F07D9" w:rsidRDefault="0083245B" w:rsidP="0083245B">
      <w:pPr>
        <w:shd w:val="clear" w:color="auto" w:fill="FFFFFF"/>
        <w:spacing w:after="82" w:line="360" w:lineRule="auto"/>
        <w:ind w:left="567" w:right="616"/>
        <w:jc w:val="both"/>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t>IV.</w:t>
      </w:r>
      <w:r w:rsidRPr="006F07D9">
        <w:rPr>
          <w:rFonts w:ascii="Palatino Linotype" w:hAnsi="Palatino Linotype" w:cs="Arial"/>
          <w:i/>
          <w:iCs/>
          <w:color w:val="2F2F2F"/>
          <w:sz w:val="22"/>
          <w:lang w:eastAsia="es-MX"/>
        </w:rPr>
        <w:t>      </w:t>
      </w:r>
      <w:r w:rsidRPr="006F07D9">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5FEF986A" w14:textId="77777777" w:rsidR="0083245B" w:rsidRPr="006F07D9" w:rsidRDefault="0083245B" w:rsidP="0083245B">
      <w:pPr>
        <w:shd w:val="clear" w:color="auto" w:fill="FFFFFF"/>
        <w:spacing w:after="82" w:line="360" w:lineRule="auto"/>
        <w:ind w:left="567" w:right="616"/>
        <w:jc w:val="both"/>
        <w:rPr>
          <w:rFonts w:ascii="Palatino Linotype" w:hAnsi="Palatino Linotype" w:cs="Arial"/>
          <w:i/>
          <w:iCs/>
          <w:color w:val="2F2F2F"/>
          <w:sz w:val="22"/>
          <w:lang w:eastAsia="es-MX"/>
        </w:rPr>
      </w:pPr>
      <w:r w:rsidRPr="006F07D9">
        <w:rPr>
          <w:rFonts w:ascii="Palatino Linotype" w:hAnsi="Palatino Linotype" w:cs="Helvetica"/>
          <w:b/>
          <w:bCs/>
          <w:i/>
          <w:iCs/>
          <w:color w:val="2F2F2F"/>
          <w:sz w:val="22"/>
          <w:lang w:eastAsia="es-MX"/>
        </w:rPr>
        <w:lastRenderedPageBreak/>
        <w:t>V.</w:t>
      </w:r>
      <w:r w:rsidRPr="006F07D9">
        <w:rPr>
          <w:rFonts w:ascii="Palatino Linotype" w:hAnsi="Palatino Linotype" w:cs="Arial"/>
          <w:i/>
          <w:iCs/>
          <w:color w:val="2F2F2F"/>
          <w:sz w:val="22"/>
          <w:lang w:eastAsia="es-MX"/>
        </w:rPr>
        <w:t>       </w:t>
      </w:r>
      <w:r w:rsidRPr="006F07D9">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05B6F660" w14:textId="77777777" w:rsidR="0083245B" w:rsidRDefault="0083245B" w:rsidP="0083245B">
      <w:pPr>
        <w:shd w:val="clear" w:color="auto" w:fill="FFFFFF"/>
        <w:spacing w:after="82" w:line="360" w:lineRule="auto"/>
        <w:ind w:left="567" w:right="616"/>
        <w:jc w:val="both"/>
        <w:rPr>
          <w:rFonts w:ascii="Palatino Linotype" w:hAnsi="Palatino Linotype" w:cs="Helvetica"/>
          <w:i/>
          <w:iCs/>
          <w:color w:val="2F2F2F"/>
          <w:sz w:val="22"/>
          <w:lang w:eastAsia="es-MX"/>
        </w:rPr>
      </w:pPr>
      <w:r w:rsidRPr="006F07D9">
        <w:rPr>
          <w:rFonts w:ascii="Palatino Linotype" w:hAnsi="Palatino Linotype" w:cs="Helvetica"/>
          <w:b/>
          <w:bCs/>
          <w:i/>
          <w:iCs/>
          <w:color w:val="2F2F2F"/>
          <w:sz w:val="22"/>
          <w:lang w:eastAsia="es-MX"/>
        </w:rPr>
        <w:t>VI.</w:t>
      </w:r>
      <w:r w:rsidRPr="006F07D9">
        <w:rPr>
          <w:rFonts w:ascii="Palatino Linotype" w:hAnsi="Palatino Linotype" w:cs="Arial"/>
          <w:i/>
          <w:iCs/>
          <w:color w:val="2F2F2F"/>
          <w:sz w:val="22"/>
          <w:lang w:eastAsia="es-MX"/>
        </w:rPr>
        <w:t>      </w:t>
      </w:r>
      <w:r w:rsidRPr="006F07D9">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6F07D9">
        <w:rPr>
          <w:rFonts w:ascii="Palatino Linotype" w:hAnsi="Palatino Linotype" w:cs="Arial"/>
          <w:i/>
          <w:iCs/>
          <w:color w:val="2F2F2F"/>
          <w:sz w:val="22"/>
          <w:lang w:eastAsia="es-MX"/>
        </w:rPr>
        <w:t xml:space="preserve"> </w:t>
      </w:r>
      <w:r w:rsidRPr="006F07D9">
        <w:rPr>
          <w:rFonts w:ascii="Palatino Linotype" w:hAnsi="Palatino Linotype" w:cs="Helvetica"/>
          <w:i/>
          <w:iCs/>
          <w:color w:val="2F2F2F"/>
          <w:sz w:val="22"/>
          <w:lang w:eastAsia="es-MX"/>
        </w:rPr>
        <w:t>posible en el ejercicio efectivo del derecho de acceso a la información.</w:t>
      </w:r>
    </w:p>
    <w:p w14:paraId="57167F84" w14:textId="77777777" w:rsidR="0083245B" w:rsidRDefault="0083245B" w:rsidP="0083245B">
      <w:pPr>
        <w:pStyle w:val="Prrafodelista"/>
        <w:tabs>
          <w:tab w:val="left" w:pos="567"/>
        </w:tabs>
        <w:spacing w:line="360" w:lineRule="auto"/>
        <w:ind w:left="0"/>
        <w:jc w:val="both"/>
        <w:rPr>
          <w:rFonts w:ascii="Palatino Linotype" w:eastAsia="Calibri" w:hAnsi="Palatino Linotype" w:cs="Arial"/>
        </w:rPr>
      </w:pPr>
    </w:p>
    <w:p w14:paraId="1526BF1A" w14:textId="77777777" w:rsidR="0083245B" w:rsidRPr="0083245B" w:rsidRDefault="0083245B" w:rsidP="0083245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3245B">
        <w:rPr>
          <w:rFonts w:ascii="Palatino Linotype" w:eastAsia="Calibri" w:hAnsi="Palatino Linotype" w:cs="Arial"/>
          <w:sz w:val="24"/>
        </w:rPr>
        <w:t>Dicho lo anterior, es necesario analizar detalladamente el acta del comité de transparencia del Sujeto Obligado que sustenta la pretendida clasificación, a efecto de demostrar si cumple cabalmente con las formalidades exigidas por la normatividad en materia de clasificación y desclasificación de la información.</w:t>
      </w:r>
    </w:p>
    <w:p w14:paraId="0A7DFB40" w14:textId="77777777" w:rsidR="0083245B" w:rsidRPr="0083245B" w:rsidRDefault="0083245B" w:rsidP="0083245B">
      <w:pPr>
        <w:pStyle w:val="Prrafodelista"/>
        <w:tabs>
          <w:tab w:val="left" w:pos="567"/>
        </w:tabs>
        <w:spacing w:line="360" w:lineRule="auto"/>
        <w:ind w:left="0"/>
        <w:jc w:val="both"/>
        <w:rPr>
          <w:rFonts w:ascii="Palatino Linotype" w:eastAsia="Calibri" w:hAnsi="Palatino Linotype" w:cs="Arial"/>
          <w:sz w:val="24"/>
        </w:rPr>
      </w:pPr>
    </w:p>
    <w:p w14:paraId="4656DC28" w14:textId="56EA24C4" w:rsidR="0083245B" w:rsidRDefault="0083245B" w:rsidP="00754DA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626D53">
        <w:rPr>
          <w:rFonts w:ascii="Palatino Linotype" w:eastAsia="Calibri" w:hAnsi="Palatino Linotype" w:cs="Arial"/>
          <w:sz w:val="24"/>
        </w:rPr>
        <w:t xml:space="preserve">El Sujeto Obligado sostiene que la información requerida actualiza la causal de clasificación contenida en el artículo </w:t>
      </w:r>
      <w:r w:rsidRPr="00626D53">
        <w:rPr>
          <w:rFonts w:ascii="Palatino Linotype" w:eastAsia="Calibri" w:hAnsi="Palatino Linotype" w:cs="Arial"/>
          <w:b/>
          <w:sz w:val="24"/>
        </w:rPr>
        <w:t>140, fracción VII</w:t>
      </w:r>
      <w:r w:rsidRPr="00626D53">
        <w:rPr>
          <w:rFonts w:ascii="Palatino Linotype" w:eastAsia="Calibri" w:hAnsi="Palatino Linotype" w:cs="Arial"/>
          <w:sz w:val="24"/>
        </w:rPr>
        <w:t xml:space="preserve"> de la Ley Local </w:t>
      </w:r>
      <w:r w:rsidR="00626D53" w:rsidRPr="00626D53">
        <w:rPr>
          <w:rFonts w:ascii="Palatino Linotype" w:eastAsia="Calibri" w:hAnsi="Palatino Linotype" w:cs="Arial"/>
          <w:sz w:val="24"/>
        </w:rPr>
        <w:t>de Transparencia</w:t>
      </w:r>
      <w:r w:rsidRPr="00626D53">
        <w:rPr>
          <w:rFonts w:ascii="Palatino Linotype" w:eastAsia="Calibri" w:hAnsi="Palatino Linotype" w:cs="Arial"/>
          <w:sz w:val="24"/>
        </w:rPr>
        <w:t xml:space="preserve">; sin embargo, un aspecto toral para la clasificación de la información, se basa en la fundamentación y motivación, toda vez que la autoridad debe brindar todos los elementos de convicción necesarios para brindar certeza sobre la restricción realizada al derecho del particular. </w:t>
      </w:r>
    </w:p>
    <w:p w14:paraId="36285AF1" w14:textId="77777777" w:rsidR="00626D53" w:rsidRPr="00626D53" w:rsidRDefault="00626D53" w:rsidP="00626D53">
      <w:pPr>
        <w:pStyle w:val="Prrafodelista"/>
        <w:rPr>
          <w:rFonts w:ascii="Palatino Linotype" w:eastAsia="Calibri" w:hAnsi="Palatino Linotype" w:cs="Arial"/>
          <w:sz w:val="24"/>
        </w:rPr>
      </w:pPr>
    </w:p>
    <w:p w14:paraId="1F256D71" w14:textId="5C799695" w:rsidR="00626D53" w:rsidRDefault="00626D53" w:rsidP="0083245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El Sujeto Obligado manifestó que la información de los expedientes debe ser clasificada porque aún están pendientes de laudo, lo cual generaría una afectación a través de los elementos de un riesgo real, demostrable e identificable. Asimismo, refiere que la apertura de la información causa una afectación a la esfera jurídica y los dato</w:t>
      </w:r>
      <w:r w:rsidR="00714A63">
        <w:rPr>
          <w:rFonts w:ascii="Palatino Linotype" w:eastAsia="Calibri" w:hAnsi="Palatino Linotype" w:cs="Arial"/>
          <w:sz w:val="24"/>
        </w:rPr>
        <w:t xml:space="preserve">s personales de los </w:t>
      </w:r>
      <w:proofErr w:type="spellStart"/>
      <w:r w:rsidR="00714A63">
        <w:rPr>
          <w:rFonts w:ascii="Palatino Linotype" w:eastAsia="Calibri" w:hAnsi="Palatino Linotype" w:cs="Arial"/>
          <w:sz w:val="24"/>
        </w:rPr>
        <w:t>promoventes</w:t>
      </w:r>
      <w:proofErr w:type="spellEnd"/>
      <w:r w:rsidR="00714A63">
        <w:rPr>
          <w:rFonts w:ascii="Palatino Linotype" w:eastAsia="Calibri" w:hAnsi="Palatino Linotype" w:cs="Arial"/>
          <w:sz w:val="24"/>
        </w:rPr>
        <w:t>.</w:t>
      </w:r>
    </w:p>
    <w:p w14:paraId="46395FC8" w14:textId="77777777" w:rsidR="00626D53" w:rsidRPr="00626D53" w:rsidRDefault="00626D53" w:rsidP="00626D53">
      <w:pPr>
        <w:pStyle w:val="Prrafodelista"/>
        <w:rPr>
          <w:rFonts w:ascii="Palatino Linotype" w:eastAsia="Calibri" w:hAnsi="Palatino Linotype" w:cs="Arial"/>
          <w:sz w:val="24"/>
        </w:rPr>
      </w:pPr>
    </w:p>
    <w:p w14:paraId="6041BDBB" w14:textId="77777777" w:rsidR="00714A63" w:rsidRDefault="00714A63" w:rsidP="0083245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Una vez analizada la “prueba de daño” emitida por el Servidor Público Habilitado, se determinan los siguientes elementos:</w:t>
      </w:r>
    </w:p>
    <w:p w14:paraId="2BE48757" w14:textId="77777777" w:rsidR="00714A63" w:rsidRPr="00714A63" w:rsidRDefault="00714A63" w:rsidP="00714A63">
      <w:pPr>
        <w:pStyle w:val="Prrafodelista"/>
        <w:rPr>
          <w:rFonts w:ascii="Palatino Linotype" w:eastAsia="Calibri" w:hAnsi="Palatino Linotype" w:cs="Arial"/>
          <w:sz w:val="24"/>
        </w:rPr>
      </w:pPr>
    </w:p>
    <w:p w14:paraId="39635C0D" w14:textId="77777777" w:rsidR="0083245B" w:rsidRPr="0083245B" w:rsidRDefault="0083245B" w:rsidP="0083245B">
      <w:pPr>
        <w:pStyle w:val="Prrafodelista"/>
        <w:rPr>
          <w:rFonts w:ascii="Palatino Linotype" w:eastAsia="Calibri" w:hAnsi="Palatino Linotype" w:cs="Arial"/>
          <w:sz w:val="24"/>
          <w:highlight w:val="yellow"/>
        </w:rPr>
      </w:pPr>
    </w:p>
    <w:p w14:paraId="0BF8D7CD" w14:textId="04CE41FD" w:rsidR="00714A63" w:rsidRDefault="0083245B" w:rsidP="0083245B">
      <w:pPr>
        <w:pStyle w:val="Prrafodelista"/>
        <w:numPr>
          <w:ilvl w:val="0"/>
          <w:numId w:val="37"/>
        </w:numPr>
        <w:tabs>
          <w:tab w:val="left" w:pos="567"/>
        </w:tabs>
        <w:spacing w:line="360" w:lineRule="auto"/>
        <w:ind w:left="567" w:right="616"/>
        <w:jc w:val="both"/>
        <w:rPr>
          <w:rFonts w:ascii="Palatino Linotype" w:eastAsia="Calibri" w:hAnsi="Palatino Linotype" w:cs="Arial"/>
          <w:sz w:val="24"/>
        </w:rPr>
      </w:pPr>
      <w:r w:rsidRPr="0083245B">
        <w:rPr>
          <w:rFonts w:ascii="Palatino Linotype" w:eastAsia="Calibri" w:hAnsi="Palatino Linotype" w:cs="Arial"/>
          <w:sz w:val="24"/>
        </w:rPr>
        <w:t>La prueba de daño</w:t>
      </w:r>
      <w:r w:rsidR="00714A63">
        <w:rPr>
          <w:rFonts w:ascii="Palatino Linotype" w:eastAsia="Calibri" w:hAnsi="Palatino Linotype" w:cs="Arial"/>
          <w:sz w:val="24"/>
        </w:rPr>
        <w:t xml:space="preserve"> especifica que la información debe clasificarse para no vulnerar los datos personales de las partes; sin embargo, la clasificación por los supuestos de reserva, no es aplicable para la protección de datos personales.</w:t>
      </w:r>
    </w:p>
    <w:p w14:paraId="0CEF8B43" w14:textId="26DD5FD6" w:rsidR="00714A63" w:rsidRDefault="00714A63" w:rsidP="0083245B">
      <w:pPr>
        <w:pStyle w:val="Prrafodelista"/>
        <w:numPr>
          <w:ilvl w:val="0"/>
          <w:numId w:val="37"/>
        </w:numPr>
        <w:tabs>
          <w:tab w:val="left" w:pos="567"/>
        </w:tabs>
        <w:spacing w:line="360" w:lineRule="auto"/>
        <w:ind w:left="567" w:right="616"/>
        <w:jc w:val="both"/>
        <w:rPr>
          <w:rFonts w:ascii="Palatino Linotype" w:eastAsia="Calibri" w:hAnsi="Palatino Linotype" w:cs="Arial"/>
          <w:sz w:val="24"/>
        </w:rPr>
      </w:pPr>
      <w:r>
        <w:rPr>
          <w:rFonts w:ascii="Palatino Linotype" w:eastAsia="Calibri" w:hAnsi="Palatino Linotype" w:cs="Arial"/>
          <w:sz w:val="24"/>
        </w:rPr>
        <w:t>N</w:t>
      </w:r>
      <w:r w:rsidR="0083245B" w:rsidRPr="0083245B">
        <w:rPr>
          <w:rFonts w:ascii="Palatino Linotype" w:eastAsia="Calibri" w:hAnsi="Palatino Linotype" w:cs="Arial"/>
          <w:sz w:val="24"/>
        </w:rPr>
        <w:t>o acredita de qué modo específico, el conocer el nombre</w:t>
      </w:r>
      <w:r>
        <w:rPr>
          <w:rFonts w:ascii="Palatino Linotype" w:eastAsia="Calibri" w:hAnsi="Palatino Linotype" w:cs="Arial"/>
          <w:sz w:val="24"/>
        </w:rPr>
        <w:t xml:space="preserve"> de los actores y el estatus y el motivo de separación del cargo puede vulnerar la conducción de los procedimientos seguidos en forma de juicio.</w:t>
      </w:r>
    </w:p>
    <w:p w14:paraId="34F4022A" w14:textId="509D0EDF" w:rsidR="00714A63" w:rsidRDefault="00714A63" w:rsidP="0083245B">
      <w:pPr>
        <w:pStyle w:val="Prrafodelista"/>
        <w:numPr>
          <w:ilvl w:val="0"/>
          <w:numId w:val="37"/>
        </w:numPr>
        <w:tabs>
          <w:tab w:val="left" w:pos="567"/>
        </w:tabs>
        <w:spacing w:line="360" w:lineRule="auto"/>
        <w:ind w:left="567" w:right="616"/>
        <w:jc w:val="both"/>
        <w:rPr>
          <w:rFonts w:ascii="Palatino Linotype" w:eastAsia="Calibri" w:hAnsi="Palatino Linotype" w:cs="Arial"/>
          <w:sz w:val="24"/>
        </w:rPr>
      </w:pPr>
      <w:r>
        <w:rPr>
          <w:rFonts w:ascii="Palatino Linotype" w:eastAsia="Calibri" w:hAnsi="Palatino Linotype" w:cs="Arial"/>
          <w:sz w:val="24"/>
        </w:rPr>
        <w:t xml:space="preserve">Refiere que actualiza la causal VII del artículo 140 de la Ley de Transparencia y Acceso a la Información Pública del Estado de México; sin embargo, en su motivación precisa que entregar la información vulneraría la conducción de los expedientes judiciales o de los procedimientos </w:t>
      </w:r>
      <w:r>
        <w:rPr>
          <w:rFonts w:ascii="Palatino Linotype" w:eastAsia="Calibri" w:hAnsi="Palatino Linotype" w:cs="Arial"/>
          <w:sz w:val="24"/>
        </w:rPr>
        <w:lastRenderedPageBreak/>
        <w:t>administrativos seguidos en forma de juicio, en tanto no hayan quedado firmes, en consecuencia, no coincide el fundamento legal con la motivación invocada.</w:t>
      </w:r>
    </w:p>
    <w:p w14:paraId="57F66F43" w14:textId="1DFE618B" w:rsidR="00537679" w:rsidRDefault="0083245B" w:rsidP="0083245B">
      <w:pPr>
        <w:pStyle w:val="Prrafodelista"/>
        <w:numPr>
          <w:ilvl w:val="0"/>
          <w:numId w:val="37"/>
        </w:numPr>
        <w:tabs>
          <w:tab w:val="left" w:pos="567"/>
        </w:tabs>
        <w:spacing w:line="360" w:lineRule="auto"/>
        <w:ind w:left="567" w:right="616"/>
        <w:jc w:val="both"/>
        <w:rPr>
          <w:rFonts w:ascii="Palatino Linotype" w:eastAsia="Calibri" w:hAnsi="Palatino Linotype" w:cs="Arial"/>
          <w:sz w:val="24"/>
        </w:rPr>
      </w:pPr>
      <w:r w:rsidRPr="0083245B">
        <w:rPr>
          <w:rFonts w:ascii="Palatino Linotype" w:eastAsia="Calibri" w:hAnsi="Palatino Linotype" w:cs="Arial"/>
          <w:sz w:val="24"/>
        </w:rPr>
        <w:t xml:space="preserve">No se desarrolla el riesgo real, demostrable e identificable, </w:t>
      </w:r>
      <w:r w:rsidR="00371B8D">
        <w:rPr>
          <w:rFonts w:ascii="Palatino Linotype" w:eastAsia="Calibri" w:hAnsi="Palatino Linotype" w:cs="Arial"/>
          <w:sz w:val="24"/>
        </w:rPr>
        <w:t>lo que es pieza fundamental en la prueba de daño, ya que es el sustento a través del cual se acredita la existencia de un riesgo al hacer pública la información requerida.</w:t>
      </w:r>
    </w:p>
    <w:p w14:paraId="35769775" w14:textId="32CECF8B" w:rsidR="0083245B" w:rsidRDefault="00371B8D" w:rsidP="0083245B">
      <w:pPr>
        <w:pStyle w:val="Prrafodelista"/>
        <w:numPr>
          <w:ilvl w:val="0"/>
          <w:numId w:val="37"/>
        </w:numPr>
        <w:tabs>
          <w:tab w:val="left" w:pos="567"/>
        </w:tabs>
        <w:spacing w:line="360" w:lineRule="auto"/>
        <w:ind w:left="567" w:right="616"/>
        <w:jc w:val="both"/>
        <w:rPr>
          <w:rFonts w:ascii="Palatino Linotype" w:eastAsia="Calibri" w:hAnsi="Palatino Linotype" w:cs="Arial"/>
          <w:sz w:val="24"/>
        </w:rPr>
      </w:pPr>
      <w:r>
        <w:rPr>
          <w:rFonts w:ascii="Palatino Linotype" w:eastAsia="Calibri" w:hAnsi="Palatino Linotype" w:cs="Arial"/>
          <w:sz w:val="24"/>
        </w:rPr>
        <w:t xml:space="preserve">No se acreditan </w:t>
      </w:r>
      <w:r w:rsidR="0083245B" w:rsidRPr="0083245B">
        <w:rPr>
          <w:rFonts w:ascii="Palatino Linotype" w:eastAsia="Calibri" w:hAnsi="Palatino Linotype" w:cs="Arial"/>
          <w:sz w:val="24"/>
        </w:rPr>
        <w:t>las circunstancias d</w:t>
      </w:r>
      <w:r>
        <w:rPr>
          <w:rFonts w:ascii="Palatino Linotype" w:eastAsia="Calibri" w:hAnsi="Palatino Linotype" w:cs="Arial"/>
          <w:sz w:val="24"/>
        </w:rPr>
        <w:t>e modo, tiempo y lugar del daño</w:t>
      </w:r>
      <w:r w:rsidR="0083245B" w:rsidRPr="0083245B">
        <w:rPr>
          <w:rFonts w:ascii="Palatino Linotype" w:eastAsia="Calibri" w:hAnsi="Palatino Linotype" w:cs="Arial"/>
          <w:sz w:val="24"/>
        </w:rPr>
        <w:t>.</w:t>
      </w:r>
    </w:p>
    <w:p w14:paraId="49D1745D" w14:textId="78C191A7" w:rsidR="00371B8D" w:rsidRDefault="00371B8D" w:rsidP="00371B8D">
      <w:pPr>
        <w:pStyle w:val="Prrafodelista"/>
        <w:numPr>
          <w:ilvl w:val="0"/>
          <w:numId w:val="37"/>
        </w:numPr>
        <w:tabs>
          <w:tab w:val="left" w:pos="567"/>
        </w:tabs>
        <w:spacing w:line="360" w:lineRule="auto"/>
        <w:ind w:left="567" w:right="616"/>
        <w:jc w:val="both"/>
        <w:rPr>
          <w:rFonts w:ascii="Palatino Linotype" w:eastAsia="Calibri" w:hAnsi="Palatino Linotype" w:cs="Arial"/>
          <w:sz w:val="24"/>
        </w:rPr>
      </w:pPr>
      <w:r>
        <w:rPr>
          <w:rFonts w:ascii="Palatino Linotype" w:eastAsia="Calibri" w:hAnsi="Palatino Linotype" w:cs="Arial"/>
          <w:sz w:val="24"/>
        </w:rPr>
        <w:t>La clasificación de la información es general, sin especificar el motivo y fundamento que sustente la clasificación de cada uno de los requerimientos.</w:t>
      </w:r>
    </w:p>
    <w:p w14:paraId="6A5E9393" w14:textId="0AAB24E1" w:rsidR="00371B8D" w:rsidRPr="00371B8D" w:rsidRDefault="00D80D34" w:rsidP="00371B8D">
      <w:pPr>
        <w:pStyle w:val="Prrafodelista"/>
        <w:numPr>
          <w:ilvl w:val="0"/>
          <w:numId w:val="37"/>
        </w:numPr>
        <w:tabs>
          <w:tab w:val="left" w:pos="567"/>
        </w:tabs>
        <w:spacing w:line="360" w:lineRule="auto"/>
        <w:ind w:left="567" w:right="616"/>
        <w:jc w:val="both"/>
        <w:rPr>
          <w:rFonts w:ascii="Palatino Linotype" w:eastAsia="Calibri" w:hAnsi="Palatino Linotype" w:cs="Arial"/>
          <w:sz w:val="24"/>
        </w:rPr>
      </w:pPr>
      <w:r>
        <w:rPr>
          <w:rFonts w:ascii="Palatino Linotype" w:eastAsia="Calibri" w:hAnsi="Palatino Linotype" w:cs="Arial"/>
          <w:sz w:val="24"/>
        </w:rPr>
        <w:t xml:space="preserve">La prueba de daño no se encuentra conforme lo disponen </w:t>
      </w:r>
      <w:r w:rsidR="00371B8D">
        <w:rPr>
          <w:rFonts w:ascii="Palatino Linotype" w:eastAsia="Calibri" w:hAnsi="Palatino Linotype" w:cs="Arial"/>
          <w:sz w:val="24"/>
        </w:rPr>
        <w:t xml:space="preserve">los </w:t>
      </w:r>
      <w:r w:rsidR="00371B8D">
        <w:rPr>
          <w:rFonts w:ascii="Palatino Linotype" w:hAnsi="Palatino Linotype" w:cs="Arial"/>
          <w:sz w:val="24"/>
        </w:rPr>
        <w:t>Lineamientos Generales en Materia de Clasificación y D</w:t>
      </w:r>
      <w:r w:rsidR="00371B8D" w:rsidRPr="00371B8D">
        <w:rPr>
          <w:rFonts w:ascii="Palatino Linotype" w:hAnsi="Palatino Linotype" w:cs="Arial"/>
          <w:sz w:val="24"/>
        </w:rPr>
        <w:t>esclasificación de la información, así como para la elaboración de versiones públicas</w:t>
      </w:r>
      <w:r w:rsidR="00371B8D">
        <w:rPr>
          <w:rFonts w:ascii="Palatino Linotype" w:hAnsi="Palatino Linotype" w:cs="Arial"/>
          <w:sz w:val="24"/>
        </w:rPr>
        <w:t>.</w:t>
      </w:r>
    </w:p>
    <w:p w14:paraId="219D3FAB" w14:textId="77777777" w:rsidR="0083245B" w:rsidRPr="0083245B" w:rsidRDefault="0083245B" w:rsidP="0083245B">
      <w:pPr>
        <w:tabs>
          <w:tab w:val="left" w:pos="567"/>
        </w:tabs>
        <w:spacing w:line="360" w:lineRule="auto"/>
        <w:jc w:val="both"/>
        <w:rPr>
          <w:rFonts w:ascii="Palatino Linotype" w:eastAsia="Calibri" w:hAnsi="Palatino Linotype" w:cs="Arial"/>
          <w:sz w:val="22"/>
          <w:highlight w:val="yellow"/>
        </w:rPr>
      </w:pPr>
    </w:p>
    <w:p w14:paraId="24AD5F29" w14:textId="77777777" w:rsidR="00D80D34" w:rsidRPr="00D80D34" w:rsidRDefault="0083245B" w:rsidP="00D80D34">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83245B">
        <w:rPr>
          <w:rFonts w:ascii="Palatino Linotype" w:eastAsia="Calibri" w:hAnsi="Palatino Linotype" w:cs="Arial"/>
          <w:sz w:val="24"/>
        </w:rPr>
        <w:t xml:space="preserve">En conclusión, la prueba de daño que remitió el Sujeto Obligado carece de fundamentación y motivación, puesto que se pretende clasificar toda la información relativa a los </w:t>
      </w:r>
      <w:r w:rsidR="00D80D34">
        <w:rPr>
          <w:rFonts w:ascii="Palatino Linotype" w:eastAsia="Calibri" w:hAnsi="Palatino Linotype" w:cs="Arial"/>
          <w:sz w:val="24"/>
        </w:rPr>
        <w:t>expedientes de los juicios laborales, cuando el particular únicamente solicitó información muy específica como lo es el nombre de los actores, el estatus actual de cada procedimiento y el motivo de separación del cargo,</w:t>
      </w:r>
      <w:r w:rsidRPr="0083245B">
        <w:rPr>
          <w:rFonts w:ascii="Palatino Linotype" w:eastAsia="Calibri" w:hAnsi="Palatino Linotype" w:cs="Arial"/>
          <w:sz w:val="24"/>
        </w:rPr>
        <w:t xml:space="preserve"> además de que no </w:t>
      </w:r>
      <w:r w:rsidRPr="0083245B">
        <w:rPr>
          <w:rFonts w:ascii="Palatino Linotype" w:eastAsia="Calibri" w:hAnsi="Palatino Linotype" w:cs="Arial"/>
          <w:sz w:val="24"/>
        </w:rPr>
        <w:lastRenderedPageBreak/>
        <w:t>se precisó de qué forma la apertura de la información generaría un riesgo a la conducción de los procedimientos seguidos en forma de juicio, así como las circunstancias de modo tiempo y lugar, ni el riesgo real, demostrable e identificable, en consecuencia, se desestima la supuesta clasificación referida por el Sujeto Obligado.</w:t>
      </w:r>
    </w:p>
    <w:p w14:paraId="6E50C31D" w14:textId="77777777" w:rsidR="00D80D34" w:rsidRPr="00D80D34" w:rsidRDefault="00D80D34" w:rsidP="00D80D34">
      <w:pPr>
        <w:pStyle w:val="Prrafodelista"/>
        <w:tabs>
          <w:tab w:val="left" w:pos="567"/>
        </w:tabs>
        <w:spacing w:line="360" w:lineRule="auto"/>
        <w:ind w:left="0"/>
        <w:jc w:val="both"/>
        <w:rPr>
          <w:rFonts w:ascii="Palatino Linotype" w:eastAsia="Calibri" w:hAnsi="Palatino Linotype" w:cs="Arial"/>
          <w:sz w:val="28"/>
        </w:rPr>
      </w:pPr>
    </w:p>
    <w:p w14:paraId="261AED63" w14:textId="2A287D04" w:rsidR="00DD4649" w:rsidRPr="00754DAB" w:rsidRDefault="00DD4649" w:rsidP="00D80D34">
      <w:pPr>
        <w:pStyle w:val="Prrafodelista"/>
        <w:numPr>
          <w:ilvl w:val="0"/>
          <w:numId w:val="2"/>
        </w:numPr>
        <w:tabs>
          <w:tab w:val="left" w:pos="567"/>
        </w:tabs>
        <w:spacing w:line="360" w:lineRule="auto"/>
        <w:ind w:left="0" w:firstLine="0"/>
        <w:jc w:val="both"/>
        <w:rPr>
          <w:rFonts w:ascii="Palatino Linotype" w:eastAsia="Calibri" w:hAnsi="Palatino Linotype" w:cs="Arial"/>
          <w:sz w:val="32"/>
        </w:rPr>
      </w:pPr>
      <w:r w:rsidRPr="00754DAB">
        <w:rPr>
          <w:rFonts w:ascii="Palatino Linotype" w:hAnsi="Palatino Linotype" w:cs="Arial"/>
          <w:sz w:val="24"/>
          <w:lang w:val="es-ES"/>
        </w:rPr>
        <w:t xml:space="preserve">Derivado que la solicitud se encuentra relacionada con demandas laborales; es </w:t>
      </w:r>
      <w:r w:rsidRPr="00754DAB">
        <w:rPr>
          <w:rFonts w:ascii="Palatino Linotype" w:hAnsi="Palatino Linotype"/>
          <w:color w:val="222222"/>
          <w:sz w:val="24"/>
          <w:lang w:eastAsia="es-MX"/>
        </w:rPr>
        <w:t>importante</w:t>
      </w:r>
      <w:r w:rsidRPr="00754DAB">
        <w:rPr>
          <w:rFonts w:ascii="Palatino Linotype" w:hAnsi="Palatino Linotype" w:cs="Arial"/>
          <w:sz w:val="24"/>
          <w:lang w:val="es-ES"/>
        </w:rPr>
        <w:t xml:space="preserve"> traer a contexto primeramente a </w:t>
      </w:r>
      <w:r w:rsidRPr="00754DAB">
        <w:rPr>
          <w:rFonts w:ascii="Palatino Linotype" w:eastAsia="Arial Unicode MS" w:hAnsi="Palatino Linotype" w:cs="Arial"/>
          <w:sz w:val="24"/>
        </w:rPr>
        <w:t xml:space="preserve">la Ley del Trabajo de los Servidores Públicos del Estado y Municipios, </w:t>
      </w:r>
      <w:r w:rsidRPr="00754DAB">
        <w:rPr>
          <w:rFonts w:ascii="Palatino Linotype" w:hAnsi="Palatino Linotype" w:cs="Bookman Old Style"/>
          <w:sz w:val="24"/>
        </w:rPr>
        <w:t>en su artículo primero, que tiene por objeto regular las relaciones de trabajo comprendidas entre los poderes públicos del Estado y los Municipios y sus respectivos servidores públicos y que establece; entre otros, la relación laboral entre los servidores públicos y los Entes gubernamentales, ello en términos del artículo 5° de la Ley en mención, la cual a la letra dispone:</w:t>
      </w:r>
    </w:p>
    <w:p w14:paraId="7211A67C" w14:textId="77777777" w:rsidR="00DD4649" w:rsidRPr="00754DAB" w:rsidRDefault="00DD4649" w:rsidP="00DD4649">
      <w:pPr>
        <w:pStyle w:val="Prrafodelista"/>
        <w:spacing w:line="360" w:lineRule="auto"/>
        <w:ind w:left="567" w:right="618"/>
        <w:jc w:val="both"/>
        <w:rPr>
          <w:rFonts w:ascii="Palatino Linotype" w:hAnsi="Palatino Linotype" w:cs="Bookman Old Style"/>
          <w:i/>
        </w:rPr>
      </w:pPr>
    </w:p>
    <w:p w14:paraId="2A2CD3BE" w14:textId="77777777" w:rsidR="00DD4649" w:rsidRPr="00754DAB" w:rsidRDefault="00DD4649" w:rsidP="00DD4649">
      <w:pPr>
        <w:pStyle w:val="Prrafodelista"/>
        <w:spacing w:line="360" w:lineRule="auto"/>
        <w:ind w:left="567" w:right="618"/>
        <w:jc w:val="both"/>
        <w:rPr>
          <w:rFonts w:ascii="Palatino Linotype" w:hAnsi="Palatino Linotype" w:cs="Bookman Old Style"/>
          <w:i/>
        </w:rPr>
      </w:pPr>
      <w:r w:rsidRPr="00754DAB">
        <w:rPr>
          <w:rFonts w:ascii="Palatino Linotype" w:hAnsi="Palatino Linotype" w:cs="Bookman Old Style"/>
          <w:i/>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14C3DAB2" w14:textId="77777777" w:rsidR="00DD4649" w:rsidRPr="00754DAB" w:rsidRDefault="00DD4649" w:rsidP="00DD4649">
      <w:pPr>
        <w:pStyle w:val="Prrafodelista"/>
        <w:spacing w:line="360" w:lineRule="auto"/>
        <w:ind w:left="567" w:right="618"/>
        <w:jc w:val="both"/>
        <w:rPr>
          <w:rFonts w:ascii="Palatino Linotype" w:hAnsi="Palatino Linotype" w:cs="Bookman Old Style"/>
          <w:i/>
        </w:rPr>
      </w:pPr>
      <w:r w:rsidRPr="00754DAB">
        <w:rPr>
          <w:rFonts w:ascii="Palatino Linotype" w:hAnsi="Palatino Linotype" w:cs="Bookman Old Style"/>
          <w:i/>
        </w:rPr>
        <w:t>Para los efectos de esta ley, las instituciones públicas estarán representadas por sus titulares.”</w:t>
      </w:r>
    </w:p>
    <w:p w14:paraId="38A99AC2" w14:textId="77777777" w:rsidR="00DD4649" w:rsidRPr="00754DAB" w:rsidRDefault="00DD4649" w:rsidP="00DD4649">
      <w:pPr>
        <w:pStyle w:val="Prrafodelista"/>
        <w:rPr>
          <w:rFonts w:ascii="Palatino Linotype" w:hAnsi="Palatino Linotype" w:cs="Bookman Old Style"/>
        </w:rPr>
      </w:pPr>
    </w:p>
    <w:p w14:paraId="5DA2D1E0" w14:textId="77777777" w:rsidR="00DD4649" w:rsidRPr="00754DAB" w:rsidRDefault="00DD4649" w:rsidP="00DD4649">
      <w:pPr>
        <w:numPr>
          <w:ilvl w:val="0"/>
          <w:numId w:val="2"/>
        </w:numPr>
        <w:spacing w:line="360" w:lineRule="auto"/>
        <w:ind w:left="0" w:firstLine="0"/>
        <w:contextualSpacing/>
        <w:jc w:val="both"/>
        <w:rPr>
          <w:rFonts w:ascii="Palatino Linotype" w:hAnsi="Palatino Linotype" w:cs="Bookman Old Style"/>
          <w:sz w:val="24"/>
        </w:rPr>
      </w:pPr>
      <w:r w:rsidRPr="00754DAB">
        <w:rPr>
          <w:rFonts w:ascii="Palatino Linotype" w:hAnsi="Palatino Linotype" w:cs="Bookman Old Style"/>
          <w:sz w:val="24"/>
        </w:rPr>
        <w:lastRenderedPageBreak/>
        <w:t>De lo anterior, se advierte que la relación laboral existe entre los Entes gubernamentales y los servidores públicos, la cual, se entiende establecida mediante nombramiento, formato único de movimiento de personal, contrato o por cualquier otro acto que tenga como consecuencia la prestación personal subordinada del servicio y la percepción de un sueldo.</w:t>
      </w:r>
    </w:p>
    <w:p w14:paraId="4A5A7091" w14:textId="77777777" w:rsidR="00DD4649" w:rsidRPr="00754DAB" w:rsidRDefault="00DD4649" w:rsidP="00DD4649">
      <w:pPr>
        <w:spacing w:line="360" w:lineRule="auto"/>
        <w:ind w:left="360"/>
        <w:contextualSpacing/>
        <w:jc w:val="both"/>
        <w:rPr>
          <w:rFonts w:ascii="Palatino Linotype" w:hAnsi="Palatino Linotype" w:cs="Bookman Old Style"/>
          <w:sz w:val="24"/>
        </w:rPr>
      </w:pPr>
    </w:p>
    <w:p w14:paraId="0A9D3DA0" w14:textId="77777777" w:rsidR="00DD4649" w:rsidRPr="00754DAB" w:rsidRDefault="00DD4649" w:rsidP="00DD4649">
      <w:pPr>
        <w:numPr>
          <w:ilvl w:val="0"/>
          <w:numId w:val="2"/>
        </w:numPr>
        <w:spacing w:line="360" w:lineRule="auto"/>
        <w:ind w:left="0" w:firstLine="0"/>
        <w:contextualSpacing/>
        <w:jc w:val="both"/>
        <w:rPr>
          <w:rFonts w:ascii="Palatino Linotype" w:hAnsi="Palatino Linotype" w:cs="Bookman Old Style"/>
          <w:sz w:val="24"/>
        </w:rPr>
      </w:pPr>
      <w:r w:rsidRPr="00754DAB">
        <w:rPr>
          <w:rFonts w:ascii="Palatino Linotype" w:hAnsi="Palatino Linotype" w:cs="Bookman Old Style"/>
          <w:sz w:val="24"/>
        </w:rPr>
        <w:t>Ahora bien, existen diversos motivos que pueden dar lugar a un conflicto laboral con motivo de la relación existente entre los Entes Gubernamentales y los servidores públicos, los cuales dan lugar a un proceso de índole laboral; así la Ley del Trabajo de los Servidores Públicos del Estado y Municipios, establece a ambas partes como las contraposiciones en un proceso, en términos del artículo 195, que a la letra señala:</w:t>
      </w:r>
    </w:p>
    <w:p w14:paraId="4D51D986" w14:textId="77777777" w:rsidR="00DD4649" w:rsidRPr="00754DAB" w:rsidRDefault="00DD4649" w:rsidP="00DD4649">
      <w:pPr>
        <w:spacing w:line="360" w:lineRule="auto"/>
        <w:jc w:val="both"/>
        <w:rPr>
          <w:rFonts w:ascii="Palatino Linotype" w:hAnsi="Palatino Linotype" w:cs="Arial"/>
        </w:rPr>
      </w:pPr>
    </w:p>
    <w:p w14:paraId="5812BE93" w14:textId="77777777" w:rsidR="00DD4649" w:rsidRPr="00754DAB" w:rsidRDefault="00DD4649" w:rsidP="00DD4649">
      <w:pPr>
        <w:spacing w:line="360" w:lineRule="auto"/>
        <w:ind w:left="567" w:right="616"/>
        <w:jc w:val="both"/>
        <w:rPr>
          <w:rFonts w:ascii="Palatino Linotype" w:hAnsi="Palatino Linotype" w:cs="Arial"/>
          <w:i/>
          <w:sz w:val="22"/>
        </w:rPr>
      </w:pPr>
      <w:r w:rsidRPr="00754DAB">
        <w:rPr>
          <w:rFonts w:ascii="Palatino Linotype" w:hAnsi="Palatino Linotype" w:cs="Arial"/>
          <w:i/>
          <w:sz w:val="22"/>
        </w:rPr>
        <w:t>“ARTÍCULO 195.- Son partes en el proceso, los servidores públicos, las instituciones públicas o las dependencias, los sindicatos reconocidos ante el Tribunal y, en general, quien acredite tener interés jurídico en el proceso y ejerciten acciones y opongan excepciones.</w:t>
      </w:r>
    </w:p>
    <w:p w14:paraId="6225DF86" w14:textId="77777777" w:rsidR="00DD4649" w:rsidRPr="00754DAB" w:rsidRDefault="00DD4649" w:rsidP="00DD4649">
      <w:pPr>
        <w:spacing w:line="360" w:lineRule="auto"/>
        <w:ind w:left="567" w:right="616"/>
        <w:jc w:val="both"/>
        <w:rPr>
          <w:rFonts w:ascii="Palatino Linotype" w:hAnsi="Palatino Linotype" w:cs="Arial"/>
          <w:i/>
          <w:sz w:val="22"/>
        </w:rPr>
      </w:pPr>
      <w:r w:rsidRPr="00754DAB">
        <w:rPr>
          <w:rFonts w:ascii="Palatino Linotype" w:hAnsi="Palatino Linotype" w:cs="Arial"/>
          <w:i/>
          <w:sz w:val="22"/>
        </w:rPr>
        <w:t xml:space="preserve">Los terceros interesados podrán intervenir en el proceso comprobando su interés jurídico en el mismo o cuando sean llamados por el Tribunal o la Sala, quienes deberán manifestar lo que a su derecho convenga por escrito en el juicio, hasta antes de la celebración de la audiencia de conciliación, depuración procesal, ofrecimiento y admisión de pruebas, </w:t>
      </w:r>
      <w:r w:rsidRPr="00754DAB">
        <w:rPr>
          <w:rFonts w:ascii="Palatino Linotype" w:hAnsi="Palatino Linotype" w:cs="Arial"/>
          <w:i/>
          <w:sz w:val="22"/>
        </w:rPr>
        <w:lastRenderedPageBreak/>
        <w:t>apercibiéndolos que para el caso de no hacerlo antes de la etapa referida, se tendrá por perdido su derecho para hacerlo valer con posterioridad y se estará a lo resuelto en el laudo.</w:t>
      </w:r>
    </w:p>
    <w:p w14:paraId="61FCF484" w14:textId="77777777" w:rsidR="00DD4649" w:rsidRPr="00754DAB" w:rsidRDefault="00DD4649" w:rsidP="00DD4649">
      <w:pPr>
        <w:spacing w:line="360" w:lineRule="auto"/>
        <w:ind w:left="567" w:right="616"/>
        <w:jc w:val="both"/>
        <w:rPr>
          <w:rFonts w:ascii="Palatino Linotype" w:hAnsi="Palatino Linotype" w:cs="Arial"/>
          <w:i/>
          <w:sz w:val="22"/>
        </w:rPr>
      </w:pPr>
      <w:r w:rsidRPr="00754DAB">
        <w:rPr>
          <w:rFonts w:ascii="Palatino Linotype" w:hAnsi="Palatino Linotype" w:cs="Arial"/>
          <w:i/>
          <w:sz w:val="22"/>
        </w:rPr>
        <w:t>Los servidores públicos, mayores de 16 y menores de 18 años, tienen capacidad por sí mismos para comparecer a juicio; pero, en caso de no estar asesorados, el Tribunal o las Salas solicitarán la intervención de la Procuraduría de la Defensa del Trabajo.</w:t>
      </w:r>
    </w:p>
    <w:p w14:paraId="403D47D1" w14:textId="77777777" w:rsidR="00DD4649" w:rsidRPr="00754DAB" w:rsidRDefault="00DD4649" w:rsidP="00DD4649">
      <w:pPr>
        <w:spacing w:line="360" w:lineRule="auto"/>
        <w:ind w:left="567" w:right="616"/>
        <w:jc w:val="both"/>
        <w:rPr>
          <w:rFonts w:ascii="Palatino Linotype" w:hAnsi="Palatino Linotype" w:cs="Arial"/>
          <w:i/>
          <w:sz w:val="22"/>
        </w:rPr>
      </w:pPr>
      <w:r w:rsidRPr="00754DAB">
        <w:rPr>
          <w:rFonts w:ascii="Palatino Linotype" w:hAnsi="Palatino Linotype" w:cs="Arial"/>
          <w:i/>
          <w:sz w:val="22"/>
        </w:rPr>
        <w:t>Lo señalado en el párrafo anterior se aplicará también tratándose del procedimiento promovido por los aspirantes a beneficiarios de algún trabajador fallecido”</w:t>
      </w:r>
    </w:p>
    <w:p w14:paraId="09F8EAEE" w14:textId="77777777" w:rsidR="00DD4649" w:rsidRPr="00754DAB" w:rsidRDefault="00DD4649" w:rsidP="00DD4649">
      <w:pPr>
        <w:spacing w:line="360" w:lineRule="auto"/>
        <w:ind w:left="567" w:right="616"/>
        <w:jc w:val="both"/>
        <w:rPr>
          <w:rFonts w:ascii="Palatino Linotype" w:hAnsi="Palatino Linotype" w:cs="Arial"/>
          <w:sz w:val="22"/>
        </w:rPr>
      </w:pPr>
      <w:r w:rsidRPr="00754DAB">
        <w:rPr>
          <w:rFonts w:ascii="Palatino Linotype" w:hAnsi="Palatino Linotype" w:cs="Arial"/>
          <w:sz w:val="22"/>
        </w:rPr>
        <w:t>(Énfasis añadido)</w:t>
      </w:r>
    </w:p>
    <w:p w14:paraId="2D59634F" w14:textId="77777777" w:rsidR="00DD4649" w:rsidRPr="00754DAB" w:rsidRDefault="00DD4649" w:rsidP="00DD4649">
      <w:pPr>
        <w:spacing w:line="360" w:lineRule="auto"/>
        <w:jc w:val="both"/>
        <w:rPr>
          <w:rFonts w:ascii="Palatino Linotype" w:hAnsi="Palatino Linotype" w:cs="Arial"/>
        </w:rPr>
      </w:pPr>
    </w:p>
    <w:p w14:paraId="5943A60A" w14:textId="77777777" w:rsidR="00DD4649" w:rsidRPr="00754DAB" w:rsidRDefault="00DD4649" w:rsidP="00DD4649">
      <w:pPr>
        <w:numPr>
          <w:ilvl w:val="0"/>
          <w:numId w:val="2"/>
        </w:numPr>
        <w:spacing w:line="360" w:lineRule="auto"/>
        <w:ind w:left="0" w:firstLine="0"/>
        <w:contextualSpacing/>
        <w:jc w:val="both"/>
        <w:rPr>
          <w:rFonts w:ascii="Palatino Linotype" w:hAnsi="Palatino Linotype" w:cs="Bookman Old Style"/>
          <w:sz w:val="24"/>
        </w:rPr>
      </w:pPr>
      <w:r w:rsidRPr="00754DAB">
        <w:rPr>
          <w:rFonts w:ascii="Palatino Linotype" w:hAnsi="Palatino Linotype" w:cs="Bookman Old Style"/>
          <w:sz w:val="24"/>
        </w:rPr>
        <w:t>Dicho el proceso laboral, inicia con la presentación de la demanda, la cual es promovida por el actor, en la cual se reclama el cumplimiento de las diversas obligaciones en atención a los derechos laborales que consagra la Ley de la materia; ello de acuerdo con el artículo 226 de la Ley del Trabajo de los Servidores Públicos del Estado y Municipios, que a la letra dispone:</w:t>
      </w:r>
    </w:p>
    <w:p w14:paraId="1345AD65" w14:textId="77777777" w:rsidR="00DD4649" w:rsidRPr="00754DAB" w:rsidRDefault="00DD4649" w:rsidP="00DD4649">
      <w:pPr>
        <w:spacing w:line="360" w:lineRule="auto"/>
        <w:contextualSpacing/>
        <w:jc w:val="both"/>
        <w:rPr>
          <w:rFonts w:ascii="Palatino Linotype" w:hAnsi="Palatino Linotype" w:cs="Bookman Old Style"/>
        </w:rPr>
      </w:pPr>
    </w:p>
    <w:p w14:paraId="7319B469" w14:textId="77777777" w:rsidR="00DD4649" w:rsidRPr="00754DAB" w:rsidRDefault="00DD4649" w:rsidP="00DD4649">
      <w:pPr>
        <w:spacing w:line="361" w:lineRule="auto"/>
        <w:ind w:left="561" w:right="583"/>
        <w:jc w:val="both"/>
        <w:rPr>
          <w:rFonts w:ascii="Palatino Linotype" w:hAnsi="Palatino Linotype"/>
          <w:sz w:val="36"/>
        </w:rPr>
      </w:pPr>
      <w:r w:rsidRPr="00754DAB">
        <w:rPr>
          <w:rFonts w:ascii="Palatino Linotype" w:eastAsia="Palatino Linotype" w:hAnsi="Palatino Linotype" w:cs="Palatino Linotype"/>
          <w:i/>
          <w:sz w:val="22"/>
        </w:rPr>
        <w:t xml:space="preserve">“ARTÍCULO 226. El </w:t>
      </w:r>
      <w:r w:rsidRPr="00754DAB">
        <w:rPr>
          <w:rFonts w:ascii="Palatino Linotype" w:eastAsia="Palatino Linotype" w:hAnsi="Palatino Linotype" w:cs="Palatino Linotype"/>
          <w:b/>
          <w:i/>
          <w:sz w:val="22"/>
        </w:rPr>
        <w:t>procedimiento se iniciará con la presentación del escrito de demanda ante la Oficialía de Partes del Tribunal o la Sala que lo turnará a la Sala</w:t>
      </w:r>
      <w:r w:rsidRPr="00754DAB">
        <w:rPr>
          <w:rFonts w:ascii="Palatino Linotype" w:eastAsia="Palatino Linotype" w:hAnsi="Palatino Linotype" w:cs="Palatino Linotype"/>
          <w:i/>
          <w:sz w:val="22"/>
        </w:rPr>
        <w:t xml:space="preserve"> oral o mesa de audiencia según le corresponda el mismo día antes de que concluyan las labores.  </w:t>
      </w:r>
    </w:p>
    <w:p w14:paraId="3C2B0D3E" w14:textId="77777777" w:rsidR="00DD4649" w:rsidRPr="00754DAB" w:rsidRDefault="00DD4649" w:rsidP="00DD4649">
      <w:pPr>
        <w:spacing w:after="23" w:line="361" w:lineRule="auto"/>
        <w:ind w:left="566" w:right="443"/>
        <w:jc w:val="both"/>
        <w:rPr>
          <w:rFonts w:ascii="Palatino Linotype" w:eastAsia="Palatino Linotype" w:hAnsi="Palatino Linotype" w:cs="Palatino Linotype"/>
          <w:i/>
          <w:sz w:val="22"/>
        </w:rPr>
      </w:pPr>
      <w:r w:rsidRPr="00754DAB">
        <w:rPr>
          <w:rFonts w:ascii="Palatino Linotype" w:eastAsia="Palatino Linotype" w:hAnsi="Palatino Linotype" w:cs="Palatino Linotype"/>
          <w:i/>
          <w:sz w:val="22"/>
        </w:rPr>
        <w:lastRenderedPageBreak/>
        <w:t>A la demanda se acompañarán las pruebas de que disponga el actor y los documentos que acrediten la personalidad del representante, en caso de que aquel no pudiera concurrir personalmente.”</w:t>
      </w:r>
    </w:p>
    <w:p w14:paraId="5AA7C8FB" w14:textId="77777777" w:rsidR="00DD4649" w:rsidRPr="00754DAB" w:rsidRDefault="00DD4649" w:rsidP="00DD4649">
      <w:pPr>
        <w:spacing w:after="23" w:line="361" w:lineRule="auto"/>
        <w:ind w:left="566" w:right="443"/>
        <w:jc w:val="both"/>
        <w:rPr>
          <w:rFonts w:ascii="Palatino Linotype" w:hAnsi="Palatino Linotype"/>
          <w:sz w:val="36"/>
        </w:rPr>
      </w:pPr>
      <w:r w:rsidRPr="00754DAB">
        <w:rPr>
          <w:rFonts w:ascii="Palatino Linotype" w:hAnsi="Palatino Linotype"/>
          <w:sz w:val="22"/>
        </w:rPr>
        <w:t xml:space="preserve">(Énfasis añadido) </w:t>
      </w:r>
    </w:p>
    <w:p w14:paraId="71D62DA2" w14:textId="77777777" w:rsidR="00DD4649" w:rsidRPr="00754DAB" w:rsidRDefault="00DD4649" w:rsidP="00DD4649">
      <w:pPr>
        <w:spacing w:after="122" w:line="259" w:lineRule="auto"/>
      </w:pPr>
      <w:r w:rsidRPr="00754DAB">
        <w:t xml:space="preserve"> </w:t>
      </w:r>
    </w:p>
    <w:p w14:paraId="40A181A2" w14:textId="77777777" w:rsidR="00DD4649" w:rsidRPr="00754DAB" w:rsidRDefault="00DD4649" w:rsidP="00DD4649">
      <w:pPr>
        <w:numPr>
          <w:ilvl w:val="0"/>
          <w:numId w:val="2"/>
        </w:numPr>
        <w:spacing w:line="360" w:lineRule="auto"/>
        <w:ind w:left="0" w:firstLine="0"/>
        <w:contextualSpacing/>
        <w:jc w:val="both"/>
        <w:rPr>
          <w:rFonts w:ascii="Palatino Linotype" w:hAnsi="Palatino Linotype"/>
          <w:sz w:val="24"/>
        </w:rPr>
      </w:pPr>
      <w:r w:rsidRPr="00754DAB">
        <w:rPr>
          <w:rFonts w:ascii="Palatino Linotype" w:hAnsi="Palatino Linotype"/>
          <w:sz w:val="24"/>
        </w:rPr>
        <w:t xml:space="preserve">Ahora bien, dicha demanda que inicia el proceso laboral entre los servidores públicos en </w:t>
      </w:r>
      <w:r w:rsidRPr="00754DAB">
        <w:rPr>
          <w:rFonts w:ascii="Palatino Linotype" w:hAnsi="Palatino Linotype" w:cs="Bookman Old Style"/>
          <w:sz w:val="24"/>
        </w:rPr>
        <w:t>contra</w:t>
      </w:r>
      <w:r w:rsidRPr="00754DAB">
        <w:rPr>
          <w:rFonts w:ascii="Palatino Linotype" w:hAnsi="Palatino Linotype"/>
          <w:sz w:val="24"/>
        </w:rPr>
        <w:t xml:space="preserve"> del Estado y los Municipios, se debe presentar ante el Tribunal o la Sala; al respecto, se tiene que el Sujeto Obligado es el órgano que conoce de dichos conflictos laborales, ello en atención a los artículos 184 y 185 de la Ley del Trabajo de los servidores públicos del estado y Municipios, que a la letra señalan: </w:t>
      </w:r>
    </w:p>
    <w:p w14:paraId="0EF6FF58" w14:textId="77777777" w:rsidR="00DD4649" w:rsidRPr="00754DAB" w:rsidRDefault="00DD4649" w:rsidP="00DD4649">
      <w:pPr>
        <w:spacing w:after="103" w:line="259" w:lineRule="auto"/>
        <w:ind w:left="-5" w:right="44"/>
        <w:rPr>
          <w:rFonts w:ascii="Palatino Linotype" w:hAnsi="Palatino Linotype"/>
        </w:rPr>
      </w:pPr>
    </w:p>
    <w:p w14:paraId="34AE7E21" w14:textId="77777777" w:rsidR="00DD4649" w:rsidRPr="00754DAB" w:rsidRDefault="00DD4649" w:rsidP="00DD4649">
      <w:pPr>
        <w:spacing w:after="114" w:line="259" w:lineRule="auto"/>
        <w:ind w:right="33"/>
        <w:jc w:val="center"/>
        <w:rPr>
          <w:rFonts w:ascii="Palatino Linotype" w:hAnsi="Palatino Linotype"/>
          <w:sz w:val="22"/>
        </w:rPr>
      </w:pPr>
      <w:r w:rsidRPr="00754DAB">
        <w:rPr>
          <w:rFonts w:ascii="Palatino Linotype" w:eastAsia="Palatino Linotype" w:hAnsi="Palatino Linotype" w:cs="Palatino Linotype"/>
          <w:b/>
          <w:i/>
          <w:sz w:val="22"/>
        </w:rPr>
        <w:t xml:space="preserve">“TITULO SEPTIMO </w:t>
      </w:r>
    </w:p>
    <w:p w14:paraId="25298371" w14:textId="77777777" w:rsidR="00DD4649" w:rsidRPr="00754DAB" w:rsidRDefault="00DD4649" w:rsidP="00DD4649">
      <w:pPr>
        <w:spacing w:after="114" w:line="259" w:lineRule="auto"/>
        <w:ind w:right="38"/>
        <w:jc w:val="center"/>
        <w:rPr>
          <w:rFonts w:ascii="Palatino Linotype" w:hAnsi="Palatino Linotype"/>
          <w:sz w:val="22"/>
        </w:rPr>
      </w:pPr>
      <w:r w:rsidRPr="00754DAB">
        <w:rPr>
          <w:rFonts w:ascii="Palatino Linotype" w:eastAsia="Palatino Linotype" w:hAnsi="Palatino Linotype" w:cs="Palatino Linotype"/>
          <w:b/>
          <w:i/>
          <w:sz w:val="22"/>
        </w:rPr>
        <w:t xml:space="preserve">Del Tribunal Estatal de Conciliación y Arbitraje y del Proceso y Procedimientos </w:t>
      </w:r>
    </w:p>
    <w:p w14:paraId="44A45C85" w14:textId="77777777" w:rsidR="00DD4649" w:rsidRPr="00754DAB" w:rsidRDefault="00DD4649" w:rsidP="00DD4649">
      <w:pPr>
        <w:spacing w:after="114" w:line="259" w:lineRule="auto"/>
        <w:ind w:right="32"/>
        <w:jc w:val="center"/>
        <w:rPr>
          <w:rFonts w:ascii="Palatino Linotype" w:hAnsi="Palatino Linotype"/>
          <w:sz w:val="22"/>
        </w:rPr>
      </w:pPr>
      <w:r w:rsidRPr="00754DAB">
        <w:rPr>
          <w:rFonts w:ascii="Palatino Linotype" w:eastAsia="Palatino Linotype" w:hAnsi="Palatino Linotype" w:cs="Palatino Linotype"/>
          <w:b/>
          <w:i/>
          <w:sz w:val="22"/>
        </w:rPr>
        <w:t xml:space="preserve">CAPITULO I </w:t>
      </w:r>
    </w:p>
    <w:p w14:paraId="707E2551" w14:textId="77777777" w:rsidR="00DD4649" w:rsidRPr="00754DAB" w:rsidRDefault="00DD4649" w:rsidP="00DD4649">
      <w:pPr>
        <w:spacing w:after="114" w:line="259" w:lineRule="auto"/>
        <w:ind w:right="34"/>
        <w:jc w:val="center"/>
        <w:rPr>
          <w:rFonts w:ascii="Palatino Linotype" w:hAnsi="Palatino Linotype"/>
          <w:sz w:val="22"/>
        </w:rPr>
      </w:pPr>
      <w:r w:rsidRPr="00754DAB">
        <w:rPr>
          <w:rFonts w:ascii="Palatino Linotype" w:eastAsia="Palatino Linotype" w:hAnsi="Palatino Linotype" w:cs="Palatino Linotype"/>
          <w:b/>
          <w:i/>
          <w:sz w:val="22"/>
        </w:rPr>
        <w:t xml:space="preserve">Del Tribunal Estatal de Conciliación y Arbitraje </w:t>
      </w:r>
    </w:p>
    <w:p w14:paraId="326A8DD0" w14:textId="77777777" w:rsidR="00DD4649" w:rsidRPr="00754DAB" w:rsidRDefault="00DD4649" w:rsidP="00DD4649">
      <w:pPr>
        <w:spacing w:line="361" w:lineRule="auto"/>
        <w:ind w:left="561" w:right="583"/>
        <w:rPr>
          <w:rFonts w:ascii="Palatino Linotype" w:hAnsi="Palatino Linotype"/>
          <w:sz w:val="22"/>
        </w:rPr>
      </w:pPr>
      <w:r w:rsidRPr="00754DAB">
        <w:rPr>
          <w:rFonts w:ascii="Palatino Linotype" w:eastAsia="Palatino Linotype" w:hAnsi="Palatino Linotype" w:cs="Palatino Linotype"/>
          <w:b/>
          <w:i/>
          <w:sz w:val="22"/>
        </w:rPr>
        <w:t>ARTÍCULO 184.-</w:t>
      </w:r>
      <w:r w:rsidRPr="00754DAB">
        <w:rPr>
          <w:rFonts w:ascii="Palatino Linotype" w:eastAsia="Palatino Linotype" w:hAnsi="Palatino Linotype" w:cs="Palatino Linotype"/>
          <w:i/>
          <w:sz w:val="22"/>
        </w:rPr>
        <w:t xml:space="preserve"> El Tribunal Estatal de Conciliación y Arbitraje es un órgano autónomo y dotado de plena jurisdicción, </w:t>
      </w:r>
      <w:r w:rsidRPr="00754DAB">
        <w:rPr>
          <w:rFonts w:ascii="Palatino Linotype" w:eastAsia="Palatino Linotype" w:hAnsi="Palatino Linotype" w:cs="Palatino Linotype"/>
          <w:b/>
          <w:i/>
          <w:sz w:val="22"/>
        </w:rPr>
        <w:t xml:space="preserve">conocerá y resolverá los conflictos laborales individuales y colectivos que se presenten entre los sujetos de esta ley. </w:t>
      </w:r>
    </w:p>
    <w:p w14:paraId="3CCF21EE" w14:textId="77777777" w:rsidR="00DD4649" w:rsidRPr="00754DAB" w:rsidRDefault="00DD4649" w:rsidP="00DD4649">
      <w:pPr>
        <w:spacing w:after="115" w:line="259" w:lineRule="auto"/>
        <w:ind w:left="566"/>
        <w:rPr>
          <w:rFonts w:ascii="Palatino Linotype" w:hAnsi="Palatino Linotype"/>
          <w:sz w:val="22"/>
        </w:rPr>
      </w:pPr>
      <w:r w:rsidRPr="00754DAB">
        <w:rPr>
          <w:rFonts w:ascii="Palatino Linotype" w:eastAsia="Palatino Linotype" w:hAnsi="Palatino Linotype" w:cs="Palatino Linotype"/>
          <w:b/>
          <w:i/>
          <w:sz w:val="22"/>
        </w:rPr>
        <w:t xml:space="preserve"> </w:t>
      </w:r>
    </w:p>
    <w:p w14:paraId="7155783B" w14:textId="77777777" w:rsidR="00DD4649" w:rsidRPr="00754DAB" w:rsidRDefault="00DD4649" w:rsidP="00DD4649">
      <w:pPr>
        <w:spacing w:after="115" w:line="259" w:lineRule="auto"/>
        <w:ind w:left="561" w:right="589"/>
        <w:rPr>
          <w:rFonts w:ascii="Palatino Linotype" w:hAnsi="Palatino Linotype"/>
          <w:sz w:val="22"/>
        </w:rPr>
      </w:pPr>
      <w:r w:rsidRPr="00754DAB">
        <w:rPr>
          <w:rFonts w:ascii="Palatino Linotype" w:eastAsia="Palatino Linotype" w:hAnsi="Palatino Linotype" w:cs="Palatino Linotype"/>
          <w:b/>
          <w:i/>
          <w:sz w:val="22"/>
        </w:rPr>
        <w:t>ARTÍCULO 185</w:t>
      </w:r>
      <w:r w:rsidRPr="00754DAB">
        <w:rPr>
          <w:rFonts w:ascii="Palatino Linotype" w:eastAsia="Palatino Linotype" w:hAnsi="Palatino Linotype" w:cs="Palatino Linotype"/>
          <w:i/>
          <w:sz w:val="22"/>
        </w:rPr>
        <w:t xml:space="preserve">. El Tribunal será competente para: </w:t>
      </w:r>
    </w:p>
    <w:p w14:paraId="76F2684A" w14:textId="77777777" w:rsidR="00DD4649" w:rsidRPr="00754DAB" w:rsidRDefault="00DD4649" w:rsidP="00DD4649">
      <w:pPr>
        <w:numPr>
          <w:ilvl w:val="0"/>
          <w:numId w:val="34"/>
        </w:numPr>
        <w:spacing w:after="3" w:line="361" w:lineRule="auto"/>
        <w:ind w:right="589" w:hanging="10"/>
        <w:jc w:val="both"/>
        <w:rPr>
          <w:rFonts w:ascii="Palatino Linotype" w:hAnsi="Palatino Linotype"/>
          <w:sz w:val="22"/>
        </w:rPr>
      </w:pPr>
      <w:r w:rsidRPr="00754DAB">
        <w:rPr>
          <w:rFonts w:ascii="Palatino Linotype" w:eastAsia="Palatino Linotype" w:hAnsi="Palatino Linotype" w:cs="Palatino Linotype"/>
          <w:i/>
          <w:sz w:val="22"/>
        </w:rPr>
        <w:lastRenderedPageBreak/>
        <w:t xml:space="preserve">Conocer y resolver, en conciliación y arbitraje, de </w:t>
      </w:r>
      <w:r w:rsidRPr="00754DAB">
        <w:rPr>
          <w:rFonts w:ascii="Palatino Linotype" w:eastAsia="Palatino Linotype" w:hAnsi="Palatino Linotype" w:cs="Palatino Linotype"/>
          <w:b/>
          <w:i/>
          <w:sz w:val="22"/>
        </w:rPr>
        <w:t xml:space="preserve">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  </w:t>
      </w:r>
    </w:p>
    <w:p w14:paraId="4C97DEA3" w14:textId="77777777" w:rsidR="00DD4649" w:rsidRPr="00754DAB" w:rsidRDefault="00DD4649" w:rsidP="00DD4649">
      <w:pPr>
        <w:numPr>
          <w:ilvl w:val="0"/>
          <w:numId w:val="34"/>
        </w:numPr>
        <w:spacing w:after="4" w:line="357" w:lineRule="auto"/>
        <w:ind w:right="589" w:hanging="10"/>
        <w:jc w:val="both"/>
        <w:rPr>
          <w:rFonts w:ascii="Palatino Linotype" w:hAnsi="Palatino Linotype"/>
          <w:sz w:val="22"/>
        </w:rPr>
      </w:pPr>
      <w:r w:rsidRPr="00754DAB">
        <w:rPr>
          <w:rFonts w:ascii="Palatino Linotype" w:eastAsia="Palatino Linotype" w:hAnsi="Palatino Linotype" w:cs="Palatino Linotype"/>
          <w:i/>
          <w:sz w:val="22"/>
        </w:rPr>
        <w:t xml:space="preserve">Conocer y resolver, en conciliación y arbitraje, los conflictos colectivos que surjan entre las instituciones públicas o dependencias y las organizaciones sindicales;  </w:t>
      </w:r>
    </w:p>
    <w:p w14:paraId="7944E183" w14:textId="77777777" w:rsidR="00DD4649" w:rsidRPr="00754DAB" w:rsidRDefault="00DD4649" w:rsidP="00DD4649">
      <w:pPr>
        <w:numPr>
          <w:ilvl w:val="0"/>
          <w:numId w:val="34"/>
        </w:numPr>
        <w:spacing w:after="4" w:line="357" w:lineRule="auto"/>
        <w:ind w:right="589" w:hanging="10"/>
        <w:jc w:val="both"/>
        <w:rPr>
          <w:rFonts w:ascii="Palatino Linotype" w:hAnsi="Palatino Linotype"/>
          <w:sz w:val="22"/>
        </w:rPr>
      </w:pPr>
      <w:r w:rsidRPr="00754DAB">
        <w:rPr>
          <w:rFonts w:ascii="Palatino Linotype" w:eastAsia="Palatino Linotype" w:hAnsi="Palatino Linotype" w:cs="Palatino Linotype"/>
          <w:i/>
          <w:sz w:val="22"/>
        </w:rPr>
        <w:t xml:space="preserve">Conceder el registro de los sindicatos y, en su caso, dictar la cancelación de los mismos;  IV. Conocer y resolver, en conciliación y arbitraje, de los conflictos internos de los sindicatos y de los </w:t>
      </w:r>
      <w:proofErr w:type="spellStart"/>
      <w:r w:rsidRPr="00754DAB">
        <w:rPr>
          <w:rFonts w:ascii="Palatino Linotype" w:eastAsia="Palatino Linotype" w:hAnsi="Palatino Linotype" w:cs="Palatino Linotype"/>
          <w:i/>
          <w:sz w:val="22"/>
        </w:rPr>
        <w:t>intersindicales</w:t>
      </w:r>
      <w:proofErr w:type="spellEnd"/>
      <w:r w:rsidRPr="00754DAB">
        <w:rPr>
          <w:rFonts w:ascii="Palatino Linotype" w:eastAsia="Palatino Linotype" w:hAnsi="Palatino Linotype" w:cs="Palatino Linotype"/>
          <w:i/>
          <w:sz w:val="22"/>
        </w:rPr>
        <w:t xml:space="preserve">;  </w:t>
      </w:r>
    </w:p>
    <w:p w14:paraId="628C57AC" w14:textId="77777777" w:rsidR="00DD4649" w:rsidRPr="00754DAB" w:rsidRDefault="00DD4649" w:rsidP="00DD4649">
      <w:pPr>
        <w:numPr>
          <w:ilvl w:val="0"/>
          <w:numId w:val="35"/>
        </w:numPr>
        <w:spacing w:after="4" w:line="357" w:lineRule="auto"/>
        <w:ind w:right="589" w:hanging="10"/>
        <w:jc w:val="both"/>
        <w:rPr>
          <w:rFonts w:ascii="Palatino Linotype" w:hAnsi="Palatino Linotype"/>
          <w:sz w:val="22"/>
        </w:rPr>
      </w:pPr>
      <w:r w:rsidRPr="00754DAB">
        <w:rPr>
          <w:rFonts w:ascii="Palatino Linotype" w:eastAsia="Palatino Linotype" w:hAnsi="Palatino Linotype" w:cs="Palatino Linotype"/>
          <w:i/>
          <w:sz w:val="22"/>
        </w:rPr>
        <w:t xml:space="preserve">Efectuar el registro de las condiciones generales de trabajo, de los estatutos de los sindicatos, así como de aquellos otros documentos que por su naturaleza deban obrar en los registros del Tribunal; </w:t>
      </w:r>
    </w:p>
    <w:p w14:paraId="3D0C4FB4" w14:textId="77777777" w:rsidR="00DD4649" w:rsidRPr="00754DAB" w:rsidRDefault="00DD4649" w:rsidP="00DD4649">
      <w:pPr>
        <w:spacing w:after="115" w:line="259" w:lineRule="auto"/>
        <w:ind w:left="561" w:right="589"/>
        <w:rPr>
          <w:rFonts w:ascii="Palatino Linotype" w:hAnsi="Palatino Linotype"/>
          <w:sz w:val="22"/>
        </w:rPr>
      </w:pPr>
      <w:proofErr w:type="gramStart"/>
      <w:r w:rsidRPr="00754DAB">
        <w:rPr>
          <w:rFonts w:ascii="Palatino Linotype" w:eastAsia="Palatino Linotype" w:hAnsi="Palatino Linotype" w:cs="Palatino Linotype"/>
          <w:i/>
          <w:sz w:val="22"/>
        </w:rPr>
        <w:t>y</w:t>
      </w:r>
      <w:proofErr w:type="gramEnd"/>
      <w:r w:rsidRPr="00754DAB">
        <w:rPr>
          <w:rFonts w:ascii="Palatino Linotype" w:eastAsia="Palatino Linotype" w:hAnsi="Palatino Linotype" w:cs="Palatino Linotype"/>
          <w:i/>
          <w:sz w:val="22"/>
        </w:rPr>
        <w:t xml:space="preserve">  </w:t>
      </w:r>
    </w:p>
    <w:p w14:paraId="1C5A8DA6" w14:textId="77777777" w:rsidR="00DD4649" w:rsidRPr="00754DAB" w:rsidRDefault="00DD4649" w:rsidP="00DD4649">
      <w:pPr>
        <w:numPr>
          <w:ilvl w:val="0"/>
          <w:numId w:val="35"/>
        </w:numPr>
        <w:spacing w:after="4" w:line="357" w:lineRule="auto"/>
        <w:ind w:right="589" w:hanging="10"/>
        <w:jc w:val="both"/>
        <w:rPr>
          <w:rFonts w:ascii="Palatino Linotype" w:hAnsi="Palatino Linotype"/>
          <w:sz w:val="22"/>
        </w:rPr>
      </w:pPr>
      <w:r w:rsidRPr="00754DAB">
        <w:rPr>
          <w:rFonts w:ascii="Palatino Linotype" w:eastAsia="Palatino Linotype" w:hAnsi="Palatino Linotype" w:cs="Palatino Linotype"/>
          <w:i/>
          <w:sz w:val="22"/>
        </w:rPr>
        <w:t xml:space="preserve">Llevar los procedimientos para la determinación de dependencia económica de los familiares de los servidores públicos;  </w:t>
      </w:r>
    </w:p>
    <w:p w14:paraId="58F8EA4D" w14:textId="77777777" w:rsidR="00DD4649" w:rsidRPr="00754DAB" w:rsidRDefault="00DD4649" w:rsidP="00DD4649">
      <w:pPr>
        <w:numPr>
          <w:ilvl w:val="0"/>
          <w:numId w:val="35"/>
        </w:numPr>
        <w:spacing w:after="4" w:line="357" w:lineRule="auto"/>
        <w:ind w:right="589" w:hanging="10"/>
        <w:jc w:val="both"/>
        <w:rPr>
          <w:rFonts w:ascii="Palatino Linotype" w:hAnsi="Palatino Linotype"/>
          <w:sz w:val="22"/>
        </w:rPr>
      </w:pPr>
      <w:r w:rsidRPr="00754DAB">
        <w:rPr>
          <w:rFonts w:ascii="Palatino Linotype" w:eastAsia="Palatino Linotype" w:hAnsi="Palatino Linotype" w:cs="Palatino Linotype"/>
          <w:i/>
          <w:sz w:val="22"/>
        </w:rPr>
        <w:t xml:space="preserve">Dictar la resolución que ordene la suspensión temporal de su cargo de un servidor público en términos de lo dispuesto por el artículo 209 y 253 de esta ley; y  </w:t>
      </w:r>
    </w:p>
    <w:p w14:paraId="6041735F" w14:textId="77777777" w:rsidR="00DD4649" w:rsidRPr="00754DAB" w:rsidRDefault="00DD4649" w:rsidP="00DD4649">
      <w:pPr>
        <w:numPr>
          <w:ilvl w:val="0"/>
          <w:numId w:val="35"/>
        </w:numPr>
        <w:spacing w:after="4" w:line="357" w:lineRule="auto"/>
        <w:ind w:right="589" w:hanging="10"/>
        <w:jc w:val="both"/>
        <w:rPr>
          <w:rFonts w:ascii="Palatino Linotype" w:hAnsi="Palatino Linotype"/>
          <w:sz w:val="22"/>
        </w:rPr>
      </w:pPr>
      <w:r w:rsidRPr="00754DAB">
        <w:rPr>
          <w:rFonts w:ascii="Palatino Linotype" w:eastAsia="Palatino Linotype" w:hAnsi="Palatino Linotype" w:cs="Palatino Linotype"/>
          <w:i/>
          <w:sz w:val="22"/>
        </w:rPr>
        <w:t xml:space="preserve">Conocer de cualquier otro asunto relativo, derivado o directamente vinculado con las relaciones de trabajo. </w:t>
      </w:r>
    </w:p>
    <w:p w14:paraId="49F3F6D3" w14:textId="77777777" w:rsidR="00DD4649" w:rsidRPr="00754DAB" w:rsidRDefault="00DD4649" w:rsidP="00DD4649">
      <w:pPr>
        <w:spacing w:after="137" w:line="259" w:lineRule="auto"/>
        <w:ind w:left="561"/>
        <w:rPr>
          <w:rFonts w:ascii="Palatino Linotype" w:hAnsi="Palatino Linotype"/>
          <w:sz w:val="22"/>
        </w:rPr>
      </w:pPr>
      <w:r w:rsidRPr="00754DAB">
        <w:rPr>
          <w:rFonts w:ascii="Palatino Linotype" w:hAnsi="Palatino Linotype"/>
          <w:sz w:val="22"/>
        </w:rPr>
        <w:t xml:space="preserve">(Énfasis añadido) </w:t>
      </w:r>
    </w:p>
    <w:p w14:paraId="2F50EB66" w14:textId="77777777" w:rsidR="00DD4649" w:rsidRPr="00754DAB" w:rsidRDefault="00DD4649" w:rsidP="00DD4649">
      <w:pPr>
        <w:spacing w:after="137" w:line="259" w:lineRule="auto"/>
        <w:ind w:left="566"/>
        <w:rPr>
          <w:rFonts w:ascii="Palatino Linotype" w:hAnsi="Palatino Linotype"/>
        </w:rPr>
      </w:pPr>
      <w:r w:rsidRPr="00754DAB">
        <w:rPr>
          <w:rFonts w:ascii="Palatino Linotype" w:eastAsia="Palatino Linotype" w:hAnsi="Palatino Linotype" w:cs="Palatino Linotype"/>
          <w:i/>
        </w:rPr>
        <w:lastRenderedPageBreak/>
        <w:t xml:space="preserve"> </w:t>
      </w:r>
    </w:p>
    <w:p w14:paraId="4E636D5D" w14:textId="2B5A265F" w:rsidR="00DD4649" w:rsidRPr="00754DAB" w:rsidRDefault="00DD4649" w:rsidP="00DD4649">
      <w:pPr>
        <w:numPr>
          <w:ilvl w:val="0"/>
          <w:numId w:val="2"/>
        </w:numPr>
        <w:spacing w:line="360" w:lineRule="auto"/>
        <w:ind w:left="0" w:firstLine="0"/>
        <w:contextualSpacing/>
        <w:jc w:val="both"/>
        <w:rPr>
          <w:rFonts w:ascii="Palatino Linotype" w:hAnsi="Palatino Linotype"/>
          <w:sz w:val="24"/>
          <w:szCs w:val="24"/>
        </w:rPr>
      </w:pPr>
      <w:r w:rsidRPr="00754DAB">
        <w:rPr>
          <w:rFonts w:ascii="Palatino Linotype" w:hAnsi="Palatino Linotype"/>
          <w:sz w:val="24"/>
        </w:rPr>
        <w:t xml:space="preserve">Derivado de lo antes expuesto, se advierte que el </w:t>
      </w:r>
      <w:r w:rsidRPr="00754DAB">
        <w:rPr>
          <w:rFonts w:ascii="Palatino Linotype" w:hAnsi="Palatino Linotype"/>
          <w:b/>
          <w:sz w:val="24"/>
        </w:rPr>
        <w:t>SUJETO OBLIGADO</w:t>
      </w:r>
      <w:r w:rsidRPr="00754DAB">
        <w:rPr>
          <w:rFonts w:ascii="Palatino Linotype" w:hAnsi="Palatino Linotype"/>
          <w:sz w:val="24"/>
        </w:rPr>
        <w:t xml:space="preserve"> es competente para conocer de la información solicitada; pues el órgano que sustenta y resuelve los conflictos laborales entre los servidores públicos y los Estados o Municipios; los cuales inician con la presentación de demandas, debió correr traslado y copia de </w:t>
      </w:r>
      <w:r w:rsidRPr="00754DAB">
        <w:rPr>
          <w:rFonts w:ascii="Palatino Linotype" w:hAnsi="Palatino Linotype"/>
          <w:sz w:val="24"/>
          <w:szCs w:val="24"/>
        </w:rPr>
        <w:t>la demando de ser el caso de que existiera al Ayuntamiento, por tanto eventualmente la posee y administra.</w:t>
      </w:r>
    </w:p>
    <w:p w14:paraId="5767634C" w14:textId="77777777" w:rsidR="00DD4649" w:rsidRPr="00754DAB" w:rsidRDefault="00DD4649" w:rsidP="00DD4649">
      <w:pPr>
        <w:spacing w:line="360" w:lineRule="auto"/>
        <w:contextualSpacing/>
        <w:jc w:val="both"/>
        <w:rPr>
          <w:rFonts w:ascii="Palatino Linotype" w:hAnsi="Palatino Linotype"/>
          <w:sz w:val="24"/>
          <w:szCs w:val="24"/>
        </w:rPr>
      </w:pPr>
    </w:p>
    <w:p w14:paraId="194C7CBB" w14:textId="0F260C4C" w:rsidR="00D80D34" w:rsidRPr="00754DAB" w:rsidRDefault="00DD4649" w:rsidP="00DD4649">
      <w:pPr>
        <w:numPr>
          <w:ilvl w:val="0"/>
          <w:numId w:val="2"/>
        </w:numPr>
        <w:spacing w:line="360" w:lineRule="auto"/>
        <w:ind w:left="0" w:firstLine="0"/>
        <w:contextualSpacing/>
        <w:jc w:val="both"/>
        <w:rPr>
          <w:rFonts w:ascii="Palatino Linotype" w:hAnsi="Palatino Linotype"/>
          <w:sz w:val="24"/>
          <w:szCs w:val="24"/>
        </w:rPr>
      </w:pPr>
      <w:r w:rsidRPr="00754DAB">
        <w:rPr>
          <w:rFonts w:ascii="Palatino Linotype" w:hAnsi="Palatino Linotype"/>
          <w:sz w:val="24"/>
          <w:szCs w:val="24"/>
        </w:rPr>
        <w:t xml:space="preserve"> Una vez robustecida la competencia para contar con la información, se procede a analizar los puntos solicitados en específico; por cuanto hace al </w:t>
      </w:r>
      <w:r w:rsidR="00D80D34" w:rsidRPr="00754DAB">
        <w:rPr>
          <w:rFonts w:ascii="Palatino Linotype" w:hAnsi="Palatino Linotype"/>
          <w:sz w:val="24"/>
          <w:szCs w:val="24"/>
        </w:rPr>
        <w:t>estatus del procedimiento, se considera que es información que no puede clasificarse como reservada, toda vez que su difusión es meramente para conocer en qué parte del procedimiento se encuentra, sin divulgar más información que pudiera poner en riesgo el mismo procedimiento</w:t>
      </w:r>
      <w:r w:rsidR="00072053" w:rsidRPr="00754DAB">
        <w:rPr>
          <w:rFonts w:ascii="Palatino Linotype" w:hAnsi="Palatino Linotype"/>
          <w:sz w:val="24"/>
          <w:szCs w:val="24"/>
        </w:rPr>
        <w:t xml:space="preserve"> como lo son actuaciones, pruebas, alegatos o demás información que  pudiera </w:t>
      </w:r>
      <w:r w:rsidR="00D80D34" w:rsidRPr="00754DAB">
        <w:rPr>
          <w:rFonts w:ascii="Palatino Linotype" w:hAnsi="Palatino Linotype"/>
          <w:sz w:val="24"/>
          <w:szCs w:val="24"/>
        </w:rPr>
        <w:t>alterar la decisión que tome la autoridad competente al momento de emitir el laudo correspondiente.</w:t>
      </w:r>
    </w:p>
    <w:p w14:paraId="5DB4D648" w14:textId="77777777" w:rsidR="00D80D34" w:rsidRPr="00754DAB" w:rsidRDefault="00D80D34" w:rsidP="00D80D34">
      <w:pPr>
        <w:pStyle w:val="Prrafodelista"/>
        <w:rPr>
          <w:rFonts w:ascii="Palatino Linotype" w:hAnsi="Palatino Linotype"/>
        </w:rPr>
      </w:pPr>
    </w:p>
    <w:p w14:paraId="6E53D970" w14:textId="318DF1FD" w:rsidR="00072053" w:rsidRPr="00754DAB" w:rsidRDefault="00DD4649" w:rsidP="00DD4649">
      <w:pPr>
        <w:numPr>
          <w:ilvl w:val="0"/>
          <w:numId w:val="2"/>
        </w:numPr>
        <w:spacing w:line="360" w:lineRule="auto"/>
        <w:ind w:left="0" w:firstLine="0"/>
        <w:contextualSpacing/>
        <w:jc w:val="both"/>
        <w:rPr>
          <w:rFonts w:ascii="Palatino Linotype" w:hAnsi="Palatino Linotype"/>
          <w:sz w:val="24"/>
          <w:szCs w:val="24"/>
        </w:rPr>
      </w:pPr>
      <w:r w:rsidRPr="00754DAB">
        <w:rPr>
          <w:rFonts w:ascii="Palatino Linotype" w:hAnsi="Palatino Linotype"/>
          <w:sz w:val="24"/>
          <w:szCs w:val="24"/>
        </w:rPr>
        <w:t xml:space="preserve">En esa tesitura, </w:t>
      </w:r>
      <w:r w:rsidR="00072053" w:rsidRPr="00754DAB">
        <w:rPr>
          <w:rFonts w:ascii="Palatino Linotype" w:hAnsi="Palatino Linotype"/>
          <w:sz w:val="24"/>
          <w:szCs w:val="24"/>
        </w:rPr>
        <w:t xml:space="preserve">lo relativo al nombre de los actores, es necesario traer a contexto diversos puntos a considerar, el primero de ellos es que las personas que demandaron al Ayuntamiento son ex servidores públicos, por lo que recibieron una percepción </w:t>
      </w:r>
      <w:r w:rsidR="00072053" w:rsidRPr="00754DAB">
        <w:rPr>
          <w:rFonts w:ascii="Palatino Linotype" w:hAnsi="Palatino Linotype"/>
          <w:sz w:val="24"/>
          <w:szCs w:val="24"/>
        </w:rPr>
        <w:lastRenderedPageBreak/>
        <w:t xml:space="preserve">económica como contraprestación por la relación laboral existente, de la cual al concluir esta, se procedió a la instauración de un procedimiento meramente laboral. </w:t>
      </w:r>
    </w:p>
    <w:p w14:paraId="4E8A27D9" w14:textId="77777777" w:rsidR="00072053" w:rsidRPr="00754DAB" w:rsidRDefault="00072053" w:rsidP="00072053">
      <w:pPr>
        <w:pStyle w:val="Prrafodelista"/>
        <w:rPr>
          <w:rFonts w:ascii="Palatino Linotype" w:hAnsi="Palatino Linotype"/>
          <w:sz w:val="24"/>
        </w:rPr>
      </w:pPr>
    </w:p>
    <w:p w14:paraId="006A98B7" w14:textId="23B8DECB" w:rsidR="00DD4649" w:rsidRPr="00754DAB" w:rsidRDefault="00072053" w:rsidP="00DD4649">
      <w:pPr>
        <w:numPr>
          <w:ilvl w:val="0"/>
          <w:numId w:val="2"/>
        </w:numPr>
        <w:spacing w:line="360" w:lineRule="auto"/>
        <w:ind w:left="-5" w:right="44" w:firstLine="0"/>
        <w:contextualSpacing/>
        <w:jc w:val="both"/>
        <w:rPr>
          <w:rFonts w:ascii="Palatino Linotype" w:hAnsi="Palatino Linotype"/>
          <w:sz w:val="24"/>
          <w:szCs w:val="24"/>
        </w:rPr>
      </w:pPr>
      <w:r w:rsidRPr="00754DAB">
        <w:rPr>
          <w:rFonts w:ascii="Palatino Linotype" w:hAnsi="Palatino Linotype"/>
          <w:sz w:val="24"/>
          <w:szCs w:val="24"/>
        </w:rPr>
        <w:t>El acto de interponer una demanda laboral,</w:t>
      </w:r>
      <w:r w:rsidR="00DD4649" w:rsidRPr="00754DAB">
        <w:rPr>
          <w:rFonts w:ascii="Palatino Linotype" w:hAnsi="Palatino Linotype"/>
          <w:sz w:val="24"/>
          <w:szCs w:val="24"/>
        </w:rPr>
        <w:t xml:space="preserve"> se considera</w:t>
      </w:r>
      <w:r w:rsidRPr="00754DAB">
        <w:rPr>
          <w:rFonts w:ascii="Palatino Linotype" w:hAnsi="Palatino Linotype"/>
          <w:sz w:val="24"/>
          <w:szCs w:val="24"/>
        </w:rPr>
        <w:t xml:space="preserve"> perteneciente</w:t>
      </w:r>
      <w:r w:rsidR="00DD4649" w:rsidRPr="00754DAB">
        <w:rPr>
          <w:rFonts w:ascii="Palatino Linotype" w:hAnsi="Palatino Linotype"/>
          <w:sz w:val="24"/>
          <w:szCs w:val="24"/>
        </w:rPr>
        <w:t xml:space="preserve"> a </w:t>
      </w:r>
      <w:r w:rsidR="00DD4649" w:rsidRPr="00754DAB">
        <w:rPr>
          <w:rFonts w:ascii="Palatino Linotype" w:hAnsi="Palatino Linotype"/>
          <w:b/>
          <w:sz w:val="24"/>
          <w:szCs w:val="24"/>
          <w:u w:val="single"/>
        </w:rPr>
        <w:t>un</w:t>
      </w:r>
      <w:r w:rsidRPr="00754DAB">
        <w:rPr>
          <w:rFonts w:ascii="Palatino Linotype" w:eastAsia="Palatino Linotype" w:hAnsi="Palatino Linotype" w:cs="Palatino Linotype"/>
          <w:b/>
          <w:sz w:val="24"/>
          <w:szCs w:val="24"/>
          <w:u w:val="single" w:color="000000"/>
        </w:rPr>
        <w:t>a decisión personal el trabajador</w:t>
      </w:r>
      <w:r w:rsidR="00DD4649" w:rsidRPr="00754DAB">
        <w:rPr>
          <w:rFonts w:ascii="Palatino Linotype" w:eastAsia="Palatino Linotype" w:hAnsi="Palatino Linotype" w:cs="Palatino Linotype"/>
          <w:b/>
          <w:sz w:val="24"/>
          <w:szCs w:val="24"/>
          <w:u w:val="single" w:color="000000"/>
        </w:rPr>
        <w:t xml:space="preserve"> en contra de su patrón, porque consideran que se violó</w:t>
      </w:r>
      <w:r w:rsidR="00DD4649" w:rsidRPr="00754DAB">
        <w:rPr>
          <w:rFonts w:ascii="Palatino Linotype" w:eastAsia="Palatino Linotype" w:hAnsi="Palatino Linotype" w:cs="Palatino Linotype"/>
          <w:b/>
          <w:sz w:val="24"/>
          <w:szCs w:val="24"/>
        </w:rPr>
        <w:t xml:space="preserve"> </w:t>
      </w:r>
      <w:r w:rsidRPr="00754DAB">
        <w:rPr>
          <w:rFonts w:ascii="Palatino Linotype" w:eastAsia="Palatino Linotype" w:hAnsi="Palatino Linotype" w:cs="Palatino Linotype"/>
          <w:b/>
          <w:sz w:val="24"/>
          <w:szCs w:val="24"/>
          <w:u w:val="single" w:color="000000"/>
        </w:rPr>
        <w:t>alguno de sus derechos</w:t>
      </w:r>
      <w:r w:rsidR="00DD4649" w:rsidRPr="00754DAB">
        <w:rPr>
          <w:rFonts w:ascii="Palatino Linotype" w:eastAsia="Palatino Linotype" w:hAnsi="Palatino Linotype" w:cs="Palatino Linotype"/>
          <w:b/>
          <w:sz w:val="24"/>
          <w:szCs w:val="24"/>
          <w:u w:val="single" w:color="000000"/>
        </w:rPr>
        <w:t>,</w:t>
      </w:r>
      <w:r w:rsidR="00DD4649" w:rsidRPr="00754DAB">
        <w:rPr>
          <w:rFonts w:ascii="Palatino Linotype" w:hAnsi="Palatino Linotype"/>
          <w:sz w:val="24"/>
          <w:szCs w:val="24"/>
        </w:rPr>
        <w:t xml:space="preserve"> que no está de ninguna manera vinculada con sus funciones ni con ejercicio de recursos públicos hasta en tanto la demanda se encuentre en trámite. </w:t>
      </w:r>
    </w:p>
    <w:p w14:paraId="14714920" w14:textId="77777777" w:rsidR="00DD4649" w:rsidRPr="00754DAB" w:rsidRDefault="00DD4649" w:rsidP="00DD4649">
      <w:pPr>
        <w:spacing w:line="360" w:lineRule="auto"/>
        <w:jc w:val="both"/>
        <w:rPr>
          <w:rFonts w:ascii="Palatino Linotype" w:hAnsi="Palatino Linotype"/>
          <w:sz w:val="24"/>
          <w:szCs w:val="24"/>
        </w:rPr>
      </w:pPr>
      <w:r w:rsidRPr="00754DAB">
        <w:rPr>
          <w:rFonts w:ascii="Palatino Linotype" w:hAnsi="Palatino Linotype"/>
          <w:sz w:val="24"/>
          <w:szCs w:val="24"/>
        </w:rPr>
        <w:t xml:space="preserve"> </w:t>
      </w:r>
    </w:p>
    <w:p w14:paraId="590EFD48" w14:textId="77777777" w:rsidR="00DD4649" w:rsidRPr="00754DAB" w:rsidRDefault="00DD4649" w:rsidP="00DD4649">
      <w:pPr>
        <w:numPr>
          <w:ilvl w:val="0"/>
          <w:numId w:val="2"/>
        </w:numPr>
        <w:spacing w:line="360" w:lineRule="auto"/>
        <w:ind w:left="-5" w:right="44" w:firstLine="0"/>
        <w:contextualSpacing/>
        <w:jc w:val="both"/>
        <w:rPr>
          <w:rFonts w:ascii="Palatino Linotype" w:hAnsi="Palatino Linotype"/>
          <w:sz w:val="24"/>
        </w:rPr>
      </w:pPr>
      <w:r w:rsidRPr="00754DAB">
        <w:rPr>
          <w:rFonts w:ascii="Palatino Linotype" w:hAnsi="Palatino Linotype"/>
          <w:sz w:val="24"/>
        </w:rPr>
        <w:t>En efecto, si una persona con independencia de que sea o no servidor público presenta una demanda laboral en contra de un Sujeto Obligado, hasta ese momento, atañen a decisiones personales de interponer una demanda, por lo que, en tratándose de expedientes en trámite en los que no se han erogado recursos públicos, debe considerarse como información confidencial, al corresponder a su decisión personal de presentar una demanda, que en nada abona a la transparencia sino se han recibido recursos públicos, por estar vinculado con una decisión personal que no tiene una relación directa con el ejercicio de recursos público ni de facultades.</w:t>
      </w:r>
    </w:p>
    <w:p w14:paraId="2F17A263" w14:textId="77777777" w:rsidR="00DD4649" w:rsidRPr="00754DAB" w:rsidRDefault="00DD4649" w:rsidP="00DD4649">
      <w:pPr>
        <w:pStyle w:val="Prrafodelista"/>
        <w:rPr>
          <w:rFonts w:ascii="Palatino Linotype" w:hAnsi="Palatino Linotype"/>
          <w:sz w:val="28"/>
        </w:rPr>
      </w:pPr>
    </w:p>
    <w:p w14:paraId="76B5DB6A" w14:textId="77777777" w:rsidR="00DD4649" w:rsidRPr="00754DAB" w:rsidRDefault="00DD4649" w:rsidP="00DD4649">
      <w:pPr>
        <w:numPr>
          <w:ilvl w:val="0"/>
          <w:numId w:val="2"/>
        </w:numPr>
        <w:spacing w:line="360" w:lineRule="auto"/>
        <w:ind w:left="-5" w:right="44" w:firstLine="0"/>
        <w:contextualSpacing/>
        <w:jc w:val="both"/>
        <w:rPr>
          <w:rFonts w:ascii="Palatino Linotype" w:hAnsi="Palatino Linotype"/>
          <w:sz w:val="24"/>
        </w:rPr>
      </w:pPr>
      <w:r w:rsidRPr="00754DAB">
        <w:rPr>
          <w:rFonts w:ascii="Palatino Linotype" w:hAnsi="Palatino Linotype"/>
          <w:sz w:val="24"/>
        </w:rPr>
        <w:t xml:space="preserve">En consecuencia, sólo se considera información pública si el soporte documental donde conste o se advierta la información de referencia consta en un </w:t>
      </w:r>
      <w:r w:rsidRPr="00754DAB">
        <w:rPr>
          <w:rFonts w:ascii="Palatino Linotype" w:hAnsi="Palatino Linotype"/>
          <w:sz w:val="24"/>
        </w:rPr>
        <w:lastRenderedPageBreak/>
        <w:t xml:space="preserve">Laudo que ha causado estado y se reciben recursos públicos con motivo de la sentencia o laudo de la demanda, en donde destaca que la publicidad de los datos, no se da por la demanda, sino por el hecho de haber recibido recursos públicos. </w:t>
      </w:r>
    </w:p>
    <w:p w14:paraId="39AF5BD5" w14:textId="77777777" w:rsidR="00DD4649" w:rsidRPr="00754DAB" w:rsidRDefault="00DD4649" w:rsidP="00DD4649">
      <w:pPr>
        <w:spacing w:line="360" w:lineRule="auto"/>
        <w:contextualSpacing/>
        <w:jc w:val="both"/>
        <w:rPr>
          <w:rFonts w:ascii="Palatino Linotype" w:hAnsi="Palatino Linotype"/>
          <w:sz w:val="24"/>
        </w:rPr>
      </w:pPr>
    </w:p>
    <w:p w14:paraId="1762CAA1" w14:textId="77777777" w:rsidR="00DD4649" w:rsidRPr="00754DAB" w:rsidRDefault="00DD4649" w:rsidP="00DD4649">
      <w:pPr>
        <w:numPr>
          <w:ilvl w:val="0"/>
          <w:numId w:val="2"/>
        </w:numPr>
        <w:spacing w:line="360" w:lineRule="auto"/>
        <w:ind w:left="-5" w:right="44" w:firstLine="0"/>
        <w:contextualSpacing/>
        <w:jc w:val="both"/>
        <w:rPr>
          <w:rFonts w:ascii="Palatino Linotype" w:hAnsi="Palatino Linotype"/>
          <w:sz w:val="24"/>
        </w:rPr>
      </w:pPr>
      <w:r w:rsidRPr="00754DAB">
        <w:rPr>
          <w:rFonts w:ascii="Palatino Linotype" w:hAnsi="Palatino Linotype"/>
          <w:sz w:val="24"/>
        </w:rPr>
        <w:t xml:space="preserve">Esto nos lleva a que la decisión tuvo consecuencias más allá </w:t>
      </w:r>
      <w:r w:rsidRPr="00754DAB">
        <w:rPr>
          <w:rFonts w:ascii="Palatino Linotype" w:hAnsi="Palatino Linotype"/>
          <w:b/>
          <w:sz w:val="24"/>
        </w:rPr>
        <w:t>del ámbito personal del demandante y, al haber la entrega de recursos públicos</w:t>
      </w:r>
      <w:r w:rsidRPr="00754DAB">
        <w:rPr>
          <w:rFonts w:ascii="Palatino Linotype" w:hAnsi="Palatino Linotype"/>
          <w:sz w:val="24"/>
        </w:rPr>
        <w:t xml:space="preserve">, y se trata de información que se debe hacer pública, ya que existe interés público en conocer la forma en que se ejercen los recursos y porque simple y sencillamente existe disposición legal que obliga a la entrega de la información. </w:t>
      </w:r>
    </w:p>
    <w:p w14:paraId="44044A92" w14:textId="77777777" w:rsidR="00DD4649" w:rsidRPr="00754DAB" w:rsidRDefault="00DD4649" w:rsidP="00DD4649">
      <w:pPr>
        <w:spacing w:line="360" w:lineRule="auto"/>
        <w:jc w:val="both"/>
        <w:rPr>
          <w:rFonts w:ascii="Palatino Linotype" w:hAnsi="Palatino Linotype"/>
          <w:sz w:val="24"/>
        </w:rPr>
      </w:pPr>
      <w:r w:rsidRPr="00754DAB">
        <w:rPr>
          <w:rFonts w:ascii="Palatino Linotype" w:hAnsi="Palatino Linotype"/>
          <w:sz w:val="24"/>
        </w:rPr>
        <w:t xml:space="preserve"> </w:t>
      </w:r>
    </w:p>
    <w:p w14:paraId="73AD92D6" w14:textId="77777777" w:rsidR="00DD4649" w:rsidRPr="00754DAB" w:rsidRDefault="00DD4649" w:rsidP="00DD4649">
      <w:pPr>
        <w:numPr>
          <w:ilvl w:val="0"/>
          <w:numId w:val="2"/>
        </w:numPr>
        <w:spacing w:line="360" w:lineRule="auto"/>
        <w:ind w:left="-5" w:right="44" w:firstLine="0"/>
        <w:contextualSpacing/>
        <w:jc w:val="both"/>
        <w:rPr>
          <w:rFonts w:ascii="Palatino Linotype" w:hAnsi="Palatino Linotype"/>
          <w:sz w:val="24"/>
        </w:rPr>
      </w:pPr>
      <w:r w:rsidRPr="00754DAB">
        <w:rPr>
          <w:rFonts w:ascii="Palatino Linotype" w:hAnsi="Palatino Linotype"/>
          <w:sz w:val="24"/>
        </w:rPr>
        <w:t xml:space="preserve">Asimismo, se advierte que de haber causado estado la demanda o demandas, es información, cuya publicidad, puede abonar en la transparencia y rendición de cuentas; por tanto, es necesario, atraer al estudio el Criterio 19/13 emitido por el Instituto Nacional de Transparencia, Acceso a la Información y Protección de Datos Personales (INAI), antes IFAI, que es del tenor literal siguiente: </w:t>
      </w:r>
    </w:p>
    <w:p w14:paraId="64E706BD" w14:textId="77777777" w:rsidR="00DD4649" w:rsidRPr="00754DAB" w:rsidRDefault="00DD4649" w:rsidP="00DD4649">
      <w:pPr>
        <w:spacing w:line="360" w:lineRule="auto"/>
        <w:jc w:val="both"/>
        <w:rPr>
          <w:rFonts w:ascii="Palatino Linotype" w:hAnsi="Palatino Linotype"/>
        </w:rPr>
      </w:pPr>
      <w:r w:rsidRPr="00754DAB">
        <w:rPr>
          <w:rFonts w:ascii="Palatino Linotype" w:hAnsi="Palatino Linotype"/>
        </w:rPr>
        <w:t xml:space="preserve"> </w:t>
      </w:r>
    </w:p>
    <w:p w14:paraId="0DFA6930" w14:textId="77777777" w:rsidR="00DD4649" w:rsidRPr="00754DAB" w:rsidRDefault="00DD4649" w:rsidP="00DD4649">
      <w:pPr>
        <w:spacing w:line="360" w:lineRule="auto"/>
        <w:ind w:left="561" w:right="583"/>
        <w:jc w:val="both"/>
        <w:rPr>
          <w:rFonts w:ascii="Palatino Linotype" w:hAnsi="Palatino Linotype"/>
          <w:sz w:val="22"/>
        </w:rPr>
      </w:pPr>
      <w:r w:rsidRPr="00754DAB">
        <w:rPr>
          <w:rFonts w:ascii="Palatino Linotype" w:eastAsia="Palatino Linotype" w:hAnsi="Palatino Linotype" w:cs="Palatino Linotype"/>
          <w:b/>
          <w:i/>
          <w:sz w:val="22"/>
        </w:rPr>
        <w:t>“Nombre de actores en juicios laborales constituye, en principio, información confidencial</w:t>
      </w:r>
      <w:r w:rsidRPr="00754DAB">
        <w:rPr>
          <w:rFonts w:ascii="Palatino Linotype" w:eastAsia="Palatino Linotype" w:hAnsi="Palatino Linotype" w:cs="Palatino Linotype"/>
          <w:i/>
          <w:sz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w:t>
      </w:r>
      <w:r w:rsidRPr="00754DAB">
        <w:rPr>
          <w:rFonts w:ascii="Palatino Linotype" w:eastAsia="Palatino Linotype" w:hAnsi="Palatino Linotype" w:cs="Palatino Linotype"/>
          <w:i/>
          <w:sz w:val="22"/>
        </w:rPr>
        <w:lastRenderedPageBreak/>
        <w:t xml:space="preserve">éste permite identificar a los actores que presentaron una demanda laboral y participan en un juicio, </w:t>
      </w:r>
      <w:r w:rsidRPr="00754DAB">
        <w:rPr>
          <w:rFonts w:ascii="Palatino Linotype" w:eastAsia="Palatino Linotype" w:hAnsi="Palatino Linotype" w:cs="Palatino Linotype"/>
          <w:b/>
          <w:i/>
          <w:sz w:val="22"/>
          <w:u w:val="single"/>
        </w:rPr>
        <w:t>lo cual constituye una decisión personal que refleja un acto de voluntad de quien lo realiza.</w:t>
      </w:r>
      <w:r w:rsidRPr="00754DAB">
        <w:rPr>
          <w:rFonts w:ascii="Palatino Linotype" w:eastAsia="Palatino Linotype" w:hAnsi="Palatino Linotype" w:cs="Palatino Linotype"/>
          <w:i/>
          <w:sz w:val="22"/>
        </w:rPr>
        <w:t xml:space="preserve"> En efecto, las acciones legales que emprenden los actores en el ejercicio de sus derechos laborales hacen evidente la posición jurídica en la cual </w:t>
      </w:r>
      <w:r w:rsidRPr="00754DAB">
        <w:rPr>
          <w:rFonts w:ascii="Palatino Linotype" w:eastAsia="Palatino Linotype" w:hAnsi="Palatino Linotype" w:cs="Palatino Linotype"/>
          <w:b/>
          <w:i/>
          <w:sz w:val="22"/>
          <w:u w:val="single"/>
        </w:rPr>
        <w:t>se han colocado por decisión propia, con relación a determinados órganos de gobierno, para la obtención de algunas prestaciones laborales o económicas, lo cual constituye cuestiones de carácter estrictamente privado.</w:t>
      </w:r>
      <w:r w:rsidRPr="00754DAB">
        <w:rPr>
          <w:rFonts w:ascii="Palatino Linotype" w:eastAsia="Palatino Linotype" w:hAnsi="Palatino Linotype" w:cs="Palatino Linotype"/>
          <w:i/>
          <w:sz w:val="22"/>
        </w:rPr>
        <w:t xml:space="preserve">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w:t>
      </w:r>
      <w:r w:rsidRPr="00754DAB">
        <w:rPr>
          <w:rFonts w:ascii="Palatino Linotype" w:eastAsia="Palatino Linotype" w:hAnsi="Palatino Linotype" w:cs="Palatino Linotype"/>
          <w:b/>
          <w:i/>
          <w:sz w:val="22"/>
        </w:rPr>
        <w:t>en definitiva, se haya condenado a una dependencia o entidad al pago de las prestaciones económicas reclamadas o la reinstalación del servidor público</w:t>
      </w:r>
      <w:r w:rsidRPr="00754DAB">
        <w:rPr>
          <w:rFonts w:ascii="Palatino Linotype" w:eastAsia="Palatino Linotype" w:hAnsi="Palatino Linotype" w:cs="Palatino Linotype"/>
          <w:i/>
          <w:sz w:val="22"/>
        </w:rPr>
        <w:t xml:space="preserve">,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w:t>
      </w:r>
      <w:r w:rsidRPr="00754DAB">
        <w:rPr>
          <w:rFonts w:ascii="Palatino Linotype" w:eastAsia="Palatino Linotype" w:hAnsi="Palatino Linotype" w:cs="Palatino Linotype"/>
          <w:b/>
          <w:i/>
          <w:sz w:val="22"/>
        </w:rPr>
        <w:t>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5AA218D3" w14:textId="77777777" w:rsidR="00DD4649" w:rsidRPr="00754DAB" w:rsidRDefault="00DD4649" w:rsidP="00DD4649">
      <w:pPr>
        <w:tabs>
          <w:tab w:val="center" w:pos="1084"/>
          <w:tab w:val="center" w:pos="3296"/>
        </w:tabs>
        <w:spacing w:line="360" w:lineRule="auto"/>
        <w:jc w:val="both"/>
        <w:rPr>
          <w:rFonts w:ascii="Palatino Linotype" w:hAnsi="Palatino Linotype"/>
          <w:sz w:val="22"/>
        </w:rPr>
      </w:pPr>
      <w:r w:rsidRPr="00754DAB">
        <w:rPr>
          <w:rFonts w:ascii="Palatino Linotype" w:eastAsia="Calibri" w:hAnsi="Palatino Linotype" w:cs="Calibri"/>
          <w:sz w:val="22"/>
        </w:rPr>
        <w:lastRenderedPageBreak/>
        <w:tab/>
      </w:r>
      <w:r w:rsidRPr="00754DAB">
        <w:rPr>
          <w:rFonts w:ascii="Palatino Linotype" w:eastAsia="Palatino Linotype" w:hAnsi="Palatino Linotype" w:cs="Palatino Linotype"/>
          <w:i/>
          <w:sz w:val="22"/>
        </w:rPr>
        <w:t xml:space="preserve">Resoluciones  </w:t>
      </w:r>
      <w:r w:rsidRPr="00754DAB">
        <w:rPr>
          <w:rFonts w:ascii="Palatino Linotype" w:eastAsia="Palatino Linotype" w:hAnsi="Palatino Linotype" w:cs="Palatino Linotype"/>
          <w:i/>
          <w:sz w:val="22"/>
        </w:rPr>
        <w:tab/>
        <w:t xml:space="preserve"> </w:t>
      </w:r>
    </w:p>
    <w:p w14:paraId="179F2DF2" w14:textId="77777777" w:rsidR="00DD4649" w:rsidRPr="00754DAB" w:rsidRDefault="00DD4649" w:rsidP="00DD4649">
      <w:pPr>
        <w:numPr>
          <w:ilvl w:val="0"/>
          <w:numId w:val="36"/>
        </w:numPr>
        <w:spacing w:line="360" w:lineRule="auto"/>
        <w:ind w:right="589" w:hanging="360"/>
        <w:jc w:val="both"/>
        <w:rPr>
          <w:rFonts w:ascii="Palatino Linotype" w:hAnsi="Palatino Linotype"/>
          <w:sz w:val="22"/>
        </w:rPr>
      </w:pPr>
      <w:r w:rsidRPr="00754DAB">
        <w:rPr>
          <w:rFonts w:ascii="Palatino Linotype" w:eastAsia="Palatino Linotype" w:hAnsi="Palatino Linotype" w:cs="Palatino Linotype"/>
          <w:i/>
          <w:sz w:val="22"/>
        </w:rPr>
        <w:t xml:space="preserve">RDA 0933/13. Interpuesto en contra del Instituto Mexicano del Seguro Social. Comisionada Ponente María Elena Pérez-Jaén Zermeño.  </w:t>
      </w:r>
    </w:p>
    <w:p w14:paraId="50B267D7" w14:textId="77777777" w:rsidR="00DD4649" w:rsidRPr="00754DAB" w:rsidRDefault="00DD4649" w:rsidP="00DD4649">
      <w:pPr>
        <w:numPr>
          <w:ilvl w:val="0"/>
          <w:numId w:val="36"/>
        </w:numPr>
        <w:spacing w:line="360" w:lineRule="auto"/>
        <w:ind w:right="589" w:hanging="360"/>
        <w:jc w:val="both"/>
        <w:rPr>
          <w:rFonts w:ascii="Palatino Linotype" w:hAnsi="Palatino Linotype"/>
          <w:sz w:val="22"/>
        </w:rPr>
      </w:pPr>
      <w:r w:rsidRPr="00754DAB">
        <w:rPr>
          <w:rFonts w:ascii="Palatino Linotype" w:eastAsia="Palatino Linotype" w:hAnsi="Palatino Linotype" w:cs="Palatino Linotype"/>
          <w:i/>
          <w:sz w:val="22"/>
        </w:rPr>
        <w:t xml:space="preserve">RDA 4601/12. Interpuesto en contra de la Comisión Nacional Forestal. Comisionada Ponente María Elena Pérez-Jaén Zermeño.  </w:t>
      </w:r>
    </w:p>
    <w:p w14:paraId="67469585" w14:textId="77777777" w:rsidR="00DD4649" w:rsidRPr="00754DAB" w:rsidRDefault="00DD4649" w:rsidP="00DD4649">
      <w:pPr>
        <w:numPr>
          <w:ilvl w:val="0"/>
          <w:numId w:val="36"/>
        </w:numPr>
        <w:spacing w:line="360" w:lineRule="auto"/>
        <w:ind w:right="589" w:hanging="360"/>
        <w:jc w:val="both"/>
        <w:rPr>
          <w:rFonts w:ascii="Palatino Linotype" w:hAnsi="Palatino Linotype"/>
          <w:sz w:val="22"/>
        </w:rPr>
      </w:pPr>
      <w:r w:rsidRPr="00754DAB">
        <w:rPr>
          <w:rFonts w:ascii="Palatino Linotype" w:eastAsia="Palatino Linotype" w:hAnsi="Palatino Linotype" w:cs="Palatino Linotype"/>
          <w:i/>
          <w:sz w:val="22"/>
        </w:rPr>
        <w:t xml:space="preserve">RDA 4196/12. Interpuesto en contra de la Secretaría de Desarrollo Agrario, Territorial y Urbano. Comisionada Ponente María Elena Pérez-Jaén Zermeño.  </w:t>
      </w:r>
    </w:p>
    <w:p w14:paraId="19E2F72B" w14:textId="77777777" w:rsidR="00DD4649" w:rsidRPr="00754DAB" w:rsidRDefault="00DD4649" w:rsidP="00DD4649">
      <w:pPr>
        <w:numPr>
          <w:ilvl w:val="0"/>
          <w:numId w:val="36"/>
        </w:numPr>
        <w:spacing w:line="360" w:lineRule="auto"/>
        <w:ind w:right="589" w:hanging="360"/>
        <w:jc w:val="both"/>
        <w:rPr>
          <w:rFonts w:ascii="Palatino Linotype" w:hAnsi="Palatino Linotype"/>
          <w:sz w:val="22"/>
        </w:rPr>
      </w:pPr>
      <w:r w:rsidRPr="00754DAB">
        <w:rPr>
          <w:rFonts w:ascii="Palatino Linotype" w:eastAsia="Palatino Linotype" w:hAnsi="Palatino Linotype" w:cs="Palatino Linotype"/>
          <w:i/>
          <w:sz w:val="22"/>
        </w:rPr>
        <w:t xml:space="preserve">RDA 4145/12. Interpuesto en contra de la Comisión Nacional Forestal. Comisionado Ponente Gerardo </w:t>
      </w:r>
      <w:proofErr w:type="spellStart"/>
      <w:r w:rsidRPr="00754DAB">
        <w:rPr>
          <w:rFonts w:ascii="Palatino Linotype" w:eastAsia="Palatino Linotype" w:hAnsi="Palatino Linotype" w:cs="Palatino Linotype"/>
          <w:i/>
          <w:sz w:val="22"/>
        </w:rPr>
        <w:t>Laveaga</w:t>
      </w:r>
      <w:proofErr w:type="spellEnd"/>
      <w:r w:rsidRPr="00754DAB">
        <w:rPr>
          <w:rFonts w:ascii="Palatino Linotype" w:eastAsia="Palatino Linotype" w:hAnsi="Palatino Linotype" w:cs="Palatino Linotype"/>
          <w:i/>
          <w:sz w:val="22"/>
        </w:rPr>
        <w:t xml:space="preserve"> Rendón.  </w:t>
      </w:r>
    </w:p>
    <w:p w14:paraId="3330FD05" w14:textId="77777777" w:rsidR="00DD4649" w:rsidRPr="00754DAB" w:rsidRDefault="00DD4649" w:rsidP="00DD4649">
      <w:pPr>
        <w:spacing w:line="360" w:lineRule="auto"/>
        <w:ind w:left="561" w:right="589"/>
        <w:jc w:val="both"/>
        <w:rPr>
          <w:rFonts w:ascii="Palatino Linotype" w:hAnsi="Palatino Linotype"/>
          <w:sz w:val="22"/>
        </w:rPr>
      </w:pPr>
      <w:r w:rsidRPr="00754DAB">
        <w:rPr>
          <w:rFonts w:ascii="Palatino Linotype" w:eastAsia="Segoe UI Symbol" w:hAnsi="Palatino Linotype" w:cs="Segoe UI Symbol"/>
          <w:sz w:val="22"/>
        </w:rPr>
        <w:t>•</w:t>
      </w:r>
      <w:r w:rsidRPr="00754DAB">
        <w:rPr>
          <w:rFonts w:ascii="Palatino Linotype" w:eastAsia="Palatino Linotype" w:hAnsi="Palatino Linotype" w:cs="Palatino Linotype"/>
          <w:i/>
          <w:sz w:val="22"/>
        </w:rPr>
        <w:t xml:space="preserve">RDA 4098/12. Interpuesto en contra de la Procuraduría Federal del Consumidor. Comisionado </w:t>
      </w:r>
    </w:p>
    <w:p w14:paraId="79677ED5" w14:textId="77777777" w:rsidR="00DD4649" w:rsidRPr="00754DAB" w:rsidRDefault="00DD4649" w:rsidP="00DD4649">
      <w:pPr>
        <w:spacing w:line="360" w:lineRule="auto"/>
        <w:ind w:left="561" w:right="589"/>
        <w:jc w:val="both"/>
        <w:rPr>
          <w:rFonts w:ascii="Palatino Linotype" w:hAnsi="Palatino Linotype"/>
          <w:sz w:val="22"/>
        </w:rPr>
      </w:pPr>
      <w:r w:rsidRPr="00754DAB">
        <w:rPr>
          <w:rFonts w:ascii="Palatino Linotype" w:eastAsia="Palatino Linotype" w:hAnsi="Palatino Linotype" w:cs="Palatino Linotype"/>
          <w:i/>
          <w:sz w:val="22"/>
        </w:rPr>
        <w:t xml:space="preserve">Ponente Ángel Trinidad Zaldívar. </w:t>
      </w:r>
    </w:p>
    <w:p w14:paraId="12799F4D" w14:textId="77777777" w:rsidR="00DD4649" w:rsidRPr="00754DAB" w:rsidRDefault="00DD4649" w:rsidP="00DD4649">
      <w:pPr>
        <w:spacing w:line="360" w:lineRule="auto"/>
        <w:jc w:val="both"/>
        <w:rPr>
          <w:rFonts w:ascii="Palatino Linotype" w:hAnsi="Palatino Linotype"/>
        </w:rPr>
      </w:pPr>
      <w:r w:rsidRPr="00754DAB">
        <w:rPr>
          <w:rFonts w:ascii="Palatino Linotype" w:hAnsi="Palatino Linotype"/>
        </w:rPr>
        <w:t xml:space="preserve"> </w:t>
      </w:r>
    </w:p>
    <w:p w14:paraId="5EE1126E" w14:textId="77777777" w:rsidR="00DD4649" w:rsidRPr="00754DAB" w:rsidRDefault="00DD4649" w:rsidP="00DD4649">
      <w:pPr>
        <w:numPr>
          <w:ilvl w:val="0"/>
          <w:numId w:val="2"/>
        </w:numPr>
        <w:spacing w:line="360" w:lineRule="auto"/>
        <w:ind w:left="0" w:right="44" w:firstLine="0"/>
        <w:contextualSpacing/>
        <w:jc w:val="both"/>
        <w:rPr>
          <w:rFonts w:ascii="Palatino Linotype" w:hAnsi="Palatino Linotype"/>
          <w:sz w:val="24"/>
        </w:rPr>
      </w:pPr>
      <w:r w:rsidRPr="00754DAB">
        <w:rPr>
          <w:rFonts w:ascii="Palatino Linotype" w:hAnsi="Palatino Linotype"/>
          <w:sz w:val="24"/>
        </w:rPr>
        <w:t>En atención al Criterio de referencia, se desprende que la decisión propia, con relación a determinados órganos de gobierno, para la obtención de algunas prestaciones laborales o económicas, constituye cuestiones de</w:t>
      </w:r>
      <w:r w:rsidRPr="00754DAB">
        <w:rPr>
          <w:rFonts w:ascii="Palatino Linotype" w:hAnsi="Palatino Linotype"/>
          <w:b/>
          <w:sz w:val="24"/>
        </w:rPr>
        <w:t xml:space="preserve"> carácter estrictamente privado</w:t>
      </w:r>
      <w:r w:rsidRPr="00754DAB">
        <w:rPr>
          <w:rFonts w:ascii="Palatino Linotype" w:hAnsi="Palatino Linotype"/>
          <w:sz w:val="24"/>
        </w:rPr>
        <w:t xml:space="preserve">, por lo que los procedimientos laborales, que se encuentren en trámite, o bien que se concluyeran desfavorables a ellos, corresponde a información confidencial; sin embargo, procede su entrega, siempre que culmine con la entrega a favor de los actores de recurso público, pues se favorece la rendición de cuentas y se puede </w:t>
      </w:r>
      <w:r w:rsidRPr="00754DAB">
        <w:rPr>
          <w:rFonts w:ascii="Palatino Linotype" w:hAnsi="Palatino Linotype"/>
          <w:sz w:val="24"/>
        </w:rPr>
        <w:lastRenderedPageBreak/>
        <w:t xml:space="preserve">verificar el cumplimiento que el </w:t>
      </w:r>
      <w:r w:rsidRPr="00754DAB">
        <w:rPr>
          <w:rFonts w:ascii="Palatino Linotype" w:hAnsi="Palatino Linotype"/>
          <w:b/>
          <w:sz w:val="24"/>
        </w:rPr>
        <w:t>SUJETO OBLIGADO</w:t>
      </w:r>
      <w:r w:rsidRPr="00754DAB">
        <w:rPr>
          <w:rFonts w:ascii="Palatino Linotype" w:hAnsi="Palatino Linotype"/>
          <w:sz w:val="24"/>
        </w:rPr>
        <w:t xml:space="preserve"> de a las resoluciones o convenios suscritos ante la autoridad laboral.</w:t>
      </w:r>
    </w:p>
    <w:p w14:paraId="16B5F2FA" w14:textId="77777777" w:rsidR="00DD4649" w:rsidRDefault="00DD4649" w:rsidP="00B115A9">
      <w:pPr>
        <w:pStyle w:val="Prrafodelista"/>
        <w:tabs>
          <w:tab w:val="left" w:pos="567"/>
        </w:tabs>
        <w:spacing w:line="360" w:lineRule="auto"/>
        <w:ind w:left="0"/>
        <w:jc w:val="both"/>
        <w:rPr>
          <w:rFonts w:ascii="Palatino Linotype" w:eastAsia="Calibri" w:hAnsi="Palatino Linotype" w:cs="Arial"/>
          <w:sz w:val="24"/>
        </w:rPr>
      </w:pPr>
    </w:p>
    <w:p w14:paraId="5C12C73D" w14:textId="12BC0244" w:rsidR="001C7824" w:rsidRPr="00973A51" w:rsidRDefault="00FC4B62" w:rsidP="001C782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73A51">
        <w:rPr>
          <w:rFonts w:ascii="Palatino Linotype" w:eastAsia="Calibri" w:hAnsi="Palatino Linotype" w:cs="Arial"/>
          <w:sz w:val="24"/>
        </w:rPr>
        <w:t>En el presente asunto en particular</w:t>
      </w:r>
      <w:r w:rsidR="000F68E3" w:rsidRPr="00973A51">
        <w:rPr>
          <w:rFonts w:ascii="Palatino Linotype" w:eastAsia="Calibri" w:hAnsi="Palatino Linotype" w:cs="Arial"/>
          <w:sz w:val="24"/>
        </w:rPr>
        <w:t>, el Sujeto Obligado manifestó que los 14 juicios laborales del dos mil veintidós, se encuentran en trámite, por lo que la información relativa al nombre de los actores es susceptible de clasificarse, en tanto no hayan concluido con un l</w:t>
      </w:r>
      <w:r w:rsidR="001C7824" w:rsidRPr="00973A51">
        <w:rPr>
          <w:rFonts w:ascii="Palatino Linotype" w:eastAsia="Calibri" w:hAnsi="Palatino Linotype" w:cs="Arial"/>
          <w:sz w:val="24"/>
        </w:rPr>
        <w:t xml:space="preserve">audo a favor de los demandantes, por lo que, si en las documentales a entregar en cumplimiento a la presente resolución incluyen el nombre de los </w:t>
      </w:r>
      <w:proofErr w:type="spellStart"/>
      <w:r w:rsidR="00B13FBA" w:rsidRPr="00973A51">
        <w:rPr>
          <w:rFonts w:ascii="Palatino Linotype" w:eastAsia="Calibri" w:hAnsi="Palatino Linotype" w:cs="Arial"/>
          <w:sz w:val="24"/>
        </w:rPr>
        <w:t>promoventes</w:t>
      </w:r>
      <w:proofErr w:type="spellEnd"/>
      <w:r w:rsidR="001C7824" w:rsidRPr="00973A51">
        <w:rPr>
          <w:rFonts w:ascii="Palatino Linotype" w:eastAsia="Calibri" w:hAnsi="Palatino Linotype" w:cs="Arial"/>
          <w:sz w:val="24"/>
        </w:rPr>
        <w:t>, el Sujeto Obligado deberá elaborar las vers</w:t>
      </w:r>
      <w:r w:rsidR="00B13FBA" w:rsidRPr="00973A51">
        <w:rPr>
          <w:rFonts w:ascii="Palatino Linotype" w:eastAsia="Calibri" w:hAnsi="Palatino Linotype" w:cs="Arial"/>
          <w:sz w:val="24"/>
        </w:rPr>
        <w:t>iones públicas correspondientes,</w:t>
      </w:r>
      <w:r w:rsidR="001C7824" w:rsidRPr="00973A51">
        <w:rPr>
          <w:rFonts w:ascii="Palatino Linotype" w:eastAsia="Calibri" w:hAnsi="Palatino Linotype" w:cs="Arial"/>
          <w:sz w:val="24"/>
        </w:rPr>
        <w:t xml:space="preserve"> </w:t>
      </w:r>
      <w:r w:rsidR="00B13FBA" w:rsidRPr="00973A51">
        <w:rPr>
          <w:rFonts w:ascii="Palatino Linotype" w:eastAsia="Calibri" w:hAnsi="Palatino Linotype" w:cs="Arial"/>
          <w:sz w:val="24"/>
        </w:rPr>
        <w:t>a</w:t>
      </w:r>
      <w:r w:rsidR="001C7824" w:rsidRPr="00973A51">
        <w:rPr>
          <w:rFonts w:ascii="Palatino Linotype" w:eastAsia="Calibri" w:hAnsi="Palatino Linotype" w:cs="Arial"/>
          <w:sz w:val="24"/>
        </w:rPr>
        <w:t xml:space="preserve"> fin de testar dicha información por actualizar una causal de clasificación, esto en razón de que, si bien es cierto, el Sujeto Obligado en su respuesta clasificó en su totalidad la información que obra en los expedientes, tal y como se ha demostrado en líneas an</w:t>
      </w:r>
      <w:r w:rsidR="00B13FBA" w:rsidRPr="00973A51">
        <w:rPr>
          <w:rFonts w:ascii="Palatino Linotype" w:eastAsia="Calibri" w:hAnsi="Palatino Linotype" w:cs="Arial"/>
          <w:sz w:val="24"/>
        </w:rPr>
        <w:t>teriores, dicha clasificación resultó</w:t>
      </w:r>
      <w:r w:rsidR="001C7824" w:rsidRPr="00973A51">
        <w:rPr>
          <w:rFonts w:ascii="Palatino Linotype" w:eastAsia="Calibri" w:hAnsi="Palatino Linotype" w:cs="Arial"/>
          <w:sz w:val="24"/>
        </w:rPr>
        <w:t xml:space="preserve"> improcedente; sin embargo, por lo que corresponde al nombre, es necesario que el Sujeto Obligado, en las documentales a entregar, de ser el caso que contengan dicha información, se </w:t>
      </w:r>
      <w:r w:rsidR="00B13FBA" w:rsidRPr="00973A51">
        <w:rPr>
          <w:rFonts w:ascii="Palatino Linotype" w:eastAsia="Calibri" w:hAnsi="Palatino Linotype" w:cs="Arial"/>
          <w:sz w:val="24"/>
        </w:rPr>
        <w:t>elaboren versiones públicas</w:t>
      </w:r>
      <w:r w:rsidR="001C7824" w:rsidRPr="00973A51">
        <w:rPr>
          <w:rFonts w:ascii="Palatino Linotype" w:eastAsia="Calibri" w:hAnsi="Palatino Linotype" w:cs="Arial"/>
          <w:sz w:val="24"/>
        </w:rPr>
        <w:t>, a efecto de no proporcionar información clasificada acorde con lo ahora expuesto.</w:t>
      </w:r>
    </w:p>
    <w:p w14:paraId="2DB94F65" w14:textId="77777777" w:rsidR="000F68E3" w:rsidRPr="000F68E3" w:rsidRDefault="000F68E3" w:rsidP="000F68E3">
      <w:pPr>
        <w:pStyle w:val="Prrafodelista"/>
        <w:rPr>
          <w:rFonts w:ascii="Palatino Linotype" w:eastAsia="Calibri" w:hAnsi="Palatino Linotype" w:cs="Arial"/>
          <w:sz w:val="24"/>
        </w:rPr>
      </w:pPr>
    </w:p>
    <w:p w14:paraId="559979B9" w14:textId="57F3C4C4" w:rsidR="00207799" w:rsidRPr="00207799" w:rsidRDefault="00BD4831" w:rsidP="0020779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Ahora bien, </w:t>
      </w:r>
      <w:r w:rsidR="00207799">
        <w:rPr>
          <w:rFonts w:ascii="Palatino Linotype" w:eastAsia="Calibri" w:hAnsi="Palatino Linotype" w:cs="Arial"/>
          <w:sz w:val="24"/>
        </w:rPr>
        <w:t xml:space="preserve">por lo que corresponde al motivo de separación del cargo, como bien se ha referido en líneas anteriores, de acuerdo a la Ley del Trabajo de los Servidores </w:t>
      </w:r>
      <w:r w:rsidR="00207799">
        <w:rPr>
          <w:rFonts w:ascii="Palatino Linotype" w:eastAsia="Calibri" w:hAnsi="Palatino Linotype" w:cs="Arial"/>
          <w:sz w:val="24"/>
        </w:rPr>
        <w:lastRenderedPageBreak/>
        <w:t>Públicos del Estado y Municipios, se establece una relación laboral por contrato, formato único de movimientos de personal o nombramiento, dicha normatividad establece de la misma manera las causas de la rescisión laboral , por lo que es necesario traer a contexto el artículo 89, 92, 93, 95 y 96 los cuales contienen lo siguiente:</w:t>
      </w:r>
    </w:p>
    <w:p w14:paraId="16D22D70" w14:textId="77777777" w:rsidR="00BD4831" w:rsidRDefault="00BD4831" w:rsidP="00BD4831">
      <w:pPr>
        <w:pStyle w:val="Prrafodelista"/>
        <w:rPr>
          <w:rFonts w:ascii="Palatino Linotype" w:eastAsia="Calibri" w:hAnsi="Palatino Linotype" w:cs="Arial"/>
          <w:sz w:val="24"/>
        </w:rPr>
      </w:pPr>
    </w:p>
    <w:p w14:paraId="6CB465DB" w14:textId="0EEC6A50" w:rsidR="00207799" w:rsidRPr="00CC1CB7" w:rsidRDefault="00207799" w:rsidP="00CC1CB7">
      <w:pPr>
        <w:pStyle w:val="Prrafodelista"/>
        <w:spacing w:line="360" w:lineRule="auto"/>
        <w:ind w:left="567" w:right="822"/>
        <w:jc w:val="center"/>
        <w:rPr>
          <w:rFonts w:ascii="Palatino Linotype" w:hAnsi="Palatino Linotype"/>
          <w:b/>
          <w:i/>
          <w:szCs w:val="22"/>
        </w:rPr>
      </w:pPr>
      <w:r w:rsidRPr="00CC1CB7">
        <w:rPr>
          <w:rFonts w:ascii="Palatino Linotype" w:hAnsi="Palatino Linotype"/>
          <w:b/>
          <w:i/>
          <w:szCs w:val="22"/>
        </w:rPr>
        <w:t>CAPITULO VII</w:t>
      </w:r>
    </w:p>
    <w:p w14:paraId="280F86EF" w14:textId="1EB72F2B" w:rsidR="00207799" w:rsidRPr="00CC1CB7" w:rsidRDefault="00207799" w:rsidP="00CC1CB7">
      <w:pPr>
        <w:pStyle w:val="Prrafodelista"/>
        <w:spacing w:line="360" w:lineRule="auto"/>
        <w:ind w:left="567" w:right="822"/>
        <w:jc w:val="center"/>
        <w:rPr>
          <w:rFonts w:ascii="Palatino Linotype" w:hAnsi="Palatino Linotype"/>
          <w:b/>
          <w:i/>
          <w:szCs w:val="22"/>
        </w:rPr>
      </w:pPr>
      <w:r w:rsidRPr="00CC1CB7">
        <w:rPr>
          <w:rFonts w:ascii="Palatino Linotype" w:hAnsi="Palatino Linotype"/>
          <w:b/>
          <w:i/>
          <w:szCs w:val="22"/>
        </w:rPr>
        <w:t>De la Terminación de la Relación Laboral</w:t>
      </w:r>
    </w:p>
    <w:p w14:paraId="1822EF76" w14:textId="77777777" w:rsidR="00207799" w:rsidRPr="00CC1CB7" w:rsidRDefault="00207799" w:rsidP="00CC1CB7">
      <w:pPr>
        <w:pStyle w:val="Prrafodelista"/>
        <w:spacing w:line="360" w:lineRule="auto"/>
        <w:ind w:left="567" w:right="822"/>
        <w:rPr>
          <w:rFonts w:ascii="Palatino Linotype" w:hAnsi="Palatino Linotype"/>
          <w:i/>
          <w:szCs w:val="22"/>
        </w:rPr>
      </w:pPr>
    </w:p>
    <w:p w14:paraId="46CBC83D" w14:textId="77777777" w:rsidR="00CC1CB7" w:rsidRPr="00CC1CB7" w:rsidRDefault="00207799" w:rsidP="00CC1CB7">
      <w:pPr>
        <w:pStyle w:val="Prrafodelista"/>
        <w:spacing w:line="360" w:lineRule="auto"/>
        <w:ind w:left="567" w:right="822"/>
        <w:rPr>
          <w:rFonts w:ascii="Palatino Linotype" w:hAnsi="Palatino Linotype"/>
          <w:i/>
          <w:szCs w:val="22"/>
        </w:rPr>
      </w:pPr>
      <w:r w:rsidRPr="00CC1CB7">
        <w:rPr>
          <w:rFonts w:ascii="Palatino Linotype" w:hAnsi="Palatino Linotype"/>
          <w:b/>
          <w:i/>
          <w:szCs w:val="22"/>
        </w:rPr>
        <w:t>ARTÍCULO 89.</w:t>
      </w:r>
      <w:r w:rsidRPr="00CC1CB7">
        <w:rPr>
          <w:rFonts w:ascii="Palatino Linotype" w:hAnsi="Palatino Linotype"/>
          <w:i/>
          <w:szCs w:val="22"/>
        </w:rPr>
        <w:t xml:space="preserve"> Son causas de terminación de la relación laboral sin responsabilidad para las instituciones públicas: </w:t>
      </w:r>
    </w:p>
    <w:p w14:paraId="75B107D1" w14:textId="77777777" w:rsidR="00CC1CB7" w:rsidRPr="00CC1CB7" w:rsidRDefault="00207799" w:rsidP="00CC1CB7">
      <w:pPr>
        <w:pStyle w:val="Prrafodelista"/>
        <w:spacing w:line="360" w:lineRule="auto"/>
        <w:ind w:left="567" w:right="822"/>
        <w:rPr>
          <w:rFonts w:ascii="Palatino Linotype" w:hAnsi="Palatino Linotype"/>
          <w:i/>
          <w:szCs w:val="22"/>
        </w:rPr>
      </w:pPr>
      <w:r w:rsidRPr="00CC1CB7">
        <w:rPr>
          <w:rFonts w:ascii="Palatino Linotype" w:hAnsi="Palatino Linotype"/>
          <w:i/>
          <w:szCs w:val="22"/>
        </w:rPr>
        <w:t xml:space="preserve">I. La renuncia del servidor público; </w:t>
      </w:r>
    </w:p>
    <w:p w14:paraId="5AE278E7" w14:textId="77777777" w:rsidR="00CC1CB7" w:rsidRPr="00CC1CB7" w:rsidRDefault="00207799" w:rsidP="00CC1CB7">
      <w:pPr>
        <w:pStyle w:val="Prrafodelista"/>
        <w:spacing w:line="360" w:lineRule="auto"/>
        <w:ind w:left="567" w:right="822"/>
        <w:rPr>
          <w:rFonts w:ascii="Palatino Linotype" w:hAnsi="Palatino Linotype"/>
          <w:i/>
          <w:szCs w:val="22"/>
        </w:rPr>
      </w:pPr>
      <w:r w:rsidRPr="00CC1CB7">
        <w:rPr>
          <w:rFonts w:ascii="Palatino Linotype" w:hAnsi="Palatino Linotype"/>
          <w:i/>
          <w:szCs w:val="22"/>
        </w:rPr>
        <w:t xml:space="preserve">II. El mutuo consentimiento de las partes; </w:t>
      </w:r>
    </w:p>
    <w:p w14:paraId="5F308E3B" w14:textId="3D452BEE" w:rsidR="00207799" w:rsidRPr="00CC1CB7" w:rsidRDefault="00207799" w:rsidP="00CC1CB7">
      <w:pPr>
        <w:pStyle w:val="Prrafodelista"/>
        <w:spacing w:line="360" w:lineRule="auto"/>
        <w:ind w:left="567" w:right="822"/>
        <w:rPr>
          <w:rFonts w:ascii="Palatino Linotype" w:eastAsia="Calibri" w:hAnsi="Palatino Linotype" w:cs="Arial"/>
          <w:i/>
          <w:szCs w:val="22"/>
        </w:rPr>
      </w:pPr>
      <w:r w:rsidRPr="00CC1CB7">
        <w:rPr>
          <w:rFonts w:ascii="Palatino Linotype" w:hAnsi="Palatino Linotype"/>
          <w:i/>
          <w:szCs w:val="22"/>
        </w:rPr>
        <w:t>III. El vencimiento del término o conclusión de la obra determinantes de la contratación;</w:t>
      </w:r>
    </w:p>
    <w:p w14:paraId="7CA8E16A" w14:textId="77777777" w:rsidR="00CC1CB7" w:rsidRPr="00CC1CB7" w:rsidRDefault="00CC1CB7" w:rsidP="00CC1CB7">
      <w:pPr>
        <w:pStyle w:val="Prrafodelista"/>
        <w:spacing w:line="360" w:lineRule="auto"/>
        <w:ind w:left="567" w:right="822"/>
        <w:rPr>
          <w:rFonts w:ascii="Palatino Linotype" w:hAnsi="Palatino Linotype"/>
          <w:i/>
          <w:szCs w:val="22"/>
        </w:rPr>
      </w:pPr>
      <w:r w:rsidRPr="00CC1CB7">
        <w:rPr>
          <w:rFonts w:ascii="Palatino Linotype" w:hAnsi="Palatino Linotype"/>
          <w:i/>
          <w:szCs w:val="22"/>
        </w:rPr>
        <w:t xml:space="preserve">IV. El término o conclusión de la administración en la cual fue contratado el servidor público a que se refiere el artículo 8 de ésta Ley; </w:t>
      </w:r>
    </w:p>
    <w:p w14:paraId="2886A1DE" w14:textId="77777777" w:rsidR="00CC1CB7" w:rsidRPr="00CC1CB7" w:rsidRDefault="00CC1CB7" w:rsidP="00CC1CB7">
      <w:pPr>
        <w:pStyle w:val="Prrafodelista"/>
        <w:spacing w:line="360" w:lineRule="auto"/>
        <w:ind w:left="567" w:right="822"/>
        <w:rPr>
          <w:rFonts w:ascii="Palatino Linotype" w:hAnsi="Palatino Linotype"/>
          <w:i/>
          <w:szCs w:val="22"/>
        </w:rPr>
      </w:pPr>
      <w:r w:rsidRPr="00CC1CB7">
        <w:rPr>
          <w:rFonts w:ascii="Palatino Linotype" w:hAnsi="Palatino Linotype"/>
          <w:i/>
          <w:szCs w:val="22"/>
        </w:rPr>
        <w:t xml:space="preserve">V. La muerte del servidor público; y </w:t>
      </w:r>
    </w:p>
    <w:p w14:paraId="64CD628B" w14:textId="4FFC8F80" w:rsidR="00207799" w:rsidRPr="00CC1CB7" w:rsidRDefault="00CC1CB7" w:rsidP="00CC1CB7">
      <w:pPr>
        <w:pStyle w:val="Prrafodelista"/>
        <w:spacing w:line="360" w:lineRule="auto"/>
        <w:ind w:left="567" w:right="822"/>
        <w:rPr>
          <w:rFonts w:ascii="Palatino Linotype" w:eastAsia="Calibri" w:hAnsi="Palatino Linotype" w:cs="Arial"/>
          <w:i/>
          <w:szCs w:val="22"/>
        </w:rPr>
      </w:pPr>
      <w:r w:rsidRPr="00CC1CB7">
        <w:rPr>
          <w:rFonts w:ascii="Palatino Linotype" w:hAnsi="Palatino Linotype"/>
          <w:i/>
          <w:szCs w:val="22"/>
        </w:rPr>
        <w:t>VI. La incapacidad permanente del servidor público que le impida el desempeño de sus labores.</w:t>
      </w:r>
    </w:p>
    <w:p w14:paraId="2344571A" w14:textId="74994F9F" w:rsidR="00207799" w:rsidRPr="00CC1CB7" w:rsidRDefault="00207799" w:rsidP="00CC1CB7">
      <w:pPr>
        <w:pStyle w:val="Prrafodelista"/>
        <w:spacing w:line="360" w:lineRule="auto"/>
        <w:ind w:left="567" w:right="822"/>
        <w:jc w:val="center"/>
        <w:rPr>
          <w:rFonts w:ascii="Palatino Linotype" w:hAnsi="Palatino Linotype"/>
          <w:b/>
          <w:i/>
          <w:szCs w:val="22"/>
        </w:rPr>
      </w:pPr>
      <w:r w:rsidRPr="00CC1CB7">
        <w:rPr>
          <w:rFonts w:ascii="Palatino Linotype" w:hAnsi="Palatino Linotype"/>
          <w:b/>
          <w:i/>
          <w:szCs w:val="22"/>
        </w:rPr>
        <w:t>CAPITULO IX</w:t>
      </w:r>
    </w:p>
    <w:p w14:paraId="5087F0AD" w14:textId="0FCE52B8" w:rsidR="00207799" w:rsidRPr="00CC1CB7" w:rsidRDefault="00207799" w:rsidP="00CC1CB7">
      <w:pPr>
        <w:pStyle w:val="Prrafodelista"/>
        <w:spacing w:line="360" w:lineRule="auto"/>
        <w:ind w:left="567" w:right="822"/>
        <w:jc w:val="center"/>
        <w:rPr>
          <w:rFonts w:ascii="Palatino Linotype" w:hAnsi="Palatino Linotype"/>
          <w:b/>
          <w:i/>
          <w:szCs w:val="22"/>
        </w:rPr>
      </w:pPr>
      <w:r w:rsidRPr="00CC1CB7">
        <w:rPr>
          <w:rFonts w:ascii="Palatino Linotype" w:hAnsi="Palatino Linotype"/>
          <w:b/>
          <w:i/>
          <w:szCs w:val="22"/>
        </w:rPr>
        <w:t>De la Rescisión de la Relación Laboral</w:t>
      </w:r>
    </w:p>
    <w:p w14:paraId="2E703F97" w14:textId="77777777" w:rsidR="00207799" w:rsidRPr="00CC1CB7" w:rsidRDefault="00207799" w:rsidP="00CC1CB7">
      <w:pPr>
        <w:pStyle w:val="Prrafodelista"/>
        <w:spacing w:line="360" w:lineRule="auto"/>
        <w:ind w:left="567" w:right="822"/>
        <w:rPr>
          <w:rFonts w:ascii="Palatino Linotype" w:eastAsia="Calibri" w:hAnsi="Palatino Linotype" w:cs="Arial"/>
          <w:i/>
          <w:szCs w:val="22"/>
        </w:rPr>
      </w:pPr>
    </w:p>
    <w:p w14:paraId="42AA3579" w14:textId="04C66FF1" w:rsidR="00BD4831"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b/>
          <w:i/>
          <w:szCs w:val="22"/>
        </w:rPr>
        <w:t>ARTÍCULO 92.</w:t>
      </w:r>
      <w:r w:rsidRPr="00CC1CB7">
        <w:rPr>
          <w:rFonts w:ascii="Palatino Linotype" w:hAnsi="Palatino Linotype"/>
          <w:i/>
          <w:szCs w:val="22"/>
        </w:rPr>
        <w:t xml:space="preserve"> El servidor público o la institución pública podrán rescindir en cualquier tiempo, por causa justificada, la relación laboral.</w:t>
      </w:r>
    </w:p>
    <w:p w14:paraId="4BC12D3E" w14:textId="77777777" w:rsidR="00207799" w:rsidRPr="00CC1CB7" w:rsidRDefault="00207799" w:rsidP="00CC1CB7">
      <w:pPr>
        <w:pStyle w:val="Prrafodelista"/>
        <w:tabs>
          <w:tab w:val="left" w:pos="567"/>
        </w:tabs>
        <w:spacing w:line="360" w:lineRule="auto"/>
        <w:ind w:left="567" w:right="822"/>
        <w:jc w:val="both"/>
        <w:rPr>
          <w:rFonts w:ascii="Palatino Linotype" w:eastAsia="Calibri" w:hAnsi="Palatino Linotype" w:cs="Arial"/>
          <w:i/>
          <w:szCs w:val="22"/>
        </w:rPr>
      </w:pPr>
    </w:p>
    <w:p w14:paraId="7212A0EE"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b/>
          <w:i/>
          <w:szCs w:val="22"/>
        </w:rPr>
        <w:t>ARTÍCULO 93.</w:t>
      </w:r>
      <w:r w:rsidRPr="00CC1CB7">
        <w:rPr>
          <w:rFonts w:ascii="Palatino Linotype" w:hAnsi="Palatino Linotype"/>
          <w:i/>
          <w:szCs w:val="22"/>
        </w:rPr>
        <w:t xml:space="preserve"> Son causas de rescisión de la relación laboral, sin responsabilidad para las instituciones públicas: </w:t>
      </w:r>
    </w:p>
    <w:p w14:paraId="6393A72A"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6E55941C"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II. Tener asignada más de una plaza en la misma o en diferentes instituciones públicas o dependencias, con las excepciones que esta ley señala, o bien cobrar un sueldo sin desempeñar funciones; </w:t>
      </w:r>
    </w:p>
    <w:p w14:paraId="34A107A5"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14305AF2"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IV. Incurrir en cuatro o más faltas de asistencia a sus labores sin causa justificada, dentro de un lapso de treinta días; </w:t>
      </w:r>
    </w:p>
    <w:p w14:paraId="724BBAC2"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V. Abandonar las labores sin autorización previa o razón plenamente justificada, en contravención a lo establecido en las condiciones generales de trabajo; </w:t>
      </w:r>
    </w:p>
    <w:p w14:paraId="11BD19F3"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lastRenderedPageBreak/>
        <w:t xml:space="preserve">VI. Causar daños intencionalmente a edificios, obras, equipo, maquinaria, instrumentos, materias primas y demás objetos relacionados con el trabajo, o por sustraerlos en beneficio propio; </w:t>
      </w:r>
    </w:p>
    <w:p w14:paraId="78031359"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VII. Cometer actos inmorales durante el trabajo; </w:t>
      </w:r>
    </w:p>
    <w:p w14:paraId="08FE817C"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VIII. Revelar los asuntos confidenciales o reservados así calificados por la institución pública o dependencia donde labore, de los cuales tuviese conocimiento con motivo de su trabajo; </w:t>
      </w:r>
    </w:p>
    <w:p w14:paraId="450B9EC4"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IX. Comprometer por su imprudencia, descuido o negligencia, la seguridad del taller, oficina o dependencia donde preste sus servicios o de las personas que ahí se encuentren; </w:t>
      </w:r>
    </w:p>
    <w:p w14:paraId="6AFEEAE3"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X. Desobedecer sin justificación, las órdenes que reciba de sus superiores, en relación al trabajo que desempeñe; </w:t>
      </w:r>
    </w:p>
    <w:p w14:paraId="72E86370"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XI. Concurrir al trabajo en estado de embriaguez, o bien bajo la influencia de algún narcótico o droga enervante, salvo que en éste último caso, exista prescripción médica, la que deberá presentar al superior jerárquico antes de iniciar las labores; </w:t>
      </w:r>
    </w:p>
    <w:p w14:paraId="06FB427A"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XII. Portar armas de cualquier clase durante las horas de trabajo, salvo que la naturaleza de éste lo exija; </w:t>
      </w:r>
    </w:p>
    <w:p w14:paraId="3DD065C6" w14:textId="70320767" w:rsidR="00207799" w:rsidRPr="00CC1CB7" w:rsidRDefault="00207799" w:rsidP="00CC1CB7">
      <w:pPr>
        <w:pStyle w:val="Prrafodelista"/>
        <w:tabs>
          <w:tab w:val="left" w:pos="567"/>
        </w:tabs>
        <w:spacing w:line="360" w:lineRule="auto"/>
        <w:ind w:left="567" w:right="822"/>
        <w:jc w:val="both"/>
        <w:rPr>
          <w:rFonts w:ascii="Palatino Linotype" w:eastAsia="Calibri" w:hAnsi="Palatino Linotype" w:cs="Arial"/>
          <w:i/>
          <w:szCs w:val="22"/>
        </w:rPr>
      </w:pPr>
      <w:r w:rsidRPr="00CC1CB7">
        <w:rPr>
          <w:rFonts w:ascii="Palatino Linotype" w:hAnsi="Palatino Linotype"/>
          <w:i/>
          <w:szCs w:val="22"/>
        </w:rPr>
        <w:t>XIII. Suspender las labores en el caso previsto en el artículo 176 de esta ley o suspenderlas sin la debida autorización;</w:t>
      </w:r>
    </w:p>
    <w:p w14:paraId="5FACEFDE"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XIV. Incumplir reiteradamente disposiciones establecidas en las condiciones generales de trabajo de la institución pública o dependencia respectiva que constituyan faltas graves; </w:t>
      </w:r>
    </w:p>
    <w:p w14:paraId="71890351"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lastRenderedPageBreak/>
        <w:t xml:space="preserve">XV. Ser condenado a prisión como resultado de una sentencia ejecutoriada, que le impida el cumplimiento de la relación de trabajo. </w:t>
      </w:r>
    </w:p>
    <w:p w14:paraId="37BBBECE"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XVI. Portar y hacer uso de credenciales de identificación no autorizadas por la autoridad competente; </w:t>
      </w:r>
    </w:p>
    <w:p w14:paraId="150FBB28"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 </w:t>
      </w:r>
    </w:p>
    <w:p w14:paraId="6173497E"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XVIII. Las análogas a las establecidas en las fracciones anteriores, de igual manera graves y de consecuencias semejantes en lo que al trabajo se refiere; e </w:t>
      </w:r>
    </w:p>
    <w:p w14:paraId="7EDD3D36" w14:textId="1ED75B5D" w:rsidR="00207799" w:rsidRPr="00CC1CB7" w:rsidRDefault="00207799" w:rsidP="00CC1CB7">
      <w:pPr>
        <w:pStyle w:val="Prrafodelista"/>
        <w:tabs>
          <w:tab w:val="left" w:pos="567"/>
        </w:tabs>
        <w:spacing w:line="360" w:lineRule="auto"/>
        <w:ind w:left="567" w:right="822"/>
        <w:jc w:val="both"/>
        <w:rPr>
          <w:rFonts w:ascii="Palatino Linotype" w:eastAsia="Calibri" w:hAnsi="Palatino Linotype" w:cs="Arial"/>
          <w:i/>
          <w:szCs w:val="22"/>
        </w:rPr>
      </w:pPr>
      <w:r w:rsidRPr="00CC1CB7">
        <w:rPr>
          <w:rFonts w:ascii="Palatino Linotype" w:hAnsi="Palatino Linotype"/>
          <w:i/>
          <w:szCs w:val="22"/>
        </w:rPr>
        <w:t>XIX. Incurrir en actos de violencia laboral, entendiéndose por éstos los relativos a discriminación, acoso u hostigamiento sexual y acoso laboral.</w:t>
      </w:r>
    </w:p>
    <w:p w14:paraId="4A52E664" w14:textId="77777777" w:rsidR="00207799" w:rsidRPr="00CC1CB7" w:rsidRDefault="00207799" w:rsidP="00CC1CB7">
      <w:pPr>
        <w:pStyle w:val="Prrafodelista"/>
        <w:tabs>
          <w:tab w:val="left" w:pos="567"/>
        </w:tabs>
        <w:spacing w:line="360" w:lineRule="auto"/>
        <w:ind w:left="567" w:right="822"/>
        <w:jc w:val="both"/>
        <w:rPr>
          <w:rFonts w:ascii="Palatino Linotype" w:eastAsia="Calibri" w:hAnsi="Palatino Linotype" w:cs="Arial"/>
          <w:i/>
          <w:szCs w:val="22"/>
        </w:rPr>
      </w:pPr>
    </w:p>
    <w:p w14:paraId="4C5B715E"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b/>
          <w:i/>
          <w:szCs w:val="22"/>
        </w:rPr>
        <w:t>ARTÍCULO 95.</w:t>
      </w:r>
      <w:r w:rsidRPr="00CC1CB7">
        <w:rPr>
          <w:rFonts w:ascii="Palatino Linotype" w:hAnsi="Palatino Linotype"/>
          <w:i/>
          <w:szCs w:val="22"/>
        </w:rPr>
        <w:t xml:space="preserve"> Son causas de rescisión de la relación laboral, sin responsabilidad para el servidor público: </w:t>
      </w:r>
    </w:p>
    <w:p w14:paraId="369D5F61"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 Engañarlo la institución pública o dependencia en relación a las condiciones en que se le ofreció el trabajo. Esta causa dejará de tener efecto después de 30 días naturales a partir de su incorporación al servicio; </w:t>
      </w:r>
    </w:p>
    <w:p w14:paraId="109CBF25"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II. Incurrir alguno de sus superiores jerárquicos o personal directivo y/o sus representantes o compañeros de trabajo, dentro del servicio, en faltas de probidad u honradez, actos de violencia, amenazas, injurias, malos tratos, actos de violencia laboral </w:t>
      </w:r>
      <w:r w:rsidRPr="00CC1CB7">
        <w:rPr>
          <w:rFonts w:ascii="Palatino Linotype" w:hAnsi="Palatino Linotype"/>
          <w:i/>
          <w:szCs w:val="22"/>
        </w:rPr>
        <w:lastRenderedPageBreak/>
        <w:t xml:space="preserve">entendiéndose por éstos los relativos a discriminación, acoso u hostigamiento sexual y acoso laboral, en contra del servidor público, su cónyuge, concubina o concubinario, padres, hijos o hermanos; </w:t>
      </w:r>
    </w:p>
    <w:p w14:paraId="6BDCFD3F"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III. Incumplir la institución pública o dependencia las condiciones laborales y salariales acordadas para el desempeño de sus funciones y las que estipula esta ley; </w:t>
      </w:r>
    </w:p>
    <w:p w14:paraId="46EFD8DC"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IV. Existir peligro grave para la seguridad o salud del servidor público por carecer de condiciones higiénicas en su lugar de trabajo o no cumplirse las medidas preventivas y de seguridad que las leyes establezcan;</w:t>
      </w:r>
    </w:p>
    <w:p w14:paraId="3CA6BE02"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V. No inscribirlo en el Instituto de Seguridad Social del Estado de México y Municipios o no cubrir a éste las aportaciones que le correspondan; y </w:t>
      </w:r>
    </w:p>
    <w:p w14:paraId="5BA7E067"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VI. Las análogas a las establecidas en las fracciones anteriores, de </w:t>
      </w:r>
      <w:proofErr w:type="gramStart"/>
      <w:r w:rsidRPr="00CC1CB7">
        <w:rPr>
          <w:rFonts w:ascii="Palatino Linotype" w:hAnsi="Palatino Linotype"/>
          <w:i/>
          <w:szCs w:val="22"/>
        </w:rPr>
        <w:t>igual manera graves</w:t>
      </w:r>
      <w:proofErr w:type="gramEnd"/>
      <w:r w:rsidRPr="00CC1CB7">
        <w:rPr>
          <w:rFonts w:ascii="Palatino Linotype" w:hAnsi="Palatino Linotype"/>
          <w:i/>
          <w:szCs w:val="22"/>
        </w:rPr>
        <w:t xml:space="preserve"> y de consecuencias semejantes. </w:t>
      </w:r>
    </w:p>
    <w:p w14:paraId="2E341CB8"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p>
    <w:p w14:paraId="203E8D72"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w:t>
      </w:r>
      <w:r w:rsidRPr="00CC1CB7">
        <w:rPr>
          <w:rFonts w:ascii="Palatino Linotype" w:hAnsi="Palatino Linotype"/>
          <w:i/>
          <w:szCs w:val="22"/>
        </w:rPr>
        <w:lastRenderedPageBreak/>
        <w:t xml:space="preserve">organismo estatal, siempre y cuando esto último ocurra en un plazo no mayor a los doce meses antes mencionados, independientemente del tiempo que dure el proceso. </w:t>
      </w:r>
    </w:p>
    <w:p w14:paraId="160295AE"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p>
    <w:p w14:paraId="7C34F09A"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14:paraId="79769F1F" w14:textId="77777777"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p>
    <w:p w14:paraId="20990755" w14:textId="15FF2D39" w:rsidR="00207799" w:rsidRPr="00CC1CB7" w:rsidRDefault="00207799" w:rsidP="00CC1CB7">
      <w:pPr>
        <w:pStyle w:val="Prrafodelista"/>
        <w:tabs>
          <w:tab w:val="left" w:pos="567"/>
        </w:tabs>
        <w:spacing w:line="360" w:lineRule="auto"/>
        <w:ind w:left="567" w:right="822"/>
        <w:jc w:val="both"/>
        <w:rPr>
          <w:rFonts w:ascii="Palatino Linotype" w:hAnsi="Palatino Linotype"/>
          <w:i/>
          <w:szCs w:val="22"/>
        </w:rPr>
      </w:pPr>
      <w:r w:rsidRPr="00CC1CB7">
        <w:rPr>
          <w:rFonts w:ascii="Palatino Linotype" w:hAnsi="Palatino Linotype"/>
          <w:i/>
          <w:szCs w:val="22"/>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Para el pago de cualquier indemnización que se genere por las relaciones laborales entre las instituciones o dependencias y sus servidores públicos señaladas en esta ley no generarán ningún tipo de interés. </w:t>
      </w:r>
    </w:p>
    <w:p w14:paraId="59408C35" w14:textId="77777777" w:rsidR="00207799" w:rsidRPr="00CC1CB7" w:rsidRDefault="00207799" w:rsidP="00CC1CB7">
      <w:pPr>
        <w:tabs>
          <w:tab w:val="left" w:pos="567"/>
        </w:tabs>
        <w:spacing w:line="360" w:lineRule="auto"/>
        <w:ind w:left="567" w:right="822"/>
        <w:jc w:val="both"/>
        <w:rPr>
          <w:rFonts w:ascii="Palatino Linotype" w:hAnsi="Palatino Linotype"/>
          <w:i/>
          <w:sz w:val="22"/>
          <w:szCs w:val="22"/>
        </w:rPr>
      </w:pPr>
    </w:p>
    <w:p w14:paraId="289FE688" w14:textId="29BB150F" w:rsidR="00207799" w:rsidRPr="00CC1CB7" w:rsidRDefault="00207799" w:rsidP="00CC1CB7">
      <w:pPr>
        <w:tabs>
          <w:tab w:val="left" w:pos="567"/>
        </w:tabs>
        <w:spacing w:line="360" w:lineRule="auto"/>
        <w:ind w:left="567" w:right="822"/>
        <w:jc w:val="both"/>
        <w:rPr>
          <w:rFonts w:ascii="Palatino Linotype" w:eastAsia="Calibri" w:hAnsi="Palatino Linotype" w:cs="Arial"/>
          <w:i/>
          <w:sz w:val="22"/>
          <w:szCs w:val="22"/>
        </w:rPr>
      </w:pPr>
      <w:r w:rsidRPr="00CC1CB7">
        <w:rPr>
          <w:rFonts w:ascii="Palatino Linotype" w:hAnsi="Palatino Linotype"/>
          <w:b/>
          <w:i/>
          <w:sz w:val="22"/>
          <w:szCs w:val="22"/>
        </w:rPr>
        <w:t>ARTÍCULO 96.-</w:t>
      </w:r>
      <w:r w:rsidRPr="00CC1CB7">
        <w:rPr>
          <w:rFonts w:ascii="Palatino Linotype" w:hAnsi="Palatino Linotype"/>
          <w:i/>
          <w:sz w:val="22"/>
          <w:szCs w:val="22"/>
        </w:rPr>
        <w:t xml:space="preserve"> El servidor público podrá solicitar ante el Tribunal o la Sala correspondiente, </w:t>
      </w:r>
      <w:r w:rsidRPr="00CC1CB7">
        <w:rPr>
          <w:rFonts w:ascii="Palatino Linotype" w:hAnsi="Palatino Linotype"/>
          <w:b/>
          <w:i/>
          <w:sz w:val="22"/>
          <w:szCs w:val="22"/>
          <w:u w:val="single"/>
        </w:rPr>
        <w:t xml:space="preserve">que se le reinstale en el trabajo que desempeñaba, o que se le indemnice. </w:t>
      </w:r>
      <w:r w:rsidRPr="00CC1CB7">
        <w:rPr>
          <w:rFonts w:ascii="Palatino Linotype" w:hAnsi="Palatino Linotype"/>
          <w:i/>
          <w:sz w:val="22"/>
          <w:szCs w:val="22"/>
        </w:rPr>
        <w:t xml:space="preserve">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w:t>
      </w:r>
      <w:r w:rsidRPr="00CC1CB7">
        <w:rPr>
          <w:rFonts w:ascii="Palatino Linotype" w:hAnsi="Palatino Linotype"/>
          <w:i/>
          <w:sz w:val="22"/>
          <w:szCs w:val="22"/>
        </w:rPr>
        <w:lastRenderedPageBreak/>
        <w:t>meses o que se le reinstale en el trabajo que desempeñaba con el pago de los salarios vencidos desde la fecha del despido hasta por un periodo máximo de doce meses, independientemente del tiempo que , dure el proceso.</w:t>
      </w:r>
    </w:p>
    <w:p w14:paraId="2AB6123F" w14:textId="77777777" w:rsidR="00207799" w:rsidRDefault="00207799" w:rsidP="00207799">
      <w:pPr>
        <w:pStyle w:val="Prrafodelista"/>
        <w:tabs>
          <w:tab w:val="left" w:pos="567"/>
        </w:tabs>
        <w:spacing w:line="360" w:lineRule="auto"/>
        <w:ind w:left="0"/>
        <w:jc w:val="both"/>
        <w:rPr>
          <w:rFonts w:ascii="Palatino Linotype" w:eastAsia="Calibri" w:hAnsi="Palatino Linotype" w:cs="Arial"/>
          <w:sz w:val="24"/>
        </w:rPr>
      </w:pPr>
    </w:p>
    <w:p w14:paraId="1EA95E2A" w14:textId="4B03BBD3" w:rsidR="00CC1CB7" w:rsidRDefault="00CC1CB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Lo anterior, son las causas por las que se puede terminar una relación laboral, entre ellas existen sin responsabilidad para la Institución pública, así como las que son sin responsabilidad para el servidor público, por lo que al existir un término de relación laboral, debe mediar un motivo que llevó a la institución o al servidor público, dar por terminada dicha relaci</w:t>
      </w:r>
      <w:r w:rsidR="00DD5693">
        <w:rPr>
          <w:rFonts w:ascii="Palatino Linotype" w:eastAsia="Calibri" w:hAnsi="Palatino Linotype" w:cs="Arial"/>
          <w:sz w:val="24"/>
        </w:rPr>
        <w:t>ón laboral, siendo este motivo la causa de la rescisión laboral conforme a los enlistados anteriormente, siendo estos motivos de naturaleza pública, en consecuencia, deben proporcionarse al particular, de ser el caso en versión pública, para lo cual el Sujeto Obligado deberá estar a lo dispuesto en el siguiente considerando.</w:t>
      </w:r>
    </w:p>
    <w:p w14:paraId="22F26A18" w14:textId="77777777" w:rsidR="00CB2836" w:rsidRPr="00CB2836" w:rsidRDefault="00CB2836" w:rsidP="00CB2836">
      <w:pPr>
        <w:pStyle w:val="Ttulo1"/>
        <w:rPr>
          <w:rFonts w:ascii="Palatino Linotype" w:hAnsi="Palatino Linotype"/>
          <w:b/>
          <w:color w:val="auto"/>
          <w:sz w:val="24"/>
          <w:lang w:val="es-ES_tradnl"/>
        </w:rPr>
      </w:pPr>
      <w:bookmarkStart w:id="19" w:name="_Toc87549682"/>
      <w:r w:rsidRPr="00CB2836">
        <w:rPr>
          <w:rFonts w:ascii="Palatino Linotype" w:hAnsi="Palatino Linotype"/>
          <w:b/>
          <w:color w:val="auto"/>
          <w:sz w:val="24"/>
          <w:lang w:val="es-ES_tradnl"/>
        </w:rPr>
        <w:t>QUINTO. De la versión pública.</w:t>
      </w:r>
      <w:bookmarkEnd w:id="19"/>
    </w:p>
    <w:p w14:paraId="48DCD071" w14:textId="77777777" w:rsidR="00CB2836" w:rsidRPr="00030C87" w:rsidRDefault="00CB2836" w:rsidP="00CB2836">
      <w:pPr>
        <w:rPr>
          <w:rFonts w:ascii="Palatino Linotype" w:hAnsi="Palatino Linotype"/>
          <w:lang w:val="es-ES_tradnl"/>
        </w:rPr>
      </w:pPr>
    </w:p>
    <w:p w14:paraId="5A3561F4" w14:textId="77777777" w:rsidR="00CB2836" w:rsidRPr="00CB283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0" w:name="_Toc48135362"/>
      <w:bookmarkStart w:id="21" w:name="_Toc72309902"/>
      <w:bookmarkStart w:id="22" w:name="_Toc73643041"/>
      <w:bookmarkStart w:id="23" w:name="_Toc73911519"/>
      <w:bookmarkStart w:id="24" w:name="_Toc87549683"/>
      <w:r w:rsidRPr="00CB2836">
        <w:rPr>
          <w:rFonts w:ascii="Palatino Linotype" w:hAnsi="Palatino Linotype" w:cs="Times New Roman"/>
          <w:b/>
          <w:color w:val="000000" w:themeColor="text1"/>
          <w:sz w:val="24"/>
          <w:szCs w:val="24"/>
          <w:lang w:eastAsia="es-ES_tradnl"/>
        </w:rPr>
        <w:t>Nociones generales.</w:t>
      </w:r>
      <w:bookmarkEnd w:id="20"/>
      <w:bookmarkEnd w:id="21"/>
      <w:bookmarkEnd w:id="22"/>
      <w:bookmarkEnd w:id="23"/>
      <w:bookmarkEnd w:id="24"/>
      <w:r w:rsidRPr="00CB2836">
        <w:rPr>
          <w:rFonts w:ascii="Palatino Linotype" w:hAnsi="Palatino Linotype" w:cs="Times New Roman"/>
          <w:b/>
          <w:color w:val="000000" w:themeColor="text1"/>
          <w:sz w:val="24"/>
          <w:szCs w:val="24"/>
          <w:lang w:eastAsia="es-ES_tradnl"/>
        </w:rPr>
        <w:t xml:space="preserve"> </w:t>
      </w:r>
    </w:p>
    <w:p w14:paraId="4CFBC4DA" w14:textId="77777777" w:rsidR="00CB2836" w:rsidRPr="00030C87" w:rsidRDefault="00CB2836" w:rsidP="00CB2836">
      <w:pPr>
        <w:rPr>
          <w:rFonts w:ascii="Palatino Linotype" w:hAnsi="Palatino Linotype"/>
          <w:lang w:eastAsia="es-ES_tradnl"/>
        </w:rPr>
      </w:pPr>
    </w:p>
    <w:p w14:paraId="71BBB8A8" w14:textId="77777777" w:rsidR="00CB2836" w:rsidRPr="00CB283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2836">
        <w:rPr>
          <w:rFonts w:ascii="Palatino Linotype" w:hAnsi="Palatino Linotype" w:cs="Arial"/>
          <w:color w:val="000000"/>
          <w:sz w:val="24"/>
        </w:rPr>
        <w:t>Debe destacarse que, debido a la naturaleza de la información solicitada</w:t>
      </w:r>
      <w:r w:rsidRPr="00CB2836">
        <w:rPr>
          <w:rFonts w:ascii="Palatino Linotype" w:hAnsi="Palatino Linotype" w:cs="Arial"/>
          <w:b/>
          <w:color w:val="000000"/>
          <w:sz w:val="24"/>
        </w:rPr>
        <w:t xml:space="preserve">, </w:t>
      </w:r>
      <w:r w:rsidRPr="00CB28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sz w:val="24"/>
        </w:rPr>
        <w:t xml:space="preserve">Sujeto Obligado </w:t>
      </w:r>
      <w:r w:rsidRPr="00CB2836">
        <w:rPr>
          <w:rFonts w:ascii="Palatino Linotype" w:hAnsi="Palatino Linotype" w:cs="Arial"/>
          <w:color w:val="000000"/>
          <w:sz w:val="24"/>
        </w:rPr>
        <w:t xml:space="preserve">deberá de </w:t>
      </w:r>
      <w:r w:rsidRPr="00CB2836">
        <w:rPr>
          <w:rFonts w:ascii="Palatino Linotype" w:hAnsi="Palatino Linotype" w:cs="Arial"/>
          <w:color w:val="000000"/>
          <w:sz w:val="24"/>
        </w:rPr>
        <w:lastRenderedPageBreak/>
        <w:t xml:space="preserve">hacer la adecuada versión pública, protegiendo los datos que no son susceptibles de ser proporcionados. </w:t>
      </w:r>
    </w:p>
    <w:p w14:paraId="49A80096" w14:textId="77777777" w:rsidR="00CB2836" w:rsidRPr="00CB283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4D2B6890" w14:textId="77777777" w:rsidR="00CB2836" w:rsidRPr="00CB283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2836">
        <w:rPr>
          <w:rFonts w:ascii="Palatino Linotype" w:hAnsi="Palatino Linotype" w:cs="Arial"/>
          <w:color w:val="000000"/>
          <w:sz w:val="24"/>
          <w:szCs w:val="24"/>
        </w:rPr>
        <w:t xml:space="preserve">No pasa desapercibido para este Órgano Garante que los </w:t>
      </w:r>
      <w:r w:rsidRPr="00CB2836">
        <w:rPr>
          <w:rFonts w:ascii="Palatino Linotype" w:hAnsi="Palatino Linotype" w:cs="Arial"/>
          <w:b/>
          <w:bCs/>
          <w:color w:val="000000"/>
          <w:sz w:val="24"/>
          <w:szCs w:val="24"/>
        </w:rPr>
        <w:t xml:space="preserve">Sujetos Obligados </w:t>
      </w:r>
      <w:r w:rsidRPr="00CB283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030C87"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030C87"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A73E002"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BE2CF3"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 xml:space="preserve">no se puede </w:t>
            </w:r>
            <w:r w:rsidRPr="00BE2CF3">
              <w:rPr>
                <w:rFonts w:ascii="Palatino Linotype" w:hAnsi="Palatino Linotype" w:cs="Arial"/>
                <w:color w:val="000000"/>
                <w:sz w:val="20"/>
                <w:u w:val="single"/>
              </w:rPr>
              <w:lastRenderedPageBreak/>
              <w:t>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030C87"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3491A29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BE2CF3"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030C87"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BE2CF3"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030C87"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BE2CF3" w:rsidRDefault="00CB2836" w:rsidP="003E4CA3">
            <w:pPr>
              <w:tabs>
                <w:tab w:val="left" w:pos="284"/>
              </w:tabs>
              <w:spacing w:line="360" w:lineRule="auto"/>
              <w:rPr>
                <w:rFonts w:ascii="Palatino Linotype" w:hAnsi="Palatino Linotype"/>
                <w:b w:val="0"/>
                <w:sz w:val="20"/>
              </w:rPr>
            </w:pPr>
          </w:p>
          <w:p w14:paraId="223D977E" w14:textId="77777777" w:rsidR="00CB2836" w:rsidRPr="00BE2CF3" w:rsidRDefault="00CB2836" w:rsidP="003E4CA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29A9773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xml:space="preserve">, esto es determinar los datos que se suprimen en las versiones </w:t>
            </w:r>
            <w:r w:rsidRPr="00BE2CF3">
              <w:rPr>
                <w:rFonts w:ascii="Palatino Linotype" w:hAnsi="Palatino Linotype" w:cs="Arial"/>
                <w:color w:val="000000"/>
                <w:sz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030C87"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BE2CF3" w:rsidRDefault="00CB2836" w:rsidP="003E4CA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BE2CF3"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030C87"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3B0450"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B283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34682BD" w14:textId="77777777" w:rsidR="003B0450" w:rsidRDefault="003B0450" w:rsidP="003B0450">
      <w:pPr>
        <w:tabs>
          <w:tab w:val="left" w:pos="284"/>
        </w:tabs>
        <w:spacing w:line="360" w:lineRule="auto"/>
        <w:jc w:val="both"/>
        <w:rPr>
          <w:rFonts w:ascii="Palatino Linotype" w:hAnsi="Palatino Linotype" w:cs="Arial"/>
          <w:color w:val="000000"/>
          <w:sz w:val="24"/>
        </w:rPr>
      </w:pPr>
    </w:p>
    <w:p w14:paraId="73628DBB" w14:textId="77777777" w:rsidR="003B0450" w:rsidRPr="00255189" w:rsidRDefault="003B0450" w:rsidP="003B0450">
      <w:pPr>
        <w:keepNext/>
        <w:keepLines/>
        <w:tabs>
          <w:tab w:val="left" w:pos="284"/>
        </w:tabs>
        <w:spacing w:before="240"/>
        <w:outlineLvl w:val="0"/>
        <w:rPr>
          <w:rFonts w:ascii="Palatino Linotype" w:eastAsia="MS Gothic" w:hAnsi="Palatino Linotype" w:cstheme="majorBidi"/>
          <w:b/>
          <w:sz w:val="24"/>
          <w:szCs w:val="24"/>
        </w:rPr>
      </w:pPr>
      <w:bookmarkStart w:id="25" w:name="_Toc487739452"/>
      <w:bookmarkStart w:id="26" w:name="_Toc524344196"/>
      <w:bookmarkStart w:id="27" w:name="_Toc526271201"/>
      <w:bookmarkStart w:id="28" w:name="_Toc536106975"/>
      <w:bookmarkStart w:id="29" w:name="_Toc68793658"/>
      <w:bookmarkStart w:id="30"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25"/>
      <w:r w:rsidRPr="00255189">
        <w:rPr>
          <w:rFonts w:ascii="Palatino Linotype" w:eastAsia="MS Gothic" w:hAnsi="Palatino Linotype" w:cstheme="majorBidi"/>
          <w:b/>
          <w:sz w:val="24"/>
          <w:szCs w:val="24"/>
        </w:rPr>
        <w:t>.</w:t>
      </w:r>
      <w:bookmarkEnd w:id="26"/>
      <w:bookmarkEnd w:id="27"/>
      <w:bookmarkEnd w:id="28"/>
      <w:bookmarkEnd w:id="29"/>
      <w:bookmarkEnd w:id="30"/>
    </w:p>
    <w:p w14:paraId="26E44548" w14:textId="77777777" w:rsidR="003B0450" w:rsidRPr="00255189" w:rsidRDefault="003B0450" w:rsidP="003B0450">
      <w:pPr>
        <w:tabs>
          <w:tab w:val="left" w:pos="284"/>
        </w:tabs>
        <w:rPr>
          <w:rFonts w:eastAsiaTheme="minorEastAsia"/>
          <w:sz w:val="24"/>
          <w:szCs w:val="24"/>
        </w:rPr>
      </w:pPr>
    </w:p>
    <w:p w14:paraId="1E42A8DC" w14:textId="77777777" w:rsidR="003B0450"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E54C142" w14:textId="77777777" w:rsidR="003B0450"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6E9CE"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6C43BCF"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013741FB"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FEADC20"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300B9C55" w14:textId="77777777" w:rsidR="003B0450" w:rsidRPr="00DD7DC3"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48792C9D"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BB164AA"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0F6FC19A"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4D62DD87"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64D960CD"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026393BC"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II. Proporcionar la información que obre en los archivos y que le sea solicitada por la Unidad de Transparencia;</w:t>
      </w:r>
    </w:p>
    <w:p w14:paraId="41273F0E" w14:textId="77777777" w:rsidR="003B0450" w:rsidRPr="00DD7DC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19AAD8ED" w14:textId="77777777" w:rsidR="003B0450" w:rsidRPr="00437167"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4A50C899" w14:textId="77777777" w:rsidR="003B0450"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82C80E2" w14:textId="77777777" w:rsidR="003B0450"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E5915C5" w14:textId="77777777" w:rsidR="003B0450" w:rsidRPr="00DD7DC3"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AA52532" w14:textId="77777777" w:rsidR="003B0450" w:rsidRPr="00DD7DC3"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9597E97" w14:textId="7AC4A856" w:rsidR="003B0450" w:rsidRPr="00BA1D50" w:rsidRDefault="003B0450" w:rsidP="00BA1D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 xml:space="preserve">En el presente asunto en particular, se tiene que el Titular de la Unidad de Transparencia </w:t>
      </w:r>
      <w:r w:rsidR="00BA1D50">
        <w:rPr>
          <w:rFonts w:ascii="Palatino Linotype" w:eastAsiaTheme="minorEastAsia" w:hAnsi="Palatino Linotype" w:cs="Arial"/>
          <w:sz w:val="24"/>
          <w:szCs w:val="24"/>
          <w:lang w:val="es-ES_tradnl"/>
        </w:rPr>
        <w:t xml:space="preserve">no dio respuesta a la solicitud de acceso a la información; en consecuencia, </w:t>
      </w:r>
      <w:r w:rsidRPr="00BA1D50">
        <w:rPr>
          <w:rFonts w:ascii="Palatino Linotype" w:hAnsi="Palatino Linotype" w:cs="Arial"/>
          <w:sz w:val="24"/>
        </w:rPr>
        <w:t>incumplió con sus funciones, atribuciones y competencias, al no dar trámite a la solicitud, lo cual tuvo como con</w:t>
      </w:r>
      <w:r w:rsidR="00BA1D50">
        <w:rPr>
          <w:rFonts w:ascii="Palatino Linotype" w:hAnsi="Palatino Linotype" w:cs="Arial"/>
          <w:sz w:val="24"/>
        </w:rPr>
        <w:t>secuencia la falta de respuesta.</w:t>
      </w:r>
    </w:p>
    <w:p w14:paraId="495A251F" w14:textId="77777777" w:rsidR="003B0450" w:rsidRPr="00DD7DC3" w:rsidRDefault="003B0450" w:rsidP="003B0450">
      <w:pPr>
        <w:pStyle w:val="Prrafodelista"/>
        <w:tabs>
          <w:tab w:val="left" w:pos="284"/>
        </w:tabs>
        <w:spacing w:before="240" w:after="240" w:line="360" w:lineRule="auto"/>
        <w:ind w:left="0"/>
        <w:jc w:val="both"/>
        <w:rPr>
          <w:rFonts w:ascii="Palatino Linotype" w:hAnsi="Palatino Linotype"/>
          <w:sz w:val="24"/>
        </w:rPr>
      </w:pPr>
    </w:p>
    <w:p w14:paraId="224EEDEE" w14:textId="77777777" w:rsidR="003B0450" w:rsidRPr="00DD7DC3" w:rsidRDefault="003B0450" w:rsidP="003B0450">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042A9DA0" w14:textId="77777777" w:rsidR="00CB2836"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31" w:name="_Toc4061692"/>
      <w:bookmarkStart w:id="32" w:name="_Toc486525261"/>
      <w:bookmarkStart w:id="33" w:name="_Toc445745148"/>
      <w:bookmarkStart w:id="34" w:name="_Toc447699324"/>
      <w:bookmarkStart w:id="35" w:name="_Toc87549684"/>
      <w:r w:rsidRPr="007C7FFD">
        <w:rPr>
          <w:rFonts w:ascii="Palatino Linotype" w:hAnsi="Palatino Linotype"/>
          <w:b/>
          <w:color w:val="auto"/>
          <w:sz w:val="24"/>
          <w:szCs w:val="24"/>
        </w:rPr>
        <w:t>R E S O L U T I V O S</w:t>
      </w:r>
      <w:bookmarkEnd w:id="31"/>
      <w:bookmarkEnd w:id="32"/>
      <w:bookmarkEnd w:id="33"/>
      <w:bookmarkEnd w:id="34"/>
      <w:bookmarkEnd w:id="35"/>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47D1441D"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C07218" w:rsidRPr="00C07218">
        <w:rPr>
          <w:rFonts w:ascii="Palatino Linotype" w:hAnsi="Palatino Linotype"/>
          <w:b/>
          <w:sz w:val="24"/>
          <w:szCs w:val="24"/>
        </w:rPr>
        <w:t>16988</w:t>
      </w:r>
      <w:r w:rsidR="00C07218">
        <w:rPr>
          <w:rFonts w:ascii="Palatino Linotype" w:eastAsia="Calibri" w:hAnsi="Palatino Linotype" w:cs="Tahoma"/>
          <w:b/>
          <w:sz w:val="24"/>
          <w:lang w:eastAsia="en-US"/>
        </w:rPr>
        <w:t>/INFOEM/IP/RR/2022</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Pr="00946F7F">
        <w:rPr>
          <w:rFonts w:ascii="Palatino Linotype" w:hAnsi="Palatino Linotype"/>
          <w:b/>
          <w:bCs/>
          <w:sz w:val="24"/>
          <w:szCs w:val="24"/>
        </w:rPr>
        <w:t xml:space="preserve"> Considerandos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3A7C0563"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ORDENA al </w:t>
      </w:r>
      <w:r w:rsidR="00C07218" w:rsidRPr="00C07218">
        <w:rPr>
          <w:rFonts w:ascii="Palatino Linotype" w:eastAsia="Calibri" w:hAnsi="Palatino Linotype" w:cs="Arial"/>
          <w:b/>
          <w:sz w:val="24"/>
        </w:rPr>
        <w:t>Organismo Público Descentralizado de Agua Potable Alcantarillado y Saneamiento de Chimalhuacán</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 xml:space="preserve">Sistema de Acceso a la </w:t>
      </w:r>
      <w:r w:rsidRPr="00946F7F">
        <w:rPr>
          <w:rFonts w:ascii="Palatino Linotype" w:eastAsia="Calibri" w:hAnsi="Palatino Linotype" w:cs="Arial"/>
          <w:b/>
          <w:bCs/>
          <w:sz w:val="24"/>
          <w:lang w:val="es-ES"/>
        </w:rPr>
        <w:lastRenderedPageBreak/>
        <w:t xml:space="preserve">Información Mexiquense (SAIMEX, </w:t>
      </w:r>
      <w:r w:rsidRPr="00946F7F">
        <w:rPr>
          <w:rFonts w:ascii="Palatino Linotype" w:eastAsia="Calibri" w:hAnsi="Palatino Linotype" w:cs="Arial"/>
          <w:bCs/>
          <w:sz w:val="24"/>
          <w:lang w:val="es-ES"/>
        </w:rPr>
        <w:t>en</w:t>
      </w:r>
      <w:r w:rsidRPr="00946F7F">
        <w:rPr>
          <w:rFonts w:ascii="Palatino Linotype" w:eastAsia="Calibri" w:hAnsi="Palatino Linotype" w:cs="Arial"/>
          <w:sz w:val="24"/>
          <w:lang w:val="es-ES"/>
        </w:rPr>
        <w:t xml:space="preserve"> versión pública</w:t>
      </w:r>
      <w:r w:rsidRPr="00973A51">
        <w:rPr>
          <w:rFonts w:ascii="Palatino Linotype" w:eastAsia="Calibri" w:hAnsi="Palatino Linotype" w:cs="Arial"/>
          <w:sz w:val="24"/>
          <w:lang w:val="es-ES"/>
        </w:rPr>
        <w:t xml:space="preserve">, </w:t>
      </w:r>
      <w:r w:rsidR="00754DAB" w:rsidRPr="00973A51">
        <w:rPr>
          <w:rFonts w:ascii="Palatino Linotype" w:eastAsia="Calibri" w:hAnsi="Palatino Linotype" w:cs="Arial"/>
          <w:sz w:val="24"/>
          <w:lang w:val="es-ES"/>
        </w:rPr>
        <w:t>el documento donde conste,</w:t>
      </w:r>
      <w:r w:rsidR="00754DAB">
        <w:rPr>
          <w:rFonts w:ascii="Palatino Linotype" w:eastAsia="Calibri" w:hAnsi="Palatino Linotype" w:cs="Arial"/>
          <w:sz w:val="24"/>
          <w:lang w:val="es-ES"/>
        </w:rPr>
        <w:t xml:space="preserve"> </w:t>
      </w:r>
      <w:r w:rsidRPr="00946F7F">
        <w:rPr>
          <w:rFonts w:ascii="Palatino Linotype" w:eastAsia="Calibri" w:hAnsi="Palatino Linotype" w:cs="Arial"/>
          <w:sz w:val="24"/>
          <w:lang w:val="es-ES"/>
        </w:rPr>
        <w:t>la</w:t>
      </w:r>
      <w:r w:rsidRPr="00946F7F">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29AA7A16" w14:textId="77777777" w:rsidR="00DD5693" w:rsidRPr="00DD5693" w:rsidRDefault="00DD5693"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DD5693">
        <w:rPr>
          <w:rFonts w:ascii="Palatino Linotype" w:hAnsi="Palatino Linotype"/>
          <w:b/>
          <w:bCs/>
          <w:sz w:val="24"/>
        </w:rPr>
        <w:t>De los Juicios Laborales promovidos en contra del Sujeto Obligado del uno (1) de enero al veinticinco (25) de octubre de dos mil veintidós:</w:t>
      </w:r>
    </w:p>
    <w:p w14:paraId="505C01D0" w14:textId="77777777" w:rsidR="00DD5693" w:rsidRPr="00DD5693" w:rsidRDefault="00DD5693" w:rsidP="00DD5693">
      <w:pPr>
        <w:pStyle w:val="Prrafodelista"/>
        <w:numPr>
          <w:ilvl w:val="0"/>
          <w:numId w:val="38"/>
        </w:numPr>
        <w:tabs>
          <w:tab w:val="left" w:pos="567"/>
        </w:tabs>
        <w:spacing w:line="360" w:lineRule="auto"/>
        <w:jc w:val="both"/>
        <w:rPr>
          <w:rFonts w:ascii="Palatino Linotype" w:eastAsia="Calibri" w:hAnsi="Palatino Linotype" w:cs="Arial"/>
          <w:b/>
          <w:sz w:val="24"/>
        </w:rPr>
      </w:pPr>
      <w:r w:rsidRPr="00DD5693">
        <w:rPr>
          <w:rFonts w:ascii="Palatino Linotype" w:hAnsi="Palatino Linotype"/>
          <w:b/>
          <w:bCs/>
          <w:sz w:val="24"/>
        </w:rPr>
        <w:t>Estado procesal al veinticinco (25) de octubre de dos mil veintidós;</w:t>
      </w:r>
    </w:p>
    <w:p w14:paraId="6DC06C22" w14:textId="6E970AFF" w:rsidR="00DD5693" w:rsidRPr="00DD5693" w:rsidRDefault="00DD5693" w:rsidP="00DD5693">
      <w:pPr>
        <w:pStyle w:val="Prrafodelista"/>
        <w:numPr>
          <w:ilvl w:val="0"/>
          <w:numId w:val="38"/>
        </w:numPr>
        <w:tabs>
          <w:tab w:val="left" w:pos="567"/>
        </w:tabs>
        <w:spacing w:line="360" w:lineRule="auto"/>
        <w:jc w:val="both"/>
        <w:rPr>
          <w:rFonts w:ascii="Palatino Linotype" w:eastAsia="Calibri" w:hAnsi="Palatino Linotype" w:cs="Arial"/>
          <w:b/>
          <w:sz w:val="24"/>
        </w:rPr>
      </w:pPr>
      <w:r w:rsidRPr="00DD5693">
        <w:rPr>
          <w:rFonts w:ascii="Palatino Linotype" w:hAnsi="Palatino Linotype"/>
          <w:b/>
          <w:bCs/>
          <w:sz w:val="24"/>
        </w:rPr>
        <w:t>Motivo de la separación del cargo de los servidores públicos;</w:t>
      </w:r>
    </w:p>
    <w:p w14:paraId="05609245" w14:textId="0A015289" w:rsidR="00DD5693" w:rsidRPr="00DD5693" w:rsidRDefault="00DD5693" w:rsidP="00DD5693">
      <w:pPr>
        <w:pStyle w:val="Prrafodelista"/>
        <w:tabs>
          <w:tab w:val="left" w:pos="567"/>
        </w:tabs>
        <w:spacing w:line="360" w:lineRule="auto"/>
        <w:ind w:left="927"/>
        <w:jc w:val="both"/>
        <w:rPr>
          <w:rFonts w:ascii="Palatino Linotype" w:eastAsia="Calibri" w:hAnsi="Palatino Linotype" w:cs="Arial"/>
          <w:b/>
          <w:sz w:val="24"/>
        </w:rPr>
      </w:pPr>
      <w:r>
        <w:rPr>
          <w:rFonts w:ascii="Palatino Linotype" w:hAnsi="Palatino Linotype"/>
          <w:b/>
          <w:color w:val="000000" w:themeColor="text1"/>
          <w:sz w:val="24"/>
        </w:rPr>
        <w:t xml:space="preserve"> </w:t>
      </w:r>
    </w:p>
    <w:p w14:paraId="6CC20491" w14:textId="77777777" w:rsidR="00CB2836" w:rsidRPr="00946F7F" w:rsidRDefault="00CB2836" w:rsidP="00CB2836">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Default="00CB2836" w:rsidP="00CB2836">
      <w:pPr>
        <w:spacing w:line="360" w:lineRule="auto"/>
        <w:jc w:val="both"/>
        <w:rPr>
          <w:rFonts w:ascii="Palatino Linotype" w:eastAsia="Calibri" w:hAnsi="Palatino Linotype" w:cs="Arial"/>
        </w:rPr>
      </w:pPr>
    </w:p>
    <w:p w14:paraId="31BBDDAB"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 xml:space="preserve">vigente, dé cumplimiento a lo ordenado dentro del </w:t>
      </w:r>
      <w:r w:rsidRPr="00255189">
        <w:rPr>
          <w:rFonts w:ascii="Palatino Linotype" w:eastAsiaTheme="minorEastAsia" w:hAnsi="Palatino Linotype"/>
          <w:color w:val="222222"/>
          <w:sz w:val="24"/>
          <w:szCs w:val="24"/>
          <w:shd w:val="clear" w:color="auto" w:fill="FFFFFF"/>
          <w:lang w:val="es-ES_tradnl"/>
        </w:rPr>
        <w:lastRenderedPageBreak/>
        <w:t>plazo de diez días hábiles, debiendo rendir a este Instituto el informe de cumplimiento de la resolución en un plazo de tres días hábiles posteriores.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D753A3E"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QUINTO.</w:t>
      </w:r>
      <w:r w:rsidR="00CB2836" w:rsidRPr="00255189">
        <w:rPr>
          <w:rFonts w:ascii="Palatino Linotype" w:eastAsia="MS Mincho" w:hAnsi="Palatino Linotype"/>
          <w:sz w:val="24"/>
          <w:szCs w:val="24"/>
        </w:rPr>
        <w:t xml:space="preserve"> </w:t>
      </w:r>
      <w:r w:rsidR="00754DAB" w:rsidRPr="0036769D">
        <w:rPr>
          <w:rFonts w:ascii="Palatino Linotype" w:eastAsia="MS Mincho" w:hAnsi="Palatino Linotype"/>
          <w:sz w:val="24"/>
          <w:szCs w:val="24"/>
          <w:lang w:val="es-ES"/>
        </w:rPr>
        <w:t xml:space="preserve">Se hace del conocimiento de </w:t>
      </w:r>
      <w:r w:rsidR="00754DAB" w:rsidRPr="0036769D">
        <w:rPr>
          <w:rFonts w:ascii="Palatino Linotype" w:hAnsi="Palatino Linotype"/>
          <w:b/>
          <w:sz w:val="24"/>
          <w:szCs w:val="24"/>
        </w:rPr>
        <w:t>RECURRENTE</w:t>
      </w:r>
      <w:r w:rsidR="00754DAB" w:rsidRPr="0036769D">
        <w:rPr>
          <w:rFonts w:ascii="Palatino Linotype" w:hAnsi="Palatino Linotype"/>
          <w:sz w:val="24"/>
          <w:szCs w:val="24"/>
        </w:rPr>
        <w:t xml:space="preserve"> </w:t>
      </w:r>
      <w:r w:rsidR="00754DAB"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754DAB" w:rsidRPr="0036769D">
        <w:rPr>
          <w:rFonts w:ascii="Palatino Linotype" w:hAnsi="Palatino Linotype"/>
          <w:color w:val="000000"/>
          <w:sz w:val="24"/>
          <w:szCs w:val="24"/>
        </w:rPr>
        <w:t xml:space="preserve">en caso de que considere que la resolución le cause algún perjuicio podrá impugnarla vía </w:t>
      </w:r>
      <w:r w:rsidR="00754DAB" w:rsidRPr="0036769D">
        <w:rPr>
          <w:rFonts w:ascii="Palatino Linotype" w:eastAsia="MS Mincho" w:hAnsi="Palatino Linotype"/>
          <w:bCs/>
          <w:sz w:val="24"/>
          <w:szCs w:val="24"/>
          <w:lang w:val="es-ES"/>
        </w:rPr>
        <w:t>juicio de amparo</w:t>
      </w:r>
      <w:r w:rsidR="00754DAB" w:rsidRPr="0036769D">
        <w:rPr>
          <w:rFonts w:ascii="Palatino Linotype" w:eastAsia="MS Mincho" w:hAnsi="Palatino Linotype"/>
          <w:sz w:val="24"/>
          <w:szCs w:val="24"/>
          <w:lang w:val="es-ES"/>
        </w:rPr>
        <w:t> en los términos de las leyes aplicables.</w:t>
      </w:r>
    </w:p>
    <w:p w14:paraId="1B03558B"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1EC98A4"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sidR="00CB2836">
        <w:rPr>
          <w:rFonts w:ascii="Palatino Linotype" w:eastAsia="MS Mincho" w:hAnsi="Palatino Linotype"/>
          <w:b/>
          <w:bCs/>
          <w:sz w:val="24"/>
          <w:szCs w:val="24"/>
        </w:rPr>
        <w:t>.</w:t>
      </w:r>
      <w:r w:rsidR="00CB2836">
        <w:rPr>
          <w:rFonts w:ascii="Palatino Linotype" w:eastAsia="MS Mincho" w:hAnsi="Palatino Linotype"/>
          <w:bCs/>
          <w:sz w:val="24"/>
          <w:szCs w:val="24"/>
        </w:rPr>
        <w:t xml:space="preserve"> Hágase del conocimiento</w:t>
      </w:r>
      <w:r w:rsidR="00CB2836">
        <w:rPr>
          <w:rFonts w:ascii="Palatino Linotype" w:eastAsia="MS Mincho" w:hAnsi="Palatino Linotype"/>
          <w:b/>
          <w:bCs/>
          <w:sz w:val="24"/>
          <w:szCs w:val="24"/>
        </w:rPr>
        <w:t> </w:t>
      </w:r>
      <w:r w:rsidR="00CB2836">
        <w:rPr>
          <w:rFonts w:ascii="Palatino Linotype" w:eastAsia="MS Mincho" w:hAnsi="Palatino Linotype"/>
          <w:sz w:val="24"/>
          <w:szCs w:val="24"/>
        </w:rPr>
        <w:t>del </w:t>
      </w:r>
      <w:r w:rsidR="00CB2836" w:rsidRPr="00C16125">
        <w:rPr>
          <w:rFonts w:ascii="Palatino Linotype" w:hAnsi="Palatino Linotype"/>
          <w:b/>
          <w:color w:val="222222"/>
          <w:sz w:val="24"/>
          <w:szCs w:val="24"/>
          <w:lang w:val="es-ES"/>
        </w:rPr>
        <w:t>RECURRENTE</w:t>
      </w:r>
      <w:r w:rsidR="00CB2836">
        <w:rPr>
          <w:rFonts w:ascii="Palatino Linotype" w:eastAsia="MS Mincho" w:hAnsi="Palatino Linotype"/>
          <w:b/>
          <w:bCs/>
          <w:sz w:val="24"/>
          <w:szCs w:val="24"/>
        </w:rPr>
        <w:t> </w:t>
      </w:r>
      <w:r w:rsidR="00CB2836">
        <w:rPr>
          <w:rFonts w:ascii="Palatino Linotype" w:eastAsia="MS Mincho" w:hAnsi="Palatino Linotype"/>
          <w:sz w:val="24"/>
          <w:szCs w:val="24"/>
        </w:rPr>
        <w:t>que la respuesta que dé </w:t>
      </w:r>
      <w:r w:rsidR="00CB2836">
        <w:rPr>
          <w:rFonts w:ascii="Palatino Linotype" w:eastAsia="MS Mincho" w:hAnsi="Palatino Linotype"/>
          <w:b/>
          <w:bCs/>
          <w:sz w:val="24"/>
          <w:szCs w:val="24"/>
        </w:rPr>
        <w:t>EL SUJETO OBLIGADO</w:t>
      </w:r>
      <w:r w:rsidR="00CB2836">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1EFABE" w14:textId="77777777" w:rsidR="00CB2836"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2786065E" w14:textId="70A0BB77"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sidR="00CB2836">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CB2836">
        <w:rPr>
          <w:rFonts w:ascii="Palatino Linotype" w:eastAsia="MS Mincho" w:hAnsi="Palatino Linotype"/>
          <w:b/>
          <w:sz w:val="24"/>
          <w:szCs w:val="24"/>
        </w:rPr>
        <w:t xml:space="preserve">al SUJETO </w:t>
      </w:r>
      <w:r w:rsidR="00CB2836">
        <w:rPr>
          <w:rFonts w:ascii="Palatino Linotype" w:eastAsia="MS Mincho" w:hAnsi="Palatino Linotype"/>
          <w:b/>
          <w:sz w:val="24"/>
          <w:szCs w:val="24"/>
        </w:rPr>
        <w:lastRenderedPageBreak/>
        <w:t xml:space="preserve">OBLIGADO </w:t>
      </w:r>
      <w:r w:rsidR="00CB2836">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5BAF1897" w14:textId="77777777" w:rsidR="00CB2836"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674F4DE4" w14:textId="0E021F2C" w:rsidR="00CB2836" w:rsidRDefault="00BA1D50" w:rsidP="00CB2836">
      <w:pPr>
        <w:tabs>
          <w:tab w:val="left" w:pos="284"/>
        </w:tabs>
        <w:spacing w:line="360" w:lineRule="auto"/>
        <w:jc w:val="both"/>
        <w:rPr>
          <w:rFonts w:ascii="Palatino Linotype" w:eastAsia="MS Mincho" w:hAnsi="Palatino Linotype"/>
          <w:b/>
          <w:sz w:val="24"/>
          <w:szCs w:val="24"/>
          <w:lang w:val="es-ES_tradnl"/>
        </w:rPr>
      </w:pPr>
      <w:r w:rsidRPr="00973A51">
        <w:rPr>
          <w:rFonts w:ascii="Palatino Linotype" w:eastAsia="MS Mincho" w:hAnsi="Palatino Linotype"/>
          <w:b/>
          <w:sz w:val="24"/>
          <w:szCs w:val="24"/>
          <w:lang w:val="es-ES_tradnl"/>
        </w:rPr>
        <w:t>OCTAVO</w:t>
      </w:r>
      <w:r w:rsidR="00CB2836" w:rsidRPr="00973A51">
        <w:rPr>
          <w:rFonts w:ascii="Palatino Linotype" w:eastAsia="MS Mincho" w:hAnsi="Palatino Linotype"/>
          <w:b/>
          <w:sz w:val="24"/>
          <w:szCs w:val="24"/>
          <w:lang w:val="es-ES_tradnl"/>
        </w:rPr>
        <w:t xml:space="preserve">. </w:t>
      </w:r>
      <w:r w:rsidR="00CB2836" w:rsidRPr="00973A51">
        <w:rPr>
          <w:rFonts w:ascii="Palatino Linotype" w:eastAsia="MS Mincho" w:hAnsi="Palatino Linotype"/>
          <w:sz w:val="24"/>
          <w:szCs w:val="24"/>
          <w:lang w:val="es-ES_tradnl"/>
        </w:rPr>
        <w:t xml:space="preserve">Gírese oficio al Órgano </w:t>
      </w:r>
      <w:r w:rsidR="003120F6" w:rsidRPr="00973A51">
        <w:rPr>
          <w:rFonts w:ascii="Palatino Linotype" w:eastAsia="MS Mincho" w:hAnsi="Palatino Linotype"/>
          <w:sz w:val="24"/>
          <w:szCs w:val="24"/>
          <w:lang w:val="es-ES_tradnl"/>
        </w:rPr>
        <w:t xml:space="preserve">Interno de Control </w:t>
      </w:r>
      <w:r w:rsidR="00CB2836" w:rsidRPr="00973A51">
        <w:rPr>
          <w:rFonts w:ascii="Palatino Linotype" w:eastAsia="MS Mincho" w:hAnsi="Palatino Linotype"/>
          <w:sz w:val="24"/>
          <w:szCs w:val="24"/>
          <w:lang w:val="es-ES_tradnl"/>
        </w:rPr>
        <w:t>de este Instituto para hacer de su conocimiento la presente resolución a fin de que en ejercicio de</w:t>
      </w:r>
      <w:bookmarkStart w:id="36" w:name="_GoBack"/>
      <w:bookmarkEnd w:id="36"/>
      <w:r w:rsidR="00CB2836">
        <w:rPr>
          <w:rFonts w:ascii="Palatino Linotype" w:eastAsia="MS Mincho" w:hAnsi="Palatino Linotype"/>
          <w:sz w:val="24"/>
          <w:szCs w:val="24"/>
          <w:lang w:val="es-ES_tradnl"/>
        </w:rPr>
        <w:t xml:space="preserve"> sus atribuciones y de conformidad al artículo 190 de la Ley de Transparencia y Acceso a la Información Pública del Estado de México y Municipios, determine lo conducente en términos del </w:t>
      </w:r>
      <w:r w:rsidR="00CB2836">
        <w:rPr>
          <w:rFonts w:ascii="Palatino Linotype" w:eastAsia="MS Mincho" w:hAnsi="Palatino Linotype"/>
          <w:b/>
          <w:sz w:val="24"/>
          <w:szCs w:val="24"/>
          <w:lang w:val="es-ES_tradnl"/>
        </w:rPr>
        <w:t>Considerando SEXTO.</w:t>
      </w:r>
    </w:p>
    <w:p w14:paraId="2CCB4C22" w14:textId="77777777" w:rsidR="00C06A8D" w:rsidRPr="00F74362" w:rsidRDefault="00C06A8D" w:rsidP="00C06A8D">
      <w:pPr>
        <w:spacing w:before="240" w:after="240" w:line="360" w:lineRule="auto"/>
        <w:ind w:firstLine="1"/>
        <w:jc w:val="both"/>
        <w:rPr>
          <w:rFonts w:ascii="Palatino Linotype" w:hAnsi="Palatino Linotype"/>
          <w:smallCaps/>
        </w:rPr>
      </w:pPr>
      <w:bookmarkStart w:id="37" w:name="_Hlk129792997"/>
      <w:r w:rsidRPr="00F74362">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 </w:t>
      </w:r>
      <w:bookmarkEnd w:id="37"/>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50383" w14:textId="77777777" w:rsidR="00A75C39" w:rsidRDefault="00A75C39">
      <w:r>
        <w:separator/>
      </w:r>
    </w:p>
  </w:endnote>
  <w:endnote w:type="continuationSeparator" w:id="0">
    <w:p w14:paraId="036D2928" w14:textId="77777777" w:rsidR="00A75C39" w:rsidRDefault="00A7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C7824" w:rsidRDefault="001C7824">
            <w:pPr>
              <w:pStyle w:val="Piedepgina"/>
              <w:jc w:val="right"/>
            </w:pPr>
          </w:p>
          <w:p w14:paraId="1F7A191C" w14:textId="2A69F491" w:rsidR="001C7824" w:rsidRDefault="001C78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3A51">
              <w:rPr>
                <w:b/>
                <w:bCs/>
                <w:noProof/>
              </w:rPr>
              <w:t>67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A51">
              <w:rPr>
                <w:b/>
                <w:bCs/>
                <w:noProof/>
              </w:rPr>
              <w:t>68</w:t>
            </w:r>
            <w:r>
              <w:rPr>
                <w:b/>
                <w:bCs/>
                <w:sz w:val="24"/>
                <w:szCs w:val="24"/>
              </w:rPr>
              <w:fldChar w:fldCharType="end"/>
            </w:r>
          </w:p>
        </w:sdtContent>
      </w:sdt>
    </w:sdtContent>
  </w:sdt>
  <w:p w14:paraId="2A221972" w14:textId="77777777" w:rsidR="001C7824" w:rsidRDefault="001C7824">
    <w:pPr>
      <w:pStyle w:val="Piedepgina"/>
    </w:pPr>
  </w:p>
  <w:p w14:paraId="1D6FF208" w14:textId="77777777" w:rsidR="001C7824" w:rsidRDefault="001C7824"/>
  <w:p w14:paraId="70055CD7" w14:textId="77777777" w:rsidR="001C7824" w:rsidRDefault="001C7824"/>
  <w:p w14:paraId="5452645F" w14:textId="77777777" w:rsidR="001C7824" w:rsidRDefault="001C78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C7824" w:rsidRDefault="001C78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3A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A51">
              <w:rPr>
                <w:b/>
                <w:bCs/>
                <w:noProof/>
              </w:rPr>
              <w:t>68</w:t>
            </w:r>
            <w:r>
              <w:rPr>
                <w:b/>
                <w:bCs/>
                <w:sz w:val="24"/>
                <w:szCs w:val="24"/>
              </w:rPr>
              <w:fldChar w:fldCharType="end"/>
            </w:r>
          </w:p>
        </w:sdtContent>
      </w:sdt>
    </w:sdtContent>
  </w:sdt>
  <w:p w14:paraId="2D12AEB2" w14:textId="77777777" w:rsidR="001C7824" w:rsidRDefault="001C7824">
    <w:pPr>
      <w:pStyle w:val="Piedepgina"/>
    </w:pPr>
  </w:p>
  <w:p w14:paraId="54227169" w14:textId="77777777" w:rsidR="001C7824" w:rsidRDefault="001C7824"/>
  <w:p w14:paraId="7DE40FB1" w14:textId="77777777" w:rsidR="001C7824" w:rsidRDefault="001C7824"/>
  <w:p w14:paraId="33755E87" w14:textId="77777777" w:rsidR="001C7824" w:rsidRDefault="001C78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BF214" w14:textId="77777777" w:rsidR="00A75C39" w:rsidRDefault="00A75C39">
      <w:r>
        <w:separator/>
      </w:r>
    </w:p>
  </w:footnote>
  <w:footnote w:type="continuationSeparator" w:id="0">
    <w:p w14:paraId="3DC65E70" w14:textId="77777777" w:rsidR="00A75C39" w:rsidRDefault="00A75C39">
      <w:r>
        <w:continuationSeparator/>
      </w:r>
    </w:p>
  </w:footnote>
  <w:footnote w:id="1">
    <w:p w14:paraId="625BCC19" w14:textId="77777777" w:rsidR="001C7824" w:rsidRDefault="001C7824" w:rsidP="00030C87">
      <w:pPr>
        <w:pStyle w:val="Textonotapie"/>
      </w:pPr>
      <w:r>
        <w:rPr>
          <w:rStyle w:val="Refdenotaalpie"/>
        </w:rPr>
        <w:footnoteRef/>
      </w:r>
      <w:r>
        <w:t xml:space="preserve"> Convención Americana sobre Derechos Humanos. Artículo 13.</w:t>
      </w:r>
    </w:p>
  </w:footnote>
  <w:footnote w:id="2">
    <w:p w14:paraId="76B1CB8C" w14:textId="77777777" w:rsidR="001C7824" w:rsidRDefault="001C7824"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1C7824" w:rsidRDefault="001C7824"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1C7824" w:rsidRDefault="001C7824"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1C7824" w:rsidRDefault="001C7824"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C7824" w:rsidRDefault="001C7824" w:rsidP="00030C87">
      <w:pPr>
        <w:pStyle w:val="Textonotapie"/>
      </w:pPr>
      <w:r>
        <w:t>II. Eficacia: Obligación del Instituto para tutelar, de manera efectiva, el derecho de acceso a la información;</w:t>
      </w:r>
    </w:p>
    <w:p w14:paraId="0DC8B13D" w14:textId="77777777" w:rsidR="001C7824" w:rsidRDefault="001C7824" w:rsidP="00030C87">
      <w:pPr>
        <w:pStyle w:val="Textonotapie"/>
      </w:pPr>
      <w:r>
        <w:t xml:space="preserve">… </w:t>
      </w:r>
    </w:p>
  </w:footnote>
  <w:footnote w:id="6">
    <w:p w14:paraId="6BF1E49A" w14:textId="77777777" w:rsidR="001C7824" w:rsidRDefault="001C7824" w:rsidP="0083245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9DBDFFB" w14:textId="77777777" w:rsidR="001C7824" w:rsidRDefault="001C7824" w:rsidP="0083245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32C79B9" w14:textId="77777777" w:rsidR="001C7824" w:rsidRPr="001E1F95" w:rsidRDefault="001C7824" w:rsidP="0083245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1C468A5F" w14:textId="77777777" w:rsidR="001C7824" w:rsidRPr="00ED2A04" w:rsidRDefault="001C7824" w:rsidP="0083245B">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8">
    <w:p w14:paraId="59372205" w14:textId="77777777" w:rsidR="001C7824" w:rsidRPr="00ED2A04" w:rsidRDefault="001C7824" w:rsidP="0083245B">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9">
    <w:p w14:paraId="33210CE8" w14:textId="77777777" w:rsidR="001C7824" w:rsidRPr="000406A4" w:rsidRDefault="001C7824" w:rsidP="0083245B">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0">
    <w:p w14:paraId="15F8FA20" w14:textId="77777777" w:rsidR="001C7824" w:rsidRPr="000406A4" w:rsidRDefault="001C7824" w:rsidP="0083245B">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1">
    <w:p w14:paraId="0BA048F0" w14:textId="77777777" w:rsidR="001C7824" w:rsidRPr="000406A4" w:rsidRDefault="001C7824" w:rsidP="0083245B">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2">
    <w:p w14:paraId="1F1AD237" w14:textId="77777777" w:rsidR="001C7824" w:rsidRPr="000406A4" w:rsidRDefault="001C7824" w:rsidP="0083245B">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3">
    <w:p w14:paraId="62FF5634" w14:textId="77777777" w:rsidR="001C7824" w:rsidRPr="000406A4" w:rsidRDefault="001C7824" w:rsidP="0083245B">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4">
    <w:p w14:paraId="789AFB01" w14:textId="77777777" w:rsidR="001C7824" w:rsidRPr="00042E67" w:rsidRDefault="001C7824" w:rsidP="0083245B">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color w:val="000000" w:themeColor="text1"/>
          <w:lang w:eastAsia="es-ES_tradnl"/>
        </w:rPr>
        <w:t>tests</w:t>
      </w:r>
      <w:proofErr w:type="spellEnd"/>
      <w:r w:rsidRPr="00042E67">
        <w:rPr>
          <w:color w:val="000000" w:themeColor="text1"/>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w:t>
      </w:r>
      <w:proofErr w:type="spellStart"/>
      <w:r w:rsidRPr="00042E67">
        <w:rPr>
          <w:color w:val="000000" w:themeColor="text1"/>
          <w:lang w:eastAsia="es-ES_tradnl"/>
        </w:rPr>
        <w:t>Lluy</w:t>
      </w:r>
      <w:proofErr w:type="spellEnd"/>
      <w:r w:rsidRPr="00042E67">
        <w:rPr>
          <w:color w:val="000000" w:themeColor="text1"/>
          <w:lang w:eastAsia="es-ES_tradnl"/>
        </w:rPr>
        <w:t xml:space="preserve"> y otros contra Ecuador. Excepciones preliminares, fondo, reparaciones y costas. Sentencia del 01 de septiembre de 2015. Párr. 256. </w:t>
      </w:r>
    </w:p>
  </w:footnote>
  <w:footnote w:id="15">
    <w:p w14:paraId="6C9C47B4" w14:textId="77777777" w:rsidR="001C7824" w:rsidRPr="00A4142C" w:rsidRDefault="001C7824" w:rsidP="0083245B">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6">
    <w:p w14:paraId="4277A56C" w14:textId="77777777" w:rsidR="001C7824" w:rsidRDefault="001C7824" w:rsidP="0083245B">
      <w:pPr>
        <w:pStyle w:val="Textonotapie"/>
      </w:pPr>
      <w:r>
        <w:rPr>
          <w:rStyle w:val="Refdenotaalpie"/>
        </w:rPr>
        <w:footnoteRef/>
      </w:r>
      <w:r>
        <w:t xml:space="preserve"> </w:t>
      </w:r>
      <w:hyperlink r:id="rId8" w:history="1">
        <w:r w:rsidRPr="00495724">
          <w:rPr>
            <w:rStyle w:val="Hipervnculo"/>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C7824" w:rsidRDefault="00A75C3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C7824" w:rsidRDefault="001C7824"/>
  <w:p w14:paraId="77B719CE" w14:textId="77777777" w:rsidR="001C7824" w:rsidRDefault="001C7824"/>
  <w:p w14:paraId="50A3AAAA" w14:textId="77777777" w:rsidR="001C7824" w:rsidRDefault="001C78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C7824" w14:paraId="6255E3A4" w14:textId="77777777" w:rsidTr="00814079">
      <w:trPr>
        <w:trHeight w:val="1435"/>
      </w:trPr>
      <w:tc>
        <w:tcPr>
          <w:tcW w:w="1843" w:type="dxa"/>
          <w:shd w:val="clear" w:color="auto" w:fill="auto"/>
        </w:tcPr>
        <w:p w14:paraId="3E05202F" w14:textId="4A7C9DF8" w:rsidR="001C7824" w:rsidRDefault="001C782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C7824" w:rsidRDefault="001C7824"/>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C7824" w14:paraId="727F90BF" w14:textId="77777777" w:rsidTr="007441D8">
            <w:trPr>
              <w:trHeight w:val="338"/>
            </w:trPr>
            <w:tc>
              <w:tcPr>
                <w:tcW w:w="2551" w:type="dxa"/>
              </w:tcPr>
              <w:p w14:paraId="23087CD5" w14:textId="77777777" w:rsidR="001C7824" w:rsidRDefault="001C7824">
                <w:pPr>
                  <w:tabs>
                    <w:tab w:val="right" w:pos="8838"/>
                  </w:tabs>
                  <w:ind w:right="-105"/>
                  <w:rPr>
                    <w:rFonts w:ascii="Palatino Linotype" w:eastAsia="Calibri" w:hAnsi="Palatino Linotype" w:cs="Tahoma"/>
                    <w:b/>
                    <w:sz w:val="22"/>
                    <w:szCs w:val="22"/>
                    <w:lang w:eastAsia="en-US"/>
                  </w:rPr>
                </w:pPr>
              </w:p>
              <w:p w14:paraId="410A3741" w14:textId="535C9D39" w:rsidR="001C7824" w:rsidRDefault="001C782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1C7824" w:rsidRDefault="001C7824" w:rsidP="00427B6E">
                <w:pPr>
                  <w:tabs>
                    <w:tab w:val="right" w:pos="8838"/>
                  </w:tabs>
                  <w:ind w:right="-105" w:hanging="101"/>
                  <w:jc w:val="both"/>
                  <w:rPr>
                    <w:rFonts w:ascii="Palatino Linotype" w:eastAsia="Calibri" w:hAnsi="Palatino Linotype" w:cs="Tahoma"/>
                    <w:bCs/>
                    <w:sz w:val="22"/>
                    <w:szCs w:val="22"/>
                    <w:lang w:eastAsia="en-US"/>
                  </w:rPr>
                </w:pPr>
              </w:p>
              <w:p w14:paraId="3FF69A05" w14:textId="34A2D26E" w:rsidR="001C7824" w:rsidRDefault="001C7824" w:rsidP="00B13121">
                <w:pPr>
                  <w:tabs>
                    <w:tab w:val="right" w:pos="8838"/>
                  </w:tabs>
                  <w:ind w:right="-105" w:hanging="101"/>
                  <w:jc w:val="both"/>
                  <w:rPr>
                    <w:rFonts w:ascii="Palatino Linotype" w:eastAsia="Calibri" w:hAnsi="Palatino Linotype" w:cs="Tahoma"/>
                    <w:bCs/>
                    <w:sz w:val="22"/>
                    <w:szCs w:val="22"/>
                    <w:lang w:eastAsia="en-US"/>
                  </w:rPr>
                </w:pPr>
                <w:r w:rsidRPr="00C07218">
                  <w:rPr>
                    <w:rFonts w:ascii="Palatino Linotype" w:hAnsi="Palatino Linotype"/>
                    <w:sz w:val="22"/>
                    <w:szCs w:val="24"/>
                  </w:rPr>
                  <w:t>16988</w:t>
                </w:r>
                <w:r w:rsidRPr="00C07218">
                  <w:rPr>
                    <w:rFonts w:ascii="Palatino Linotype" w:eastAsia="Calibri" w:hAnsi="Palatino Linotype" w:cs="Tahoma"/>
                    <w:sz w:val="22"/>
                    <w:lang w:eastAsia="en-US"/>
                  </w:rPr>
                  <w:t>/INFOEM/IP/RR/2022</w:t>
                </w:r>
              </w:p>
            </w:tc>
          </w:tr>
          <w:tr w:rsidR="001C7824" w14:paraId="1389436A" w14:textId="128385F2" w:rsidTr="007441D8">
            <w:trPr>
              <w:trHeight w:val="283"/>
            </w:trPr>
            <w:tc>
              <w:tcPr>
                <w:tcW w:w="2551" w:type="dxa"/>
              </w:tcPr>
              <w:p w14:paraId="22E0F4E9" w14:textId="77777777" w:rsidR="001C7824" w:rsidRDefault="001C7824">
                <w:pPr>
                  <w:tabs>
                    <w:tab w:val="right" w:pos="8838"/>
                  </w:tabs>
                  <w:ind w:right="-105"/>
                  <w:rPr>
                    <w:rFonts w:ascii="Palatino Linotype" w:eastAsia="Calibri" w:hAnsi="Palatino Linotype" w:cs="Tahoma"/>
                    <w:b/>
                    <w:sz w:val="22"/>
                    <w:szCs w:val="22"/>
                    <w:lang w:eastAsia="en-US"/>
                  </w:rPr>
                </w:pPr>
                <w:bookmarkStart w:id="38" w:name="_Hlk33010189"/>
                <w:r>
                  <w:rPr>
                    <w:rFonts w:ascii="Palatino Linotype" w:eastAsia="Calibri" w:hAnsi="Palatino Linotype" w:cs="Tahoma"/>
                    <w:b/>
                    <w:sz w:val="22"/>
                    <w:szCs w:val="22"/>
                    <w:lang w:eastAsia="en-US"/>
                  </w:rPr>
                  <w:t>Sujeto Obligado:</w:t>
                </w:r>
              </w:p>
            </w:tc>
            <w:tc>
              <w:tcPr>
                <w:tcW w:w="2977" w:type="dxa"/>
              </w:tcPr>
              <w:p w14:paraId="2B205C7F" w14:textId="4A4345C0" w:rsidR="001C7824" w:rsidRPr="00B13121" w:rsidRDefault="001C7824" w:rsidP="00BA796B">
                <w:pPr>
                  <w:tabs>
                    <w:tab w:val="left" w:pos="2834"/>
                    <w:tab w:val="right" w:pos="8838"/>
                  </w:tabs>
                  <w:ind w:left="-113" w:right="-107"/>
                  <w:jc w:val="both"/>
                  <w:rPr>
                    <w:rFonts w:ascii="Palatino Linotype" w:eastAsia="Calibri" w:hAnsi="Palatino Linotype" w:cs="Tahoma"/>
                    <w:sz w:val="22"/>
                    <w:szCs w:val="22"/>
                    <w:lang w:eastAsia="en-US"/>
                  </w:rPr>
                </w:pPr>
                <w:r w:rsidRPr="00C07218">
                  <w:rPr>
                    <w:rFonts w:ascii="Palatino Linotype" w:eastAsia="Calibri" w:hAnsi="Palatino Linotype" w:cs="Arial"/>
                    <w:sz w:val="22"/>
                  </w:rPr>
                  <w:t>Organismo Público Descentralizado de Agua Potable Alcantarillado y Saneamiento de Chimalhuacán</w:t>
                </w:r>
              </w:p>
            </w:tc>
          </w:tr>
          <w:bookmarkEnd w:id="38"/>
          <w:tr w:rsidR="001C7824" w14:paraId="28CCE4E5" w14:textId="77777777" w:rsidTr="007441D8">
            <w:trPr>
              <w:trHeight w:val="283"/>
            </w:trPr>
            <w:tc>
              <w:tcPr>
                <w:tcW w:w="2551" w:type="dxa"/>
              </w:tcPr>
              <w:p w14:paraId="13EBF3BB" w14:textId="6E4ECE4B" w:rsidR="001C7824" w:rsidRDefault="001C782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C7824" w:rsidRDefault="001C7824"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C7824" w:rsidRDefault="001C7824">
          <w:pPr>
            <w:tabs>
              <w:tab w:val="right" w:pos="8838"/>
            </w:tabs>
            <w:ind w:left="-28"/>
            <w:jc w:val="both"/>
            <w:rPr>
              <w:rFonts w:ascii="Arial" w:eastAsia="Calibri" w:hAnsi="Arial" w:cs="Arial"/>
              <w:b/>
              <w:sz w:val="22"/>
              <w:szCs w:val="22"/>
              <w:lang w:eastAsia="en-US"/>
            </w:rPr>
          </w:pPr>
        </w:p>
      </w:tc>
    </w:tr>
  </w:tbl>
  <w:p w14:paraId="07EF2D29" w14:textId="1620A8B4" w:rsidR="001C7824" w:rsidRDefault="00A75C3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C7824" w:rsidRDefault="001C7824"/>
  <w:p w14:paraId="104386EF" w14:textId="77777777" w:rsidR="001C7824" w:rsidRDefault="001C7824"/>
  <w:p w14:paraId="60A3E393" w14:textId="77777777" w:rsidR="001C7824" w:rsidRDefault="001C78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C7824" w14:paraId="61517A1D" w14:textId="77777777" w:rsidTr="003A6126">
      <w:trPr>
        <w:trHeight w:val="1435"/>
      </w:trPr>
      <w:tc>
        <w:tcPr>
          <w:tcW w:w="1560" w:type="dxa"/>
          <w:shd w:val="clear" w:color="auto" w:fill="auto"/>
        </w:tcPr>
        <w:p w14:paraId="4B74E846" w14:textId="1E0D62B9" w:rsidR="001C7824" w:rsidRDefault="001C782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C7824" w14:paraId="7F59E1EF" w14:textId="77777777" w:rsidTr="007441D8">
            <w:trPr>
              <w:trHeight w:val="144"/>
            </w:trPr>
            <w:tc>
              <w:tcPr>
                <w:tcW w:w="2444" w:type="dxa"/>
              </w:tcPr>
              <w:p w14:paraId="5EFF942E" w14:textId="77777777" w:rsidR="001C7824" w:rsidRDefault="001C7824" w:rsidP="000D485D">
                <w:pPr>
                  <w:tabs>
                    <w:tab w:val="right" w:pos="8838"/>
                  </w:tabs>
                  <w:ind w:left="-74" w:right="-105"/>
                  <w:rPr>
                    <w:rFonts w:ascii="Palatino Linotype" w:eastAsia="Calibri" w:hAnsi="Palatino Linotype" w:cs="Tahoma"/>
                    <w:b/>
                    <w:sz w:val="22"/>
                    <w:szCs w:val="22"/>
                    <w:lang w:eastAsia="en-US"/>
                  </w:rPr>
                </w:pPr>
                <w:bookmarkStart w:id="39" w:name="_Hlk12526980"/>
                <w:r>
                  <w:rPr>
                    <w:rFonts w:ascii="Palatino Linotype" w:eastAsia="Calibri" w:hAnsi="Palatino Linotype" w:cs="Tahoma"/>
                    <w:b/>
                    <w:sz w:val="22"/>
                    <w:szCs w:val="22"/>
                    <w:lang w:eastAsia="en-US"/>
                  </w:rPr>
                  <w:t>Recurso de Revisión:</w:t>
                </w:r>
              </w:p>
            </w:tc>
            <w:tc>
              <w:tcPr>
                <w:tcW w:w="3084" w:type="dxa"/>
              </w:tcPr>
              <w:p w14:paraId="0DE47EE2" w14:textId="5B97F6A0" w:rsidR="001C7824" w:rsidRPr="00C07218" w:rsidRDefault="001C7824" w:rsidP="00BA796B">
                <w:pPr>
                  <w:tabs>
                    <w:tab w:val="right" w:pos="8838"/>
                  </w:tabs>
                  <w:ind w:left="-3" w:right="-105"/>
                  <w:jc w:val="both"/>
                  <w:rPr>
                    <w:rFonts w:ascii="Palatino Linotype" w:eastAsia="Calibri" w:hAnsi="Palatino Linotype" w:cs="Tahoma"/>
                    <w:sz w:val="22"/>
                    <w:szCs w:val="22"/>
                    <w:lang w:eastAsia="en-US"/>
                  </w:rPr>
                </w:pPr>
                <w:r w:rsidRPr="00C07218">
                  <w:rPr>
                    <w:rFonts w:ascii="Palatino Linotype" w:hAnsi="Palatino Linotype"/>
                    <w:sz w:val="22"/>
                    <w:szCs w:val="24"/>
                  </w:rPr>
                  <w:t>16988</w:t>
                </w:r>
                <w:r w:rsidRPr="00C07218">
                  <w:rPr>
                    <w:rFonts w:ascii="Palatino Linotype" w:eastAsia="Calibri" w:hAnsi="Palatino Linotype" w:cs="Tahoma"/>
                    <w:sz w:val="22"/>
                    <w:lang w:eastAsia="en-US"/>
                  </w:rPr>
                  <w:t>/INFOEM/IP/RR/2022</w:t>
                </w:r>
              </w:p>
            </w:tc>
            <w:tc>
              <w:tcPr>
                <w:tcW w:w="3402" w:type="dxa"/>
              </w:tcPr>
              <w:p w14:paraId="11E4533C" w14:textId="3B21362A" w:rsidR="001C7824" w:rsidRDefault="001C7824">
                <w:pPr>
                  <w:tabs>
                    <w:tab w:val="right" w:pos="8838"/>
                  </w:tabs>
                  <w:ind w:left="-74" w:right="-105"/>
                  <w:jc w:val="both"/>
                  <w:rPr>
                    <w:rFonts w:ascii="Palatino Linotype" w:eastAsia="Calibri" w:hAnsi="Palatino Linotype" w:cs="Tahoma"/>
                    <w:bCs/>
                    <w:sz w:val="22"/>
                    <w:szCs w:val="22"/>
                    <w:lang w:eastAsia="en-US"/>
                  </w:rPr>
                </w:pPr>
              </w:p>
            </w:tc>
          </w:tr>
          <w:tr w:rsidR="001C7824" w14:paraId="3FC4FA7D" w14:textId="77777777" w:rsidTr="007441D8">
            <w:trPr>
              <w:trHeight w:val="144"/>
            </w:trPr>
            <w:tc>
              <w:tcPr>
                <w:tcW w:w="2444" w:type="dxa"/>
              </w:tcPr>
              <w:p w14:paraId="363D966B" w14:textId="77777777" w:rsidR="001C7824" w:rsidRDefault="001C7824" w:rsidP="000D485D">
                <w:pPr>
                  <w:tabs>
                    <w:tab w:val="right" w:pos="8838"/>
                  </w:tabs>
                  <w:ind w:left="-74" w:right="-105"/>
                  <w:rPr>
                    <w:rFonts w:ascii="Palatino Linotype" w:eastAsia="Calibri" w:hAnsi="Palatino Linotype" w:cs="Tahoma"/>
                    <w:b/>
                    <w:sz w:val="22"/>
                    <w:szCs w:val="22"/>
                    <w:lang w:eastAsia="en-US"/>
                  </w:rPr>
                </w:pPr>
                <w:bookmarkStart w:id="40" w:name="_Hlk10641523"/>
                <w:bookmarkEnd w:id="39"/>
                <w:r>
                  <w:rPr>
                    <w:rFonts w:ascii="Palatino Linotype" w:eastAsia="Calibri" w:hAnsi="Palatino Linotype" w:cs="Tahoma"/>
                    <w:b/>
                    <w:sz w:val="22"/>
                    <w:szCs w:val="22"/>
                    <w:lang w:eastAsia="en-US"/>
                  </w:rPr>
                  <w:t>Recurrente:</w:t>
                </w:r>
              </w:p>
            </w:tc>
            <w:tc>
              <w:tcPr>
                <w:tcW w:w="3084" w:type="dxa"/>
              </w:tcPr>
              <w:p w14:paraId="73C065CD" w14:textId="1FBE3D92" w:rsidR="001C7824" w:rsidRPr="00C07218" w:rsidRDefault="00973A51" w:rsidP="00C07218">
                <w:pPr>
                  <w:tabs>
                    <w:tab w:val="right" w:pos="8838"/>
                  </w:tabs>
                  <w:ind w:right="-105"/>
                  <w:jc w:val="both"/>
                  <w:rPr>
                    <w:rFonts w:ascii="Palatino Linotype" w:eastAsia="Calibri" w:hAnsi="Palatino Linotype" w:cs="Tahoma"/>
                    <w:sz w:val="22"/>
                    <w:szCs w:val="22"/>
                    <w:lang w:eastAsia="en-US"/>
                  </w:rPr>
                </w:pPr>
                <w:r>
                  <w:rPr>
                    <w:rFonts w:ascii="Palatino Linotype" w:hAnsi="Palatino Linotype"/>
                    <w:szCs w:val="24"/>
                  </w:rPr>
                  <w:t>XXXXXXXX</w:t>
                </w:r>
              </w:p>
            </w:tc>
            <w:tc>
              <w:tcPr>
                <w:tcW w:w="3402" w:type="dxa"/>
              </w:tcPr>
              <w:p w14:paraId="370E6EFF" w14:textId="7011873D" w:rsidR="001C7824" w:rsidRDefault="001C7824" w:rsidP="003037E1">
                <w:pPr>
                  <w:tabs>
                    <w:tab w:val="left" w:pos="3122"/>
                    <w:tab w:val="right" w:pos="8838"/>
                  </w:tabs>
                  <w:ind w:right="-105"/>
                  <w:jc w:val="both"/>
                  <w:rPr>
                    <w:rFonts w:ascii="Palatino Linotype" w:eastAsia="Calibri" w:hAnsi="Palatino Linotype" w:cs="Tahoma"/>
                    <w:sz w:val="22"/>
                    <w:szCs w:val="22"/>
                    <w:lang w:eastAsia="en-US"/>
                  </w:rPr>
                </w:pPr>
              </w:p>
            </w:tc>
          </w:tr>
          <w:bookmarkEnd w:id="40"/>
          <w:tr w:rsidR="001C7824" w14:paraId="4D832A43" w14:textId="77777777" w:rsidTr="007441D8">
            <w:trPr>
              <w:trHeight w:val="283"/>
            </w:trPr>
            <w:tc>
              <w:tcPr>
                <w:tcW w:w="2444" w:type="dxa"/>
              </w:tcPr>
              <w:p w14:paraId="02CA5CB0" w14:textId="77777777" w:rsidR="001C7824" w:rsidRDefault="001C782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3EBE8223" w:rsidR="001C7824" w:rsidRPr="00396CF5" w:rsidRDefault="001C7824" w:rsidP="00C56D1A">
                <w:pPr>
                  <w:tabs>
                    <w:tab w:val="left" w:pos="2834"/>
                    <w:tab w:val="right" w:pos="8838"/>
                  </w:tabs>
                  <w:ind w:left="-3" w:right="-105"/>
                  <w:jc w:val="both"/>
                  <w:rPr>
                    <w:rFonts w:ascii="Palatino Linotype" w:eastAsia="Calibri" w:hAnsi="Palatino Linotype" w:cs="Tahoma"/>
                    <w:sz w:val="22"/>
                    <w:szCs w:val="22"/>
                    <w:lang w:eastAsia="en-US"/>
                  </w:rPr>
                </w:pPr>
                <w:r w:rsidRPr="00C07218">
                  <w:rPr>
                    <w:rFonts w:ascii="Palatino Linotype" w:eastAsia="Calibri" w:hAnsi="Palatino Linotype" w:cs="Arial"/>
                    <w:sz w:val="22"/>
                  </w:rPr>
                  <w:t>Organismo Público Descentralizado de Agua Potable Alcantarillado y Saneamiento de Chimalhuacán</w:t>
                </w:r>
              </w:p>
            </w:tc>
            <w:tc>
              <w:tcPr>
                <w:tcW w:w="3402" w:type="dxa"/>
              </w:tcPr>
              <w:p w14:paraId="00F18B8C" w14:textId="77777777" w:rsidR="001C7824" w:rsidRDefault="001C7824">
                <w:pPr>
                  <w:tabs>
                    <w:tab w:val="left" w:pos="2834"/>
                    <w:tab w:val="right" w:pos="8838"/>
                  </w:tabs>
                  <w:ind w:left="-74" w:right="-105"/>
                  <w:jc w:val="both"/>
                  <w:rPr>
                    <w:rFonts w:ascii="Palatino Linotype" w:eastAsia="Calibri" w:hAnsi="Palatino Linotype" w:cs="Tahoma"/>
                    <w:sz w:val="22"/>
                    <w:szCs w:val="22"/>
                    <w:lang w:eastAsia="en-US"/>
                  </w:rPr>
                </w:pPr>
              </w:p>
            </w:tc>
          </w:tr>
          <w:tr w:rsidR="001C7824" w14:paraId="7BC74D7A" w14:textId="77777777" w:rsidTr="007441D8">
            <w:trPr>
              <w:trHeight w:val="283"/>
            </w:trPr>
            <w:tc>
              <w:tcPr>
                <w:tcW w:w="2444" w:type="dxa"/>
              </w:tcPr>
              <w:p w14:paraId="3BF93338" w14:textId="01E84F2D" w:rsidR="001C7824" w:rsidRDefault="001C782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1C7824" w:rsidRPr="003037E1" w:rsidRDefault="001C7824"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C7824" w:rsidRDefault="001C7824">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C7824" w:rsidRDefault="001C7824">
          <w:pPr>
            <w:tabs>
              <w:tab w:val="right" w:pos="8838"/>
            </w:tabs>
            <w:ind w:left="-28"/>
            <w:jc w:val="both"/>
            <w:rPr>
              <w:rFonts w:ascii="Arial" w:eastAsia="Calibri" w:hAnsi="Arial" w:cs="Arial"/>
              <w:b/>
              <w:sz w:val="22"/>
              <w:szCs w:val="22"/>
              <w:lang w:eastAsia="en-US"/>
            </w:rPr>
          </w:pPr>
        </w:p>
      </w:tc>
    </w:tr>
  </w:tbl>
  <w:p w14:paraId="5F654A99" w14:textId="6CB7D4AE" w:rsidR="001C7824" w:rsidRDefault="00A75C3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C7824" w:rsidRDefault="001C7824"/>
  <w:p w14:paraId="69AC6122" w14:textId="77777777" w:rsidR="001C7824" w:rsidRDefault="001C78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2970495"/>
    <w:multiLevelType w:val="hybridMultilevel"/>
    <w:tmpl w:val="E49A8700"/>
    <w:lvl w:ilvl="0" w:tplc="721CF90A">
      <w:start w:val="1"/>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9028E9B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1EC600D6">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56F6A2D8">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C37024EA">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8400985E">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D2B63B34">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87CADE98">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16528788">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3">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3E2F74"/>
    <w:multiLevelType w:val="hybridMultilevel"/>
    <w:tmpl w:val="6630A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74212E"/>
    <w:multiLevelType w:val="hybridMultilevel"/>
    <w:tmpl w:val="064CE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66B4831"/>
    <w:multiLevelType w:val="hybridMultilevel"/>
    <w:tmpl w:val="AD38AC24"/>
    <w:lvl w:ilvl="0" w:tplc="520AD5B2">
      <w:start w:val="1"/>
      <w:numFmt w:val="lowerLetter"/>
      <w:lvlText w:val="%1)"/>
      <w:lvlJc w:val="left"/>
      <w:pPr>
        <w:ind w:left="927" w:hanging="360"/>
      </w:pPr>
      <w:rPr>
        <w:rFonts w:eastAsia="Times New Roman" w:cs="Times New Roman"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D66A2E"/>
    <w:multiLevelType w:val="hybridMultilevel"/>
    <w:tmpl w:val="4FB40916"/>
    <w:lvl w:ilvl="0" w:tplc="DF3452E6">
      <w:start w:val="5"/>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BDF0516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DC02D7AE">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E1D8CAD6">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FDA43EF8">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2DA2F734">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249AAE7A">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25B26290">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AD342220">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33">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17C63D8"/>
    <w:multiLevelType w:val="hybridMultilevel"/>
    <w:tmpl w:val="54A469B0"/>
    <w:lvl w:ilvl="0" w:tplc="080A0013">
      <w:start w:val="1"/>
      <w:numFmt w:val="upperRoman"/>
      <w:lvlText w:val="%1."/>
      <w:lvlJc w:val="righ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B146D0"/>
    <w:multiLevelType w:val="hybridMultilevel"/>
    <w:tmpl w:val="9A088F8E"/>
    <w:lvl w:ilvl="0" w:tplc="C7FCA2F8">
      <w:start w:val="1"/>
      <w:numFmt w:val="bullet"/>
      <w:lvlText w:val="•"/>
      <w:lvlJc w:val="left"/>
      <w:pPr>
        <w:ind w:left="5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48EDB0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10978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83EAAF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987DD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20F22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B5656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7E85E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B4C7D6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4"/>
  </w:num>
  <w:num w:numId="8">
    <w:abstractNumId w:val="26"/>
  </w:num>
  <w:num w:numId="9">
    <w:abstractNumId w:val="30"/>
  </w:num>
  <w:num w:numId="10">
    <w:abstractNumId w:val="25"/>
  </w:num>
  <w:num w:numId="11">
    <w:abstractNumId w:val="5"/>
  </w:num>
  <w:num w:numId="12">
    <w:abstractNumId w:val="15"/>
  </w:num>
  <w:num w:numId="13">
    <w:abstractNumId w:val="33"/>
  </w:num>
  <w:num w:numId="14">
    <w:abstractNumId w:val="3"/>
  </w:num>
  <w:num w:numId="15">
    <w:abstractNumId w:val="18"/>
  </w:num>
  <w:num w:numId="16">
    <w:abstractNumId w:val="16"/>
  </w:num>
  <w:num w:numId="17">
    <w:abstractNumId w:val="23"/>
  </w:num>
  <w:num w:numId="18">
    <w:abstractNumId w:val="22"/>
  </w:num>
  <w:num w:numId="19">
    <w:abstractNumId w:val="17"/>
  </w:num>
  <w:num w:numId="20">
    <w:abstractNumId w:val="10"/>
  </w:num>
  <w:num w:numId="21">
    <w:abstractNumId w:val="13"/>
  </w:num>
  <w:num w:numId="22">
    <w:abstractNumId w:val="31"/>
  </w:num>
  <w:num w:numId="23">
    <w:abstractNumId w:val="20"/>
  </w:num>
  <w:num w:numId="24">
    <w:abstractNumId w:val="24"/>
  </w:num>
  <w:num w:numId="25">
    <w:abstractNumId w:val="29"/>
  </w:num>
  <w:num w:numId="26">
    <w:abstractNumId w:val="28"/>
  </w:num>
  <w:num w:numId="27">
    <w:abstractNumId w:val="35"/>
  </w:num>
  <w:num w:numId="28">
    <w:abstractNumId w:val="9"/>
  </w:num>
  <w:num w:numId="29">
    <w:abstractNumId w:val="21"/>
  </w:num>
  <w:num w:numId="30">
    <w:abstractNumId w:val="14"/>
  </w:num>
  <w:num w:numId="31">
    <w:abstractNumId w:val="34"/>
  </w:num>
  <w:num w:numId="32">
    <w:abstractNumId w:val="8"/>
  </w:num>
  <w:num w:numId="33">
    <w:abstractNumId w:val="7"/>
  </w:num>
  <w:num w:numId="34">
    <w:abstractNumId w:val="2"/>
  </w:num>
  <w:num w:numId="35">
    <w:abstractNumId w:val="32"/>
  </w:num>
  <w:num w:numId="36">
    <w:abstractNumId w:val="36"/>
  </w:num>
  <w:num w:numId="37">
    <w:abstractNumId w:val="27"/>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4B72"/>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053"/>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025"/>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20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8E3"/>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574BF"/>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30C3"/>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6C9E"/>
    <w:rsid w:val="001C7824"/>
    <w:rsid w:val="001C7F97"/>
    <w:rsid w:val="001D0086"/>
    <w:rsid w:val="001D0094"/>
    <w:rsid w:val="001D00D6"/>
    <w:rsid w:val="001D10E0"/>
    <w:rsid w:val="001D230D"/>
    <w:rsid w:val="001D2908"/>
    <w:rsid w:val="001D43DB"/>
    <w:rsid w:val="001D4965"/>
    <w:rsid w:val="001D4A5C"/>
    <w:rsid w:val="001D51A3"/>
    <w:rsid w:val="001D67AC"/>
    <w:rsid w:val="001D6CF5"/>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409B"/>
    <w:rsid w:val="001F652C"/>
    <w:rsid w:val="001F67A1"/>
    <w:rsid w:val="001F7690"/>
    <w:rsid w:val="001F78D9"/>
    <w:rsid w:val="0020044B"/>
    <w:rsid w:val="00201349"/>
    <w:rsid w:val="00202766"/>
    <w:rsid w:val="00202CAC"/>
    <w:rsid w:val="00202DB8"/>
    <w:rsid w:val="00204265"/>
    <w:rsid w:val="00205934"/>
    <w:rsid w:val="00205F0B"/>
    <w:rsid w:val="002060B4"/>
    <w:rsid w:val="0020681A"/>
    <w:rsid w:val="00206E74"/>
    <w:rsid w:val="00207736"/>
    <w:rsid w:val="00207799"/>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6CD"/>
    <w:rsid w:val="002275FF"/>
    <w:rsid w:val="00230E81"/>
    <w:rsid w:val="002312EA"/>
    <w:rsid w:val="00231D7C"/>
    <w:rsid w:val="00231DB6"/>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49B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939"/>
    <w:rsid w:val="002C2EA7"/>
    <w:rsid w:val="002C2F5C"/>
    <w:rsid w:val="002C33B4"/>
    <w:rsid w:val="002C4046"/>
    <w:rsid w:val="002C458A"/>
    <w:rsid w:val="002C51B6"/>
    <w:rsid w:val="002C68DE"/>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0F6"/>
    <w:rsid w:val="00312456"/>
    <w:rsid w:val="00315604"/>
    <w:rsid w:val="00315651"/>
    <w:rsid w:val="00316600"/>
    <w:rsid w:val="0031664C"/>
    <w:rsid w:val="00316EEE"/>
    <w:rsid w:val="003172EC"/>
    <w:rsid w:val="00320F16"/>
    <w:rsid w:val="00321006"/>
    <w:rsid w:val="0032170B"/>
    <w:rsid w:val="00321C43"/>
    <w:rsid w:val="003221F7"/>
    <w:rsid w:val="003225B5"/>
    <w:rsid w:val="00322AF7"/>
    <w:rsid w:val="00323325"/>
    <w:rsid w:val="00323F56"/>
    <w:rsid w:val="00324372"/>
    <w:rsid w:val="003243B0"/>
    <w:rsid w:val="00325EC0"/>
    <w:rsid w:val="0032692F"/>
    <w:rsid w:val="00326A39"/>
    <w:rsid w:val="00330729"/>
    <w:rsid w:val="00330D94"/>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740"/>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1B8D"/>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6DA3"/>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249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5EDE"/>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37679"/>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6961"/>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06D4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6D53"/>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4BF3"/>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0F66"/>
    <w:rsid w:val="00702DD7"/>
    <w:rsid w:val="007047D3"/>
    <w:rsid w:val="00705663"/>
    <w:rsid w:val="00705C40"/>
    <w:rsid w:val="007102EC"/>
    <w:rsid w:val="00710757"/>
    <w:rsid w:val="0071087E"/>
    <w:rsid w:val="00710E1B"/>
    <w:rsid w:val="00711898"/>
    <w:rsid w:val="00714066"/>
    <w:rsid w:val="007147C2"/>
    <w:rsid w:val="00714A63"/>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542A"/>
    <w:rsid w:val="007460D7"/>
    <w:rsid w:val="00746730"/>
    <w:rsid w:val="00750566"/>
    <w:rsid w:val="007513F0"/>
    <w:rsid w:val="007515BC"/>
    <w:rsid w:val="00752606"/>
    <w:rsid w:val="0075402E"/>
    <w:rsid w:val="00754DAB"/>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245B"/>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27"/>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17F"/>
    <w:rsid w:val="008A5D96"/>
    <w:rsid w:val="008A6E96"/>
    <w:rsid w:val="008A7BB5"/>
    <w:rsid w:val="008B0922"/>
    <w:rsid w:val="008B1DF8"/>
    <w:rsid w:val="008B2357"/>
    <w:rsid w:val="008B4826"/>
    <w:rsid w:val="008B5954"/>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A51"/>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9F7653"/>
    <w:rsid w:val="00A01666"/>
    <w:rsid w:val="00A01C00"/>
    <w:rsid w:val="00A01E31"/>
    <w:rsid w:val="00A02488"/>
    <w:rsid w:val="00A025B1"/>
    <w:rsid w:val="00A03A1B"/>
    <w:rsid w:val="00A05A75"/>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16C"/>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5C39"/>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53D"/>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5A9"/>
    <w:rsid w:val="00B116CC"/>
    <w:rsid w:val="00B13121"/>
    <w:rsid w:val="00B1369F"/>
    <w:rsid w:val="00B13FBA"/>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796B"/>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831"/>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8D"/>
    <w:rsid w:val="00C06AEE"/>
    <w:rsid w:val="00C07218"/>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CEB"/>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3D27"/>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1CB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D34"/>
    <w:rsid w:val="00D80F9D"/>
    <w:rsid w:val="00D80FFB"/>
    <w:rsid w:val="00D8189D"/>
    <w:rsid w:val="00D81BAE"/>
    <w:rsid w:val="00D8237E"/>
    <w:rsid w:val="00D83774"/>
    <w:rsid w:val="00D848E9"/>
    <w:rsid w:val="00D84B17"/>
    <w:rsid w:val="00D8507D"/>
    <w:rsid w:val="00D85D6B"/>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649"/>
    <w:rsid w:val="00DD5221"/>
    <w:rsid w:val="00DD5693"/>
    <w:rsid w:val="00DD7DC3"/>
    <w:rsid w:val="00DE0808"/>
    <w:rsid w:val="00DE1C03"/>
    <w:rsid w:val="00DE2065"/>
    <w:rsid w:val="00DE2966"/>
    <w:rsid w:val="00DE3A0C"/>
    <w:rsid w:val="00DE3AF1"/>
    <w:rsid w:val="00DE40E0"/>
    <w:rsid w:val="00DE4107"/>
    <w:rsid w:val="00DE4F8D"/>
    <w:rsid w:val="00DE70AE"/>
    <w:rsid w:val="00DE7100"/>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394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3EED"/>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5D7"/>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972"/>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4B62"/>
    <w:rsid w:val="00FC6F8C"/>
    <w:rsid w:val="00FC7531"/>
    <w:rsid w:val="00FC7EAA"/>
    <w:rsid w:val="00FD05F2"/>
    <w:rsid w:val="00FD3C34"/>
    <w:rsid w:val="00FD49A2"/>
    <w:rsid w:val="00FD4FA5"/>
    <w:rsid w:val="00FD5166"/>
    <w:rsid w:val="00FD6CDE"/>
    <w:rsid w:val="00FD758C"/>
    <w:rsid w:val="00FE19D5"/>
    <w:rsid w:val="00FE28BE"/>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754DAB"/>
  </w:style>
  <w:style w:type="character" w:styleId="Referenciasutil">
    <w:name w:val="Subtle Reference"/>
    <w:basedOn w:val="Fuentedeprrafopredeter"/>
    <w:uiPriority w:val="31"/>
    <w:qFormat/>
    <w:rsid w:val="00C06A8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2019004">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6676318">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8571094">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5708906">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584670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20134">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8569954">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279633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E94E8-8B5E-40A2-97C4-DA33ED5A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68</Pages>
  <Words>13386</Words>
  <Characters>73625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2023-03-29T18:43:00Z</dcterms:created>
  <dcterms:modified xsi:type="dcterms:W3CDTF">2023-04-11T01:11:00Z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