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3B0C7111" w:rsidR="00662C69" w:rsidRPr="00C8495C" w:rsidRDefault="009B11D6" w:rsidP="00B31E90">
      <w:pPr>
        <w:tabs>
          <w:tab w:val="left" w:pos="3465"/>
        </w:tabs>
        <w:spacing w:line="360" w:lineRule="auto"/>
        <w:jc w:val="both"/>
        <w:rPr>
          <w:rFonts w:ascii="Palatino Linotype" w:hAnsi="Palatino Linotype"/>
          <w:color w:val="000000" w:themeColor="text1"/>
        </w:rPr>
      </w:pPr>
      <w:r w:rsidRPr="00C8495C">
        <w:rPr>
          <w:rFonts w:ascii="Palatino Linotype" w:hAnsi="Palatino Linotype"/>
          <w:color w:val="000000" w:themeColor="text1"/>
        </w:rPr>
        <w:t>R</w:t>
      </w:r>
      <w:r w:rsidR="00662C69" w:rsidRPr="00C8495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8495C">
        <w:rPr>
          <w:rFonts w:ascii="Palatino Linotype" w:hAnsi="Palatino Linotype"/>
          <w:color w:val="000000" w:themeColor="text1"/>
        </w:rPr>
        <w:t>icipios, con</w:t>
      </w:r>
      <w:r w:rsidR="00662C69" w:rsidRPr="00C8495C">
        <w:rPr>
          <w:rFonts w:ascii="Palatino Linotype" w:hAnsi="Palatino Linotype"/>
          <w:color w:val="000000" w:themeColor="text1"/>
        </w:rPr>
        <w:t xml:space="preserve"> </w:t>
      </w:r>
      <w:r w:rsidR="00485DB6" w:rsidRPr="00C8495C">
        <w:rPr>
          <w:rFonts w:ascii="Palatino Linotype" w:hAnsi="Palatino Linotype"/>
          <w:color w:val="000000" w:themeColor="text1"/>
        </w:rPr>
        <w:t xml:space="preserve">domicilio </w:t>
      </w:r>
      <w:r w:rsidR="00662C69" w:rsidRPr="00C8495C">
        <w:rPr>
          <w:rFonts w:ascii="Palatino Linotype" w:hAnsi="Palatino Linotype"/>
          <w:color w:val="000000" w:themeColor="text1"/>
        </w:rPr>
        <w:t xml:space="preserve">en Metepec, Estado de México; de </w:t>
      </w:r>
      <w:r w:rsidR="004069D9" w:rsidRPr="00C8495C">
        <w:rPr>
          <w:rFonts w:ascii="Palatino Linotype" w:hAnsi="Palatino Linotype"/>
          <w:color w:val="000000" w:themeColor="text1"/>
        </w:rPr>
        <w:t>seis (06) de diciembre</w:t>
      </w:r>
      <w:r w:rsidR="00143AF2" w:rsidRPr="00C8495C">
        <w:rPr>
          <w:rFonts w:ascii="Palatino Linotype" w:hAnsi="Palatino Linotype"/>
          <w:color w:val="000000" w:themeColor="text1"/>
        </w:rPr>
        <w:t xml:space="preserve"> </w:t>
      </w:r>
      <w:r w:rsidR="00507D4A" w:rsidRPr="00C8495C">
        <w:rPr>
          <w:rFonts w:ascii="Palatino Linotype" w:hAnsi="Palatino Linotype"/>
          <w:color w:val="000000" w:themeColor="text1"/>
        </w:rPr>
        <w:t>de dos mil veintitrés</w:t>
      </w:r>
      <w:r w:rsidR="00662C69" w:rsidRPr="00C8495C">
        <w:rPr>
          <w:rFonts w:ascii="Palatino Linotype" w:hAnsi="Palatino Linotype"/>
          <w:color w:val="000000" w:themeColor="text1"/>
        </w:rPr>
        <w:t>.</w:t>
      </w:r>
    </w:p>
    <w:p w14:paraId="1181C59D" w14:textId="77777777" w:rsidR="00B31E90" w:rsidRPr="00C8495C" w:rsidRDefault="00B31E90" w:rsidP="00B31E90">
      <w:pPr>
        <w:tabs>
          <w:tab w:val="left" w:pos="3465"/>
        </w:tabs>
        <w:spacing w:line="360" w:lineRule="auto"/>
        <w:jc w:val="both"/>
        <w:rPr>
          <w:rFonts w:ascii="Palatino Linotype" w:hAnsi="Palatino Linotype"/>
          <w:color w:val="000000" w:themeColor="text1"/>
        </w:rPr>
      </w:pPr>
    </w:p>
    <w:p w14:paraId="04F87235" w14:textId="3E22C783" w:rsidR="005F0007" w:rsidRPr="00C8495C" w:rsidRDefault="00662C69" w:rsidP="00B31E90">
      <w:pPr>
        <w:spacing w:line="360" w:lineRule="auto"/>
        <w:jc w:val="both"/>
        <w:rPr>
          <w:rFonts w:ascii="Palatino Linotype" w:eastAsia="Times New Roman" w:hAnsi="Palatino Linotype" w:cs="Times New Roman"/>
          <w:color w:val="000000" w:themeColor="text1"/>
        </w:rPr>
      </w:pPr>
      <w:r w:rsidRPr="00C8495C">
        <w:rPr>
          <w:rFonts w:ascii="Palatino Linotype" w:hAnsi="Palatino Linotype"/>
          <w:b/>
          <w:color w:val="000000" w:themeColor="text1"/>
        </w:rPr>
        <w:t>VISTO</w:t>
      </w:r>
      <w:r w:rsidRPr="00C8495C">
        <w:rPr>
          <w:rFonts w:ascii="Palatino Linotype" w:hAnsi="Palatino Linotype"/>
          <w:color w:val="000000" w:themeColor="text1"/>
        </w:rPr>
        <w:t xml:space="preserve"> </w:t>
      </w:r>
      <w:r w:rsidR="00F25B61" w:rsidRPr="00C8495C">
        <w:rPr>
          <w:rFonts w:ascii="Palatino Linotype" w:hAnsi="Palatino Linotype"/>
          <w:color w:val="000000" w:themeColor="text1"/>
        </w:rPr>
        <w:t>el</w:t>
      </w:r>
      <w:r w:rsidRPr="00C8495C">
        <w:rPr>
          <w:rFonts w:ascii="Palatino Linotype" w:hAnsi="Palatino Linotype"/>
          <w:color w:val="000000" w:themeColor="text1"/>
        </w:rPr>
        <w:t xml:space="preserve"> expediente electrónico for</w:t>
      </w:r>
      <w:r w:rsidR="00D37494" w:rsidRPr="00C8495C">
        <w:rPr>
          <w:rFonts w:ascii="Palatino Linotype" w:hAnsi="Palatino Linotype"/>
          <w:color w:val="000000" w:themeColor="text1"/>
        </w:rPr>
        <w:t>mado con motivo del</w:t>
      </w:r>
      <w:r w:rsidRPr="00C8495C">
        <w:rPr>
          <w:rFonts w:ascii="Palatino Linotype" w:hAnsi="Palatino Linotype"/>
          <w:color w:val="000000" w:themeColor="text1"/>
        </w:rPr>
        <w:t xml:space="preserve"> recurso de revisión </w:t>
      </w:r>
      <w:r w:rsidR="00057718" w:rsidRPr="00C8495C">
        <w:rPr>
          <w:rFonts w:ascii="Palatino Linotype" w:hAnsi="Palatino Linotype"/>
          <w:b/>
          <w:bCs/>
          <w:color w:val="000000" w:themeColor="text1"/>
        </w:rPr>
        <w:t>13038/INFOEM/IP/RR/2022</w:t>
      </w:r>
      <w:r w:rsidR="005F1362" w:rsidRPr="00C8495C">
        <w:rPr>
          <w:rFonts w:ascii="Palatino Linotype" w:eastAsia="Times New Roman" w:hAnsi="Palatino Linotype" w:cs="Arial"/>
          <w:bCs/>
          <w:color w:val="000000" w:themeColor="text1"/>
        </w:rPr>
        <w:t xml:space="preserve">, </w:t>
      </w:r>
      <w:r w:rsidR="006B31E7" w:rsidRPr="00C8495C">
        <w:rPr>
          <w:rFonts w:ascii="Palatino Linotype" w:eastAsia="Times New Roman" w:hAnsi="Palatino Linotype" w:cs="Times New Roman"/>
          <w:color w:val="000000" w:themeColor="text1"/>
        </w:rPr>
        <w:t>interpuesto por</w:t>
      </w:r>
      <w:r w:rsidR="00FD27EA" w:rsidRPr="00C8495C">
        <w:rPr>
          <w:rFonts w:ascii="Palatino Linotype" w:eastAsia="Times New Roman" w:hAnsi="Palatino Linotype" w:cs="Times New Roman"/>
          <w:color w:val="000000" w:themeColor="text1"/>
        </w:rPr>
        <w:t xml:space="preserve"> </w:t>
      </w:r>
      <w:r w:rsidR="00057718" w:rsidRPr="00C8495C">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 por lo que</w:t>
      </w:r>
      <w:r w:rsidR="003D4984" w:rsidRPr="00C8495C">
        <w:rPr>
          <w:rFonts w:ascii="Palatino Linotype" w:eastAsia="Times New Roman" w:hAnsi="Palatino Linotype" w:cs="Times New Roman"/>
          <w:bCs/>
          <w:color w:val="000000" w:themeColor="text1"/>
        </w:rPr>
        <w:t xml:space="preserve"> en lo sucesivo,</w:t>
      </w:r>
      <w:r w:rsidR="00057718" w:rsidRPr="00C8495C">
        <w:rPr>
          <w:rFonts w:ascii="Palatino Linotype" w:eastAsia="Times New Roman" w:hAnsi="Palatino Linotype" w:cs="Times New Roman"/>
          <w:bCs/>
          <w:color w:val="000000" w:themeColor="text1"/>
        </w:rPr>
        <w:t xml:space="preserve"> se le denominará como</w:t>
      </w:r>
      <w:r w:rsidR="009E35CC" w:rsidRPr="00C8495C">
        <w:rPr>
          <w:rFonts w:ascii="Palatino Linotype" w:eastAsia="Times New Roman" w:hAnsi="Palatino Linotype" w:cs="Times New Roman"/>
          <w:bCs/>
          <w:color w:val="000000" w:themeColor="text1"/>
        </w:rPr>
        <w:t xml:space="preserve"> </w:t>
      </w:r>
      <w:r w:rsidR="009E35CC" w:rsidRPr="00C8495C">
        <w:rPr>
          <w:rFonts w:ascii="Palatino Linotype" w:eastAsia="Times New Roman" w:hAnsi="Palatino Linotype" w:cs="Times New Roman"/>
          <w:b/>
          <w:bCs/>
          <w:color w:val="000000" w:themeColor="text1"/>
        </w:rPr>
        <w:t>EL</w:t>
      </w:r>
      <w:r w:rsidR="00E92215" w:rsidRPr="00C8495C">
        <w:rPr>
          <w:rFonts w:ascii="Palatino Linotype" w:eastAsia="Times New Roman" w:hAnsi="Palatino Linotype" w:cs="Times New Roman"/>
          <w:color w:val="000000" w:themeColor="text1"/>
        </w:rPr>
        <w:t xml:space="preserve"> </w:t>
      </w:r>
      <w:r w:rsidR="006B31E7" w:rsidRPr="00C8495C">
        <w:rPr>
          <w:rFonts w:ascii="Palatino Linotype" w:eastAsia="Times New Roman" w:hAnsi="Palatino Linotype" w:cs="Times New Roman"/>
          <w:b/>
          <w:bCs/>
          <w:color w:val="000000" w:themeColor="text1"/>
        </w:rPr>
        <w:t>RECURRENTE</w:t>
      </w:r>
      <w:r w:rsidR="00E647FF" w:rsidRPr="00C8495C">
        <w:rPr>
          <w:rFonts w:ascii="Palatino Linotype" w:eastAsia="Times New Roman" w:hAnsi="Palatino Linotype" w:cs="Arial"/>
          <w:color w:val="000000" w:themeColor="text1"/>
        </w:rPr>
        <w:t>;</w:t>
      </w:r>
      <w:r w:rsidR="005F1362" w:rsidRPr="00C8495C">
        <w:rPr>
          <w:rFonts w:ascii="Palatino Linotype" w:eastAsia="Times New Roman" w:hAnsi="Palatino Linotype" w:cs="Arial"/>
          <w:color w:val="000000" w:themeColor="text1"/>
        </w:rPr>
        <w:t xml:space="preserve"> en contra de la respuesta de</w:t>
      </w:r>
      <w:r w:rsidR="003D4984" w:rsidRPr="00C8495C">
        <w:rPr>
          <w:rFonts w:ascii="Palatino Linotype" w:eastAsia="Times New Roman" w:hAnsi="Palatino Linotype" w:cs="Arial"/>
          <w:color w:val="000000" w:themeColor="text1"/>
        </w:rPr>
        <w:t xml:space="preserve"> </w:t>
      </w:r>
      <w:r w:rsidR="005F1362" w:rsidRPr="00C8495C">
        <w:rPr>
          <w:rFonts w:ascii="Palatino Linotype" w:eastAsia="Times New Roman" w:hAnsi="Palatino Linotype" w:cs="Arial"/>
          <w:color w:val="000000" w:themeColor="text1"/>
        </w:rPr>
        <w:t>l</w:t>
      </w:r>
      <w:r w:rsidR="003D4984" w:rsidRPr="00C8495C">
        <w:rPr>
          <w:rFonts w:ascii="Palatino Linotype" w:eastAsia="Times New Roman" w:hAnsi="Palatino Linotype" w:cs="Arial"/>
          <w:color w:val="000000" w:themeColor="text1"/>
        </w:rPr>
        <w:t>a</w:t>
      </w:r>
      <w:r w:rsidR="002C1007" w:rsidRPr="00C8495C">
        <w:rPr>
          <w:rFonts w:ascii="Palatino Linotype" w:eastAsia="Times New Roman" w:hAnsi="Palatino Linotype" w:cs="Arial"/>
          <w:color w:val="000000" w:themeColor="text1"/>
        </w:rPr>
        <w:t xml:space="preserve"> </w:t>
      </w:r>
      <w:r w:rsidR="00057718" w:rsidRPr="00C8495C">
        <w:rPr>
          <w:rFonts w:ascii="Palatino Linotype" w:eastAsia="Times New Roman" w:hAnsi="Palatino Linotype" w:cs="Arial"/>
          <w:b/>
          <w:color w:val="000000" w:themeColor="text1"/>
        </w:rPr>
        <w:t>Secretaría General de Gobierno</w:t>
      </w:r>
      <w:r w:rsidR="009572EE" w:rsidRPr="00C8495C">
        <w:rPr>
          <w:rFonts w:ascii="Palatino Linotype" w:eastAsia="Calibri" w:hAnsi="Palatino Linotype" w:cs="Arial"/>
          <w:color w:val="000000" w:themeColor="text1"/>
          <w:lang w:val="es-ES"/>
        </w:rPr>
        <w:t>,</w:t>
      </w:r>
      <w:r w:rsidR="005F1362" w:rsidRPr="00C8495C">
        <w:rPr>
          <w:rFonts w:ascii="Palatino Linotype" w:eastAsia="Calibri" w:hAnsi="Palatino Linotype" w:cs="Arial"/>
          <w:color w:val="000000" w:themeColor="text1"/>
          <w:lang w:val="es-ES"/>
        </w:rPr>
        <w:t xml:space="preserve"> </w:t>
      </w:r>
      <w:r w:rsidR="00F17EFA" w:rsidRPr="00C8495C">
        <w:rPr>
          <w:rFonts w:ascii="Palatino Linotype" w:eastAsia="Calibri" w:hAnsi="Palatino Linotype" w:cs="Arial"/>
          <w:color w:val="000000" w:themeColor="text1"/>
          <w:lang w:val="es-ES"/>
        </w:rPr>
        <w:t>en adelante,</w:t>
      </w:r>
      <w:r w:rsidR="00F17EFA" w:rsidRPr="00C8495C">
        <w:rPr>
          <w:rFonts w:ascii="Palatino Linotype" w:eastAsia="Times New Roman" w:hAnsi="Palatino Linotype" w:cs="Times New Roman"/>
          <w:color w:val="000000" w:themeColor="text1"/>
        </w:rPr>
        <w:t xml:space="preserve"> </w:t>
      </w:r>
      <w:r w:rsidR="005F1362" w:rsidRPr="00C8495C">
        <w:rPr>
          <w:rFonts w:ascii="Palatino Linotype" w:eastAsia="Times New Roman" w:hAnsi="Palatino Linotype" w:cs="Times New Roman"/>
          <w:color w:val="000000" w:themeColor="text1"/>
        </w:rPr>
        <w:t>el</w:t>
      </w:r>
      <w:r w:rsidR="005F1362" w:rsidRPr="00C8495C">
        <w:rPr>
          <w:rFonts w:ascii="Palatino Linotype" w:eastAsia="Times New Roman" w:hAnsi="Palatino Linotype" w:cs="Times New Roman"/>
          <w:b/>
          <w:color w:val="000000" w:themeColor="text1"/>
        </w:rPr>
        <w:t xml:space="preserve"> SUJETO OBLIGADO</w:t>
      </w:r>
      <w:r w:rsidR="005F1362" w:rsidRPr="00C8495C">
        <w:rPr>
          <w:rFonts w:ascii="Palatino Linotype" w:eastAsia="Times New Roman" w:hAnsi="Palatino Linotype" w:cs="Times New Roman"/>
          <w:color w:val="000000" w:themeColor="text1"/>
        </w:rPr>
        <w:t>,</w:t>
      </w:r>
      <w:r w:rsidR="005F1362" w:rsidRPr="00C8495C">
        <w:rPr>
          <w:rFonts w:ascii="Palatino Linotype" w:eastAsia="Times New Roman" w:hAnsi="Palatino Linotype" w:cs="Times New Roman"/>
          <w:b/>
          <w:color w:val="000000" w:themeColor="text1"/>
        </w:rPr>
        <w:t xml:space="preserve"> </w:t>
      </w:r>
      <w:r w:rsidR="005F1362" w:rsidRPr="00C8495C">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C8495C" w:rsidRDefault="009A593A" w:rsidP="00B31E90">
      <w:pPr>
        <w:spacing w:line="360" w:lineRule="auto"/>
        <w:jc w:val="both"/>
        <w:rPr>
          <w:rFonts w:ascii="Palatino Linotype" w:hAnsi="Palatino Linotype"/>
          <w:b/>
          <w:color w:val="000000" w:themeColor="text1"/>
        </w:rPr>
      </w:pPr>
    </w:p>
    <w:p w14:paraId="769E1410" w14:textId="72F80201" w:rsidR="00587366" w:rsidRPr="00C8495C"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C8495C">
        <w:rPr>
          <w:b/>
          <w:color w:val="000000" w:themeColor="text1"/>
        </w:rPr>
        <w:t>A</w:t>
      </w:r>
      <w:r w:rsidR="00F96BC1" w:rsidRPr="00C8495C">
        <w:rPr>
          <w:b/>
          <w:color w:val="000000" w:themeColor="text1"/>
        </w:rPr>
        <w:t xml:space="preserve"> </w:t>
      </w:r>
      <w:r w:rsidRPr="00C8495C">
        <w:rPr>
          <w:b/>
          <w:color w:val="000000" w:themeColor="text1"/>
        </w:rPr>
        <w:t>N</w:t>
      </w:r>
      <w:r w:rsidR="00F96BC1" w:rsidRPr="00C8495C">
        <w:rPr>
          <w:b/>
          <w:color w:val="000000" w:themeColor="text1"/>
        </w:rPr>
        <w:t xml:space="preserve"> </w:t>
      </w:r>
      <w:r w:rsidRPr="00C8495C">
        <w:rPr>
          <w:b/>
          <w:color w:val="000000" w:themeColor="text1"/>
        </w:rPr>
        <w:t>T</w:t>
      </w:r>
      <w:r w:rsidR="00F96BC1" w:rsidRPr="00C8495C">
        <w:rPr>
          <w:b/>
          <w:color w:val="000000" w:themeColor="text1"/>
        </w:rPr>
        <w:t xml:space="preserve"> </w:t>
      </w:r>
      <w:r w:rsidRPr="00C8495C">
        <w:rPr>
          <w:b/>
          <w:color w:val="000000" w:themeColor="text1"/>
        </w:rPr>
        <w:t>E</w:t>
      </w:r>
      <w:r w:rsidR="00F96BC1" w:rsidRPr="00C8495C">
        <w:rPr>
          <w:b/>
          <w:color w:val="000000" w:themeColor="text1"/>
        </w:rPr>
        <w:t xml:space="preserve"> </w:t>
      </w:r>
      <w:r w:rsidRPr="00C8495C">
        <w:rPr>
          <w:b/>
          <w:color w:val="000000" w:themeColor="text1"/>
        </w:rPr>
        <w:t>C</w:t>
      </w:r>
      <w:r w:rsidR="00F96BC1" w:rsidRPr="00C8495C">
        <w:rPr>
          <w:b/>
          <w:color w:val="000000" w:themeColor="text1"/>
        </w:rPr>
        <w:t xml:space="preserve"> </w:t>
      </w:r>
      <w:r w:rsidRPr="00C8495C">
        <w:rPr>
          <w:b/>
          <w:color w:val="000000" w:themeColor="text1"/>
        </w:rPr>
        <w:t>E</w:t>
      </w:r>
      <w:r w:rsidR="00F96BC1" w:rsidRPr="00C8495C">
        <w:rPr>
          <w:b/>
          <w:color w:val="000000" w:themeColor="text1"/>
        </w:rPr>
        <w:t xml:space="preserve"> </w:t>
      </w:r>
      <w:r w:rsidRPr="00C8495C">
        <w:rPr>
          <w:b/>
          <w:color w:val="000000" w:themeColor="text1"/>
        </w:rPr>
        <w:t>D</w:t>
      </w:r>
      <w:r w:rsidR="00F96BC1" w:rsidRPr="00C8495C">
        <w:rPr>
          <w:b/>
          <w:color w:val="000000" w:themeColor="text1"/>
        </w:rPr>
        <w:t xml:space="preserve"> </w:t>
      </w:r>
      <w:r w:rsidRPr="00C8495C">
        <w:rPr>
          <w:b/>
          <w:color w:val="000000" w:themeColor="text1"/>
        </w:rPr>
        <w:t>E</w:t>
      </w:r>
      <w:r w:rsidR="00F96BC1" w:rsidRPr="00C8495C">
        <w:rPr>
          <w:b/>
          <w:color w:val="000000" w:themeColor="text1"/>
        </w:rPr>
        <w:t xml:space="preserve"> </w:t>
      </w:r>
      <w:r w:rsidRPr="00C8495C">
        <w:rPr>
          <w:b/>
          <w:color w:val="000000" w:themeColor="text1"/>
        </w:rPr>
        <w:t>N</w:t>
      </w:r>
      <w:r w:rsidR="00F96BC1" w:rsidRPr="00C8495C">
        <w:rPr>
          <w:b/>
          <w:color w:val="000000" w:themeColor="text1"/>
        </w:rPr>
        <w:t xml:space="preserve"> </w:t>
      </w:r>
      <w:r w:rsidRPr="00C8495C">
        <w:rPr>
          <w:b/>
          <w:color w:val="000000" w:themeColor="text1"/>
        </w:rPr>
        <w:t>T</w:t>
      </w:r>
      <w:r w:rsidR="00F96BC1" w:rsidRPr="00C8495C">
        <w:rPr>
          <w:b/>
          <w:color w:val="000000" w:themeColor="text1"/>
        </w:rPr>
        <w:t xml:space="preserve"> </w:t>
      </w:r>
      <w:r w:rsidRPr="00C8495C">
        <w:rPr>
          <w:b/>
          <w:color w:val="000000" w:themeColor="text1"/>
        </w:rPr>
        <w:t>E</w:t>
      </w:r>
      <w:r w:rsidR="00F96BC1" w:rsidRPr="00C8495C">
        <w:rPr>
          <w:b/>
          <w:color w:val="000000" w:themeColor="text1"/>
        </w:rPr>
        <w:t xml:space="preserve"> </w:t>
      </w:r>
      <w:r w:rsidRPr="00C8495C">
        <w:rPr>
          <w:b/>
          <w:color w:val="000000" w:themeColor="text1"/>
        </w:rPr>
        <w:t>S</w:t>
      </w:r>
      <w:bookmarkEnd w:id="0"/>
      <w:bookmarkEnd w:id="1"/>
      <w:bookmarkEnd w:id="2"/>
    </w:p>
    <w:p w14:paraId="5672105D" w14:textId="77777777" w:rsidR="00B31E90" w:rsidRPr="00C8495C"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08D99C8" w:rsidR="00D9392E" w:rsidRPr="00C8495C"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495C">
        <w:rPr>
          <w:rFonts w:ascii="Palatino Linotype" w:eastAsia="Calibri" w:hAnsi="Palatino Linotype" w:cs="Arial"/>
          <w:color w:val="000000" w:themeColor="text1"/>
          <w:lang w:val="es-ES"/>
        </w:rPr>
        <w:t>El</w:t>
      </w:r>
      <w:r w:rsidR="00D9392E" w:rsidRPr="00C8495C">
        <w:rPr>
          <w:rFonts w:ascii="Palatino Linotype" w:eastAsia="Calibri" w:hAnsi="Palatino Linotype" w:cs="Arial"/>
          <w:color w:val="000000" w:themeColor="text1"/>
          <w:lang w:val="es-ES"/>
        </w:rPr>
        <w:t xml:space="preserve"> </w:t>
      </w:r>
      <w:r w:rsidR="00057718" w:rsidRPr="00C8495C">
        <w:rPr>
          <w:rFonts w:ascii="Palatino Linotype" w:eastAsia="Calibri" w:hAnsi="Palatino Linotype" w:cs="Arial"/>
          <w:color w:val="000000" w:themeColor="text1"/>
          <w:lang w:val="es-ES"/>
        </w:rPr>
        <w:t>veintiuno (21) de junio de dos mil veintidós</w:t>
      </w:r>
      <w:r w:rsidR="005F1362" w:rsidRPr="00C8495C">
        <w:rPr>
          <w:rFonts w:ascii="Palatino Linotype" w:eastAsia="Calibri" w:hAnsi="Palatino Linotype" w:cs="Arial"/>
          <w:color w:val="000000" w:themeColor="text1"/>
          <w:lang w:val="es-ES"/>
        </w:rPr>
        <w:t xml:space="preserve">, </w:t>
      </w:r>
      <w:r w:rsidR="00F96BC1" w:rsidRPr="00C8495C">
        <w:rPr>
          <w:rFonts w:ascii="Palatino Linotype" w:eastAsia="Calibri" w:hAnsi="Palatino Linotype" w:cs="Arial"/>
          <w:color w:val="000000" w:themeColor="text1"/>
          <w:lang w:val="es-ES"/>
        </w:rPr>
        <w:t xml:space="preserve">el entonces </w:t>
      </w:r>
      <w:r w:rsidR="00F96BC1" w:rsidRPr="00C8495C">
        <w:rPr>
          <w:rFonts w:ascii="Palatino Linotype" w:eastAsia="Calibri" w:hAnsi="Palatino Linotype" w:cs="Arial"/>
          <w:b/>
          <w:color w:val="000000" w:themeColor="text1"/>
          <w:lang w:val="es-ES"/>
        </w:rPr>
        <w:t>SOLICITANTE</w:t>
      </w:r>
      <w:r w:rsidR="005F1362" w:rsidRPr="00C8495C">
        <w:rPr>
          <w:rFonts w:ascii="Palatino Linotype" w:hAnsi="Palatino Linotype"/>
          <w:color w:val="000000" w:themeColor="text1"/>
        </w:rPr>
        <w:t xml:space="preserve"> presentó</w:t>
      </w:r>
      <w:r w:rsidR="005F1362" w:rsidRPr="00C8495C">
        <w:rPr>
          <w:rFonts w:ascii="Palatino Linotype" w:hAnsi="Palatino Linotype"/>
          <w:b/>
          <w:color w:val="000000" w:themeColor="text1"/>
        </w:rPr>
        <w:t xml:space="preserve"> </w:t>
      </w:r>
      <w:r w:rsidR="00127E68" w:rsidRPr="00C8495C">
        <w:rPr>
          <w:rFonts w:ascii="Palatino Linotype" w:hAnsi="Palatino Linotype"/>
          <w:bCs/>
          <w:color w:val="000000" w:themeColor="text1"/>
        </w:rPr>
        <w:t xml:space="preserve">a través </w:t>
      </w:r>
      <w:r w:rsidR="00575376" w:rsidRPr="00C8495C">
        <w:rPr>
          <w:rFonts w:ascii="Palatino Linotype" w:hAnsi="Palatino Linotype"/>
          <w:bCs/>
          <w:color w:val="000000" w:themeColor="text1"/>
        </w:rPr>
        <w:t>del</w:t>
      </w:r>
      <w:r w:rsidR="00057718" w:rsidRPr="00C8495C">
        <w:rPr>
          <w:rFonts w:ascii="Palatino Linotype" w:hAnsi="Palatino Linotype"/>
          <w:bCs/>
          <w:color w:val="000000" w:themeColor="text1"/>
        </w:rPr>
        <w:t xml:space="preserve"> SAIMEX</w:t>
      </w:r>
      <w:r w:rsidR="005F1362" w:rsidRPr="00C8495C">
        <w:rPr>
          <w:rFonts w:ascii="Palatino Linotype" w:eastAsia="Calibri" w:hAnsi="Palatino Linotype" w:cs="Arial"/>
          <w:color w:val="000000" w:themeColor="text1"/>
          <w:lang w:val="es-ES"/>
        </w:rPr>
        <w:t>, la solicitud de información pública registrada</w:t>
      </w:r>
      <w:r w:rsidR="00772245" w:rsidRPr="00C8495C">
        <w:rPr>
          <w:rFonts w:ascii="Palatino Linotype" w:eastAsia="Calibri" w:hAnsi="Palatino Linotype" w:cs="Arial"/>
          <w:color w:val="000000" w:themeColor="text1"/>
          <w:lang w:val="es-ES"/>
        </w:rPr>
        <w:t xml:space="preserve"> con </w:t>
      </w:r>
      <w:r w:rsidR="00F25B61" w:rsidRPr="00C8495C">
        <w:rPr>
          <w:rFonts w:ascii="Palatino Linotype" w:eastAsia="Calibri" w:hAnsi="Palatino Linotype" w:cs="Arial"/>
          <w:color w:val="000000" w:themeColor="text1"/>
          <w:lang w:val="es-ES"/>
        </w:rPr>
        <w:t>el</w:t>
      </w:r>
      <w:r w:rsidR="005F1362" w:rsidRPr="00C8495C">
        <w:rPr>
          <w:rFonts w:ascii="Palatino Linotype" w:eastAsia="Calibri" w:hAnsi="Palatino Linotype" w:cs="Arial"/>
          <w:color w:val="000000" w:themeColor="text1"/>
          <w:lang w:val="es-ES"/>
        </w:rPr>
        <w:t xml:space="preserve"> número</w:t>
      </w:r>
      <w:r w:rsidR="00772245" w:rsidRPr="00C8495C">
        <w:rPr>
          <w:rFonts w:ascii="Palatino Linotype" w:eastAsia="Calibri" w:hAnsi="Palatino Linotype" w:cs="Arial"/>
          <w:color w:val="000000" w:themeColor="text1"/>
          <w:lang w:val="es-ES"/>
        </w:rPr>
        <w:t xml:space="preserve"> </w:t>
      </w:r>
      <w:r w:rsidR="00057718" w:rsidRPr="00C8495C">
        <w:rPr>
          <w:rFonts w:ascii="Palatino Linotype" w:eastAsia="Calibri" w:hAnsi="Palatino Linotype" w:cs="Arial"/>
          <w:b/>
          <w:color w:val="000000" w:themeColor="text1"/>
          <w:lang w:val="es-ES"/>
        </w:rPr>
        <w:t>00199/SEGEGOB/IP/2022</w:t>
      </w:r>
      <w:r w:rsidR="005F1362" w:rsidRPr="00C8495C">
        <w:rPr>
          <w:rFonts w:ascii="Palatino Linotype" w:hAnsi="Palatino Linotype"/>
          <w:b/>
          <w:bCs/>
          <w:color w:val="000000" w:themeColor="text1"/>
        </w:rPr>
        <w:t>,</w:t>
      </w:r>
      <w:r w:rsidR="00F25B61" w:rsidRPr="00C8495C">
        <w:rPr>
          <w:rFonts w:ascii="Palatino Linotype" w:eastAsia="Calibri" w:hAnsi="Palatino Linotype" w:cs="Arial"/>
          <w:color w:val="000000" w:themeColor="text1"/>
          <w:lang w:val="es-ES"/>
        </w:rPr>
        <w:t xml:space="preserve"> mediante la</w:t>
      </w:r>
      <w:r w:rsidR="00772245" w:rsidRPr="00C8495C">
        <w:rPr>
          <w:rFonts w:ascii="Palatino Linotype" w:eastAsia="Calibri" w:hAnsi="Palatino Linotype" w:cs="Arial"/>
          <w:color w:val="000000" w:themeColor="text1"/>
          <w:lang w:val="es-ES"/>
        </w:rPr>
        <w:t xml:space="preserve"> que </w:t>
      </w:r>
      <w:r w:rsidR="005F1362" w:rsidRPr="00C8495C">
        <w:rPr>
          <w:rFonts w:ascii="Palatino Linotype" w:eastAsia="Calibri" w:hAnsi="Palatino Linotype" w:cs="Arial"/>
          <w:color w:val="000000" w:themeColor="text1"/>
          <w:lang w:val="es-ES"/>
        </w:rPr>
        <w:t>requirió</w:t>
      </w:r>
      <w:r w:rsidR="00022D89" w:rsidRPr="00C8495C">
        <w:rPr>
          <w:rFonts w:ascii="Palatino Linotype" w:eastAsia="Calibri" w:hAnsi="Palatino Linotype" w:cs="Arial"/>
          <w:color w:val="000000" w:themeColor="text1"/>
          <w:lang w:val="es-ES"/>
        </w:rPr>
        <w:t xml:space="preserve"> lo siguiente</w:t>
      </w:r>
      <w:r w:rsidR="005F1362" w:rsidRPr="00C8495C">
        <w:rPr>
          <w:rFonts w:ascii="Palatino Linotype" w:eastAsia="Calibri" w:hAnsi="Palatino Linotype" w:cs="Arial"/>
          <w:color w:val="000000" w:themeColor="text1"/>
          <w:lang w:val="es-ES"/>
        </w:rPr>
        <w:t>:</w:t>
      </w:r>
    </w:p>
    <w:p w14:paraId="76EB7490" w14:textId="77777777" w:rsidR="00B31E90" w:rsidRPr="00C8495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71CD024" w:rsidR="0097210F" w:rsidRPr="00C8495C"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C8495C">
        <w:rPr>
          <w:rFonts w:ascii="Palatino Linotype" w:hAnsi="Palatino Linotype"/>
          <w:i/>
          <w:color w:val="000000" w:themeColor="text1"/>
          <w:sz w:val="22"/>
          <w:szCs w:val="22"/>
        </w:rPr>
        <w:t xml:space="preserve"> </w:t>
      </w:r>
      <w:r w:rsidR="005F1362" w:rsidRPr="00C8495C">
        <w:rPr>
          <w:rFonts w:ascii="Palatino Linotype" w:hAnsi="Palatino Linotype"/>
          <w:i/>
          <w:color w:val="000000" w:themeColor="text1"/>
          <w:sz w:val="22"/>
          <w:szCs w:val="22"/>
        </w:rPr>
        <w:t>“</w:t>
      </w:r>
      <w:r w:rsidR="00057718" w:rsidRPr="00C8495C">
        <w:rPr>
          <w:rFonts w:ascii="Palatino Linotype" w:hAnsi="Palatino Linotype"/>
          <w:i/>
          <w:color w:val="000000" w:themeColor="text1"/>
          <w:sz w:val="22"/>
          <w:szCs w:val="22"/>
        </w:rPr>
        <w:t>Solicito el Plan de Trabajo del Sistema de Gestión de Protección de Datos Personales de esta Dependencia, correspondiente al ejercicio 2019 a 2022, así como los documentos y/</w:t>
      </w:r>
      <w:proofErr w:type="spellStart"/>
      <w:r w:rsidR="00057718" w:rsidRPr="00C8495C">
        <w:rPr>
          <w:rFonts w:ascii="Palatino Linotype" w:hAnsi="Palatino Linotype"/>
          <w:i/>
          <w:color w:val="000000" w:themeColor="text1"/>
          <w:sz w:val="22"/>
          <w:szCs w:val="22"/>
        </w:rPr>
        <w:t>o</w:t>
      </w:r>
      <w:proofErr w:type="spellEnd"/>
      <w:r w:rsidR="00057718" w:rsidRPr="00C8495C">
        <w:rPr>
          <w:rFonts w:ascii="Palatino Linotype" w:hAnsi="Palatino Linotype"/>
          <w:i/>
          <w:color w:val="000000" w:themeColor="text1"/>
          <w:sz w:val="22"/>
          <w:szCs w:val="22"/>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documentos de Gestión de seguridad y documentos de seguridad de la dependencia.</w:t>
      </w:r>
      <w:r w:rsidR="005F1362" w:rsidRPr="00C8495C">
        <w:rPr>
          <w:rFonts w:ascii="Palatino Linotype" w:hAnsi="Palatino Linotype"/>
          <w:i/>
          <w:color w:val="000000" w:themeColor="text1"/>
          <w:sz w:val="22"/>
          <w:szCs w:val="22"/>
        </w:rPr>
        <w:t xml:space="preserve">” </w:t>
      </w:r>
      <w:r w:rsidR="005F1362" w:rsidRPr="00C8495C">
        <w:rPr>
          <w:rFonts w:ascii="Palatino Linotype" w:hAnsi="Palatino Linotype"/>
          <w:color w:val="000000" w:themeColor="text1"/>
          <w:sz w:val="22"/>
          <w:szCs w:val="22"/>
        </w:rPr>
        <w:t>(Sic).</w:t>
      </w:r>
    </w:p>
    <w:p w14:paraId="65A03C8D" w14:textId="77777777" w:rsidR="005F1362" w:rsidRPr="00C8495C" w:rsidRDefault="005F1362" w:rsidP="00B31E90">
      <w:pPr>
        <w:spacing w:line="360" w:lineRule="auto"/>
        <w:ind w:right="333"/>
        <w:jc w:val="both"/>
        <w:rPr>
          <w:rFonts w:ascii="Palatino Linotype" w:hAnsi="Palatino Linotype"/>
          <w:color w:val="000000" w:themeColor="text1"/>
        </w:rPr>
      </w:pPr>
    </w:p>
    <w:p w14:paraId="35BA18A9" w14:textId="6768A8DE" w:rsidR="0039142B" w:rsidRPr="00C8495C"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8495C">
        <w:rPr>
          <w:rFonts w:ascii="Palatino Linotype" w:eastAsia="Times New Roman" w:hAnsi="Palatino Linotype" w:cs="Arial"/>
          <w:color w:val="000000" w:themeColor="text1"/>
          <w:lang w:val="es-ES"/>
        </w:rPr>
        <w:t>Se hace constar</w:t>
      </w:r>
      <w:r w:rsidR="00E9022C" w:rsidRPr="00C8495C">
        <w:rPr>
          <w:rFonts w:ascii="Palatino Linotype" w:eastAsia="Times New Roman" w:hAnsi="Palatino Linotype" w:cs="Arial"/>
          <w:color w:val="000000" w:themeColor="text1"/>
          <w:lang w:val="es-ES"/>
        </w:rPr>
        <w:t xml:space="preserve"> que </w:t>
      </w:r>
      <w:r w:rsidR="00A63B45" w:rsidRPr="00C8495C">
        <w:rPr>
          <w:rFonts w:ascii="Palatino Linotype" w:eastAsia="Times New Roman" w:hAnsi="Palatino Linotype" w:cs="Arial"/>
          <w:color w:val="000000" w:themeColor="text1"/>
          <w:lang w:val="es-ES"/>
        </w:rPr>
        <w:t>el</w:t>
      </w:r>
      <w:r w:rsidR="00E9022C" w:rsidRPr="00C8495C">
        <w:rPr>
          <w:rFonts w:ascii="Palatino Linotype" w:eastAsia="Times New Roman" w:hAnsi="Palatino Linotype" w:cs="Arial"/>
          <w:color w:val="000000" w:themeColor="text1"/>
          <w:lang w:val="es-ES"/>
        </w:rPr>
        <w:t xml:space="preserve"> particular </w:t>
      </w:r>
      <w:r w:rsidR="005F1362" w:rsidRPr="00C8495C">
        <w:rPr>
          <w:rFonts w:ascii="Palatino Linotype" w:eastAsia="Times New Roman" w:hAnsi="Palatino Linotype" w:cs="Arial"/>
          <w:color w:val="000000" w:themeColor="text1"/>
          <w:lang w:val="es-ES"/>
        </w:rPr>
        <w:t>señaló como modalidad de entrega de la información</w:t>
      </w:r>
      <w:r w:rsidR="005F1362" w:rsidRPr="00C8495C">
        <w:rPr>
          <w:rFonts w:ascii="Palatino Linotype" w:eastAsia="Times New Roman" w:hAnsi="Palatino Linotype" w:cs="Arial"/>
          <w:bCs/>
          <w:color w:val="000000" w:themeColor="text1"/>
          <w:lang w:val="es-ES"/>
        </w:rPr>
        <w:t>:</w:t>
      </w:r>
      <w:r w:rsidR="001E4152" w:rsidRPr="00C8495C">
        <w:rPr>
          <w:rFonts w:ascii="Palatino Linotype" w:eastAsia="Times New Roman" w:hAnsi="Palatino Linotype" w:cs="Arial"/>
          <w:b/>
          <w:color w:val="000000" w:themeColor="text1"/>
          <w:lang w:val="es-ES"/>
        </w:rPr>
        <w:t xml:space="preserve"> </w:t>
      </w:r>
      <w:r w:rsidR="004F0BF4" w:rsidRPr="00C8495C">
        <w:rPr>
          <w:rFonts w:ascii="Palatino Linotype" w:eastAsia="Times New Roman" w:hAnsi="Palatino Linotype" w:cs="Arial"/>
          <w:b/>
          <w:i/>
          <w:iCs/>
          <w:color w:val="000000" w:themeColor="text1"/>
          <w:lang w:val="es-ES"/>
        </w:rPr>
        <w:t>A través del SAIMEX</w:t>
      </w:r>
      <w:r w:rsidR="005B4B08" w:rsidRPr="00C8495C">
        <w:rPr>
          <w:rFonts w:ascii="Palatino Linotype" w:eastAsia="Calibri" w:hAnsi="Palatino Linotype" w:cs="Arial"/>
          <w:color w:val="000000" w:themeColor="text1"/>
          <w:lang w:val="es-ES"/>
        </w:rPr>
        <w:t>.</w:t>
      </w:r>
    </w:p>
    <w:p w14:paraId="7C0BE992" w14:textId="77777777" w:rsidR="0027463A" w:rsidRPr="00C8495C"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4AEFDAF4" w:rsidR="0022448D" w:rsidRPr="00C8495C"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8495C">
        <w:rPr>
          <w:rFonts w:ascii="Palatino Linotype" w:eastAsia="MS Mincho" w:hAnsi="Palatino Linotype" w:cs="Times New Roman"/>
          <w:color w:val="000000" w:themeColor="text1"/>
        </w:rPr>
        <w:t>E</w:t>
      </w:r>
      <w:r w:rsidR="00B31E90" w:rsidRPr="00C8495C">
        <w:rPr>
          <w:rFonts w:ascii="Palatino Linotype" w:eastAsia="MS Mincho" w:hAnsi="Palatino Linotype" w:cs="Times New Roman"/>
          <w:color w:val="000000" w:themeColor="text1"/>
        </w:rPr>
        <w:t xml:space="preserve">l </w:t>
      </w:r>
      <w:r w:rsidR="00057718" w:rsidRPr="00C8495C">
        <w:rPr>
          <w:rFonts w:ascii="Palatino Linotype" w:eastAsia="MS Mincho" w:hAnsi="Palatino Linotype" w:cs="Times New Roman"/>
          <w:color w:val="000000" w:themeColor="text1"/>
        </w:rPr>
        <w:t>doce (12) de julio de dos mil veintidós</w:t>
      </w:r>
      <w:r w:rsidR="000411E2" w:rsidRPr="00C8495C">
        <w:rPr>
          <w:rFonts w:ascii="Palatino Linotype" w:eastAsia="MS Mincho" w:hAnsi="Palatino Linotype" w:cs="Times New Roman"/>
          <w:color w:val="000000" w:themeColor="text1"/>
        </w:rPr>
        <w:t xml:space="preserve">, </w:t>
      </w:r>
      <w:r w:rsidR="000411E2" w:rsidRPr="00C8495C">
        <w:rPr>
          <w:rFonts w:ascii="Palatino Linotype" w:hAnsi="Palatino Linotype"/>
          <w:color w:val="000000" w:themeColor="text1"/>
          <w:szCs w:val="14"/>
        </w:rPr>
        <w:t xml:space="preserve">el </w:t>
      </w:r>
      <w:r w:rsidR="000411E2" w:rsidRPr="00C8495C">
        <w:rPr>
          <w:rFonts w:ascii="Palatino Linotype" w:hAnsi="Palatino Linotype"/>
          <w:b/>
          <w:color w:val="000000" w:themeColor="text1"/>
          <w:szCs w:val="14"/>
        </w:rPr>
        <w:t>SUJETO OBLIGADO</w:t>
      </w:r>
      <w:r w:rsidR="000411E2" w:rsidRPr="00C8495C">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C8495C" w:rsidRDefault="009A593A" w:rsidP="00B31E90">
      <w:pPr>
        <w:pStyle w:val="Sinespaciado"/>
        <w:ind w:left="567" w:right="567"/>
        <w:jc w:val="right"/>
        <w:rPr>
          <w:rFonts w:ascii="Palatino Linotype" w:hAnsi="Palatino Linotype"/>
          <w:i/>
          <w:noProof/>
          <w:color w:val="000000" w:themeColor="text1"/>
          <w:lang w:eastAsia="es-MX"/>
        </w:rPr>
      </w:pPr>
    </w:p>
    <w:p w14:paraId="4AF87093" w14:textId="77777777" w:rsidR="00057718" w:rsidRPr="00C8495C" w:rsidRDefault="00F25B61" w:rsidP="0005771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495C">
        <w:rPr>
          <w:rFonts w:ascii="Palatino Linotype" w:hAnsi="Palatino Linotype"/>
          <w:i/>
          <w:noProof/>
          <w:color w:val="000000" w:themeColor="text1"/>
          <w:sz w:val="22"/>
          <w:szCs w:val="22"/>
          <w:lang w:val="es-MX" w:eastAsia="es-MX"/>
        </w:rPr>
        <w:t xml:space="preserve"> </w:t>
      </w:r>
      <w:r w:rsidR="005F1362" w:rsidRPr="00C8495C">
        <w:rPr>
          <w:rFonts w:ascii="Palatino Linotype" w:hAnsi="Palatino Linotype"/>
          <w:i/>
          <w:noProof/>
          <w:color w:val="000000" w:themeColor="text1"/>
          <w:sz w:val="22"/>
          <w:szCs w:val="22"/>
          <w:lang w:val="es-MX" w:eastAsia="es-MX"/>
        </w:rPr>
        <w:t>“</w:t>
      </w:r>
      <w:r w:rsidR="00057718" w:rsidRPr="00C8495C">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C96AA7" w14:textId="77777777" w:rsidR="00057718" w:rsidRPr="00C8495C" w:rsidRDefault="00057718" w:rsidP="0005771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80396A3" w14:textId="53C97CE6" w:rsidR="00057718" w:rsidRPr="00C8495C" w:rsidRDefault="00057718" w:rsidP="0005771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495C">
        <w:rPr>
          <w:rFonts w:ascii="Palatino Linotype" w:hAnsi="Palatino Linotype"/>
          <w:i/>
          <w:noProof/>
          <w:color w:val="000000" w:themeColor="text1"/>
          <w:sz w:val="22"/>
          <w:szCs w:val="22"/>
          <w:lang w:val="es-MX" w:eastAsia="es-MX"/>
        </w:rPr>
        <w:t>SE ANEXA RESPUESTA EN TRES ARCHIVOS. EN CASO DE TENER ALGÚN PROBLEMA CON LA RECEPCIÓN DE ESTOS ARCHIVOS, FAVOR DE COMUNICARSE AL TELÉFONO 722 2138893, EXT. 111, 119 Y 132.</w:t>
      </w:r>
    </w:p>
    <w:p w14:paraId="4EECA8E5" w14:textId="77777777" w:rsidR="00057718" w:rsidRPr="00C8495C" w:rsidRDefault="00057718" w:rsidP="0005771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CB6BFE1" w14:textId="110D867A" w:rsidR="00057718" w:rsidRPr="00C8495C" w:rsidRDefault="00057718" w:rsidP="0005771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495C">
        <w:rPr>
          <w:rFonts w:ascii="Palatino Linotype" w:hAnsi="Palatino Linotype"/>
          <w:i/>
          <w:noProof/>
          <w:color w:val="000000" w:themeColor="text1"/>
          <w:sz w:val="22"/>
          <w:szCs w:val="22"/>
          <w:lang w:val="es-MX" w:eastAsia="es-MX"/>
        </w:rPr>
        <w:t>ATENTAMENTE</w:t>
      </w:r>
    </w:p>
    <w:p w14:paraId="35A36DE0" w14:textId="09EC24AF" w:rsidR="0039142B" w:rsidRPr="00C8495C" w:rsidRDefault="00057718" w:rsidP="00057718">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8495C">
        <w:rPr>
          <w:rFonts w:ascii="Palatino Linotype" w:hAnsi="Palatino Linotype"/>
          <w:i/>
          <w:noProof/>
          <w:color w:val="000000" w:themeColor="text1"/>
          <w:sz w:val="22"/>
          <w:szCs w:val="22"/>
          <w:lang w:val="es-MX" w:eastAsia="es-MX"/>
        </w:rPr>
        <w:t>DRA. EN D. ROSARIO ARZATE AGUILAR</w:t>
      </w:r>
      <w:r w:rsidR="005F1362" w:rsidRPr="00C8495C">
        <w:rPr>
          <w:rFonts w:ascii="Palatino Linotype" w:hAnsi="Palatino Linotype"/>
          <w:i/>
          <w:noProof/>
          <w:color w:val="000000" w:themeColor="text1"/>
          <w:sz w:val="22"/>
          <w:szCs w:val="22"/>
          <w:lang w:val="es-MX" w:eastAsia="es-MX"/>
        </w:rPr>
        <w:t>”</w:t>
      </w:r>
      <w:r w:rsidR="00EB3DF7" w:rsidRPr="00C8495C">
        <w:rPr>
          <w:rFonts w:ascii="Palatino Linotype" w:hAnsi="Palatino Linotype"/>
          <w:noProof/>
          <w:color w:val="000000" w:themeColor="text1"/>
          <w:sz w:val="22"/>
          <w:szCs w:val="22"/>
          <w:lang w:val="es-MX" w:eastAsia="es-MX"/>
        </w:rPr>
        <w:t xml:space="preserve"> (Sic.)</w:t>
      </w:r>
    </w:p>
    <w:p w14:paraId="18538835" w14:textId="77777777" w:rsidR="00FE159E" w:rsidRPr="00C8495C" w:rsidRDefault="00FE159E" w:rsidP="00B67B60">
      <w:pPr>
        <w:spacing w:line="360" w:lineRule="auto"/>
        <w:jc w:val="both"/>
        <w:rPr>
          <w:rFonts w:ascii="Palatino Linotype" w:hAnsi="Palatino Linotype" w:cs="Arial"/>
        </w:rPr>
      </w:pPr>
    </w:p>
    <w:p w14:paraId="6EB1129A" w14:textId="46F61712" w:rsidR="00F96BC1" w:rsidRPr="00C8495C"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8495C">
        <w:rPr>
          <w:rFonts w:ascii="Palatino Linotype" w:eastAsia="Times New Roman" w:hAnsi="Palatino Linotype" w:cs="Arial"/>
          <w:color w:val="000000" w:themeColor="text1"/>
          <w:lang w:val="es-ES"/>
        </w:rPr>
        <w:t xml:space="preserve">Adjunto a su acuse de respuesta, el </w:t>
      </w:r>
      <w:r w:rsidRPr="00C8495C">
        <w:rPr>
          <w:rFonts w:ascii="Palatino Linotype" w:eastAsia="Times New Roman" w:hAnsi="Palatino Linotype" w:cs="Arial"/>
          <w:b/>
          <w:color w:val="000000" w:themeColor="text1"/>
          <w:lang w:val="es-ES"/>
        </w:rPr>
        <w:t>SUJETO OBLIGADO</w:t>
      </w:r>
      <w:r w:rsidRPr="00C8495C">
        <w:rPr>
          <w:rFonts w:ascii="Palatino Linotype" w:eastAsia="Times New Roman" w:hAnsi="Palatino Linotype" w:cs="Arial"/>
          <w:color w:val="000000" w:themeColor="text1"/>
          <w:lang w:val="es-ES"/>
        </w:rPr>
        <w:t xml:space="preserve"> presentó </w:t>
      </w:r>
      <w:r w:rsidR="003D4984" w:rsidRPr="00C8495C">
        <w:rPr>
          <w:rFonts w:ascii="Palatino Linotype" w:eastAsia="Times New Roman" w:hAnsi="Palatino Linotype" w:cs="Arial"/>
          <w:color w:val="000000" w:themeColor="text1"/>
          <w:lang w:val="es-ES"/>
        </w:rPr>
        <w:t>los</w:t>
      </w:r>
      <w:r w:rsidR="009E35CC" w:rsidRPr="00C8495C">
        <w:rPr>
          <w:rFonts w:ascii="Palatino Linotype" w:eastAsia="Times New Roman" w:hAnsi="Palatino Linotype" w:cs="Arial"/>
          <w:color w:val="000000" w:themeColor="text1"/>
          <w:lang w:val="es-ES"/>
        </w:rPr>
        <w:t xml:space="preserve"> archivo</w:t>
      </w:r>
      <w:r w:rsidR="003D4984" w:rsidRPr="00C8495C">
        <w:rPr>
          <w:rFonts w:ascii="Palatino Linotype" w:eastAsia="Times New Roman" w:hAnsi="Palatino Linotype" w:cs="Arial"/>
          <w:color w:val="000000" w:themeColor="text1"/>
          <w:lang w:val="es-ES"/>
        </w:rPr>
        <w:t>s</w:t>
      </w:r>
      <w:r w:rsidRPr="00C8495C">
        <w:rPr>
          <w:rFonts w:ascii="Palatino Linotype" w:eastAsia="Times New Roman" w:hAnsi="Palatino Linotype" w:cs="Arial"/>
          <w:color w:val="000000" w:themeColor="text1"/>
          <w:lang w:val="es-ES"/>
        </w:rPr>
        <w:t xml:space="preserve"> electrónico</w:t>
      </w:r>
      <w:r w:rsidR="003D4984" w:rsidRPr="00C8495C">
        <w:rPr>
          <w:rFonts w:ascii="Palatino Linotype" w:eastAsia="Times New Roman" w:hAnsi="Palatino Linotype" w:cs="Arial"/>
          <w:color w:val="000000" w:themeColor="text1"/>
          <w:lang w:val="es-ES"/>
        </w:rPr>
        <w:t>s</w:t>
      </w:r>
      <w:r w:rsidR="000B2F84" w:rsidRPr="00C8495C">
        <w:rPr>
          <w:rFonts w:ascii="Palatino Linotype" w:eastAsia="Times New Roman" w:hAnsi="Palatino Linotype" w:cs="Arial"/>
          <w:color w:val="000000" w:themeColor="text1"/>
          <w:lang w:val="es-ES"/>
        </w:rPr>
        <w:t xml:space="preserve"> siguiente</w:t>
      </w:r>
      <w:r w:rsidR="003D4984" w:rsidRPr="00C8495C">
        <w:rPr>
          <w:rFonts w:ascii="Palatino Linotype" w:eastAsia="Times New Roman" w:hAnsi="Palatino Linotype" w:cs="Arial"/>
          <w:color w:val="000000" w:themeColor="text1"/>
          <w:lang w:val="es-ES"/>
        </w:rPr>
        <w:t>s</w:t>
      </w:r>
      <w:r w:rsidRPr="00C8495C">
        <w:rPr>
          <w:rFonts w:ascii="Palatino Linotype" w:eastAsia="Times New Roman" w:hAnsi="Palatino Linotype" w:cs="Arial"/>
          <w:color w:val="000000" w:themeColor="text1"/>
          <w:lang w:val="es-ES"/>
        </w:rPr>
        <w:t>:</w:t>
      </w:r>
    </w:p>
    <w:p w14:paraId="1FC21E16" w14:textId="08C8E31D" w:rsidR="00057718" w:rsidRPr="00C8495C" w:rsidRDefault="007D2192" w:rsidP="00057718">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C8495C">
        <w:rPr>
          <w:rFonts w:ascii="Palatino Linotype" w:eastAsia="Times New Roman" w:hAnsi="Palatino Linotype" w:cs="Arial"/>
          <w:b/>
          <w:i/>
          <w:color w:val="000000" w:themeColor="text1"/>
          <w:lang w:val="es-ES"/>
        </w:rPr>
        <w:t>“</w:t>
      </w:r>
      <w:proofErr w:type="spellStart"/>
      <w:r w:rsidR="00057718" w:rsidRPr="00C8495C">
        <w:rPr>
          <w:rFonts w:ascii="Palatino Linotype" w:eastAsia="Times New Roman" w:hAnsi="Palatino Linotype" w:cs="Arial"/>
          <w:b/>
          <w:i/>
          <w:color w:val="000000" w:themeColor="text1"/>
          <w:lang w:val="es-ES"/>
        </w:rPr>
        <w:t>Rpta</w:t>
      </w:r>
      <w:proofErr w:type="spellEnd"/>
      <w:r w:rsidR="00057718" w:rsidRPr="00C8495C">
        <w:rPr>
          <w:rFonts w:ascii="Palatino Linotype" w:eastAsia="Times New Roman" w:hAnsi="Palatino Linotype" w:cs="Arial"/>
          <w:b/>
          <w:i/>
          <w:color w:val="000000" w:themeColor="text1"/>
          <w:lang w:val="es-ES"/>
        </w:rPr>
        <w:t>. 00199-2022 (2).</w:t>
      </w:r>
      <w:proofErr w:type="spellStart"/>
      <w:r w:rsidR="00057718" w:rsidRPr="00C8495C">
        <w:rPr>
          <w:rFonts w:ascii="Palatino Linotype" w:eastAsia="Times New Roman" w:hAnsi="Palatino Linotype" w:cs="Arial"/>
          <w:b/>
          <w:i/>
          <w:color w:val="000000" w:themeColor="text1"/>
          <w:lang w:val="es-ES"/>
        </w:rPr>
        <w:t>pdf</w:t>
      </w:r>
      <w:proofErr w:type="spellEnd"/>
      <w:r w:rsidRPr="00C8495C">
        <w:rPr>
          <w:rFonts w:ascii="Palatino Linotype" w:eastAsia="Times New Roman" w:hAnsi="Palatino Linotype" w:cs="Arial"/>
          <w:b/>
          <w:i/>
          <w:color w:val="000000" w:themeColor="text1"/>
          <w:lang w:val="es-ES"/>
        </w:rPr>
        <w:t>”</w:t>
      </w:r>
      <w:r w:rsidRPr="00C8495C">
        <w:rPr>
          <w:rFonts w:ascii="Palatino Linotype" w:eastAsia="Times New Roman" w:hAnsi="Palatino Linotype" w:cs="Arial"/>
          <w:color w:val="000000" w:themeColor="text1"/>
          <w:lang w:val="es-ES"/>
        </w:rPr>
        <w:t xml:space="preserve">: Documento </w:t>
      </w:r>
      <w:r w:rsidR="00057718" w:rsidRPr="00C8495C">
        <w:rPr>
          <w:rFonts w:ascii="Palatino Linotype" w:eastAsia="Times New Roman" w:hAnsi="Palatino Linotype" w:cs="Arial"/>
          <w:color w:val="000000" w:themeColor="text1"/>
          <w:lang w:val="es-ES"/>
        </w:rPr>
        <w:t>de 29 fojas consistente en los siguientes instrumentos:</w:t>
      </w:r>
    </w:p>
    <w:p w14:paraId="0C4EE522" w14:textId="029724A3" w:rsidR="00057718" w:rsidRPr="00C8495C" w:rsidRDefault="00057718" w:rsidP="00057718">
      <w:pPr>
        <w:pStyle w:val="Prrafodelista"/>
        <w:numPr>
          <w:ilvl w:val="2"/>
          <w:numId w:val="25"/>
        </w:numPr>
        <w:tabs>
          <w:tab w:val="left" w:pos="284"/>
          <w:tab w:val="left" w:pos="426"/>
        </w:tabs>
        <w:spacing w:line="360" w:lineRule="auto"/>
        <w:jc w:val="both"/>
        <w:rPr>
          <w:rFonts w:ascii="Palatino Linotype" w:hAnsi="Palatino Linotype"/>
          <w:bCs/>
          <w:iCs/>
          <w:color w:val="000000" w:themeColor="text1"/>
          <w:szCs w:val="22"/>
        </w:rPr>
      </w:pPr>
      <w:r w:rsidRPr="00C8495C">
        <w:rPr>
          <w:rFonts w:ascii="Palatino Linotype" w:eastAsia="Times New Roman" w:hAnsi="Palatino Linotype" w:cs="Arial"/>
          <w:bCs/>
          <w:iCs/>
          <w:color w:val="000000" w:themeColor="text1"/>
          <w:lang w:val="es-ES"/>
        </w:rPr>
        <w:t xml:space="preserve">Oficio de doce (12) de julio de dos mil veintidós, sin folio único de identificación, emitido por la Titular de la Unidad de Transparencia, dirigido al entonces </w:t>
      </w:r>
      <w:r w:rsidRPr="00C8495C">
        <w:rPr>
          <w:rFonts w:ascii="Palatino Linotype" w:eastAsia="Times New Roman" w:hAnsi="Palatino Linotype" w:cs="Arial"/>
          <w:b/>
          <w:iCs/>
          <w:color w:val="000000" w:themeColor="text1"/>
          <w:lang w:val="es-ES"/>
        </w:rPr>
        <w:t>SOLICITANTE</w:t>
      </w:r>
      <w:r w:rsidRPr="00C8495C">
        <w:rPr>
          <w:rFonts w:ascii="Palatino Linotype" w:eastAsia="Times New Roman" w:hAnsi="Palatino Linotype" w:cs="Arial"/>
          <w:bCs/>
          <w:iCs/>
          <w:color w:val="000000" w:themeColor="text1"/>
          <w:lang w:val="es-ES"/>
        </w:rPr>
        <w:t xml:space="preserve">, por el que ofrece la respuesta proveída por la </w:t>
      </w:r>
      <w:r w:rsidR="00EA4DAF" w:rsidRPr="00C8495C">
        <w:rPr>
          <w:rFonts w:ascii="Palatino Linotype" w:eastAsia="Times New Roman" w:hAnsi="Palatino Linotype" w:cs="Arial"/>
          <w:bCs/>
          <w:iCs/>
          <w:color w:val="000000" w:themeColor="text1"/>
          <w:lang w:val="es-ES"/>
        </w:rPr>
        <w:t>Dirección General de Información, Planeación y Evaluación.</w:t>
      </w:r>
    </w:p>
    <w:p w14:paraId="72E88FE3" w14:textId="56924F8F" w:rsidR="00EA4DAF" w:rsidRPr="00C8495C" w:rsidRDefault="00EA4DAF" w:rsidP="00057718">
      <w:pPr>
        <w:pStyle w:val="Prrafodelista"/>
        <w:numPr>
          <w:ilvl w:val="2"/>
          <w:numId w:val="25"/>
        </w:numPr>
        <w:tabs>
          <w:tab w:val="left" w:pos="284"/>
          <w:tab w:val="left" w:pos="426"/>
        </w:tabs>
        <w:spacing w:line="360" w:lineRule="auto"/>
        <w:jc w:val="both"/>
        <w:rPr>
          <w:rFonts w:ascii="Palatino Linotype" w:hAnsi="Palatino Linotype"/>
          <w:bCs/>
          <w:iCs/>
          <w:color w:val="000000" w:themeColor="text1"/>
          <w:szCs w:val="22"/>
        </w:rPr>
      </w:pPr>
      <w:r w:rsidRPr="00C8495C">
        <w:rPr>
          <w:rFonts w:ascii="Palatino Linotype" w:eastAsia="Times New Roman" w:hAnsi="Palatino Linotype" w:cs="Arial"/>
          <w:bCs/>
          <w:iCs/>
          <w:color w:val="000000" w:themeColor="text1"/>
          <w:lang w:val="es-ES"/>
        </w:rPr>
        <w:t xml:space="preserve">Oficio número 20502001000100S/015/2022, de doce (12) de julio de dos mil veintidós, emitido por el </w:t>
      </w:r>
      <w:proofErr w:type="gramStart"/>
      <w:r w:rsidRPr="00C8495C">
        <w:rPr>
          <w:rFonts w:ascii="Palatino Linotype" w:eastAsia="Times New Roman" w:hAnsi="Palatino Linotype" w:cs="Arial"/>
          <w:bCs/>
          <w:iCs/>
          <w:color w:val="000000" w:themeColor="text1"/>
          <w:lang w:val="es-ES"/>
        </w:rPr>
        <w:t>Subdirector</w:t>
      </w:r>
      <w:proofErr w:type="gramEnd"/>
      <w:r w:rsidRPr="00C8495C">
        <w:rPr>
          <w:rFonts w:ascii="Palatino Linotype" w:eastAsia="Times New Roman" w:hAnsi="Palatino Linotype" w:cs="Arial"/>
          <w:bCs/>
          <w:iCs/>
          <w:color w:val="000000" w:themeColor="text1"/>
          <w:lang w:val="es-ES"/>
        </w:rPr>
        <w:t xml:space="preserve"> de </w:t>
      </w:r>
      <w:r w:rsidRPr="00C8495C">
        <w:rPr>
          <w:rFonts w:ascii="Palatino Linotype" w:eastAsia="Times New Roman" w:hAnsi="Palatino Linotype" w:cs="Arial"/>
          <w:bCs/>
          <w:iCs/>
          <w:color w:val="000000" w:themeColor="text1"/>
          <w:lang w:val="es-ES"/>
        </w:rPr>
        <w:lastRenderedPageBreak/>
        <w:t xml:space="preserve">Planeación y Evaluación, dirigido a la Titular de la Unidad de Transparencia, por el que se pronuncia de forma directa sobre diversos requerimientos expuestos en la solicitud de información </w:t>
      </w:r>
      <w:r w:rsidRPr="00C8495C">
        <w:rPr>
          <w:rFonts w:ascii="Palatino Linotype" w:eastAsia="Times New Roman" w:hAnsi="Palatino Linotype" w:cs="Arial"/>
          <w:b/>
          <w:iCs/>
          <w:color w:val="000000" w:themeColor="text1"/>
          <w:lang w:val="es-ES"/>
        </w:rPr>
        <w:t>00199/SEGEGOB/IP/2022</w:t>
      </w:r>
      <w:r w:rsidRPr="00C8495C">
        <w:rPr>
          <w:rFonts w:ascii="Palatino Linotype" w:eastAsia="Times New Roman" w:hAnsi="Palatino Linotype" w:cs="Arial"/>
          <w:bCs/>
          <w:iCs/>
          <w:color w:val="000000" w:themeColor="text1"/>
          <w:lang w:val="es-ES"/>
        </w:rPr>
        <w:t>.</w:t>
      </w:r>
    </w:p>
    <w:p w14:paraId="05EE8BAD" w14:textId="77777777" w:rsidR="00C31A78" w:rsidRPr="00C8495C" w:rsidRDefault="00C31A78" w:rsidP="00057718">
      <w:pPr>
        <w:pStyle w:val="Prrafodelista"/>
        <w:numPr>
          <w:ilvl w:val="2"/>
          <w:numId w:val="25"/>
        </w:numPr>
        <w:tabs>
          <w:tab w:val="left" w:pos="284"/>
          <w:tab w:val="left" w:pos="426"/>
        </w:tabs>
        <w:spacing w:line="360" w:lineRule="auto"/>
        <w:jc w:val="both"/>
        <w:rPr>
          <w:rFonts w:ascii="Palatino Linotype" w:hAnsi="Palatino Linotype"/>
          <w:bCs/>
          <w:iCs/>
          <w:color w:val="000000" w:themeColor="text1"/>
          <w:szCs w:val="22"/>
        </w:rPr>
      </w:pPr>
      <w:r w:rsidRPr="00C8495C">
        <w:rPr>
          <w:rFonts w:ascii="Palatino Linotype" w:hAnsi="Palatino Linotype" w:cs="Arial"/>
          <w:color w:val="000000" w:themeColor="text1"/>
        </w:rPr>
        <w:t xml:space="preserve">12 </w:t>
      </w:r>
      <w:proofErr w:type="gramStart"/>
      <w:r w:rsidRPr="00C8495C">
        <w:rPr>
          <w:rFonts w:ascii="Palatino Linotype" w:hAnsi="Palatino Linotype" w:cs="Arial"/>
          <w:color w:val="000000" w:themeColor="text1"/>
        </w:rPr>
        <w:t>Cédulas</w:t>
      </w:r>
      <w:proofErr w:type="gramEnd"/>
      <w:r w:rsidRPr="00C8495C">
        <w:rPr>
          <w:rFonts w:ascii="Palatino Linotype" w:hAnsi="Palatino Linotype" w:cs="Arial"/>
          <w:color w:val="000000" w:themeColor="text1"/>
        </w:rPr>
        <w:t xml:space="preserve"> de Proyectos de Sistematización y Actualización de Información; y</w:t>
      </w:r>
    </w:p>
    <w:p w14:paraId="1E9D4AED" w14:textId="7A305102" w:rsidR="00C31A78" w:rsidRPr="00C8495C" w:rsidRDefault="00C31A78" w:rsidP="00057718">
      <w:pPr>
        <w:pStyle w:val="Prrafodelista"/>
        <w:numPr>
          <w:ilvl w:val="2"/>
          <w:numId w:val="25"/>
        </w:numPr>
        <w:tabs>
          <w:tab w:val="left" w:pos="284"/>
          <w:tab w:val="left" w:pos="426"/>
        </w:tabs>
        <w:spacing w:line="360" w:lineRule="auto"/>
        <w:jc w:val="both"/>
        <w:rPr>
          <w:rFonts w:ascii="Palatino Linotype" w:hAnsi="Palatino Linotype"/>
          <w:bCs/>
          <w:iCs/>
          <w:color w:val="000000" w:themeColor="text1"/>
          <w:szCs w:val="22"/>
        </w:rPr>
      </w:pPr>
      <w:r w:rsidRPr="00C8495C">
        <w:rPr>
          <w:rFonts w:ascii="Palatino Linotype" w:hAnsi="Palatino Linotype" w:cs="Arial"/>
          <w:color w:val="000000" w:themeColor="text1"/>
        </w:rPr>
        <w:t>Un listado que enumera 42 Bases de Datos Personales.</w:t>
      </w:r>
    </w:p>
    <w:p w14:paraId="265DEA91" w14:textId="14123E12" w:rsidR="00057718" w:rsidRPr="00C8495C" w:rsidRDefault="00057718" w:rsidP="00057718">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C8495C">
        <w:rPr>
          <w:rFonts w:ascii="Palatino Linotype" w:eastAsia="Times New Roman" w:hAnsi="Palatino Linotype" w:cs="Arial"/>
          <w:b/>
          <w:i/>
          <w:color w:val="000000" w:themeColor="text1"/>
          <w:lang w:val="es-ES"/>
        </w:rPr>
        <w:t xml:space="preserve">“Anexo TRE Documentos de </w:t>
      </w:r>
      <w:proofErr w:type="spellStart"/>
      <w:r w:rsidRPr="00C8495C">
        <w:rPr>
          <w:rFonts w:ascii="Palatino Linotype" w:eastAsia="Times New Roman" w:hAnsi="Palatino Linotype" w:cs="Arial"/>
          <w:b/>
          <w:i/>
          <w:color w:val="000000" w:themeColor="text1"/>
          <w:lang w:val="es-ES"/>
        </w:rPr>
        <w:t>SEguridad</w:t>
      </w:r>
      <w:proofErr w:type="spellEnd"/>
      <w:r w:rsidRPr="00C8495C">
        <w:rPr>
          <w:rFonts w:ascii="Palatino Linotype" w:eastAsia="Times New Roman" w:hAnsi="Palatino Linotype" w:cs="Arial"/>
          <w:b/>
          <w:i/>
          <w:color w:val="000000" w:themeColor="text1"/>
          <w:lang w:val="es-ES"/>
        </w:rPr>
        <w:t xml:space="preserve"> Tomo I V.P..</w:t>
      </w:r>
      <w:proofErr w:type="spellStart"/>
      <w:r w:rsidRPr="00C8495C">
        <w:rPr>
          <w:rFonts w:ascii="Palatino Linotype" w:eastAsia="Times New Roman" w:hAnsi="Palatino Linotype" w:cs="Arial"/>
          <w:b/>
          <w:i/>
          <w:color w:val="000000" w:themeColor="text1"/>
          <w:lang w:val="es-ES"/>
        </w:rPr>
        <w:t>pdf</w:t>
      </w:r>
      <w:proofErr w:type="spellEnd"/>
      <w:r w:rsidRPr="00C8495C">
        <w:rPr>
          <w:rFonts w:ascii="Palatino Linotype" w:eastAsia="Times New Roman" w:hAnsi="Palatino Linotype" w:cs="Arial"/>
          <w:b/>
          <w:i/>
          <w:color w:val="000000" w:themeColor="text1"/>
          <w:lang w:val="es-ES"/>
        </w:rPr>
        <w:t>”</w:t>
      </w:r>
      <w:r w:rsidRPr="00C8495C">
        <w:rPr>
          <w:rFonts w:ascii="Palatino Linotype" w:eastAsia="Times New Roman" w:hAnsi="Palatino Linotype" w:cs="Arial"/>
          <w:color w:val="000000" w:themeColor="text1"/>
          <w:lang w:val="es-ES"/>
        </w:rPr>
        <w:t xml:space="preserve">: Documento </w:t>
      </w:r>
      <w:r w:rsidR="00EA4DAF" w:rsidRPr="00C8495C">
        <w:rPr>
          <w:rFonts w:ascii="Palatino Linotype" w:eastAsia="Times New Roman" w:hAnsi="Palatino Linotype" w:cs="Arial"/>
          <w:color w:val="000000" w:themeColor="text1"/>
          <w:lang w:val="es-ES"/>
        </w:rPr>
        <w:t xml:space="preserve">de 377 fojas consistente en la versión pública de </w:t>
      </w:r>
      <w:r w:rsidR="002A3453" w:rsidRPr="00C8495C">
        <w:rPr>
          <w:rFonts w:ascii="Palatino Linotype" w:eastAsia="Times New Roman" w:hAnsi="Palatino Linotype" w:cs="Arial"/>
          <w:color w:val="000000" w:themeColor="text1"/>
          <w:lang w:val="es-ES"/>
        </w:rPr>
        <w:t>25</w:t>
      </w:r>
      <w:r w:rsidR="00EA4DAF" w:rsidRPr="00C8495C">
        <w:rPr>
          <w:rFonts w:ascii="Palatino Linotype" w:eastAsia="Times New Roman" w:hAnsi="Palatino Linotype" w:cs="Arial"/>
          <w:color w:val="000000" w:themeColor="text1"/>
          <w:lang w:val="es-ES"/>
        </w:rPr>
        <w:t xml:space="preserve"> Documentos de Seguridad de diversos sistemas y bases de datos personales.</w:t>
      </w:r>
    </w:p>
    <w:p w14:paraId="2AFCC9EE" w14:textId="2EB6DE5B" w:rsidR="000C37FE" w:rsidRPr="00C8495C" w:rsidRDefault="00057718" w:rsidP="00057718">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C8495C">
        <w:rPr>
          <w:rFonts w:ascii="Palatino Linotype" w:eastAsia="Times New Roman" w:hAnsi="Palatino Linotype" w:cs="Arial"/>
          <w:b/>
          <w:i/>
          <w:color w:val="000000" w:themeColor="text1"/>
          <w:lang w:val="es-ES"/>
        </w:rPr>
        <w:t>“Anexo TRES Documentos de Seguridad Tomo II V.P..</w:t>
      </w:r>
      <w:proofErr w:type="spellStart"/>
      <w:r w:rsidRPr="00C8495C">
        <w:rPr>
          <w:rFonts w:ascii="Palatino Linotype" w:eastAsia="Times New Roman" w:hAnsi="Palatino Linotype" w:cs="Arial"/>
          <w:b/>
          <w:i/>
          <w:color w:val="000000" w:themeColor="text1"/>
          <w:lang w:val="es-ES"/>
        </w:rPr>
        <w:t>pdf</w:t>
      </w:r>
      <w:proofErr w:type="spellEnd"/>
      <w:r w:rsidRPr="00C8495C">
        <w:rPr>
          <w:rFonts w:ascii="Palatino Linotype" w:eastAsia="Times New Roman" w:hAnsi="Palatino Linotype" w:cs="Arial"/>
          <w:b/>
          <w:i/>
          <w:color w:val="000000" w:themeColor="text1"/>
          <w:lang w:val="es-ES"/>
        </w:rPr>
        <w:t>”</w:t>
      </w:r>
      <w:r w:rsidRPr="00C8495C">
        <w:rPr>
          <w:rFonts w:ascii="Palatino Linotype" w:eastAsia="Times New Roman" w:hAnsi="Palatino Linotype" w:cs="Arial"/>
          <w:color w:val="000000" w:themeColor="text1"/>
          <w:lang w:val="es-ES"/>
        </w:rPr>
        <w:t xml:space="preserve">: Documento </w:t>
      </w:r>
      <w:r w:rsidR="002A3453" w:rsidRPr="00C8495C">
        <w:rPr>
          <w:rFonts w:ascii="Palatino Linotype" w:eastAsia="Times New Roman" w:hAnsi="Palatino Linotype" w:cs="Arial"/>
          <w:color w:val="000000" w:themeColor="text1"/>
          <w:lang w:val="es-ES"/>
        </w:rPr>
        <w:t>de 241 fojas consistente en la versión pública de 15 Documentos de Seguridad de diversos sistemas y bases de datos personales.</w:t>
      </w:r>
    </w:p>
    <w:p w14:paraId="3EDB899A" w14:textId="77777777" w:rsidR="000C37FE" w:rsidRPr="00C8495C" w:rsidRDefault="000C37FE" w:rsidP="000C37F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0C1D5CE4" w:rsidR="000D5A1D" w:rsidRPr="00C8495C"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8495C">
        <w:rPr>
          <w:rFonts w:ascii="Palatino Linotype" w:eastAsia="Times New Roman" w:hAnsi="Palatino Linotype" w:cs="Arial"/>
          <w:color w:val="000000" w:themeColor="text1"/>
          <w:lang w:val="es-ES"/>
        </w:rPr>
        <w:t>D</w:t>
      </w:r>
      <w:r w:rsidR="00561ED1" w:rsidRPr="00C8495C">
        <w:rPr>
          <w:rFonts w:ascii="Palatino Linotype" w:eastAsia="Times New Roman" w:hAnsi="Palatino Linotype" w:cs="Arial"/>
          <w:color w:val="000000" w:themeColor="text1"/>
          <w:lang w:val="es-ES"/>
        </w:rPr>
        <w:t xml:space="preserve">erivado de la respuesta emitida por el </w:t>
      </w:r>
      <w:r w:rsidR="00561ED1" w:rsidRPr="00C8495C">
        <w:rPr>
          <w:rFonts w:ascii="Palatino Linotype" w:eastAsia="Times New Roman" w:hAnsi="Palatino Linotype" w:cs="Arial"/>
          <w:b/>
          <w:color w:val="000000" w:themeColor="text1"/>
          <w:lang w:val="es-ES"/>
        </w:rPr>
        <w:t>SUJETO OBLIGADO</w:t>
      </w:r>
      <w:r w:rsidR="00561ED1" w:rsidRPr="00C8495C">
        <w:rPr>
          <w:rFonts w:ascii="Palatino Linotype" w:eastAsia="Times New Roman" w:hAnsi="Palatino Linotype" w:cs="Arial"/>
          <w:color w:val="000000" w:themeColor="text1"/>
          <w:lang w:val="es-ES"/>
        </w:rPr>
        <w:t>, e</w:t>
      </w:r>
      <w:r w:rsidR="00DB4BEF" w:rsidRPr="00C8495C">
        <w:rPr>
          <w:rFonts w:ascii="Palatino Linotype" w:eastAsia="Times New Roman" w:hAnsi="Palatino Linotype" w:cs="Arial"/>
          <w:color w:val="000000" w:themeColor="text1"/>
          <w:lang w:val="es-ES"/>
        </w:rPr>
        <w:t xml:space="preserve">l </w:t>
      </w:r>
      <w:r w:rsidR="002A3453" w:rsidRPr="00C8495C">
        <w:rPr>
          <w:rFonts w:ascii="Palatino Linotype" w:eastAsia="Times New Roman" w:hAnsi="Palatino Linotype" w:cs="Arial"/>
          <w:color w:val="000000" w:themeColor="text1"/>
          <w:lang w:val="es-ES"/>
        </w:rPr>
        <w:t>uno (01) de agosto de dos mil veintidós</w:t>
      </w:r>
      <w:r w:rsidR="00FE49E3" w:rsidRPr="00C8495C">
        <w:rPr>
          <w:rFonts w:ascii="Palatino Linotype" w:eastAsia="Times New Roman" w:hAnsi="Palatino Linotype" w:cs="Arial"/>
          <w:color w:val="000000" w:themeColor="text1"/>
          <w:lang w:val="es-ES"/>
        </w:rPr>
        <w:t xml:space="preserve">, </w:t>
      </w:r>
      <w:r w:rsidR="00505B01" w:rsidRPr="00C8495C">
        <w:rPr>
          <w:rFonts w:ascii="Palatino Linotype" w:eastAsia="Times New Roman" w:hAnsi="Palatino Linotype" w:cs="Arial"/>
          <w:color w:val="000000" w:themeColor="text1"/>
          <w:lang w:val="es-ES"/>
        </w:rPr>
        <w:t>e</w:t>
      </w:r>
      <w:r w:rsidR="004F0BF4" w:rsidRPr="00C8495C">
        <w:rPr>
          <w:rFonts w:ascii="Palatino Linotype" w:eastAsia="Times New Roman" w:hAnsi="Palatino Linotype" w:cs="Arial"/>
          <w:color w:val="000000" w:themeColor="text1"/>
          <w:lang w:val="es-ES"/>
        </w:rPr>
        <w:t>l</w:t>
      </w:r>
      <w:r w:rsidR="005F1362" w:rsidRPr="00C8495C">
        <w:rPr>
          <w:rFonts w:ascii="Palatino Linotype" w:eastAsia="Times New Roman" w:hAnsi="Palatino Linotype" w:cs="Arial"/>
          <w:color w:val="000000" w:themeColor="text1"/>
          <w:lang w:val="es-ES"/>
        </w:rPr>
        <w:t xml:space="preserve"> particular</w:t>
      </w:r>
      <w:r w:rsidR="00DB4BEF" w:rsidRPr="00C8495C">
        <w:rPr>
          <w:rFonts w:ascii="Palatino Linotype" w:eastAsia="Times New Roman" w:hAnsi="Palatino Linotype" w:cs="Arial"/>
          <w:color w:val="000000" w:themeColor="text1"/>
          <w:lang w:val="es-ES"/>
        </w:rPr>
        <w:t xml:space="preserve"> interpuso</w:t>
      </w:r>
      <w:r w:rsidR="009316E9" w:rsidRPr="00C8495C">
        <w:rPr>
          <w:rFonts w:ascii="Palatino Linotype" w:eastAsia="Times New Roman" w:hAnsi="Palatino Linotype" w:cs="Arial"/>
          <w:color w:val="000000" w:themeColor="text1"/>
          <w:lang w:val="es-ES"/>
        </w:rPr>
        <w:t xml:space="preserve"> </w:t>
      </w:r>
      <w:r w:rsidR="00F25B61" w:rsidRPr="00C8495C">
        <w:rPr>
          <w:rFonts w:ascii="Palatino Linotype" w:eastAsia="Times New Roman" w:hAnsi="Palatino Linotype" w:cs="Arial"/>
          <w:color w:val="000000" w:themeColor="text1"/>
          <w:lang w:val="es-ES"/>
        </w:rPr>
        <w:t>el</w:t>
      </w:r>
      <w:r w:rsidR="004D68F8" w:rsidRPr="00C8495C">
        <w:rPr>
          <w:rFonts w:ascii="Palatino Linotype" w:eastAsia="Times New Roman" w:hAnsi="Palatino Linotype" w:cs="Arial"/>
          <w:color w:val="000000" w:themeColor="text1"/>
          <w:lang w:val="es-ES"/>
        </w:rPr>
        <w:t xml:space="preserve"> recurso de revisión </w:t>
      </w:r>
      <w:r w:rsidR="00057718" w:rsidRPr="00C8495C">
        <w:rPr>
          <w:rFonts w:ascii="Palatino Linotype" w:eastAsia="Calibri" w:hAnsi="Palatino Linotype" w:cs="Arial"/>
          <w:b/>
          <w:color w:val="000000" w:themeColor="text1"/>
          <w:lang w:val="es-ES"/>
        </w:rPr>
        <w:t>13038/INFOEM/IP/RR/2022</w:t>
      </w:r>
      <w:r w:rsidR="009A0461" w:rsidRPr="00C8495C">
        <w:rPr>
          <w:rFonts w:ascii="Palatino Linotype" w:eastAsia="Calibri" w:hAnsi="Palatino Linotype" w:cs="Arial"/>
          <w:color w:val="000000" w:themeColor="text1"/>
          <w:lang w:val="es-ES"/>
        </w:rPr>
        <w:t>;</w:t>
      </w:r>
      <w:r w:rsidR="00102D65" w:rsidRPr="00C8495C">
        <w:rPr>
          <w:rFonts w:ascii="Palatino Linotype" w:eastAsia="Times New Roman" w:hAnsi="Palatino Linotype" w:cs="Arial"/>
          <w:color w:val="000000" w:themeColor="text1"/>
          <w:lang w:val="es-ES"/>
        </w:rPr>
        <w:t xml:space="preserve"> </w:t>
      </w:r>
      <w:r w:rsidR="00F25B61" w:rsidRPr="00C8495C">
        <w:rPr>
          <w:rFonts w:ascii="Palatino Linotype" w:eastAsia="Times New Roman" w:hAnsi="Palatino Linotype" w:cs="Arial"/>
          <w:color w:val="000000" w:themeColor="text1"/>
          <w:lang w:val="es-ES"/>
        </w:rPr>
        <w:t>impugnación</w:t>
      </w:r>
      <w:r w:rsidR="004D68F8" w:rsidRPr="00C8495C">
        <w:rPr>
          <w:rFonts w:ascii="Palatino Linotype" w:eastAsia="Times New Roman" w:hAnsi="Palatino Linotype" w:cs="Arial"/>
          <w:color w:val="000000" w:themeColor="text1"/>
          <w:lang w:val="es-ES"/>
        </w:rPr>
        <w:t xml:space="preserve"> </w:t>
      </w:r>
      <w:r w:rsidR="00A45546" w:rsidRPr="00C8495C">
        <w:rPr>
          <w:rFonts w:ascii="Palatino Linotype" w:eastAsia="Times New Roman" w:hAnsi="Palatino Linotype" w:cs="Arial"/>
          <w:color w:val="000000" w:themeColor="text1"/>
          <w:lang w:val="es-ES"/>
        </w:rPr>
        <w:t xml:space="preserve">en </w:t>
      </w:r>
      <w:r w:rsidR="00977D37" w:rsidRPr="00C8495C">
        <w:rPr>
          <w:rFonts w:ascii="Palatino Linotype" w:eastAsia="Times New Roman" w:hAnsi="Palatino Linotype" w:cs="Arial"/>
          <w:color w:val="000000" w:themeColor="text1"/>
          <w:lang w:val="es-ES"/>
        </w:rPr>
        <w:t>la</w:t>
      </w:r>
      <w:r w:rsidR="00A45546" w:rsidRPr="00C8495C">
        <w:rPr>
          <w:rFonts w:ascii="Palatino Linotype" w:eastAsia="Times New Roman" w:hAnsi="Palatino Linotype" w:cs="Arial"/>
          <w:color w:val="000000" w:themeColor="text1"/>
          <w:lang w:val="es-ES"/>
        </w:rPr>
        <w:t xml:space="preserve"> que refirió </w:t>
      </w:r>
      <w:r w:rsidR="004D68F8" w:rsidRPr="00C8495C">
        <w:rPr>
          <w:rFonts w:ascii="Palatino Linotype" w:eastAsia="Times New Roman" w:hAnsi="Palatino Linotype" w:cs="Arial"/>
          <w:color w:val="000000" w:themeColor="text1"/>
          <w:lang w:val="es-ES"/>
        </w:rPr>
        <w:t>lo siguiente:</w:t>
      </w:r>
    </w:p>
    <w:p w14:paraId="054906C6" w14:textId="77777777" w:rsidR="00E34622" w:rsidRPr="00C8495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A2B35D9" w:rsidR="00E34622" w:rsidRPr="00C8495C"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C8495C">
        <w:rPr>
          <w:rFonts w:ascii="Palatino Linotype" w:eastAsia="Times New Roman" w:hAnsi="Palatino Linotype" w:cs="Arial"/>
          <w:b/>
          <w:color w:val="000000" w:themeColor="text1"/>
          <w:sz w:val="22"/>
          <w:lang w:val="es-ES"/>
        </w:rPr>
        <w:t>Acto impugnado:</w:t>
      </w:r>
      <w:r w:rsidRPr="00C8495C">
        <w:rPr>
          <w:rFonts w:ascii="Palatino Linotype" w:eastAsia="Times New Roman" w:hAnsi="Palatino Linotype" w:cs="Arial"/>
          <w:color w:val="000000" w:themeColor="text1"/>
          <w:sz w:val="22"/>
          <w:lang w:val="es-ES"/>
        </w:rPr>
        <w:t xml:space="preserve"> “</w:t>
      </w:r>
      <w:r w:rsidR="002A3453" w:rsidRPr="00C8495C">
        <w:rPr>
          <w:rFonts w:ascii="Palatino Linotype" w:eastAsia="Times New Roman" w:hAnsi="Palatino Linotype" w:cs="Arial"/>
          <w:i/>
          <w:iCs/>
          <w:color w:val="000000" w:themeColor="text1"/>
          <w:sz w:val="22"/>
        </w:rPr>
        <w:t xml:space="preserve">No se entrega </w:t>
      </w:r>
      <w:proofErr w:type="gramStart"/>
      <w:r w:rsidR="002A3453" w:rsidRPr="00C8495C">
        <w:rPr>
          <w:rFonts w:ascii="Palatino Linotype" w:eastAsia="Times New Roman" w:hAnsi="Palatino Linotype" w:cs="Arial"/>
          <w:i/>
          <w:iCs/>
          <w:color w:val="000000" w:themeColor="text1"/>
          <w:sz w:val="22"/>
        </w:rPr>
        <w:t>la bases</w:t>
      </w:r>
      <w:proofErr w:type="gramEnd"/>
      <w:r w:rsidR="002A3453" w:rsidRPr="00C8495C">
        <w:rPr>
          <w:rFonts w:ascii="Palatino Linotype" w:eastAsia="Times New Roman" w:hAnsi="Palatino Linotype" w:cs="Arial"/>
          <w:i/>
          <w:iCs/>
          <w:color w:val="000000" w:themeColor="text1"/>
          <w:sz w:val="22"/>
        </w:rPr>
        <w:t xml:space="preserve"> de datos y Plan de Trabajo del Sistema de Gestión de Protección de Datos Personales de esta Dependencia</w:t>
      </w:r>
      <w:r w:rsidRPr="00C8495C">
        <w:rPr>
          <w:rFonts w:ascii="Palatino Linotype" w:eastAsia="Times New Roman" w:hAnsi="Palatino Linotype" w:cs="Arial"/>
          <w:i/>
          <w:iCs/>
          <w:color w:val="000000" w:themeColor="text1"/>
          <w:sz w:val="22"/>
          <w:lang w:val="es-ES"/>
        </w:rPr>
        <w:t>”</w:t>
      </w:r>
      <w:r w:rsidRPr="00C8495C">
        <w:rPr>
          <w:rFonts w:ascii="Palatino Linotype" w:eastAsia="Times New Roman" w:hAnsi="Palatino Linotype" w:cs="Arial"/>
          <w:color w:val="000000" w:themeColor="text1"/>
          <w:sz w:val="22"/>
          <w:lang w:val="es-ES"/>
        </w:rPr>
        <w:t xml:space="preserve"> (Sic)</w:t>
      </w:r>
    </w:p>
    <w:p w14:paraId="25E44FB6" w14:textId="77777777" w:rsidR="00F25B61" w:rsidRPr="00C8495C"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287C2BC9" w:rsidR="000E096F" w:rsidRPr="00C8495C"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C8495C">
        <w:rPr>
          <w:rFonts w:ascii="Palatino Linotype" w:eastAsia="Times New Roman" w:hAnsi="Palatino Linotype" w:cs="Arial"/>
          <w:b/>
          <w:color w:val="000000" w:themeColor="text1"/>
          <w:sz w:val="22"/>
          <w:lang w:val="es-ES"/>
        </w:rPr>
        <w:t>Razones o motivos de inconformidad:</w:t>
      </w:r>
      <w:r w:rsidRPr="00C8495C">
        <w:rPr>
          <w:rFonts w:ascii="Palatino Linotype" w:eastAsia="Times New Roman" w:hAnsi="Palatino Linotype" w:cs="Arial"/>
          <w:color w:val="000000" w:themeColor="text1"/>
          <w:sz w:val="22"/>
          <w:lang w:val="es-ES"/>
        </w:rPr>
        <w:t xml:space="preserve"> </w:t>
      </w:r>
      <w:r w:rsidR="00505B01" w:rsidRPr="00C8495C">
        <w:rPr>
          <w:rFonts w:ascii="Palatino Linotype" w:eastAsia="Times New Roman" w:hAnsi="Palatino Linotype" w:cs="Arial"/>
          <w:color w:val="000000" w:themeColor="text1"/>
          <w:sz w:val="22"/>
          <w:lang w:val="es-ES"/>
        </w:rPr>
        <w:t>“</w:t>
      </w:r>
      <w:r w:rsidR="002A3453" w:rsidRPr="00C8495C">
        <w:rPr>
          <w:rFonts w:ascii="Palatino Linotype" w:eastAsia="Times New Roman" w:hAnsi="Palatino Linotype" w:cs="Arial"/>
          <w:i/>
          <w:iCs/>
          <w:color w:val="000000" w:themeColor="text1"/>
          <w:sz w:val="22"/>
        </w:rPr>
        <w:t xml:space="preserve">No se entrega </w:t>
      </w:r>
      <w:proofErr w:type="gramStart"/>
      <w:r w:rsidR="002A3453" w:rsidRPr="00C8495C">
        <w:rPr>
          <w:rFonts w:ascii="Palatino Linotype" w:eastAsia="Times New Roman" w:hAnsi="Palatino Linotype" w:cs="Arial"/>
          <w:i/>
          <w:iCs/>
          <w:color w:val="000000" w:themeColor="text1"/>
          <w:sz w:val="22"/>
        </w:rPr>
        <w:t>la bases</w:t>
      </w:r>
      <w:proofErr w:type="gramEnd"/>
      <w:r w:rsidR="002A3453" w:rsidRPr="00C8495C">
        <w:rPr>
          <w:rFonts w:ascii="Palatino Linotype" w:eastAsia="Times New Roman" w:hAnsi="Palatino Linotype" w:cs="Arial"/>
          <w:i/>
          <w:iCs/>
          <w:color w:val="000000" w:themeColor="text1"/>
          <w:sz w:val="22"/>
        </w:rPr>
        <w:t xml:space="preserve"> de datos y Plan de Trabajo del Sistema de Gestión de Protección de Datos Personales de esta Dependencia</w:t>
      </w:r>
      <w:r w:rsidR="00505B01" w:rsidRPr="00C8495C">
        <w:rPr>
          <w:rFonts w:ascii="Palatino Linotype" w:eastAsia="Times New Roman" w:hAnsi="Palatino Linotype" w:cs="Arial"/>
          <w:i/>
          <w:iCs/>
          <w:color w:val="000000" w:themeColor="text1"/>
          <w:sz w:val="22"/>
          <w:lang w:val="es-ES"/>
        </w:rPr>
        <w:t>”</w:t>
      </w:r>
      <w:r w:rsidR="00505B01" w:rsidRPr="00C8495C">
        <w:rPr>
          <w:rFonts w:ascii="Palatino Linotype" w:eastAsia="Times New Roman" w:hAnsi="Palatino Linotype" w:cs="Arial"/>
          <w:color w:val="000000" w:themeColor="text1"/>
          <w:sz w:val="22"/>
          <w:lang w:val="es-ES"/>
        </w:rPr>
        <w:t xml:space="preserve"> (Sic)</w:t>
      </w:r>
    </w:p>
    <w:p w14:paraId="3C8DEE6E" w14:textId="77777777" w:rsidR="00394F10" w:rsidRPr="00C8495C"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58CB7940" w:rsidR="005C7898" w:rsidRPr="00C8495C"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495C">
        <w:rPr>
          <w:rFonts w:ascii="Palatino Linotype" w:eastAsia="Calibri" w:hAnsi="Palatino Linotype" w:cs="Arial"/>
          <w:color w:val="000000" w:themeColor="text1"/>
          <w:lang w:val="es-ES"/>
        </w:rPr>
        <w:t>S</w:t>
      </w:r>
      <w:r w:rsidR="005C7898" w:rsidRPr="00C8495C">
        <w:rPr>
          <w:rFonts w:ascii="Palatino Linotype" w:eastAsia="Calibri" w:hAnsi="Palatino Linotype" w:cs="Arial"/>
          <w:color w:val="000000" w:themeColor="text1"/>
          <w:lang w:val="es-ES"/>
        </w:rPr>
        <w:t xml:space="preserve">e </w:t>
      </w:r>
      <w:r w:rsidR="00F25B61" w:rsidRPr="00C8495C">
        <w:rPr>
          <w:rFonts w:ascii="Palatino Linotype" w:eastAsia="Times New Roman" w:hAnsi="Palatino Linotype" w:cs="Arial"/>
          <w:color w:val="000000" w:themeColor="text1"/>
          <w:lang w:val="es-ES"/>
        </w:rPr>
        <w:t>registró</w:t>
      </w:r>
      <w:r w:rsidR="005C7898" w:rsidRPr="00C8495C">
        <w:rPr>
          <w:rFonts w:ascii="Palatino Linotype" w:eastAsia="Times New Roman" w:hAnsi="Palatino Linotype" w:cs="Arial"/>
          <w:color w:val="000000" w:themeColor="text1"/>
          <w:lang w:val="es-ES"/>
        </w:rPr>
        <w:t xml:space="preserve"> </w:t>
      </w:r>
      <w:r w:rsidR="00F25B61" w:rsidRPr="00C8495C">
        <w:rPr>
          <w:rFonts w:ascii="Palatino Linotype" w:eastAsia="Times New Roman" w:hAnsi="Palatino Linotype" w:cs="Arial"/>
          <w:color w:val="000000" w:themeColor="text1"/>
          <w:lang w:val="es-ES"/>
        </w:rPr>
        <w:t>el</w:t>
      </w:r>
      <w:r w:rsidR="005C7898" w:rsidRPr="00C8495C">
        <w:rPr>
          <w:rFonts w:ascii="Palatino Linotype" w:eastAsia="Times New Roman" w:hAnsi="Palatino Linotype" w:cs="Arial"/>
          <w:color w:val="000000" w:themeColor="text1"/>
          <w:lang w:val="es-ES"/>
        </w:rPr>
        <w:t xml:space="preserve"> recurso de revisión bajo </w:t>
      </w:r>
      <w:r w:rsidR="00F25B61" w:rsidRPr="00C8495C">
        <w:rPr>
          <w:rFonts w:ascii="Palatino Linotype" w:eastAsia="Times New Roman" w:hAnsi="Palatino Linotype" w:cs="Arial"/>
          <w:color w:val="000000" w:themeColor="text1"/>
          <w:lang w:val="es-ES"/>
        </w:rPr>
        <w:t>el</w:t>
      </w:r>
      <w:r w:rsidR="005C7898" w:rsidRPr="00C8495C">
        <w:rPr>
          <w:rFonts w:ascii="Palatino Linotype" w:eastAsia="Times New Roman" w:hAnsi="Palatino Linotype" w:cs="Arial"/>
          <w:color w:val="000000" w:themeColor="text1"/>
          <w:lang w:val="es-ES"/>
        </w:rPr>
        <w:t xml:space="preserve"> número de expediente </w:t>
      </w:r>
      <w:r w:rsidR="00057718" w:rsidRPr="00C8495C">
        <w:rPr>
          <w:rFonts w:ascii="Palatino Linotype" w:eastAsia="Times New Roman" w:hAnsi="Palatino Linotype" w:cs="Arial"/>
          <w:b/>
          <w:color w:val="000000" w:themeColor="text1"/>
          <w:lang w:val="es-ES"/>
        </w:rPr>
        <w:t>13038/INFOEM/IP/RR/2022</w:t>
      </w:r>
      <w:r w:rsidR="005C7898" w:rsidRPr="00C8495C">
        <w:rPr>
          <w:rFonts w:ascii="Palatino Linotype" w:hAnsi="Palatino Linotype" w:cs="Arial"/>
          <w:bCs/>
          <w:color w:val="000000" w:themeColor="text1"/>
        </w:rPr>
        <w:t xml:space="preserve">; asimismo, con fundamento en lo dispuesto por el </w:t>
      </w:r>
      <w:r w:rsidR="005C7898" w:rsidRPr="00C8495C">
        <w:rPr>
          <w:rFonts w:ascii="Palatino Linotype" w:eastAsia="Calibri" w:hAnsi="Palatino Linotype" w:cs="Arial"/>
          <w:bCs/>
          <w:color w:val="000000" w:themeColor="text1"/>
          <w:lang w:val="es-ES"/>
        </w:rPr>
        <w:lastRenderedPageBreak/>
        <w:t>artículo 185</w:t>
      </w:r>
      <w:r w:rsidR="00AE1CCB" w:rsidRPr="00C8495C">
        <w:rPr>
          <w:rFonts w:ascii="Palatino Linotype" w:eastAsia="Calibri" w:hAnsi="Palatino Linotype" w:cs="Arial"/>
          <w:bCs/>
          <w:color w:val="000000" w:themeColor="text1"/>
          <w:lang w:val="es-ES"/>
        </w:rPr>
        <w:t>,</w:t>
      </w:r>
      <w:r w:rsidR="005C7898" w:rsidRPr="00C8495C">
        <w:rPr>
          <w:rFonts w:ascii="Palatino Linotype" w:eastAsia="Calibri" w:hAnsi="Palatino Linotype" w:cs="Arial"/>
          <w:bCs/>
          <w:color w:val="000000" w:themeColor="text1"/>
          <w:lang w:val="es-ES"/>
        </w:rPr>
        <w:t xml:space="preserve"> fracción I</w:t>
      </w:r>
      <w:r w:rsidR="00AE1CCB" w:rsidRPr="00C8495C">
        <w:rPr>
          <w:rFonts w:ascii="Palatino Linotype" w:eastAsia="Calibri" w:hAnsi="Palatino Linotype" w:cs="Arial"/>
          <w:bCs/>
          <w:color w:val="000000" w:themeColor="text1"/>
          <w:lang w:val="es-ES"/>
        </w:rPr>
        <w:t>,</w:t>
      </w:r>
      <w:r w:rsidR="005C7898" w:rsidRPr="00C8495C">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C8495C">
        <w:rPr>
          <w:rFonts w:ascii="Palatino Linotype" w:eastAsia="Times New Roman" w:hAnsi="Palatino Linotype" w:cs="Arial"/>
          <w:bCs/>
          <w:color w:val="000000" w:themeColor="text1"/>
          <w:lang w:val="es-ES"/>
        </w:rPr>
        <w:t xml:space="preserve">se </w:t>
      </w:r>
      <w:r w:rsidR="00F25B61" w:rsidRPr="00C8495C">
        <w:rPr>
          <w:rFonts w:ascii="Palatino Linotype" w:eastAsia="Times New Roman" w:hAnsi="Palatino Linotype" w:cs="Arial"/>
          <w:bCs/>
          <w:color w:val="000000" w:themeColor="text1"/>
          <w:lang w:val="es-ES"/>
        </w:rPr>
        <w:t>turnó</w:t>
      </w:r>
      <w:r w:rsidR="005C7898" w:rsidRPr="00C8495C">
        <w:rPr>
          <w:rFonts w:ascii="Palatino Linotype" w:eastAsia="Times New Roman" w:hAnsi="Palatino Linotype" w:cs="Arial"/>
          <w:bCs/>
          <w:color w:val="000000" w:themeColor="text1"/>
          <w:lang w:val="es-ES"/>
        </w:rPr>
        <w:t xml:space="preserve"> a l</w:t>
      </w:r>
      <w:r w:rsidR="00F25B61" w:rsidRPr="00C8495C">
        <w:rPr>
          <w:rFonts w:ascii="Palatino Linotype" w:eastAsia="Times New Roman" w:hAnsi="Palatino Linotype" w:cs="Arial"/>
          <w:bCs/>
          <w:color w:val="000000" w:themeColor="text1"/>
          <w:lang w:val="es-ES"/>
        </w:rPr>
        <w:t>a</w:t>
      </w:r>
      <w:r w:rsidR="005C7898" w:rsidRPr="00C8495C">
        <w:rPr>
          <w:rFonts w:ascii="Palatino Linotype" w:eastAsia="Times New Roman" w:hAnsi="Palatino Linotype" w:cs="Arial"/>
          <w:bCs/>
          <w:color w:val="000000" w:themeColor="text1"/>
          <w:lang w:val="es-ES"/>
        </w:rPr>
        <w:t xml:space="preserve"> </w:t>
      </w:r>
      <w:r w:rsidR="005C7898" w:rsidRPr="00C8495C">
        <w:rPr>
          <w:rFonts w:ascii="Palatino Linotype" w:eastAsia="Times New Roman" w:hAnsi="Palatino Linotype" w:cs="Arial"/>
          <w:b/>
          <w:bCs/>
          <w:color w:val="000000" w:themeColor="text1"/>
          <w:lang w:val="es-ES"/>
        </w:rPr>
        <w:t>Comisionad</w:t>
      </w:r>
      <w:r w:rsidR="00F25B61" w:rsidRPr="00C8495C">
        <w:rPr>
          <w:rFonts w:ascii="Palatino Linotype" w:eastAsia="Times New Roman" w:hAnsi="Palatino Linotype" w:cs="Arial"/>
          <w:b/>
          <w:bCs/>
          <w:color w:val="000000" w:themeColor="text1"/>
          <w:lang w:val="es-ES"/>
        </w:rPr>
        <w:t>a</w:t>
      </w:r>
      <w:r w:rsidR="005C7898" w:rsidRPr="00C8495C">
        <w:rPr>
          <w:rFonts w:ascii="Palatino Linotype" w:eastAsia="Times New Roman" w:hAnsi="Palatino Linotype" w:cs="Arial"/>
          <w:b/>
          <w:bCs/>
          <w:color w:val="000000" w:themeColor="text1"/>
          <w:lang w:val="es-ES"/>
        </w:rPr>
        <w:t xml:space="preserve"> María del Rosario Mejía Ayala</w:t>
      </w:r>
      <w:r w:rsidR="00F25B61" w:rsidRPr="00C8495C">
        <w:rPr>
          <w:rFonts w:ascii="Palatino Linotype" w:eastAsia="Times New Roman" w:hAnsi="Palatino Linotype" w:cs="Arial"/>
          <w:bCs/>
          <w:color w:val="000000" w:themeColor="text1"/>
          <w:lang w:val="es-ES"/>
        </w:rPr>
        <w:t>,</w:t>
      </w:r>
      <w:r w:rsidR="005C7898" w:rsidRPr="00C8495C">
        <w:rPr>
          <w:rFonts w:ascii="Palatino Linotype" w:eastAsia="Times New Roman" w:hAnsi="Palatino Linotype" w:cs="Arial"/>
          <w:bCs/>
          <w:color w:val="000000" w:themeColor="text1"/>
          <w:lang w:val="es-ES"/>
        </w:rPr>
        <w:t xml:space="preserve"> con el objeto de </w:t>
      </w:r>
      <w:r w:rsidR="005C7898" w:rsidRPr="00C8495C">
        <w:rPr>
          <w:rFonts w:ascii="Palatino Linotype" w:eastAsia="Times New Roman" w:hAnsi="Palatino Linotype" w:cs="Arial"/>
          <w:bCs/>
          <w:color w:val="000000" w:themeColor="text1"/>
        </w:rPr>
        <w:t>su análisis.</w:t>
      </w:r>
    </w:p>
    <w:p w14:paraId="23A01433" w14:textId="77777777" w:rsidR="005C7898" w:rsidRPr="00C8495C"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C6B1385" w:rsidR="00473F11" w:rsidRPr="00C8495C"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C8495C">
        <w:rPr>
          <w:rFonts w:ascii="Palatino Linotype" w:eastAsia="Times New Roman" w:hAnsi="Palatino Linotype" w:cs="Arial"/>
          <w:color w:val="000000" w:themeColor="text1"/>
          <w:lang w:val="es-ES"/>
        </w:rPr>
        <w:t>La Comisionada Ponente</w:t>
      </w:r>
      <w:r w:rsidR="00473F11" w:rsidRPr="00C8495C">
        <w:rPr>
          <w:rFonts w:ascii="Palatino Linotype" w:eastAsia="Calibri" w:hAnsi="Palatino Linotype" w:cs="Arial"/>
          <w:color w:val="000000" w:themeColor="text1"/>
          <w:lang w:val="es-ES"/>
        </w:rPr>
        <w:t>, con fundamento en lo dispuesto por el artículo 185</w:t>
      </w:r>
      <w:r w:rsidR="00F638B9" w:rsidRPr="00C8495C">
        <w:rPr>
          <w:rFonts w:ascii="Palatino Linotype" w:eastAsia="Calibri" w:hAnsi="Palatino Linotype" w:cs="Arial"/>
          <w:color w:val="000000" w:themeColor="text1"/>
          <w:lang w:val="es-ES"/>
        </w:rPr>
        <w:t>,</w:t>
      </w:r>
      <w:r w:rsidR="00473F11" w:rsidRPr="00C8495C">
        <w:rPr>
          <w:rFonts w:ascii="Palatino Linotype" w:eastAsia="Calibri" w:hAnsi="Palatino Linotype" w:cs="Arial"/>
          <w:color w:val="000000" w:themeColor="text1"/>
          <w:lang w:val="es-ES"/>
        </w:rPr>
        <w:t xml:space="preserve"> fracción II</w:t>
      </w:r>
      <w:r w:rsidR="00F638B9" w:rsidRPr="00C8495C">
        <w:rPr>
          <w:rFonts w:ascii="Palatino Linotype" w:eastAsia="Calibri" w:hAnsi="Palatino Linotype" w:cs="Arial"/>
          <w:color w:val="000000" w:themeColor="text1"/>
          <w:lang w:val="es-ES"/>
        </w:rPr>
        <w:t>,</w:t>
      </w:r>
      <w:r w:rsidR="00473F11" w:rsidRPr="00C8495C">
        <w:rPr>
          <w:rFonts w:ascii="Palatino Linotype" w:eastAsia="Calibri" w:hAnsi="Palatino Linotype" w:cs="Arial"/>
          <w:color w:val="000000" w:themeColor="text1"/>
          <w:lang w:val="es-ES"/>
        </w:rPr>
        <w:t xml:space="preserve"> de la </w:t>
      </w:r>
      <w:r w:rsidRPr="00C8495C">
        <w:rPr>
          <w:rFonts w:ascii="Palatino Linotype" w:eastAsia="Calibri" w:hAnsi="Palatino Linotype" w:cs="Arial"/>
          <w:color w:val="000000" w:themeColor="text1"/>
          <w:lang w:val="es-ES"/>
        </w:rPr>
        <w:t xml:space="preserve">Ley </w:t>
      </w:r>
      <w:r w:rsidR="00473F11" w:rsidRPr="00C8495C">
        <w:rPr>
          <w:rFonts w:ascii="Palatino Linotype" w:eastAsia="Calibri" w:hAnsi="Palatino Linotype" w:cs="Arial"/>
          <w:color w:val="000000" w:themeColor="text1"/>
          <w:lang w:val="es-ES"/>
        </w:rPr>
        <w:t>de la materia, a través del acuerdo de admisión de</w:t>
      </w:r>
      <w:r w:rsidR="007E5A30" w:rsidRPr="00C8495C">
        <w:rPr>
          <w:rFonts w:ascii="Palatino Linotype" w:eastAsia="Calibri" w:hAnsi="Palatino Linotype" w:cs="Arial"/>
          <w:color w:val="000000" w:themeColor="text1"/>
          <w:lang w:val="es-ES"/>
        </w:rPr>
        <w:t xml:space="preserve"> </w:t>
      </w:r>
      <w:r w:rsidR="002A3453" w:rsidRPr="00C8495C">
        <w:rPr>
          <w:rFonts w:ascii="Palatino Linotype" w:eastAsia="Calibri" w:hAnsi="Palatino Linotype" w:cs="Arial"/>
          <w:b/>
          <w:color w:val="000000" w:themeColor="text1"/>
          <w:lang w:val="es-ES"/>
        </w:rPr>
        <w:t>dos (02) de agosto de dos mil veintidós</w:t>
      </w:r>
      <w:r w:rsidR="00473F11" w:rsidRPr="00C8495C">
        <w:rPr>
          <w:rFonts w:ascii="Palatino Linotype" w:eastAsia="Calibri" w:hAnsi="Palatino Linotype" w:cs="Arial"/>
          <w:color w:val="000000" w:themeColor="text1"/>
          <w:lang w:val="es-ES"/>
        </w:rPr>
        <w:t xml:space="preserve">, </w:t>
      </w:r>
      <w:r w:rsidRPr="00C8495C">
        <w:rPr>
          <w:rFonts w:ascii="Palatino Linotype" w:eastAsia="Calibri" w:hAnsi="Palatino Linotype" w:cs="Arial"/>
          <w:color w:val="000000" w:themeColor="text1"/>
          <w:lang w:val="es-ES"/>
        </w:rPr>
        <w:t>puso</w:t>
      </w:r>
      <w:r w:rsidR="00473F11" w:rsidRPr="00C8495C">
        <w:rPr>
          <w:rFonts w:ascii="Palatino Linotype" w:eastAsia="Calibri" w:hAnsi="Palatino Linotype" w:cs="Arial"/>
          <w:color w:val="000000" w:themeColor="text1"/>
          <w:lang w:val="es-ES"/>
        </w:rPr>
        <w:t xml:space="preserve"> a disposición de las partes </w:t>
      </w:r>
      <w:r w:rsidRPr="00C8495C">
        <w:rPr>
          <w:rFonts w:ascii="Palatino Linotype" w:eastAsia="Calibri" w:hAnsi="Palatino Linotype" w:cs="Arial"/>
          <w:color w:val="000000" w:themeColor="text1"/>
          <w:lang w:val="es-ES"/>
        </w:rPr>
        <w:t>el expediente electrónico</w:t>
      </w:r>
      <w:r w:rsidR="00473F11" w:rsidRPr="00C8495C">
        <w:rPr>
          <w:rFonts w:ascii="Palatino Linotype" w:eastAsia="Calibri" w:hAnsi="Palatino Linotype" w:cs="Arial"/>
          <w:color w:val="000000" w:themeColor="text1"/>
          <w:lang w:val="es-ES"/>
        </w:rPr>
        <w:t xml:space="preserve"> </w:t>
      </w:r>
      <w:r w:rsidR="00473F11" w:rsidRPr="00C8495C">
        <w:rPr>
          <w:rFonts w:ascii="Palatino Linotype" w:eastAsia="Calibri" w:hAnsi="Palatino Linotype" w:cs="Arial"/>
          <w:color w:val="000000" w:themeColor="text1"/>
        </w:rPr>
        <w:t xml:space="preserve">vía </w:t>
      </w:r>
      <w:r w:rsidR="00E85FF3" w:rsidRPr="00C8495C">
        <w:rPr>
          <w:rFonts w:ascii="Palatino Linotype" w:eastAsia="Calibri" w:hAnsi="Palatino Linotype" w:cs="Arial"/>
          <w:color w:val="000000" w:themeColor="text1"/>
          <w:lang w:val="es-ES"/>
        </w:rPr>
        <w:t xml:space="preserve">SAIMEX, </w:t>
      </w:r>
      <w:r w:rsidR="00473F11" w:rsidRPr="00C8495C">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C8495C">
        <w:rPr>
          <w:rFonts w:ascii="Palatino Linotype" w:eastAsia="Calibri" w:hAnsi="Palatino Linotype" w:cs="Arial"/>
          <w:b/>
          <w:color w:val="000000" w:themeColor="text1"/>
          <w:lang w:val="es-ES"/>
        </w:rPr>
        <w:t>SUJETO OBLIGADO</w:t>
      </w:r>
      <w:r w:rsidR="00473F11" w:rsidRPr="00C8495C">
        <w:rPr>
          <w:rFonts w:ascii="Palatino Linotype" w:eastAsia="Calibri" w:hAnsi="Palatino Linotype" w:cs="Arial"/>
          <w:color w:val="000000" w:themeColor="text1"/>
          <w:lang w:val="es-ES"/>
        </w:rPr>
        <w:t xml:space="preserve"> presentara </w:t>
      </w:r>
      <w:r w:rsidR="000905EC" w:rsidRPr="00C8495C">
        <w:rPr>
          <w:rFonts w:ascii="Palatino Linotype" w:eastAsia="Calibri" w:hAnsi="Palatino Linotype" w:cs="Arial"/>
          <w:color w:val="000000" w:themeColor="text1"/>
          <w:lang w:val="es-ES"/>
        </w:rPr>
        <w:t>el</w:t>
      </w:r>
      <w:r w:rsidR="00473F11" w:rsidRPr="00C8495C">
        <w:rPr>
          <w:rFonts w:ascii="Palatino Linotype" w:eastAsia="Calibri" w:hAnsi="Palatino Linotype" w:cs="Arial"/>
          <w:color w:val="000000" w:themeColor="text1"/>
          <w:lang w:val="es-ES"/>
        </w:rPr>
        <w:t xml:space="preserve"> Informe</w:t>
      </w:r>
      <w:r w:rsidR="000905EC" w:rsidRPr="00C8495C">
        <w:rPr>
          <w:rFonts w:ascii="Palatino Linotype" w:eastAsia="Calibri" w:hAnsi="Palatino Linotype" w:cs="Arial"/>
          <w:color w:val="000000" w:themeColor="text1"/>
          <w:lang w:val="es-ES"/>
        </w:rPr>
        <w:t xml:space="preserve"> Justificado</w:t>
      </w:r>
      <w:r w:rsidR="00473F11" w:rsidRPr="00C8495C">
        <w:rPr>
          <w:rFonts w:ascii="Palatino Linotype" w:eastAsia="Calibri" w:hAnsi="Palatino Linotype" w:cs="Arial"/>
          <w:color w:val="000000" w:themeColor="text1"/>
          <w:lang w:val="es-ES"/>
        </w:rPr>
        <w:t xml:space="preserve"> procedente</w:t>
      </w:r>
      <w:bookmarkEnd w:id="3"/>
      <w:r w:rsidR="00AE1CCB" w:rsidRPr="00C8495C">
        <w:rPr>
          <w:rFonts w:ascii="Palatino Linotype" w:eastAsia="Calibri" w:hAnsi="Palatino Linotype" w:cs="Arial"/>
          <w:color w:val="000000" w:themeColor="text1"/>
          <w:lang w:val="es-ES"/>
        </w:rPr>
        <w:t>.</w:t>
      </w:r>
    </w:p>
    <w:p w14:paraId="12EBC051" w14:textId="77777777" w:rsidR="00CF15AD" w:rsidRPr="00C8495C"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6CDBF0" w14:textId="70DD8E24" w:rsidR="00BD7AEB" w:rsidRPr="00C8495C" w:rsidRDefault="000C37FE"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495C">
        <w:rPr>
          <w:rFonts w:ascii="Palatino Linotype" w:eastAsia="Calibri" w:hAnsi="Palatino Linotype" w:cs="Arial"/>
          <w:color w:val="000000" w:themeColor="text1"/>
          <w:lang w:val="es-ES"/>
        </w:rPr>
        <w:t xml:space="preserve">El </w:t>
      </w:r>
      <w:r w:rsidR="002A3453" w:rsidRPr="00C8495C">
        <w:rPr>
          <w:rFonts w:ascii="Palatino Linotype" w:eastAsia="Calibri" w:hAnsi="Palatino Linotype" w:cs="Arial"/>
          <w:b/>
          <w:color w:val="000000" w:themeColor="text1"/>
          <w:lang w:val="es-ES"/>
        </w:rPr>
        <w:t>ocho (08) de agosto de dos mil veintidós</w:t>
      </w:r>
      <w:r w:rsidRPr="00C8495C">
        <w:rPr>
          <w:rFonts w:ascii="Palatino Linotype" w:eastAsia="Calibri" w:hAnsi="Palatino Linotype" w:cs="Arial"/>
          <w:color w:val="000000" w:themeColor="text1"/>
          <w:lang w:val="es-ES"/>
        </w:rPr>
        <w:t xml:space="preserve">, el </w:t>
      </w:r>
      <w:r w:rsidRPr="00C8495C">
        <w:rPr>
          <w:rFonts w:ascii="Palatino Linotype" w:eastAsia="Calibri" w:hAnsi="Palatino Linotype" w:cs="Arial"/>
          <w:b/>
          <w:color w:val="000000" w:themeColor="text1"/>
          <w:lang w:val="es-ES"/>
        </w:rPr>
        <w:t>SUJETO OBLIGADO</w:t>
      </w:r>
      <w:r w:rsidRPr="00C8495C">
        <w:rPr>
          <w:rFonts w:ascii="Palatino Linotype" w:eastAsia="Calibri" w:hAnsi="Palatino Linotype" w:cs="Arial"/>
          <w:color w:val="000000" w:themeColor="text1"/>
          <w:lang w:val="es-ES"/>
        </w:rPr>
        <w:t xml:space="preserve"> presentó, en vía de informe justificado, </w:t>
      </w:r>
      <w:r w:rsidR="003D4984" w:rsidRPr="00C8495C">
        <w:rPr>
          <w:rFonts w:ascii="Palatino Linotype" w:eastAsia="Calibri" w:hAnsi="Palatino Linotype" w:cs="Arial"/>
          <w:color w:val="000000" w:themeColor="text1"/>
          <w:lang w:val="es-ES"/>
        </w:rPr>
        <w:t>el archivo electrónico</w:t>
      </w:r>
      <w:r w:rsidRPr="00C8495C">
        <w:rPr>
          <w:rFonts w:ascii="Palatino Linotype" w:eastAsia="Calibri" w:hAnsi="Palatino Linotype" w:cs="Arial"/>
          <w:color w:val="000000" w:themeColor="text1"/>
          <w:lang w:val="es-ES"/>
        </w:rPr>
        <w:t xml:space="preserve"> cuyo título y contenido se expresa a continuación:</w:t>
      </w:r>
    </w:p>
    <w:p w14:paraId="4AC6B2F6" w14:textId="71B7650D" w:rsidR="000C37FE" w:rsidRPr="00C8495C" w:rsidRDefault="000C37FE" w:rsidP="003D4984">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C8495C">
        <w:rPr>
          <w:rFonts w:ascii="Palatino Linotype" w:eastAsia="Calibri" w:hAnsi="Palatino Linotype" w:cs="Arial"/>
          <w:b/>
          <w:i/>
          <w:color w:val="000000" w:themeColor="text1"/>
          <w:lang w:val="es-ES"/>
        </w:rPr>
        <w:t>“</w:t>
      </w:r>
      <w:r w:rsidR="002A3453" w:rsidRPr="00C8495C">
        <w:rPr>
          <w:rFonts w:ascii="Palatino Linotype" w:eastAsia="Calibri" w:hAnsi="Palatino Linotype" w:cs="Arial"/>
          <w:b/>
          <w:i/>
          <w:color w:val="000000" w:themeColor="text1"/>
          <w:lang w:val="es-ES"/>
        </w:rPr>
        <w:t>Informe Justificado Sol. 00199-2022-RR. 13038.pdf</w:t>
      </w:r>
      <w:r w:rsidRPr="00C8495C">
        <w:rPr>
          <w:rFonts w:ascii="Palatino Linotype" w:eastAsia="Calibri" w:hAnsi="Palatino Linotype" w:cs="Arial"/>
          <w:b/>
          <w:i/>
          <w:color w:val="000000" w:themeColor="text1"/>
          <w:lang w:val="es-ES"/>
        </w:rPr>
        <w:t>”</w:t>
      </w:r>
      <w:r w:rsidRPr="00C8495C">
        <w:rPr>
          <w:rFonts w:ascii="Palatino Linotype" w:eastAsia="Calibri" w:hAnsi="Palatino Linotype" w:cs="Arial"/>
          <w:color w:val="000000" w:themeColor="text1"/>
          <w:lang w:val="es-ES"/>
        </w:rPr>
        <w:t xml:space="preserve">: Documento </w:t>
      </w:r>
      <w:r w:rsidR="003D4984" w:rsidRPr="00C8495C">
        <w:rPr>
          <w:rFonts w:ascii="Palatino Linotype" w:eastAsia="Calibri" w:hAnsi="Palatino Linotype" w:cs="Arial"/>
          <w:color w:val="000000" w:themeColor="text1"/>
          <w:lang w:val="es-ES"/>
        </w:rPr>
        <w:t xml:space="preserve">de </w:t>
      </w:r>
      <w:r w:rsidR="002A3453" w:rsidRPr="00C8495C">
        <w:rPr>
          <w:rFonts w:ascii="Palatino Linotype" w:eastAsia="Calibri" w:hAnsi="Palatino Linotype" w:cs="Arial"/>
          <w:color w:val="000000" w:themeColor="text1"/>
          <w:lang w:val="es-ES"/>
        </w:rPr>
        <w:t xml:space="preserve">ocho fojas consistente en el informe justificado de ocho (08) de agosto de dos mil veintidós, emitido por la Titular de la Unidad de Transparencia, dirigido a la Comisionada Ponente, por el que </w:t>
      </w:r>
      <w:r w:rsidR="006A422A" w:rsidRPr="00C8495C">
        <w:rPr>
          <w:rFonts w:ascii="Palatino Linotype" w:eastAsia="Calibri" w:hAnsi="Palatino Linotype" w:cs="Arial"/>
          <w:color w:val="000000" w:themeColor="text1"/>
          <w:lang w:val="es-ES"/>
        </w:rPr>
        <w:t xml:space="preserve">ratifica esencialmente la respuesta inicialmente otorgada a la solicitud de información </w:t>
      </w:r>
      <w:r w:rsidR="006A422A" w:rsidRPr="00C8495C">
        <w:rPr>
          <w:rFonts w:ascii="Palatino Linotype" w:eastAsia="Calibri" w:hAnsi="Palatino Linotype" w:cs="Arial"/>
          <w:b/>
          <w:color w:val="000000" w:themeColor="text1"/>
          <w:lang w:val="es-ES"/>
        </w:rPr>
        <w:t>00199/SEGEGOB/IP/2022</w:t>
      </w:r>
      <w:r w:rsidR="006A422A" w:rsidRPr="00C8495C">
        <w:rPr>
          <w:rFonts w:ascii="Palatino Linotype" w:eastAsia="Calibri" w:hAnsi="Palatino Linotype" w:cs="Arial"/>
          <w:color w:val="000000" w:themeColor="text1"/>
          <w:lang w:val="es-ES"/>
        </w:rPr>
        <w:t>.</w:t>
      </w:r>
    </w:p>
    <w:p w14:paraId="72429F46" w14:textId="77777777" w:rsidR="00306BDD" w:rsidRPr="00C8495C"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087B6D" w14:textId="789DA48D" w:rsidR="0027479B" w:rsidRPr="00C8495C" w:rsidRDefault="003D4984"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C8495C">
        <w:rPr>
          <w:rFonts w:ascii="Palatino Linotype" w:eastAsia="Times New Roman" w:hAnsi="Palatino Linotype" w:cs="Arial"/>
          <w:color w:val="000000" w:themeColor="text1"/>
        </w:rPr>
        <w:t>E</w:t>
      </w:r>
      <w:r w:rsidR="0027479B" w:rsidRPr="00C8495C">
        <w:rPr>
          <w:rFonts w:ascii="Palatino Linotype" w:eastAsia="Times New Roman" w:hAnsi="Palatino Linotype" w:cs="Arial"/>
          <w:color w:val="000000" w:themeColor="text1"/>
        </w:rPr>
        <w:t xml:space="preserve">l </w:t>
      </w:r>
      <w:r w:rsidR="006A422A" w:rsidRPr="00C8495C">
        <w:rPr>
          <w:rFonts w:ascii="Palatino Linotype" w:eastAsia="Times New Roman" w:hAnsi="Palatino Linotype" w:cs="Arial"/>
          <w:b/>
          <w:color w:val="000000" w:themeColor="text1"/>
        </w:rPr>
        <w:t>doce (12) de diciembre de dos mil veintidós</w:t>
      </w:r>
      <w:r w:rsidR="0027479B" w:rsidRPr="00C8495C">
        <w:rPr>
          <w:rFonts w:ascii="Palatino Linotype" w:eastAsia="Times New Roman" w:hAnsi="Palatino Linotype" w:cs="Arial"/>
          <w:color w:val="000000" w:themeColor="text1"/>
        </w:rPr>
        <w:t xml:space="preserve">, </w:t>
      </w:r>
      <w:r w:rsidR="0027479B" w:rsidRPr="00C8495C">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C8495C">
        <w:rPr>
          <w:rFonts w:ascii="Palatino Linotype" w:hAnsi="Palatino Linotype" w:cs="Arial"/>
          <w:bCs/>
          <w:color w:val="000000" w:themeColor="text1"/>
        </w:rPr>
        <w:t xml:space="preserve"> </w:t>
      </w:r>
      <w:r w:rsidR="0027479B" w:rsidRPr="00C8495C">
        <w:rPr>
          <w:rFonts w:ascii="Palatino Linotype" w:hAnsi="Palatino Linotype" w:cs="Arial"/>
          <w:color w:val="000000" w:themeColor="text1"/>
        </w:rPr>
        <w:t xml:space="preserve">se notificó que el plazo de treinta (30) días para </w:t>
      </w:r>
      <w:r w:rsidR="0027479B" w:rsidRPr="00C8495C">
        <w:rPr>
          <w:rFonts w:ascii="Palatino Linotype" w:hAnsi="Palatino Linotype" w:cs="Arial"/>
          <w:color w:val="000000" w:themeColor="text1"/>
        </w:rPr>
        <w:lastRenderedPageBreak/>
        <w:t>resolver el recurso de revisión sería ampliado por un periodo de 15 días hábiles adicionales.</w:t>
      </w:r>
    </w:p>
    <w:p w14:paraId="4C85CC9F"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t xml:space="preserve">Este </w:t>
      </w:r>
      <w:r w:rsidRPr="00C8495C">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t xml:space="preserve">Por </w:t>
      </w:r>
      <w:r w:rsidRPr="00C8495C">
        <w:rPr>
          <w:rFonts w:ascii="Palatino Linotype" w:hAnsi="Palatino Linotype"/>
        </w:rPr>
        <w:t xml:space="preserve">ello, es menester precisar </w:t>
      </w:r>
      <w:proofErr w:type="gramStart"/>
      <w:r w:rsidRPr="00C8495C">
        <w:rPr>
          <w:rFonts w:ascii="Palatino Linotype" w:hAnsi="Palatino Linotype"/>
        </w:rPr>
        <w:t>que</w:t>
      </w:r>
      <w:proofErr w:type="gramEnd"/>
      <w:r w:rsidRPr="00C8495C">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t xml:space="preserve">Así, </w:t>
      </w:r>
      <w:r w:rsidRPr="00C8495C">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lastRenderedPageBreak/>
        <w:t xml:space="preserve">En </w:t>
      </w:r>
      <w:r w:rsidRPr="00C8495C">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t xml:space="preserve">Por </w:t>
      </w:r>
      <w:r w:rsidRPr="00C8495C">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C8495C"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C8495C">
        <w:rPr>
          <w:rFonts w:ascii="Palatino Linotype" w:hAnsi="Palatino Linotype"/>
          <w:b/>
        </w:rPr>
        <w:t>Complejidad del Asunto:</w:t>
      </w:r>
      <w:r w:rsidRPr="00C8495C">
        <w:rPr>
          <w:rFonts w:ascii="Palatino Linotype" w:hAnsi="Palatino Linotype"/>
        </w:rPr>
        <w:t xml:space="preserve"> La complejidad de la prueba, la pluralidad de sujetos procesales, el tiempo transcurrido, las características y contexto del recurso.</w:t>
      </w:r>
    </w:p>
    <w:p w14:paraId="4A21AAE7" w14:textId="77777777" w:rsidR="0027479B" w:rsidRPr="00C8495C"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C8495C">
        <w:rPr>
          <w:rFonts w:ascii="Palatino Linotype" w:hAnsi="Palatino Linotype"/>
          <w:b/>
        </w:rPr>
        <w:t>Actividad Procesal del interesado:</w:t>
      </w:r>
      <w:r w:rsidRPr="00C8495C">
        <w:rPr>
          <w:rFonts w:ascii="Palatino Linotype" w:hAnsi="Palatino Linotype"/>
        </w:rPr>
        <w:t xml:space="preserve"> Acciones u omisiones del interesado.</w:t>
      </w:r>
    </w:p>
    <w:p w14:paraId="08A62D06" w14:textId="77777777" w:rsidR="0027479B" w:rsidRPr="00C8495C"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C8495C">
        <w:rPr>
          <w:rFonts w:ascii="Palatino Linotype" w:hAnsi="Palatino Linotype"/>
          <w:b/>
        </w:rPr>
        <w:t>Conducta de la Autoridad:</w:t>
      </w:r>
      <w:r w:rsidRPr="00C8495C">
        <w:rPr>
          <w:rFonts w:ascii="Palatino Linotype" w:hAnsi="Palatino Linotype"/>
        </w:rPr>
        <w:t xml:space="preserve"> Las Acciones u omisiones realizadas en el procedimiento. Así como si la autoridad actuó con la debida diligencia.</w:t>
      </w:r>
    </w:p>
    <w:p w14:paraId="0E8513F7" w14:textId="6A19EF22" w:rsidR="0027479B" w:rsidRPr="00C8495C"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rPr>
      </w:pPr>
      <w:r w:rsidRPr="00C8495C">
        <w:rPr>
          <w:rFonts w:ascii="Palatino Linotype" w:hAnsi="Palatino Linotype"/>
          <w:b/>
        </w:rPr>
        <w:t>La afectación generada en la situación jurídica de la persona involucrada en el proceso:</w:t>
      </w:r>
      <w:r w:rsidRPr="00C8495C">
        <w:rPr>
          <w:rFonts w:ascii="Palatino Linotype" w:hAnsi="Palatino Linotype"/>
        </w:rPr>
        <w:t xml:space="preserve"> Violación a sus derechos humanos.</w:t>
      </w:r>
    </w:p>
    <w:p w14:paraId="6332AF0D"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t xml:space="preserve">De </w:t>
      </w:r>
      <w:r w:rsidRPr="00C8495C">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color w:val="000000" w:themeColor="text1"/>
        </w:rPr>
        <w:lastRenderedPageBreak/>
        <w:t xml:space="preserve">Argumento </w:t>
      </w:r>
      <w:r w:rsidRPr="00C8495C">
        <w:rPr>
          <w:rFonts w:ascii="Palatino Linotype" w:hAnsi="Palatino Linotype"/>
        </w:rPr>
        <w:t xml:space="preserve">que encuentra sustento en la jurisprudencia P./J. 32/92 emitida por el Pleno de la Suprema Corte de Justicia de la Nación de rubro </w:t>
      </w:r>
      <w:r w:rsidRPr="00C8495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C8495C">
        <w:rPr>
          <w:rStyle w:val="Refdenotaalpie"/>
          <w:rFonts w:ascii="Palatino Linotype" w:hAnsi="Palatino Linotype"/>
          <w:i/>
        </w:rPr>
        <w:footnoteReference w:id="2"/>
      </w:r>
      <w:r w:rsidRPr="00C8495C">
        <w:rPr>
          <w:rFonts w:ascii="Palatino Linotype" w:hAnsi="Palatino Linotype"/>
        </w:rPr>
        <w:t>, visible en la Gaceta del Seminario Judicial de la Federación con el registro digital 205635.</w:t>
      </w:r>
    </w:p>
    <w:p w14:paraId="011F251C"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1B35A0A8"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hAnsi="Palatino Linotype"/>
          <w:color w:val="000000" w:themeColor="text1"/>
        </w:rPr>
        <w:t xml:space="preserve">Razones </w:t>
      </w:r>
      <w:r w:rsidRPr="00C8495C">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C8495C">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6B8B61A3"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C8495C" w:rsidRDefault="0027479B" w:rsidP="0027479B">
      <w:pPr>
        <w:pStyle w:val="Prrafodelista"/>
        <w:spacing w:line="276" w:lineRule="auto"/>
        <w:ind w:left="567" w:right="567"/>
        <w:jc w:val="both"/>
        <w:rPr>
          <w:rFonts w:ascii="Palatino Linotype" w:hAnsi="Palatino Linotype"/>
          <w:i/>
          <w:sz w:val="22"/>
        </w:rPr>
      </w:pPr>
      <w:r w:rsidRPr="00C8495C">
        <w:rPr>
          <w:rFonts w:ascii="Palatino Linotype" w:hAnsi="Palatino Linotype"/>
          <w:b/>
          <w:i/>
          <w:sz w:val="22"/>
        </w:rPr>
        <w:t>PLAZO RAZONABLE PARA RESOLVER. DIMENSIÓN Y EFECTOS DE ESTE CONCEPTO CUANDO SE ADUCE EXCESIVA CARGA DE TRABAJO.</w:t>
      </w:r>
      <w:r w:rsidRPr="00C8495C">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w:t>
      </w:r>
      <w:r w:rsidRPr="00C8495C">
        <w:rPr>
          <w:rFonts w:ascii="Palatino Linotype" w:hAnsi="Palatino Linotype"/>
          <w:i/>
          <w:sz w:val="22"/>
        </w:rPr>
        <w:lastRenderedPageBreak/>
        <w:t>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C8495C">
        <w:rPr>
          <w:rStyle w:val="Refdenotaalpie"/>
          <w:rFonts w:ascii="Palatino Linotype" w:hAnsi="Palatino Linotype"/>
          <w:i/>
          <w:sz w:val="22"/>
        </w:rPr>
        <w:footnoteReference w:id="3"/>
      </w:r>
    </w:p>
    <w:p w14:paraId="604A10F2" w14:textId="77777777" w:rsidR="0027479B" w:rsidRPr="00C8495C"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C8495C" w:rsidRDefault="0027479B" w:rsidP="0027479B">
      <w:pPr>
        <w:pStyle w:val="Prrafodelista"/>
        <w:spacing w:line="276" w:lineRule="auto"/>
        <w:ind w:left="567" w:right="567"/>
        <w:jc w:val="both"/>
        <w:rPr>
          <w:rFonts w:ascii="Palatino Linotype" w:hAnsi="Palatino Linotype"/>
          <w:i/>
          <w:sz w:val="22"/>
        </w:rPr>
      </w:pPr>
      <w:r w:rsidRPr="00C8495C">
        <w:rPr>
          <w:rFonts w:ascii="Palatino Linotype" w:hAnsi="Palatino Linotype"/>
          <w:b/>
          <w:i/>
          <w:sz w:val="22"/>
        </w:rPr>
        <w:t>PLAZO RAZONABLE PARA RESOLVER. CONCEPTO Y ELEMENTOS QUE LO INTEGRAN A LA LUZ DEL DERECHO INTERNACIONAL DE LOS DERECHOS HUMANOS.</w:t>
      </w:r>
      <w:r w:rsidRPr="00C8495C">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w:t>
      </w:r>
      <w:r w:rsidRPr="00C8495C">
        <w:rPr>
          <w:rFonts w:ascii="Palatino Linotype" w:hAnsi="Palatino Linotype"/>
          <w:i/>
          <w:sz w:val="22"/>
        </w:rPr>
        <w:lastRenderedPageBreak/>
        <w:t>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C8495C">
        <w:rPr>
          <w:rStyle w:val="Refdenotaalpie"/>
          <w:rFonts w:ascii="Palatino Linotype" w:hAnsi="Palatino Linotype"/>
          <w:i/>
          <w:sz w:val="22"/>
        </w:rPr>
        <w:footnoteReference w:id="4"/>
      </w:r>
    </w:p>
    <w:p w14:paraId="0A6E959A" w14:textId="77777777" w:rsidR="0027479B" w:rsidRPr="00C8495C"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C8495C"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FF8565E" w14:textId="77777777" w:rsidR="006A422A" w:rsidRPr="00C8495C" w:rsidRDefault="006A422A" w:rsidP="006A422A">
      <w:pPr>
        <w:pStyle w:val="Prrafodelista"/>
        <w:tabs>
          <w:tab w:val="left" w:pos="426"/>
        </w:tabs>
        <w:spacing w:line="360" w:lineRule="auto"/>
        <w:ind w:left="0"/>
        <w:jc w:val="both"/>
        <w:rPr>
          <w:rFonts w:ascii="Palatino Linotype" w:hAnsi="Palatino Linotype"/>
          <w:color w:val="000000" w:themeColor="text1"/>
        </w:rPr>
      </w:pPr>
    </w:p>
    <w:p w14:paraId="49C89B3D" w14:textId="62C961B5" w:rsidR="006A422A" w:rsidRPr="00C8495C" w:rsidRDefault="006A422A" w:rsidP="006A422A">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hAnsi="Palatino Linotype"/>
        </w:rPr>
        <w:t xml:space="preserve">El </w:t>
      </w:r>
      <w:r w:rsidRPr="00C8495C">
        <w:rPr>
          <w:rFonts w:ascii="Palatino Linotype" w:hAnsi="Palatino Linotype"/>
          <w:b/>
        </w:rPr>
        <w:t>treinta (30) de noviembre de dos mil veintitrés</w:t>
      </w:r>
      <w:r w:rsidRPr="00C8495C">
        <w:rPr>
          <w:rFonts w:ascii="Palatino Linotype" w:hAnsi="Palatino Linotype"/>
        </w:rPr>
        <w:t xml:space="preserve">, el archivo electrónico presentado en vía de informe justificado fue puesto a la vista del </w:t>
      </w:r>
      <w:r w:rsidRPr="00C8495C">
        <w:rPr>
          <w:rFonts w:ascii="Palatino Linotype" w:hAnsi="Palatino Linotype"/>
          <w:b/>
        </w:rPr>
        <w:t>RECURRENTE</w:t>
      </w:r>
      <w:r w:rsidRPr="00C8495C">
        <w:rPr>
          <w:rFonts w:ascii="Palatino Linotype" w:hAnsi="Palatino Linotype"/>
        </w:rPr>
        <w:t>, concediéndole un plazo de tres días hábiles para que éste manifestara lo que a su derecho convenga. Empero, de las constancias que obran dentro del expediente digital formado en el SAIMEX, se advierte que el particular no hizo uso de su derecho de réplica sobre los nuevos contenidos.</w:t>
      </w:r>
    </w:p>
    <w:p w14:paraId="1F7C2554" w14:textId="77777777" w:rsidR="00B81E2A" w:rsidRPr="00C8495C" w:rsidRDefault="00B81E2A" w:rsidP="00B81E2A">
      <w:pPr>
        <w:pStyle w:val="Prrafodelista"/>
        <w:tabs>
          <w:tab w:val="left" w:pos="426"/>
        </w:tabs>
        <w:spacing w:line="360" w:lineRule="auto"/>
        <w:ind w:left="0"/>
        <w:jc w:val="both"/>
        <w:rPr>
          <w:rFonts w:ascii="Palatino Linotype" w:hAnsi="Palatino Linotype"/>
          <w:color w:val="000000" w:themeColor="text1"/>
        </w:rPr>
      </w:pPr>
    </w:p>
    <w:p w14:paraId="713C69FA" w14:textId="138DBFC0" w:rsidR="00AE1CCB" w:rsidRPr="00C8495C" w:rsidRDefault="003A7F9A"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4001D735" wp14:editId="59D2FD59">
                <wp:simplePos x="0" y="0"/>
                <wp:positionH relativeFrom="margin">
                  <wp:align>right</wp:align>
                </wp:positionH>
                <wp:positionV relativeFrom="paragraph">
                  <wp:posOffset>892262</wp:posOffset>
                </wp:positionV>
                <wp:extent cx="5502165" cy="1450427"/>
                <wp:effectExtent l="38100" t="38100" r="60960" b="92710"/>
                <wp:wrapNone/>
                <wp:docPr id="22" name="Conector recto 22"/>
                <wp:cNvGraphicFramePr/>
                <a:graphic xmlns:a="http://schemas.openxmlformats.org/drawingml/2006/main">
                  <a:graphicData uri="http://schemas.microsoft.com/office/word/2010/wordprocessingShape">
                    <wps:wsp>
                      <wps:cNvCnPr/>
                      <wps:spPr>
                        <a:xfrm flipV="1">
                          <a:off x="0" y="0"/>
                          <a:ext cx="5502165" cy="1450427"/>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592E4" id="Conector recto 22"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05pt,70.25pt" to="815.3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" strokecolor="black [3200]" strokeweight="1pt">
                <v:shadow on="t" color="black" opacity="24903f" origin=",.5" offset="0,.55556mm"/>
                <w10:wrap anchorx="margin"/>
              </v:line>
            </w:pict>
          </mc:Fallback>
        </mc:AlternateContent>
      </w:r>
      <w:r w:rsidR="0027479B" w:rsidRPr="00C8495C">
        <w:rPr>
          <w:rFonts w:ascii="Palatino Linotype" w:eastAsia="Times New Roman" w:hAnsi="Palatino Linotype" w:cs="Arial"/>
          <w:color w:val="000000" w:themeColor="text1"/>
        </w:rPr>
        <w:t>F</w:t>
      </w:r>
      <w:r w:rsidR="00795FC5" w:rsidRPr="00C8495C">
        <w:rPr>
          <w:rFonts w:ascii="Palatino Linotype" w:eastAsia="Times New Roman" w:hAnsi="Palatino Linotype" w:cs="Arial"/>
          <w:color w:val="000000" w:themeColor="text1"/>
        </w:rPr>
        <w:t xml:space="preserve">inalmente, el </w:t>
      </w:r>
      <w:r w:rsidR="006A422A" w:rsidRPr="00C8495C">
        <w:rPr>
          <w:rFonts w:ascii="Palatino Linotype" w:eastAsia="Times New Roman" w:hAnsi="Palatino Linotype" w:cs="Arial"/>
          <w:b/>
          <w:color w:val="000000" w:themeColor="text1"/>
        </w:rPr>
        <w:t>seis (06) de diciembre de dos mil veintitrés</w:t>
      </w:r>
      <w:r w:rsidR="001E0672" w:rsidRPr="00C8495C">
        <w:rPr>
          <w:rFonts w:ascii="Palatino Linotype" w:eastAsia="Times New Roman" w:hAnsi="Palatino Linotype" w:cs="Arial"/>
          <w:color w:val="000000" w:themeColor="text1"/>
        </w:rPr>
        <w:t xml:space="preserve">, </w:t>
      </w:r>
      <w:r w:rsidR="00AE1CCB" w:rsidRPr="00C8495C">
        <w:rPr>
          <w:rFonts w:ascii="Palatino Linotype" w:hAnsi="Palatino Linotype" w:cs="Arial"/>
          <w:color w:val="000000" w:themeColor="text1"/>
        </w:rPr>
        <w:t xml:space="preserve">la Comisionada Ponente decretó el cierre del periodo de instrucción, por lo que ordenó turnar </w:t>
      </w:r>
      <w:r w:rsidR="008A7F1F" w:rsidRPr="00C8495C">
        <w:rPr>
          <w:rFonts w:ascii="Palatino Linotype" w:hAnsi="Palatino Linotype" w:cs="Arial"/>
          <w:color w:val="000000" w:themeColor="text1"/>
        </w:rPr>
        <w:t>el expediente</w:t>
      </w:r>
      <w:r w:rsidR="004D5BA4" w:rsidRPr="00C8495C">
        <w:rPr>
          <w:rFonts w:ascii="Palatino Linotype" w:hAnsi="Palatino Linotype" w:cs="Arial"/>
          <w:color w:val="000000" w:themeColor="text1"/>
        </w:rPr>
        <w:t xml:space="preserve"> </w:t>
      </w:r>
      <w:r w:rsidR="00AE1CCB" w:rsidRPr="00C8495C">
        <w:rPr>
          <w:rFonts w:ascii="Palatino Linotype" w:hAnsi="Palatino Linotype" w:cs="Arial"/>
          <w:color w:val="000000" w:themeColor="text1"/>
        </w:rPr>
        <w:t>para su resolució</w:t>
      </w:r>
      <w:r w:rsidR="009A7F61" w:rsidRPr="00C8495C">
        <w:rPr>
          <w:rFonts w:ascii="Palatino Linotype" w:hAnsi="Palatino Linotype" w:cs="Arial"/>
          <w:color w:val="000000" w:themeColor="text1"/>
        </w:rPr>
        <w:t>n, misma que ahora se pronuncia; y ----------</w:t>
      </w:r>
      <w:r w:rsidR="003C650F" w:rsidRPr="00C8495C">
        <w:rPr>
          <w:rFonts w:ascii="Palatino Linotype" w:hAnsi="Palatino Linotype" w:cs="Arial"/>
          <w:color w:val="000000" w:themeColor="text1"/>
        </w:rPr>
        <w:t>--------------</w:t>
      </w:r>
    </w:p>
    <w:p w14:paraId="75848D50" w14:textId="6A68B0A3" w:rsidR="003A7F9A" w:rsidRPr="00C8495C" w:rsidRDefault="003A7F9A">
      <w:pPr>
        <w:rPr>
          <w:rFonts w:ascii="Palatino Linotype" w:hAnsi="Palatino Linotype" w:cs="Arial"/>
          <w:color w:val="000000" w:themeColor="text1"/>
        </w:rPr>
      </w:pPr>
      <w:r w:rsidRPr="00C8495C">
        <w:rPr>
          <w:rFonts w:ascii="Palatino Linotype" w:hAnsi="Palatino Linotype" w:cs="Arial"/>
          <w:color w:val="000000" w:themeColor="text1"/>
        </w:rPr>
        <w:br w:type="page"/>
      </w:r>
    </w:p>
    <w:p w14:paraId="5CB47E4D" w14:textId="331D5FBB" w:rsidR="00C33279" w:rsidRPr="00C8495C" w:rsidRDefault="007C0013" w:rsidP="00B31E90">
      <w:pPr>
        <w:pStyle w:val="Ttulo1"/>
        <w:spacing w:before="0"/>
        <w:jc w:val="center"/>
        <w:rPr>
          <w:b/>
          <w:color w:val="000000" w:themeColor="text1"/>
        </w:rPr>
      </w:pPr>
      <w:bookmarkStart w:id="6" w:name="_Toc88071777"/>
      <w:r w:rsidRPr="00C8495C">
        <w:rPr>
          <w:b/>
          <w:color w:val="000000" w:themeColor="text1"/>
        </w:rPr>
        <w:lastRenderedPageBreak/>
        <w:t>C</w:t>
      </w:r>
      <w:r w:rsidR="00EE696E" w:rsidRPr="00C8495C">
        <w:rPr>
          <w:b/>
          <w:color w:val="000000" w:themeColor="text1"/>
        </w:rPr>
        <w:t xml:space="preserve"> </w:t>
      </w:r>
      <w:r w:rsidRPr="00C8495C">
        <w:rPr>
          <w:b/>
          <w:color w:val="000000" w:themeColor="text1"/>
        </w:rPr>
        <w:t>O</w:t>
      </w:r>
      <w:r w:rsidR="00EE696E" w:rsidRPr="00C8495C">
        <w:rPr>
          <w:b/>
          <w:color w:val="000000" w:themeColor="text1"/>
        </w:rPr>
        <w:t xml:space="preserve"> </w:t>
      </w:r>
      <w:r w:rsidRPr="00C8495C">
        <w:rPr>
          <w:b/>
          <w:color w:val="000000" w:themeColor="text1"/>
        </w:rPr>
        <w:t>N</w:t>
      </w:r>
      <w:r w:rsidR="00EE696E" w:rsidRPr="00C8495C">
        <w:rPr>
          <w:b/>
          <w:color w:val="000000" w:themeColor="text1"/>
        </w:rPr>
        <w:t xml:space="preserve"> </w:t>
      </w:r>
      <w:r w:rsidRPr="00C8495C">
        <w:rPr>
          <w:b/>
          <w:color w:val="000000" w:themeColor="text1"/>
        </w:rPr>
        <w:t>S</w:t>
      </w:r>
      <w:r w:rsidR="00EE696E" w:rsidRPr="00C8495C">
        <w:rPr>
          <w:b/>
          <w:color w:val="000000" w:themeColor="text1"/>
        </w:rPr>
        <w:t xml:space="preserve"> </w:t>
      </w:r>
      <w:r w:rsidRPr="00C8495C">
        <w:rPr>
          <w:b/>
          <w:color w:val="000000" w:themeColor="text1"/>
        </w:rPr>
        <w:t>I</w:t>
      </w:r>
      <w:r w:rsidR="00EE696E" w:rsidRPr="00C8495C">
        <w:rPr>
          <w:b/>
          <w:color w:val="000000" w:themeColor="text1"/>
        </w:rPr>
        <w:t xml:space="preserve"> </w:t>
      </w:r>
      <w:r w:rsidRPr="00C8495C">
        <w:rPr>
          <w:b/>
          <w:color w:val="000000" w:themeColor="text1"/>
        </w:rPr>
        <w:t>D</w:t>
      </w:r>
      <w:r w:rsidR="00EE696E" w:rsidRPr="00C8495C">
        <w:rPr>
          <w:b/>
          <w:color w:val="000000" w:themeColor="text1"/>
        </w:rPr>
        <w:t xml:space="preserve"> </w:t>
      </w:r>
      <w:r w:rsidRPr="00C8495C">
        <w:rPr>
          <w:b/>
          <w:color w:val="000000" w:themeColor="text1"/>
        </w:rPr>
        <w:t>E</w:t>
      </w:r>
      <w:r w:rsidR="00EE696E" w:rsidRPr="00C8495C">
        <w:rPr>
          <w:b/>
          <w:color w:val="000000" w:themeColor="text1"/>
        </w:rPr>
        <w:t xml:space="preserve"> </w:t>
      </w:r>
      <w:r w:rsidRPr="00C8495C">
        <w:rPr>
          <w:b/>
          <w:color w:val="000000" w:themeColor="text1"/>
        </w:rPr>
        <w:t>R</w:t>
      </w:r>
      <w:r w:rsidR="00EE696E" w:rsidRPr="00C8495C">
        <w:rPr>
          <w:b/>
          <w:color w:val="000000" w:themeColor="text1"/>
        </w:rPr>
        <w:t xml:space="preserve"> </w:t>
      </w:r>
      <w:r w:rsidRPr="00C8495C">
        <w:rPr>
          <w:b/>
          <w:color w:val="000000" w:themeColor="text1"/>
        </w:rPr>
        <w:t>A</w:t>
      </w:r>
      <w:r w:rsidR="00EE696E" w:rsidRPr="00C8495C">
        <w:rPr>
          <w:b/>
          <w:color w:val="000000" w:themeColor="text1"/>
        </w:rPr>
        <w:t xml:space="preserve"> </w:t>
      </w:r>
      <w:r w:rsidRPr="00C8495C">
        <w:rPr>
          <w:b/>
          <w:color w:val="000000" w:themeColor="text1"/>
        </w:rPr>
        <w:t>N</w:t>
      </w:r>
      <w:r w:rsidR="00EE696E" w:rsidRPr="00C8495C">
        <w:rPr>
          <w:b/>
          <w:color w:val="000000" w:themeColor="text1"/>
        </w:rPr>
        <w:t xml:space="preserve"> </w:t>
      </w:r>
      <w:r w:rsidRPr="00C8495C">
        <w:rPr>
          <w:b/>
          <w:color w:val="000000" w:themeColor="text1"/>
        </w:rPr>
        <w:t>D</w:t>
      </w:r>
      <w:r w:rsidR="00EE696E" w:rsidRPr="00C8495C">
        <w:rPr>
          <w:b/>
          <w:color w:val="000000" w:themeColor="text1"/>
        </w:rPr>
        <w:t xml:space="preserve"> </w:t>
      </w:r>
      <w:r w:rsidRPr="00C8495C">
        <w:rPr>
          <w:b/>
          <w:color w:val="000000" w:themeColor="text1"/>
        </w:rPr>
        <w:t>O</w:t>
      </w:r>
      <w:bookmarkEnd w:id="4"/>
      <w:bookmarkEnd w:id="5"/>
      <w:bookmarkEnd w:id="6"/>
    </w:p>
    <w:p w14:paraId="435CF9A4" w14:textId="77777777" w:rsidR="00FC1DA7" w:rsidRPr="00C8495C" w:rsidRDefault="00FC1DA7" w:rsidP="00B31E90">
      <w:pPr>
        <w:rPr>
          <w:color w:val="000000" w:themeColor="text1"/>
          <w:lang w:eastAsia="en-US"/>
        </w:rPr>
      </w:pPr>
    </w:p>
    <w:p w14:paraId="629A5BE2" w14:textId="1FC05436" w:rsidR="007C0013" w:rsidRPr="00C8495C"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C8495C">
        <w:rPr>
          <w:rFonts w:ascii="Palatino Linotype" w:hAnsi="Palatino Linotype"/>
          <w:b/>
          <w:color w:val="000000" w:themeColor="text1"/>
          <w:sz w:val="24"/>
        </w:rPr>
        <w:t>PRIMERO. De la competencia</w:t>
      </w:r>
      <w:bookmarkEnd w:id="7"/>
      <w:bookmarkEnd w:id="8"/>
      <w:bookmarkEnd w:id="9"/>
    </w:p>
    <w:p w14:paraId="60FBD8C7" w14:textId="77777777" w:rsidR="00FC1DA7" w:rsidRPr="00C8495C" w:rsidRDefault="00FC1DA7" w:rsidP="00B31E90">
      <w:pPr>
        <w:rPr>
          <w:rFonts w:ascii="Palatino Linotype" w:hAnsi="Palatino Linotype"/>
          <w:color w:val="000000" w:themeColor="text1"/>
          <w:lang w:eastAsia="en-US"/>
        </w:rPr>
      </w:pPr>
    </w:p>
    <w:p w14:paraId="0BF52B18" w14:textId="1F0707AB" w:rsidR="005A228F" w:rsidRPr="00C8495C"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C8495C">
        <w:rPr>
          <w:rFonts w:ascii="Palatino Linotype" w:eastAsia="Calibri" w:hAnsi="Palatino Linotype" w:cs="Times New Roman"/>
          <w:color w:val="000000" w:themeColor="text1"/>
          <w:lang w:val="es-ES"/>
        </w:rPr>
        <w:t xml:space="preserve">Este </w:t>
      </w:r>
      <w:r w:rsidR="00E54CA0" w:rsidRPr="00C8495C">
        <w:rPr>
          <w:rFonts w:ascii="Palatino Linotype" w:eastAsia="Calibri" w:hAnsi="Palatino Linotype"/>
          <w:color w:val="000000" w:themeColor="text1"/>
        </w:rPr>
        <w:t xml:space="preserve">Instituto de </w:t>
      </w:r>
      <w:r w:rsidR="00910E1B" w:rsidRPr="00C8495C">
        <w:rPr>
          <w:rFonts w:ascii="Palatino Linotype" w:eastAsia="Calibri" w:hAnsi="Palatino Linotype"/>
          <w:color w:val="000000" w:themeColor="text1"/>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C8495C">
        <w:rPr>
          <w:rFonts w:ascii="Palatino Linotype" w:eastAsia="Calibri" w:hAnsi="Palatino Linotype" w:cs="Arial"/>
          <w:b/>
          <w:color w:val="000000" w:themeColor="text1"/>
        </w:rPr>
        <w:t>.</w:t>
      </w:r>
    </w:p>
    <w:p w14:paraId="1956B329" w14:textId="77777777" w:rsidR="00B76C73" w:rsidRPr="00C8495C"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C8495C"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C8495C">
        <w:rPr>
          <w:rFonts w:ascii="Palatino Linotype" w:hAnsi="Palatino Linotype"/>
          <w:b/>
          <w:color w:val="000000" w:themeColor="text1"/>
          <w:sz w:val="24"/>
        </w:rPr>
        <w:t>SEGUNDO. De la oportunidad y proced</w:t>
      </w:r>
      <w:r w:rsidR="00F35C44" w:rsidRPr="00C8495C">
        <w:rPr>
          <w:rFonts w:ascii="Palatino Linotype" w:hAnsi="Palatino Linotype"/>
          <w:b/>
          <w:color w:val="000000" w:themeColor="text1"/>
          <w:sz w:val="24"/>
        </w:rPr>
        <w:t>encia</w:t>
      </w:r>
      <w:r w:rsidRPr="00C8495C">
        <w:rPr>
          <w:rFonts w:ascii="Palatino Linotype" w:hAnsi="Palatino Linotype"/>
          <w:b/>
          <w:color w:val="000000" w:themeColor="text1"/>
          <w:sz w:val="24"/>
        </w:rPr>
        <w:t>.</w:t>
      </w:r>
      <w:bookmarkEnd w:id="10"/>
      <w:bookmarkEnd w:id="11"/>
      <w:bookmarkEnd w:id="12"/>
    </w:p>
    <w:p w14:paraId="18E22450" w14:textId="77777777" w:rsidR="00C6440A" w:rsidRPr="00C8495C" w:rsidRDefault="00C6440A" w:rsidP="00B31E90">
      <w:pPr>
        <w:rPr>
          <w:color w:val="000000" w:themeColor="text1"/>
          <w:lang w:eastAsia="en-US"/>
        </w:rPr>
      </w:pPr>
    </w:p>
    <w:p w14:paraId="1DAE4B2B" w14:textId="5281A9E0" w:rsidR="008A7F1F" w:rsidRPr="00C8495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C8495C">
        <w:rPr>
          <w:rFonts w:ascii="Palatino Linotype" w:eastAsia="Calibri" w:hAnsi="Palatino Linotype" w:cs="Arial"/>
          <w:color w:val="000000" w:themeColor="text1"/>
        </w:rPr>
        <w:t>El</w:t>
      </w:r>
      <w:r w:rsidR="003E6D0F" w:rsidRPr="00C8495C">
        <w:rPr>
          <w:rFonts w:ascii="Palatino Linotype" w:eastAsia="Calibri" w:hAnsi="Palatino Linotype" w:cs="Arial"/>
          <w:color w:val="000000" w:themeColor="text1"/>
        </w:rPr>
        <w:t xml:space="preserve"> </w:t>
      </w:r>
      <w:r w:rsidRPr="00C8495C">
        <w:rPr>
          <w:rFonts w:ascii="Palatino Linotype" w:eastAsia="Calibri" w:hAnsi="Palatino Linotype" w:cs="Arial"/>
        </w:rPr>
        <w:t>medio de impugnación fue presentado a través del SAIMEX</w:t>
      </w:r>
      <w:r w:rsidRPr="00C8495C">
        <w:rPr>
          <w:rFonts w:ascii="Palatino Linotype" w:eastAsia="Calibri" w:hAnsi="Palatino Linotype" w:cs="Arial"/>
          <w:b/>
        </w:rPr>
        <w:t>,</w:t>
      </w:r>
      <w:r w:rsidRPr="00C8495C">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C8495C">
        <w:rPr>
          <w:rFonts w:ascii="Palatino Linotype" w:eastAsia="Calibri" w:hAnsi="Palatino Linotype" w:cs="Arial"/>
          <w:b/>
        </w:rPr>
        <w:t>SUJETO OBLIGADO</w:t>
      </w:r>
      <w:r w:rsidRPr="00C8495C">
        <w:rPr>
          <w:rFonts w:ascii="Palatino Linotype" w:eastAsia="Calibri" w:hAnsi="Palatino Linotype" w:cs="Arial"/>
        </w:rPr>
        <w:t xml:space="preserve"> entregó respuesta el </w:t>
      </w:r>
      <w:r w:rsidR="006A422A" w:rsidRPr="00C8495C">
        <w:rPr>
          <w:rFonts w:ascii="Palatino Linotype" w:eastAsia="Calibri" w:hAnsi="Palatino Linotype" w:cs="Arial"/>
          <w:b/>
        </w:rPr>
        <w:t>doce (12) de julio de dos mil veintidós</w:t>
      </w:r>
      <w:r w:rsidRPr="00C8495C">
        <w:rPr>
          <w:rFonts w:ascii="Palatino Linotype" w:eastAsia="Calibri" w:hAnsi="Palatino Linotype" w:cs="Arial"/>
        </w:rPr>
        <w:t xml:space="preserve">, el plazo para interponer el recurso de revisión trascurrió del </w:t>
      </w:r>
      <w:r w:rsidR="006A422A" w:rsidRPr="00C8495C">
        <w:rPr>
          <w:rFonts w:ascii="Palatino Linotype" w:eastAsia="Calibri" w:hAnsi="Palatino Linotype" w:cs="Arial"/>
          <w:b/>
        </w:rPr>
        <w:t>trece (13) de julio</w:t>
      </w:r>
      <w:r w:rsidR="0059170B" w:rsidRPr="00C8495C">
        <w:rPr>
          <w:rFonts w:ascii="Palatino Linotype" w:eastAsia="Calibri" w:hAnsi="Palatino Linotype" w:cs="Arial"/>
        </w:rPr>
        <w:t xml:space="preserve"> al </w:t>
      </w:r>
      <w:r w:rsidR="006A422A" w:rsidRPr="00C8495C">
        <w:rPr>
          <w:rFonts w:ascii="Palatino Linotype" w:eastAsia="Calibri" w:hAnsi="Palatino Linotype" w:cs="Arial"/>
          <w:b/>
        </w:rPr>
        <w:t>dieciséis (16) de agosto de dos mil veintidós</w:t>
      </w:r>
      <w:r w:rsidRPr="00C8495C">
        <w:rPr>
          <w:rFonts w:ascii="Palatino Linotype" w:eastAsia="Calibri" w:hAnsi="Palatino Linotype" w:cs="Arial"/>
        </w:rPr>
        <w:t xml:space="preserve">; sin contemplar en el cómputo los </w:t>
      </w:r>
      <w:r w:rsidR="007E72D5" w:rsidRPr="00C8495C">
        <w:rPr>
          <w:rFonts w:ascii="Palatino Linotype" w:eastAsia="Calibri" w:hAnsi="Palatino Linotype" w:cs="Arial"/>
        </w:rPr>
        <w:t>sábado</w:t>
      </w:r>
      <w:r w:rsidR="00093A7F" w:rsidRPr="00C8495C">
        <w:rPr>
          <w:rFonts w:ascii="Palatino Linotype" w:eastAsia="Calibri" w:hAnsi="Palatino Linotype" w:cs="Arial"/>
        </w:rPr>
        <w:t>s</w:t>
      </w:r>
      <w:r w:rsidR="003C650F" w:rsidRPr="00C8495C">
        <w:rPr>
          <w:rFonts w:ascii="Palatino Linotype" w:eastAsia="Calibri" w:hAnsi="Palatino Linotype" w:cs="Arial"/>
        </w:rPr>
        <w:t xml:space="preserve">, </w:t>
      </w:r>
      <w:r w:rsidR="00BF22B8" w:rsidRPr="00C8495C">
        <w:rPr>
          <w:rFonts w:ascii="Palatino Linotype" w:eastAsia="Calibri" w:hAnsi="Palatino Linotype" w:cs="Arial"/>
        </w:rPr>
        <w:t xml:space="preserve"> </w:t>
      </w:r>
      <w:r w:rsidR="007E72D5" w:rsidRPr="00C8495C">
        <w:rPr>
          <w:rFonts w:ascii="Palatino Linotype" w:eastAsia="Calibri" w:hAnsi="Palatino Linotype" w:cs="Arial"/>
        </w:rPr>
        <w:t>domingos</w:t>
      </w:r>
      <w:r w:rsidR="003C650F" w:rsidRPr="00C8495C">
        <w:rPr>
          <w:rFonts w:ascii="Palatino Linotype" w:eastAsia="Calibri" w:hAnsi="Palatino Linotype" w:cs="Arial"/>
        </w:rPr>
        <w:t xml:space="preserve"> y días inhábiles</w:t>
      </w:r>
      <w:r w:rsidR="003A2CF7" w:rsidRPr="00C8495C">
        <w:rPr>
          <w:rFonts w:ascii="Palatino Linotype" w:eastAsia="Calibri" w:hAnsi="Palatino Linotype" w:cs="Arial"/>
        </w:rPr>
        <w:t>,</w:t>
      </w:r>
      <w:r w:rsidRPr="00C8495C">
        <w:rPr>
          <w:rFonts w:ascii="Palatino Linotype" w:eastAsia="Calibri" w:hAnsi="Palatino Linotype" w:cs="Arial"/>
        </w:rPr>
        <w:t xml:space="preserve"> en términos del artículo 3, fracción X, de la Ley de Transparencia y Acceso a la Información Pública del Estado de México y Municipios.</w:t>
      </w:r>
    </w:p>
    <w:p w14:paraId="70B2D92F" w14:textId="2F96E42F" w:rsidR="006A422A" w:rsidRPr="00C8495C" w:rsidRDefault="006A422A" w:rsidP="006A422A">
      <w:pPr>
        <w:tabs>
          <w:tab w:val="left" w:pos="426"/>
        </w:tabs>
        <w:spacing w:line="360" w:lineRule="auto"/>
        <w:ind w:right="49"/>
        <w:contextualSpacing/>
        <w:jc w:val="both"/>
        <w:rPr>
          <w:rFonts w:ascii="Palatino Linotype" w:eastAsia="Times New Roman" w:hAnsi="Palatino Linotype" w:cs="Times New Roman"/>
        </w:rPr>
      </w:pPr>
    </w:p>
    <w:p w14:paraId="55FC740F" w14:textId="649A489D" w:rsidR="006A422A" w:rsidRPr="00C8495C" w:rsidRDefault="006A422A"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C8495C">
        <w:rPr>
          <w:rFonts w:ascii="Palatino Linotype" w:eastAsia="Times New Roman" w:hAnsi="Palatino Linotype" w:cs="Times New Roman"/>
        </w:rPr>
        <w:t xml:space="preserve">Luego entonces, si el recurso de revisión con número </w:t>
      </w:r>
      <w:r w:rsidRPr="00C8495C">
        <w:rPr>
          <w:rFonts w:ascii="Palatino Linotype" w:eastAsia="Times New Roman" w:hAnsi="Palatino Linotype" w:cs="Times New Roman"/>
          <w:b/>
        </w:rPr>
        <w:t>13038/INFOEM/IP/RR/2022</w:t>
      </w:r>
      <w:r w:rsidRPr="00C8495C">
        <w:rPr>
          <w:rFonts w:ascii="Palatino Linotype" w:eastAsia="Times New Roman" w:hAnsi="Palatino Linotype" w:cs="Times New Roman"/>
        </w:rPr>
        <w:t xml:space="preserve"> fue interpuesto el </w:t>
      </w:r>
      <w:r w:rsidRPr="00C8495C">
        <w:rPr>
          <w:rFonts w:ascii="Palatino Linotype" w:eastAsia="Times New Roman" w:hAnsi="Palatino Linotype" w:cs="Times New Roman"/>
          <w:b/>
        </w:rPr>
        <w:t>uno (01) de agosto de dos mil veintidós</w:t>
      </w:r>
      <w:r w:rsidRPr="00C8495C">
        <w:rPr>
          <w:rFonts w:ascii="Palatino Linotype" w:eastAsia="Times New Roman" w:hAnsi="Palatino Linotype" w:cs="Times New Roman"/>
        </w:rPr>
        <w:t>, éste se encuentra dentro del margen temporal previsto en el artículo 178 de la Ley de Transparencia y Acceso a la Información Pública del Estado de México y Municipios vigente.</w:t>
      </w:r>
    </w:p>
    <w:p w14:paraId="477F0FB7" w14:textId="77777777" w:rsidR="006A422A" w:rsidRPr="00C8495C" w:rsidRDefault="006A422A" w:rsidP="006A422A">
      <w:pPr>
        <w:tabs>
          <w:tab w:val="left" w:pos="426"/>
        </w:tabs>
        <w:spacing w:line="360" w:lineRule="auto"/>
        <w:ind w:right="49"/>
        <w:contextualSpacing/>
        <w:jc w:val="both"/>
        <w:rPr>
          <w:rFonts w:ascii="Palatino Linotype" w:eastAsia="Times New Roman" w:hAnsi="Palatino Linotype" w:cs="Times New Roman"/>
        </w:rPr>
      </w:pPr>
    </w:p>
    <w:p w14:paraId="1DF24BBB" w14:textId="668946AE" w:rsidR="006A422A" w:rsidRPr="00C8495C" w:rsidRDefault="006A422A" w:rsidP="006A422A">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C8495C">
        <w:rPr>
          <w:rFonts w:ascii="Palatino Linotype" w:eastAsia="Times New Roman" w:hAnsi="Palatino Linotype" w:cs="Times New Roman"/>
        </w:rPr>
        <w:t xml:space="preserve">Por </w:t>
      </w:r>
      <w:r w:rsidRPr="00C8495C">
        <w:rPr>
          <w:rFonts w:ascii="Palatino Linotype" w:eastAsia="Calibri" w:hAnsi="Palatino Linotype" w:cs="Arial"/>
        </w:rPr>
        <w:t xml:space="preserve">otro lado, </w:t>
      </w:r>
      <w:r w:rsidRPr="00C8495C">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C8495C">
        <w:rPr>
          <w:rFonts w:ascii="Palatino Linotype" w:hAnsi="Palatino Linotype" w:cs="Arial"/>
          <w:b/>
          <w:color w:val="000000" w:themeColor="text1"/>
          <w:lang w:val="es-ES"/>
        </w:rPr>
        <w:t xml:space="preserve">no señaló </w:t>
      </w:r>
      <w:r w:rsidR="001977D2" w:rsidRPr="00C8495C">
        <w:rPr>
          <w:rFonts w:ascii="Palatino Linotype" w:hAnsi="Palatino Linotype" w:cs="Arial"/>
          <w:b/>
          <w:color w:val="000000" w:themeColor="text1"/>
          <w:lang w:val="es-ES"/>
        </w:rPr>
        <w:t>ningún nombre, seudónimo o carácter para ser identificado</w:t>
      </w:r>
      <w:r w:rsidRPr="00C8495C">
        <w:rPr>
          <w:rFonts w:ascii="Palatino Linotype" w:hAnsi="Palatino Linotype" w:cs="Arial"/>
          <w:color w:val="000000" w:themeColor="text1"/>
          <w:lang w:val="es-ES"/>
        </w:rPr>
        <w:t xml:space="preserve">; sin embargo, es importante señalar que </w:t>
      </w:r>
      <w:r w:rsidRPr="00C8495C">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34FF961" w14:textId="77777777" w:rsidR="006A422A" w:rsidRPr="00C8495C" w:rsidRDefault="006A422A" w:rsidP="006A422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E1F0422" w14:textId="77777777" w:rsidR="006A422A" w:rsidRPr="00C8495C" w:rsidRDefault="006A422A" w:rsidP="006A422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495C">
        <w:rPr>
          <w:rFonts w:ascii="Palatino Linotype" w:hAnsi="Palatino Linotype" w:cs="Arial"/>
          <w:color w:val="000000" w:themeColor="text1"/>
        </w:rPr>
        <w:t xml:space="preserve">Esto </w:t>
      </w:r>
      <w:r w:rsidRPr="00C8495C">
        <w:rPr>
          <w:rFonts w:ascii="Palatino Linotype" w:hAnsi="Palatino Linotype" w:cs="Arial"/>
          <w:color w:val="000000" w:themeColor="text1"/>
          <w:lang w:val="es-ES"/>
        </w:rPr>
        <w:t xml:space="preserve">es así, ya que de conformidad con los artículos 6, apartado A, fracciones III y IV de la </w:t>
      </w:r>
      <w:r w:rsidRPr="00C8495C">
        <w:rPr>
          <w:rFonts w:ascii="Palatino Linotype" w:hAnsi="Palatino Linotype" w:cs="Arial"/>
          <w:b/>
          <w:color w:val="000000" w:themeColor="text1"/>
          <w:lang w:val="es-ES"/>
        </w:rPr>
        <w:t>Constitución Política de los Estados Unidos Mexicanos</w:t>
      </w:r>
      <w:r w:rsidRPr="00C8495C">
        <w:rPr>
          <w:rFonts w:ascii="Palatino Linotype" w:hAnsi="Palatino Linotype" w:cs="Arial"/>
          <w:color w:val="000000" w:themeColor="text1"/>
          <w:lang w:val="es-ES"/>
        </w:rPr>
        <w:t xml:space="preserve">; 5, párrafos vigésimo segundo, vigésimo tercero y vigésimo cuarto, fracciones III, IV y V, de la </w:t>
      </w:r>
      <w:r w:rsidRPr="00C8495C">
        <w:rPr>
          <w:rFonts w:ascii="Palatino Linotype" w:hAnsi="Palatino Linotype" w:cs="Arial"/>
          <w:b/>
          <w:color w:val="000000" w:themeColor="text1"/>
          <w:lang w:val="es-ES"/>
        </w:rPr>
        <w:t>Constitución Política del Estado Libre y Soberano de México</w:t>
      </w:r>
      <w:r w:rsidRPr="00C8495C">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C8495C">
        <w:rPr>
          <w:rFonts w:ascii="Palatino Linotype" w:hAnsi="Palatino Linotype" w:cs="Arial"/>
          <w:color w:val="000000" w:themeColor="text1"/>
          <w:lang w:val="es-ES"/>
        </w:rPr>
        <w:lastRenderedPageBreak/>
        <w:t>autónomos especializados e imparciales que establece la Constitución Federal y Local.</w:t>
      </w:r>
    </w:p>
    <w:p w14:paraId="66EE7CF7" w14:textId="77777777" w:rsidR="006A422A" w:rsidRPr="00C8495C" w:rsidRDefault="006A422A" w:rsidP="006A422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3D1028" w14:textId="77777777" w:rsidR="006A422A" w:rsidRPr="00C8495C" w:rsidRDefault="006A422A" w:rsidP="006A422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495C">
        <w:rPr>
          <w:rFonts w:ascii="Palatino Linotype" w:hAnsi="Palatino Linotype" w:cs="Arial"/>
          <w:color w:val="000000" w:themeColor="text1"/>
        </w:rPr>
        <w:t xml:space="preserve">Por </w:t>
      </w:r>
      <w:r w:rsidRPr="00C8495C">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FA1B51C" w14:textId="77777777" w:rsidR="006A422A" w:rsidRPr="00C8495C" w:rsidRDefault="006A422A" w:rsidP="006A422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ADC034" w14:textId="77777777" w:rsidR="006A422A" w:rsidRPr="00C8495C" w:rsidRDefault="006A422A" w:rsidP="006A422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495C">
        <w:rPr>
          <w:rFonts w:ascii="Palatino Linotype" w:hAnsi="Palatino Linotype" w:cs="Arial"/>
          <w:color w:val="000000" w:themeColor="text1"/>
        </w:rPr>
        <w:t xml:space="preserve">Asimismo, </w:t>
      </w:r>
      <w:r w:rsidRPr="00C8495C">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C8495C">
        <w:rPr>
          <w:rFonts w:ascii="Palatino Linotype" w:eastAsia="Calibri" w:hAnsi="Palatino Linotype" w:cs="Arial"/>
        </w:rPr>
        <w:t>y</w:t>
      </w:r>
      <w:proofErr w:type="gramEnd"/>
      <w:r w:rsidRPr="00C8495C">
        <w:rPr>
          <w:rFonts w:ascii="Palatino Linotype" w:eastAsia="Calibri" w:hAnsi="Palatino Linotype" w:cs="Arial"/>
        </w:rPr>
        <w:t xml:space="preserve"> en consecuencia, toda persona tiene derecho a solicitar acceso a la información.</w:t>
      </w:r>
    </w:p>
    <w:p w14:paraId="69B333E0" w14:textId="77777777" w:rsidR="006A422A" w:rsidRPr="00C8495C" w:rsidRDefault="006A422A" w:rsidP="006A422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AD9FFEE" w14:textId="77777777" w:rsidR="006A422A" w:rsidRPr="00C8495C" w:rsidRDefault="006A422A" w:rsidP="006A422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495C">
        <w:rPr>
          <w:rFonts w:ascii="Palatino Linotype" w:hAnsi="Palatino Linotype" w:cs="Arial"/>
          <w:color w:val="000000" w:themeColor="text1"/>
        </w:rPr>
        <w:t xml:space="preserve">De </w:t>
      </w:r>
      <w:r w:rsidRPr="00C8495C">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83C01FD" w14:textId="77777777" w:rsidR="006A422A" w:rsidRPr="00C8495C" w:rsidRDefault="006A422A" w:rsidP="006A422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DE0A3A1" w14:textId="7125070C" w:rsidR="006A422A" w:rsidRPr="00C8495C" w:rsidRDefault="006A422A" w:rsidP="006A422A">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C8495C">
        <w:rPr>
          <w:rFonts w:ascii="Palatino Linotype" w:hAnsi="Palatino Linotype" w:cs="Arial"/>
          <w:color w:val="000000" w:themeColor="text1"/>
        </w:rPr>
        <w:t>Luego entonces</w:t>
      </w:r>
      <w:r w:rsidRPr="00C8495C">
        <w:rPr>
          <w:rFonts w:ascii="Palatino Linotype" w:eastAsia="Calibri" w:hAnsi="Palatino Linotype" w:cs="Arial"/>
        </w:rPr>
        <w:t xml:space="preserve">, </w:t>
      </w:r>
      <w:r w:rsidRPr="00C8495C">
        <w:rPr>
          <w:rFonts w:ascii="Palatino Linotype" w:hAnsi="Palatino Linotype" w:cs="Arial"/>
          <w:color w:val="000000" w:themeColor="text1"/>
          <w:lang w:val="es-ES" w:eastAsia="es-MX"/>
        </w:rPr>
        <w:t xml:space="preserve">el nombre del </w:t>
      </w:r>
      <w:r w:rsidRPr="00C8495C">
        <w:rPr>
          <w:rFonts w:ascii="Palatino Linotype" w:hAnsi="Palatino Linotype" w:cs="Arial"/>
          <w:b/>
          <w:color w:val="000000" w:themeColor="text1"/>
          <w:lang w:val="es-ES" w:eastAsia="es-MX"/>
        </w:rPr>
        <w:t>SOLICITANTE</w:t>
      </w:r>
      <w:r w:rsidRPr="00C8495C">
        <w:rPr>
          <w:rFonts w:ascii="Palatino Linotype" w:hAnsi="Palatino Linotype" w:cs="Arial"/>
          <w:color w:val="000000" w:themeColor="text1"/>
          <w:lang w:val="es-ES" w:eastAsia="es-MX"/>
        </w:rPr>
        <w:t xml:space="preserve"> y subsecuente </w:t>
      </w:r>
      <w:r w:rsidRPr="00C8495C">
        <w:rPr>
          <w:rFonts w:ascii="Palatino Linotype" w:hAnsi="Palatino Linotype" w:cs="Arial"/>
          <w:b/>
          <w:color w:val="000000" w:themeColor="text1"/>
          <w:lang w:val="es-ES" w:eastAsia="es-MX"/>
        </w:rPr>
        <w:t>RECURRENTE</w:t>
      </w:r>
      <w:r w:rsidRPr="00C8495C">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C8495C">
        <w:rPr>
          <w:rFonts w:ascii="Palatino Linotype" w:hAnsi="Palatino Linotype" w:cs="Arial"/>
          <w:color w:val="000000" w:themeColor="text1"/>
          <w:lang w:val="es-ES" w:eastAsia="es-MX"/>
        </w:rPr>
        <w:lastRenderedPageBreak/>
        <w:t>acreditar algún interés ya sea jurídico o legítimo, máxime que es un elemento subsanable por este Órgano Resolutor.</w:t>
      </w:r>
    </w:p>
    <w:p w14:paraId="42866E96" w14:textId="77777777" w:rsidR="008A7F1F" w:rsidRPr="00C8495C"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52DD5993" w14:textId="6C85AAB8" w:rsidR="005F1362" w:rsidRPr="00C8495C"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C8495C">
        <w:rPr>
          <w:rFonts w:ascii="Palatino Linotype" w:eastAsia="Calibri" w:hAnsi="Palatino Linotype" w:cs="Arial"/>
          <w:color w:val="000000" w:themeColor="text1"/>
        </w:rPr>
        <w:t xml:space="preserve">Consecuencia de lo anterior, </w:t>
      </w:r>
      <w:r w:rsidR="00566BC5" w:rsidRPr="00C8495C">
        <w:rPr>
          <w:rFonts w:ascii="Palatino Linotype" w:eastAsia="Calibri" w:hAnsi="Palatino Linotype" w:cs="Arial"/>
          <w:color w:val="000000" w:themeColor="text1"/>
        </w:rPr>
        <w:t>este Órgano Garante</w:t>
      </w:r>
      <w:r w:rsidRPr="00C8495C">
        <w:rPr>
          <w:rFonts w:ascii="Palatino Linotype" w:eastAsia="Calibri" w:hAnsi="Palatino Linotype" w:cs="Arial"/>
          <w:color w:val="000000" w:themeColor="text1"/>
        </w:rPr>
        <w:t xml:space="preserve"> advierte que </w:t>
      </w:r>
      <w:r w:rsidR="00FB2EE1" w:rsidRPr="00C8495C">
        <w:rPr>
          <w:rFonts w:ascii="Palatino Linotype" w:eastAsia="Calibri" w:hAnsi="Palatino Linotype" w:cs="Arial"/>
          <w:color w:val="000000" w:themeColor="text1"/>
        </w:rPr>
        <w:t>el</w:t>
      </w:r>
      <w:r w:rsidR="00540208" w:rsidRPr="00C8495C">
        <w:rPr>
          <w:rFonts w:ascii="Palatino Linotype" w:eastAsia="Calibri" w:hAnsi="Palatino Linotype" w:cs="Arial"/>
          <w:color w:val="000000" w:themeColor="text1"/>
        </w:rPr>
        <w:t xml:space="preserve"> </w:t>
      </w:r>
      <w:r w:rsidR="00FB2EE1" w:rsidRPr="00C8495C">
        <w:rPr>
          <w:rFonts w:ascii="Palatino Linotype" w:eastAsia="Calibri" w:hAnsi="Palatino Linotype" w:cs="Arial"/>
          <w:color w:val="000000" w:themeColor="text1"/>
        </w:rPr>
        <w:t xml:space="preserve">escrito </w:t>
      </w:r>
      <w:r w:rsidR="00540208" w:rsidRPr="00C8495C">
        <w:rPr>
          <w:rFonts w:ascii="Palatino Linotype" w:eastAsia="Calibri" w:hAnsi="Palatino Linotype" w:cs="Arial"/>
          <w:color w:val="000000" w:themeColor="text1"/>
        </w:rPr>
        <w:t>contiene las formalidades previstas por el artículo 180</w:t>
      </w:r>
      <w:r w:rsidR="00FB2EE1" w:rsidRPr="00C8495C">
        <w:rPr>
          <w:rFonts w:ascii="Palatino Linotype" w:eastAsia="Calibri" w:hAnsi="Palatino Linotype" w:cs="Arial"/>
          <w:color w:val="000000" w:themeColor="text1"/>
        </w:rPr>
        <w:t>,</w:t>
      </w:r>
      <w:r w:rsidR="00540208" w:rsidRPr="00C8495C">
        <w:rPr>
          <w:rFonts w:ascii="Palatino Linotype" w:eastAsia="Calibri" w:hAnsi="Palatino Linotype" w:cs="Arial"/>
          <w:color w:val="000000" w:themeColor="text1"/>
        </w:rPr>
        <w:t xml:space="preserve"> último párrafo</w:t>
      </w:r>
      <w:r w:rsidR="00FB2EE1" w:rsidRPr="00C8495C">
        <w:rPr>
          <w:rFonts w:ascii="Palatino Linotype" w:eastAsia="Calibri" w:hAnsi="Palatino Linotype" w:cs="Arial"/>
          <w:color w:val="000000" w:themeColor="text1"/>
        </w:rPr>
        <w:t>,</w:t>
      </w:r>
      <w:r w:rsidR="00540208" w:rsidRPr="00C8495C">
        <w:rPr>
          <w:rFonts w:ascii="Palatino Linotype" w:eastAsia="Calibri" w:hAnsi="Palatino Linotype" w:cs="Arial"/>
          <w:color w:val="000000" w:themeColor="text1"/>
        </w:rPr>
        <w:t xml:space="preserve"> de la Ley </w:t>
      </w:r>
      <w:r w:rsidR="004911B6" w:rsidRPr="00C8495C">
        <w:rPr>
          <w:rFonts w:ascii="Palatino Linotype" w:eastAsia="Calibri" w:hAnsi="Palatino Linotype" w:cs="Arial"/>
          <w:color w:val="000000" w:themeColor="text1"/>
        </w:rPr>
        <w:t>de Transparencia y Acceso a la Información Pública del Estado de México y Municipios</w:t>
      </w:r>
      <w:r w:rsidR="00540208" w:rsidRPr="00C8495C">
        <w:rPr>
          <w:rFonts w:ascii="Palatino Linotype" w:eastAsia="Calibri" w:hAnsi="Palatino Linotype" w:cs="Arial"/>
          <w:color w:val="000000" w:themeColor="text1"/>
        </w:rPr>
        <w:t xml:space="preserve">, por lo que es procedente que </w:t>
      </w:r>
      <w:r w:rsidR="004911B6" w:rsidRPr="00C8495C">
        <w:rPr>
          <w:rFonts w:ascii="Palatino Linotype" w:eastAsia="Calibri" w:hAnsi="Palatino Linotype" w:cs="Arial"/>
          <w:color w:val="000000" w:themeColor="text1"/>
        </w:rPr>
        <w:t>e</w:t>
      </w:r>
      <w:r w:rsidR="00540208" w:rsidRPr="00C8495C">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C8495C">
        <w:rPr>
          <w:rFonts w:ascii="Palatino Linotype" w:eastAsia="Calibri" w:hAnsi="Palatino Linotype" w:cs="Arial"/>
          <w:color w:val="000000" w:themeColor="text1"/>
        </w:rPr>
        <w:t xml:space="preserve">Municipios, conozca y resuelva </w:t>
      </w:r>
      <w:r w:rsidR="00FB2EE1" w:rsidRPr="00C8495C">
        <w:rPr>
          <w:rFonts w:ascii="Palatino Linotype" w:eastAsia="Calibri" w:hAnsi="Palatino Linotype" w:cs="Arial"/>
          <w:color w:val="000000" w:themeColor="text1"/>
        </w:rPr>
        <w:t>el</w:t>
      </w:r>
      <w:r w:rsidR="00540208" w:rsidRPr="00C8495C">
        <w:rPr>
          <w:rFonts w:ascii="Palatino Linotype" w:eastAsia="Calibri" w:hAnsi="Palatino Linotype" w:cs="Arial"/>
          <w:color w:val="000000" w:themeColor="text1"/>
        </w:rPr>
        <w:t xml:space="preserve"> presente recurso.</w:t>
      </w:r>
    </w:p>
    <w:p w14:paraId="316CB621" w14:textId="5815DEAA" w:rsidR="003D2945" w:rsidRPr="00C8495C" w:rsidRDefault="003D2945">
      <w:pPr>
        <w:rPr>
          <w:rFonts w:ascii="Palatino Linotype" w:hAnsi="Palatino Linotype"/>
          <w:color w:val="000000" w:themeColor="text1"/>
        </w:rPr>
      </w:pPr>
    </w:p>
    <w:p w14:paraId="5A0C0F66" w14:textId="77777777" w:rsidR="006A422A" w:rsidRPr="00C8495C" w:rsidRDefault="006A422A">
      <w:pPr>
        <w:rPr>
          <w:rFonts w:ascii="Palatino Linotype" w:hAnsi="Palatino Linotype"/>
          <w:color w:val="000000" w:themeColor="text1"/>
        </w:rPr>
      </w:pPr>
    </w:p>
    <w:p w14:paraId="11A9FB70" w14:textId="21257BAF" w:rsidR="00710B50" w:rsidRPr="00C8495C"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C8495C">
        <w:rPr>
          <w:rFonts w:ascii="Palatino Linotype" w:hAnsi="Palatino Linotype"/>
          <w:b/>
          <w:color w:val="000000" w:themeColor="text1"/>
        </w:rPr>
        <w:t xml:space="preserve">TERCERO. </w:t>
      </w:r>
      <w:r w:rsidR="00D5750C" w:rsidRPr="00C8495C">
        <w:rPr>
          <w:rFonts w:ascii="Palatino Linotype" w:hAnsi="Palatino Linotype"/>
          <w:b/>
          <w:color w:val="000000" w:themeColor="text1"/>
        </w:rPr>
        <w:t xml:space="preserve">Del planteamiento de la </w:t>
      </w:r>
      <w:r w:rsidR="00D5750C" w:rsidRPr="00C8495C">
        <w:rPr>
          <w:rFonts w:ascii="Palatino Linotype" w:hAnsi="Palatino Linotype"/>
          <w:b/>
          <w:i/>
          <w:color w:val="000000" w:themeColor="text1"/>
        </w:rPr>
        <w:t>Litis</w:t>
      </w:r>
      <w:r w:rsidRPr="00C8495C">
        <w:rPr>
          <w:rFonts w:ascii="Palatino Linotype" w:hAnsi="Palatino Linotype"/>
          <w:b/>
          <w:color w:val="000000" w:themeColor="text1"/>
        </w:rPr>
        <w:t>.</w:t>
      </w:r>
      <w:bookmarkEnd w:id="13"/>
    </w:p>
    <w:p w14:paraId="4FB84CAD" w14:textId="77777777" w:rsidR="00CA62D4" w:rsidRPr="00C8495C"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1A911A2" w14:textId="058DE683" w:rsidR="00825F32" w:rsidRPr="00C8495C" w:rsidRDefault="001977D2" w:rsidP="001977D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C8495C">
        <w:rPr>
          <w:rFonts w:ascii="Palatino Linotype" w:hAnsi="Palatino Linotype" w:cs="Arial"/>
          <w:color w:val="000000" w:themeColor="text1"/>
        </w:rPr>
        <w:t xml:space="preserve">Se requirió el Plan de Trabajo del Sistema de Gestión de Protección de Datos Personales de los ejercicios dos mil diecinueve al dos mil veintidós, así como los oficios y/o documentos generados y recibidos por la Unidad de Transparencia relativos a los siguientes tópicos: </w:t>
      </w:r>
      <w:r w:rsidRPr="00C8495C">
        <w:rPr>
          <w:rFonts w:ascii="Palatino Linotype" w:hAnsi="Palatino Linotype" w:cs="Arial"/>
          <w:b/>
          <w:color w:val="000000" w:themeColor="text1"/>
        </w:rPr>
        <w:t>a)</w:t>
      </w:r>
      <w:r w:rsidRPr="00C8495C">
        <w:rPr>
          <w:rFonts w:ascii="Palatino Linotype" w:hAnsi="Palatino Linotype" w:cs="Arial"/>
          <w:color w:val="000000" w:themeColor="text1"/>
        </w:rPr>
        <w:t xml:space="preserve"> Designación de los Administradores de Bases de Datos; </w:t>
      </w:r>
      <w:r w:rsidRPr="00C8495C">
        <w:rPr>
          <w:rFonts w:ascii="Palatino Linotype" w:hAnsi="Palatino Linotype" w:cs="Arial"/>
          <w:b/>
          <w:color w:val="000000" w:themeColor="text1"/>
        </w:rPr>
        <w:t>b)</w:t>
      </w:r>
      <w:r w:rsidRPr="00C8495C">
        <w:rPr>
          <w:rFonts w:ascii="Palatino Linotype" w:hAnsi="Palatino Linotype" w:cs="Arial"/>
          <w:color w:val="000000" w:themeColor="text1"/>
        </w:rPr>
        <w:t xml:space="preserve"> Actualización de Avisos de Privacidad; </w:t>
      </w:r>
      <w:r w:rsidRPr="00C8495C">
        <w:rPr>
          <w:rFonts w:ascii="Palatino Linotype" w:hAnsi="Palatino Linotype" w:cs="Arial"/>
          <w:b/>
          <w:color w:val="000000" w:themeColor="text1"/>
        </w:rPr>
        <w:t>c)</w:t>
      </w:r>
      <w:r w:rsidRPr="00C8495C">
        <w:rPr>
          <w:rFonts w:ascii="Palatino Linotype" w:hAnsi="Palatino Linotype" w:cs="Arial"/>
          <w:color w:val="000000" w:themeColor="text1"/>
        </w:rPr>
        <w:t xml:space="preserve"> Supervisión a las bases de datos documentales o electrónicas para establecer medidas de seguridad; </w:t>
      </w:r>
      <w:r w:rsidRPr="00C8495C">
        <w:rPr>
          <w:rFonts w:ascii="Palatino Linotype" w:hAnsi="Palatino Linotype" w:cs="Arial"/>
          <w:b/>
          <w:color w:val="000000" w:themeColor="text1"/>
        </w:rPr>
        <w:t>d)</w:t>
      </w:r>
      <w:r w:rsidRPr="00C8495C">
        <w:rPr>
          <w:rFonts w:ascii="Palatino Linotype" w:hAnsi="Palatino Linotype" w:cs="Arial"/>
          <w:color w:val="000000" w:themeColor="text1"/>
        </w:rPr>
        <w:t xml:space="preserve"> Establecer bitácora de violaciones a la seguridad de las bases de datos documentales o electrónicas; </w:t>
      </w:r>
      <w:r w:rsidRPr="00C8495C">
        <w:rPr>
          <w:rFonts w:ascii="Palatino Linotype" w:hAnsi="Palatino Linotype" w:cs="Arial"/>
          <w:b/>
          <w:color w:val="000000" w:themeColor="text1"/>
        </w:rPr>
        <w:t>e)</w:t>
      </w:r>
      <w:r w:rsidRPr="00C8495C">
        <w:rPr>
          <w:rFonts w:ascii="Palatino Linotype" w:hAnsi="Palatino Linotype" w:cs="Arial"/>
          <w:color w:val="000000" w:themeColor="text1"/>
        </w:rPr>
        <w:t xml:space="preserve"> Establecer el Plan de contingencia con las Unidades Administrativas y Actualización de bases de datos; </w:t>
      </w:r>
      <w:r w:rsidRPr="00C8495C">
        <w:rPr>
          <w:rFonts w:ascii="Palatino Linotype" w:hAnsi="Palatino Linotype" w:cs="Arial"/>
          <w:b/>
          <w:color w:val="000000" w:themeColor="text1"/>
        </w:rPr>
        <w:t>f)</w:t>
      </w:r>
      <w:r w:rsidRPr="00C8495C">
        <w:rPr>
          <w:rFonts w:ascii="Palatino Linotype" w:hAnsi="Palatino Linotype" w:cs="Arial"/>
          <w:color w:val="000000" w:themeColor="text1"/>
        </w:rPr>
        <w:t xml:space="preserve"> Inventario de las bases de datos; </w:t>
      </w:r>
      <w:r w:rsidRPr="00C8495C">
        <w:rPr>
          <w:rFonts w:ascii="Palatino Linotype" w:hAnsi="Palatino Linotype" w:cs="Arial"/>
          <w:b/>
          <w:color w:val="000000" w:themeColor="text1"/>
        </w:rPr>
        <w:t>g)</w:t>
      </w:r>
      <w:r w:rsidRPr="00C8495C">
        <w:rPr>
          <w:rFonts w:ascii="Palatino Linotype" w:hAnsi="Palatino Linotype" w:cs="Arial"/>
          <w:color w:val="000000" w:themeColor="text1"/>
        </w:rPr>
        <w:t xml:space="preserve"> Documentos de gestión de seguridad; y, </w:t>
      </w:r>
      <w:r w:rsidR="00680C4A" w:rsidRPr="00C8495C">
        <w:rPr>
          <w:rFonts w:ascii="Palatino Linotype" w:hAnsi="Palatino Linotype" w:cs="Arial"/>
          <w:b/>
          <w:color w:val="000000" w:themeColor="text1"/>
        </w:rPr>
        <w:t>h)</w:t>
      </w:r>
      <w:r w:rsidRPr="00C8495C">
        <w:rPr>
          <w:rFonts w:ascii="Palatino Linotype" w:hAnsi="Palatino Linotype" w:cs="Arial"/>
          <w:color w:val="000000" w:themeColor="text1"/>
        </w:rPr>
        <w:t xml:space="preserve"> Documentos de seguridad.</w:t>
      </w:r>
    </w:p>
    <w:p w14:paraId="7E9C954C" w14:textId="77777777" w:rsidR="004C5B49" w:rsidRPr="00C8495C" w:rsidRDefault="004C5B49" w:rsidP="004C5B49">
      <w:pPr>
        <w:pStyle w:val="Prrafodelista"/>
        <w:tabs>
          <w:tab w:val="left" w:pos="426"/>
        </w:tabs>
        <w:spacing w:line="360" w:lineRule="auto"/>
        <w:ind w:left="0" w:right="49"/>
        <w:jc w:val="both"/>
        <w:rPr>
          <w:rFonts w:ascii="Palatino Linotype" w:hAnsi="Palatino Linotype" w:cs="Arial"/>
          <w:color w:val="000000" w:themeColor="text1"/>
        </w:rPr>
      </w:pPr>
    </w:p>
    <w:p w14:paraId="7054067B" w14:textId="7D975E2B" w:rsidR="00533BDD" w:rsidRPr="00C8495C" w:rsidRDefault="00533BDD"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495C">
        <w:rPr>
          <w:rFonts w:ascii="Palatino Linotype" w:hAnsi="Palatino Linotype" w:cs="Arial"/>
          <w:color w:val="000000" w:themeColor="text1"/>
        </w:rPr>
        <w:t xml:space="preserve">El </w:t>
      </w:r>
      <w:r w:rsidRPr="00C8495C">
        <w:rPr>
          <w:rFonts w:ascii="Palatino Linotype" w:hAnsi="Palatino Linotype" w:cs="Arial"/>
          <w:b/>
          <w:bCs/>
          <w:color w:val="000000" w:themeColor="text1"/>
        </w:rPr>
        <w:t>SUJETO OBLIGADO</w:t>
      </w:r>
      <w:r w:rsidRPr="00C8495C">
        <w:rPr>
          <w:rFonts w:ascii="Palatino Linotype" w:hAnsi="Palatino Linotype" w:cs="Arial"/>
          <w:color w:val="000000" w:themeColor="text1"/>
        </w:rPr>
        <w:t xml:space="preserve"> entregó</w:t>
      </w:r>
      <w:r w:rsidR="0042562E" w:rsidRPr="00C8495C">
        <w:rPr>
          <w:rFonts w:ascii="Palatino Linotype" w:hAnsi="Palatino Linotype" w:cs="Arial"/>
          <w:color w:val="000000" w:themeColor="text1"/>
        </w:rPr>
        <w:t xml:space="preserve"> </w:t>
      </w:r>
      <w:r w:rsidR="000F4B49" w:rsidRPr="00C8495C">
        <w:rPr>
          <w:rFonts w:ascii="Palatino Linotype" w:hAnsi="Palatino Linotype" w:cs="Arial"/>
          <w:color w:val="000000" w:themeColor="text1"/>
        </w:rPr>
        <w:t xml:space="preserve">un oficio signado por el </w:t>
      </w:r>
      <w:proofErr w:type="gramStart"/>
      <w:r w:rsidR="000F4B49" w:rsidRPr="00C8495C">
        <w:rPr>
          <w:rFonts w:ascii="Palatino Linotype" w:hAnsi="Palatino Linotype" w:cs="Arial"/>
          <w:color w:val="000000" w:themeColor="text1"/>
        </w:rPr>
        <w:t>Subdirector</w:t>
      </w:r>
      <w:proofErr w:type="gramEnd"/>
      <w:r w:rsidR="000F4B49" w:rsidRPr="00C8495C">
        <w:rPr>
          <w:rFonts w:ascii="Palatino Linotype" w:hAnsi="Palatino Linotype" w:cs="Arial"/>
          <w:color w:val="000000" w:themeColor="text1"/>
        </w:rPr>
        <w:t xml:space="preserve"> de Planeación y Evaluación, por el que se pronuncia sobre los diversos puntos de la </w:t>
      </w:r>
      <w:r w:rsidR="000F4B49" w:rsidRPr="00C8495C">
        <w:rPr>
          <w:rFonts w:ascii="Palatino Linotype" w:hAnsi="Palatino Linotype" w:cs="Arial"/>
          <w:color w:val="000000" w:themeColor="text1"/>
        </w:rPr>
        <w:lastRenderedPageBreak/>
        <w:t>solicitud de información; así como 12 Cédulas de Proyectos de Sistematización y Actualización de Información</w:t>
      </w:r>
      <w:r w:rsidR="00C31A78" w:rsidRPr="00C8495C">
        <w:rPr>
          <w:rFonts w:ascii="Palatino Linotype" w:hAnsi="Palatino Linotype" w:cs="Arial"/>
          <w:color w:val="000000" w:themeColor="text1"/>
        </w:rPr>
        <w:t>; un listado que enumera 42 Bases de Datos Personales; y 40 Documentos de Seguridad de diversos sistemas y bases de datos personales.</w:t>
      </w:r>
    </w:p>
    <w:p w14:paraId="449CB51C" w14:textId="77777777" w:rsidR="00533BDD" w:rsidRPr="00C8495C"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04EB409" w:rsidR="00117D31" w:rsidRPr="00C8495C"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495C">
        <w:rPr>
          <w:rFonts w:ascii="Palatino Linotype" w:hAnsi="Palatino Linotype" w:cs="Arial"/>
          <w:color w:val="000000" w:themeColor="text1"/>
        </w:rPr>
        <w:t>El</w:t>
      </w:r>
      <w:r w:rsidR="00117D31" w:rsidRPr="00C8495C">
        <w:rPr>
          <w:rFonts w:ascii="Palatino Linotype" w:hAnsi="Palatino Linotype" w:cs="Arial"/>
          <w:color w:val="000000" w:themeColor="text1"/>
        </w:rPr>
        <w:t xml:space="preserve"> particular impugnó la respuesta del </w:t>
      </w:r>
      <w:r w:rsidR="00117D31" w:rsidRPr="00C8495C">
        <w:rPr>
          <w:rFonts w:ascii="Palatino Linotype" w:hAnsi="Palatino Linotype" w:cs="Arial"/>
          <w:b/>
          <w:bCs/>
          <w:color w:val="000000" w:themeColor="text1"/>
        </w:rPr>
        <w:t>SUJETO OBLIGADO</w:t>
      </w:r>
      <w:r w:rsidR="00117D31" w:rsidRPr="00C8495C">
        <w:rPr>
          <w:rFonts w:ascii="Palatino Linotype" w:hAnsi="Palatino Linotype" w:cs="Arial"/>
          <w:color w:val="000000" w:themeColor="text1"/>
        </w:rPr>
        <w:t>, mediante el recurso de revisión con número indicado al rubro, y en el que señaló</w:t>
      </w:r>
      <w:r w:rsidR="008472A9" w:rsidRPr="00C8495C">
        <w:rPr>
          <w:rFonts w:ascii="Palatino Linotype" w:hAnsi="Palatino Linotype" w:cs="Arial"/>
          <w:color w:val="000000" w:themeColor="text1"/>
        </w:rPr>
        <w:t xml:space="preserve"> por agravios, </w:t>
      </w:r>
      <w:r w:rsidR="00C31A78" w:rsidRPr="00C8495C">
        <w:rPr>
          <w:rFonts w:ascii="Palatino Linotype" w:hAnsi="Palatino Linotype" w:cs="Arial"/>
          <w:color w:val="000000" w:themeColor="text1"/>
        </w:rPr>
        <w:t>que no se le entregó la Base de Datos y el Plan de Trabajo del Sistema de Gestión de Protección de Datos Personales.</w:t>
      </w:r>
    </w:p>
    <w:p w14:paraId="12F74DA8" w14:textId="77777777" w:rsidR="003E3BEC" w:rsidRPr="00C8495C"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7DEB655" w:rsidR="001A032D" w:rsidRPr="00C8495C"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495C">
        <w:rPr>
          <w:rFonts w:ascii="Palatino Linotype" w:hAnsi="Palatino Linotype" w:cs="Arial"/>
          <w:color w:val="000000" w:themeColor="text1"/>
        </w:rPr>
        <w:t xml:space="preserve">En ese sentido, </w:t>
      </w:r>
      <w:r w:rsidR="00566BC5" w:rsidRPr="00C8495C">
        <w:rPr>
          <w:rFonts w:ascii="Palatino Linotype" w:hAnsi="Palatino Linotype" w:cs="Arial"/>
          <w:color w:val="000000" w:themeColor="text1"/>
        </w:rPr>
        <w:t>este Órgano Garante</w:t>
      </w:r>
      <w:r w:rsidR="002E160F" w:rsidRPr="00C8495C">
        <w:rPr>
          <w:rFonts w:ascii="Palatino Linotype" w:hAnsi="Palatino Linotype" w:cs="Arial"/>
          <w:color w:val="000000" w:themeColor="text1"/>
        </w:rPr>
        <w:t xml:space="preserve"> advierte que las razones o motivos de inconformidad manifestados por el </w:t>
      </w:r>
      <w:r w:rsidRPr="00C8495C">
        <w:rPr>
          <w:rFonts w:ascii="Palatino Linotype" w:hAnsi="Palatino Linotype" w:cs="Arial"/>
          <w:b/>
          <w:bCs/>
          <w:color w:val="000000" w:themeColor="text1"/>
        </w:rPr>
        <w:t>RECURRENTE</w:t>
      </w:r>
      <w:r w:rsidRPr="00C8495C">
        <w:rPr>
          <w:rFonts w:ascii="Palatino Linotype" w:hAnsi="Palatino Linotype" w:cs="Arial"/>
          <w:color w:val="000000" w:themeColor="text1"/>
        </w:rPr>
        <w:t xml:space="preserve"> </w:t>
      </w:r>
      <w:r w:rsidR="002E160F" w:rsidRPr="00C8495C">
        <w:rPr>
          <w:rFonts w:ascii="Palatino Linotype" w:hAnsi="Palatino Linotype" w:cs="Arial"/>
          <w:color w:val="000000" w:themeColor="text1"/>
        </w:rPr>
        <w:t>sugieren que la respuesta proporcionada</w:t>
      </w:r>
      <w:r w:rsidR="00B855AA" w:rsidRPr="00C8495C">
        <w:rPr>
          <w:rFonts w:ascii="Palatino Linotype" w:hAnsi="Palatino Linotype" w:cs="Arial"/>
          <w:color w:val="000000" w:themeColor="text1"/>
        </w:rPr>
        <w:t xml:space="preserve"> por el </w:t>
      </w:r>
      <w:r w:rsidR="00B855AA" w:rsidRPr="00C8495C">
        <w:rPr>
          <w:rFonts w:ascii="Palatino Linotype" w:hAnsi="Palatino Linotype" w:cs="Arial"/>
          <w:b/>
          <w:bCs/>
          <w:color w:val="000000" w:themeColor="text1"/>
        </w:rPr>
        <w:t>SUJETO OBLIGADO</w:t>
      </w:r>
      <w:r w:rsidR="007409D8" w:rsidRPr="00C8495C">
        <w:rPr>
          <w:rFonts w:ascii="Palatino Linotype" w:hAnsi="Palatino Linotype" w:cs="Arial"/>
          <w:color w:val="000000" w:themeColor="text1"/>
        </w:rPr>
        <w:t xml:space="preserve"> no </w:t>
      </w:r>
      <w:r w:rsidR="006D57BE" w:rsidRPr="00C8495C">
        <w:rPr>
          <w:rFonts w:ascii="Palatino Linotype" w:hAnsi="Palatino Linotype" w:cs="Arial"/>
          <w:color w:val="000000" w:themeColor="text1"/>
        </w:rPr>
        <w:t>cumplió</w:t>
      </w:r>
      <w:r w:rsidR="00B855AA" w:rsidRPr="00C8495C">
        <w:rPr>
          <w:rFonts w:ascii="Palatino Linotype" w:hAnsi="Palatino Linotype" w:cs="Arial"/>
          <w:color w:val="000000" w:themeColor="text1"/>
        </w:rPr>
        <w:t xml:space="preserve"> con </w:t>
      </w:r>
      <w:r w:rsidR="008F7752" w:rsidRPr="00C8495C">
        <w:rPr>
          <w:rFonts w:ascii="Palatino Linotype" w:hAnsi="Palatino Linotype" w:cs="Arial"/>
          <w:color w:val="000000" w:themeColor="text1"/>
        </w:rPr>
        <w:t>los</w:t>
      </w:r>
      <w:r w:rsidR="00B855AA" w:rsidRPr="00C8495C">
        <w:rPr>
          <w:rFonts w:ascii="Palatino Linotype" w:hAnsi="Palatino Linotype" w:cs="Arial"/>
          <w:color w:val="000000" w:themeColor="text1"/>
        </w:rPr>
        <w:t xml:space="preserve"> principio</w:t>
      </w:r>
      <w:r w:rsidR="008F7752" w:rsidRPr="00C8495C">
        <w:rPr>
          <w:rFonts w:ascii="Palatino Linotype" w:hAnsi="Palatino Linotype" w:cs="Arial"/>
          <w:color w:val="000000" w:themeColor="text1"/>
        </w:rPr>
        <w:t>s</w:t>
      </w:r>
      <w:r w:rsidR="00B855AA" w:rsidRPr="00C8495C">
        <w:rPr>
          <w:rFonts w:ascii="Palatino Linotype" w:hAnsi="Palatino Linotype" w:cs="Arial"/>
          <w:color w:val="000000" w:themeColor="text1"/>
        </w:rPr>
        <w:t xml:space="preserve"> contendido</w:t>
      </w:r>
      <w:r w:rsidR="008F7752" w:rsidRPr="00C8495C">
        <w:rPr>
          <w:rFonts w:ascii="Palatino Linotype" w:hAnsi="Palatino Linotype" w:cs="Arial"/>
          <w:color w:val="000000" w:themeColor="text1"/>
        </w:rPr>
        <w:t>s</w:t>
      </w:r>
      <w:r w:rsidR="00B855AA" w:rsidRPr="00C8495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C8495C">
        <w:rPr>
          <w:rFonts w:ascii="Palatino Linotype" w:hAnsi="Palatino Linotype" w:cs="Arial"/>
          <w:color w:val="000000" w:themeColor="text1"/>
        </w:rPr>
        <w:t>os</w:t>
      </w:r>
      <w:r w:rsidR="00B855AA" w:rsidRPr="00C8495C">
        <w:rPr>
          <w:rFonts w:ascii="Palatino Linotype" w:hAnsi="Palatino Linotype" w:cs="Arial"/>
          <w:color w:val="000000" w:themeColor="text1"/>
        </w:rPr>
        <w:t xml:space="preserve"> cual</w:t>
      </w:r>
      <w:r w:rsidR="008F7752" w:rsidRPr="00C8495C">
        <w:rPr>
          <w:rFonts w:ascii="Palatino Linotype" w:hAnsi="Palatino Linotype" w:cs="Arial"/>
          <w:color w:val="000000" w:themeColor="text1"/>
        </w:rPr>
        <w:t>es</w:t>
      </w:r>
      <w:r w:rsidR="00B855AA" w:rsidRPr="00C8495C">
        <w:rPr>
          <w:rFonts w:ascii="Palatino Linotype" w:hAnsi="Palatino Linotype" w:cs="Arial"/>
          <w:color w:val="000000" w:themeColor="text1"/>
        </w:rPr>
        <w:t xml:space="preserve"> señala</w:t>
      </w:r>
      <w:r w:rsidR="008F7752" w:rsidRPr="00C8495C">
        <w:rPr>
          <w:rFonts w:ascii="Palatino Linotype" w:hAnsi="Palatino Linotype" w:cs="Arial"/>
          <w:color w:val="000000" w:themeColor="text1"/>
        </w:rPr>
        <w:t>n</w:t>
      </w:r>
      <w:r w:rsidR="00B855AA" w:rsidRPr="00C8495C">
        <w:rPr>
          <w:rFonts w:ascii="Palatino Linotype" w:hAnsi="Palatino Linotype" w:cs="Arial"/>
          <w:color w:val="000000" w:themeColor="text1"/>
        </w:rPr>
        <w:t xml:space="preserve"> que en la generación, publicación y entrega de información se deberá garantizar que ésta </w:t>
      </w:r>
      <w:r w:rsidR="00C51671" w:rsidRPr="00C8495C">
        <w:rPr>
          <w:rFonts w:ascii="Palatino Linotype" w:hAnsi="Palatino Linotype" w:cs="Arial"/>
          <w:color w:val="000000" w:themeColor="text1"/>
        </w:rPr>
        <w:t>sea</w:t>
      </w:r>
      <w:r w:rsidR="007409D8" w:rsidRPr="00C8495C">
        <w:rPr>
          <w:rFonts w:ascii="Palatino Linotype" w:hAnsi="Palatino Linotype" w:cs="Arial"/>
          <w:color w:val="000000" w:themeColor="text1"/>
        </w:rPr>
        <w:t xml:space="preserve"> </w:t>
      </w:r>
      <w:r w:rsidR="0042562E" w:rsidRPr="00C8495C">
        <w:rPr>
          <w:rFonts w:ascii="Palatino Linotype" w:hAnsi="Palatino Linotype" w:cs="Arial"/>
          <w:b/>
          <w:color w:val="000000" w:themeColor="text1"/>
        </w:rPr>
        <w:t>completa</w:t>
      </w:r>
      <w:r w:rsidR="00B855AA" w:rsidRPr="00C8495C">
        <w:rPr>
          <w:rFonts w:ascii="Palatino Linotype" w:hAnsi="Palatino Linotype" w:cs="Arial"/>
          <w:color w:val="000000" w:themeColor="text1"/>
        </w:rPr>
        <w:t>.</w:t>
      </w:r>
    </w:p>
    <w:p w14:paraId="026A3A70" w14:textId="1CDC3EDC" w:rsidR="00197091" w:rsidRPr="00C8495C"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FCDE990" w:rsidR="00AD76A1" w:rsidRPr="00C8495C"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495C">
        <w:rPr>
          <w:rFonts w:ascii="Palatino Linotype" w:hAnsi="Palatino Linotype" w:cs="Arial"/>
          <w:color w:val="000000" w:themeColor="text1"/>
          <w:szCs w:val="23"/>
        </w:rPr>
        <w:t xml:space="preserve">Por lo anterior, la </w:t>
      </w:r>
      <w:r w:rsidRPr="00C8495C">
        <w:rPr>
          <w:rFonts w:ascii="Palatino Linotype" w:hAnsi="Palatino Linotype" w:cs="Arial"/>
          <w:i/>
          <w:color w:val="000000" w:themeColor="text1"/>
          <w:szCs w:val="23"/>
        </w:rPr>
        <w:t>Litis</w:t>
      </w:r>
      <w:r w:rsidRPr="00C8495C">
        <w:rPr>
          <w:rFonts w:ascii="Palatino Linotype" w:hAnsi="Palatino Linotype" w:cs="Arial"/>
          <w:color w:val="000000" w:themeColor="text1"/>
          <w:szCs w:val="23"/>
        </w:rPr>
        <w:t xml:space="preserve"> a resolver en el presente recurso se circunscribe en determinar si</w:t>
      </w:r>
      <w:r w:rsidR="002C6561" w:rsidRPr="00C8495C">
        <w:rPr>
          <w:rFonts w:ascii="Palatino Linotype" w:hAnsi="Palatino Linotype" w:cs="Arial"/>
          <w:color w:val="000000" w:themeColor="text1"/>
          <w:szCs w:val="23"/>
        </w:rPr>
        <w:t xml:space="preserve"> </w:t>
      </w:r>
      <w:r w:rsidR="004B0EB6" w:rsidRPr="00C8495C">
        <w:rPr>
          <w:rFonts w:ascii="Palatino Linotype" w:hAnsi="Palatino Linotype" w:cs="Arial"/>
          <w:color w:val="000000" w:themeColor="text1"/>
          <w:szCs w:val="23"/>
        </w:rPr>
        <w:t>la respuesta del</w:t>
      </w:r>
      <w:r w:rsidR="002C6561" w:rsidRPr="00C8495C">
        <w:rPr>
          <w:rFonts w:ascii="Palatino Linotype" w:hAnsi="Palatino Linotype" w:cs="Arial"/>
          <w:color w:val="000000" w:themeColor="text1"/>
          <w:szCs w:val="23"/>
        </w:rPr>
        <w:t xml:space="preserve"> </w:t>
      </w:r>
      <w:r w:rsidR="002C6561" w:rsidRPr="00C8495C">
        <w:rPr>
          <w:rFonts w:ascii="Palatino Linotype" w:hAnsi="Palatino Linotype" w:cs="Arial"/>
          <w:b/>
          <w:bCs/>
          <w:color w:val="000000" w:themeColor="text1"/>
          <w:szCs w:val="23"/>
        </w:rPr>
        <w:t>SUJETO OBLIGADO</w:t>
      </w:r>
      <w:r w:rsidR="002C6561" w:rsidRPr="00C8495C">
        <w:rPr>
          <w:rFonts w:ascii="Palatino Linotype" w:hAnsi="Palatino Linotype" w:cs="Arial"/>
          <w:color w:val="000000" w:themeColor="text1"/>
          <w:szCs w:val="23"/>
        </w:rPr>
        <w:t xml:space="preserve"> </w:t>
      </w:r>
      <w:r w:rsidR="004B0EB6" w:rsidRPr="00C8495C">
        <w:rPr>
          <w:rFonts w:ascii="Palatino Linotype" w:hAnsi="Palatino Linotype" w:cs="Arial"/>
          <w:color w:val="000000" w:themeColor="text1"/>
          <w:szCs w:val="23"/>
        </w:rPr>
        <w:t xml:space="preserve">colma el derecho de acceso a la información ejercido por </w:t>
      </w:r>
      <w:r w:rsidR="001025C6" w:rsidRPr="00C8495C">
        <w:rPr>
          <w:rFonts w:ascii="Palatino Linotype" w:hAnsi="Palatino Linotype" w:cs="Arial"/>
          <w:color w:val="000000" w:themeColor="text1"/>
          <w:szCs w:val="23"/>
        </w:rPr>
        <w:t>el</w:t>
      </w:r>
      <w:r w:rsidR="004B0EB6" w:rsidRPr="00C8495C">
        <w:rPr>
          <w:rFonts w:ascii="Palatino Linotype" w:hAnsi="Palatino Linotype" w:cs="Arial"/>
          <w:color w:val="000000" w:themeColor="text1"/>
          <w:szCs w:val="23"/>
        </w:rPr>
        <w:t xml:space="preserve"> </w:t>
      </w:r>
      <w:r w:rsidR="004B0EB6" w:rsidRPr="00C8495C">
        <w:rPr>
          <w:rFonts w:ascii="Palatino Linotype" w:hAnsi="Palatino Linotype" w:cs="Arial"/>
          <w:b/>
          <w:bCs/>
          <w:color w:val="000000" w:themeColor="text1"/>
          <w:szCs w:val="23"/>
        </w:rPr>
        <w:t>RECURRENTE</w:t>
      </w:r>
      <w:r w:rsidR="002C6561" w:rsidRPr="00C8495C">
        <w:rPr>
          <w:rFonts w:ascii="Palatino Linotype" w:hAnsi="Palatino Linotype" w:cs="Arial"/>
          <w:color w:val="000000" w:themeColor="text1"/>
          <w:szCs w:val="23"/>
        </w:rPr>
        <w:t xml:space="preserve"> o</w:t>
      </w:r>
      <w:r w:rsidR="001025C6" w:rsidRPr="00C8495C">
        <w:rPr>
          <w:rFonts w:ascii="Palatino Linotype" w:hAnsi="Palatino Linotype" w:cs="Arial"/>
          <w:color w:val="000000" w:themeColor="text1"/>
          <w:szCs w:val="23"/>
        </w:rPr>
        <w:t>,</w:t>
      </w:r>
      <w:r w:rsidR="002C6561" w:rsidRPr="00C8495C">
        <w:rPr>
          <w:rFonts w:ascii="Palatino Linotype" w:hAnsi="Palatino Linotype" w:cs="Arial"/>
          <w:color w:val="000000" w:themeColor="text1"/>
          <w:szCs w:val="23"/>
        </w:rPr>
        <w:t xml:space="preserve"> </w:t>
      </w:r>
      <w:proofErr w:type="gramStart"/>
      <w:r w:rsidR="002C6561" w:rsidRPr="00C8495C">
        <w:rPr>
          <w:rFonts w:ascii="Palatino Linotype" w:hAnsi="Palatino Linotype" w:cs="Arial"/>
          <w:color w:val="000000" w:themeColor="text1"/>
          <w:szCs w:val="23"/>
        </w:rPr>
        <w:t>si</w:t>
      </w:r>
      <w:proofErr w:type="gramEnd"/>
      <w:r w:rsidR="002C6561" w:rsidRPr="00C8495C">
        <w:rPr>
          <w:rFonts w:ascii="Palatino Linotype" w:hAnsi="Palatino Linotype" w:cs="Arial"/>
          <w:color w:val="000000" w:themeColor="text1"/>
          <w:szCs w:val="23"/>
        </w:rPr>
        <w:t xml:space="preserve"> por el contrario, se</w:t>
      </w:r>
      <w:r w:rsidR="00E32652" w:rsidRPr="00C8495C">
        <w:rPr>
          <w:rFonts w:ascii="Palatino Linotype" w:hAnsi="Palatino Linotype" w:cs="Arial"/>
          <w:color w:val="000000" w:themeColor="text1"/>
          <w:szCs w:val="23"/>
        </w:rPr>
        <w:t xml:space="preserve"> </w:t>
      </w:r>
      <w:r w:rsidR="0028248C" w:rsidRPr="00C8495C">
        <w:rPr>
          <w:rFonts w:ascii="Palatino Linotype" w:hAnsi="Palatino Linotype"/>
          <w:color w:val="000000" w:themeColor="text1"/>
        </w:rPr>
        <w:t>actualiza</w:t>
      </w:r>
      <w:r w:rsidR="00011CEC" w:rsidRPr="00C8495C">
        <w:rPr>
          <w:rFonts w:ascii="Palatino Linotype" w:hAnsi="Palatino Linotype"/>
          <w:color w:val="000000" w:themeColor="text1"/>
        </w:rPr>
        <w:t>n</w:t>
      </w:r>
      <w:r w:rsidR="0028248C" w:rsidRPr="00C8495C">
        <w:rPr>
          <w:rFonts w:ascii="Palatino Linotype" w:hAnsi="Palatino Linotype"/>
          <w:color w:val="000000" w:themeColor="text1"/>
        </w:rPr>
        <w:t xml:space="preserve"> la</w:t>
      </w:r>
      <w:r w:rsidR="00011CEC" w:rsidRPr="00C8495C">
        <w:rPr>
          <w:rFonts w:ascii="Palatino Linotype" w:hAnsi="Palatino Linotype"/>
          <w:color w:val="000000" w:themeColor="text1"/>
        </w:rPr>
        <w:t>s</w:t>
      </w:r>
      <w:r w:rsidR="0028248C" w:rsidRPr="00C8495C">
        <w:rPr>
          <w:rFonts w:ascii="Palatino Linotype" w:hAnsi="Palatino Linotype"/>
          <w:color w:val="000000" w:themeColor="text1"/>
        </w:rPr>
        <w:t xml:space="preserve"> causal</w:t>
      </w:r>
      <w:r w:rsidR="00011CEC" w:rsidRPr="00C8495C">
        <w:rPr>
          <w:rFonts w:ascii="Palatino Linotype" w:hAnsi="Palatino Linotype"/>
          <w:color w:val="000000" w:themeColor="text1"/>
        </w:rPr>
        <w:t>es</w:t>
      </w:r>
      <w:r w:rsidR="0028248C" w:rsidRPr="00C8495C">
        <w:rPr>
          <w:rFonts w:ascii="Palatino Linotype" w:hAnsi="Palatino Linotype"/>
          <w:color w:val="000000" w:themeColor="text1"/>
        </w:rPr>
        <w:t xml:space="preserve"> de procedencia</w:t>
      </w:r>
      <w:r w:rsidR="00E66A80" w:rsidRPr="00C8495C">
        <w:rPr>
          <w:rFonts w:ascii="Palatino Linotype" w:hAnsi="Palatino Linotype" w:cs="Arial"/>
          <w:color w:val="000000" w:themeColor="text1"/>
          <w:szCs w:val="23"/>
        </w:rPr>
        <w:t xml:space="preserve"> del recurso de revisión establecida</w:t>
      </w:r>
      <w:r w:rsidR="00011CEC" w:rsidRPr="00C8495C">
        <w:rPr>
          <w:rFonts w:ascii="Palatino Linotype" w:hAnsi="Palatino Linotype" w:cs="Arial"/>
          <w:color w:val="000000" w:themeColor="text1"/>
          <w:szCs w:val="23"/>
        </w:rPr>
        <w:t>s</w:t>
      </w:r>
      <w:r w:rsidR="00E66A80" w:rsidRPr="00C8495C">
        <w:rPr>
          <w:rFonts w:ascii="Palatino Linotype" w:hAnsi="Palatino Linotype" w:cs="Arial"/>
          <w:color w:val="000000" w:themeColor="text1"/>
          <w:szCs w:val="23"/>
        </w:rPr>
        <w:t xml:space="preserve"> en </w:t>
      </w:r>
      <w:r w:rsidR="00011CEC" w:rsidRPr="00C8495C">
        <w:rPr>
          <w:rFonts w:ascii="Palatino Linotype" w:hAnsi="Palatino Linotype" w:cs="Arial"/>
          <w:color w:val="000000" w:themeColor="text1"/>
          <w:szCs w:val="23"/>
        </w:rPr>
        <w:t>los</w:t>
      </w:r>
      <w:r w:rsidR="00E66A80" w:rsidRPr="00C8495C">
        <w:rPr>
          <w:rFonts w:ascii="Palatino Linotype" w:hAnsi="Palatino Linotype" w:cs="Arial"/>
          <w:color w:val="000000" w:themeColor="text1"/>
          <w:szCs w:val="23"/>
        </w:rPr>
        <w:t xml:space="preserve"> artículo</w:t>
      </w:r>
      <w:r w:rsidR="00011CEC" w:rsidRPr="00C8495C">
        <w:rPr>
          <w:rFonts w:ascii="Palatino Linotype" w:hAnsi="Palatino Linotype" w:cs="Arial"/>
          <w:color w:val="000000" w:themeColor="text1"/>
          <w:szCs w:val="23"/>
        </w:rPr>
        <w:t>s</w:t>
      </w:r>
      <w:r w:rsidR="00E66A80" w:rsidRPr="00C8495C">
        <w:rPr>
          <w:rFonts w:ascii="Palatino Linotype" w:hAnsi="Palatino Linotype" w:cs="Arial"/>
          <w:color w:val="000000" w:themeColor="text1"/>
          <w:szCs w:val="23"/>
        </w:rPr>
        <w:t xml:space="preserve"> 179</w:t>
      </w:r>
      <w:r w:rsidR="002C2287" w:rsidRPr="00C8495C">
        <w:rPr>
          <w:rFonts w:ascii="Palatino Linotype" w:hAnsi="Palatino Linotype" w:cs="Arial"/>
          <w:color w:val="000000" w:themeColor="text1"/>
          <w:szCs w:val="23"/>
        </w:rPr>
        <w:t>,</w:t>
      </w:r>
      <w:r w:rsidR="00E66A80" w:rsidRPr="00C8495C">
        <w:rPr>
          <w:rFonts w:ascii="Palatino Linotype" w:hAnsi="Palatino Linotype" w:cs="Arial"/>
          <w:color w:val="000000" w:themeColor="text1"/>
          <w:szCs w:val="23"/>
        </w:rPr>
        <w:t xml:space="preserve"> </w:t>
      </w:r>
      <w:r w:rsidR="00011CEC" w:rsidRPr="00C8495C">
        <w:rPr>
          <w:rFonts w:ascii="Palatino Linotype" w:hAnsi="Palatino Linotype" w:cs="Arial"/>
          <w:color w:val="000000" w:themeColor="text1"/>
          <w:szCs w:val="23"/>
        </w:rPr>
        <w:t>fracciones</w:t>
      </w:r>
      <w:r w:rsidR="002C2287" w:rsidRPr="00C8495C">
        <w:rPr>
          <w:rFonts w:ascii="Palatino Linotype" w:hAnsi="Palatino Linotype" w:cs="Arial"/>
          <w:color w:val="000000" w:themeColor="text1"/>
          <w:szCs w:val="23"/>
        </w:rPr>
        <w:t xml:space="preserve"> </w:t>
      </w:r>
      <w:r w:rsidR="0042562E" w:rsidRPr="00C8495C">
        <w:rPr>
          <w:rFonts w:ascii="Palatino Linotype" w:hAnsi="Palatino Linotype" w:cs="Arial"/>
          <w:color w:val="000000" w:themeColor="text1"/>
          <w:szCs w:val="23"/>
        </w:rPr>
        <w:t>I</w:t>
      </w:r>
      <w:r w:rsidR="00011CEC" w:rsidRPr="00C8495C">
        <w:rPr>
          <w:rFonts w:ascii="Palatino Linotype" w:hAnsi="Palatino Linotype" w:cs="Arial"/>
          <w:color w:val="000000" w:themeColor="text1"/>
          <w:szCs w:val="23"/>
        </w:rPr>
        <w:t xml:space="preserve"> y</w:t>
      </w:r>
      <w:r w:rsidR="0042562E" w:rsidRPr="00C8495C">
        <w:rPr>
          <w:rFonts w:ascii="Palatino Linotype" w:hAnsi="Palatino Linotype" w:cs="Arial"/>
          <w:color w:val="000000" w:themeColor="text1"/>
          <w:szCs w:val="23"/>
        </w:rPr>
        <w:t xml:space="preserve">/o </w:t>
      </w:r>
      <w:r w:rsidR="00011CEC" w:rsidRPr="00C8495C">
        <w:rPr>
          <w:rFonts w:ascii="Palatino Linotype" w:hAnsi="Palatino Linotype" w:cs="Arial"/>
          <w:color w:val="000000" w:themeColor="text1"/>
          <w:szCs w:val="23"/>
        </w:rPr>
        <w:t>V</w:t>
      </w:r>
      <w:r w:rsidR="002C2287" w:rsidRPr="00C8495C">
        <w:rPr>
          <w:rFonts w:ascii="Palatino Linotype" w:hAnsi="Palatino Linotype" w:cs="Arial"/>
          <w:color w:val="000000" w:themeColor="text1"/>
          <w:szCs w:val="23"/>
        </w:rPr>
        <w:t>,</w:t>
      </w:r>
      <w:r w:rsidR="00F72B50" w:rsidRPr="00C8495C">
        <w:rPr>
          <w:rFonts w:ascii="Palatino Linotype" w:hAnsi="Palatino Linotype" w:cs="Arial"/>
          <w:color w:val="000000" w:themeColor="text1"/>
          <w:szCs w:val="23"/>
        </w:rPr>
        <w:t xml:space="preserve"> </w:t>
      </w:r>
      <w:r w:rsidR="00E66A80" w:rsidRPr="00C8495C">
        <w:rPr>
          <w:rFonts w:ascii="Palatino Linotype" w:hAnsi="Palatino Linotype" w:cs="Arial"/>
          <w:color w:val="000000" w:themeColor="text1"/>
          <w:szCs w:val="23"/>
        </w:rPr>
        <w:t xml:space="preserve">de la Ley de Transparencia y Acceso a la Información Pública del Estado de México y Municipios, </w:t>
      </w:r>
      <w:r w:rsidR="00C51671" w:rsidRPr="00C8495C">
        <w:rPr>
          <w:rFonts w:ascii="Palatino Linotype" w:hAnsi="Palatino Linotype" w:cs="Arial"/>
          <w:color w:val="000000" w:themeColor="text1"/>
          <w:szCs w:val="23"/>
        </w:rPr>
        <w:t xml:space="preserve">y </w:t>
      </w:r>
      <w:r w:rsidR="00E66A80" w:rsidRPr="00C8495C">
        <w:rPr>
          <w:rFonts w:ascii="Palatino Linotype" w:hAnsi="Palatino Linotype" w:cs="Arial"/>
          <w:color w:val="000000" w:themeColor="text1"/>
          <w:szCs w:val="23"/>
        </w:rPr>
        <w:t>que se transcribe</w:t>
      </w:r>
      <w:r w:rsidR="00011CEC" w:rsidRPr="00C8495C">
        <w:rPr>
          <w:rFonts w:ascii="Palatino Linotype" w:hAnsi="Palatino Linotype" w:cs="Arial"/>
          <w:color w:val="000000" w:themeColor="text1"/>
          <w:szCs w:val="23"/>
        </w:rPr>
        <w:t>n</w:t>
      </w:r>
      <w:r w:rsidR="00E66A80" w:rsidRPr="00C8495C">
        <w:rPr>
          <w:rFonts w:ascii="Palatino Linotype" w:hAnsi="Palatino Linotype" w:cs="Arial"/>
          <w:color w:val="000000" w:themeColor="text1"/>
          <w:szCs w:val="23"/>
        </w:rPr>
        <w:t xml:space="preserve"> a continuación:</w:t>
      </w:r>
    </w:p>
    <w:p w14:paraId="5D251E5B" w14:textId="77777777" w:rsidR="002630E4" w:rsidRPr="00C8495C"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C8495C" w:rsidRDefault="00E66A80" w:rsidP="00B31E90">
      <w:pPr>
        <w:pStyle w:val="Sinespaciado"/>
        <w:tabs>
          <w:tab w:val="left" w:pos="426"/>
        </w:tabs>
        <w:ind w:left="851" w:right="567"/>
        <w:jc w:val="both"/>
        <w:rPr>
          <w:rFonts w:ascii="Palatino Linotype" w:hAnsi="Palatino Linotype"/>
          <w:i/>
          <w:color w:val="000000" w:themeColor="text1"/>
          <w:sz w:val="22"/>
        </w:rPr>
      </w:pPr>
      <w:r w:rsidRPr="00C8495C">
        <w:rPr>
          <w:rFonts w:ascii="Palatino Linotype" w:hAnsi="Palatino Linotype"/>
          <w:i/>
          <w:color w:val="000000" w:themeColor="text1"/>
          <w:sz w:val="22"/>
        </w:rPr>
        <w:t>“</w:t>
      </w:r>
      <w:r w:rsidRPr="00C8495C">
        <w:rPr>
          <w:rFonts w:ascii="Palatino Linotype" w:hAnsi="Palatino Linotype"/>
          <w:b/>
          <w:i/>
          <w:color w:val="000000" w:themeColor="text1"/>
          <w:sz w:val="22"/>
        </w:rPr>
        <w:t>Artículo 179.</w:t>
      </w:r>
      <w:r w:rsidRPr="00C8495C">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0A6169F" w14:textId="16ADF260" w:rsidR="0042562E" w:rsidRPr="00C8495C" w:rsidRDefault="0042562E" w:rsidP="004107D7">
      <w:pPr>
        <w:pStyle w:val="Sinespaciado"/>
        <w:tabs>
          <w:tab w:val="left" w:pos="426"/>
        </w:tabs>
        <w:ind w:left="851" w:right="567"/>
        <w:jc w:val="both"/>
        <w:rPr>
          <w:rFonts w:ascii="Palatino Linotype" w:hAnsi="Palatino Linotype"/>
          <w:i/>
          <w:color w:val="000000" w:themeColor="text1"/>
          <w:sz w:val="22"/>
        </w:rPr>
      </w:pPr>
      <w:r w:rsidRPr="00C8495C">
        <w:rPr>
          <w:rFonts w:ascii="Palatino Linotype" w:hAnsi="Palatino Linotype"/>
          <w:b/>
          <w:i/>
          <w:color w:val="000000" w:themeColor="text1"/>
          <w:sz w:val="22"/>
        </w:rPr>
        <w:lastRenderedPageBreak/>
        <w:t>I.</w:t>
      </w:r>
      <w:r w:rsidRPr="00C8495C">
        <w:rPr>
          <w:rFonts w:ascii="Palatino Linotype" w:hAnsi="Palatino Linotype"/>
          <w:i/>
          <w:color w:val="000000" w:themeColor="text1"/>
          <w:sz w:val="22"/>
        </w:rPr>
        <w:t xml:space="preserve"> La negativa a la información solicitada;</w:t>
      </w:r>
    </w:p>
    <w:p w14:paraId="0FA844DD" w14:textId="4235C593" w:rsidR="004107D7" w:rsidRPr="00C8495C" w:rsidRDefault="004107D7" w:rsidP="004107D7">
      <w:pPr>
        <w:pStyle w:val="Sinespaciado"/>
        <w:tabs>
          <w:tab w:val="left" w:pos="426"/>
        </w:tabs>
        <w:ind w:left="851" w:right="567"/>
        <w:jc w:val="both"/>
        <w:rPr>
          <w:rFonts w:ascii="Palatino Linotype" w:hAnsi="Palatino Linotype"/>
          <w:i/>
          <w:color w:val="000000" w:themeColor="text1"/>
          <w:sz w:val="22"/>
        </w:rPr>
      </w:pPr>
      <w:r w:rsidRPr="00C8495C">
        <w:rPr>
          <w:rFonts w:ascii="Palatino Linotype" w:hAnsi="Palatino Linotype"/>
          <w:i/>
          <w:color w:val="000000" w:themeColor="text1"/>
          <w:sz w:val="22"/>
        </w:rPr>
        <w:t>(…)</w:t>
      </w:r>
    </w:p>
    <w:p w14:paraId="7F138897" w14:textId="77777777" w:rsidR="002C2287" w:rsidRPr="00C8495C" w:rsidRDefault="002C2287" w:rsidP="004170BE">
      <w:pPr>
        <w:pStyle w:val="Sinespaciado"/>
        <w:tabs>
          <w:tab w:val="left" w:pos="426"/>
        </w:tabs>
        <w:ind w:left="851" w:right="567"/>
        <w:jc w:val="both"/>
        <w:rPr>
          <w:rFonts w:ascii="Palatino Linotype" w:hAnsi="Palatino Linotype"/>
          <w:bCs/>
          <w:i/>
          <w:color w:val="000000" w:themeColor="text1"/>
          <w:sz w:val="22"/>
        </w:rPr>
      </w:pPr>
      <w:r w:rsidRPr="00C8495C">
        <w:rPr>
          <w:rFonts w:ascii="Palatino Linotype" w:hAnsi="Palatino Linotype"/>
          <w:b/>
          <w:i/>
          <w:color w:val="000000" w:themeColor="text1"/>
          <w:sz w:val="22"/>
        </w:rPr>
        <w:t xml:space="preserve">V. </w:t>
      </w:r>
      <w:r w:rsidRPr="00C8495C">
        <w:rPr>
          <w:rFonts w:ascii="Palatino Linotype" w:hAnsi="Palatino Linotype"/>
          <w:bCs/>
          <w:i/>
          <w:color w:val="000000" w:themeColor="text1"/>
          <w:sz w:val="22"/>
        </w:rPr>
        <w:t xml:space="preserve">La entrega de información incompleta; </w:t>
      </w:r>
    </w:p>
    <w:p w14:paraId="4FCA9B3F" w14:textId="53409088" w:rsidR="00515DEC" w:rsidRPr="00C8495C" w:rsidRDefault="00A65AAB" w:rsidP="004170BE">
      <w:pPr>
        <w:pStyle w:val="Sinespaciado"/>
        <w:tabs>
          <w:tab w:val="left" w:pos="426"/>
        </w:tabs>
        <w:ind w:left="851" w:right="567"/>
        <w:jc w:val="both"/>
        <w:rPr>
          <w:rFonts w:ascii="Palatino Linotype" w:hAnsi="Palatino Linotype"/>
          <w:bCs/>
          <w:i/>
          <w:color w:val="000000" w:themeColor="text1"/>
          <w:sz w:val="22"/>
        </w:rPr>
      </w:pPr>
      <w:r w:rsidRPr="00C8495C">
        <w:rPr>
          <w:rFonts w:ascii="Palatino Linotype" w:hAnsi="Palatino Linotype"/>
          <w:bCs/>
          <w:i/>
          <w:color w:val="000000" w:themeColor="text1"/>
          <w:sz w:val="22"/>
        </w:rPr>
        <w:t>(...)</w:t>
      </w:r>
      <w:r w:rsidR="007D7B65" w:rsidRPr="00C8495C">
        <w:rPr>
          <w:rFonts w:ascii="Palatino Linotype" w:hAnsi="Palatino Linotype"/>
          <w:bCs/>
          <w:i/>
          <w:color w:val="000000" w:themeColor="text1"/>
          <w:sz w:val="22"/>
        </w:rPr>
        <w:t>”</w:t>
      </w:r>
    </w:p>
    <w:p w14:paraId="3000BF2B" w14:textId="53E7B038" w:rsidR="0021056F" w:rsidRPr="00C8495C"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4F73AEEA" w:rsidR="00C804C2" w:rsidRPr="00C8495C" w:rsidRDefault="00C804C2">
      <w:pPr>
        <w:rPr>
          <w:lang w:eastAsia="en-US"/>
        </w:rPr>
      </w:pPr>
    </w:p>
    <w:p w14:paraId="5CEC2F48" w14:textId="072A0162" w:rsidR="00EF014A" w:rsidRPr="00C8495C" w:rsidRDefault="00094B41" w:rsidP="00F96156">
      <w:pPr>
        <w:pStyle w:val="Ttulo2"/>
        <w:tabs>
          <w:tab w:val="left" w:pos="426"/>
        </w:tabs>
        <w:rPr>
          <w:rFonts w:ascii="Palatino Linotype" w:hAnsi="Palatino Linotype" w:cs="Arial"/>
          <w:b/>
          <w:color w:val="000000" w:themeColor="text1"/>
          <w:sz w:val="24"/>
        </w:rPr>
      </w:pPr>
      <w:bookmarkStart w:id="19" w:name="_Toc88071781"/>
      <w:r w:rsidRPr="00C8495C">
        <w:rPr>
          <w:rFonts w:ascii="Palatino Linotype" w:hAnsi="Palatino Linotype" w:cs="Arial"/>
          <w:b/>
          <w:color w:val="000000" w:themeColor="text1"/>
          <w:sz w:val="24"/>
        </w:rPr>
        <w:t>CUARTO</w:t>
      </w:r>
      <w:r w:rsidR="00EF014A" w:rsidRPr="00C8495C">
        <w:rPr>
          <w:rFonts w:ascii="Palatino Linotype" w:hAnsi="Palatino Linotype" w:cs="Arial"/>
          <w:b/>
          <w:color w:val="000000" w:themeColor="text1"/>
          <w:sz w:val="24"/>
        </w:rPr>
        <w:t>. Estudio y Resolución del asunto.</w:t>
      </w:r>
      <w:bookmarkEnd w:id="19"/>
    </w:p>
    <w:p w14:paraId="6E979250" w14:textId="2A34D6B5" w:rsidR="00A55D2B" w:rsidRPr="00C8495C"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1648F5DC" w14:textId="2120CFD8" w:rsidR="00011CEC" w:rsidRPr="00C8495C" w:rsidRDefault="00011CEC" w:rsidP="00011CEC">
      <w:pPr>
        <w:pStyle w:val="Prrafodelista"/>
        <w:tabs>
          <w:tab w:val="left" w:pos="426"/>
        </w:tabs>
        <w:spacing w:before="240" w:after="240" w:line="360" w:lineRule="auto"/>
        <w:ind w:left="0" w:right="51"/>
        <w:jc w:val="both"/>
        <w:outlineLvl w:val="2"/>
        <w:rPr>
          <w:rFonts w:ascii="Palatino Linotype" w:hAnsi="Palatino Linotype"/>
          <w:b/>
          <w:lang w:val="es-ES"/>
        </w:rPr>
      </w:pPr>
      <w:r w:rsidRPr="00C8495C">
        <w:rPr>
          <w:rFonts w:ascii="Palatino Linotype" w:hAnsi="Palatino Linotype"/>
          <w:b/>
          <w:lang w:val="es-ES"/>
        </w:rPr>
        <w:t xml:space="preserve">I. Del </w:t>
      </w:r>
      <w:r w:rsidR="00364594" w:rsidRPr="00C8495C">
        <w:rPr>
          <w:rFonts w:ascii="Palatino Linotype" w:hAnsi="Palatino Linotype"/>
          <w:b/>
          <w:color w:val="000000" w:themeColor="text1"/>
        </w:rPr>
        <w:t>deber de las autoridades de promover, respetar, proteger y garantizar el derecho de acceso a la información pública</w:t>
      </w:r>
      <w:r w:rsidRPr="00C8495C">
        <w:rPr>
          <w:rFonts w:ascii="Palatino Linotype" w:hAnsi="Palatino Linotype"/>
          <w:b/>
          <w:lang w:val="es-ES"/>
        </w:rPr>
        <w:t>.</w:t>
      </w:r>
    </w:p>
    <w:p w14:paraId="080CBA90" w14:textId="77777777" w:rsidR="00011CEC" w:rsidRPr="00C8495C" w:rsidRDefault="00011CEC" w:rsidP="00011CEC">
      <w:pPr>
        <w:pStyle w:val="Prrafodelista"/>
        <w:tabs>
          <w:tab w:val="left" w:pos="426"/>
        </w:tabs>
        <w:spacing w:before="240" w:after="240" w:line="360" w:lineRule="auto"/>
        <w:ind w:left="0" w:right="51"/>
        <w:jc w:val="both"/>
        <w:rPr>
          <w:rFonts w:ascii="Palatino Linotype" w:hAnsi="Palatino Linotype"/>
          <w:color w:val="000000" w:themeColor="text1"/>
        </w:rPr>
      </w:pPr>
    </w:p>
    <w:p w14:paraId="47AC2785"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lang w:val="es-ES"/>
        </w:rPr>
        <w:t xml:space="preserve">Es elemental </w:t>
      </w:r>
      <w:r w:rsidRPr="00C8495C">
        <w:rPr>
          <w:rFonts w:ascii="Palatino Linotype" w:hAnsi="Palatino Linotype"/>
        </w:rPr>
        <w:t>precisar</w:t>
      </w:r>
      <w:r w:rsidRPr="00C8495C">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8495C">
        <w:rPr>
          <w:rFonts w:ascii="Palatino Linotype" w:hAnsi="Palatino Linotype"/>
          <w:b/>
          <w:bCs/>
        </w:rPr>
        <w:t>SUJETO OBLIGADO</w:t>
      </w:r>
      <w:r w:rsidRPr="00C8495C">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w:t>
      </w:r>
      <w:r w:rsidRPr="00C8495C">
        <w:rPr>
          <w:rFonts w:ascii="Palatino Linotype" w:hAnsi="Palatino Linotype"/>
          <w:b/>
          <w:bCs/>
        </w:rPr>
        <w:t>respetar</w:t>
      </w:r>
      <w:r w:rsidRPr="00C8495C">
        <w:rPr>
          <w:rFonts w:ascii="Palatino Linotype" w:hAnsi="Palatino Linotype"/>
          <w:bCs/>
        </w:rPr>
        <w:t xml:space="preserve">, proteger y </w:t>
      </w:r>
      <w:r w:rsidRPr="00C8495C">
        <w:rPr>
          <w:rFonts w:ascii="Palatino Linotype" w:hAnsi="Palatino Linotype"/>
          <w:b/>
          <w:bCs/>
        </w:rPr>
        <w:t>garantizar</w:t>
      </w:r>
      <w:r w:rsidRPr="00C8495C">
        <w:rPr>
          <w:rFonts w:ascii="Palatino Linotype" w:hAnsi="Palatino Linotype"/>
          <w:bCs/>
        </w:rPr>
        <w:t xml:space="preserve"> los derechos humanos”, entre los cuales se encuentra dicho derecho.</w:t>
      </w:r>
    </w:p>
    <w:p w14:paraId="3274E824"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4D67848A" w14:textId="49FA8A37" w:rsidR="00BB7519" w:rsidRPr="00C8495C" w:rsidRDefault="00364594"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hAnsi="Palatino Linotype"/>
          <w:lang w:val="es-ES"/>
        </w:rPr>
        <w:t xml:space="preserve">Por </w:t>
      </w:r>
      <w:r w:rsidRPr="00C8495C">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0B066B7" w14:textId="77777777" w:rsidR="00364594" w:rsidRPr="00C8495C" w:rsidRDefault="00364594" w:rsidP="00364594">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55208B27"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lang w:val="es-ES"/>
        </w:rPr>
        <w:t xml:space="preserve">Así las cosas, </w:t>
      </w:r>
      <w:r w:rsidRPr="00C8495C">
        <w:rPr>
          <w:rFonts w:ascii="Palatino Linotype" w:hAnsi="Palatino Linotype"/>
          <w:color w:val="000000" w:themeColor="text1"/>
        </w:rPr>
        <w:t xml:space="preserve">podemos definir el Derecho de Acceso a la Información Pública como: </w:t>
      </w:r>
      <w:r w:rsidRPr="00C8495C">
        <w:rPr>
          <w:rFonts w:ascii="Palatino Linotype" w:hAnsi="Palatino Linotype"/>
          <w:i/>
          <w:color w:val="000000" w:themeColor="text1"/>
        </w:rPr>
        <w:t>La igualdad de oportunidades para recibir, buscar e impartir información</w:t>
      </w:r>
      <w:r w:rsidRPr="00C8495C">
        <w:rPr>
          <w:rFonts w:ascii="Palatino Linotype" w:hAnsi="Palatino Linotype"/>
          <w:i/>
          <w:color w:val="000000" w:themeColor="text1"/>
          <w:vertAlign w:val="superscript"/>
        </w:rPr>
        <w:footnoteReference w:id="5"/>
      </w:r>
      <w:r w:rsidRPr="00C8495C">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8495C">
        <w:rPr>
          <w:rFonts w:ascii="Palatino Linotype" w:hAnsi="Palatino Linotype"/>
          <w:i/>
          <w:color w:val="000000" w:themeColor="text1"/>
          <w:vertAlign w:val="superscript"/>
        </w:rPr>
        <w:footnoteReference w:id="6"/>
      </w:r>
      <w:r w:rsidRPr="00C8495C">
        <w:rPr>
          <w:rFonts w:ascii="Palatino Linotype" w:hAnsi="Palatino Linotype"/>
          <w:color w:val="000000" w:themeColor="text1"/>
        </w:rPr>
        <w:t>que se constituye como una herramienta fundamental para ejercer</w:t>
      </w:r>
      <w:r w:rsidRPr="00C8495C">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C8495C">
        <w:rPr>
          <w:rFonts w:ascii="Palatino Linotype" w:hAnsi="Palatino Linotype"/>
          <w:i/>
          <w:color w:val="000000" w:themeColor="text1"/>
          <w:vertAlign w:val="superscript"/>
        </w:rPr>
        <w:footnoteReference w:id="7"/>
      </w:r>
      <w:r w:rsidRPr="00C8495C">
        <w:rPr>
          <w:rFonts w:ascii="Palatino Linotype" w:hAnsi="Palatino Linotype"/>
          <w:i/>
          <w:color w:val="000000" w:themeColor="text1"/>
        </w:rPr>
        <w:t xml:space="preserve"> </w:t>
      </w:r>
      <w:r w:rsidRPr="00C8495C">
        <w:rPr>
          <w:rFonts w:ascii="Palatino Linotype" w:hAnsi="Palatino Linotype"/>
          <w:color w:val="000000" w:themeColor="text1"/>
        </w:rPr>
        <w:t>fomentando</w:t>
      </w:r>
      <w:r w:rsidRPr="00C8495C">
        <w:rPr>
          <w:rFonts w:ascii="Palatino Linotype" w:hAnsi="Palatino Linotype"/>
          <w:i/>
          <w:color w:val="000000" w:themeColor="text1"/>
        </w:rPr>
        <w:t xml:space="preserve"> la transparencia de las actividades estatales y </w:t>
      </w:r>
      <w:r w:rsidRPr="00C8495C">
        <w:rPr>
          <w:rFonts w:ascii="Palatino Linotype" w:hAnsi="Palatino Linotype"/>
          <w:color w:val="000000" w:themeColor="text1"/>
        </w:rPr>
        <w:t>promoviendo</w:t>
      </w:r>
      <w:r w:rsidRPr="00C8495C">
        <w:rPr>
          <w:rFonts w:ascii="Palatino Linotype" w:hAnsi="Palatino Linotype"/>
          <w:i/>
          <w:color w:val="000000" w:themeColor="text1"/>
        </w:rPr>
        <w:t xml:space="preserve"> la responsabilidad de los funcionarios sobre su gestión pública,</w:t>
      </w:r>
      <w:r w:rsidRPr="00C8495C">
        <w:rPr>
          <w:rFonts w:ascii="Palatino Linotype" w:hAnsi="Palatino Linotype"/>
          <w:i/>
          <w:color w:val="000000" w:themeColor="text1"/>
          <w:vertAlign w:val="superscript"/>
        </w:rPr>
        <w:footnoteReference w:id="8"/>
      </w:r>
      <w:r w:rsidRPr="00C8495C">
        <w:rPr>
          <w:rFonts w:ascii="Palatino Linotype" w:hAnsi="Palatino Linotype"/>
          <w:color w:val="000000" w:themeColor="text1"/>
        </w:rPr>
        <w:t>que permite</w:t>
      </w:r>
      <w:r w:rsidRPr="00C8495C">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5C873520"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4A0E0449"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lang w:val="es-ES"/>
        </w:rPr>
        <w:t xml:space="preserve">Por </w:t>
      </w:r>
      <w:r w:rsidRPr="00C8495C">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C8495C">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C8495C">
        <w:rPr>
          <w:rFonts w:ascii="Palatino Linotype" w:hAnsi="Palatino Linotype"/>
          <w:color w:val="000000" w:themeColor="text1"/>
        </w:rPr>
        <w:t xml:space="preserve">, siendo éste el medio a través del cual, este Órgano Garante después de realizar el análisis al procedimiento de acceso a la información, podrá </w:t>
      </w:r>
      <w:r w:rsidRPr="00C8495C">
        <w:rPr>
          <w:rFonts w:ascii="Palatino Linotype" w:hAnsi="Palatino Linotype"/>
          <w:color w:val="000000" w:themeColor="text1"/>
        </w:rPr>
        <w:lastRenderedPageBreak/>
        <w:t>determinar la posible afectación y, de ser el caso, ordenar la reparación a la violación del derecho en cuestión.</w:t>
      </w:r>
    </w:p>
    <w:p w14:paraId="16C7416F"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7525FBCA" w14:textId="77777777" w:rsidR="00364594" w:rsidRPr="00C8495C" w:rsidRDefault="00364594" w:rsidP="0036459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C8495C">
        <w:rPr>
          <w:rFonts w:ascii="Palatino Linotype" w:hAnsi="Palatino Linotype"/>
          <w:b/>
          <w:color w:val="000000" w:themeColor="text1"/>
        </w:rPr>
        <w:t>II. De la atención a la solicitud de información.</w:t>
      </w:r>
    </w:p>
    <w:p w14:paraId="4D3964A0"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2DD62BDD"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t xml:space="preserve">La Ley de Transparencia y Acceso a la Información Pública del Estado de México y Municipios, en su artículo 150, establece que </w:t>
      </w:r>
      <w:r w:rsidRPr="00C8495C">
        <w:rPr>
          <w:rFonts w:ascii="Palatino Linotype" w:hAnsi="Palatino Linotype"/>
          <w:b/>
        </w:rPr>
        <w:t>el procedimiento de acceso a la información es la garantía primaria del derecho en cuestión y se rige por los principios de</w:t>
      </w:r>
      <w:r w:rsidRPr="00C8495C">
        <w:rPr>
          <w:rFonts w:ascii="Palatino Linotype" w:hAnsi="Palatino Linotype"/>
        </w:rPr>
        <w:t xml:space="preserve"> simplicidad, rapidez gratuidad del procedimiento, </w:t>
      </w:r>
      <w:r w:rsidRPr="00C8495C">
        <w:rPr>
          <w:rFonts w:ascii="Palatino Linotype" w:hAnsi="Palatino Linotype"/>
          <w:b/>
        </w:rPr>
        <w:t>auxilio y orientación a los particulares</w:t>
      </w:r>
      <w:r w:rsidRPr="00C8495C">
        <w:rPr>
          <w:rFonts w:ascii="Palatino Linotype" w:hAnsi="Palatino Linotype"/>
        </w:rPr>
        <w:t>, así como atención adecuada a las personas con discapacidad y a los hablantes de lengua indígena con el objeto de otorgar la protección más amplia del derecho de las personas.</w:t>
      </w:r>
    </w:p>
    <w:p w14:paraId="0C5D79AE"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7911CB1E"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Para atender las solicitudes de información, los Sujetos Obligados contarán con un área denominada </w:t>
      </w:r>
      <w:r w:rsidRPr="00C8495C">
        <w:rPr>
          <w:rFonts w:ascii="Palatino Linotype" w:hAnsi="Palatino Linotype"/>
          <w:b/>
          <w:bCs/>
          <w:color w:val="000000" w:themeColor="text1"/>
        </w:rPr>
        <w:t>Unidad de Transparencia</w:t>
      </w:r>
      <w:r w:rsidRPr="00C8495C">
        <w:rPr>
          <w:rFonts w:ascii="Palatino Linotype" w:hAnsi="Palatino Linotype"/>
          <w:color w:val="000000" w:themeColor="text1"/>
          <w:vertAlign w:val="superscript"/>
        </w:rPr>
        <w:footnoteReference w:id="9"/>
      </w:r>
      <w:r w:rsidRPr="00C8495C">
        <w:rPr>
          <w:rFonts w:ascii="Palatino Linotype" w:hAnsi="Palatino Linotype"/>
          <w:color w:val="000000" w:themeColor="text1"/>
        </w:rPr>
        <w:t xml:space="preserve">, la cual será presidida por un Titular, quien fungirá como enlace entre éstos y los solicitantes. Dicha Unidad </w:t>
      </w:r>
      <w:r w:rsidRPr="00C8495C">
        <w:rPr>
          <w:rFonts w:ascii="Palatino Linotype" w:hAnsi="Palatino Linotype"/>
          <w:b/>
          <w:bCs/>
          <w:color w:val="000000" w:themeColor="text1"/>
        </w:rPr>
        <w:t>será la encargada de tramitar internamente la solicitud de información</w:t>
      </w:r>
      <w:r w:rsidRPr="00C8495C">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C8495C">
        <w:rPr>
          <w:rFonts w:ascii="Palatino Linotype" w:hAnsi="Palatino Linotype"/>
          <w:b/>
          <w:bCs/>
          <w:color w:val="000000" w:themeColor="text1"/>
        </w:rPr>
        <w:t xml:space="preserve">gestionar la atención a las solicitudes de información </w:t>
      </w:r>
      <w:r w:rsidRPr="00C8495C">
        <w:rPr>
          <w:rFonts w:ascii="Palatino Linotype" w:hAnsi="Palatino Linotype"/>
          <w:color w:val="000000" w:themeColor="text1"/>
        </w:rPr>
        <w:t>en los términos de la Ley General y la Ley de Transparencia y Acceso a la Información Pública del Estado de México y Municipios</w:t>
      </w:r>
      <w:r w:rsidRPr="00C8495C">
        <w:rPr>
          <w:rFonts w:ascii="Palatino Linotype" w:hAnsi="Palatino Linotype"/>
          <w:color w:val="000000" w:themeColor="text1"/>
          <w:vertAlign w:val="superscript"/>
        </w:rPr>
        <w:footnoteReference w:id="10"/>
      </w:r>
      <w:r w:rsidRPr="00C8495C">
        <w:rPr>
          <w:rFonts w:ascii="Palatino Linotype" w:hAnsi="Palatino Linotype"/>
          <w:color w:val="000000" w:themeColor="text1"/>
        </w:rPr>
        <w:t>.</w:t>
      </w:r>
    </w:p>
    <w:p w14:paraId="3AAA45F8"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314B0F8A"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lastRenderedPageBreak/>
        <w:t xml:space="preserve">De </w:t>
      </w:r>
      <w:r w:rsidRPr="00C8495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279FEFCF" w14:textId="77777777" w:rsidR="00364594" w:rsidRPr="00C8495C" w:rsidRDefault="00364594" w:rsidP="00364594">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C8495C">
        <w:rPr>
          <w:rFonts w:ascii="Palatino Linotype" w:eastAsia="MS Mincho" w:hAnsi="Palatino Linotype" w:cs="Times New Roman"/>
          <w:color w:val="000000"/>
        </w:rPr>
        <w:t>Recibir, tramitar y dar respuesta a las solicitudes de acceso a la información;</w:t>
      </w:r>
    </w:p>
    <w:p w14:paraId="3DBFA766" w14:textId="77777777" w:rsidR="00364594" w:rsidRPr="00C8495C" w:rsidRDefault="00364594" w:rsidP="00364594">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C8495C">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C85CDAA" w14:textId="77777777" w:rsidR="00364594" w:rsidRPr="00C8495C" w:rsidRDefault="00364594" w:rsidP="00364594">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C8495C">
        <w:rPr>
          <w:rFonts w:ascii="Palatino Linotype" w:eastAsia="MS Mincho" w:hAnsi="Palatino Linotype" w:cs="Times New Roman"/>
          <w:color w:val="000000"/>
        </w:rPr>
        <w:t xml:space="preserve">Entregar, en su caso, a los particulares la información solicitada; y </w:t>
      </w:r>
    </w:p>
    <w:p w14:paraId="342FFC41" w14:textId="77777777" w:rsidR="00364594" w:rsidRPr="00C8495C" w:rsidRDefault="00364594" w:rsidP="00364594">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eastAsia="MS Mincho" w:hAnsi="Palatino Linotype" w:cs="Times New Roman"/>
          <w:color w:val="000000"/>
        </w:rPr>
        <w:t>Efectuar las notificaciones a los solicitantes.</w:t>
      </w:r>
    </w:p>
    <w:p w14:paraId="2FED0914"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33821856"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t xml:space="preserve">Otros sujetos del proceso de atención a las solicitudes de información son los </w:t>
      </w:r>
      <w:r w:rsidRPr="00C8495C">
        <w:rPr>
          <w:rFonts w:ascii="Palatino Linotype" w:hAnsi="Palatino Linotype"/>
          <w:b/>
          <w:bCs/>
        </w:rPr>
        <w:t>servidores públicos habilitados</w:t>
      </w:r>
      <w:r w:rsidRPr="00C8495C">
        <w:rPr>
          <w:rFonts w:ascii="Palatino Linotype" w:hAnsi="Palatino Linotype"/>
        </w:rPr>
        <w:t xml:space="preserve">, quienes serán designados por el titular del </w:t>
      </w:r>
      <w:r w:rsidRPr="00C8495C">
        <w:rPr>
          <w:rFonts w:ascii="Palatino Linotype" w:hAnsi="Palatino Linotype"/>
          <w:b/>
          <w:bCs/>
        </w:rPr>
        <w:t>SUJETO OBLIGADO</w:t>
      </w:r>
      <w:r w:rsidRPr="00C8495C">
        <w:rPr>
          <w:rFonts w:ascii="Palatino Linotype" w:hAnsi="Palatino Linotype"/>
        </w:rPr>
        <w:t>, a propuesta del responsable de la Unidad de Transparencia</w:t>
      </w:r>
      <w:r w:rsidRPr="00C8495C">
        <w:rPr>
          <w:rFonts w:ascii="Palatino Linotype" w:hAnsi="Palatino Linotype"/>
          <w:vertAlign w:val="superscript"/>
        </w:rPr>
        <w:footnoteReference w:id="11"/>
      </w:r>
      <w:r w:rsidRPr="00C8495C">
        <w:rPr>
          <w:rFonts w:ascii="Palatino Linotype" w:hAnsi="Palatino Linotype"/>
        </w:rPr>
        <w:t xml:space="preserve"> y tendrán, entre sus atribuciones, las siguientes</w:t>
      </w:r>
      <w:r w:rsidRPr="00C8495C">
        <w:rPr>
          <w:rFonts w:ascii="Palatino Linotype" w:hAnsi="Palatino Linotype"/>
          <w:vertAlign w:val="superscript"/>
        </w:rPr>
        <w:footnoteReference w:id="12"/>
      </w:r>
      <w:r w:rsidRPr="00C8495C">
        <w:rPr>
          <w:rFonts w:ascii="Palatino Linotype" w:hAnsi="Palatino Linotype"/>
        </w:rPr>
        <w:t>:</w:t>
      </w:r>
    </w:p>
    <w:p w14:paraId="20EC6D71" w14:textId="77777777" w:rsidR="00364594" w:rsidRPr="00C8495C" w:rsidRDefault="00364594" w:rsidP="00364594">
      <w:pPr>
        <w:pStyle w:val="Prrafodelista"/>
        <w:numPr>
          <w:ilvl w:val="1"/>
          <w:numId w:val="10"/>
        </w:numPr>
        <w:tabs>
          <w:tab w:val="left" w:pos="426"/>
        </w:tabs>
        <w:spacing w:before="240" w:after="240" w:line="360" w:lineRule="auto"/>
        <w:ind w:left="1134" w:right="51"/>
        <w:jc w:val="both"/>
        <w:rPr>
          <w:rFonts w:ascii="Palatino Linotype" w:hAnsi="Palatino Linotype"/>
        </w:rPr>
      </w:pPr>
      <w:r w:rsidRPr="00C8495C">
        <w:rPr>
          <w:rFonts w:ascii="Palatino Linotype" w:hAnsi="Palatino Linotype"/>
        </w:rPr>
        <w:t>Localizar la información que le solicite la Unidad de Transparencia; y</w:t>
      </w:r>
    </w:p>
    <w:p w14:paraId="292F457E" w14:textId="77777777" w:rsidR="00364594" w:rsidRPr="00C8495C" w:rsidRDefault="00364594" w:rsidP="00364594">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rPr>
        <w:t>Proporcionar la información que obre en los archivos y que le sea solicitada por la Unidad de Transparencia.</w:t>
      </w:r>
    </w:p>
    <w:p w14:paraId="1589CA84"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622AF854"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t xml:space="preserve">De tal </w:t>
      </w:r>
      <w:r w:rsidRPr="00C8495C">
        <w:rPr>
          <w:rFonts w:ascii="Palatino Linotype" w:eastAsia="MS Mincho" w:hAnsi="Palatino Linotype" w:cs="Times New Roman"/>
          <w:color w:val="000000"/>
        </w:rPr>
        <w:t xml:space="preserve">manera que cada una de las áreas administrativas del </w:t>
      </w:r>
      <w:r w:rsidRPr="00C8495C">
        <w:rPr>
          <w:rFonts w:ascii="Palatino Linotype" w:eastAsia="MS Mincho" w:hAnsi="Palatino Linotype" w:cs="Times New Roman"/>
          <w:b/>
          <w:bCs/>
          <w:color w:val="000000"/>
        </w:rPr>
        <w:t>SUJETO OBLIGADO</w:t>
      </w:r>
      <w:r w:rsidRPr="00C8495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5858835"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0EC71CFE" w14:textId="1082E36B"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t xml:space="preserve">Una expuesto lo anterior, de la lectura a la solicitud de información </w:t>
      </w:r>
      <w:r w:rsidR="00680C4A" w:rsidRPr="00C8495C">
        <w:rPr>
          <w:rFonts w:ascii="Palatino Linotype" w:hAnsi="Palatino Linotype"/>
          <w:b/>
        </w:rPr>
        <w:t>00199</w:t>
      </w:r>
      <w:r w:rsidRPr="00C8495C">
        <w:rPr>
          <w:rFonts w:ascii="Palatino Linotype" w:hAnsi="Palatino Linotype"/>
          <w:b/>
        </w:rPr>
        <w:t>/</w:t>
      </w:r>
      <w:r w:rsidR="00680C4A" w:rsidRPr="00C8495C">
        <w:rPr>
          <w:rFonts w:ascii="Palatino Linotype" w:hAnsi="Palatino Linotype"/>
          <w:b/>
        </w:rPr>
        <w:t>SEGEGOB</w:t>
      </w:r>
      <w:r w:rsidRPr="00C8495C">
        <w:rPr>
          <w:rFonts w:ascii="Palatino Linotype" w:hAnsi="Palatino Linotype"/>
          <w:b/>
        </w:rPr>
        <w:t>/IP/</w:t>
      </w:r>
      <w:proofErr w:type="gramStart"/>
      <w:r w:rsidRPr="00C8495C">
        <w:rPr>
          <w:rFonts w:ascii="Palatino Linotype" w:hAnsi="Palatino Linotype"/>
          <w:b/>
        </w:rPr>
        <w:t>2022</w:t>
      </w:r>
      <w:r w:rsidRPr="00C8495C">
        <w:rPr>
          <w:rFonts w:ascii="Palatino Linotype" w:hAnsi="Palatino Linotype"/>
        </w:rPr>
        <w:t>,  y</w:t>
      </w:r>
      <w:proofErr w:type="gramEnd"/>
      <w:r w:rsidRPr="00C8495C">
        <w:rPr>
          <w:rFonts w:ascii="Palatino Linotype" w:hAnsi="Palatino Linotype"/>
        </w:rPr>
        <w:t xml:space="preserve"> como fuera señalado en el </w:t>
      </w:r>
      <w:r w:rsidRPr="00C8495C">
        <w:rPr>
          <w:rFonts w:ascii="Palatino Linotype" w:hAnsi="Palatino Linotype"/>
          <w:i/>
          <w:iCs/>
        </w:rPr>
        <w:t>Planteamiento de la Litis</w:t>
      </w:r>
      <w:r w:rsidRPr="00C8495C">
        <w:rPr>
          <w:rFonts w:ascii="Palatino Linotype" w:hAnsi="Palatino Linotype"/>
        </w:rPr>
        <w:t xml:space="preserve"> de esta resolución, se advierte que el entonces </w:t>
      </w:r>
      <w:r w:rsidRPr="00C8495C">
        <w:rPr>
          <w:rFonts w:ascii="Palatino Linotype" w:hAnsi="Palatino Linotype"/>
          <w:b/>
        </w:rPr>
        <w:t>SOLICITANTE</w:t>
      </w:r>
      <w:r w:rsidRPr="00C8495C">
        <w:rPr>
          <w:rFonts w:ascii="Palatino Linotype" w:hAnsi="Palatino Linotype"/>
        </w:rPr>
        <w:t xml:space="preserve"> requirió acceder a la siguiente información:</w:t>
      </w:r>
    </w:p>
    <w:p w14:paraId="07AFF78C" w14:textId="77777777" w:rsidR="00364594" w:rsidRPr="00C8495C" w:rsidRDefault="00364594" w:rsidP="00364594">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s="Arial"/>
          <w:b/>
          <w:color w:val="000000" w:themeColor="text1"/>
        </w:rPr>
        <w:t>Plan de Trabajo del Sistema de Gestión de Protección de Datos Personales</w:t>
      </w:r>
      <w:r w:rsidRPr="00C8495C">
        <w:rPr>
          <w:rFonts w:ascii="Palatino Linotype" w:hAnsi="Palatino Linotype" w:cs="Arial"/>
          <w:color w:val="000000" w:themeColor="text1"/>
        </w:rPr>
        <w:t xml:space="preserve"> de los ejercicios dos mil diecinueve al dos mil veintidós; y</w:t>
      </w:r>
    </w:p>
    <w:p w14:paraId="04B85CFA" w14:textId="77777777" w:rsidR="00364594" w:rsidRPr="00C8495C" w:rsidRDefault="00364594" w:rsidP="00364594">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s="Arial"/>
          <w:color w:val="000000" w:themeColor="text1"/>
        </w:rPr>
        <w:t xml:space="preserve">Todos los </w:t>
      </w:r>
      <w:r w:rsidRPr="00C8495C">
        <w:rPr>
          <w:rFonts w:ascii="Palatino Linotype" w:hAnsi="Palatino Linotype" w:cs="Arial"/>
          <w:b/>
          <w:color w:val="000000" w:themeColor="text1"/>
        </w:rPr>
        <w:t>oficios y documentos</w:t>
      </w:r>
      <w:r w:rsidRPr="00C8495C">
        <w:rPr>
          <w:rFonts w:ascii="Palatino Linotype" w:hAnsi="Palatino Linotype" w:cs="Arial"/>
          <w:color w:val="000000" w:themeColor="text1"/>
        </w:rPr>
        <w:t xml:space="preserve"> relacionados con los siguientes temas: </w:t>
      </w:r>
    </w:p>
    <w:p w14:paraId="7FE001C2"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Designación de los Administradores de Bases de Datos; </w:t>
      </w:r>
    </w:p>
    <w:p w14:paraId="2C104045"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Actualización de Avisos de Privacidad; </w:t>
      </w:r>
    </w:p>
    <w:p w14:paraId="7C323C3D"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Supervisión a las bases de datos documentales o electrónicas para establecer medidas de seguridad; </w:t>
      </w:r>
    </w:p>
    <w:p w14:paraId="038BE7AF"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Establecer bitácora de violaciones a la seguridad de las bases de datos documentales o electrónicas; </w:t>
      </w:r>
    </w:p>
    <w:p w14:paraId="2257104B"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Establecer el Plan de contingencia con las Unidades Administrativas y Actualización de bases de datos; </w:t>
      </w:r>
    </w:p>
    <w:p w14:paraId="129B172F"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Inventario de las bases de datos; </w:t>
      </w:r>
    </w:p>
    <w:p w14:paraId="611E82F0" w14:textId="77777777" w:rsidR="00680C4A"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 xml:space="preserve">Documentos de gestión de seguridad; y, </w:t>
      </w:r>
    </w:p>
    <w:p w14:paraId="3577E726" w14:textId="02D179C9" w:rsidR="00364594" w:rsidRPr="00C8495C" w:rsidRDefault="00680C4A" w:rsidP="00596BE2">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C8495C">
        <w:rPr>
          <w:rFonts w:ascii="Palatino Linotype" w:hAnsi="Palatino Linotype" w:cs="Arial"/>
          <w:color w:val="000000" w:themeColor="text1"/>
        </w:rPr>
        <w:t>Documentos de seguridad.</w:t>
      </w:r>
    </w:p>
    <w:p w14:paraId="53EB76DE"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0B3C093B" w14:textId="56752FAE"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rPr>
        <w:t xml:space="preserve">Derivado de lo anterior, y en respuesta a la solicitud de información </w:t>
      </w:r>
      <w:r w:rsidR="00680C4A" w:rsidRPr="00C8495C">
        <w:rPr>
          <w:rFonts w:ascii="Palatino Linotype" w:hAnsi="Palatino Linotype"/>
          <w:b/>
          <w:bCs/>
        </w:rPr>
        <w:t>00199</w:t>
      </w:r>
      <w:r w:rsidRPr="00C8495C">
        <w:rPr>
          <w:rFonts w:ascii="Palatino Linotype" w:hAnsi="Palatino Linotype"/>
          <w:b/>
          <w:bCs/>
        </w:rPr>
        <w:t>/</w:t>
      </w:r>
      <w:r w:rsidR="00680C4A" w:rsidRPr="00C8495C">
        <w:rPr>
          <w:rFonts w:ascii="Palatino Linotype" w:hAnsi="Palatino Linotype"/>
          <w:b/>
          <w:bCs/>
        </w:rPr>
        <w:t>SEGEGOB</w:t>
      </w:r>
      <w:r w:rsidRPr="00C8495C">
        <w:rPr>
          <w:rFonts w:ascii="Palatino Linotype" w:hAnsi="Palatino Linotype"/>
          <w:b/>
          <w:bCs/>
        </w:rPr>
        <w:t>/IP/2022</w:t>
      </w:r>
      <w:r w:rsidRPr="00C8495C">
        <w:rPr>
          <w:rFonts w:ascii="Palatino Linotype" w:hAnsi="Palatino Linotype"/>
        </w:rPr>
        <w:t xml:space="preserve">, el </w:t>
      </w:r>
      <w:r w:rsidRPr="00C8495C">
        <w:rPr>
          <w:rFonts w:ascii="Palatino Linotype" w:hAnsi="Palatino Linotype"/>
          <w:b/>
        </w:rPr>
        <w:t>SUJETO OBLIGADO</w:t>
      </w:r>
      <w:r w:rsidRPr="00C8495C">
        <w:rPr>
          <w:rFonts w:ascii="Palatino Linotype" w:hAnsi="Palatino Linotype"/>
        </w:rPr>
        <w:t xml:space="preserve"> entregó la copia digitalizada del oficio número </w:t>
      </w:r>
      <w:r w:rsidR="00680C4A" w:rsidRPr="00C8495C">
        <w:rPr>
          <w:rFonts w:ascii="Palatino Linotype" w:hAnsi="Palatino Linotype"/>
        </w:rPr>
        <w:t>20502001000100S/015/2022</w:t>
      </w:r>
      <w:r w:rsidRPr="00C8495C">
        <w:rPr>
          <w:rFonts w:ascii="Palatino Linotype" w:hAnsi="Palatino Linotype"/>
        </w:rPr>
        <w:t xml:space="preserve">, de </w:t>
      </w:r>
      <w:r w:rsidR="00680C4A" w:rsidRPr="00C8495C">
        <w:rPr>
          <w:rFonts w:ascii="Palatino Linotype" w:hAnsi="Palatino Linotype"/>
        </w:rPr>
        <w:t xml:space="preserve">doce (12) de julio </w:t>
      </w:r>
      <w:r w:rsidRPr="00C8495C">
        <w:rPr>
          <w:rFonts w:ascii="Palatino Linotype" w:hAnsi="Palatino Linotype"/>
        </w:rPr>
        <w:t>de dos mil veintidós, cuyo contenido elemental se agrega a continuación:</w:t>
      </w:r>
    </w:p>
    <w:p w14:paraId="193AC319"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78F0DFD0" w14:textId="34DCEB8B"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1A4507B8" wp14:editId="124B7A28">
            <wp:extent cx="5165903" cy="6805455"/>
            <wp:effectExtent l="57150" t="57150" r="111125" b="1098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1604" cy="68129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0A5320" w14:textId="30546F07"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32343F27" wp14:editId="6479485B">
            <wp:extent cx="5151272" cy="6738969"/>
            <wp:effectExtent l="57150" t="57150" r="106680" b="1193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8894" cy="67489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372C87" w14:textId="03A00009"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2C2E07A7" wp14:editId="5B87656D">
            <wp:extent cx="5158587" cy="6774804"/>
            <wp:effectExtent l="57150" t="57150" r="118745"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4406" cy="67824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4B89F3" w14:textId="5606EC46"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62A31B22" wp14:editId="6C8AC5FC">
            <wp:extent cx="5169239" cy="6781190"/>
            <wp:effectExtent l="57150" t="57150" r="107950" b="1149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5625" cy="67895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52E90F" w14:textId="1AAE71F0"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3155C4DA" wp14:editId="79E5E03F">
            <wp:extent cx="5166107" cy="6766560"/>
            <wp:effectExtent l="57150" t="57150" r="111125" b="1104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9098" cy="67704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1D4EC" w14:textId="733DBBFA"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22614D13" wp14:editId="4E53FE1F">
            <wp:extent cx="5165903" cy="6790257"/>
            <wp:effectExtent l="57150" t="57150" r="111125" b="1060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9890" cy="67954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C47773" w14:textId="7A6A0927"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50EE0B03" wp14:editId="394A3D81">
            <wp:extent cx="5180533" cy="6822383"/>
            <wp:effectExtent l="57150" t="57150" r="115570" b="1123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4716" cy="68278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54909E" w14:textId="1476ABD3" w:rsidR="00BA5645" w:rsidRPr="00C8495C" w:rsidRDefault="00BA5645" w:rsidP="00BA5645">
      <w:pPr>
        <w:pStyle w:val="Prrafodelista"/>
        <w:tabs>
          <w:tab w:val="left" w:pos="426"/>
        </w:tabs>
        <w:spacing w:before="240" w:after="240" w:line="360" w:lineRule="auto"/>
        <w:ind w:left="0" w:right="51"/>
        <w:jc w:val="center"/>
        <w:rPr>
          <w:rFonts w:ascii="Palatino Linotype" w:hAnsi="Palatino Linotype"/>
          <w:color w:val="000000" w:themeColor="text1"/>
        </w:rPr>
      </w:pPr>
      <w:r w:rsidRPr="00C8495C">
        <w:rPr>
          <w:rFonts w:ascii="Palatino Linotype" w:hAnsi="Palatino Linotype"/>
          <w:noProof/>
          <w:color w:val="000000" w:themeColor="text1"/>
          <w:lang w:val="es-MX" w:eastAsia="es-MX"/>
        </w:rPr>
        <w:lastRenderedPageBreak/>
        <w:drawing>
          <wp:inline distT="0" distB="0" distL="0" distR="0" wp14:anchorId="27AA795F" wp14:editId="265DD63E">
            <wp:extent cx="5158587" cy="1661161"/>
            <wp:effectExtent l="57150" t="57150" r="118745" b="1104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2192" cy="16687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34246B"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108CFEC2" w14:textId="1B685C32" w:rsidR="00364594" w:rsidRPr="00C8495C" w:rsidRDefault="00364594" w:rsidP="00596BE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Adjunto al oficio transcrito </w:t>
      </w:r>
      <w:r w:rsidRPr="00C8495C">
        <w:rPr>
          <w:rFonts w:ascii="Palatino Linotype" w:hAnsi="Palatino Linotype"/>
          <w:i/>
          <w:color w:val="000000" w:themeColor="text1"/>
        </w:rPr>
        <w:t>supra</w:t>
      </w:r>
      <w:r w:rsidRPr="00C8495C">
        <w:rPr>
          <w:rFonts w:ascii="Palatino Linotype" w:hAnsi="Palatino Linotype"/>
          <w:color w:val="000000" w:themeColor="text1"/>
        </w:rPr>
        <w:t xml:space="preserve">, y como fuera expuesto en el apartado de </w:t>
      </w:r>
      <w:r w:rsidRPr="00C8495C">
        <w:rPr>
          <w:rFonts w:ascii="Palatino Linotype" w:hAnsi="Palatino Linotype"/>
          <w:i/>
          <w:color w:val="000000" w:themeColor="text1"/>
        </w:rPr>
        <w:t>Antecedentes</w:t>
      </w:r>
      <w:r w:rsidRPr="00C8495C">
        <w:rPr>
          <w:rFonts w:ascii="Palatino Linotype" w:hAnsi="Palatino Linotype"/>
          <w:color w:val="000000" w:themeColor="text1"/>
        </w:rPr>
        <w:t xml:space="preserve"> de la presente resolución, el </w:t>
      </w:r>
      <w:r w:rsidRPr="00C8495C">
        <w:rPr>
          <w:rFonts w:ascii="Palatino Linotype" w:hAnsi="Palatino Linotype"/>
          <w:b/>
          <w:color w:val="000000" w:themeColor="text1"/>
        </w:rPr>
        <w:t>SUJETO OBLIGADO</w:t>
      </w:r>
      <w:r w:rsidRPr="00C8495C">
        <w:rPr>
          <w:rFonts w:ascii="Palatino Linotype" w:hAnsi="Palatino Linotype"/>
          <w:color w:val="000000" w:themeColor="text1"/>
        </w:rPr>
        <w:t xml:space="preserve"> entregó al particular las </w:t>
      </w:r>
      <w:r w:rsidR="0021175E" w:rsidRPr="00C8495C">
        <w:rPr>
          <w:rFonts w:ascii="Palatino Linotype" w:hAnsi="Palatino Linotype"/>
          <w:color w:val="000000" w:themeColor="text1"/>
        </w:rPr>
        <w:t>Cédulas de Proyectos de Sistematización y Actualización de Información</w:t>
      </w:r>
      <w:r w:rsidRPr="00C8495C">
        <w:rPr>
          <w:rFonts w:ascii="Palatino Linotype" w:hAnsi="Palatino Linotype"/>
          <w:color w:val="000000" w:themeColor="text1"/>
        </w:rPr>
        <w:t xml:space="preserve"> </w:t>
      </w:r>
      <w:r w:rsidR="0021175E" w:rsidRPr="00C8495C">
        <w:rPr>
          <w:rFonts w:ascii="Palatino Linotype" w:hAnsi="Palatino Linotype"/>
          <w:color w:val="000000" w:themeColor="text1"/>
        </w:rPr>
        <w:t>que se enlistan a continuación</w:t>
      </w:r>
      <w:r w:rsidRPr="00C8495C">
        <w:rPr>
          <w:rFonts w:ascii="Palatino Linotype" w:hAnsi="Palatino Linotype"/>
          <w:color w:val="000000" w:themeColor="text1"/>
        </w:rPr>
        <w:t>:</w:t>
      </w:r>
    </w:p>
    <w:p w14:paraId="7CF21940" w14:textId="5F9AA022" w:rsidR="00364594"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Organización y actualización de los sistemas de datos personales, elaborada el siete (07) de enero de dos mil diecinueve.</w:t>
      </w:r>
    </w:p>
    <w:p w14:paraId="7A326C4F" w14:textId="53811ED1"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Actualización de la información pública contenida en el Sistema de Información Pública de Oficio Mexiquense (IPOMEX) elaborada el siete (07) de enero de dos mil diecinueve.</w:t>
      </w:r>
    </w:p>
    <w:p w14:paraId="0B2586DE" w14:textId="2282A55A"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 xml:space="preserve">Atención a solicitudes de acceso a la información pública y a derechos de acceso, rectificación, cancelación y oposición ingresadas al Sistema de Acceso a la Información Mexiquense (SAIMEX) y al Sistema de Acceso, Rectificación, Cancelación y Oposición de Datos Personales del Estado de México (SARCOEM) </w:t>
      </w:r>
      <w:r w:rsidR="00596BE2" w:rsidRPr="00C8495C">
        <w:rPr>
          <w:rFonts w:ascii="Palatino Linotype" w:hAnsi="Palatino Linotype"/>
          <w:color w:val="000000" w:themeColor="text1"/>
        </w:rPr>
        <w:t>elaborada el siete (07) de enero de dos mil diecinueve.</w:t>
      </w:r>
    </w:p>
    <w:p w14:paraId="0D67FDC7" w14:textId="2D9BDB5E"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Organización y actualización de los sistemas de datos personales</w:t>
      </w:r>
      <w:r w:rsidR="00596BE2" w:rsidRPr="00C8495C">
        <w:rPr>
          <w:rFonts w:ascii="Palatino Linotype" w:hAnsi="Palatino Linotype"/>
          <w:color w:val="000000" w:themeColor="text1"/>
        </w:rPr>
        <w:t xml:space="preserve"> elaborada el cuatro (04) de febrero de dos mil veinte</w:t>
      </w:r>
      <w:r w:rsidRPr="00C8495C">
        <w:rPr>
          <w:rFonts w:ascii="Palatino Linotype" w:hAnsi="Palatino Linotype"/>
          <w:color w:val="000000" w:themeColor="text1"/>
        </w:rPr>
        <w:t>.</w:t>
      </w:r>
    </w:p>
    <w:p w14:paraId="4995C06A" w14:textId="2FC44079"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lastRenderedPageBreak/>
        <w:t>Actualización de la información pública contenida en el Sistema de Información Pública de Oficio Mexiquense (IPOMEX)</w:t>
      </w:r>
      <w:r w:rsidR="00596BE2" w:rsidRPr="00C8495C">
        <w:rPr>
          <w:rFonts w:ascii="Palatino Linotype" w:hAnsi="Palatino Linotype"/>
          <w:color w:val="000000" w:themeColor="text1"/>
        </w:rPr>
        <w:t xml:space="preserve"> elaborada el cuatro (04) de febrero de dos mil veinte</w:t>
      </w:r>
      <w:r w:rsidRPr="00C8495C">
        <w:rPr>
          <w:rFonts w:ascii="Palatino Linotype" w:hAnsi="Palatino Linotype"/>
          <w:color w:val="000000" w:themeColor="text1"/>
        </w:rPr>
        <w:t>.</w:t>
      </w:r>
    </w:p>
    <w:p w14:paraId="4D4B2E27" w14:textId="321BFD42"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Atención a solicitudes de acceso a la información pública y de derecho de acceso, rectificación, cancelación y oposición ingresadas a los Sistemas de Acceso a la Información Mexiquense (SAIMEX) y de Acceso, Rectificación, Cancelación y Oposición de Datos Personales del Estado de México (SARCOEM), respectivamente</w:t>
      </w:r>
      <w:r w:rsidR="00596BE2" w:rsidRPr="00C8495C">
        <w:rPr>
          <w:rFonts w:ascii="Palatino Linotype" w:hAnsi="Palatino Linotype"/>
          <w:color w:val="000000" w:themeColor="text1"/>
        </w:rPr>
        <w:t>, elaborada el cuatro (04) de febrero de dos mil veinte</w:t>
      </w:r>
      <w:r w:rsidRPr="00C8495C">
        <w:rPr>
          <w:rFonts w:ascii="Palatino Linotype" w:hAnsi="Palatino Linotype"/>
          <w:color w:val="000000" w:themeColor="text1"/>
        </w:rPr>
        <w:t>.</w:t>
      </w:r>
    </w:p>
    <w:p w14:paraId="4CE982F5" w14:textId="56FA3CB2"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Organización y actualización de los sistemas de datos personales</w:t>
      </w:r>
      <w:r w:rsidR="00596BE2" w:rsidRPr="00C8495C">
        <w:rPr>
          <w:rFonts w:ascii="Palatino Linotype" w:hAnsi="Palatino Linotype"/>
          <w:color w:val="000000" w:themeColor="text1"/>
        </w:rPr>
        <w:t>, elaborada el veintiuno (21) de enero de dos mil veintiuno</w:t>
      </w:r>
      <w:r w:rsidRPr="00C8495C">
        <w:rPr>
          <w:rFonts w:ascii="Palatino Linotype" w:hAnsi="Palatino Linotype"/>
          <w:color w:val="000000" w:themeColor="text1"/>
        </w:rPr>
        <w:t>.</w:t>
      </w:r>
    </w:p>
    <w:p w14:paraId="6AAAAAA8" w14:textId="0FAFBAE8"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Actualización de la información pública contenida en el Sistema de Información Pública de Oficio Mexiquense (IPOMEX)</w:t>
      </w:r>
      <w:r w:rsidR="00596BE2" w:rsidRPr="00C8495C">
        <w:rPr>
          <w:rFonts w:ascii="Palatino Linotype" w:hAnsi="Palatino Linotype"/>
          <w:color w:val="000000" w:themeColor="text1"/>
        </w:rPr>
        <w:t>, elaborada el veintiuno (21) de enero de dos mil veintiuno</w:t>
      </w:r>
      <w:r w:rsidRPr="00C8495C">
        <w:rPr>
          <w:rFonts w:ascii="Palatino Linotype" w:hAnsi="Palatino Linotype"/>
          <w:color w:val="000000" w:themeColor="text1"/>
        </w:rPr>
        <w:t>.</w:t>
      </w:r>
    </w:p>
    <w:p w14:paraId="6605ECF6" w14:textId="5BE137B0"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Atención a solicitudes de acceso a la información pública y de acceso, rectificación, cancelación y oposición de datos personales, ingresadas a los Sistemas de Acceso a la Información Mexiquense (SAIMEX) y de Acceso, Rectificación, Cancelación y Oposición de Datos Personales del Estado de México (SARCOEM), respectivamente</w:t>
      </w:r>
      <w:r w:rsidR="00596BE2" w:rsidRPr="00C8495C">
        <w:rPr>
          <w:rFonts w:ascii="Palatino Linotype" w:hAnsi="Palatino Linotype"/>
          <w:color w:val="000000" w:themeColor="text1"/>
        </w:rPr>
        <w:t>, elaborada el veintiuno (21) de enero de dos mil veintiuno</w:t>
      </w:r>
      <w:r w:rsidRPr="00C8495C">
        <w:rPr>
          <w:rFonts w:ascii="Palatino Linotype" w:hAnsi="Palatino Linotype"/>
          <w:color w:val="000000" w:themeColor="text1"/>
        </w:rPr>
        <w:t>.</w:t>
      </w:r>
    </w:p>
    <w:p w14:paraId="2322BD84" w14:textId="0F84E8D0"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Organización y actualización de los sistemas de datos personales</w:t>
      </w:r>
      <w:r w:rsidR="00596BE2" w:rsidRPr="00C8495C">
        <w:rPr>
          <w:rFonts w:ascii="Palatino Linotype" w:hAnsi="Palatino Linotype"/>
          <w:color w:val="000000" w:themeColor="text1"/>
        </w:rPr>
        <w:t>, elaborada el dieciocho (18) de enero de dos mil veintidós</w:t>
      </w:r>
      <w:r w:rsidRPr="00C8495C">
        <w:rPr>
          <w:rFonts w:ascii="Palatino Linotype" w:hAnsi="Palatino Linotype"/>
          <w:color w:val="000000" w:themeColor="text1"/>
        </w:rPr>
        <w:t>.</w:t>
      </w:r>
    </w:p>
    <w:p w14:paraId="6C429C2D" w14:textId="222B26DF"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Actualización de la información pública contenida en el Sistema de Información Pública de Oficio Mexiquense (IPOMEX)</w:t>
      </w:r>
      <w:r w:rsidR="00596BE2" w:rsidRPr="00C8495C">
        <w:rPr>
          <w:rFonts w:ascii="Palatino Linotype" w:hAnsi="Palatino Linotype"/>
          <w:color w:val="000000" w:themeColor="text1"/>
        </w:rPr>
        <w:t>, elaborada el dieciocho (18) de enero de dos mil veintidós</w:t>
      </w:r>
      <w:r w:rsidRPr="00C8495C">
        <w:rPr>
          <w:rFonts w:ascii="Palatino Linotype" w:hAnsi="Palatino Linotype"/>
          <w:color w:val="000000" w:themeColor="text1"/>
        </w:rPr>
        <w:t>.</w:t>
      </w:r>
    </w:p>
    <w:p w14:paraId="26D84B46" w14:textId="5E936E70" w:rsidR="0021175E" w:rsidRPr="00C8495C" w:rsidRDefault="0021175E" w:rsidP="0021175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lastRenderedPageBreak/>
        <w:t>Atención a solicitudes de acceso a la información pública y de acceso, rectificación, cancelación y oposición de datos personales, ingresadas a los Sistemas de Plataforma Nacional de Transparencia (PNT), de Acceso a la Información Mexiquense (SAIMEX) y de Acceso, Rectificación, Cancelación y Oposición de Datos Personales del Estado de México (SARCOEM), respectivamente</w:t>
      </w:r>
      <w:r w:rsidR="00596BE2" w:rsidRPr="00C8495C">
        <w:rPr>
          <w:rFonts w:ascii="Palatino Linotype" w:hAnsi="Palatino Linotype"/>
          <w:color w:val="000000" w:themeColor="text1"/>
        </w:rPr>
        <w:t>, elaborada el dieciocho (18) de enero de dos mil veintidós</w:t>
      </w:r>
      <w:r w:rsidRPr="00C8495C">
        <w:rPr>
          <w:rFonts w:ascii="Palatino Linotype" w:hAnsi="Palatino Linotype"/>
          <w:color w:val="000000" w:themeColor="text1"/>
        </w:rPr>
        <w:t>.</w:t>
      </w:r>
    </w:p>
    <w:p w14:paraId="276679B0" w14:textId="77777777" w:rsidR="0021175E" w:rsidRPr="00C8495C" w:rsidRDefault="0021175E" w:rsidP="0021175E">
      <w:pPr>
        <w:pStyle w:val="Prrafodelista"/>
        <w:tabs>
          <w:tab w:val="left" w:pos="426"/>
        </w:tabs>
        <w:spacing w:before="240" w:after="240" w:line="360" w:lineRule="auto"/>
        <w:ind w:left="0" w:right="51"/>
        <w:jc w:val="both"/>
        <w:rPr>
          <w:rFonts w:ascii="Palatino Linotype" w:hAnsi="Palatino Linotype"/>
          <w:color w:val="000000" w:themeColor="text1"/>
        </w:rPr>
      </w:pPr>
    </w:p>
    <w:p w14:paraId="5900B97E" w14:textId="5443D6DE" w:rsidR="00596BE2" w:rsidRPr="00C8495C" w:rsidRDefault="00596BE2"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Aunado a lo anterior, el </w:t>
      </w:r>
      <w:r w:rsidRPr="00C8495C">
        <w:rPr>
          <w:rFonts w:ascii="Palatino Linotype" w:hAnsi="Palatino Linotype"/>
          <w:b/>
          <w:color w:val="000000" w:themeColor="text1"/>
        </w:rPr>
        <w:t>SUJETO OBLIGADO</w:t>
      </w:r>
      <w:r w:rsidRPr="00C8495C">
        <w:rPr>
          <w:rFonts w:ascii="Palatino Linotype" w:hAnsi="Palatino Linotype"/>
          <w:color w:val="000000" w:themeColor="text1"/>
        </w:rPr>
        <w:t xml:space="preserve"> presentó un listado con el registro de 42 Cédulas de Bases de Datos Personales, a saber:</w:t>
      </w:r>
    </w:p>
    <w:p w14:paraId="439B3AFF" w14:textId="77777777" w:rsidR="00596BE2" w:rsidRPr="00C8495C" w:rsidRDefault="00596BE2" w:rsidP="00596BE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jc w:val="center"/>
        <w:tblLook w:val="04A0" w:firstRow="1" w:lastRow="0" w:firstColumn="1" w:lastColumn="0" w:noHBand="0" w:noVBand="1"/>
      </w:tblPr>
      <w:tblGrid>
        <w:gridCol w:w="4414"/>
        <w:gridCol w:w="4414"/>
      </w:tblGrid>
      <w:tr w:rsidR="00596BE2" w:rsidRPr="00C8495C" w14:paraId="3084BD94" w14:textId="77777777" w:rsidTr="00596BE2">
        <w:trPr>
          <w:jc w:val="center"/>
        </w:trPr>
        <w:tc>
          <w:tcPr>
            <w:tcW w:w="4414" w:type="dxa"/>
            <w:shd w:val="clear" w:color="auto" w:fill="BFBFBF" w:themeFill="background1" w:themeFillShade="BF"/>
            <w:vAlign w:val="center"/>
          </w:tcPr>
          <w:p w14:paraId="6EE7F763" w14:textId="0A8A58B5" w:rsidR="00596BE2" w:rsidRPr="00C8495C" w:rsidRDefault="00596BE2" w:rsidP="00596BE2">
            <w:pPr>
              <w:pStyle w:val="Prrafodelista"/>
              <w:tabs>
                <w:tab w:val="left" w:pos="426"/>
              </w:tabs>
              <w:ind w:left="0" w:right="51"/>
              <w:jc w:val="center"/>
              <w:rPr>
                <w:rFonts w:ascii="Palatino Linotype" w:hAnsi="Palatino Linotype"/>
                <w:b/>
                <w:color w:val="000000" w:themeColor="text1"/>
                <w:sz w:val="20"/>
                <w:szCs w:val="20"/>
              </w:rPr>
            </w:pPr>
            <w:r w:rsidRPr="00C8495C">
              <w:rPr>
                <w:rFonts w:ascii="Palatino Linotype" w:hAnsi="Palatino Linotype"/>
                <w:b/>
                <w:color w:val="000000" w:themeColor="text1"/>
                <w:sz w:val="20"/>
                <w:szCs w:val="20"/>
              </w:rPr>
              <w:t>UNIDAD ADMINISTRATIVA:</w:t>
            </w:r>
          </w:p>
        </w:tc>
        <w:tc>
          <w:tcPr>
            <w:tcW w:w="4414" w:type="dxa"/>
            <w:shd w:val="clear" w:color="auto" w:fill="BFBFBF" w:themeFill="background1" w:themeFillShade="BF"/>
            <w:vAlign w:val="center"/>
          </w:tcPr>
          <w:p w14:paraId="540A7704" w14:textId="7879D245" w:rsidR="00596BE2" w:rsidRPr="00C8495C" w:rsidRDefault="00596BE2" w:rsidP="00596BE2">
            <w:pPr>
              <w:pStyle w:val="Prrafodelista"/>
              <w:tabs>
                <w:tab w:val="left" w:pos="426"/>
              </w:tabs>
              <w:ind w:left="0" w:right="51"/>
              <w:jc w:val="center"/>
              <w:rPr>
                <w:rFonts w:ascii="Palatino Linotype" w:hAnsi="Palatino Linotype"/>
                <w:b/>
                <w:color w:val="000000" w:themeColor="text1"/>
                <w:sz w:val="20"/>
                <w:szCs w:val="20"/>
              </w:rPr>
            </w:pPr>
            <w:r w:rsidRPr="00C8495C">
              <w:rPr>
                <w:rFonts w:ascii="Palatino Linotype" w:hAnsi="Palatino Linotype"/>
                <w:b/>
                <w:color w:val="000000" w:themeColor="text1"/>
                <w:sz w:val="20"/>
                <w:szCs w:val="20"/>
              </w:rPr>
              <w:t>NOMBRE:</w:t>
            </w:r>
          </w:p>
        </w:tc>
      </w:tr>
      <w:tr w:rsidR="00596BE2" w:rsidRPr="00C8495C" w14:paraId="3D902481" w14:textId="77777777" w:rsidTr="00596BE2">
        <w:trPr>
          <w:jc w:val="center"/>
        </w:trPr>
        <w:tc>
          <w:tcPr>
            <w:tcW w:w="4414" w:type="dxa"/>
            <w:vAlign w:val="center"/>
          </w:tcPr>
          <w:p w14:paraId="6F69AA88" w14:textId="283F1FA6"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Gobierno Valle de Toluca</w:t>
            </w:r>
          </w:p>
        </w:tc>
        <w:tc>
          <w:tcPr>
            <w:tcW w:w="4414" w:type="dxa"/>
            <w:vAlign w:val="center"/>
          </w:tcPr>
          <w:p w14:paraId="43C02675" w14:textId="0A4ADAD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Expedientes del personal que labora en la Subsecretaría de Gobierno Valle de Toluca, Oficina del C. </w:t>
            </w:r>
            <w:proofErr w:type="gramStart"/>
            <w:r w:rsidRPr="00C8495C">
              <w:rPr>
                <w:rFonts w:ascii="Palatino Linotype" w:hAnsi="Palatino Linotype"/>
                <w:color w:val="000000" w:themeColor="text1"/>
                <w:sz w:val="20"/>
                <w:szCs w:val="20"/>
              </w:rPr>
              <w:t>Secretario</w:t>
            </w:r>
            <w:proofErr w:type="gramEnd"/>
            <w:r w:rsidRPr="00C8495C">
              <w:rPr>
                <w:rFonts w:ascii="Palatino Linotype" w:hAnsi="Palatino Linotype"/>
                <w:color w:val="000000" w:themeColor="text1"/>
                <w:sz w:val="20"/>
                <w:szCs w:val="20"/>
              </w:rPr>
              <w:t xml:space="preserve"> Particular, Delegación Administrativa, Coordinación de Gobierno, Secretaría Particular de la Coordinación de Gobierno, Unidad de Evaluación (…)</w:t>
            </w:r>
          </w:p>
        </w:tc>
      </w:tr>
      <w:tr w:rsidR="00596BE2" w:rsidRPr="00C8495C" w14:paraId="1F316D49" w14:textId="77777777" w:rsidTr="00596BE2">
        <w:trPr>
          <w:jc w:val="center"/>
        </w:trPr>
        <w:tc>
          <w:tcPr>
            <w:tcW w:w="4414" w:type="dxa"/>
            <w:vAlign w:val="center"/>
          </w:tcPr>
          <w:p w14:paraId="5DD54613" w14:textId="18598F86"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Consejo Estatal de Población</w:t>
            </w:r>
          </w:p>
        </w:tc>
        <w:tc>
          <w:tcPr>
            <w:tcW w:w="4414" w:type="dxa"/>
            <w:vAlign w:val="center"/>
          </w:tcPr>
          <w:p w14:paraId="59EE1F3E" w14:textId="2FCDD313"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el Consejo Estatal de Población</w:t>
            </w:r>
          </w:p>
        </w:tc>
      </w:tr>
      <w:tr w:rsidR="00596BE2" w:rsidRPr="00C8495C" w14:paraId="1D18A870" w14:textId="77777777" w:rsidTr="00596BE2">
        <w:trPr>
          <w:jc w:val="center"/>
        </w:trPr>
        <w:tc>
          <w:tcPr>
            <w:tcW w:w="4414" w:type="dxa"/>
            <w:vAlign w:val="center"/>
          </w:tcPr>
          <w:p w14:paraId="463A423D" w14:textId="7DD7F80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 de la Secretaría General de Gobierno</w:t>
            </w:r>
          </w:p>
        </w:tc>
        <w:tc>
          <w:tcPr>
            <w:tcW w:w="4414" w:type="dxa"/>
            <w:vAlign w:val="center"/>
          </w:tcPr>
          <w:p w14:paraId="440C0B41" w14:textId="32AE002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Sistema Integral de Información se Personal (SIIP)</w:t>
            </w:r>
          </w:p>
        </w:tc>
      </w:tr>
      <w:tr w:rsidR="00596BE2" w:rsidRPr="00C8495C" w14:paraId="2659FC88" w14:textId="77777777" w:rsidTr="00596BE2">
        <w:trPr>
          <w:jc w:val="center"/>
        </w:trPr>
        <w:tc>
          <w:tcPr>
            <w:tcW w:w="4414" w:type="dxa"/>
            <w:vAlign w:val="center"/>
          </w:tcPr>
          <w:p w14:paraId="560292C6" w14:textId="1872FB06"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 de la Secretaría General de Gobierno</w:t>
            </w:r>
          </w:p>
        </w:tc>
        <w:tc>
          <w:tcPr>
            <w:tcW w:w="4414" w:type="dxa"/>
            <w:vAlign w:val="center"/>
          </w:tcPr>
          <w:p w14:paraId="3BC597B6" w14:textId="7536BAF2"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Expedientes del personal que labora en la Oficina del C. </w:t>
            </w:r>
            <w:proofErr w:type="gramStart"/>
            <w:r w:rsidRPr="00C8495C">
              <w:rPr>
                <w:rFonts w:ascii="Palatino Linotype" w:hAnsi="Palatino Linotype"/>
                <w:color w:val="000000" w:themeColor="text1"/>
                <w:sz w:val="20"/>
                <w:szCs w:val="20"/>
              </w:rPr>
              <w:t>Secretario General</w:t>
            </w:r>
            <w:proofErr w:type="gramEnd"/>
            <w:r w:rsidRPr="00C8495C">
              <w:rPr>
                <w:rFonts w:ascii="Palatino Linotype" w:hAnsi="Palatino Linotype"/>
                <w:color w:val="000000" w:themeColor="text1"/>
                <w:sz w:val="20"/>
                <w:szCs w:val="20"/>
              </w:rPr>
              <w:t xml:space="preserve"> de Gobierno y Áreas Staff</w:t>
            </w:r>
          </w:p>
        </w:tc>
      </w:tr>
      <w:tr w:rsidR="00596BE2" w:rsidRPr="00C8495C" w14:paraId="7B301EA4" w14:textId="77777777" w:rsidTr="00596BE2">
        <w:trPr>
          <w:jc w:val="center"/>
        </w:trPr>
        <w:tc>
          <w:tcPr>
            <w:tcW w:w="4414" w:type="dxa"/>
            <w:vAlign w:val="center"/>
          </w:tcPr>
          <w:p w14:paraId="6539B7F5" w14:textId="67034B2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Contraloría Interna</w:t>
            </w:r>
          </w:p>
        </w:tc>
        <w:tc>
          <w:tcPr>
            <w:tcW w:w="4414" w:type="dxa"/>
            <w:vAlign w:val="center"/>
          </w:tcPr>
          <w:p w14:paraId="725327F0" w14:textId="6788D202"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el Órgano Interno de Control</w:t>
            </w:r>
          </w:p>
        </w:tc>
      </w:tr>
      <w:tr w:rsidR="00596BE2" w:rsidRPr="00C8495C" w14:paraId="2AC9A72E" w14:textId="77777777" w:rsidTr="00596BE2">
        <w:trPr>
          <w:jc w:val="center"/>
        </w:trPr>
        <w:tc>
          <w:tcPr>
            <w:tcW w:w="4414" w:type="dxa"/>
            <w:vAlign w:val="center"/>
          </w:tcPr>
          <w:p w14:paraId="00146E8C" w14:textId="7A284C88"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General de Gobierno</w:t>
            </w:r>
          </w:p>
        </w:tc>
        <w:tc>
          <w:tcPr>
            <w:tcW w:w="4414" w:type="dxa"/>
            <w:vAlign w:val="center"/>
          </w:tcPr>
          <w:p w14:paraId="2AE192CE" w14:textId="43321DB6"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General de gobierno</w:t>
            </w:r>
          </w:p>
        </w:tc>
      </w:tr>
      <w:tr w:rsidR="00596BE2" w:rsidRPr="00C8495C" w14:paraId="08747EAB" w14:textId="77777777" w:rsidTr="00596BE2">
        <w:trPr>
          <w:jc w:val="center"/>
        </w:trPr>
        <w:tc>
          <w:tcPr>
            <w:tcW w:w="4414" w:type="dxa"/>
            <w:vAlign w:val="center"/>
          </w:tcPr>
          <w:p w14:paraId="151F559F" w14:textId="78930A27"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Desarrollo Político</w:t>
            </w:r>
          </w:p>
        </w:tc>
        <w:tc>
          <w:tcPr>
            <w:tcW w:w="4414" w:type="dxa"/>
            <w:vAlign w:val="center"/>
          </w:tcPr>
          <w:p w14:paraId="6E247A4B" w14:textId="3697AC2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de Desarrollo Político</w:t>
            </w:r>
          </w:p>
        </w:tc>
      </w:tr>
      <w:tr w:rsidR="00596BE2" w:rsidRPr="00C8495C" w14:paraId="3BCF1D78" w14:textId="77777777" w:rsidTr="00596BE2">
        <w:trPr>
          <w:jc w:val="center"/>
        </w:trPr>
        <w:tc>
          <w:tcPr>
            <w:tcW w:w="4414" w:type="dxa"/>
            <w:vAlign w:val="center"/>
          </w:tcPr>
          <w:p w14:paraId="782C1D7D" w14:textId="4F00E149"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Gobierno Valle de México Zona Oriente I</w:t>
            </w:r>
          </w:p>
        </w:tc>
        <w:tc>
          <w:tcPr>
            <w:tcW w:w="4414" w:type="dxa"/>
            <w:vAlign w:val="center"/>
          </w:tcPr>
          <w:p w14:paraId="4F744D87" w14:textId="26297597"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de Gobierno Valle de México Zona Oriente I</w:t>
            </w:r>
          </w:p>
        </w:tc>
      </w:tr>
      <w:tr w:rsidR="00596BE2" w:rsidRPr="00C8495C" w14:paraId="7B583B30" w14:textId="77777777" w:rsidTr="00596BE2">
        <w:trPr>
          <w:jc w:val="center"/>
        </w:trPr>
        <w:tc>
          <w:tcPr>
            <w:tcW w:w="4414" w:type="dxa"/>
            <w:vAlign w:val="center"/>
          </w:tcPr>
          <w:p w14:paraId="13AA4DE0" w14:textId="0A13B045"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lastRenderedPageBreak/>
              <w:t>Subsecretaría de Gobierno Valle de México Zona Oriente I</w:t>
            </w:r>
          </w:p>
        </w:tc>
        <w:tc>
          <w:tcPr>
            <w:tcW w:w="4414" w:type="dxa"/>
            <w:vAlign w:val="center"/>
          </w:tcPr>
          <w:p w14:paraId="077A5695" w14:textId="710B48B3"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Plantilla de plazas del personal que labora en la Subsecretaría de Gobierno Valle de México Zona Oriente I</w:t>
            </w:r>
          </w:p>
        </w:tc>
      </w:tr>
      <w:tr w:rsidR="00596BE2" w:rsidRPr="00C8495C" w14:paraId="0D9C0352" w14:textId="77777777" w:rsidTr="00596BE2">
        <w:trPr>
          <w:jc w:val="center"/>
        </w:trPr>
        <w:tc>
          <w:tcPr>
            <w:tcW w:w="4414" w:type="dxa"/>
            <w:vAlign w:val="center"/>
          </w:tcPr>
          <w:p w14:paraId="02E38EF6" w14:textId="38CDE341"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Gobierno Valle de México Zona Nororiente</w:t>
            </w:r>
          </w:p>
        </w:tc>
        <w:tc>
          <w:tcPr>
            <w:tcW w:w="4414" w:type="dxa"/>
            <w:vAlign w:val="center"/>
          </w:tcPr>
          <w:p w14:paraId="6EF023D8" w14:textId="10616320"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de Gobierno Valle de México Zona Nororiente</w:t>
            </w:r>
          </w:p>
        </w:tc>
      </w:tr>
      <w:tr w:rsidR="00596BE2" w:rsidRPr="00C8495C" w14:paraId="7C9AAC9A" w14:textId="77777777" w:rsidTr="00596BE2">
        <w:trPr>
          <w:jc w:val="center"/>
        </w:trPr>
        <w:tc>
          <w:tcPr>
            <w:tcW w:w="4414" w:type="dxa"/>
            <w:vAlign w:val="center"/>
          </w:tcPr>
          <w:p w14:paraId="35380FEC" w14:textId="485E7AC3"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Gobierno Valle de Toluca</w:t>
            </w:r>
          </w:p>
        </w:tc>
        <w:tc>
          <w:tcPr>
            <w:tcW w:w="4414" w:type="dxa"/>
            <w:vAlign w:val="center"/>
          </w:tcPr>
          <w:p w14:paraId="42C78DE0" w14:textId="47EB4CEE"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Plantilla del personal que labora en la Subsecretaría de Gobierno Valle de Toluca, Oficina del C. </w:t>
            </w:r>
            <w:proofErr w:type="gramStart"/>
            <w:r w:rsidRPr="00C8495C">
              <w:rPr>
                <w:rFonts w:ascii="Palatino Linotype" w:hAnsi="Palatino Linotype"/>
                <w:color w:val="000000" w:themeColor="text1"/>
                <w:sz w:val="20"/>
                <w:szCs w:val="20"/>
              </w:rPr>
              <w:t>Secretario</w:t>
            </w:r>
            <w:proofErr w:type="gramEnd"/>
            <w:r w:rsidRPr="00C8495C">
              <w:rPr>
                <w:rFonts w:ascii="Palatino Linotype" w:hAnsi="Palatino Linotype"/>
                <w:color w:val="000000" w:themeColor="text1"/>
                <w:sz w:val="20"/>
                <w:szCs w:val="20"/>
              </w:rPr>
              <w:t xml:space="preserve"> Particular, Delegación Administrativa, Coordinación de Gobierno, Secretaría Particular de la Coordinación de Gobierno, Unidad de Evaluación (…)</w:t>
            </w:r>
          </w:p>
        </w:tc>
      </w:tr>
      <w:tr w:rsidR="00596BE2" w:rsidRPr="00C8495C" w14:paraId="743B3F1F" w14:textId="77777777" w:rsidTr="00596BE2">
        <w:trPr>
          <w:jc w:val="center"/>
        </w:trPr>
        <w:tc>
          <w:tcPr>
            <w:tcW w:w="4414" w:type="dxa"/>
            <w:vAlign w:val="center"/>
          </w:tcPr>
          <w:p w14:paraId="54DC952B" w14:textId="6B7734F4" w:rsidR="00596BE2" w:rsidRPr="00C8495C" w:rsidRDefault="00596BE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Dirección General de Información, Planeación y Evaluación (Unidad de información)</w:t>
            </w:r>
          </w:p>
        </w:tc>
        <w:tc>
          <w:tcPr>
            <w:tcW w:w="4414" w:type="dxa"/>
            <w:vAlign w:val="center"/>
          </w:tcPr>
          <w:p w14:paraId="2D536AF7" w14:textId="72FFE38C"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 las solicitudes de información que son ingresadas por particulares al Sistema de Acceso a la Información Mexiquense (SAIMEX) y Sistema de Acceso, Rectificación, Cancelación u Oposición de Datos Personales (SARCOEM)</w:t>
            </w:r>
          </w:p>
        </w:tc>
      </w:tr>
      <w:tr w:rsidR="00596BE2" w:rsidRPr="00C8495C" w14:paraId="07456187" w14:textId="77777777" w:rsidTr="00596BE2">
        <w:trPr>
          <w:jc w:val="center"/>
        </w:trPr>
        <w:tc>
          <w:tcPr>
            <w:tcW w:w="4414" w:type="dxa"/>
            <w:vAlign w:val="center"/>
          </w:tcPr>
          <w:p w14:paraId="1FF18DB6" w14:textId="66193DFE"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Gobierno Valle de México Zona Oriente II</w:t>
            </w:r>
          </w:p>
        </w:tc>
        <w:tc>
          <w:tcPr>
            <w:tcW w:w="4414" w:type="dxa"/>
            <w:vAlign w:val="center"/>
          </w:tcPr>
          <w:p w14:paraId="10D645ED" w14:textId="2807CCFC"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de Gobierno Valle de México Zona Oriente II</w:t>
            </w:r>
          </w:p>
        </w:tc>
      </w:tr>
      <w:tr w:rsidR="00596BE2" w:rsidRPr="00C8495C" w14:paraId="1AA7D1FF" w14:textId="77777777" w:rsidTr="00596BE2">
        <w:trPr>
          <w:jc w:val="center"/>
        </w:trPr>
        <w:tc>
          <w:tcPr>
            <w:tcW w:w="4414" w:type="dxa"/>
            <w:vAlign w:val="center"/>
          </w:tcPr>
          <w:p w14:paraId="0BBB3603" w14:textId="41822104"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Desarrollo Municipal</w:t>
            </w:r>
          </w:p>
        </w:tc>
        <w:tc>
          <w:tcPr>
            <w:tcW w:w="4414" w:type="dxa"/>
            <w:vAlign w:val="center"/>
          </w:tcPr>
          <w:p w14:paraId="2813CCE2" w14:textId="4D32EA87"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Subsecretaría de Desarrollo Municipal</w:t>
            </w:r>
          </w:p>
        </w:tc>
      </w:tr>
      <w:tr w:rsidR="00596BE2" w:rsidRPr="00C8495C" w14:paraId="1EEB820A" w14:textId="77777777" w:rsidTr="00596BE2">
        <w:trPr>
          <w:jc w:val="center"/>
        </w:trPr>
        <w:tc>
          <w:tcPr>
            <w:tcW w:w="4414" w:type="dxa"/>
            <w:vAlign w:val="center"/>
          </w:tcPr>
          <w:p w14:paraId="332FD996" w14:textId="5794446C"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Desarrollo Municipal</w:t>
            </w:r>
          </w:p>
        </w:tc>
        <w:tc>
          <w:tcPr>
            <w:tcW w:w="4414" w:type="dxa"/>
            <w:vAlign w:val="center"/>
          </w:tcPr>
          <w:p w14:paraId="4DBB20F0" w14:textId="2DC1478A"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Plantilla de plazas del personal que labora en la Subsecretaría de Desarrollo Municipal</w:t>
            </w:r>
          </w:p>
        </w:tc>
      </w:tr>
      <w:tr w:rsidR="00596BE2" w:rsidRPr="00C8495C" w14:paraId="4A8406C4" w14:textId="77777777" w:rsidTr="00596BE2">
        <w:trPr>
          <w:jc w:val="center"/>
        </w:trPr>
        <w:tc>
          <w:tcPr>
            <w:tcW w:w="4414" w:type="dxa"/>
            <w:vAlign w:val="center"/>
          </w:tcPr>
          <w:p w14:paraId="4BE86DDC" w14:textId="59DC29F8"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2ECB5B8D" w14:textId="056AD06F"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del personal que labora en la Coordinación General de Protección Civil</w:t>
            </w:r>
          </w:p>
        </w:tc>
      </w:tr>
      <w:tr w:rsidR="00B36E92" w:rsidRPr="00C8495C" w14:paraId="6CB024FD" w14:textId="77777777" w:rsidTr="002B5389">
        <w:trPr>
          <w:jc w:val="center"/>
        </w:trPr>
        <w:tc>
          <w:tcPr>
            <w:tcW w:w="4414" w:type="dxa"/>
          </w:tcPr>
          <w:p w14:paraId="46045F2D" w14:textId="473FC678"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30C41040" w14:textId="1D20D0BF"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Plantilla de plazas del personal que </w:t>
            </w:r>
            <w:proofErr w:type="gramStart"/>
            <w:r w:rsidRPr="00C8495C">
              <w:rPr>
                <w:rFonts w:ascii="Palatino Linotype" w:hAnsi="Palatino Linotype"/>
                <w:color w:val="000000" w:themeColor="text1"/>
                <w:sz w:val="20"/>
                <w:szCs w:val="20"/>
              </w:rPr>
              <w:t>labora  en</w:t>
            </w:r>
            <w:proofErr w:type="gramEnd"/>
            <w:r w:rsidRPr="00C8495C">
              <w:rPr>
                <w:rFonts w:ascii="Palatino Linotype" w:hAnsi="Palatino Linotype"/>
                <w:color w:val="000000" w:themeColor="text1"/>
                <w:sz w:val="20"/>
                <w:szCs w:val="20"/>
              </w:rPr>
              <w:t xml:space="preserve"> la Coordinación General de Protección Civil</w:t>
            </w:r>
          </w:p>
        </w:tc>
      </w:tr>
      <w:tr w:rsidR="00B36E92" w:rsidRPr="00C8495C" w14:paraId="0DA6DCE3" w14:textId="77777777" w:rsidTr="002B5389">
        <w:trPr>
          <w:jc w:val="center"/>
        </w:trPr>
        <w:tc>
          <w:tcPr>
            <w:tcW w:w="4414" w:type="dxa"/>
          </w:tcPr>
          <w:p w14:paraId="3C87F186" w14:textId="74ADCA40"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46498602" w14:textId="34199227"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Localización de Personas Extraviadas (LOCATEL)</w:t>
            </w:r>
          </w:p>
        </w:tc>
      </w:tr>
      <w:tr w:rsidR="00B36E92" w:rsidRPr="00C8495C" w14:paraId="5E1A70F0" w14:textId="77777777" w:rsidTr="002B5389">
        <w:trPr>
          <w:jc w:val="center"/>
        </w:trPr>
        <w:tc>
          <w:tcPr>
            <w:tcW w:w="4414" w:type="dxa"/>
          </w:tcPr>
          <w:p w14:paraId="5574A1FE" w14:textId="4A34DF3A"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76776995" w14:textId="509DC2C6"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Padrón de consultores externos 2021</w:t>
            </w:r>
          </w:p>
        </w:tc>
      </w:tr>
      <w:tr w:rsidR="00B36E92" w:rsidRPr="00C8495C" w14:paraId="556E5571" w14:textId="77777777" w:rsidTr="002B5389">
        <w:trPr>
          <w:jc w:val="center"/>
        </w:trPr>
        <w:tc>
          <w:tcPr>
            <w:tcW w:w="4414" w:type="dxa"/>
          </w:tcPr>
          <w:p w14:paraId="376B921C" w14:textId="69649626"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34D11DBB" w14:textId="11716A3D"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Padrón de consultores externos 2021</w:t>
            </w:r>
          </w:p>
        </w:tc>
      </w:tr>
      <w:tr w:rsidR="00B36E92" w:rsidRPr="00C8495C" w14:paraId="13792328" w14:textId="77777777" w:rsidTr="002B5389">
        <w:trPr>
          <w:jc w:val="center"/>
        </w:trPr>
        <w:tc>
          <w:tcPr>
            <w:tcW w:w="4414" w:type="dxa"/>
          </w:tcPr>
          <w:p w14:paraId="04D0A6F9" w14:textId="52E12717"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53A2468B" w14:textId="2121F4F3"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Impartición de servicios de Capacitación Básica en materia de Protección Civil</w:t>
            </w:r>
          </w:p>
        </w:tc>
      </w:tr>
      <w:tr w:rsidR="00B36E92" w:rsidRPr="00C8495C" w14:paraId="64B07BBB" w14:textId="77777777" w:rsidTr="002B5389">
        <w:trPr>
          <w:jc w:val="center"/>
        </w:trPr>
        <w:tc>
          <w:tcPr>
            <w:tcW w:w="4414" w:type="dxa"/>
          </w:tcPr>
          <w:p w14:paraId="29467526" w14:textId="22A57DCA"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0F08EE73" w14:textId="74A9C23F"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Solicitud de materiales de difusión impresos sobre Protección Civil</w:t>
            </w:r>
          </w:p>
        </w:tc>
      </w:tr>
      <w:tr w:rsidR="00B36E92" w:rsidRPr="00C8495C" w14:paraId="7ABAFAB2" w14:textId="77777777" w:rsidTr="002B5389">
        <w:trPr>
          <w:jc w:val="center"/>
        </w:trPr>
        <w:tc>
          <w:tcPr>
            <w:tcW w:w="4414" w:type="dxa"/>
          </w:tcPr>
          <w:p w14:paraId="6187997C" w14:textId="41D77F75"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2A18211C" w14:textId="651956A1"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Asesoría para Elaboración de Programas Internos de Protección Civil a las Dependencias del Sector Público</w:t>
            </w:r>
          </w:p>
        </w:tc>
      </w:tr>
      <w:tr w:rsidR="00596BE2" w:rsidRPr="00C8495C" w14:paraId="766AC9DF" w14:textId="77777777" w:rsidTr="00596BE2">
        <w:trPr>
          <w:jc w:val="center"/>
        </w:trPr>
        <w:tc>
          <w:tcPr>
            <w:tcW w:w="4414" w:type="dxa"/>
            <w:vAlign w:val="center"/>
          </w:tcPr>
          <w:p w14:paraId="72308276" w14:textId="63217CAF"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de Atención Ciudadana</w:t>
            </w:r>
          </w:p>
        </w:tc>
        <w:tc>
          <w:tcPr>
            <w:tcW w:w="4414" w:type="dxa"/>
            <w:vAlign w:val="center"/>
          </w:tcPr>
          <w:p w14:paraId="4A09D630" w14:textId="57BC0054"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Expedientes de peticiones ciudadanas dirigidas al C. </w:t>
            </w:r>
            <w:proofErr w:type="gramStart"/>
            <w:r w:rsidRPr="00C8495C">
              <w:rPr>
                <w:rFonts w:ascii="Palatino Linotype" w:hAnsi="Palatino Linotype"/>
                <w:color w:val="000000" w:themeColor="text1"/>
                <w:sz w:val="20"/>
                <w:szCs w:val="20"/>
              </w:rPr>
              <w:t>Secretario General</w:t>
            </w:r>
            <w:proofErr w:type="gramEnd"/>
            <w:r w:rsidRPr="00C8495C">
              <w:rPr>
                <w:rFonts w:ascii="Palatino Linotype" w:hAnsi="Palatino Linotype"/>
                <w:color w:val="000000" w:themeColor="text1"/>
                <w:sz w:val="20"/>
                <w:szCs w:val="20"/>
              </w:rPr>
              <w:t xml:space="preserve"> de Gobierno</w:t>
            </w:r>
          </w:p>
        </w:tc>
      </w:tr>
      <w:tr w:rsidR="00596BE2" w:rsidRPr="00C8495C" w14:paraId="676FE36C" w14:textId="77777777" w:rsidTr="00596BE2">
        <w:trPr>
          <w:jc w:val="center"/>
        </w:trPr>
        <w:tc>
          <w:tcPr>
            <w:tcW w:w="4414" w:type="dxa"/>
            <w:vAlign w:val="center"/>
          </w:tcPr>
          <w:p w14:paraId="79CF796D" w14:textId="47396D65"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de Atención Ciudadana</w:t>
            </w:r>
          </w:p>
        </w:tc>
        <w:tc>
          <w:tcPr>
            <w:tcW w:w="4414" w:type="dxa"/>
            <w:vAlign w:val="center"/>
          </w:tcPr>
          <w:p w14:paraId="27724FE6" w14:textId="61BBC953"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Peticiones ciudadanas al C. </w:t>
            </w:r>
            <w:proofErr w:type="gramStart"/>
            <w:r w:rsidRPr="00C8495C">
              <w:rPr>
                <w:rFonts w:ascii="Palatino Linotype" w:hAnsi="Palatino Linotype"/>
                <w:color w:val="000000" w:themeColor="text1"/>
                <w:sz w:val="20"/>
                <w:szCs w:val="20"/>
              </w:rPr>
              <w:t>Secretario General</w:t>
            </w:r>
            <w:proofErr w:type="gramEnd"/>
            <w:r w:rsidRPr="00C8495C">
              <w:rPr>
                <w:rFonts w:ascii="Palatino Linotype" w:hAnsi="Palatino Linotype"/>
                <w:color w:val="000000" w:themeColor="text1"/>
                <w:sz w:val="20"/>
                <w:szCs w:val="20"/>
              </w:rPr>
              <w:t xml:space="preserve"> de Gobierno, Sistema de Directorio (SISDIR)</w:t>
            </w:r>
          </w:p>
        </w:tc>
      </w:tr>
      <w:tr w:rsidR="00596BE2" w:rsidRPr="00C8495C" w14:paraId="0EE1605C" w14:textId="77777777" w:rsidTr="00596BE2">
        <w:trPr>
          <w:jc w:val="center"/>
        </w:trPr>
        <w:tc>
          <w:tcPr>
            <w:tcW w:w="4414" w:type="dxa"/>
            <w:vAlign w:val="center"/>
          </w:tcPr>
          <w:p w14:paraId="4A74A144" w14:textId="4BD12C53"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lastRenderedPageBreak/>
              <w:t>Secretaría Particular</w:t>
            </w:r>
          </w:p>
        </w:tc>
        <w:tc>
          <w:tcPr>
            <w:tcW w:w="4414" w:type="dxa"/>
            <w:vAlign w:val="center"/>
          </w:tcPr>
          <w:p w14:paraId="775B9148" w14:textId="4FEC97EB" w:rsidR="00596BE2" w:rsidRPr="00C8495C" w:rsidRDefault="00D2002A"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 xml:space="preserve">Peticiones ciudadanas dirigidas al C. </w:t>
            </w:r>
            <w:proofErr w:type="gramStart"/>
            <w:r w:rsidRPr="00C8495C">
              <w:rPr>
                <w:rFonts w:ascii="Palatino Linotype" w:hAnsi="Palatino Linotype"/>
                <w:color w:val="000000" w:themeColor="text1"/>
                <w:sz w:val="20"/>
                <w:szCs w:val="20"/>
              </w:rPr>
              <w:t>Secretario General</w:t>
            </w:r>
            <w:proofErr w:type="gramEnd"/>
            <w:r w:rsidRPr="00C8495C">
              <w:rPr>
                <w:rFonts w:ascii="Palatino Linotype" w:hAnsi="Palatino Linotype"/>
                <w:color w:val="000000" w:themeColor="text1"/>
                <w:sz w:val="20"/>
                <w:szCs w:val="20"/>
              </w:rPr>
              <w:t xml:space="preserve"> de Gobierno (Por municipio y dependencia)</w:t>
            </w:r>
          </w:p>
        </w:tc>
      </w:tr>
      <w:tr w:rsidR="00596BE2" w:rsidRPr="00C8495C" w14:paraId="0224424D" w14:textId="77777777" w:rsidTr="00596BE2">
        <w:trPr>
          <w:jc w:val="center"/>
        </w:trPr>
        <w:tc>
          <w:tcPr>
            <w:tcW w:w="4414" w:type="dxa"/>
            <w:vAlign w:val="center"/>
          </w:tcPr>
          <w:p w14:paraId="773A5DCB" w14:textId="4F117124"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Secretaría Particular</w:t>
            </w:r>
          </w:p>
        </w:tc>
        <w:tc>
          <w:tcPr>
            <w:tcW w:w="4414" w:type="dxa"/>
            <w:vAlign w:val="center"/>
          </w:tcPr>
          <w:p w14:paraId="152D33AD" w14:textId="2D6435CA" w:rsidR="00596BE2" w:rsidRPr="00C8495C" w:rsidRDefault="00D2002A"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Sistema de Correspondencia (SISCOR)</w:t>
            </w:r>
          </w:p>
        </w:tc>
      </w:tr>
      <w:tr w:rsidR="00596BE2" w:rsidRPr="00C8495C" w14:paraId="1054B839" w14:textId="77777777" w:rsidTr="00596BE2">
        <w:trPr>
          <w:jc w:val="center"/>
        </w:trPr>
        <w:tc>
          <w:tcPr>
            <w:tcW w:w="4414" w:type="dxa"/>
            <w:vAlign w:val="center"/>
          </w:tcPr>
          <w:p w14:paraId="44103E44" w14:textId="3BDC17C4"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w:t>
            </w:r>
          </w:p>
        </w:tc>
        <w:tc>
          <w:tcPr>
            <w:tcW w:w="4414" w:type="dxa"/>
            <w:vAlign w:val="center"/>
          </w:tcPr>
          <w:p w14:paraId="3E319CAF" w14:textId="0D417E18" w:rsidR="00596BE2" w:rsidRPr="00C8495C" w:rsidRDefault="00D2002A"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 Contratos y/o Adquisición de Bienes y de Servicios</w:t>
            </w:r>
          </w:p>
        </w:tc>
      </w:tr>
      <w:tr w:rsidR="00B36E92" w:rsidRPr="00C8495C" w14:paraId="5D1FB534" w14:textId="77777777" w:rsidTr="002B5389">
        <w:trPr>
          <w:jc w:val="center"/>
        </w:trPr>
        <w:tc>
          <w:tcPr>
            <w:tcW w:w="4414" w:type="dxa"/>
          </w:tcPr>
          <w:p w14:paraId="1D2C2399" w14:textId="46CE7E19"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w:t>
            </w:r>
          </w:p>
        </w:tc>
        <w:tc>
          <w:tcPr>
            <w:tcW w:w="4414" w:type="dxa"/>
            <w:vAlign w:val="center"/>
          </w:tcPr>
          <w:p w14:paraId="415E6399" w14:textId="296B88F6" w:rsidR="00B36E92" w:rsidRPr="00C8495C" w:rsidRDefault="00D2002A"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 Proveedores de Servicios para Reparaciones Varias</w:t>
            </w:r>
          </w:p>
        </w:tc>
      </w:tr>
      <w:tr w:rsidR="00B36E92" w:rsidRPr="00C8495C" w14:paraId="61E9CAC4" w14:textId="77777777" w:rsidTr="002B5389">
        <w:trPr>
          <w:jc w:val="center"/>
        </w:trPr>
        <w:tc>
          <w:tcPr>
            <w:tcW w:w="4414" w:type="dxa"/>
          </w:tcPr>
          <w:p w14:paraId="247776D1" w14:textId="7AC866B6"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w:t>
            </w:r>
          </w:p>
        </w:tc>
        <w:tc>
          <w:tcPr>
            <w:tcW w:w="4414" w:type="dxa"/>
            <w:vAlign w:val="center"/>
          </w:tcPr>
          <w:p w14:paraId="1615EB1F" w14:textId="4EE5BA25" w:rsidR="00B36E92" w:rsidRPr="00C8495C" w:rsidRDefault="00D2002A"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 Arrendamiento de Inmuebles</w:t>
            </w:r>
          </w:p>
        </w:tc>
      </w:tr>
      <w:tr w:rsidR="00B36E92" w:rsidRPr="00C8495C" w14:paraId="69C80DCB" w14:textId="77777777" w:rsidTr="002B5389">
        <w:trPr>
          <w:jc w:val="center"/>
        </w:trPr>
        <w:tc>
          <w:tcPr>
            <w:tcW w:w="4414" w:type="dxa"/>
          </w:tcPr>
          <w:p w14:paraId="6114BE7B" w14:textId="751947F4" w:rsidR="00B36E92" w:rsidRPr="00C8495C" w:rsidRDefault="00B36E92"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Administrativa</w:t>
            </w:r>
          </w:p>
        </w:tc>
        <w:tc>
          <w:tcPr>
            <w:tcW w:w="4414" w:type="dxa"/>
            <w:vAlign w:val="center"/>
          </w:tcPr>
          <w:p w14:paraId="73DC697E" w14:textId="0B3EA202" w:rsidR="00B36E92" w:rsidRPr="00C8495C" w:rsidRDefault="00D2002A" w:rsidP="00B36E9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Expedientes de Reparación y Mantenimiento a Vehículos Oficiales</w:t>
            </w:r>
          </w:p>
        </w:tc>
      </w:tr>
      <w:tr w:rsidR="00596BE2" w:rsidRPr="00C8495C" w14:paraId="2D4404B8" w14:textId="77777777" w:rsidTr="00596BE2">
        <w:trPr>
          <w:jc w:val="center"/>
        </w:trPr>
        <w:tc>
          <w:tcPr>
            <w:tcW w:w="4414" w:type="dxa"/>
            <w:vAlign w:val="center"/>
          </w:tcPr>
          <w:p w14:paraId="3AC60AE0" w14:textId="08C3F1A2" w:rsidR="00596BE2" w:rsidRPr="00C8495C" w:rsidRDefault="00B36E92"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5A9BFCF4" w14:textId="25A39378" w:rsidR="00596BE2" w:rsidRPr="00C8495C" w:rsidRDefault="00D2002A" w:rsidP="00596BE2">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Análisis de Vulnerabilidad y Riesgo</w:t>
            </w:r>
          </w:p>
        </w:tc>
      </w:tr>
      <w:tr w:rsidR="00D2002A" w:rsidRPr="00C8495C" w14:paraId="2F15AA88" w14:textId="77777777" w:rsidTr="00596BE2">
        <w:trPr>
          <w:jc w:val="center"/>
        </w:trPr>
        <w:tc>
          <w:tcPr>
            <w:tcW w:w="4414" w:type="dxa"/>
            <w:vAlign w:val="center"/>
          </w:tcPr>
          <w:p w14:paraId="2575C5C9" w14:textId="3D2AE590"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323179AD" w14:textId="79101ED9"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Análisis de Vulnerabilidad y Riesgo</w:t>
            </w:r>
          </w:p>
        </w:tc>
      </w:tr>
      <w:tr w:rsidR="00D2002A" w:rsidRPr="00C8495C" w14:paraId="3B07A79B" w14:textId="77777777" w:rsidTr="00596BE2">
        <w:trPr>
          <w:jc w:val="center"/>
        </w:trPr>
        <w:tc>
          <w:tcPr>
            <w:tcW w:w="4414" w:type="dxa"/>
            <w:vAlign w:val="center"/>
          </w:tcPr>
          <w:p w14:paraId="6D3BDE39" w14:textId="7B234709"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2CC9211A" w14:textId="644D3714"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Valoración Técnica</w:t>
            </w:r>
          </w:p>
        </w:tc>
      </w:tr>
      <w:tr w:rsidR="00D2002A" w:rsidRPr="00C8495C" w14:paraId="16517911" w14:textId="77777777" w:rsidTr="00596BE2">
        <w:trPr>
          <w:jc w:val="center"/>
        </w:trPr>
        <w:tc>
          <w:tcPr>
            <w:tcW w:w="4414" w:type="dxa"/>
            <w:vAlign w:val="center"/>
          </w:tcPr>
          <w:p w14:paraId="2FB5B1E3" w14:textId="1CE79A0E"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68761D5D" w14:textId="4CD866C7"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Autorización en materia de protección civil, para la compra-venta al menudeo de juguetería pirotécnica de bajo riesgo de origen nacional, para compra, almacenamiento y consumo de sustancias químicas para la fabricación, almacenamiento y venta de artificio</w:t>
            </w:r>
          </w:p>
        </w:tc>
      </w:tr>
      <w:tr w:rsidR="00D2002A" w:rsidRPr="00C8495C" w14:paraId="041D90C0" w14:textId="77777777" w:rsidTr="00596BE2">
        <w:trPr>
          <w:jc w:val="center"/>
        </w:trPr>
        <w:tc>
          <w:tcPr>
            <w:tcW w:w="4414" w:type="dxa"/>
            <w:vAlign w:val="center"/>
          </w:tcPr>
          <w:p w14:paraId="4E9E3374" w14:textId="7DBA5147"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2628BE69" w14:textId="50DBDC9C"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Emisión de opiniones favorables para la compraventa de pólvoras deportivas fulminantes y demás proyectiles impulsados por la deflagración de pólvora; compraventa de sustancias químicas; funcionamiento de los campos de tiro; transporte especializado de …</w:t>
            </w:r>
          </w:p>
        </w:tc>
      </w:tr>
      <w:tr w:rsidR="00D2002A" w:rsidRPr="00C8495C" w14:paraId="7E9B292E" w14:textId="77777777" w:rsidTr="00596BE2">
        <w:trPr>
          <w:jc w:val="center"/>
        </w:trPr>
        <w:tc>
          <w:tcPr>
            <w:tcW w:w="4414" w:type="dxa"/>
            <w:vAlign w:val="center"/>
          </w:tcPr>
          <w:p w14:paraId="7D46B79D" w14:textId="534F2671"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1CFF0623" w14:textId="58688BA5"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Trámite de Evaluación Técnica de Protección Civil y/o Dictamen de Protección Civil</w:t>
            </w:r>
          </w:p>
        </w:tc>
      </w:tr>
      <w:tr w:rsidR="00D2002A" w:rsidRPr="00C8495C" w14:paraId="60897CA1" w14:textId="77777777" w:rsidTr="00596BE2">
        <w:trPr>
          <w:jc w:val="center"/>
        </w:trPr>
        <w:tc>
          <w:tcPr>
            <w:tcW w:w="4414" w:type="dxa"/>
            <w:vAlign w:val="center"/>
          </w:tcPr>
          <w:p w14:paraId="2187B9F5" w14:textId="06F073EC"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Coordinación General de Protección Civil</w:t>
            </w:r>
          </w:p>
        </w:tc>
        <w:tc>
          <w:tcPr>
            <w:tcW w:w="4414" w:type="dxa"/>
            <w:vAlign w:val="center"/>
          </w:tcPr>
          <w:p w14:paraId="6EF5A360" w14:textId="2EECD5F0"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Fichas de Inscripción del Taller de Verano de Protección Civil</w:t>
            </w:r>
          </w:p>
        </w:tc>
      </w:tr>
      <w:tr w:rsidR="00D2002A" w:rsidRPr="00C8495C" w14:paraId="741E9215" w14:textId="77777777" w:rsidTr="00596BE2">
        <w:trPr>
          <w:jc w:val="center"/>
        </w:trPr>
        <w:tc>
          <w:tcPr>
            <w:tcW w:w="4414" w:type="dxa"/>
            <w:vAlign w:val="center"/>
          </w:tcPr>
          <w:p w14:paraId="157F15EA" w14:textId="284CE684"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Consejo Estatal de Población</w:t>
            </w:r>
          </w:p>
        </w:tc>
        <w:tc>
          <w:tcPr>
            <w:tcW w:w="4414" w:type="dxa"/>
            <w:vAlign w:val="center"/>
          </w:tcPr>
          <w:p w14:paraId="47787B4A" w14:textId="38BA12A0"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Solicitud de Información Sociodemográfica del Estado de México</w:t>
            </w:r>
          </w:p>
        </w:tc>
      </w:tr>
      <w:tr w:rsidR="00D2002A" w:rsidRPr="00C8495C" w14:paraId="00C8DD50" w14:textId="77777777" w:rsidTr="00596BE2">
        <w:trPr>
          <w:jc w:val="center"/>
        </w:trPr>
        <w:tc>
          <w:tcPr>
            <w:tcW w:w="4414" w:type="dxa"/>
            <w:vAlign w:val="center"/>
          </w:tcPr>
          <w:p w14:paraId="53D7256A" w14:textId="4CD53434"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Desarrollo Político</w:t>
            </w:r>
          </w:p>
        </w:tc>
        <w:tc>
          <w:tcPr>
            <w:tcW w:w="4414" w:type="dxa"/>
            <w:vAlign w:val="center"/>
          </w:tcPr>
          <w:p w14:paraId="7FC34206" w14:textId="3F8A3275"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Asesoría para la constitución legal de Organizaciones de la Sociedad Civil</w:t>
            </w:r>
          </w:p>
        </w:tc>
      </w:tr>
      <w:tr w:rsidR="00D2002A" w:rsidRPr="00C8495C" w14:paraId="2780347C" w14:textId="77777777" w:rsidTr="00596BE2">
        <w:trPr>
          <w:jc w:val="center"/>
        </w:trPr>
        <w:tc>
          <w:tcPr>
            <w:tcW w:w="4414" w:type="dxa"/>
            <w:vAlign w:val="center"/>
          </w:tcPr>
          <w:p w14:paraId="34DF06BA" w14:textId="0DFD6C9C"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Consejo Estatal de Población</w:t>
            </w:r>
          </w:p>
        </w:tc>
        <w:tc>
          <w:tcPr>
            <w:tcW w:w="4414" w:type="dxa"/>
            <w:vAlign w:val="center"/>
          </w:tcPr>
          <w:p w14:paraId="6B11DE0B" w14:textId="575CCAAD"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Solicitudes de Participantes a los Concursos Estatales de Fotografía y al Concurso Nacional de Dibujo y Pintura, que organiza el Consejo Estatal de Población y el Consejo Nacional de Población</w:t>
            </w:r>
          </w:p>
        </w:tc>
      </w:tr>
      <w:tr w:rsidR="00D2002A" w:rsidRPr="00C8495C" w14:paraId="5AD00741" w14:textId="77777777" w:rsidTr="00596BE2">
        <w:trPr>
          <w:jc w:val="center"/>
        </w:trPr>
        <w:tc>
          <w:tcPr>
            <w:tcW w:w="4414" w:type="dxa"/>
            <w:vAlign w:val="center"/>
          </w:tcPr>
          <w:p w14:paraId="7C6A4B3D" w14:textId="573E34DB"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Subsecretaría de Desarrollo Político</w:t>
            </w:r>
          </w:p>
        </w:tc>
        <w:tc>
          <w:tcPr>
            <w:tcW w:w="4414" w:type="dxa"/>
            <w:vAlign w:val="center"/>
          </w:tcPr>
          <w:p w14:paraId="14D56D55" w14:textId="25FA9387" w:rsidR="00D2002A" w:rsidRPr="00C8495C" w:rsidRDefault="00D2002A" w:rsidP="00D2002A">
            <w:pPr>
              <w:pStyle w:val="Prrafodelista"/>
              <w:tabs>
                <w:tab w:val="left" w:pos="426"/>
              </w:tabs>
              <w:ind w:left="0" w:right="51"/>
              <w:jc w:val="center"/>
              <w:rPr>
                <w:rFonts w:ascii="Palatino Linotype" w:hAnsi="Palatino Linotype"/>
                <w:color w:val="000000" w:themeColor="text1"/>
                <w:sz w:val="20"/>
                <w:szCs w:val="20"/>
              </w:rPr>
            </w:pPr>
            <w:r w:rsidRPr="00C8495C">
              <w:rPr>
                <w:rFonts w:ascii="Palatino Linotype" w:hAnsi="Palatino Linotype"/>
                <w:color w:val="000000" w:themeColor="text1"/>
                <w:sz w:val="20"/>
                <w:szCs w:val="20"/>
              </w:rPr>
              <w:t>Plataforma de Diagnóstico Organizacional</w:t>
            </w:r>
          </w:p>
        </w:tc>
      </w:tr>
    </w:tbl>
    <w:p w14:paraId="4996DA3D" w14:textId="77777777" w:rsidR="00596BE2" w:rsidRPr="00C8495C" w:rsidRDefault="00596BE2" w:rsidP="00596BE2">
      <w:pPr>
        <w:pStyle w:val="Prrafodelista"/>
        <w:tabs>
          <w:tab w:val="left" w:pos="426"/>
        </w:tabs>
        <w:spacing w:before="240" w:after="240" w:line="360" w:lineRule="auto"/>
        <w:ind w:left="0" w:right="51"/>
        <w:jc w:val="center"/>
        <w:rPr>
          <w:rFonts w:ascii="Palatino Linotype" w:hAnsi="Palatino Linotype"/>
          <w:color w:val="000000" w:themeColor="text1"/>
        </w:rPr>
      </w:pPr>
    </w:p>
    <w:p w14:paraId="3B3F3CF6" w14:textId="77777777" w:rsidR="00596BE2" w:rsidRPr="00C8495C" w:rsidRDefault="00596BE2" w:rsidP="00596BE2">
      <w:pPr>
        <w:pStyle w:val="Prrafodelista"/>
        <w:tabs>
          <w:tab w:val="left" w:pos="426"/>
        </w:tabs>
        <w:spacing w:before="240" w:after="240" w:line="360" w:lineRule="auto"/>
        <w:ind w:left="0" w:right="51"/>
        <w:jc w:val="both"/>
        <w:rPr>
          <w:rFonts w:ascii="Palatino Linotype" w:hAnsi="Palatino Linotype"/>
          <w:color w:val="000000" w:themeColor="text1"/>
        </w:rPr>
      </w:pPr>
    </w:p>
    <w:p w14:paraId="40C88774" w14:textId="065856E5" w:rsidR="00596BE2" w:rsidRPr="00C8495C" w:rsidRDefault="00D2002A"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lastRenderedPageBreak/>
        <w:t xml:space="preserve">Finalmente, el </w:t>
      </w:r>
      <w:r w:rsidRPr="00C8495C">
        <w:rPr>
          <w:rFonts w:ascii="Palatino Linotype" w:hAnsi="Palatino Linotype"/>
          <w:b/>
          <w:color w:val="000000" w:themeColor="text1"/>
        </w:rPr>
        <w:t>SUJETO OBLIGADO</w:t>
      </w:r>
      <w:r w:rsidRPr="00C8495C">
        <w:rPr>
          <w:rFonts w:ascii="Palatino Linotype" w:hAnsi="Palatino Linotype"/>
          <w:color w:val="000000" w:themeColor="text1"/>
        </w:rPr>
        <w:t xml:space="preserve"> entregó, también, un total de 40 Documentos de Seguridad, en versión pública, de los siguientes sistemas y bases de datos personales:</w:t>
      </w:r>
    </w:p>
    <w:p w14:paraId="060A54BB" w14:textId="11A740A1" w:rsidR="00D2002A"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Solicitud de información sociodemográfica del Estado de México (digital);</w:t>
      </w:r>
    </w:p>
    <w:p w14:paraId="13D34939" w14:textId="6575F304" w:rsidR="00D2002A"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Plantilla de plazas del personal que labora en la Coordinación General de Protección Civil;</w:t>
      </w:r>
    </w:p>
    <w:p w14:paraId="5E63A150" w14:textId="7E3B2414"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de Desarrollo Político;</w:t>
      </w:r>
    </w:p>
    <w:p w14:paraId="2E6FAFA4" w14:textId="7B0A3D51"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Asesoría para la constitución legal de organizaciones de la sociedad civil;</w:t>
      </w:r>
    </w:p>
    <w:p w14:paraId="25A1B3E5" w14:textId="5A46BCEC"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Plataforma de diagnóstico organizacional;</w:t>
      </w:r>
    </w:p>
    <w:p w14:paraId="61C28939" w14:textId="4354B8D5"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Padrón de consultores externos. Coordinación General de Protección Civil y gestión integral del riesgo. Departamento de Capacitación Automatizada;</w:t>
      </w:r>
    </w:p>
    <w:p w14:paraId="4970BC0D" w14:textId="7CA5519C"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contratos y/o adquisición de bienes y se servicios (física);</w:t>
      </w:r>
    </w:p>
    <w:p w14:paraId="48D5C40C" w14:textId="418FA894"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 xml:space="preserve">Expedientes de personal que labora en la oficina del C. </w:t>
      </w:r>
      <w:proofErr w:type="gramStart"/>
      <w:r w:rsidRPr="00C8495C">
        <w:rPr>
          <w:rFonts w:ascii="Palatino Linotype" w:hAnsi="Palatino Linotype"/>
          <w:color w:val="000000" w:themeColor="text1"/>
        </w:rPr>
        <w:t>Secretario General</w:t>
      </w:r>
      <w:proofErr w:type="gramEnd"/>
      <w:r w:rsidRPr="00C8495C">
        <w:rPr>
          <w:rFonts w:ascii="Palatino Linotype" w:hAnsi="Palatino Linotype"/>
          <w:color w:val="000000" w:themeColor="text1"/>
        </w:rPr>
        <w:t xml:space="preserve"> de Gobierno y Áreas Staff. Sistema integral de información de personal;</w:t>
      </w:r>
    </w:p>
    <w:p w14:paraId="2EC83865" w14:textId="563536A7"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arrendamiento de inmuebles (física);</w:t>
      </w:r>
    </w:p>
    <w:p w14:paraId="6B36847D" w14:textId="590A5B6F"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proveedores de servicios para reparaciones varias (física);</w:t>
      </w:r>
    </w:p>
    <w:p w14:paraId="0A304993" w14:textId="48F496C2"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reparación y mantenimiento a vehículos oficiales (física):</w:t>
      </w:r>
    </w:p>
    <w:p w14:paraId="1ABCB182" w14:textId="4D146FD6"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 xml:space="preserve">Expedientes de peticiones ciudadanas dirigidas al C. </w:t>
      </w:r>
      <w:proofErr w:type="gramStart"/>
      <w:r w:rsidRPr="00C8495C">
        <w:rPr>
          <w:rFonts w:ascii="Palatino Linotype" w:hAnsi="Palatino Linotype"/>
          <w:color w:val="000000" w:themeColor="text1"/>
        </w:rPr>
        <w:t>Secretario General</w:t>
      </w:r>
      <w:proofErr w:type="gramEnd"/>
      <w:r w:rsidRPr="00C8495C">
        <w:rPr>
          <w:rFonts w:ascii="Palatino Linotype" w:hAnsi="Palatino Linotype"/>
          <w:color w:val="000000" w:themeColor="text1"/>
        </w:rPr>
        <w:t xml:space="preserve"> de Gobierno y peticiones ciudadanas dirigidas al C. Secretario General de Gobierno, sistema de directorio;</w:t>
      </w:r>
    </w:p>
    <w:p w14:paraId="232DCED2" w14:textId="1480625A"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Análisis de vulnerabilidad y riesgo (electrónica);</w:t>
      </w:r>
    </w:p>
    <w:p w14:paraId="2333B54F" w14:textId="588FAC9E"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lastRenderedPageBreak/>
        <w:t>Análisis de vulnerabilidad y riesgo (física);</w:t>
      </w:r>
    </w:p>
    <w:p w14:paraId="26327D30" w14:textId="535FBF1F"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Asesoría para la elaboración de programas internos de protección civil a las dependencias del sector público (automatizada);</w:t>
      </w:r>
    </w:p>
    <w:p w14:paraId="08E8F472" w14:textId="33EB2949"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Autorización en materia de protección civil para la compra-venta al menudeo de juguetería pirotécnica de bajo riesgo de origen nacional; para la compra, almacenamiento y consumo de sustancias químicas; para la fabricación, almacenamiento y venta de artificios pirotécnicos;</w:t>
      </w:r>
    </w:p>
    <w:p w14:paraId="7ECF417C" w14:textId="7213748F"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Emisión de opiniones favorables para la compra-venta de pólvoras deportivas, fulminantes y proyectiles impulsados por la deflagración de pólvora; compra-venta de sustancias químicas; funcionamiento de los campos de tiro; transporte especializado de explosivos; industrias químicas de transformación; fabricación de elementos pirotécnicos; reparación de armas de fuego y gas; instalaciones en las que se realiza la compra-venta de sustancias químicas; obras de ingeniería civil; funcionamiento de clubes cinegéticos y de cacería;</w:t>
      </w:r>
    </w:p>
    <w:p w14:paraId="059E35FA" w14:textId="0923DE56"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Trámite de evaluación técnica de protección civil y/o dictamen de protección civil (física);</w:t>
      </w:r>
    </w:p>
    <w:p w14:paraId="212F0094" w14:textId="45809452"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Coordinación General de Protección Civil;</w:t>
      </w:r>
    </w:p>
    <w:p w14:paraId="509BC454" w14:textId="07B05560"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Impartición de cursos que involucren el programa básico de capacitación en materia de protección civil;</w:t>
      </w:r>
    </w:p>
    <w:p w14:paraId="0DAC5F40" w14:textId="0295741C"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Localización de personas extraviadas (LOCATEL) (automatizada);</w:t>
      </w:r>
    </w:p>
    <w:p w14:paraId="3CE28307" w14:textId="7A277080"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Fichas de inscripción del taller de verano física;</w:t>
      </w:r>
    </w:p>
    <w:p w14:paraId="37D6DD21" w14:textId="55085D7B" w:rsidR="002B5389"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Valoración técnica (física);</w:t>
      </w:r>
    </w:p>
    <w:p w14:paraId="26C1A108" w14:textId="42E13A45"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lastRenderedPageBreak/>
        <w:t>Expedientes del personal que labora en el Consejo Estatal de Población (física);</w:t>
      </w:r>
    </w:p>
    <w:p w14:paraId="5BCD640D" w14:textId="7CD691D0"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Solicitudes de participación a los Concursos Estatal de Fotografía y el Concurso Nacional de Dibujo y Pintura que organiza el Consejo Estatal de Población y el Consejo Nacional de Población;</w:t>
      </w:r>
    </w:p>
    <w:p w14:paraId="74A3070B" w14:textId="20CA60FB"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Sistema de correspondencia (SISCOR) (automatizada;</w:t>
      </w:r>
    </w:p>
    <w:p w14:paraId="0EF74724" w14:textId="6C63648B"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de Desarrollo Municipal (física);</w:t>
      </w:r>
    </w:p>
    <w:p w14:paraId="3C151691" w14:textId="7C3D8F51"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Plantilla de plazas del personal que labora en la Subsecretaría de Desarrollo Municipal;</w:t>
      </w:r>
    </w:p>
    <w:p w14:paraId="60B00D8F" w14:textId="199420D5"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General de Gobierno (física);</w:t>
      </w:r>
    </w:p>
    <w:p w14:paraId="1B88036B" w14:textId="05172185"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de Gobierno Valle de Toluca (física);</w:t>
      </w:r>
    </w:p>
    <w:p w14:paraId="636D9460" w14:textId="46D5FCCC"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Plantilla de plazas del personal que labora en la Subsecretaría de Gobierno Valle de Toluca (automatizada);</w:t>
      </w:r>
    </w:p>
    <w:p w14:paraId="1A4FFF12" w14:textId="046012FB"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Padrón de consultores externos. Coordinación General de Protección Civil y Gestión Integral del Riesgo. Departamento de Capacitación. Física;</w:t>
      </w:r>
    </w:p>
    <w:p w14:paraId="74C4EC31" w14:textId="2F645447"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Solicitud de materiales impresos sobre protección civil (automatizado);</w:t>
      </w:r>
    </w:p>
    <w:p w14:paraId="3701ED67" w14:textId="54815242"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de Gobierno Valle de México Zona Nororiente (física);</w:t>
      </w:r>
    </w:p>
    <w:p w14:paraId="003D8319" w14:textId="306D6111"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laborara en el Órgano Interno de Control;</w:t>
      </w:r>
    </w:p>
    <w:p w14:paraId="6F319407" w14:textId="3F1E5A18"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del personal que labora en la Subsecretaría de Gobierno Valle de México Zona Oriente I (física);</w:t>
      </w:r>
    </w:p>
    <w:p w14:paraId="0A733379" w14:textId="7732A10B"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lastRenderedPageBreak/>
        <w:t>Plantilla de plazas del personal que labora en la Subsecretaría de Gobierno Valle de México Zona Oriente I (electrónica);</w:t>
      </w:r>
    </w:p>
    <w:p w14:paraId="6C592D16" w14:textId="59FEADB3"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personal que labora en la Subsecretaría de Gobierno Valle de México Zona Oriente II (física);</w:t>
      </w:r>
    </w:p>
    <w:p w14:paraId="1A5AA184" w14:textId="387CFD94" w:rsidR="00ED7111" w:rsidRPr="00C8495C" w:rsidRDefault="00ED7111" w:rsidP="00D2002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Expedientes de las solicitudes de información que son ingresadas por particulares al Sistema de Acceso a la Información Mexiquense (SAIMEX) (física); y</w:t>
      </w:r>
    </w:p>
    <w:p w14:paraId="076426DE" w14:textId="44C79A73" w:rsidR="00ED7111" w:rsidRPr="00C8495C" w:rsidRDefault="00ED7111" w:rsidP="00ED71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hAnsi="Palatino Linotype"/>
          <w:color w:val="000000" w:themeColor="text1"/>
        </w:rPr>
        <w:t xml:space="preserve">Peticiones ciudadanas dirigidas al </w:t>
      </w:r>
      <w:proofErr w:type="gramStart"/>
      <w:r w:rsidRPr="00C8495C">
        <w:rPr>
          <w:rFonts w:ascii="Palatino Linotype" w:hAnsi="Palatino Linotype"/>
          <w:color w:val="000000" w:themeColor="text1"/>
        </w:rPr>
        <w:t>Secretario General</w:t>
      </w:r>
      <w:proofErr w:type="gramEnd"/>
      <w:r w:rsidRPr="00C8495C">
        <w:rPr>
          <w:rFonts w:ascii="Palatino Linotype" w:hAnsi="Palatino Linotype"/>
          <w:color w:val="000000" w:themeColor="text1"/>
        </w:rPr>
        <w:t xml:space="preserve"> de Gobierno (por municipio y por dependencia) (física).</w:t>
      </w:r>
    </w:p>
    <w:p w14:paraId="5C370DFC" w14:textId="77777777" w:rsidR="00596BE2" w:rsidRPr="00C8495C" w:rsidRDefault="00596BE2" w:rsidP="00596BE2">
      <w:pPr>
        <w:pStyle w:val="Prrafodelista"/>
        <w:tabs>
          <w:tab w:val="left" w:pos="426"/>
        </w:tabs>
        <w:spacing w:before="240" w:after="240" w:line="360" w:lineRule="auto"/>
        <w:ind w:left="0" w:right="51"/>
        <w:jc w:val="both"/>
        <w:rPr>
          <w:rFonts w:ascii="Palatino Linotype" w:hAnsi="Palatino Linotype"/>
          <w:color w:val="000000" w:themeColor="text1"/>
        </w:rPr>
      </w:pPr>
    </w:p>
    <w:p w14:paraId="6EBF97FF" w14:textId="14300D9B" w:rsidR="00364594" w:rsidRPr="00C8495C" w:rsidRDefault="00596BE2"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P</w:t>
      </w:r>
      <w:r w:rsidR="00364594" w:rsidRPr="00C8495C">
        <w:rPr>
          <w:rFonts w:ascii="Palatino Linotype" w:hAnsi="Palatino Linotype"/>
          <w:color w:val="000000" w:themeColor="text1"/>
        </w:rPr>
        <w:t>or su parte</w:t>
      </w:r>
      <w:r w:rsidR="00364594" w:rsidRPr="00C8495C">
        <w:rPr>
          <w:rFonts w:ascii="Palatino Linotype" w:eastAsia="Times New Roman" w:hAnsi="Palatino Linotype" w:cs="Arial"/>
        </w:rPr>
        <w:t xml:space="preserve">, </w:t>
      </w:r>
      <w:r w:rsidR="005766AF" w:rsidRPr="00C8495C">
        <w:rPr>
          <w:rFonts w:ascii="Palatino Linotype" w:eastAsia="Times New Roman" w:hAnsi="Palatino Linotype" w:cs="Arial"/>
        </w:rPr>
        <w:t>el</w:t>
      </w:r>
      <w:r w:rsidR="00364594" w:rsidRPr="00C8495C">
        <w:rPr>
          <w:rFonts w:ascii="Palatino Linotype" w:eastAsia="Times New Roman" w:hAnsi="Palatino Linotype" w:cs="Arial"/>
        </w:rPr>
        <w:t xml:space="preserve"> ahora </w:t>
      </w:r>
      <w:r w:rsidR="00364594" w:rsidRPr="00C8495C">
        <w:rPr>
          <w:rFonts w:ascii="Palatino Linotype" w:eastAsia="Times New Roman" w:hAnsi="Palatino Linotype" w:cs="Arial"/>
          <w:b/>
          <w:bCs/>
        </w:rPr>
        <w:t>RECURRENTE</w:t>
      </w:r>
      <w:r w:rsidR="00364594" w:rsidRPr="00C8495C">
        <w:rPr>
          <w:rFonts w:ascii="Palatino Linotype" w:eastAsia="Times New Roman" w:hAnsi="Palatino Linotype" w:cs="Arial"/>
        </w:rPr>
        <w:t xml:space="preserve"> presentó el recurso de revisión con número al rubro citado, en contra de la respuesta del </w:t>
      </w:r>
      <w:r w:rsidR="00364594" w:rsidRPr="00C8495C">
        <w:rPr>
          <w:rFonts w:ascii="Palatino Linotype" w:eastAsia="Times New Roman" w:hAnsi="Palatino Linotype" w:cs="Arial"/>
          <w:b/>
          <w:bCs/>
        </w:rPr>
        <w:t>SUJETO OBLIGADO</w:t>
      </w:r>
      <w:r w:rsidR="00364594" w:rsidRPr="00C8495C">
        <w:rPr>
          <w:rFonts w:ascii="Palatino Linotype" w:eastAsia="Times New Roman" w:hAnsi="Palatino Linotype" w:cs="Arial"/>
        </w:rPr>
        <w:t>, y en el que señaló por agravios lo siguiente:</w:t>
      </w:r>
    </w:p>
    <w:p w14:paraId="4736F345" w14:textId="60759882" w:rsidR="00364594" w:rsidRPr="00C8495C" w:rsidRDefault="00236F33" w:rsidP="0036459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C8495C">
        <w:rPr>
          <w:rFonts w:ascii="Palatino Linotype" w:eastAsia="Times New Roman" w:hAnsi="Palatino Linotype" w:cs="Arial"/>
        </w:rPr>
        <w:t>Que no se entregaron las bases de datos ni el Plan de Trabajo del Sistema de Gestión de Protección de Datos Personales</w:t>
      </w:r>
      <w:r w:rsidR="00364594" w:rsidRPr="00C8495C">
        <w:rPr>
          <w:rFonts w:ascii="Palatino Linotype" w:eastAsia="Times New Roman" w:hAnsi="Palatino Linotype" w:cs="Arial"/>
        </w:rPr>
        <w:t>.</w:t>
      </w:r>
    </w:p>
    <w:p w14:paraId="221F6B9F"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2A70662A" w14:textId="3C7C3956" w:rsidR="00364594" w:rsidRPr="00C8495C" w:rsidRDefault="00364594" w:rsidP="000206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Así las cosas</w:t>
      </w:r>
      <w:r w:rsidRPr="00C8495C">
        <w:rPr>
          <w:rFonts w:ascii="Palatino Linotype" w:eastAsia="MS Mincho" w:hAnsi="Palatino Linotype" w:cs="Times New Roman"/>
          <w:color w:val="000000"/>
        </w:rPr>
        <w:t xml:space="preserve">, por cuando hace a la respuesta proveída por el </w:t>
      </w:r>
      <w:r w:rsidRPr="00C8495C">
        <w:rPr>
          <w:rFonts w:ascii="Palatino Linotype" w:eastAsia="MS Mincho" w:hAnsi="Palatino Linotype" w:cs="Times New Roman"/>
          <w:b/>
          <w:bCs/>
          <w:color w:val="000000"/>
        </w:rPr>
        <w:t>SUJETO OBLIGADO</w:t>
      </w:r>
      <w:r w:rsidRPr="00C8495C">
        <w:rPr>
          <w:rFonts w:ascii="Palatino Linotype" w:eastAsia="MS Mincho" w:hAnsi="Palatino Linotype" w:cs="Times New Roman"/>
          <w:color w:val="000000"/>
        </w:rPr>
        <w:t xml:space="preserve"> en relación con </w:t>
      </w:r>
      <w:r w:rsidR="00236F33" w:rsidRPr="00C8495C">
        <w:rPr>
          <w:rFonts w:ascii="Palatino Linotype" w:eastAsia="MS Mincho" w:hAnsi="Palatino Linotype" w:cs="Times New Roman"/>
          <w:color w:val="000000"/>
        </w:rPr>
        <w:t xml:space="preserve">los oficios y/o documentos generados y recibidos por la Unidad de Transparencia relativos a la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inventario de las bases de datos; documentos de gestión de seguridad y documentos de seguridad de la dependencia; </w:t>
      </w:r>
      <w:r w:rsidRPr="00C8495C">
        <w:rPr>
          <w:rFonts w:ascii="Palatino Linotype" w:eastAsia="MS Mincho" w:hAnsi="Palatino Linotype" w:cs="Times New Roman"/>
          <w:color w:val="000000"/>
        </w:rPr>
        <w:t xml:space="preserve">debe </w:t>
      </w:r>
      <w:r w:rsidRPr="00C8495C">
        <w:rPr>
          <w:rFonts w:ascii="Palatino Linotype" w:eastAsia="MS Mincho" w:hAnsi="Palatino Linotype" w:cs="Times New Roman"/>
          <w:color w:val="000000"/>
        </w:rPr>
        <w:lastRenderedPageBreak/>
        <w:t xml:space="preserve">entenderse como consentida por el </w:t>
      </w:r>
      <w:r w:rsidRPr="00C8495C">
        <w:rPr>
          <w:rFonts w:ascii="Palatino Linotype" w:eastAsia="MS Mincho" w:hAnsi="Palatino Linotype" w:cs="Times New Roman"/>
          <w:b/>
          <w:bCs/>
          <w:color w:val="000000"/>
        </w:rPr>
        <w:t>RECURRENTE</w:t>
      </w:r>
      <w:r w:rsidRPr="00C8495C">
        <w:rPr>
          <w:rFonts w:ascii="Palatino Linotype" w:eastAsia="MS Mincho" w:hAnsi="Palatino Linotype" w:cs="Times New Roman"/>
          <w:color w:val="000000"/>
        </w:rPr>
        <w:t xml:space="preserve">. Ello es así, debido a que cuando los Solicitantes no expresan razón o motivo de inconformidad en contra de los rubros de las respuestas que pudieran ser un agravio a su derecho, </w:t>
      </w:r>
      <w:r w:rsidRPr="00C8495C">
        <w:rPr>
          <w:rFonts w:ascii="Palatino Linotype" w:eastAsia="MS Mincho" w:hAnsi="Palatino Linotype" w:cs="Times New Roman"/>
          <w:b/>
          <w:color w:val="000000"/>
        </w:rPr>
        <w:t>los mismos deben estimarse atendidos</w:t>
      </w:r>
      <w:r w:rsidRPr="00C8495C">
        <w:rPr>
          <w:rFonts w:ascii="Palatino Linotype" w:eastAsia="MS Mincho" w:hAnsi="Palatino Linotype" w:cs="Times New Roman"/>
          <w:color w:val="000000"/>
        </w:rPr>
        <w:t>.</w:t>
      </w:r>
    </w:p>
    <w:p w14:paraId="350C23F6"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2DCC71E1"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MS Mincho" w:hAnsi="Palatino Linotype" w:cs="Times New Roman"/>
          <w:color w:val="000000"/>
        </w:rPr>
        <w:t>Sirve de apoyo a lo anterior, por analogía, la Tesis Jurisprudencial Número 3ª./J.7/91, publicada en el Semanario Judicial de la Federación y su Gaceta bajo el número de registro 174,177, que establece lo siguiente:</w:t>
      </w:r>
    </w:p>
    <w:p w14:paraId="17399297" w14:textId="77777777" w:rsidR="00364594" w:rsidRPr="00C8495C" w:rsidRDefault="00364594" w:rsidP="00364594">
      <w:pPr>
        <w:pStyle w:val="Prrafodelista"/>
        <w:tabs>
          <w:tab w:val="left" w:pos="426"/>
        </w:tabs>
        <w:spacing w:before="240" w:line="360" w:lineRule="auto"/>
        <w:ind w:left="0" w:right="51"/>
        <w:jc w:val="both"/>
        <w:rPr>
          <w:rFonts w:ascii="Palatino Linotype" w:hAnsi="Palatino Linotype"/>
          <w:color w:val="000000" w:themeColor="text1"/>
        </w:rPr>
      </w:pPr>
    </w:p>
    <w:p w14:paraId="16B97A22" w14:textId="77777777" w:rsidR="00364594" w:rsidRPr="00C8495C" w:rsidRDefault="00364594" w:rsidP="00364594">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C8495C">
        <w:rPr>
          <w:rFonts w:ascii="Palatino Linotype" w:eastAsia="Times New Roman" w:hAnsi="Palatino Linotype" w:cs="Times New Roman"/>
          <w:b/>
          <w:i/>
          <w:sz w:val="22"/>
          <w:szCs w:val="22"/>
          <w:lang w:eastAsia="es-MX"/>
        </w:rPr>
        <w:t xml:space="preserve">REVISIÓN EN AMPARO. LOS RESOLUTIVOS NO COMBATIDOS DEBEN DECLARARSE FIRMES. </w:t>
      </w:r>
      <w:r w:rsidRPr="00C8495C">
        <w:rPr>
          <w:rFonts w:ascii="Palatino Linotype" w:eastAsia="Times New Roman" w:hAnsi="Palatino Linotype" w:cs="Times New Roman"/>
          <w:i/>
          <w:sz w:val="22"/>
          <w:szCs w:val="22"/>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8F2492"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627AD40C"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MS Mincho" w:hAnsi="Palatino Linotype" w:cs="Times New Roman"/>
          <w:color w:val="000000"/>
        </w:rPr>
        <w:t xml:space="preserve">Luego entonces, la parte de la solicitud sobre la que no se expresó inconformidad, debe declararse consentida por el hoy </w:t>
      </w:r>
      <w:r w:rsidRPr="00C8495C">
        <w:rPr>
          <w:rFonts w:ascii="Palatino Linotype" w:eastAsia="MS Mincho" w:hAnsi="Palatino Linotype" w:cs="Times New Roman"/>
          <w:b/>
          <w:color w:val="000000"/>
        </w:rPr>
        <w:t>RECURRENTE</w:t>
      </w:r>
      <w:r w:rsidRPr="00C8495C">
        <w:rPr>
          <w:rFonts w:ascii="Palatino Linotype" w:eastAsia="MS Mincho" w:hAnsi="Palatino Linotype" w:cs="Times New Roman"/>
          <w:color w:val="000000"/>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1D25B67D" w14:textId="77777777" w:rsidR="00364594" w:rsidRPr="00C8495C" w:rsidRDefault="00364594" w:rsidP="00364594">
      <w:pPr>
        <w:pStyle w:val="Prrafodelista"/>
        <w:tabs>
          <w:tab w:val="left" w:pos="426"/>
        </w:tabs>
        <w:spacing w:before="240" w:line="360" w:lineRule="auto"/>
        <w:ind w:left="0" w:right="51"/>
        <w:jc w:val="both"/>
        <w:rPr>
          <w:rFonts w:ascii="Palatino Linotype" w:hAnsi="Palatino Linotype"/>
          <w:color w:val="000000" w:themeColor="text1"/>
        </w:rPr>
      </w:pPr>
    </w:p>
    <w:p w14:paraId="4AD6A2FD" w14:textId="77777777" w:rsidR="00364594" w:rsidRPr="00C8495C" w:rsidRDefault="00364594" w:rsidP="00364594">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C8495C">
        <w:rPr>
          <w:rFonts w:ascii="Palatino Linotype" w:eastAsia="Times New Roman" w:hAnsi="Palatino Linotype" w:cs="Times New Roman"/>
          <w:b/>
          <w:i/>
          <w:sz w:val="22"/>
          <w:szCs w:val="22"/>
          <w:lang w:eastAsia="es-MX"/>
        </w:rPr>
        <w:lastRenderedPageBreak/>
        <w:t xml:space="preserve">ACTOS CONSENTIDOS. SON LOS QUE NO SE IMPUGNAN MEDIANTE EL RECURSO IDÓNEO. </w:t>
      </w:r>
      <w:r w:rsidRPr="00C8495C">
        <w:rPr>
          <w:rFonts w:ascii="Palatino Linotype" w:eastAsia="Times New Roman" w:hAnsi="Palatino Linotype" w:cs="Times New Roman"/>
          <w:i/>
          <w:sz w:val="22"/>
          <w:szCs w:val="22"/>
          <w:lang w:eastAsia="es-MX"/>
        </w:rPr>
        <w:t xml:space="preserve">“Debe reputarse como consentido el acto que no se impugnó por el medio establecido por la ley, </w:t>
      </w:r>
      <w:proofErr w:type="gramStart"/>
      <w:r w:rsidRPr="00C8495C">
        <w:rPr>
          <w:rFonts w:ascii="Palatino Linotype" w:eastAsia="Times New Roman" w:hAnsi="Palatino Linotype" w:cs="Times New Roman"/>
          <w:i/>
          <w:sz w:val="22"/>
          <w:szCs w:val="22"/>
          <w:lang w:eastAsia="es-MX"/>
        </w:rPr>
        <w:t>ya que</w:t>
      </w:r>
      <w:proofErr w:type="gramEnd"/>
      <w:r w:rsidRPr="00C8495C">
        <w:rPr>
          <w:rFonts w:ascii="Palatino Linotype" w:eastAsia="Times New Roman" w:hAnsi="Palatino Linotype" w:cs="Times New Roman"/>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37ABFD"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0564D6E1"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Una vez establecido lo anterior, conviene señalar que </w:t>
      </w:r>
      <w:r w:rsidRPr="00C8495C">
        <w:rPr>
          <w:rFonts w:ascii="Palatino Linotype" w:eastAsia="Times New Roman" w:hAnsi="Palatino Linotype" w:cs="Aria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C8495C">
        <w:rPr>
          <w:rFonts w:ascii="Palatino Linotype" w:eastAsia="Times New Roman" w:hAnsi="Palatino Linotype" w:cs="Arial"/>
          <w:bCs/>
          <w:iCs/>
        </w:rPr>
        <w:t>SAIMEX</w:t>
      </w:r>
      <w:r w:rsidRPr="00C8495C">
        <w:rPr>
          <w:rFonts w:ascii="Palatino Linotype" w:eastAsia="Times New Roman" w:hAnsi="Palatino Linotype" w:cs="Arial"/>
        </w:rPr>
        <w:t>.</w:t>
      </w:r>
    </w:p>
    <w:p w14:paraId="089430B6"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381D67B8"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Sirve </w:t>
      </w:r>
      <w:r w:rsidRPr="00C8495C">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5B20E11F" w14:textId="77777777" w:rsidR="00364594" w:rsidRPr="00C8495C" w:rsidRDefault="00364594" w:rsidP="00364594">
      <w:pPr>
        <w:pStyle w:val="Prrafodelista"/>
        <w:tabs>
          <w:tab w:val="left" w:pos="426"/>
        </w:tabs>
        <w:spacing w:before="240" w:line="360" w:lineRule="auto"/>
        <w:ind w:left="0" w:right="51"/>
        <w:jc w:val="both"/>
        <w:rPr>
          <w:rFonts w:ascii="Palatino Linotype" w:hAnsi="Palatino Linotype"/>
          <w:color w:val="000000" w:themeColor="text1"/>
        </w:rPr>
      </w:pPr>
    </w:p>
    <w:p w14:paraId="176955F4" w14:textId="77777777" w:rsidR="00364594" w:rsidRPr="00C8495C" w:rsidRDefault="00364594" w:rsidP="00364594">
      <w:pPr>
        <w:pStyle w:val="Default"/>
        <w:spacing w:after="360" w:line="276" w:lineRule="auto"/>
        <w:ind w:left="567" w:right="567"/>
        <w:jc w:val="both"/>
        <w:rPr>
          <w:rFonts w:ascii="Palatino Linotype" w:hAnsi="Palatino Linotype"/>
          <w:sz w:val="22"/>
          <w:szCs w:val="20"/>
        </w:rPr>
      </w:pPr>
      <w:r w:rsidRPr="00C8495C">
        <w:rPr>
          <w:rFonts w:ascii="Palatino Linotype" w:hAnsi="Palatino Linotype"/>
          <w:b/>
          <w:i/>
          <w:sz w:val="22"/>
          <w:szCs w:val="20"/>
        </w:rPr>
        <w:t>EL INSTITUTO FEDERAL DE ACCESO A LA INFORMACIÓN Y PROTECCIÓN DE DATOS</w:t>
      </w:r>
      <w:r w:rsidRPr="00C8495C">
        <w:rPr>
          <w:rFonts w:ascii="Palatino Linotype" w:hAnsi="Palatino Linotype"/>
          <w:i/>
          <w:sz w:val="22"/>
          <w:szCs w:val="20"/>
        </w:rPr>
        <w:t xml:space="preserve"> </w:t>
      </w:r>
      <w:r w:rsidRPr="00C8495C">
        <w:rPr>
          <w:rFonts w:ascii="Palatino Linotype" w:hAnsi="Palatino Linotype"/>
          <w:b/>
          <w:i/>
          <w:sz w:val="22"/>
          <w:szCs w:val="20"/>
        </w:rPr>
        <w:t>NO CUENTA CON FACULTADES PARA PRONUNCIARSE RESPECTO DE LA VERACIDAD DE LOS DOCUMENTOS PROPORCIONADOS POR LOS SUJETOS OBLIGADOS.</w:t>
      </w:r>
      <w:r w:rsidRPr="00C8495C">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8495C">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C8495C">
        <w:rPr>
          <w:rFonts w:ascii="Palatino Linotype" w:hAnsi="Palatino Linotype"/>
          <w:i/>
          <w:sz w:val="22"/>
          <w:szCs w:val="20"/>
        </w:rPr>
        <w:t xml:space="preserve">, en virtud de que en los artículos 49 y 50 de la Ley Federal de </w:t>
      </w:r>
      <w:r w:rsidRPr="00C8495C">
        <w:rPr>
          <w:rFonts w:ascii="Palatino Linotype" w:hAnsi="Palatino Linotype"/>
          <w:i/>
          <w:sz w:val="22"/>
          <w:szCs w:val="20"/>
        </w:rPr>
        <w:lastRenderedPageBreak/>
        <w:t>Transparencia y Acceso a la Información Pública Gubernamental no se prevé una causal que permita al Instituto Federal de Acceso a la Información y Protección de Datos conocer, vía recurso revisión, al respecto.”</w:t>
      </w:r>
      <w:r w:rsidRPr="00C8495C">
        <w:rPr>
          <w:rFonts w:ascii="Palatino Linotype" w:hAnsi="Palatino Linotype"/>
          <w:i/>
          <w:sz w:val="22"/>
          <w:szCs w:val="20"/>
        </w:rPr>
        <w:br/>
      </w:r>
      <w:r w:rsidRPr="00C8495C">
        <w:rPr>
          <w:rFonts w:ascii="Palatino Linotype" w:hAnsi="Palatino Linotype"/>
          <w:sz w:val="22"/>
          <w:szCs w:val="20"/>
        </w:rPr>
        <w:t>(Énfasis añadido)</w:t>
      </w:r>
    </w:p>
    <w:p w14:paraId="3F133680"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5F1EA391"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En </w:t>
      </w:r>
      <w:r w:rsidRPr="00C8495C">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3575CE10" w14:textId="77777777" w:rsidR="00364594" w:rsidRPr="00C8495C" w:rsidRDefault="00364594" w:rsidP="00364594">
      <w:pPr>
        <w:pStyle w:val="Prrafodelista"/>
        <w:tabs>
          <w:tab w:val="left" w:pos="426"/>
        </w:tabs>
        <w:spacing w:before="240" w:line="360" w:lineRule="auto"/>
        <w:ind w:left="0" w:right="51"/>
        <w:jc w:val="both"/>
        <w:rPr>
          <w:rFonts w:ascii="Palatino Linotype" w:hAnsi="Palatino Linotype"/>
          <w:color w:val="000000" w:themeColor="text1"/>
        </w:rPr>
      </w:pPr>
    </w:p>
    <w:p w14:paraId="036F143B" w14:textId="77777777" w:rsidR="00364594" w:rsidRPr="00C8495C" w:rsidRDefault="00364594" w:rsidP="00364594">
      <w:pPr>
        <w:pStyle w:val="Prrafodelista"/>
        <w:spacing w:line="276" w:lineRule="auto"/>
        <w:ind w:left="567" w:right="567"/>
        <w:jc w:val="both"/>
        <w:rPr>
          <w:rFonts w:ascii="Palatino Linotype" w:hAnsi="Palatino Linotype" w:cs="Arial"/>
          <w:b/>
          <w:i/>
          <w:sz w:val="22"/>
          <w:szCs w:val="22"/>
        </w:rPr>
      </w:pPr>
      <w:r w:rsidRPr="00C8495C">
        <w:rPr>
          <w:rFonts w:ascii="Palatino Linotype" w:hAnsi="Palatino Linotype" w:cs="Arial"/>
          <w:b/>
          <w:i/>
          <w:sz w:val="22"/>
          <w:szCs w:val="22"/>
        </w:rPr>
        <w:t>Artículo 3.-</w:t>
      </w:r>
      <w:r w:rsidRPr="00C8495C">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C8495C">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5767DBCC" w14:textId="77777777" w:rsidR="00364594" w:rsidRPr="00C8495C" w:rsidRDefault="00364594" w:rsidP="00364594">
      <w:pPr>
        <w:pStyle w:val="Prrafodelista"/>
        <w:spacing w:line="276" w:lineRule="auto"/>
        <w:ind w:left="567" w:right="567"/>
        <w:jc w:val="both"/>
        <w:rPr>
          <w:rFonts w:ascii="Palatino Linotype" w:hAnsi="Palatino Linotype" w:cs="Arial"/>
          <w:iCs/>
          <w:sz w:val="22"/>
          <w:szCs w:val="22"/>
        </w:rPr>
      </w:pPr>
      <w:r w:rsidRPr="00C8495C">
        <w:rPr>
          <w:rFonts w:ascii="Palatino Linotype" w:hAnsi="Palatino Linotype" w:cs="Arial"/>
          <w:iCs/>
          <w:sz w:val="22"/>
          <w:szCs w:val="22"/>
        </w:rPr>
        <w:t>(Énfasis añadido)</w:t>
      </w:r>
    </w:p>
    <w:p w14:paraId="4667FC12"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1E3E2C03" w14:textId="77777777"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Disposiciones que compelen al </w:t>
      </w:r>
      <w:r w:rsidRPr="00C8495C">
        <w:rPr>
          <w:rFonts w:ascii="Palatino Linotype" w:hAnsi="Palatino Linotype"/>
          <w:b/>
          <w:color w:val="000000" w:themeColor="text1"/>
        </w:rPr>
        <w:t>SUJETO OBLIGADO</w:t>
      </w:r>
      <w:r w:rsidRPr="00C8495C">
        <w:rPr>
          <w:rFonts w:ascii="Palatino Linotype" w:hAnsi="Palatino Linotype"/>
          <w:color w:val="000000" w:themeColor="text1"/>
        </w:rPr>
        <w:t xml:space="preserve"> a apegarse en todo momento a los criterios ya expuestos, impidiendo a este Órgano Colegiado cuestionar la veracidad de la información.</w:t>
      </w:r>
    </w:p>
    <w:p w14:paraId="522B3107"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5E04AD63" w14:textId="0AA5701D" w:rsidR="00364594" w:rsidRPr="00C8495C" w:rsidRDefault="00364594" w:rsidP="003645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Razón de lo anterior, se procederá a analizar la naturaleza de lo solicitado, así como</w:t>
      </w:r>
      <w:r w:rsidR="00236F33" w:rsidRPr="00C8495C">
        <w:rPr>
          <w:rFonts w:ascii="Palatino Linotype" w:hAnsi="Palatino Linotype"/>
          <w:color w:val="000000" w:themeColor="text1"/>
        </w:rPr>
        <w:t xml:space="preserve"> la competencia de la Secretaría General de Gobierno</w:t>
      </w:r>
      <w:r w:rsidRPr="00C8495C">
        <w:rPr>
          <w:rFonts w:ascii="Palatino Linotype" w:hAnsi="Palatino Linotype"/>
          <w:color w:val="000000" w:themeColor="text1"/>
        </w:rPr>
        <w:t xml:space="preserve"> para poseer, generar y/o administrar la información, y con ello determinar si, con su respuesta, el </w:t>
      </w:r>
      <w:r w:rsidRPr="00C8495C">
        <w:rPr>
          <w:rFonts w:ascii="Palatino Linotype" w:hAnsi="Palatino Linotype"/>
          <w:b/>
          <w:bCs/>
          <w:color w:val="000000" w:themeColor="text1"/>
        </w:rPr>
        <w:t xml:space="preserve">SUJETO </w:t>
      </w:r>
      <w:r w:rsidRPr="00C8495C">
        <w:rPr>
          <w:rFonts w:ascii="Palatino Linotype" w:hAnsi="Palatino Linotype"/>
          <w:b/>
          <w:bCs/>
          <w:color w:val="000000" w:themeColor="text1"/>
        </w:rPr>
        <w:lastRenderedPageBreak/>
        <w:t>OBLIGADO</w:t>
      </w:r>
      <w:r w:rsidRPr="00C8495C">
        <w:rPr>
          <w:rFonts w:ascii="Palatino Linotype" w:hAnsi="Palatino Linotype"/>
          <w:color w:val="000000" w:themeColor="text1"/>
        </w:rPr>
        <w:t xml:space="preserve"> logró colmar el derecho de acceso a la información ejercido por el particular o, </w:t>
      </w:r>
      <w:proofErr w:type="gramStart"/>
      <w:r w:rsidRPr="00C8495C">
        <w:rPr>
          <w:rFonts w:ascii="Palatino Linotype" w:hAnsi="Palatino Linotype"/>
          <w:color w:val="000000" w:themeColor="text1"/>
        </w:rPr>
        <w:t>si</w:t>
      </w:r>
      <w:proofErr w:type="gramEnd"/>
      <w:r w:rsidRPr="00C8495C">
        <w:rPr>
          <w:rFonts w:ascii="Palatino Linotype" w:hAnsi="Palatino Linotype"/>
          <w:color w:val="000000" w:themeColor="text1"/>
        </w:rPr>
        <w:t xml:space="preserve"> por el contrario, procede el ordenar la entrega de información. </w:t>
      </w:r>
    </w:p>
    <w:p w14:paraId="747C929E"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6A11A790" w14:textId="77777777" w:rsidR="00364594" w:rsidRPr="00C8495C" w:rsidRDefault="00364594" w:rsidP="0036459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495C">
        <w:rPr>
          <w:rFonts w:ascii="Palatino Linotype" w:hAnsi="Palatino Linotype"/>
          <w:b/>
          <w:bCs/>
          <w:color w:val="000000" w:themeColor="text1"/>
        </w:rPr>
        <w:t>III. De la competencia del SUJETO OBLIGADO para poseer, generar y/o administrar la información solicitada.</w:t>
      </w:r>
    </w:p>
    <w:p w14:paraId="42563C5E"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0156C210"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hAnsi="Palatino Linotype"/>
          <w:color w:val="000000" w:themeColor="text1"/>
        </w:rPr>
        <w:t xml:space="preserve">El artículo 16 de la Constitución Política de los Estados Unidos Mexicanos, en su párrafo segundo, establece que </w:t>
      </w:r>
      <w:r w:rsidRPr="00C8495C">
        <w:rPr>
          <w:rFonts w:ascii="Palatino Linotype" w:hAnsi="Palatino Linotype"/>
          <w:b/>
          <w:bCs/>
          <w:color w:val="000000" w:themeColor="text1"/>
        </w:rPr>
        <w:t>toda persona tiene derecho a la protección de sus datos personales</w:t>
      </w:r>
      <w:r w:rsidRPr="00C8495C">
        <w:rPr>
          <w:rFonts w:ascii="Palatino Linotype" w:hAnsi="Palatino Linotype"/>
          <w:color w:val="000000" w:themeColor="text1"/>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85F801A"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2C270AB"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hAnsi="Palatino Linotype"/>
          <w:color w:val="000000" w:themeColor="text1"/>
        </w:rPr>
        <w:t>Correlativo a lo anterior, la Constitución Política del Estado Libre y Soberano de México, en su párrafo trigésimo tercero, fracción II, señala que la información referente a la intimidad de la vida privada y la imagen de las personas será protegida a través de un marco jurídico rígido de tratamiento y manejo de datos personales, con las excepciones que establezca la ley reglamentaria.</w:t>
      </w:r>
    </w:p>
    <w:p w14:paraId="7868FB80"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2E957671" w14:textId="6E856439" w:rsidR="00364594" w:rsidRPr="00C8495C" w:rsidRDefault="00364594"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eastAsia="MS Gothic" w:hAnsi="Palatino Linotype" w:cs="Times New Roman"/>
          <w:szCs w:val="26"/>
        </w:rPr>
        <w:t xml:space="preserve">Derivado de los mandatos constitucionales antes señalados, se crea la Ley de Protección de Datos Personales en Posesión de Sujetos Obligados del Estado de México y Municipios, de orden público, interés social y observancia obligatoria en </w:t>
      </w:r>
      <w:r w:rsidRPr="00C8495C">
        <w:rPr>
          <w:rFonts w:ascii="Palatino Linotype" w:eastAsia="MS Gothic" w:hAnsi="Palatino Linotype" w:cs="Times New Roman"/>
          <w:szCs w:val="26"/>
        </w:rPr>
        <w:lastRenderedPageBreak/>
        <w:t>el Estado de México y sus Municipios</w:t>
      </w:r>
      <w:r w:rsidRPr="00C8495C">
        <w:rPr>
          <w:rStyle w:val="Refdenotaalpie"/>
          <w:rFonts w:ascii="Palatino Linotype" w:eastAsia="MS Gothic" w:hAnsi="Palatino Linotype" w:cs="Times New Roman"/>
          <w:szCs w:val="26"/>
        </w:rPr>
        <w:footnoteReference w:id="13"/>
      </w:r>
      <w:r w:rsidRPr="00C8495C">
        <w:rPr>
          <w:rFonts w:ascii="Palatino Linotype" w:eastAsia="MS Gothic" w:hAnsi="Palatino Linotype" w:cs="Times New Roman"/>
          <w:szCs w:val="26"/>
        </w:rPr>
        <w:t>; la cual tiene por objeto el establecer las bases, principios y procedimientos para tutelar y garantizar el derecho que tiene toda persona a la protección de sus datos personales, en posesión de los Sujetos Obligados</w:t>
      </w:r>
      <w:r w:rsidRPr="00C8495C">
        <w:rPr>
          <w:rStyle w:val="Refdenotaalpie"/>
          <w:rFonts w:ascii="Palatino Linotype" w:eastAsia="MS Gothic" w:hAnsi="Palatino Linotype" w:cs="Times New Roman"/>
          <w:szCs w:val="26"/>
        </w:rPr>
        <w:footnoteReference w:id="14"/>
      </w:r>
      <w:r w:rsidRPr="00C8495C">
        <w:rPr>
          <w:rFonts w:ascii="Palatino Linotype" w:eastAsia="MS Gothic" w:hAnsi="Palatino Linotype" w:cs="Times New Roman"/>
          <w:szCs w:val="26"/>
        </w:rPr>
        <w:t>.</w:t>
      </w:r>
    </w:p>
    <w:p w14:paraId="6A6170F1" w14:textId="77777777" w:rsidR="00364594" w:rsidRPr="00C8495C" w:rsidRDefault="00364594" w:rsidP="00364594">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42C68998"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bCs/>
          <w:szCs w:val="26"/>
        </w:rPr>
      </w:pPr>
      <w:r w:rsidRPr="00C8495C">
        <w:rPr>
          <w:rFonts w:ascii="Palatino Linotype" w:eastAsia="MS Gothic" w:hAnsi="Palatino Linotype" w:cs="Times New Roman"/>
          <w:b/>
          <w:bCs/>
          <w:szCs w:val="26"/>
        </w:rPr>
        <w:t>III.I Del Sistema de Gestión de Protección de Datos Personales.</w:t>
      </w:r>
    </w:p>
    <w:p w14:paraId="09462930" w14:textId="77777777" w:rsidR="00364594" w:rsidRPr="00C8495C" w:rsidRDefault="00364594" w:rsidP="00364594">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2B81F913"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hAnsi="Palatino Linotype"/>
          <w:lang w:val="es-ES"/>
        </w:rPr>
        <w:t xml:space="preserve">Ahora </w:t>
      </w:r>
      <w:r w:rsidRPr="00C8495C">
        <w:rPr>
          <w:rFonts w:ascii="Palatino Linotype" w:eastAsia="MS Gothic" w:hAnsi="Palatino Linotype" w:cs="Times New Roman"/>
          <w:szCs w:val="26"/>
        </w:rPr>
        <w:t xml:space="preserve">bien, con independencia del tipo de sistema y base de datos en el que se encuentren los datos personales o el tipo de tratamiento que se efectúe, </w:t>
      </w:r>
      <w:r w:rsidRPr="00C8495C">
        <w:rPr>
          <w:rFonts w:ascii="Palatino Linotype" w:eastAsia="MS Gothic" w:hAnsi="Palatino Linotype" w:cs="Times New Roman"/>
          <w:b/>
          <w:bCs/>
          <w:szCs w:val="26"/>
        </w:rPr>
        <w:t xml:space="preserve">el responsable adoptará, establecerá, mantendrá y documentará las </w:t>
      </w:r>
      <w:r w:rsidRPr="00C8495C">
        <w:rPr>
          <w:rFonts w:ascii="Palatino Linotype" w:eastAsia="MS Gothic" w:hAnsi="Palatino Linotype" w:cs="Times New Roman"/>
          <w:b/>
          <w:bCs/>
          <w:szCs w:val="26"/>
          <w:u w:val="single"/>
        </w:rPr>
        <w:t>medidas de seguridad</w:t>
      </w:r>
      <w:r w:rsidRPr="00C8495C">
        <w:rPr>
          <w:rFonts w:ascii="Palatino Linotype" w:eastAsia="MS Gothic" w:hAnsi="Palatino Linotype" w:cs="Times New Roman"/>
          <w:b/>
          <w:bCs/>
          <w:szCs w:val="26"/>
        </w:rPr>
        <w:t xml:space="preserve"> administrativas, físicas y técnicas para garantizar la integridad, confidencialidad y disponibilidad de los datos personales</w:t>
      </w:r>
      <w:r w:rsidRPr="00C8495C">
        <w:rPr>
          <w:rFonts w:ascii="Palatino Linotype" w:eastAsia="MS Gothic" w:hAnsi="Palatino Linotype" w:cs="Times New Roman"/>
          <w:szCs w:val="26"/>
        </w:rPr>
        <w:t>, a través de controles y acciones que eviten su daño, alteración, pérdida, destrucción, o el uso, transferencia, acceso o cualquier tratamiento no autorizado o ilícito</w:t>
      </w:r>
      <w:r w:rsidRPr="00C8495C">
        <w:rPr>
          <w:rStyle w:val="Refdenotaalpie"/>
          <w:rFonts w:ascii="Palatino Linotype" w:eastAsia="MS Gothic" w:hAnsi="Palatino Linotype" w:cs="Times New Roman"/>
          <w:szCs w:val="26"/>
        </w:rPr>
        <w:footnoteReference w:id="15"/>
      </w:r>
      <w:r w:rsidRPr="00C8495C">
        <w:rPr>
          <w:rFonts w:ascii="Palatino Linotype" w:eastAsia="MS Gothic" w:hAnsi="Palatino Linotype" w:cs="Times New Roman"/>
          <w:szCs w:val="26"/>
        </w:rPr>
        <w:t>.</w:t>
      </w:r>
    </w:p>
    <w:p w14:paraId="343D1BC1"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275E8A64"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b/>
          <w:bCs/>
          <w:szCs w:val="26"/>
        </w:rPr>
        <w:t>Las medidas de seguridad</w:t>
      </w:r>
      <w:r w:rsidRPr="00C8495C">
        <w:rPr>
          <w:rFonts w:ascii="Palatino Linotype" w:eastAsia="MS Gothic" w:hAnsi="Palatino Linotype" w:cs="Times New Roman"/>
          <w:szCs w:val="26"/>
        </w:rPr>
        <w:t xml:space="preserve"> reconocidas en el Título Tercero de la Ley de Protección de Datos Personales en Posesión de Sujetos Obligados del Estado de México y Municipios, </w:t>
      </w:r>
      <w:r w:rsidRPr="00C8495C">
        <w:rPr>
          <w:rFonts w:ascii="Palatino Linotype" w:eastAsia="MS Gothic" w:hAnsi="Palatino Linotype" w:cs="Times New Roman"/>
          <w:b/>
          <w:bCs/>
          <w:szCs w:val="26"/>
        </w:rPr>
        <w:t>constituyen mínimos exigibles</w:t>
      </w:r>
      <w:r w:rsidRPr="00C8495C">
        <w:rPr>
          <w:rFonts w:ascii="Palatino Linotype" w:eastAsia="MS Gothic" w:hAnsi="Palatino Linotype" w:cs="Times New Roman"/>
          <w:szCs w:val="26"/>
        </w:rPr>
        <w:t xml:space="preserve">, por lo que el </w:t>
      </w:r>
      <w:r w:rsidRPr="00C8495C">
        <w:rPr>
          <w:rFonts w:ascii="Palatino Linotype" w:eastAsia="MS Gothic" w:hAnsi="Palatino Linotype" w:cs="Times New Roman"/>
          <w:b/>
          <w:bCs/>
          <w:szCs w:val="26"/>
        </w:rPr>
        <w:t>SUJETO OBLIGADO</w:t>
      </w:r>
      <w:r w:rsidRPr="00C8495C">
        <w:rPr>
          <w:rFonts w:ascii="Palatino Linotype" w:eastAsia="MS Gothic" w:hAnsi="Palatino Linotype" w:cs="Times New Roman"/>
          <w:szCs w:val="26"/>
        </w:rPr>
        <w:t xml:space="preserve"> deberá adoptar las medidas adicionales que estime necesarias para brindar mayor garantía en la protección y resguardo de los sistemas y bases de datos personales</w:t>
      </w:r>
      <w:r w:rsidRPr="00C8495C">
        <w:rPr>
          <w:rStyle w:val="Refdenotaalpie"/>
          <w:rFonts w:ascii="Palatino Linotype" w:eastAsia="MS Gothic" w:hAnsi="Palatino Linotype" w:cs="Times New Roman"/>
          <w:szCs w:val="26"/>
        </w:rPr>
        <w:footnoteReference w:id="16"/>
      </w:r>
      <w:r w:rsidRPr="00C8495C">
        <w:rPr>
          <w:rFonts w:ascii="Palatino Linotype" w:eastAsia="MS Gothic" w:hAnsi="Palatino Linotype" w:cs="Times New Roman"/>
          <w:szCs w:val="26"/>
        </w:rPr>
        <w:t>.</w:t>
      </w:r>
    </w:p>
    <w:p w14:paraId="70EFD88B"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C5351DE"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lastRenderedPageBreak/>
        <w:t>Cabe destacar que las medidas de seguridad que al efecto se establezcan indicarán el nombre y cargo del administrador o usuaria o usuario, según corresponda</w:t>
      </w:r>
      <w:r w:rsidRPr="00C8495C">
        <w:rPr>
          <w:rStyle w:val="Refdenotaalpie"/>
          <w:rFonts w:ascii="Palatino Linotype" w:eastAsia="MS Gothic" w:hAnsi="Palatino Linotype" w:cs="Times New Roman"/>
          <w:szCs w:val="26"/>
        </w:rPr>
        <w:footnoteReference w:id="17"/>
      </w:r>
      <w:r w:rsidRPr="00C8495C">
        <w:rPr>
          <w:rFonts w:ascii="Palatino Linotype" w:eastAsia="MS Gothic" w:hAnsi="Palatino Linotype" w:cs="Times New Roman"/>
          <w:szCs w:val="26"/>
        </w:rPr>
        <w:t>.</w:t>
      </w:r>
    </w:p>
    <w:p w14:paraId="637897C6"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246376E0"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El Sujeto Obligado responsable deberá </w:t>
      </w:r>
      <w:r w:rsidRPr="00C8495C">
        <w:rPr>
          <w:rFonts w:ascii="Palatino Linotype" w:eastAsia="MS Gothic" w:hAnsi="Palatino Linotype" w:cs="Times New Roman"/>
          <w:b/>
          <w:bCs/>
          <w:szCs w:val="26"/>
        </w:rPr>
        <w:t>adoptar</w:t>
      </w:r>
      <w:r w:rsidRPr="00C8495C">
        <w:rPr>
          <w:rFonts w:ascii="Palatino Linotype" w:eastAsia="MS Gothic" w:hAnsi="Palatino Linotype" w:cs="Times New Roman"/>
          <w:szCs w:val="26"/>
        </w:rPr>
        <w:t xml:space="preserve"> las </w:t>
      </w:r>
      <w:r w:rsidRPr="00C8495C">
        <w:rPr>
          <w:rFonts w:ascii="Palatino Linotype" w:eastAsia="MS Gothic" w:hAnsi="Palatino Linotype" w:cs="Times New Roman"/>
          <w:b/>
          <w:bCs/>
          <w:szCs w:val="26"/>
        </w:rPr>
        <w:t>medidas de seguridad</w:t>
      </w:r>
      <w:r w:rsidRPr="00C8495C">
        <w:rPr>
          <w:rFonts w:ascii="Palatino Linotype" w:eastAsia="MS Gothic" w:hAnsi="Palatino Linotype" w:cs="Times New Roman"/>
          <w:szCs w:val="26"/>
        </w:rPr>
        <w:t xml:space="preserve"> conforme a lo establecido en el artículo 44 de la Ley de Protección de Datos Personales en Posesión de Sujetos Obligados del Estado de México y Municipios, mismo que se agrega a continuación:</w:t>
      </w:r>
    </w:p>
    <w:p w14:paraId="16D43117"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656BFE4B"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b/>
          <w:bCs/>
          <w:i/>
          <w:iCs/>
          <w:sz w:val="22"/>
        </w:rPr>
      </w:pPr>
      <w:r w:rsidRPr="00C8495C">
        <w:rPr>
          <w:rFonts w:ascii="Palatino Linotype" w:eastAsia="MS Gothic" w:hAnsi="Palatino Linotype" w:cs="Times New Roman"/>
          <w:i/>
          <w:iCs/>
          <w:sz w:val="22"/>
        </w:rPr>
        <w:t>“</w:t>
      </w:r>
      <w:r w:rsidRPr="00C8495C">
        <w:rPr>
          <w:rFonts w:ascii="Palatino Linotype" w:eastAsia="MS Gothic" w:hAnsi="Palatino Linotype" w:cs="Times New Roman"/>
          <w:b/>
          <w:bCs/>
          <w:i/>
          <w:iCs/>
          <w:sz w:val="22"/>
        </w:rPr>
        <w:t xml:space="preserve">Tipos y Niveles de Seguridad </w:t>
      </w:r>
    </w:p>
    <w:p w14:paraId="7B077343"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Artículo 44.</w:t>
      </w:r>
      <w:r w:rsidRPr="00C8495C">
        <w:rPr>
          <w:rFonts w:ascii="Palatino Linotype" w:eastAsia="MS Gothic" w:hAnsi="Palatino Linotype" w:cs="Times New Roman"/>
          <w:i/>
          <w:iCs/>
          <w:sz w:val="22"/>
        </w:rPr>
        <w:t xml:space="preserve"> El responsable adoptará las medidas de seguridad, conforme a lo siguiente: </w:t>
      </w:r>
    </w:p>
    <w:p w14:paraId="67DDC062"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A. Tipos de seguridad:</w:t>
      </w:r>
      <w:r w:rsidRPr="00C8495C">
        <w:rPr>
          <w:rFonts w:ascii="Palatino Linotype" w:eastAsia="MS Gothic" w:hAnsi="Palatino Linotype" w:cs="Times New Roman"/>
          <w:i/>
          <w:iCs/>
          <w:sz w:val="22"/>
        </w:rPr>
        <w:t xml:space="preserve"> </w:t>
      </w:r>
    </w:p>
    <w:p w14:paraId="412A50EF"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 Física:</w:t>
      </w:r>
      <w:r w:rsidRPr="00C8495C">
        <w:rPr>
          <w:rFonts w:ascii="Palatino Linotype" w:eastAsia="MS Gothic" w:hAnsi="Palatino Linotype" w:cs="Times New Roman"/>
          <w:i/>
          <w:iCs/>
          <w:sz w:val="22"/>
        </w:rPr>
        <w:t xml:space="preserve"> a la medida orientada a la protección de instalaciones, equipos, soportes, sistemas o bases de datos para la prevención de riesgos por caso fortuito o causas de fuerza mayor. </w:t>
      </w:r>
    </w:p>
    <w:p w14:paraId="0F6FB8CB"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 Lógica:</w:t>
      </w:r>
      <w:r w:rsidRPr="00C8495C">
        <w:rPr>
          <w:rFonts w:ascii="Palatino Linotype" w:eastAsia="MS Gothic" w:hAnsi="Palatino Linotype" w:cs="Times New Roman"/>
          <w:i/>
          <w:iCs/>
          <w:sz w:val="22"/>
        </w:rPr>
        <w:t xml:space="preserve"> a las medidas de seguridad administrativas y de protección que permiten la identificación y autenticación de las usuarias y los usuarios autorizados para el tratamiento de los datos personales de acuerdo con su función. </w:t>
      </w:r>
    </w:p>
    <w:p w14:paraId="4C1100AA"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III. De desarrollo y aplicaciones:</w:t>
      </w:r>
      <w:r w:rsidRPr="00C8495C">
        <w:rPr>
          <w:rFonts w:ascii="Palatino Linotype" w:eastAsia="MS Gothic" w:hAnsi="Palatino Linotype" w:cs="Times New Roman"/>
          <w:i/>
          <w:iCs/>
          <w:sz w:val="22"/>
        </w:rPr>
        <w:t xml:space="preserve">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43534715"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IV. De cifrado:</w:t>
      </w:r>
      <w:r w:rsidRPr="00C8495C">
        <w:rPr>
          <w:rFonts w:ascii="Palatino Linotype" w:eastAsia="MS Gothic" w:hAnsi="Palatino Linotype" w:cs="Times New Roman"/>
          <w:i/>
          <w:iCs/>
          <w:sz w:val="22"/>
        </w:rPr>
        <w:t xml:space="preserve"> a la implementación de algoritmos, claves, contraseñas, así como dispositivos concretos de protección que garanticen la seguridad de la información. </w:t>
      </w:r>
    </w:p>
    <w:p w14:paraId="6CDADBD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V. De comunicaciones y redes:</w:t>
      </w:r>
      <w:r w:rsidRPr="00C8495C">
        <w:rPr>
          <w:rFonts w:ascii="Palatino Linotype" w:eastAsia="MS Gothic" w:hAnsi="Palatino Linotype" w:cs="Times New Roman"/>
          <w:i/>
          <w:iCs/>
          <w:sz w:val="22"/>
        </w:rPr>
        <w:t xml:space="preserve">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2331114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b/>
          <w:bCs/>
          <w:i/>
          <w:iCs/>
          <w:sz w:val="22"/>
        </w:rPr>
      </w:pPr>
      <w:r w:rsidRPr="00C8495C">
        <w:rPr>
          <w:rFonts w:ascii="Palatino Linotype" w:eastAsia="MS Gothic" w:hAnsi="Palatino Linotype" w:cs="Times New Roman"/>
          <w:b/>
          <w:bCs/>
          <w:i/>
          <w:iCs/>
          <w:sz w:val="22"/>
        </w:rPr>
        <w:t xml:space="preserve">B. Niveles de seguridad: </w:t>
      </w:r>
    </w:p>
    <w:p w14:paraId="2C7013E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lastRenderedPageBreak/>
        <w:t>I. Básico:</w:t>
      </w:r>
      <w:r w:rsidRPr="00C8495C">
        <w:rPr>
          <w:rFonts w:ascii="Palatino Linotype" w:eastAsia="MS Gothic" w:hAnsi="Palatino Linotype" w:cs="Times New Roman"/>
          <w:i/>
          <w:iCs/>
          <w:sz w:val="22"/>
        </w:rPr>
        <w:t xml:space="preserve"> a las medidas generales de seguridad cuya aplicación es obligatoria para todos los sistemas y bases de datos personales. Dichas medidas corresponden a los siguientes aspectos: </w:t>
      </w:r>
    </w:p>
    <w:p w14:paraId="62B75EBA"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a)</w:t>
      </w:r>
      <w:r w:rsidRPr="00C8495C">
        <w:rPr>
          <w:rFonts w:ascii="Palatino Linotype" w:eastAsia="MS Gothic" w:hAnsi="Palatino Linotype" w:cs="Times New Roman"/>
          <w:i/>
          <w:iCs/>
          <w:sz w:val="22"/>
        </w:rPr>
        <w:t xml:space="preserve"> Documento de seguridad. </w:t>
      </w:r>
    </w:p>
    <w:p w14:paraId="2FB9E40E"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b)</w:t>
      </w:r>
      <w:r w:rsidRPr="00C8495C">
        <w:rPr>
          <w:rFonts w:ascii="Palatino Linotype" w:eastAsia="MS Gothic" w:hAnsi="Palatino Linotype" w:cs="Times New Roman"/>
          <w:i/>
          <w:iCs/>
          <w:sz w:val="22"/>
        </w:rPr>
        <w:t xml:space="preserve"> Funciones y obligaciones del personal que intervenga en el tratamiento de las bases o sistemas de datos personales. </w:t>
      </w:r>
    </w:p>
    <w:p w14:paraId="096EC8CD"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c)</w:t>
      </w:r>
      <w:r w:rsidRPr="00C8495C">
        <w:rPr>
          <w:rFonts w:ascii="Palatino Linotype" w:eastAsia="MS Gothic" w:hAnsi="Palatino Linotype" w:cs="Times New Roman"/>
          <w:i/>
          <w:iCs/>
          <w:sz w:val="22"/>
        </w:rPr>
        <w:t xml:space="preserve"> Registro de incidencias. </w:t>
      </w:r>
    </w:p>
    <w:p w14:paraId="7A1A2088"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d)</w:t>
      </w:r>
      <w:r w:rsidRPr="00C8495C">
        <w:rPr>
          <w:rFonts w:ascii="Palatino Linotype" w:eastAsia="MS Gothic" w:hAnsi="Palatino Linotype" w:cs="Times New Roman"/>
          <w:i/>
          <w:iCs/>
          <w:sz w:val="22"/>
        </w:rPr>
        <w:t xml:space="preserve"> Identificación y autenticación. </w:t>
      </w:r>
    </w:p>
    <w:p w14:paraId="575F0D3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e)</w:t>
      </w:r>
      <w:r w:rsidRPr="00C8495C">
        <w:rPr>
          <w:rFonts w:ascii="Palatino Linotype" w:eastAsia="MS Gothic" w:hAnsi="Palatino Linotype" w:cs="Times New Roman"/>
          <w:i/>
          <w:iCs/>
          <w:sz w:val="22"/>
        </w:rPr>
        <w:t xml:space="preserve"> Control de acceso.</w:t>
      </w:r>
    </w:p>
    <w:p w14:paraId="748B1B72"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f)</w:t>
      </w:r>
      <w:r w:rsidRPr="00C8495C">
        <w:rPr>
          <w:rFonts w:ascii="Palatino Linotype" w:eastAsia="MS Gothic" w:hAnsi="Palatino Linotype" w:cs="Times New Roman"/>
          <w:i/>
          <w:iCs/>
          <w:sz w:val="22"/>
        </w:rPr>
        <w:t xml:space="preserve"> Gestión de soportes. </w:t>
      </w:r>
    </w:p>
    <w:p w14:paraId="17A8D928"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g)</w:t>
      </w:r>
      <w:r w:rsidRPr="00C8495C">
        <w:rPr>
          <w:rFonts w:ascii="Palatino Linotype" w:eastAsia="MS Gothic" w:hAnsi="Palatino Linotype" w:cs="Times New Roman"/>
          <w:i/>
          <w:iCs/>
          <w:sz w:val="22"/>
        </w:rPr>
        <w:t xml:space="preserve"> Copias de respaldo y recuperación. </w:t>
      </w:r>
    </w:p>
    <w:p w14:paraId="439F8702"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 Medio:</w:t>
      </w:r>
      <w:r w:rsidRPr="00C8495C">
        <w:rPr>
          <w:rFonts w:ascii="Palatino Linotype" w:eastAsia="MS Gothic" w:hAnsi="Palatino Linotype" w:cs="Times New Roman"/>
          <w:i/>
          <w:iCs/>
          <w:sz w:val="22"/>
        </w:rPr>
        <w:t xml:space="preserve">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Este nivel de seguridad, de manera adicional a las medidas calificadas como básicas, considera los aspectos siguientes: </w:t>
      </w:r>
    </w:p>
    <w:p w14:paraId="5A0B2966"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a)</w:t>
      </w:r>
      <w:r w:rsidRPr="00C8495C">
        <w:rPr>
          <w:rFonts w:ascii="Palatino Linotype" w:eastAsia="MS Gothic" w:hAnsi="Palatino Linotype" w:cs="Times New Roman"/>
          <w:i/>
          <w:iCs/>
          <w:sz w:val="22"/>
        </w:rPr>
        <w:t xml:space="preserve"> Responsable de seguridad. </w:t>
      </w:r>
    </w:p>
    <w:p w14:paraId="7940077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b)</w:t>
      </w:r>
      <w:r w:rsidRPr="00C8495C">
        <w:rPr>
          <w:rFonts w:ascii="Palatino Linotype" w:eastAsia="MS Gothic" w:hAnsi="Palatino Linotype" w:cs="Times New Roman"/>
          <w:i/>
          <w:iCs/>
          <w:sz w:val="22"/>
        </w:rPr>
        <w:t xml:space="preserve"> Auditoría. </w:t>
      </w:r>
    </w:p>
    <w:p w14:paraId="286A6EA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c)</w:t>
      </w:r>
      <w:r w:rsidRPr="00C8495C">
        <w:rPr>
          <w:rFonts w:ascii="Palatino Linotype" w:eastAsia="MS Gothic" w:hAnsi="Palatino Linotype" w:cs="Times New Roman"/>
          <w:i/>
          <w:iCs/>
          <w:sz w:val="22"/>
        </w:rPr>
        <w:t xml:space="preserve"> Control de acceso físico. </w:t>
      </w:r>
    </w:p>
    <w:p w14:paraId="16235555"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 xml:space="preserve">d) </w:t>
      </w:r>
      <w:r w:rsidRPr="00C8495C">
        <w:rPr>
          <w:rFonts w:ascii="Palatino Linotype" w:eastAsia="MS Gothic" w:hAnsi="Palatino Linotype" w:cs="Times New Roman"/>
          <w:i/>
          <w:iCs/>
          <w:sz w:val="22"/>
        </w:rPr>
        <w:t xml:space="preserve">Pruebas con datos reales. </w:t>
      </w:r>
    </w:p>
    <w:p w14:paraId="648D69DB"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851"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III. Alto:</w:t>
      </w:r>
      <w:r w:rsidRPr="00C8495C">
        <w:rPr>
          <w:rFonts w:ascii="Palatino Linotype" w:eastAsia="MS Gothic" w:hAnsi="Palatino Linotype" w:cs="Times New Roman"/>
          <w:i/>
          <w:iCs/>
          <w:sz w:val="22"/>
        </w:rPr>
        <w:t xml:space="preserve">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En estos casos, además de incorporar las medidas de nivel básico y medio, deberán completar las que se detallan a continuación: </w:t>
      </w:r>
    </w:p>
    <w:p w14:paraId="2022D77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a)</w:t>
      </w:r>
      <w:r w:rsidRPr="00C8495C">
        <w:rPr>
          <w:rFonts w:ascii="Palatino Linotype" w:eastAsia="MS Gothic" w:hAnsi="Palatino Linotype" w:cs="Times New Roman"/>
          <w:i/>
          <w:iCs/>
          <w:sz w:val="22"/>
        </w:rPr>
        <w:t xml:space="preserve"> Distribución de soportes. </w:t>
      </w:r>
    </w:p>
    <w:p w14:paraId="73AFDE9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b)</w:t>
      </w:r>
      <w:r w:rsidRPr="00C8495C">
        <w:rPr>
          <w:rFonts w:ascii="Palatino Linotype" w:eastAsia="MS Gothic" w:hAnsi="Palatino Linotype" w:cs="Times New Roman"/>
          <w:i/>
          <w:iCs/>
          <w:sz w:val="22"/>
        </w:rPr>
        <w:t xml:space="preserve"> Registro de acceso. </w:t>
      </w:r>
    </w:p>
    <w:p w14:paraId="3CFA5CAF"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1134"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c)</w:t>
      </w:r>
      <w:r w:rsidRPr="00C8495C">
        <w:rPr>
          <w:rFonts w:ascii="Palatino Linotype" w:eastAsia="MS Gothic" w:hAnsi="Palatino Linotype" w:cs="Times New Roman"/>
          <w:i/>
          <w:iCs/>
          <w:sz w:val="22"/>
        </w:rPr>
        <w:t xml:space="preserve"> Telecomunicaciones. </w:t>
      </w:r>
    </w:p>
    <w:p w14:paraId="6BC270BA"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i/>
          <w:iCs/>
          <w:sz w:val="22"/>
        </w:rPr>
        <w:t>Los diferentes niveles de seguridad serán establecidos atendiendo a las características propias de la información.”</w:t>
      </w:r>
    </w:p>
    <w:p w14:paraId="1D6B7088"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DC8C6AE"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lastRenderedPageBreak/>
        <w:t xml:space="preserve">A fin de considerar la </w:t>
      </w:r>
      <w:r w:rsidRPr="00C8495C">
        <w:rPr>
          <w:rFonts w:ascii="Palatino Linotype" w:eastAsia="MS Gothic" w:hAnsi="Palatino Linotype" w:cs="Times New Roman"/>
          <w:b/>
          <w:bCs/>
          <w:szCs w:val="26"/>
        </w:rPr>
        <w:t>adopción</w:t>
      </w:r>
      <w:r w:rsidRPr="00C8495C">
        <w:rPr>
          <w:rFonts w:ascii="Palatino Linotype" w:eastAsia="MS Gothic" w:hAnsi="Palatino Linotype" w:cs="Times New Roman"/>
          <w:szCs w:val="26"/>
        </w:rPr>
        <w:t xml:space="preserve"> de alguna de las </w:t>
      </w:r>
      <w:r w:rsidRPr="00C8495C">
        <w:rPr>
          <w:rFonts w:ascii="Palatino Linotype" w:eastAsia="MS Gothic" w:hAnsi="Palatino Linotype" w:cs="Times New Roman"/>
          <w:b/>
          <w:bCs/>
          <w:szCs w:val="26"/>
        </w:rPr>
        <w:t>medidas de seguridad</w:t>
      </w:r>
      <w:r w:rsidRPr="00C8495C">
        <w:rPr>
          <w:rFonts w:ascii="Palatino Linotype" w:eastAsia="MS Gothic" w:hAnsi="Palatino Linotype" w:cs="Times New Roman"/>
          <w:szCs w:val="26"/>
        </w:rPr>
        <w:t>, y su naturaleza, se deberán considerar los siguientes elementos</w:t>
      </w:r>
      <w:r w:rsidRPr="00C8495C">
        <w:rPr>
          <w:rStyle w:val="Refdenotaalpie"/>
          <w:rFonts w:ascii="Palatino Linotype" w:eastAsia="MS Gothic" w:hAnsi="Palatino Linotype" w:cs="Times New Roman"/>
          <w:szCs w:val="26"/>
        </w:rPr>
        <w:footnoteReference w:id="18"/>
      </w:r>
      <w:r w:rsidRPr="00C8495C">
        <w:rPr>
          <w:rFonts w:ascii="Palatino Linotype" w:eastAsia="MS Gothic" w:hAnsi="Palatino Linotype" w:cs="Times New Roman"/>
          <w:szCs w:val="26"/>
        </w:rPr>
        <w:t>:</w:t>
      </w:r>
    </w:p>
    <w:p w14:paraId="5A7AE0AB"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El riesgo inherente a los datos personales tratados. </w:t>
      </w:r>
    </w:p>
    <w:p w14:paraId="3709E9B2"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La sensibilidad de los datos personales tratados. </w:t>
      </w:r>
    </w:p>
    <w:p w14:paraId="125728E2"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El desarrollo tecnológico. </w:t>
      </w:r>
    </w:p>
    <w:p w14:paraId="34C82A10"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Las posibles consecuencias de una vulneración para las y los titulares.</w:t>
      </w:r>
    </w:p>
    <w:p w14:paraId="7E0277FB"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Las transferencias de datos personales que se realicen. </w:t>
      </w:r>
    </w:p>
    <w:p w14:paraId="3FC1E606"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El número de titulares. </w:t>
      </w:r>
    </w:p>
    <w:p w14:paraId="0CA2482E"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Las violaciones a la seguridad previas ocurridas en los sistemas de tratamiento. </w:t>
      </w:r>
    </w:p>
    <w:p w14:paraId="48B7B193"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El riesgo por el valor potencial cuantitativo o cualitativo que pudieran tener los datos personales tratados para una tercera persona no autorizada para su posesión.</w:t>
      </w:r>
    </w:p>
    <w:p w14:paraId="4A243C54"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6B2B39E1"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Por otro lado, a fin de </w:t>
      </w:r>
      <w:r w:rsidRPr="00C8495C">
        <w:rPr>
          <w:rFonts w:ascii="Palatino Linotype" w:eastAsia="MS Gothic" w:hAnsi="Palatino Linotype" w:cs="Times New Roman"/>
          <w:b/>
          <w:bCs/>
          <w:szCs w:val="26"/>
        </w:rPr>
        <w:t>establecer</w:t>
      </w:r>
      <w:r w:rsidRPr="00C8495C">
        <w:rPr>
          <w:rFonts w:ascii="Palatino Linotype" w:eastAsia="MS Gothic" w:hAnsi="Palatino Linotype" w:cs="Times New Roman"/>
          <w:szCs w:val="26"/>
        </w:rPr>
        <w:t xml:space="preserve"> y </w:t>
      </w:r>
      <w:r w:rsidRPr="00C8495C">
        <w:rPr>
          <w:rFonts w:ascii="Palatino Linotype" w:eastAsia="MS Gothic" w:hAnsi="Palatino Linotype" w:cs="Times New Roman"/>
          <w:b/>
          <w:bCs/>
          <w:szCs w:val="26"/>
        </w:rPr>
        <w:t>mantener</w:t>
      </w:r>
      <w:r w:rsidRPr="00C8495C">
        <w:rPr>
          <w:rFonts w:ascii="Palatino Linotype" w:eastAsia="MS Gothic" w:hAnsi="Palatino Linotype" w:cs="Times New Roman"/>
          <w:szCs w:val="26"/>
        </w:rPr>
        <w:t xml:space="preserve"> las </w:t>
      </w:r>
      <w:r w:rsidRPr="00C8495C">
        <w:rPr>
          <w:rFonts w:ascii="Palatino Linotype" w:eastAsia="MS Gothic" w:hAnsi="Palatino Linotype" w:cs="Times New Roman"/>
          <w:b/>
          <w:bCs/>
          <w:szCs w:val="26"/>
        </w:rPr>
        <w:t>medidas de seguridad</w:t>
      </w:r>
      <w:r w:rsidRPr="00C8495C">
        <w:rPr>
          <w:rFonts w:ascii="Palatino Linotype" w:eastAsia="MS Gothic" w:hAnsi="Palatino Linotype" w:cs="Times New Roman"/>
          <w:szCs w:val="26"/>
        </w:rPr>
        <w:t xml:space="preserve"> para la protección de los datos personales, el responsable </w:t>
      </w:r>
      <w:r w:rsidRPr="00C8495C">
        <w:rPr>
          <w:rFonts w:ascii="Palatino Linotype" w:eastAsia="MS Gothic" w:hAnsi="Palatino Linotype" w:cs="Times New Roman"/>
          <w:b/>
          <w:bCs/>
          <w:szCs w:val="26"/>
        </w:rPr>
        <w:t>deberá realizar</w:t>
      </w:r>
      <w:r w:rsidRPr="00C8495C">
        <w:rPr>
          <w:rFonts w:ascii="Palatino Linotype" w:eastAsia="MS Gothic" w:hAnsi="Palatino Linotype" w:cs="Times New Roman"/>
          <w:szCs w:val="26"/>
        </w:rPr>
        <w:t>, al menos, las siguientes actividades interrelacionadas</w:t>
      </w:r>
      <w:r w:rsidRPr="00C8495C">
        <w:rPr>
          <w:rStyle w:val="Refdenotaalpie"/>
          <w:rFonts w:ascii="Palatino Linotype" w:eastAsia="MS Gothic" w:hAnsi="Palatino Linotype" w:cs="Times New Roman"/>
          <w:szCs w:val="26"/>
        </w:rPr>
        <w:footnoteReference w:id="19"/>
      </w:r>
      <w:r w:rsidRPr="00C8495C">
        <w:rPr>
          <w:rFonts w:ascii="Palatino Linotype" w:eastAsia="MS Gothic" w:hAnsi="Palatino Linotype" w:cs="Times New Roman"/>
          <w:szCs w:val="26"/>
        </w:rPr>
        <w:t>:</w:t>
      </w:r>
    </w:p>
    <w:p w14:paraId="745864FF"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Crear políticas internas para la gestión y tratamiento de los datos personales, que tomen en cuenta el contexto en el que ocurren los tratamientos y el ciclo de vida de los datos personales, es decir, su obtención, uso y posterior supresión. </w:t>
      </w:r>
    </w:p>
    <w:p w14:paraId="7E277901"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Definir las funciones y obligaciones del personal involucrado en el tratamiento de datos personales. </w:t>
      </w:r>
    </w:p>
    <w:p w14:paraId="4B5A0AA2"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lastRenderedPageBreak/>
        <w:t xml:space="preserve">Elaborar un inventario de datos personales y de las bases y o sistemas de tratamiento. </w:t>
      </w:r>
    </w:p>
    <w:p w14:paraId="5856B8A6"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11F6A34E"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Realizar un análisis de brecha, comparando las medidas de seguridad existentes contra las faltantes en la organización del responsable. </w:t>
      </w:r>
    </w:p>
    <w:p w14:paraId="3DE3A980"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b/>
          <w:bCs/>
          <w:szCs w:val="26"/>
          <w:u w:val="single"/>
        </w:rPr>
        <w:t>Elaborar un plan de trabajo para la implementación de las medidas de seguridad faltantes, así como las medidas para el cumplimiento cotidiano de las políticas de gestión y tratamiento de los datos personales</w:t>
      </w:r>
      <w:r w:rsidRPr="00C8495C">
        <w:rPr>
          <w:rFonts w:ascii="Palatino Linotype" w:eastAsia="MS Gothic" w:hAnsi="Palatino Linotype" w:cs="Times New Roman"/>
          <w:szCs w:val="26"/>
        </w:rPr>
        <w:t xml:space="preserve">. </w:t>
      </w:r>
    </w:p>
    <w:p w14:paraId="61EA55E2"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Monitorear y revisar de manera periódica las medidas de seguridad implementadas, así como las amenazas y vulnerabilidades a las que están sujetos los datos personales. </w:t>
      </w:r>
    </w:p>
    <w:p w14:paraId="75EDBCC1" w14:textId="77777777" w:rsidR="00364594" w:rsidRPr="00C8495C" w:rsidRDefault="00364594" w:rsidP="00364594">
      <w:pPr>
        <w:pStyle w:val="Prrafodelista"/>
        <w:numPr>
          <w:ilvl w:val="1"/>
          <w:numId w:val="1"/>
        </w:numPr>
        <w:tabs>
          <w:tab w:val="left" w:pos="142"/>
          <w:tab w:val="left" w:pos="284"/>
          <w:tab w:val="left" w:pos="426"/>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Diseñar y aplicar diferentes niveles de capacitación del personal bajo su mando, dependiendo de sus roles y responsabilidades respecto del tratamiento de los datos personales.</w:t>
      </w:r>
    </w:p>
    <w:p w14:paraId="3C6F2968"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F9446D6"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b/>
          <w:bCs/>
          <w:szCs w:val="26"/>
        </w:rPr>
        <w:t>Todas</w:t>
      </w:r>
      <w:r w:rsidRPr="00C8495C">
        <w:rPr>
          <w:rFonts w:ascii="Palatino Linotype" w:eastAsia="MS Gothic" w:hAnsi="Palatino Linotype" w:cs="Times New Roman"/>
          <w:szCs w:val="26"/>
        </w:rPr>
        <w:t xml:space="preserve"> las </w:t>
      </w:r>
      <w:r w:rsidRPr="00C8495C">
        <w:rPr>
          <w:rFonts w:ascii="Palatino Linotype" w:eastAsia="MS Gothic" w:hAnsi="Palatino Linotype" w:cs="Times New Roman"/>
          <w:b/>
          <w:bCs/>
          <w:szCs w:val="26"/>
        </w:rPr>
        <w:t>acciones</w:t>
      </w:r>
      <w:r w:rsidRPr="00C8495C">
        <w:rPr>
          <w:rFonts w:ascii="Palatino Linotype" w:eastAsia="MS Gothic" w:hAnsi="Palatino Linotype" w:cs="Times New Roman"/>
          <w:szCs w:val="26"/>
        </w:rPr>
        <w:t xml:space="preserve"> relacionadas con las </w:t>
      </w:r>
      <w:r w:rsidRPr="00C8495C">
        <w:rPr>
          <w:rFonts w:ascii="Palatino Linotype" w:eastAsia="MS Gothic" w:hAnsi="Palatino Linotype" w:cs="Times New Roman"/>
          <w:b/>
          <w:bCs/>
          <w:szCs w:val="26"/>
        </w:rPr>
        <w:t>medidas de seguridad</w:t>
      </w:r>
      <w:r w:rsidRPr="00C8495C">
        <w:rPr>
          <w:rFonts w:ascii="Palatino Linotype" w:eastAsia="MS Gothic" w:hAnsi="Palatino Linotype" w:cs="Times New Roman"/>
          <w:szCs w:val="26"/>
        </w:rPr>
        <w:t xml:space="preserve"> para el tratamiento de los datos personales </w:t>
      </w:r>
      <w:r w:rsidRPr="00C8495C">
        <w:rPr>
          <w:rFonts w:ascii="Palatino Linotype" w:eastAsia="MS Gothic" w:hAnsi="Palatino Linotype" w:cs="Times New Roman"/>
          <w:b/>
          <w:bCs/>
          <w:szCs w:val="26"/>
        </w:rPr>
        <w:t xml:space="preserve">serán documentadas y contenidas en un </w:t>
      </w:r>
      <w:r w:rsidRPr="00C8495C">
        <w:rPr>
          <w:rFonts w:ascii="Palatino Linotype" w:eastAsia="MS Gothic" w:hAnsi="Palatino Linotype" w:cs="Times New Roman"/>
          <w:b/>
          <w:bCs/>
          <w:szCs w:val="26"/>
          <w:u w:val="single"/>
        </w:rPr>
        <w:t>sistema de gestión</w:t>
      </w:r>
      <w:r w:rsidRPr="00C8495C">
        <w:rPr>
          <w:rFonts w:ascii="Palatino Linotype" w:eastAsia="MS Gothic" w:hAnsi="Palatino Linotype" w:cs="Times New Roman"/>
          <w:szCs w:val="26"/>
        </w:rPr>
        <w:t xml:space="preserve">. </w:t>
      </w:r>
    </w:p>
    <w:p w14:paraId="466E413B"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EC944D6"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lastRenderedPageBreak/>
        <w:t xml:space="preserve">Luego entonces, se entenderá por </w:t>
      </w:r>
      <w:r w:rsidRPr="00C8495C">
        <w:rPr>
          <w:rFonts w:ascii="Palatino Linotype" w:eastAsia="MS Gothic" w:hAnsi="Palatino Linotype" w:cs="Times New Roman"/>
          <w:b/>
          <w:bCs/>
          <w:szCs w:val="26"/>
        </w:rPr>
        <w:t>sistema de gestión</w:t>
      </w:r>
      <w:r w:rsidRPr="00C8495C">
        <w:rPr>
          <w:rFonts w:ascii="Palatino Linotype" w:eastAsia="MS Gothic" w:hAnsi="Palatino Linotype" w:cs="Times New Roman"/>
          <w:szCs w:val="26"/>
        </w:rPr>
        <w:t xml:space="preserve"> al conjunto de elementos y actividades interrelacionadas para establecer, implementar, operar, monitorear, revisar, mantener y mejorar el tratamiento y seguridad de los datos personales, de conformidad con lo previsto en la Ley de Protección de Datos Personales en Posesión de Sujetos Obligados del Estado de México y Municipios y las demás disposiciones legales aplicables.</w:t>
      </w:r>
    </w:p>
    <w:p w14:paraId="5A627565"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E3E919D"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Asimismo, como se ha expuesto en líneas previas, </w:t>
      </w:r>
      <w:r w:rsidRPr="00C8495C">
        <w:rPr>
          <w:rFonts w:ascii="Palatino Linotype" w:eastAsia="MS Gothic" w:hAnsi="Palatino Linotype" w:cs="Times New Roman"/>
          <w:b/>
          <w:bCs/>
          <w:szCs w:val="26"/>
        </w:rPr>
        <w:t>el</w:t>
      </w:r>
      <w:r w:rsidRPr="00C8495C">
        <w:rPr>
          <w:rFonts w:ascii="Palatino Linotype" w:eastAsia="MS Gothic" w:hAnsi="Palatino Linotype" w:cs="Times New Roman"/>
          <w:szCs w:val="26"/>
        </w:rPr>
        <w:t xml:space="preserve"> </w:t>
      </w:r>
      <w:r w:rsidRPr="00C8495C">
        <w:rPr>
          <w:rFonts w:ascii="Palatino Linotype" w:eastAsia="MS Gothic" w:hAnsi="Palatino Linotype" w:cs="Times New Roman"/>
          <w:b/>
          <w:bCs/>
          <w:szCs w:val="26"/>
        </w:rPr>
        <w:t>SUJETO OBLIGADO</w:t>
      </w:r>
      <w:r w:rsidRPr="00C8495C">
        <w:rPr>
          <w:rFonts w:ascii="Palatino Linotype" w:eastAsia="MS Gothic" w:hAnsi="Palatino Linotype" w:cs="Times New Roman"/>
          <w:szCs w:val="26"/>
        </w:rPr>
        <w:t xml:space="preserve"> responsable del tratamiento de datos, </w:t>
      </w:r>
      <w:r w:rsidRPr="00C8495C">
        <w:rPr>
          <w:rFonts w:ascii="Palatino Linotype" w:eastAsia="MS Gothic" w:hAnsi="Palatino Linotype" w:cs="Times New Roman"/>
          <w:b/>
          <w:bCs/>
          <w:szCs w:val="26"/>
        </w:rPr>
        <w:t xml:space="preserve">deberá contar con un Plan de Trabajo que </w:t>
      </w:r>
      <w:r w:rsidRPr="00C8495C">
        <w:rPr>
          <w:rFonts w:ascii="Palatino Linotype" w:eastAsia="MS Gothic" w:hAnsi="Palatino Linotype" w:cs="Times New Roman"/>
          <w:szCs w:val="26"/>
        </w:rPr>
        <w:t>identifique y proyecte las medidas de seguridad que falten por implementarse, así como las medidas ya establecidas y que requieran de un cumplimiento cotidiano de las políticas de gestión y tratamiento de los datos personales.</w:t>
      </w:r>
    </w:p>
    <w:p w14:paraId="1164F96C"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69C15F5A"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No obstante, es de precisar que dicha información, es decir, las medidas de seguridad del referido documento de seguridad, cuenta con carácter de confidencial, de conformidad con lo estipulado en el artículo 43, primer párrafo, de la Ley de Protección de Datos Personales en Posesión de Sujetos Obligados del Estado de México y Municipios, el cual establece:</w:t>
      </w:r>
    </w:p>
    <w:p w14:paraId="3A73E599"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B3BF9A0"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b/>
          <w:i/>
          <w:szCs w:val="26"/>
        </w:rPr>
      </w:pPr>
      <w:r w:rsidRPr="00C8495C">
        <w:rPr>
          <w:rFonts w:ascii="Palatino Linotype" w:eastAsia="MS Gothic" w:hAnsi="Palatino Linotype" w:cs="Times New Roman"/>
          <w:b/>
          <w:i/>
          <w:szCs w:val="26"/>
        </w:rPr>
        <w:t xml:space="preserve">Naturaleza de las medidas de seguridad y registro del nivel de seguridad </w:t>
      </w:r>
    </w:p>
    <w:p w14:paraId="16E416D7"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Cs w:val="26"/>
        </w:rPr>
      </w:pPr>
      <w:r w:rsidRPr="00C8495C">
        <w:rPr>
          <w:rFonts w:ascii="Palatino Linotype" w:eastAsia="MS Gothic" w:hAnsi="Palatino Linotype" w:cs="Times New Roman"/>
          <w:b/>
          <w:i/>
          <w:szCs w:val="26"/>
        </w:rPr>
        <w:t>“Artículo 43.</w:t>
      </w:r>
      <w:r w:rsidRPr="00C8495C">
        <w:rPr>
          <w:rFonts w:ascii="Palatino Linotype" w:eastAsia="MS Gothic" w:hAnsi="Palatino Linotype" w:cs="Times New Roman"/>
          <w:i/>
          <w:szCs w:val="26"/>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C8495C">
        <w:rPr>
          <w:rFonts w:ascii="Palatino Linotype" w:eastAsia="MS Gothic" w:hAnsi="Palatino Linotype" w:cs="Times New Roman"/>
          <w:b/>
          <w:i/>
          <w:szCs w:val="26"/>
          <w:u w:val="single"/>
        </w:rPr>
        <w:t>Por la naturaleza de la información, las medidas de seguridad que se adopten serán consideradas confidenciales</w:t>
      </w:r>
      <w:r w:rsidRPr="00C8495C">
        <w:rPr>
          <w:rFonts w:ascii="Palatino Linotype" w:eastAsia="MS Gothic" w:hAnsi="Palatino Linotype" w:cs="Times New Roman"/>
          <w:i/>
          <w:szCs w:val="26"/>
        </w:rPr>
        <w:t xml:space="preserve"> y únicamente se comunicará al Instituto, para su registro, el nivel de seguridad aplicable.</w:t>
      </w:r>
    </w:p>
    <w:p w14:paraId="474CF3EC"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Cs w:val="26"/>
        </w:rPr>
      </w:pPr>
      <w:r w:rsidRPr="00C8495C">
        <w:rPr>
          <w:rFonts w:ascii="Palatino Linotype" w:eastAsia="MS Gothic" w:hAnsi="Palatino Linotype" w:cs="Times New Roman"/>
          <w:i/>
          <w:szCs w:val="26"/>
        </w:rPr>
        <w:lastRenderedPageBreak/>
        <w:t>(…)”</w:t>
      </w:r>
    </w:p>
    <w:p w14:paraId="6E3678F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C8495C">
        <w:rPr>
          <w:rFonts w:ascii="Palatino Linotype" w:eastAsia="MS Gothic" w:hAnsi="Palatino Linotype" w:cs="Times New Roman"/>
          <w:szCs w:val="26"/>
        </w:rPr>
        <w:t>(Énfasis añadido)</w:t>
      </w:r>
    </w:p>
    <w:p w14:paraId="3ACB08C6"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A1C6F92"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En ese orden de ideas, la Ley de Transparencia y Acceso a la Información Pública del Estado de México y Municipios, en su dispositivo 91, indica lo siguiente respecto a la clasificación de la información:</w:t>
      </w:r>
    </w:p>
    <w:p w14:paraId="4FF0ED22"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68C61AEC"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w:t>
      </w:r>
      <w:r w:rsidRPr="00C8495C">
        <w:rPr>
          <w:rFonts w:ascii="Palatino Linotype" w:eastAsia="MS Gothic" w:hAnsi="Palatino Linotype" w:cs="Times New Roman"/>
          <w:b/>
          <w:i/>
          <w:sz w:val="22"/>
          <w:szCs w:val="26"/>
        </w:rPr>
        <w:t>Artículo 91. El acceso a la información</w:t>
      </w:r>
      <w:r w:rsidRPr="00C8495C">
        <w:rPr>
          <w:rFonts w:ascii="Palatino Linotype" w:eastAsia="MS Gothic" w:hAnsi="Palatino Linotype" w:cs="Times New Roman"/>
          <w:i/>
          <w:sz w:val="22"/>
          <w:szCs w:val="26"/>
        </w:rPr>
        <w:t xml:space="preserve"> pública </w:t>
      </w:r>
      <w:r w:rsidRPr="00C8495C">
        <w:rPr>
          <w:rFonts w:ascii="Palatino Linotype" w:eastAsia="MS Gothic" w:hAnsi="Palatino Linotype" w:cs="Times New Roman"/>
          <w:b/>
          <w:i/>
          <w:sz w:val="22"/>
          <w:szCs w:val="26"/>
        </w:rPr>
        <w:t>será restringido</w:t>
      </w:r>
      <w:r w:rsidRPr="00C8495C">
        <w:rPr>
          <w:rFonts w:ascii="Palatino Linotype" w:eastAsia="MS Gothic" w:hAnsi="Palatino Linotype" w:cs="Times New Roman"/>
          <w:i/>
          <w:sz w:val="22"/>
          <w:szCs w:val="26"/>
        </w:rPr>
        <w:t xml:space="preserve"> excepcionalmente, </w:t>
      </w:r>
      <w:r w:rsidRPr="00C8495C">
        <w:rPr>
          <w:rFonts w:ascii="Palatino Linotype" w:eastAsia="MS Gothic" w:hAnsi="Palatino Linotype" w:cs="Times New Roman"/>
          <w:b/>
          <w:i/>
          <w:sz w:val="22"/>
          <w:szCs w:val="26"/>
        </w:rPr>
        <w:t>cuando ésta sea clasificada como</w:t>
      </w:r>
      <w:r w:rsidRPr="00C8495C">
        <w:rPr>
          <w:rFonts w:ascii="Palatino Linotype" w:eastAsia="MS Gothic" w:hAnsi="Palatino Linotype" w:cs="Times New Roman"/>
          <w:i/>
          <w:sz w:val="22"/>
          <w:szCs w:val="26"/>
        </w:rPr>
        <w:t xml:space="preserve"> reservada o </w:t>
      </w:r>
      <w:r w:rsidRPr="00C8495C">
        <w:rPr>
          <w:rFonts w:ascii="Palatino Linotype" w:eastAsia="MS Gothic" w:hAnsi="Palatino Linotype" w:cs="Times New Roman"/>
          <w:b/>
          <w:i/>
          <w:sz w:val="22"/>
          <w:szCs w:val="26"/>
        </w:rPr>
        <w:t>confidencial</w:t>
      </w:r>
      <w:r w:rsidRPr="00C8495C">
        <w:rPr>
          <w:rFonts w:ascii="Palatino Linotype" w:eastAsia="MS Gothic" w:hAnsi="Palatino Linotype" w:cs="Times New Roman"/>
          <w:i/>
          <w:sz w:val="22"/>
          <w:szCs w:val="26"/>
        </w:rPr>
        <w:t>.”</w:t>
      </w:r>
    </w:p>
    <w:p w14:paraId="1303CD5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C8495C">
        <w:rPr>
          <w:rFonts w:ascii="Palatino Linotype" w:eastAsia="MS Gothic" w:hAnsi="Palatino Linotype" w:cs="Times New Roman"/>
          <w:sz w:val="22"/>
          <w:szCs w:val="26"/>
        </w:rPr>
        <w:t>(Énfasis añadido)</w:t>
      </w:r>
    </w:p>
    <w:p w14:paraId="13E86064"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54C68623"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Así las cosas, este Organismo Garante advierte que existe una disposición legal, por la cual, subsiste la clasificación de la información, misma que se consagra en el primer párrafo del artículo 43 de la Ley de Protección de Datos Personales en Posesión de Sujetos Obligados del Estado de México y Municipios, el cual establece que las medidas de seguridad adoptadas serán consideradas confidenciales, razón por la cual no pueden ser proporcionadas al </w:t>
      </w:r>
      <w:r w:rsidRPr="00C8495C">
        <w:rPr>
          <w:rFonts w:ascii="Palatino Linotype" w:eastAsia="MS Gothic" w:hAnsi="Palatino Linotype" w:cs="Times New Roman"/>
          <w:b/>
          <w:szCs w:val="26"/>
        </w:rPr>
        <w:t>RECURRENTE</w:t>
      </w:r>
      <w:r w:rsidRPr="00C8495C">
        <w:rPr>
          <w:rFonts w:ascii="Palatino Linotype" w:eastAsia="MS Gothic" w:hAnsi="Palatino Linotype" w:cs="Times New Roman"/>
          <w:szCs w:val="26"/>
        </w:rPr>
        <w:t xml:space="preserve">, ni a través de una versión pública pues, de hacerlo, se pudiese causar un daño, alteración, pérdida, destrucción, uso, transferencia, acceso y/o cualquier tratamiento ilícito, no autorizado de la información que obre en las bases y sistemas de datos personales del </w:t>
      </w:r>
      <w:r w:rsidRPr="00C8495C">
        <w:rPr>
          <w:rFonts w:ascii="Palatino Linotype" w:eastAsia="MS Gothic" w:hAnsi="Palatino Linotype" w:cs="Times New Roman"/>
          <w:b/>
          <w:szCs w:val="26"/>
        </w:rPr>
        <w:t>SUJETO OBLIGADO</w:t>
      </w:r>
      <w:r w:rsidRPr="00C8495C">
        <w:rPr>
          <w:rFonts w:ascii="Palatino Linotype" w:eastAsia="MS Gothic" w:hAnsi="Palatino Linotype" w:cs="Times New Roman"/>
          <w:szCs w:val="26"/>
        </w:rPr>
        <w:t>.</w:t>
      </w:r>
    </w:p>
    <w:p w14:paraId="5F14D430"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D1D2FB9"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En consecuencia, las partes que conforman las medidas de seguridad del documento de seguridad, </w:t>
      </w:r>
      <w:r w:rsidRPr="00C8495C">
        <w:rPr>
          <w:rFonts w:ascii="Palatino Linotype" w:eastAsia="MS Gothic" w:hAnsi="Palatino Linotype" w:cs="Times New Roman"/>
          <w:b/>
          <w:szCs w:val="26"/>
        </w:rPr>
        <w:t>incluido el Plan de Trabajo</w:t>
      </w:r>
      <w:r w:rsidRPr="00C8495C">
        <w:rPr>
          <w:rFonts w:ascii="Palatino Linotype" w:eastAsia="MS Gothic" w:hAnsi="Palatino Linotype" w:cs="Times New Roman"/>
          <w:szCs w:val="26"/>
        </w:rPr>
        <w:t xml:space="preserve"> y los documentos que integran dicho plan al que en su conjunto dan cuenta y contienen las medidas de seguridad adoptadas por los responsables, </w:t>
      </w:r>
      <w:r w:rsidRPr="00C8495C">
        <w:rPr>
          <w:rFonts w:ascii="Palatino Linotype" w:eastAsia="MS Gothic" w:hAnsi="Palatino Linotype" w:cs="Times New Roman"/>
          <w:b/>
          <w:szCs w:val="26"/>
        </w:rPr>
        <w:t>constituyen información confidencial</w:t>
      </w:r>
      <w:r w:rsidRPr="00C8495C">
        <w:rPr>
          <w:rFonts w:ascii="Palatino Linotype" w:eastAsia="MS Gothic" w:hAnsi="Palatino Linotype" w:cs="Times New Roman"/>
          <w:szCs w:val="26"/>
        </w:rPr>
        <w:t xml:space="preserve">, cuya clasificación no estará sujeta a una temporalidad como se desprende del </w:t>
      </w:r>
      <w:r w:rsidRPr="00C8495C">
        <w:rPr>
          <w:rFonts w:ascii="Palatino Linotype" w:eastAsia="MS Gothic" w:hAnsi="Palatino Linotype" w:cs="Times New Roman"/>
          <w:szCs w:val="26"/>
        </w:rPr>
        <w:lastRenderedPageBreak/>
        <w:t>diverso 143, segundo párrafo, de la Ley de Transparencia Local, mismo que se transcribe a continuación:</w:t>
      </w:r>
    </w:p>
    <w:p w14:paraId="23BC9078"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3FF1148"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w:t>
      </w:r>
      <w:r w:rsidRPr="00C8495C">
        <w:rPr>
          <w:rFonts w:ascii="Palatino Linotype" w:eastAsia="MS Gothic" w:hAnsi="Palatino Linotype" w:cs="Times New Roman"/>
          <w:b/>
          <w:i/>
          <w:sz w:val="22"/>
          <w:szCs w:val="26"/>
        </w:rPr>
        <w:t>Artículo 143.</w:t>
      </w:r>
      <w:r w:rsidRPr="00C8495C">
        <w:rPr>
          <w:rFonts w:ascii="Palatino Linotype" w:eastAsia="MS Gothic" w:hAnsi="Palatino Linotype" w:cs="Times New Roman"/>
          <w:i/>
          <w:sz w:val="22"/>
          <w:szCs w:val="26"/>
        </w:rPr>
        <w:t xml:space="preserve"> (…)</w:t>
      </w:r>
    </w:p>
    <w:p w14:paraId="3B46A7C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La información confidencial no estará sujeta a temporalidad alguna y sólo podrán tener acceso a ella los titulares de la misma, sus representantes y los servidores públicos facultados para ello.</w:t>
      </w:r>
    </w:p>
    <w:p w14:paraId="209F9F7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w:t>
      </w:r>
    </w:p>
    <w:p w14:paraId="26B4683A"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20F390E"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En concordancia a con lo anterior, el numeral Trigésimo Octavo, segundo párrafo de los Lineamientos Generales en materia de Clasificación y Desclasificación de la información, así como para la elaboración de Versiones Públicas, publicado en el Diario Oficial de la Federación el quince de abril de dos mil dieciséis, señala lo siguiente:</w:t>
      </w:r>
    </w:p>
    <w:p w14:paraId="4D0CD2EF"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004F69E"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w:t>
      </w:r>
      <w:r w:rsidRPr="00C8495C">
        <w:rPr>
          <w:rFonts w:ascii="Palatino Linotype" w:eastAsia="MS Gothic" w:hAnsi="Palatino Linotype" w:cs="Times New Roman"/>
          <w:b/>
          <w:i/>
          <w:sz w:val="22"/>
          <w:szCs w:val="26"/>
        </w:rPr>
        <w:t>Trigésimo octavo.</w:t>
      </w:r>
      <w:r w:rsidRPr="00C8495C">
        <w:rPr>
          <w:rFonts w:ascii="Palatino Linotype" w:eastAsia="MS Gothic" w:hAnsi="Palatino Linotype" w:cs="Times New Roman"/>
          <w:i/>
          <w:sz w:val="22"/>
          <w:szCs w:val="26"/>
        </w:rPr>
        <w:t xml:space="preserve"> (…)</w:t>
      </w:r>
    </w:p>
    <w:p w14:paraId="5975AC11"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sz w:val="22"/>
          <w:szCs w:val="26"/>
        </w:rPr>
      </w:pPr>
      <w:r w:rsidRPr="00C8495C">
        <w:rPr>
          <w:rFonts w:ascii="Palatino Linotype" w:eastAsia="MS Gothic" w:hAnsi="Palatino Linotype" w:cs="Times New Roman"/>
          <w:i/>
          <w:sz w:val="22"/>
          <w:szCs w:val="26"/>
        </w:rPr>
        <w:t>La información confidencial no estará sujeta a temporalidad alguna y sólo podrán tener acceso a ella los titulares de la misma, sus representantes y los servidores públicos facultados para ello.”</w:t>
      </w:r>
    </w:p>
    <w:p w14:paraId="1256E983"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2B49060E"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En tal sentido, el </w:t>
      </w:r>
      <w:r w:rsidRPr="00C8495C">
        <w:rPr>
          <w:rFonts w:ascii="Palatino Linotype" w:eastAsia="MS Gothic" w:hAnsi="Palatino Linotype" w:cs="Times New Roman"/>
          <w:b/>
          <w:szCs w:val="26"/>
        </w:rPr>
        <w:t>Plan de Trabajo</w:t>
      </w:r>
      <w:r w:rsidRPr="00C8495C">
        <w:rPr>
          <w:rFonts w:ascii="Palatino Linotype" w:eastAsia="MS Gothic" w:hAnsi="Palatino Linotype" w:cs="Times New Roman"/>
          <w:szCs w:val="26"/>
        </w:rPr>
        <w:t xml:space="preserve"> forma parte del documento de seguridad, asimismo, contempla justamente las acciones tendientes a la protección de los sistemas de datos personales de manera preventiva y correctiva, incluso contempla las vulneraciones que han existido; en este sentido, como se trata de medidas de seguridad implementadas y los detalles de las áreas de oportunidad en la protección de los sistemas que van detectando los expertos en protección de sistemas de datos, tanto físicos como electrónicos, constituye información que en manos expertas puede ser utilizada para vulnerar los sistemas de datos personales, por lo que aplica </w:t>
      </w:r>
      <w:r w:rsidRPr="00C8495C">
        <w:rPr>
          <w:rFonts w:ascii="Palatino Linotype" w:eastAsia="MS Gothic" w:hAnsi="Palatino Linotype" w:cs="Times New Roman"/>
          <w:szCs w:val="26"/>
        </w:rPr>
        <w:lastRenderedPageBreak/>
        <w:t>lo dispuesto en el artículo 43 de la Ley de Protección de Datos Personales en Posesión de Sujetos Obligados del Estado de México y Municipios, ya que si bien, no son formalmente las medidas de seguridad implementadas, se trata del análisis de estas y su eficacia; sus áreas de oportunidad sobre lo que se debe hacer o mejorar, por lo que procede su clasificación como información confidencial, a través del acuerdo mediante el cual se funde y motive la clasificación, mismo que habrá de ponerse a disposición del particular.</w:t>
      </w:r>
    </w:p>
    <w:p w14:paraId="2B7A1B28"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6709FBB"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En tal virtud, el </w:t>
      </w:r>
      <w:r w:rsidRPr="00C8495C">
        <w:rPr>
          <w:rFonts w:ascii="Palatino Linotype" w:eastAsia="MS Gothic" w:hAnsi="Palatino Linotype" w:cs="Times New Roman"/>
          <w:b/>
          <w:szCs w:val="26"/>
        </w:rPr>
        <w:t xml:space="preserve">SUJETO OBLIGADO </w:t>
      </w:r>
      <w:r w:rsidRPr="00C8495C">
        <w:rPr>
          <w:rFonts w:ascii="Palatino Linotype" w:eastAsia="MS Gothic" w:hAnsi="Palatino Linotype" w:cs="Times New Roman"/>
          <w:szCs w:val="26"/>
        </w:rPr>
        <w:t xml:space="preserve">deberá entregar al </w:t>
      </w:r>
      <w:r w:rsidRPr="00C8495C">
        <w:rPr>
          <w:rFonts w:ascii="Palatino Linotype" w:eastAsia="MS Gothic" w:hAnsi="Palatino Linotype" w:cs="Times New Roman"/>
          <w:b/>
          <w:szCs w:val="26"/>
        </w:rPr>
        <w:t>RECURRENTE</w:t>
      </w:r>
      <w:r w:rsidRPr="00C8495C">
        <w:rPr>
          <w:rFonts w:ascii="Palatino Linotype" w:eastAsia="MS Gothic" w:hAnsi="Palatino Linotype" w:cs="Times New Roman"/>
          <w:szCs w:val="26"/>
        </w:rPr>
        <w:t xml:space="preserve"> el Acuerdo emitido por su Comité de Transparencia, en términos de los artículos 122, 132 y 143 de la Ley de Transparencia y Acceso a la Información Pública del Estado de México y Municipios, atendiendo los argumentos vertidos en el </w:t>
      </w:r>
      <w:r w:rsidRPr="00C8495C">
        <w:rPr>
          <w:rFonts w:ascii="Palatino Linotype" w:eastAsia="MS Gothic" w:hAnsi="Palatino Linotype" w:cs="Times New Roman"/>
          <w:b/>
          <w:szCs w:val="26"/>
        </w:rPr>
        <w:t>Considerando QUINTO</w:t>
      </w:r>
      <w:r w:rsidRPr="00C8495C">
        <w:rPr>
          <w:rFonts w:ascii="Palatino Linotype" w:eastAsia="MS Gothic" w:hAnsi="Palatino Linotype" w:cs="Times New Roman"/>
          <w:szCs w:val="26"/>
        </w:rPr>
        <w:t xml:space="preserve"> de esta resolución.</w:t>
      </w:r>
    </w:p>
    <w:p w14:paraId="29AC8660"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5AABE89D"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outlineLvl w:val="2"/>
        <w:rPr>
          <w:rFonts w:ascii="Palatino Linotype" w:eastAsia="MS Gothic" w:hAnsi="Palatino Linotype" w:cs="Times New Roman"/>
          <w:b/>
          <w:bCs/>
          <w:szCs w:val="26"/>
        </w:rPr>
      </w:pPr>
      <w:r w:rsidRPr="00C8495C">
        <w:rPr>
          <w:rFonts w:ascii="Palatino Linotype" w:eastAsia="MS Gothic" w:hAnsi="Palatino Linotype" w:cs="Times New Roman"/>
          <w:b/>
          <w:bCs/>
          <w:szCs w:val="26"/>
        </w:rPr>
        <w:t xml:space="preserve">III.II. De las Bases de Datos Personales. </w:t>
      </w:r>
    </w:p>
    <w:p w14:paraId="1007C3C7"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4EE5C9F" w14:textId="588D1C6A" w:rsidR="00364594" w:rsidRPr="00C8495C" w:rsidRDefault="00236F33"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Ahora bien, se</w:t>
      </w:r>
      <w:r w:rsidR="00364594" w:rsidRPr="00C8495C">
        <w:rPr>
          <w:rFonts w:ascii="Palatino Linotype" w:eastAsia="MS Gothic" w:hAnsi="Palatino Linotype" w:cs="Times New Roman"/>
          <w:szCs w:val="26"/>
        </w:rPr>
        <w:t xml:space="preserve"> denomina a una </w:t>
      </w:r>
      <w:r w:rsidR="00364594" w:rsidRPr="00C8495C">
        <w:rPr>
          <w:rFonts w:ascii="Palatino Linotype" w:eastAsia="MS Gothic" w:hAnsi="Palatino Linotype" w:cs="Times New Roman"/>
          <w:b/>
          <w:bCs/>
          <w:szCs w:val="26"/>
        </w:rPr>
        <w:t>Base de Datos Personales</w:t>
      </w:r>
      <w:r w:rsidR="00364594" w:rsidRPr="00C8495C">
        <w:rPr>
          <w:rFonts w:ascii="Palatino Linotype" w:eastAsia="MS Gothic" w:hAnsi="Palatino Linotype" w:cs="Times New Roman"/>
          <w:szCs w:val="26"/>
        </w:rPr>
        <w:t xml:space="preserve"> como el </w:t>
      </w:r>
      <w:r w:rsidR="00364594" w:rsidRPr="00C8495C">
        <w:rPr>
          <w:rFonts w:ascii="Palatino Linotype" w:eastAsia="MS Gothic" w:hAnsi="Palatino Linotype" w:cs="Times New Roman"/>
          <w:b/>
          <w:szCs w:val="26"/>
        </w:rPr>
        <w:t>conjunto de archivos, registros, ficheros, condicionados a criterios determinados con independencia de la forma o modalidad de su creación, tipo de soporte, procesamiento, almacenamiento, organización y acceso</w:t>
      </w:r>
      <w:r w:rsidR="00364594" w:rsidRPr="00C8495C">
        <w:rPr>
          <w:rStyle w:val="Refdenotaalpie"/>
          <w:rFonts w:ascii="Palatino Linotype" w:eastAsia="MS Gothic" w:hAnsi="Palatino Linotype" w:cs="Times New Roman"/>
          <w:szCs w:val="26"/>
        </w:rPr>
        <w:footnoteReference w:id="20"/>
      </w:r>
      <w:r w:rsidR="00364594" w:rsidRPr="00C8495C">
        <w:rPr>
          <w:rFonts w:ascii="Palatino Linotype" w:eastAsia="MS Gothic" w:hAnsi="Palatino Linotype" w:cs="Times New Roman"/>
          <w:szCs w:val="26"/>
        </w:rPr>
        <w:t>.</w:t>
      </w:r>
    </w:p>
    <w:p w14:paraId="17640380"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2E700C4"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Dicho lo anterior, </w:t>
      </w:r>
      <w:r w:rsidRPr="00C8495C">
        <w:rPr>
          <w:rFonts w:ascii="Palatino Linotype" w:eastAsia="MS Gothic" w:hAnsi="Palatino Linotype" w:cs="Times New Roman"/>
          <w:b/>
          <w:bCs/>
          <w:szCs w:val="26"/>
        </w:rPr>
        <w:t>corresponderá a cada Sujeto Obligado el determinar</w:t>
      </w:r>
      <w:r w:rsidRPr="00C8495C">
        <w:rPr>
          <w:rFonts w:ascii="Palatino Linotype" w:eastAsia="MS Gothic" w:hAnsi="Palatino Linotype" w:cs="Times New Roman"/>
          <w:szCs w:val="26"/>
        </w:rPr>
        <w:t xml:space="preserve">, a través de su titular, órgano competente o Comité de Transparencia, </w:t>
      </w:r>
      <w:r w:rsidRPr="00C8495C">
        <w:rPr>
          <w:rFonts w:ascii="Palatino Linotype" w:eastAsia="MS Gothic" w:hAnsi="Palatino Linotype" w:cs="Times New Roman"/>
          <w:b/>
          <w:bCs/>
          <w:szCs w:val="26"/>
        </w:rPr>
        <w:t xml:space="preserve">la creación, </w:t>
      </w:r>
      <w:r w:rsidRPr="00C8495C">
        <w:rPr>
          <w:rFonts w:ascii="Palatino Linotype" w:eastAsia="MS Gothic" w:hAnsi="Palatino Linotype" w:cs="Times New Roman"/>
          <w:b/>
          <w:bCs/>
          <w:szCs w:val="26"/>
        </w:rPr>
        <w:lastRenderedPageBreak/>
        <w:t xml:space="preserve">modificación o supresión de </w:t>
      </w:r>
      <w:r w:rsidRPr="00C8495C">
        <w:rPr>
          <w:rFonts w:ascii="Palatino Linotype" w:eastAsia="MS Gothic" w:hAnsi="Palatino Linotype" w:cs="Times New Roman"/>
          <w:szCs w:val="26"/>
        </w:rPr>
        <w:t xml:space="preserve">sistemas y </w:t>
      </w:r>
      <w:r w:rsidRPr="00C8495C">
        <w:rPr>
          <w:rFonts w:ascii="Palatino Linotype" w:eastAsia="MS Gothic" w:hAnsi="Palatino Linotype" w:cs="Times New Roman"/>
          <w:b/>
          <w:bCs/>
          <w:szCs w:val="26"/>
        </w:rPr>
        <w:t>bases de datos personales</w:t>
      </w:r>
      <w:r w:rsidRPr="00C8495C">
        <w:rPr>
          <w:rFonts w:ascii="Palatino Linotype" w:eastAsia="MS Gothic" w:hAnsi="Palatino Linotype" w:cs="Times New Roman"/>
          <w:szCs w:val="26"/>
        </w:rPr>
        <w:t>, conforme a su respectivo ámbito de competencia</w:t>
      </w:r>
      <w:r w:rsidRPr="00C8495C">
        <w:rPr>
          <w:rStyle w:val="Refdenotaalpie"/>
          <w:rFonts w:ascii="Palatino Linotype" w:eastAsia="MS Gothic" w:hAnsi="Palatino Linotype" w:cs="Times New Roman"/>
          <w:szCs w:val="26"/>
        </w:rPr>
        <w:footnoteReference w:id="21"/>
      </w:r>
      <w:r w:rsidRPr="00C8495C">
        <w:rPr>
          <w:rFonts w:ascii="Palatino Linotype" w:eastAsia="MS Gothic" w:hAnsi="Palatino Linotype" w:cs="Times New Roman"/>
          <w:szCs w:val="26"/>
        </w:rPr>
        <w:t>.</w:t>
      </w:r>
    </w:p>
    <w:p w14:paraId="2315530B"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41F9FF2"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La integración, tratamiento y tutela de los sistemas de datos personales se regirán por las disposiciones siguientes</w:t>
      </w:r>
      <w:r w:rsidRPr="00C8495C">
        <w:rPr>
          <w:rStyle w:val="Refdenotaalpie"/>
          <w:rFonts w:ascii="Palatino Linotype" w:eastAsia="MS Gothic" w:hAnsi="Palatino Linotype" w:cs="Times New Roman"/>
          <w:szCs w:val="26"/>
        </w:rPr>
        <w:footnoteReference w:id="22"/>
      </w:r>
      <w:r w:rsidRPr="00C8495C">
        <w:rPr>
          <w:rFonts w:ascii="Palatino Linotype" w:eastAsia="MS Gothic" w:hAnsi="Palatino Linotype" w:cs="Times New Roman"/>
          <w:szCs w:val="26"/>
        </w:rPr>
        <w:t>:</w:t>
      </w:r>
    </w:p>
    <w:p w14:paraId="4C47BD50"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Cada Sujeto Obligado deberá informar al Instituto de Transparencia, Acceso a la Información Pública y Protección de Datos Personales del Estado de México y Municipios (el Instituto) sobre la creación, modificación o supresión de sus sistemas de datos personales. </w:t>
      </w:r>
    </w:p>
    <w:p w14:paraId="77367AF4"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En caso de creación o modificación de sistemas de datos personales, se incluirá en el registro, los datos previstos en la propia Ley de la materia. </w:t>
      </w:r>
    </w:p>
    <w:p w14:paraId="0017DB21"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 xml:space="preserve">En las disposiciones que se dicten para la supresión de los sistemas de datos personales, se establecerá el destino de los datos contenidos en los mismos o, en su caso, las previsiones que se adopten para su destrucción. </w:t>
      </w:r>
    </w:p>
    <w:p w14:paraId="2E3E3776" w14:textId="77777777" w:rsidR="00364594" w:rsidRPr="00C8495C" w:rsidRDefault="00364594" w:rsidP="00364594">
      <w:pPr>
        <w:pStyle w:val="Prrafodelista"/>
        <w:numPr>
          <w:ilvl w:val="1"/>
          <w:numId w:val="1"/>
        </w:numPr>
        <w:tabs>
          <w:tab w:val="left" w:pos="142"/>
          <w:tab w:val="left" w:pos="284"/>
          <w:tab w:val="left" w:pos="426"/>
          <w:tab w:val="left" w:pos="1134"/>
        </w:tabs>
        <w:spacing w:before="240" w:after="240" w:line="360" w:lineRule="auto"/>
        <w:ind w:left="1134"/>
        <w:jc w:val="both"/>
        <w:rPr>
          <w:rFonts w:ascii="Palatino Linotype" w:eastAsia="MS Gothic" w:hAnsi="Palatino Linotype" w:cs="Times New Roman"/>
          <w:szCs w:val="26"/>
        </w:rPr>
      </w:pPr>
      <w:r w:rsidRPr="00C8495C">
        <w:rPr>
          <w:rFonts w:ascii="Palatino Linotype" w:eastAsia="MS Gothic" w:hAnsi="Palatino Linotype" w:cs="Times New Roman"/>
          <w:szCs w:val="26"/>
        </w:rPr>
        <w:t>De la destrucción de los datos personales podrán ser excluidos aquellos que, con finalidades estadísticas o históricas, sean previamente sometidos al procedimiento de disociación.</w:t>
      </w:r>
    </w:p>
    <w:p w14:paraId="23E285BC"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44313292" w14:textId="77777777" w:rsidR="00364594" w:rsidRPr="00C8495C" w:rsidRDefault="00364594" w:rsidP="00364594">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C8495C">
        <w:rPr>
          <w:rFonts w:ascii="Palatino Linotype" w:eastAsia="MS Gothic" w:hAnsi="Palatino Linotype" w:cs="Times New Roman"/>
          <w:szCs w:val="26"/>
        </w:rPr>
        <w:t>Por su parte, el artículo 37 de la Ley de Protección de Datos Personales en Posesión de Sujetos Obligados del Estado de México y Municipios, establece los elementos que deberán integrarse dentro del registro de un nuevo sistema de datos personales:</w:t>
      </w:r>
    </w:p>
    <w:p w14:paraId="2E6DEA80"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49C9F3B6"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b/>
          <w:bCs/>
          <w:i/>
          <w:iCs/>
          <w:sz w:val="22"/>
        </w:rPr>
      </w:pPr>
      <w:r w:rsidRPr="00C8495C">
        <w:rPr>
          <w:rFonts w:ascii="Palatino Linotype" w:eastAsia="MS Gothic" w:hAnsi="Palatino Linotype" w:cs="Times New Roman"/>
          <w:i/>
          <w:iCs/>
          <w:sz w:val="22"/>
        </w:rPr>
        <w:t>“</w:t>
      </w:r>
      <w:r w:rsidRPr="00C8495C">
        <w:rPr>
          <w:rFonts w:ascii="Palatino Linotype" w:eastAsia="MS Gothic" w:hAnsi="Palatino Linotype" w:cs="Times New Roman"/>
          <w:b/>
          <w:bCs/>
          <w:i/>
          <w:iCs/>
          <w:sz w:val="22"/>
        </w:rPr>
        <w:t xml:space="preserve">Registro de Sistemas de Datos Personales </w:t>
      </w:r>
    </w:p>
    <w:p w14:paraId="63976455"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lastRenderedPageBreak/>
        <w:t>Artículo 37.</w:t>
      </w:r>
      <w:r w:rsidRPr="00C8495C">
        <w:rPr>
          <w:rFonts w:ascii="Palatino Linotype" w:eastAsia="MS Gothic" w:hAnsi="Palatino Linotype" w:cs="Times New Roman"/>
          <w:i/>
          <w:iCs/>
          <w:sz w:val="22"/>
        </w:rPr>
        <w:t xml:space="preserve"> Los sujetos obligados registrarán ante el Instituto los sistemas de datos personales que posean. El registro deberá indicar por lo menos los datos siguientes: </w:t>
      </w:r>
    </w:p>
    <w:p w14:paraId="41F0FB3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w:t>
      </w:r>
      <w:r w:rsidRPr="00C8495C">
        <w:rPr>
          <w:rFonts w:ascii="Palatino Linotype" w:eastAsia="MS Gothic" w:hAnsi="Palatino Linotype" w:cs="Times New Roman"/>
          <w:i/>
          <w:iCs/>
          <w:sz w:val="22"/>
        </w:rPr>
        <w:t xml:space="preserve"> El sujeto obligado que tiene a su cargo el sistema de datos personales. </w:t>
      </w:r>
    </w:p>
    <w:p w14:paraId="54E1CA10"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w:t>
      </w:r>
      <w:r w:rsidRPr="00C8495C">
        <w:rPr>
          <w:rFonts w:ascii="Palatino Linotype" w:eastAsia="MS Gothic" w:hAnsi="Palatino Linotype" w:cs="Times New Roman"/>
          <w:i/>
          <w:iCs/>
          <w:sz w:val="22"/>
        </w:rPr>
        <w:t xml:space="preserve"> La </w:t>
      </w:r>
      <w:r w:rsidRPr="00C8495C">
        <w:rPr>
          <w:rFonts w:ascii="Palatino Linotype" w:eastAsia="MS Gothic" w:hAnsi="Palatino Linotype" w:cs="Times New Roman"/>
          <w:b/>
          <w:bCs/>
          <w:i/>
          <w:iCs/>
          <w:sz w:val="22"/>
        </w:rPr>
        <w:t>denominación del sistema de datos personales, la base de datos y el tipo de datos personales objeto de tratamiento</w:t>
      </w:r>
      <w:r w:rsidRPr="00C8495C">
        <w:rPr>
          <w:rFonts w:ascii="Palatino Linotype" w:eastAsia="MS Gothic" w:hAnsi="Palatino Linotype" w:cs="Times New Roman"/>
          <w:i/>
          <w:iCs/>
          <w:sz w:val="22"/>
        </w:rPr>
        <w:t xml:space="preserve">. </w:t>
      </w:r>
    </w:p>
    <w:p w14:paraId="7511AF4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III.</w:t>
      </w:r>
      <w:r w:rsidRPr="00C8495C">
        <w:rPr>
          <w:rFonts w:ascii="Palatino Linotype" w:eastAsia="MS Gothic" w:hAnsi="Palatino Linotype" w:cs="Times New Roman"/>
          <w:i/>
          <w:iCs/>
          <w:sz w:val="22"/>
        </w:rPr>
        <w:t xml:space="preserve"> El </w:t>
      </w:r>
      <w:r w:rsidRPr="00C8495C">
        <w:rPr>
          <w:rFonts w:ascii="Palatino Linotype" w:eastAsia="MS Gothic" w:hAnsi="Palatino Linotype" w:cs="Times New Roman"/>
          <w:b/>
          <w:bCs/>
          <w:i/>
          <w:iCs/>
          <w:sz w:val="22"/>
        </w:rPr>
        <w:t>nombre y cargo del administrador, así como el área o unidad administrativa a la que se encuentra adscrito</w:t>
      </w:r>
      <w:r w:rsidRPr="00C8495C">
        <w:rPr>
          <w:rFonts w:ascii="Palatino Linotype" w:eastAsia="MS Gothic" w:hAnsi="Palatino Linotype" w:cs="Times New Roman"/>
          <w:i/>
          <w:iCs/>
          <w:sz w:val="22"/>
        </w:rPr>
        <w:t xml:space="preserve">. </w:t>
      </w:r>
    </w:p>
    <w:p w14:paraId="427E7DCD"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IV.</w:t>
      </w:r>
      <w:r w:rsidRPr="00C8495C">
        <w:rPr>
          <w:rFonts w:ascii="Palatino Linotype" w:eastAsia="MS Gothic" w:hAnsi="Palatino Linotype" w:cs="Times New Roman"/>
          <w:i/>
          <w:iCs/>
          <w:sz w:val="22"/>
        </w:rPr>
        <w:t xml:space="preserve"> El nombre y cargo del encargado. </w:t>
      </w:r>
    </w:p>
    <w:p w14:paraId="09AD0C1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V.</w:t>
      </w:r>
      <w:r w:rsidRPr="00C8495C">
        <w:rPr>
          <w:rFonts w:ascii="Palatino Linotype" w:eastAsia="MS Gothic" w:hAnsi="Palatino Linotype" w:cs="Times New Roman"/>
          <w:i/>
          <w:iCs/>
          <w:sz w:val="22"/>
        </w:rPr>
        <w:t xml:space="preserve"> La normatividad aplicable que dé fundamento al tratamiento en términos de los principios de finalidad y licitud. </w:t>
      </w:r>
    </w:p>
    <w:p w14:paraId="4EB5E0C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VI.</w:t>
      </w:r>
      <w:r w:rsidRPr="00C8495C">
        <w:rPr>
          <w:rFonts w:ascii="Palatino Linotype" w:eastAsia="MS Gothic" w:hAnsi="Palatino Linotype" w:cs="Times New Roman"/>
          <w:i/>
          <w:iCs/>
          <w:sz w:val="22"/>
        </w:rPr>
        <w:t xml:space="preserve"> La finalidad del tratamiento. </w:t>
      </w:r>
    </w:p>
    <w:p w14:paraId="327C9632"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VII.</w:t>
      </w:r>
      <w:r w:rsidRPr="00C8495C">
        <w:rPr>
          <w:rFonts w:ascii="Palatino Linotype" w:eastAsia="MS Gothic" w:hAnsi="Palatino Linotype" w:cs="Times New Roman"/>
          <w:i/>
          <w:iCs/>
          <w:sz w:val="22"/>
        </w:rPr>
        <w:t xml:space="preserve"> El origen, la forma de recolección y actualización de datos. </w:t>
      </w:r>
    </w:p>
    <w:p w14:paraId="709AD194"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VIII.</w:t>
      </w:r>
      <w:r w:rsidRPr="00C8495C">
        <w:rPr>
          <w:rFonts w:ascii="Palatino Linotype" w:eastAsia="MS Gothic" w:hAnsi="Palatino Linotype" w:cs="Times New Roman"/>
          <w:i/>
          <w:iCs/>
          <w:sz w:val="22"/>
        </w:rPr>
        <w:t xml:space="preserve"> Datos transferidos, lugar de destino e identidad de los destinatarios, en el caso de que se registren transferencias. </w:t>
      </w:r>
    </w:p>
    <w:p w14:paraId="7E671DA9"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IX.</w:t>
      </w:r>
      <w:r w:rsidRPr="00C8495C">
        <w:rPr>
          <w:rFonts w:ascii="Palatino Linotype" w:eastAsia="MS Gothic" w:hAnsi="Palatino Linotype" w:cs="Times New Roman"/>
          <w:i/>
          <w:iCs/>
          <w:sz w:val="22"/>
        </w:rPr>
        <w:t xml:space="preserve"> El modo de interrelacionar la información registrada, o en su caso, la trazabilidad de los datos en el sistema de datos personales. </w:t>
      </w:r>
    </w:p>
    <w:p w14:paraId="54E9E92F"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X.</w:t>
      </w:r>
      <w:r w:rsidRPr="00C8495C">
        <w:rPr>
          <w:rFonts w:ascii="Palatino Linotype" w:eastAsia="MS Gothic" w:hAnsi="Palatino Linotype" w:cs="Times New Roman"/>
          <w:i/>
          <w:iCs/>
          <w:sz w:val="22"/>
        </w:rPr>
        <w:t xml:space="preserve"> El domicilio de la Unidad de Transparencia, así como de las áreas o unidades administrativas ante las que podrán ejercitarse de manera directa los derechos ARCO. </w:t>
      </w:r>
    </w:p>
    <w:p w14:paraId="2CA3959B"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XI.</w:t>
      </w:r>
      <w:r w:rsidRPr="00C8495C">
        <w:rPr>
          <w:rFonts w:ascii="Palatino Linotype" w:eastAsia="MS Gothic" w:hAnsi="Palatino Linotype" w:cs="Times New Roman"/>
          <w:i/>
          <w:iCs/>
          <w:sz w:val="22"/>
        </w:rPr>
        <w:t xml:space="preserve"> El tiempo de conservación de los datos. </w:t>
      </w:r>
    </w:p>
    <w:p w14:paraId="1AAF1382"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XII.</w:t>
      </w:r>
      <w:r w:rsidRPr="00C8495C">
        <w:rPr>
          <w:rFonts w:ascii="Palatino Linotype" w:eastAsia="MS Gothic" w:hAnsi="Palatino Linotype" w:cs="Times New Roman"/>
          <w:i/>
          <w:iCs/>
          <w:sz w:val="22"/>
        </w:rPr>
        <w:t xml:space="preserve"> El nivel de seguridad. </w:t>
      </w:r>
    </w:p>
    <w:p w14:paraId="498C1E8B"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b/>
          <w:bCs/>
          <w:i/>
          <w:iCs/>
          <w:sz w:val="22"/>
        </w:rPr>
        <w:t>XIII.</w:t>
      </w:r>
      <w:r w:rsidRPr="00C8495C">
        <w:rPr>
          <w:rFonts w:ascii="Palatino Linotype" w:eastAsia="MS Gothic" w:hAnsi="Palatino Linotype" w:cs="Times New Roman"/>
          <w:i/>
          <w:iCs/>
          <w:sz w:val="22"/>
        </w:rPr>
        <w:t xml:space="preserve"> En caso de que se hubiera presentado una violación de la seguridad de los datos personales se indicará la fecha de ocurrencia, la de detección y la de atención. Dicha información deberá permanecer en el registro un año calendario posterior a la fecha de su atención. </w:t>
      </w:r>
    </w:p>
    <w:p w14:paraId="1F7C9CCE"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i/>
          <w:iCs/>
          <w:sz w:val="22"/>
        </w:rPr>
      </w:pPr>
      <w:r w:rsidRPr="00C8495C">
        <w:rPr>
          <w:rFonts w:ascii="Palatino Linotype" w:eastAsia="MS Gothic" w:hAnsi="Palatino Linotype" w:cs="Times New Roman"/>
          <w:i/>
          <w:iCs/>
          <w:sz w:val="22"/>
        </w:rPr>
        <w:t>Dicha información será publicada en el portal informativo del Instituto y se actualizará por la Unidad de Transparencia en el primer y séptimo mes de cada año.”</w:t>
      </w:r>
    </w:p>
    <w:p w14:paraId="0A984A4E" w14:textId="77777777" w:rsidR="00364594" w:rsidRPr="00C8495C" w:rsidRDefault="00364594" w:rsidP="00364594">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rPr>
      </w:pPr>
      <w:r w:rsidRPr="00C8495C">
        <w:rPr>
          <w:rFonts w:ascii="Palatino Linotype" w:eastAsia="MS Gothic" w:hAnsi="Palatino Linotype" w:cs="Times New Roman"/>
          <w:sz w:val="22"/>
        </w:rPr>
        <w:t>(Énfasis añadido)</w:t>
      </w:r>
    </w:p>
    <w:p w14:paraId="0F67400C" w14:textId="77777777" w:rsidR="00364594" w:rsidRPr="00C8495C" w:rsidRDefault="00364594" w:rsidP="00364594">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6ED9CED" w14:textId="0710B832" w:rsidR="00364594" w:rsidRPr="00C8495C" w:rsidRDefault="00364594"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eastAsia="MS Gothic" w:hAnsi="Palatino Linotype" w:cs="Times New Roman"/>
          <w:szCs w:val="26"/>
        </w:rPr>
        <w:t xml:space="preserve">De lo anterior se colige que cada sistema o base de datos contará con un </w:t>
      </w:r>
      <w:r w:rsidRPr="00C8495C">
        <w:rPr>
          <w:rFonts w:ascii="Palatino Linotype" w:eastAsia="MS Gothic" w:hAnsi="Palatino Linotype" w:cs="Times New Roman"/>
          <w:b/>
          <w:szCs w:val="26"/>
        </w:rPr>
        <w:t>administrador</w:t>
      </w:r>
      <w:r w:rsidRPr="00C8495C">
        <w:rPr>
          <w:rFonts w:ascii="Palatino Linotype" w:eastAsia="MS Gothic" w:hAnsi="Palatino Linotype" w:cs="Times New Roman"/>
          <w:szCs w:val="26"/>
        </w:rPr>
        <w:t xml:space="preserve">, quien será el encargado de su resguardo y tratamiento de los datos personales que en ella se contengan; este administrador, </w:t>
      </w:r>
      <w:r w:rsidRPr="00C8495C">
        <w:rPr>
          <w:rFonts w:ascii="Palatino Linotype" w:eastAsia="MS Gothic" w:hAnsi="Palatino Linotype" w:cs="Times New Roman"/>
          <w:i/>
          <w:szCs w:val="26"/>
        </w:rPr>
        <w:t xml:space="preserve">a fortiori </w:t>
      </w:r>
      <w:r w:rsidRPr="00C8495C">
        <w:rPr>
          <w:rFonts w:ascii="Palatino Linotype" w:eastAsia="MS Gothic" w:hAnsi="Palatino Linotype" w:cs="Times New Roman"/>
          <w:szCs w:val="26"/>
        </w:rPr>
        <w:t xml:space="preserve">debe ser </w:t>
      </w:r>
      <w:r w:rsidRPr="00C8495C">
        <w:rPr>
          <w:rFonts w:ascii="Palatino Linotype" w:eastAsia="MS Gothic" w:hAnsi="Palatino Linotype" w:cs="Times New Roman"/>
          <w:b/>
          <w:szCs w:val="26"/>
        </w:rPr>
        <w:t>nombrado</w:t>
      </w:r>
      <w:r w:rsidRPr="00C8495C">
        <w:rPr>
          <w:rFonts w:ascii="Palatino Linotype" w:eastAsia="MS Gothic" w:hAnsi="Palatino Linotype" w:cs="Times New Roman"/>
          <w:szCs w:val="26"/>
        </w:rPr>
        <w:t xml:space="preserve"> por el Sujeto Obligado responsable, pues será el servidor público directamente </w:t>
      </w:r>
      <w:r w:rsidRPr="00C8495C">
        <w:rPr>
          <w:rFonts w:ascii="Palatino Linotype" w:eastAsia="MS Gothic" w:hAnsi="Palatino Linotype" w:cs="Times New Roman"/>
          <w:szCs w:val="26"/>
        </w:rPr>
        <w:lastRenderedPageBreak/>
        <w:t>responsable de los datos personales resguardados en un conjunto de registros, archivos o documentos agrupados por una semántica específica.</w:t>
      </w:r>
    </w:p>
    <w:p w14:paraId="563C0F4E" w14:textId="77777777" w:rsidR="00236F33" w:rsidRPr="00C8495C" w:rsidRDefault="00236F33" w:rsidP="00236F33">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48AC93AC" w14:textId="2C6592C3" w:rsidR="00236F33" w:rsidRPr="00C8495C" w:rsidRDefault="00C9460A"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eastAsia="MS Gothic" w:hAnsi="Palatino Linotype" w:cs="Times New Roman"/>
          <w:szCs w:val="26"/>
        </w:rPr>
        <w:t xml:space="preserve">Dicho lo anterior, debemos recordar que a través de la solicitud de información </w:t>
      </w:r>
      <w:r w:rsidRPr="00C8495C">
        <w:rPr>
          <w:rFonts w:ascii="Palatino Linotype" w:eastAsia="MS Gothic" w:hAnsi="Palatino Linotype" w:cs="Times New Roman"/>
          <w:b/>
          <w:szCs w:val="26"/>
        </w:rPr>
        <w:t>00199/SEGEGOB/IP/2022</w:t>
      </w:r>
      <w:r w:rsidRPr="00C8495C">
        <w:rPr>
          <w:rFonts w:ascii="Palatino Linotype" w:eastAsia="MS Gothic" w:hAnsi="Palatino Linotype" w:cs="Times New Roman"/>
          <w:szCs w:val="26"/>
        </w:rPr>
        <w:t>, el particular requirió la siguiente información:</w:t>
      </w:r>
    </w:p>
    <w:p w14:paraId="5923F874" w14:textId="77777777" w:rsidR="00236F33" w:rsidRPr="00C8495C" w:rsidRDefault="00236F33" w:rsidP="00236F33">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4FBC1AA8" w14:textId="45D7AD8B" w:rsidR="00C9460A" w:rsidRPr="00C8495C" w:rsidRDefault="00C9460A" w:rsidP="00C9460A">
      <w:pPr>
        <w:pStyle w:val="Prrafodelista"/>
        <w:tabs>
          <w:tab w:val="left" w:pos="142"/>
          <w:tab w:val="left" w:pos="284"/>
          <w:tab w:val="left" w:pos="426"/>
        </w:tabs>
        <w:spacing w:before="240" w:after="240" w:line="276" w:lineRule="auto"/>
        <w:ind w:left="567" w:right="567"/>
        <w:jc w:val="both"/>
        <w:rPr>
          <w:rFonts w:ascii="Palatino Linotype" w:hAnsi="Palatino Linotype"/>
          <w:color w:val="000000" w:themeColor="text1"/>
          <w:sz w:val="22"/>
        </w:rPr>
      </w:pPr>
      <w:r w:rsidRPr="00C8495C">
        <w:rPr>
          <w:rFonts w:ascii="Palatino Linotype" w:hAnsi="Palatino Linotype"/>
          <w:i/>
          <w:color w:val="000000" w:themeColor="text1"/>
          <w:sz w:val="22"/>
        </w:rPr>
        <w:t>“</w:t>
      </w:r>
      <w:r w:rsidRPr="00C8495C">
        <w:rPr>
          <w:rFonts w:ascii="Palatino Linotype" w:hAnsi="Palatino Linotype"/>
          <w:b/>
          <w:i/>
          <w:color w:val="000000" w:themeColor="text1"/>
          <w:sz w:val="22"/>
        </w:rPr>
        <w:t>Solicito</w:t>
      </w:r>
      <w:r w:rsidRPr="00C8495C">
        <w:rPr>
          <w:rFonts w:ascii="Palatino Linotype" w:hAnsi="Palatino Linotype"/>
          <w:i/>
          <w:color w:val="000000" w:themeColor="text1"/>
          <w:sz w:val="22"/>
        </w:rPr>
        <w:t xml:space="preserve"> el Plan de Trabajo del Sistema de Gestión de Protección de Datos Personales de esta Dependencia, correspondiente al ejercicio 2019 a 2022, así como </w:t>
      </w:r>
      <w:r w:rsidRPr="00C8495C">
        <w:rPr>
          <w:rFonts w:ascii="Palatino Linotype" w:hAnsi="Palatino Linotype"/>
          <w:b/>
          <w:i/>
          <w:color w:val="000000" w:themeColor="text1"/>
          <w:sz w:val="22"/>
        </w:rPr>
        <w:t>los documentos y/</w:t>
      </w:r>
      <w:proofErr w:type="spellStart"/>
      <w:r w:rsidRPr="00C8495C">
        <w:rPr>
          <w:rFonts w:ascii="Palatino Linotype" w:hAnsi="Palatino Linotype"/>
          <w:b/>
          <w:i/>
          <w:color w:val="000000" w:themeColor="text1"/>
          <w:sz w:val="22"/>
        </w:rPr>
        <w:t>o</w:t>
      </w:r>
      <w:proofErr w:type="spellEnd"/>
      <w:r w:rsidRPr="00C8495C">
        <w:rPr>
          <w:rFonts w:ascii="Palatino Linotype" w:hAnsi="Palatino Linotype"/>
          <w:b/>
          <w:i/>
          <w:color w:val="000000" w:themeColor="text1"/>
          <w:sz w:val="22"/>
        </w:rPr>
        <w:t xml:space="preserve"> oficios generados y recibidos por la Unidad de Transparencia conforme al siguiente orden: Designación de los Administradores de Bases de Datos</w:t>
      </w:r>
      <w:r w:rsidRPr="00C8495C">
        <w:rPr>
          <w:rFonts w:ascii="Palatino Linotype" w:hAnsi="Palatino Linotype"/>
          <w:i/>
          <w:color w:val="000000" w:themeColor="text1"/>
          <w:sz w:val="22"/>
        </w:rPr>
        <w:t xml:space="preserve">, Actualización de Avisos de Privacidad, </w:t>
      </w:r>
      <w:r w:rsidRPr="00C8495C">
        <w:rPr>
          <w:rFonts w:ascii="Palatino Linotype" w:hAnsi="Palatino Linotype"/>
          <w:b/>
          <w:i/>
          <w:color w:val="000000" w:themeColor="text1"/>
          <w:sz w:val="22"/>
        </w:rPr>
        <w:t>Supervisión a las bases de datos</w:t>
      </w:r>
      <w:r w:rsidRPr="00C8495C">
        <w:rPr>
          <w:rFonts w:ascii="Palatino Linotype" w:hAnsi="Palatino Linotype"/>
          <w:i/>
          <w:color w:val="000000" w:themeColor="text1"/>
          <w:sz w:val="22"/>
        </w:rPr>
        <w:t xml:space="preserve"> documentales o electrónicas </w:t>
      </w:r>
      <w:r w:rsidRPr="00C8495C">
        <w:rPr>
          <w:rFonts w:ascii="Palatino Linotype" w:hAnsi="Palatino Linotype"/>
          <w:b/>
          <w:i/>
          <w:color w:val="000000" w:themeColor="text1"/>
          <w:sz w:val="22"/>
        </w:rPr>
        <w:t>para establecer medidas de seguridad</w:t>
      </w:r>
      <w:r w:rsidRPr="00C8495C">
        <w:rPr>
          <w:rFonts w:ascii="Palatino Linotype" w:hAnsi="Palatino Linotype"/>
          <w:i/>
          <w:color w:val="000000" w:themeColor="text1"/>
          <w:sz w:val="22"/>
        </w:rPr>
        <w:t xml:space="preserve">, </w:t>
      </w:r>
      <w:r w:rsidRPr="00C8495C">
        <w:rPr>
          <w:rFonts w:ascii="Palatino Linotype" w:hAnsi="Palatino Linotype"/>
          <w:b/>
          <w:i/>
          <w:color w:val="000000" w:themeColor="text1"/>
          <w:sz w:val="22"/>
        </w:rPr>
        <w:t>Establecer bitácora de violaciones a la seguridad de las bases de datos</w:t>
      </w:r>
      <w:r w:rsidRPr="00C8495C">
        <w:rPr>
          <w:rFonts w:ascii="Palatino Linotype" w:hAnsi="Palatino Linotype"/>
          <w:i/>
          <w:color w:val="000000" w:themeColor="text1"/>
          <w:sz w:val="22"/>
        </w:rPr>
        <w:t xml:space="preserve"> documentales o electrónicas, </w:t>
      </w:r>
      <w:r w:rsidRPr="00C8495C">
        <w:rPr>
          <w:rFonts w:ascii="Palatino Linotype" w:hAnsi="Palatino Linotype"/>
          <w:b/>
          <w:i/>
          <w:color w:val="000000" w:themeColor="text1"/>
          <w:sz w:val="22"/>
        </w:rPr>
        <w:t>Establecer el Plan de contingencia con las Unidades Administrativas y Actualización de bases de datos</w:t>
      </w:r>
      <w:r w:rsidRPr="00C8495C">
        <w:rPr>
          <w:rFonts w:ascii="Palatino Linotype" w:hAnsi="Palatino Linotype"/>
          <w:i/>
          <w:color w:val="000000" w:themeColor="text1"/>
          <w:sz w:val="22"/>
        </w:rPr>
        <w:t xml:space="preserve">, el </w:t>
      </w:r>
      <w:r w:rsidRPr="00C8495C">
        <w:rPr>
          <w:rFonts w:ascii="Palatino Linotype" w:hAnsi="Palatino Linotype"/>
          <w:b/>
          <w:i/>
          <w:color w:val="000000" w:themeColor="text1"/>
          <w:sz w:val="22"/>
        </w:rPr>
        <w:t>inventario de las bases de datos</w:t>
      </w:r>
      <w:r w:rsidRPr="00C8495C">
        <w:rPr>
          <w:rFonts w:ascii="Palatino Linotype" w:hAnsi="Palatino Linotype"/>
          <w:i/>
          <w:color w:val="000000" w:themeColor="text1"/>
          <w:sz w:val="22"/>
        </w:rPr>
        <w:t>, documentos de Gestión de seguridad y documentos de seguridad de la dependencia.”</w:t>
      </w:r>
      <w:r w:rsidRPr="00C8495C">
        <w:rPr>
          <w:rFonts w:ascii="Palatino Linotype" w:hAnsi="Palatino Linotype"/>
          <w:color w:val="000000" w:themeColor="text1"/>
          <w:sz w:val="22"/>
        </w:rPr>
        <w:t xml:space="preserve"> (Sic)</w:t>
      </w:r>
    </w:p>
    <w:p w14:paraId="7E299232" w14:textId="2ACFCC4E" w:rsidR="00C9460A" w:rsidRPr="00C8495C" w:rsidRDefault="00C9460A" w:rsidP="00C9460A">
      <w:pPr>
        <w:pStyle w:val="Prrafodelista"/>
        <w:tabs>
          <w:tab w:val="left" w:pos="142"/>
          <w:tab w:val="left" w:pos="284"/>
          <w:tab w:val="left" w:pos="426"/>
        </w:tabs>
        <w:spacing w:before="240" w:after="240" w:line="276" w:lineRule="auto"/>
        <w:ind w:left="567" w:right="567"/>
        <w:jc w:val="both"/>
        <w:rPr>
          <w:rFonts w:ascii="Palatino Linotype" w:hAnsi="Palatino Linotype"/>
          <w:color w:val="000000" w:themeColor="text1"/>
          <w:sz w:val="22"/>
        </w:rPr>
      </w:pPr>
      <w:r w:rsidRPr="00C8495C">
        <w:rPr>
          <w:rFonts w:ascii="Palatino Linotype" w:hAnsi="Palatino Linotype"/>
          <w:color w:val="000000" w:themeColor="text1"/>
          <w:sz w:val="22"/>
        </w:rPr>
        <w:t>(Énfasis añadido)</w:t>
      </w:r>
    </w:p>
    <w:p w14:paraId="7E5782C2" w14:textId="77777777" w:rsidR="00C9460A" w:rsidRPr="00C8495C" w:rsidRDefault="00C9460A" w:rsidP="00236F33">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1FAA0E25" w14:textId="46E92352" w:rsidR="00236F33" w:rsidRPr="00C8495C" w:rsidRDefault="00C9460A"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eastAsia="MS Gothic" w:hAnsi="Palatino Linotype" w:cs="Times New Roman"/>
          <w:szCs w:val="26"/>
        </w:rPr>
        <w:t xml:space="preserve">De lo anterior se colige que, en relación con bases de datos personales, el </w:t>
      </w:r>
      <w:r w:rsidRPr="00C8495C">
        <w:rPr>
          <w:rFonts w:ascii="Palatino Linotype" w:eastAsia="MS Gothic" w:hAnsi="Palatino Linotype" w:cs="Times New Roman"/>
          <w:b/>
          <w:szCs w:val="26"/>
        </w:rPr>
        <w:t>RECURRENTE</w:t>
      </w:r>
      <w:r w:rsidRPr="00C8495C">
        <w:rPr>
          <w:rFonts w:ascii="Palatino Linotype" w:eastAsia="MS Gothic" w:hAnsi="Palatino Linotype" w:cs="Times New Roman"/>
          <w:szCs w:val="26"/>
        </w:rPr>
        <w:t xml:space="preserve"> requirió acceder a los </w:t>
      </w:r>
      <w:r w:rsidRPr="00C8495C">
        <w:rPr>
          <w:rFonts w:ascii="Palatino Linotype" w:eastAsia="MS Gothic" w:hAnsi="Palatino Linotype" w:cs="Times New Roman"/>
          <w:b/>
          <w:szCs w:val="26"/>
        </w:rPr>
        <w:t>documentos u oficios</w:t>
      </w:r>
      <w:r w:rsidRPr="00C8495C">
        <w:rPr>
          <w:rFonts w:ascii="Palatino Linotype" w:eastAsia="MS Gothic" w:hAnsi="Palatino Linotype" w:cs="Times New Roman"/>
          <w:szCs w:val="26"/>
        </w:rPr>
        <w:t xml:space="preserve"> generados y recibidos por la Unidad de Transparencia conforme a designación de los administradores de bases de batos; supervisión a las bases de datos para establecer medidas de seguridad; establecer bitácora de violaciones a la seguridad de bases de datos; establecer el Plan de contingencia con las unidades administrativas y actualización de bases de datos.</w:t>
      </w:r>
    </w:p>
    <w:p w14:paraId="53FF612B" w14:textId="77777777" w:rsidR="00236F33" w:rsidRPr="00C8495C" w:rsidRDefault="00236F33" w:rsidP="00236F33">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6FC23DC4" w14:textId="0724C249" w:rsidR="00C9460A" w:rsidRPr="00C8495C" w:rsidRDefault="00C9460A" w:rsidP="00C9460A">
      <w:pPr>
        <w:pStyle w:val="Prrafodelista"/>
        <w:numPr>
          <w:ilvl w:val="0"/>
          <w:numId w:val="1"/>
        </w:numPr>
        <w:tabs>
          <w:tab w:val="left" w:pos="426"/>
        </w:tabs>
        <w:spacing w:before="240" w:after="240" w:line="360" w:lineRule="auto"/>
        <w:ind w:right="49"/>
        <w:jc w:val="both"/>
        <w:rPr>
          <w:rFonts w:ascii="Palatino Linotype" w:hAnsi="Palatino Linotype"/>
        </w:rPr>
      </w:pPr>
      <w:r w:rsidRPr="00C8495C">
        <w:rPr>
          <w:rFonts w:ascii="Palatino Linotype" w:eastAsia="MS Gothic" w:hAnsi="Palatino Linotype" w:cs="Times New Roman"/>
          <w:szCs w:val="26"/>
        </w:rPr>
        <w:t xml:space="preserve">No </w:t>
      </w:r>
      <w:proofErr w:type="gramStart"/>
      <w:r w:rsidRPr="00C8495C">
        <w:rPr>
          <w:rFonts w:ascii="Palatino Linotype" w:eastAsia="Calibri" w:hAnsi="Palatino Linotype" w:cs="Arial"/>
          <w:lang w:val="es-ES"/>
        </w:rPr>
        <w:t>obstante</w:t>
      </w:r>
      <w:proofErr w:type="gramEnd"/>
      <w:r w:rsidRPr="00C8495C">
        <w:rPr>
          <w:rFonts w:ascii="Palatino Linotype" w:eastAsia="Calibri" w:hAnsi="Palatino Linotype" w:cs="Arial"/>
          <w:lang w:val="es-ES"/>
        </w:rPr>
        <w:t xml:space="preserve"> lo anterior, y como se ha señalado a lo largo de la presente resolución, el particular promovió el recurso de revisión </w:t>
      </w:r>
      <w:r w:rsidRPr="00C8495C">
        <w:rPr>
          <w:rFonts w:ascii="Palatino Linotype" w:eastAsia="Calibri" w:hAnsi="Palatino Linotype" w:cs="Arial"/>
          <w:b/>
          <w:lang w:val="es-ES"/>
        </w:rPr>
        <w:lastRenderedPageBreak/>
        <w:t>13038/INFOEM/IP/RR/2023</w:t>
      </w:r>
      <w:r w:rsidRPr="00C8495C">
        <w:rPr>
          <w:rFonts w:ascii="Palatino Linotype" w:eastAsia="Calibri" w:hAnsi="Palatino Linotype" w:cs="Arial"/>
          <w:lang w:val="es-ES"/>
        </w:rPr>
        <w:t xml:space="preserve">, en el que refirió como </w:t>
      </w:r>
      <w:r w:rsidRPr="00C8495C">
        <w:rPr>
          <w:rFonts w:ascii="Palatino Linotype" w:eastAsia="Calibri" w:hAnsi="Palatino Linotype" w:cs="Arial"/>
          <w:i/>
          <w:lang w:val="es-ES"/>
        </w:rPr>
        <w:t>Acto Impugnado</w:t>
      </w:r>
      <w:r w:rsidRPr="00C8495C">
        <w:rPr>
          <w:rFonts w:ascii="Palatino Linotype" w:eastAsia="Calibri" w:hAnsi="Palatino Linotype" w:cs="Arial"/>
          <w:lang w:val="es-ES"/>
        </w:rPr>
        <w:t xml:space="preserve"> y </w:t>
      </w:r>
      <w:r w:rsidRPr="00C8495C">
        <w:rPr>
          <w:rFonts w:ascii="Palatino Linotype" w:eastAsia="Calibri" w:hAnsi="Palatino Linotype" w:cs="Arial"/>
          <w:i/>
          <w:lang w:val="es-ES"/>
        </w:rPr>
        <w:t>Razones o motivos de la inconformidad</w:t>
      </w:r>
      <w:r w:rsidRPr="00C8495C">
        <w:rPr>
          <w:rFonts w:ascii="Palatino Linotype" w:eastAsia="Calibri" w:hAnsi="Palatino Linotype" w:cs="Arial"/>
          <w:lang w:val="es-ES"/>
        </w:rPr>
        <w:t xml:space="preserve"> lo siguiente:</w:t>
      </w:r>
    </w:p>
    <w:p w14:paraId="09C87A53" w14:textId="77777777" w:rsidR="00C9460A" w:rsidRPr="00C8495C" w:rsidRDefault="00C9460A" w:rsidP="00C9460A">
      <w:pPr>
        <w:pStyle w:val="Prrafodelista"/>
        <w:tabs>
          <w:tab w:val="left" w:pos="426"/>
        </w:tabs>
        <w:spacing w:before="240" w:after="240" w:line="360" w:lineRule="auto"/>
        <w:ind w:left="0" w:right="49"/>
        <w:jc w:val="both"/>
        <w:rPr>
          <w:rFonts w:ascii="Palatino Linotype" w:hAnsi="Palatino Linotype"/>
        </w:rPr>
      </w:pPr>
    </w:p>
    <w:p w14:paraId="6B0967D7" w14:textId="18CDCD9C" w:rsidR="00C9460A" w:rsidRPr="00C8495C" w:rsidRDefault="00C9460A" w:rsidP="00C9460A">
      <w:pPr>
        <w:pStyle w:val="Prrafodelista"/>
        <w:tabs>
          <w:tab w:val="left" w:pos="426"/>
        </w:tabs>
        <w:spacing w:before="240" w:after="240" w:line="360" w:lineRule="auto"/>
        <w:ind w:left="567" w:right="567"/>
        <w:jc w:val="both"/>
        <w:rPr>
          <w:rFonts w:ascii="Palatino Linotype" w:hAnsi="Palatino Linotype"/>
        </w:rPr>
      </w:pPr>
      <w:r w:rsidRPr="00C8495C">
        <w:rPr>
          <w:rFonts w:ascii="Palatino Linotype" w:hAnsi="Palatino Linotype"/>
          <w:i/>
        </w:rPr>
        <w:t>“</w:t>
      </w:r>
      <w:r w:rsidRPr="00C8495C">
        <w:rPr>
          <w:rFonts w:ascii="Palatino Linotype" w:hAnsi="Palatino Linotype"/>
          <w:b/>
          <w:i/>
        </w:rPr>
        <w:t xml:space="preserve">No se entrega </w:t>
      </w:r>
      <w:proofErr w:type="gramStart"/>
      <w:r w:rsidRPr="00C8495C">
        <w:rPr>
          <w:rFonts w:ascii="Palatino Linotype" w:hAnsi="Palatino Linotype"/>
          <w:b/>
          <w:i/>
        </w:rPr>
        <w:t>la bases</w:t>
      </w:r>
      <w:proofErr w:type="gramEnd"/>
      <w:r w:rsidRPr="00C8495C">
        <w:rPr>
          <w:rFonts w:ascii="Palatino Linotype" w:hAnsi="Palatino Linotype"/>
          <w:b/>
          <w:i/>
        </w:rPr>
        <w:t xml:space="preserve"> de datos</w:t>
      </w:r>
      <w:r w:rsidRPr="00C8495C">
        <w:rPr>
          <w:rFonts w:ascii="Palatino Linotype" w:hAnsi="Palatino Linotype"/>
          <w:i/>
        </w:rPr>
        <w:t xml:space="preserve"> y Plan de Trabajo del Sistema de Gestión de Protección de Datos Personales de esta Dependencia”</w:t>
      </w:r>
      <w:r w:rsidRPr="00C8495C">
        <w:rPr>
          <w:rFonts w:ascii="Palatino Linotype" w:hAnsi="Palatino Linotype"/>
        </w:rPr>
        <w:t xml:space="preserve"> (Sic)</w:t>
      </w:r>
    </w:p>
    <w:p w14:paraId="2A559ED5" w14:textId="7FFD5FCD" w:rsidR="00C9460A" w:rsidRPr="00C8495C" w:rsidRDefault="00C9460A" w:rsidP="00C9460A">
      <w:pPr>
        <w:pStyle w:val="Prrafodelista"/>
        <w:tabs>
          <w:tab w:val="left" w:pos="426"/>
        </w:tabs>
        <w:spacing w:before="240" w:after="240" w:line="360" w:lineRule="auto"/>
        <w:ind w:left="567" w:right="567"/>
        <w:jc w:val="both"/>
        <w:rPr>
          <w:rFonts w:ascii="Palatino Linotype" w:hAnsi="Palatino Linotype"/>
        </w:rPr>
      </w:pPr>
      <w:r w:rsidRPr="00C8495C">
        <w:rPr>
          <w:rFonts w:ascii="Palatino Linotype" w:hAnsi="Palatino Linotype"/>
        </w:rPr>
        <w:t>(Énfasis añadido)</w:t>
      </w:r>
    </w:p>
    <w:p w14:paraId="62E18AF4" w14:textId="77777777" w:rsidR="00C9460A" w:rsidRPr="00C8495C" w:rsidRDefault="00C9460A" w:rsidP="00C9460A">
      <w:pPr>
        <w:pStyle w:val="Prrafodelista"/>
        <w:tabs>
          <w:tab w:val="left" w:pos="426"/>
        </w:tabs>
        <w:spacing w:before="240" w:after="240" w:line="360" w:lineRule="auto"/>
        <w:ind w:left="0" w:right="49"/>
        <w:jc w:val="both"/>
        <w:rPr>
          <w:rFonts w:ascii="Palatino Linotype" w:hAnsi="Palatino Linotype"/>
        </w:rPr>
      </w:pPr>
    </w:p>
    <w:p w14:paraId="019CA98E" w14:textId="28C566AC" w:rsidR="00C9460A" w:rsidRPr="00C8495C" w:rsidRDefault="00C9460A" w:rsidP="00C9460A">
      <w:pPr>
        <w:pStyle w:val="Prrafodelista"/>
        <w:numPr>
          <w:ilvl w:val="0"/>
          <w:numId w:val="1"/>
        </w:numPr>
        <w:tabs>
          <w:tab w:val="left" w:pos="426"/>
        </w:tabs>
        <w:spacing w:before="240" w:line="360" w:lineRule="auto"/>
        <w:ind w:right="49"/>
        <w:jc w:val="both"/>
        <w:rPr>
          <w:rFonts w:ascii="Palatino Linotype" w:hAnsi="Palatino Linotype"/>
        </w:rPr>
      </w:pPr>
      <w:r w:rsidRPr="00C8495C">
        <w:rPr>
          <w:rFonts w:ascii="Palatino Linotype" w:eastAsia="Calibri" w:hAnsi="Palatino Linotype" w:cs="Arial"/>
          <w:lang w:val="es-ES"/>
        </w:rPr>
        <w:t xml:space="preserve">De lo anterior se colige que el </w:t>
      </w:r>
      <w:r w:rsidRPr="00C8495C">
        <w:rPr>
          <w:rFonts w:ascii="Palatino Linotype" w:eastAsia="Calibri" w:hAnsi="Palatino Linotype" w:cs="Arial"/>
          <w:b/>
          <w:lang w:val="es-ES"/>
        </w:rPr>
        <w:t>RECURRENTE</w:t>
      </w:r>
      <w:r w:rsidRPr="00C8495C">
        <w:rPr>
          <w:rFonts w:ascii="Palatino Linotype" w:eastAsia="Calibri" w:hAnsi="Palatino Linotype" w:cs="Arial"/>
          <w:lang w:val="es-ES"/>
        </w:rPr>
        <w:t xml:space="preserve"> hizo uso del recurso de revisión que nos ocupa para </w:t>
      </w:r>
      <w:r w:rsidRPr="00C8495C">
        <w:rPr>
          <w:rFonts w:ascii="Palatino Linotype" w:eastAsia="Calibri" w:hAnsi="Palatino Linotype" w:cs="Arial"/>
          <w:b/>
          <w:lang w:val="es-ES"/>
        </w:rPr>
        <w:t>ampliar</w:t>
      </w:r>
      <w:r w:rsidRPr="00C8495C">
        <w:rPr>
          <w:rFonts w:ascii="Palatino Linotype" w:eastAsia="Calibri" w:hAnsi="Palatino Linotype" w:cs="Arial"/>
          <w:lang w:val="es-ES"/>
        </w:rPr>
        <w:t xml:space="preserve"> su solicitud de información inicial, y </w:t>
      </w:r>
      <w:r w:rsidRPr="00C8495C">
        <w:rPr>
          <w:rFonts w:ascii="Palatino Linotype" w:eastAsia="Calibri" w:hAnsi="Palatino Linotype" w:cs="Arial"/>
          <w:b/>
          <w:lang w:val="es-ES"/>
        </w:rPr>
        <w:t>solicitar las bases de datos que resguarda el SUJETO OBLIGADO</w:t>
      </w:r>
      <w:r w:rsidRPr="00C8495C">
        <w:rPr>
          <w:rFonts w:ascii="Palatino Linotype" w:eastAsia="Calibri" w:hAnsi="Palatino Linotype" w:cs="Arial"/>
          <w:lang w:val="es-ES"/>
        </w:rPr>
        <w:t xml:space="preserve">, lo cual se </w:t>
      </w:r>
      <w:r w:rsidRPr="00C8495C">
        <w:rPr>
          <w:rFonts w:ascii="Palatino Linotype" w:eastAsia="MS Mincho" w:hAnsi="Palatino Linotype" w:cstheme="majorBidi"/>
        </w:rPr>
        <w:t xml:space="preserve">se traduce como </w:t>
      </w:r>
      <w:proofErr w:type="gramStart"/>
      <w:r w:rsidRPr="00C8495C">
        <w:rPr>
          <w:rFonts w:ascii="Palatino Linotype" w:eastAsia="MS Mincho" w:hAnsi="Palatino Linotype" w:cstheme="majorBidi"/>
        </w:rPr>
        <w:t xml:space="preserve">una </w:t>
      </w:r>
      <w:r w:rsidRPr="00C8495C">
        <w:rPr>
          <w:rFonts w:ascii="Palatino Linotype" w:eastAsia="MS Mincho" w:hAnsi="Palatino Linotype" w:cstheme="majorBidi"/>
          <w:b/>
          <w:bCs/>
          <w:i/>
          <w:iCs/>
        </w:rPr>
        <w:t>plus</w:t>
      </w:r>
      <w:proofErr w:type="gramEnd"/>
      <w:r w:rsidRPr="00C8495C">
        <w:rPr>
          <w:rFonts w:ascii="Palatino Linotype" w:eastAsia="MS Mincho" w:hAnsi="Palatino Linotype" w:cstheme="majorBidi"/>
          <w:b/>
          <w:bCs/>
          <w:i/>
          <w:iCs/>
        </w:rPr>
        <w:t xml:space="preserve"> </w:t>
      </w:r>
      <w:proofErr w:type="spellStart"/>
      <w:r w:rsidRPr="00C8495C">
        <w:rPr>
          <w:rFonts w:ascii="Palatino Linotype" w:eastAsia="MS Mincho" w:hAnsi="Palatino Linotype" w:cstheme="majorBidi"/>
          <w:b/>
          <w:bCs/>
          <w:i/>
          <w:iCs/>
        </w:rPr>
        <w:t>petitio</w:t>
      </w:r>
      <w:proofErr w:type="spellEnd"/>
      <w:r w:rsidRPr="00C8495C">
        <w:rPr>
          <w:rFonts w:ascii="Palatino Linotype" w:eastAsia="MS Mincho" w:hAnsi="Palatino Linotype" w:cstheme="majorBidi"/>
        </w:rPr>
        <w:t xml:space="preserve">, al ser información novedosa a la originalmente requerida en la solicitud de información </w:t>
      </w:r>
      <w:r w:rsidRPr="00C8495C">
        <w:rPr>
          <w:rFonts w:ascii="Palatino Linotype" w:eastAsia="MS Mincho" w:hAnsi="Palatino Linotype" w:cstheme="majorBidi"/>
          <w:b/>
          <w:bCs/>
        </w:rPr>
        <w:t>00199/SEGEGOB/IP/2022</w:t>
      </w:r>
      <w:r w:rsidRPr="00C8495C">
        <w:rPr>
          <w:rFonts w:ascii="Palatino Linotype" w:eastAsia="MS Mincho" w:hAnsi="Palatino Linotype" w:cstheme="majorBidi"/>
        </w:rPr>
        <w:t>.</w:t>
      </w:r>
    </w:p>
    <w:p w14:paraId="72216A2D" w14:textId="77777777" w:rsidR="00C9460A" w:rsidRPr="00C8495C" w:rsidRDefault="00C9460A" w:rsidP="00C9460A">
      <w:pPr>
        <w:spacing w:line="360" w:lineRule="auto"/>
        <w:ind w:right="49"/>
        <w:contextualSpacing/>
        <w:jc w:val="both"/>
        <w:rPr>
          <w:rFonts w:ascii="Palatino Linotype" w:hAnsi="Palatino Linotype"/>
          <w:color w:val="000000"/>
        </w:rPr>
      </w:pPr>
    </w:p>
    <w:p w14:paraId="06F32608" w14:textId="77777777" w:rsidR="00C9460A" w:rsidRPr="00C8495C" w:rsidRDefault="00C9460A" w:rsidP="00C9460A">
      <w:pPr>
        <w:numPr>
          <w:ilvl w:val="0"/>
          <w:numId w:val="1"/>
        </w:numPr>
        <w:spacing w:line="360" w:lineRule="auto"/>
        <w:ind w:right="49"/>
        <w:contextualSpacing/>
        <w:jc w:val="both"/>
        <w:rPr>
          <w:rFonts w:ascii="Palatino Linotype" w:hAnsi="Palatino Linotype"/>
          <w:color w:val="000000"/>
        </w:rPr>
      </w:pPr>
      <w:r w:rsidRPr="00C8495C">
        <w:rPr>
          <w:rFonts w:ascii="Palatino Linotype" w:hAnsi="Palatino Linotype"/>
          <w:color w:val="000000"/>
        </w:rPr>
        <w:t xml:space="preserve">Conforme a lo anterior, debemos aclarar que </w:t>
      </w:r>
      <w:r w:rsidRPr="00C8495C">
        <w:rPr>
          <w:rFonts w:ascii="Palatino Linotype" w:hAnsi="Palatino Linotype" w:cs="Arial"/>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C8495C">
        <w:rPr>
          <w:rFonts w:ascii="Palatino Linotype" w:hAnsi="Palatino Linotype" w:cs="Arial"/>
          <w:b/>
          <w:bCs/>
        </w:rPr>
        <w:t>SUJETO OBLIGADO</w:t>
      </w:r>
      <w:r w:rsidRPr="00C8495C">
        <w:rPr>
          <w:rFonts w:ascii="Palatino Linotype" w:hAnsi="Palatino Linotype" w:cs="Arial"/>
        </w:rPr>
        <w:t xml:space="preserve"> no tuvo la oportunidad de conocer y, por consiguiente, producir un posicionamiento.</w:t>
      </w:r>
    </w:p>
    <w:p w14:paraId="3906AC4A" w14:textId="77777777" w:rsidR="00C9460A" w:rsidRPr="00C8495C" w:rsidRDefault="00C9460A" w:rsidP="00C9460A">
      <w:pPr>
        <w:rPr>
          <w:rFonts w:ascii="Palatino Linotype" w:hAnsi="Palatino Linotype"/>
          <w:color w:val="000000"/>
        </w:rPr>
      </w:pPr>
    </w:p>
    <w:p w14:paraId="500C733D" w14:textId="77777777" w:rsidR="00C9460A" w:rsidRPr="00C8495C" w:rsidRDefault="00C9460A" w:rsidP="00C9460A">
      <w:pPr>
        <w:numPr>
          <w:ilvl w:val="0"/>
          <w:numId w:val="1"/>
        </w:numPr>
        <w:spacing w:line="360" w:lineRule="auto"/>
        <w:ind w:right="49"/>
        <w:contextualSpacing/>
        <w:jc w:val="both"/>
        <w:rPr>
          <w:rFonts w:ascii="Palatino Linotype" w:hAnsi="Palatino Linotype"/>
          <w:color w:val="000000"/>
        </w:rPr>
      </w:pPr>
      <w:r w:rsidRPr="00C8495C">
        <w:rPr>
          <w:rFonts w:ascii="Palatino Linotype" w:hAnsi="Palatino Linotype"/>
          <w:color w:val="000000"/>
        </w:rPr>
        <w:t xml:space="preserve">Es </w:t>
      </w:r>
      <w:r w:rsidRPr="00C8495C">
        <w:rPr>
          <w:rFonts w:ascii="Palatino Linotype" w:hAnsi="Palatino Linotype" w:cs="Arial"/>
        </w:rPr>
        <w:t xml:space="preserve">por ello que la Ley de la materia contempla que en los casos en que a través del recurso de revisión se pretenda ampliar los requerimientos de información, la </w:t>
      </w:r>
      <w:r w:rsidRPr="00C8495C">
        <w:rPr>
          <w:rFonts w:ascii="Palatino Linotype" w:hAnsi="Palatino Linotype" w:cs="Arial"/>
        </w:rPr>
        <w:lastRenderedPageBreak/>
        <w:t xml:space="preserve">inconformidad relativa a estas situaciones novedosas no debe ser tomada en cuenta como parte de la </w:t>
      </w:r>
      <w:r w:rsidRPr="00C8495C">
        <w:rPr>
          <w:rFonts w:ascii="Palatino Linotype" w:hAnsi="Palatino Linotype" w:cs="Arial"/>
          <w:i/>
          <w:iCs/>
        </w:rPr>
        <w:t>Litis</w:t>
      </w:r>
      <w:r w:rsidRPr="00C8495C">
        <w:rPr>
          <w:rFonts w:ascii="Palatino Linotype" w:hAnsi="Palatino Linotype" w:cs="Arial"/>
        </w:rPr>
        <w:t xml:space="preserve"> y debe ser desechada, tal y como lo establece el artículo 191, fracción VII, mismo que se transcribe a continuación:</w:t>
      </w:r>
    </w:p>
    <w:p w14:paraId="08ADDBA2" w14:textId="77777777" w:rsidR="00C9460A" w:rsidRPr="00C8495C" w:rsidRDefault="00C9460A" w:rsidP="00C9460A">
      <w:pPr>
        <w:spacing w:line="360" w:lineRule="auto"/>
        <w:ind w:right="49"/>
        <w:contextualSpacing/>
        <w:jc w:val="both"/>
        <w:rPr>
          <w:rFonts w:ascii="Palatino Linotype" w:hAnsi="Palatino Linotype"/>
          <w:color w:val="000000"/>
        </w:rPr>
      </w:pPr>
    </w:p>
    <w:p w14:paraId="10CF7B9E" w14:textId="77777777" w:rsidR="00C9460A" w:rsidRPr="00C8495C" w:rsidRDefault="00C9460A" w:rsidP="00C9460A">
      <w:pPr>
        <w:ind w:left="567" w:right="539"/>
        <w:contextualSpacing/>
        <w:jc w:val="both"/>
        <w:rPr>
          <w:rFonts w:ascii="Palatino Linotype" w:hAnsi="Palatino Linotype" w:cs="Arial"/>
          <w:i/>
          <w:sz w:val="22"/>
          <w:szCs w:val="22"/>
        </w:rPr>
      </w:pPr>
      <w:r w:rsidRPr="00C8495C">
        <w:rPr>
          <w:rFonts w:ascii="Palatino Linotype" w:hAnsi="Palatino Linotype" w:cs="Arial"/>
          <w:b/>
          <w:bCs/>
          <w:i/>
          <w:sz w:val="22"/>
          <w:szCs w:val="22"/>
        </w:rPr>
        <w:t>“Artículo 191.</w:t>
      </w:r>
      <w:r w:rsidRPr="00C8495C">
        <w:rPr>
          <w:rFonts w:ascii="Palatino Linotype" w:hAnsi="Palatino Linotype" w:cs="Arial"/>
          <w:i/>
          <w:sz w:val="22"/>
          <w:szCs w:val="22"/>
        </w:rPr>
        <w:t xml:space="preserve"> El recurso será desechado por improcedente cuando:</w:t>
      </w:r>
    </w:p>
    <w:p w14:paraId="02C624DC" w14:textId="77777777" w:rsidR="00C9460A" w:rsidRPr="00C8495C" w:rsidRDefault="00C9460A" w:rsidP="00C9460A">
      <w:pPr>
        <w:ind w:left="567" w:right="539"/>
        <w:contextualSpacing/>
        <w:jc w:val="both"/>
        <w:rPr>
          <w:rFonts w:ascii="Palatino Linotype" w:hAnsi="Palatino Linotype" w:cs="Arial"/>
          <w:i/>
          <w:sz w:val="22"/>
          <w:szCs w:val="22"/>
        </w:rPr>
      </w:pPr>
      <w:r w:rsidRPr="00C8495C">
        <w:rPr>
          <w:rFonts w:ascii="Palatino Linotype" w:hAnsi="Palatino Linotype" w:cs="Arial"/>
          <w:i/>
          <w:sz w:val="22"/>
          <w:szCs w:val="22"/>
        </w:rPr>
        <w:t>…</w:t>
      </w:r>
    </w:p>
    <w:p w14:paraId="0680B1D7" w14:textId="77777777" w:rsidR="00C9460A" w:rsidRPr="00C8495C" w:rsidRDefault="00C9460A" w:rsidP="00C9460A">
      <w:pPr>
        <w:ind w:left="567" w:right="539"/>
        <w:contextualSpacing/>
        <w:jc w:val="both"/>
        <w:rPr>
          <w:rFonts w:ascii="Palatino Linotype" w:hAnsi="Palatino Linotype" w:cs="Arial"/>
          <w:i/>
          <w:sz w:val="22"/>
          <w:szCs w:val="22"/>
        </w:rPr>
      </w:pPr>
      <w:r w:rsidRPr="00C8495C">
        <w:rPr>
          <w:rFonts w:ascii="Palatino Linotype" w:hAnsi="Palatino Linotype" w:cs="Arial"/>
          <w:b/>
          <w:bCs/>
          <w:i/>
          <w:sz w:val="22"/>
          <w:szCs w:val="22"/>
        </w:rPr>
        <w:t>VII.</w:t>
      </w:r>
      <w:r w:rsidRPr="00C8495C">
        <w:rPr>
          <w:rFonts w:ascii="Palatino Linotype" w:hAnsi="Palatino Linotype" w:cs="Arial"/>
          <w:i/>
          <w:sz w:val="22"/>
          <w:szCs w:val="22"/>
        </w:rPr>
        <w:t xml:space="preserve"> El recurrente amplíe su solicitud en el recurso de revisión, únicamente respecto de los nuevos contenidos”</w:t>
      </w:r>
    </w:p>
    <w:p w14:paraId="12333524" w14:textId="77777777" w:rsidR="00C9460A" w:rsidRPr="00C8495C" w:rsidRDefault="00C9460A" w:rsidP="00C9460A">
      <w:pPr>
        <w:ind w:left="567" w:right="539"/>
        <w:contextualSpacing/>
        <w:jc w:val="both"/>
        <w:rPr>
          <w:rFonts w:ascii="Palatino Linotype" w:hAnsi="Palatino Linotype" w:cs="Arial"/>
          <w:iCs/>
          <w:sz w:val="22"/>
          <w:szCs w:val="22"/>
        </w:rPr>
      </w:pPr>
      <w:r w:rsidRPr="00C8495C">
        <w:rPr>
          <w:rFonts w:ascii="Palatino Linotype" w:hAnsi="Palatino Linotype" w:cs="Arial"/>
          <w:iCs/>
          <w:sz w:val="22"/>
          <w:szCs w:val="22"/>
        </w:rPr>
        <w:t>(Énfasis Añadido)</w:t>
      </w:r>
    </w:p>
    <w:p w14:paraId="518A5ABE" w14:textId="77777777" w:rsidR="00C9460A" w:rsidRPr="00C8495C" w:rsidRDefault="00C9460A" w:rsidP="00C9460A">
      <w:pPr>
        <w:spacing w:line="360" w:lineRule="auto"/>
        <w:ind w:right="49"/>
        <w:contextualSpacing/>
        <w:jc w:val="both"/>
        <w:rPr>
          <w:rFonts w:ascii="Palatino Linotype" w:hAnsi="Palatino Linotype"/>
          <w:color w:val="000000"/>
        </w:rPr>
      </w:pPr>
    </w:p>
    <w:p w14:paraId="43C81037" w14:textId="77777777" w:rsidR="00C9460A" w:rsidRPr="00C8495C" w:rsidRDefault="00C9460A" w:rsidP="00C9460A">
      <w:pPr>
        <w:numPr>
          <w:ilvl w:val="0"/>
          <w:numId w:val="1"/>
        </w:numPr>
        <w:spacing w:line="360" w:lineRule="auto"/>
        <w:ind w:right="49"/>
        <w:contextualSpacing/>
        <w:jc w:val="both"/>
        <w:rPr>
          <w:rFonts w:ascii="Palatino Linotype" w:hAnsi="Palatino Linotype"/>
          <w:color w:val="000000"/>
        </w:rPr>
      </w:pPr>
      <w:r w:rsidRPr="00C8495C">
        <w:rPr>
          <w:rFonts w:ascii="Palatino Linotype" w:hAnsi="Palatino Linotype"/>
          <w:color w:val="000000"/>
        </w:rPr>
        <w:t xml:space="preserve">Por </w:t>
      </w:r>
      <w:r w:rsidRPr="00C8495C">
        <w:rPr>
          <w:rFonts w:ascii="Palatino Linotype" w:hAnsi="Palatino Linotype" w:cs="Arial"/>
        </w:rPr>
        <w:t xml:space="preserve">lo anterior, resulta improcedente el referido motivo de inconformidad, ya que </w:t>
      </w:r>
      <w:r w:rsidRPr="00C8495C">
        <w:rPr>
          <w:rFonts w:ascii="Palatino Linotype" w:hAnsi="Palatino Linotype" w:cs="Arial"/>
          <w:color w:val="000000"/>
        </w:rPr>
        <w:t xml:space="preserve">se aprecia que el </w:t>
      </w:r>
      <w:r w:rsidRPr="00C8495C">
        <w:rPr>
          <w:rFonts w:ascii="Palatino Linotype" w:hAnsi="Palatino Linotype" w:cs="Arial"/>
          <w:b/>
          <w:bCs/>
          <w:color w:val="000000"/>
        </w:rPr>
        <w:t>RECURRENTE</w:t>
      </w:r>
      <w:r w:rsidRPr="00C8495C">
        <w:rPr>
          <w:rFonts w:ascii="Palatino Linotype" w:hAnsi="Palatino Linotype" w:cs="Arial"/>
          <w:color w:val="000000"/>
        </w:rPr>
        <w:t xml:space="preserve"> se excedió dentro de su inconformidad respecto a lo requerido originalmente en la solicitud de información, siendo el caso que pretende ampliar lo solicitado de origen, lo que hace que se surta lo que en la teoría jurídica se le denomina </w:t>
      </w:r>
      <w:r w:rsidRPr="00C8495C">
        <w:rPr>
          <w:rFonts w:ascii="Palatino Linotype" w:hAnsi="Palatino Linotype" w:cs="Arial"/>
          <w:b/>
          <w:bCs/>
          <w:i/>
          <w:iCs/>
          <w:color w:val="000000"/>
        </w:rPr>
        <w:t xml:space="preserve">Plus </w:t>
      </w:r>
      <w:proofErr w:type="spellStart"/>
      <w:r w:rsidRPr="00C8495C">
        <w:rPr>
          <w:rFonts w:ascii="Palatino Linotype" w:hAnsi="Palatino Linotype" w:cs="Arial"/>
          <w:b/>
          <w:bCs/>
          <w:i/>
          <w:iCs/>
          <w:color w:val="000000"/>
        </w:rPr>
        <w:t>Petitio</w:t>
      </w:r>
      <w:proofErr w:type="spellEnd"/>
      <w:r w:rsidRPr="00C8495C">
        <w:rPr>
          <w:rFonts w:ascii="Palatino Linotype" w:hAnsi="Palatino Linotype" w:cs="Arial"/>
          <w:b/>
          <w:bCs/>
          <w:i/>
          <w:iCs/>
          <w:color w:val="000000"/>
        </w:rPr>
        <w:t>.</w:t>
      </w:r>
    </w:p>
    <w:p w14:paraId="6D22E066" w14:textId="77777777" w:rsidR="00C9460A" w:rsidRPr="00C8495C" w:rsidRDefault="00C9460A" w:rsidP="00C9460A">
      <w:pPr>
        <w:spacing w:line="360" w:lineRule="auto"/>
        <w:ind w:right="49"/>
        <w:contextualSpacing/>
        <w:jc w:val="both"/>
        <w:rPr>
          <w:rFonts w:ascii="Palatino Linotype" w:hAnsi="Palatino Linotype"/>
          <w:color w:val="000000"/>
        </w:rPr>
      </w:pPr>
    </w:p>
    <w:p w14:paraId="6E07A1C3" w14:textId="77777777" w:rsidR="00C9460A" w:rsidRPr="00C8495C" w:rsidRDefault="00C9460A" w:rsidP="00C9460A">
      <w:pPr>
        <w:numPr>
          <w:ilvl w:val="0"/>
          <w:numId w:val="1"/>
        </w:numPr>
        <w:spacing w:line="360" w:lineRule="auto"/>
        <w:ind w:right="49"/>
        <w:contextualSpacing/>
        <w:jc w:val="both"/>
        <w:rPr>
          <w:rFonts w:ascii="Palatino Linotype" w:hAnsi="Palatino Linotype"/>
          <w:color w:val="000000"/>
        </w:rPr>
      </w:pPr>
      <w:r w:rsidRPr="00C8495C">
        <w:rPr>
          <w:rFonts w:ascii="Palatino Linotype" w:hAnsi="Palatino Linotype"/>
          <w:color w:val="000000"/>
        </w:rPr>
        <w:t>Sustenta lo anterior</w:t>
      </w:r>
      <w:r w:rsidRPr="00C8495C">
        <w:rPr>
          <w:rFonts w:ascii="Palatino Linotype" w:hAnsi="Palatino Linotype" w:cs="Arial"/>
          <w:color w:val="000000"/>
        </w:rPr>
        <w:t xml:space="preserve"> el Criterio de Interpretación 01/17 emitido por el Instituto Nacional de Transparencia, Acceso a la Información y Protección de Datos Personales que establece lo siguiente:</w:t>
      </w:r>
    </w:p>
    <w:p w14:paraId="35D5A7A8" w14:textId="77777777" w:rsidR="00C9460A" w:rsidRPr="00C8495C" w:rsidRDefault="00C9460A" w:rsidP="00C9460A">
      <w:pPr>
        <w:spacing w:line="360" w:lineRule="auto"/>
        <w:ind w:right="49"/>
        <w:contextualSpacing/>
        <w:jc w:val="both"/>
        <w:rPr>
          <w:rFonts w:ascii="Palatino Linotype" w:hAnsi="Palatino Linotype"/>
          <w:color w:val="000000"/>
        </w:rPr>
      </w:pPr>
    </w:p>
    <w:p w14:paraId="608DAE92" w14:textId="77777777" w:rsidR="00C9460A" w:rsidRPr="00C8495C" w:rsidRDefault="00C9460A" w:rsidP="00C9460A">
      <w:pPr>
        <w:ind w:left="567" w:right="539"/>
        <w:contextualSpacing/>
        <w:jc w:val="both"/>
        <w:rPr>
          <w:rFonts w:ascii="Palatino Linotype" w:hAnsi="Palatino Linotype" w:cs="Arial"/>
          <w:i/>
          <w:color w:val="000000"/>
          <w:sz w:val="22"/>
          <w:szCs w:val="22"/>
        </w:rPr>
      </w:pPr>
      <w:r w:rsidRPr="00C8495C">
        <w:rPr>
          <w:rFonts w:ascii="Palatino Linotype" w:hAnsi="Palatino Linotype" w:cs="Arial"/>
          <w:b/>
          <w:i/>
          <w:color w:val="000000"/>
          <w:sz w:val="22"/>
          <w:szCs w:val="22"/>
        </w:rPr>
        <w:t>ES IMPROCEDENTE AMPLIAR LAS SOLICITUDES DE ACCESO A INFORMACIÓN, A TRAVÉS DE LA INTERPOSICIÓN DEL RECURSO DE REVISIÓN.</w:t>
      </w:r>
      <w:r w:rsidRPr="00C8495C">
        <w:rPr>
          <w:rFonts w:ascii="Palatino Linotype" w:hAnsi="Palatino Linotype" w:cs="Arial"/>
          <w:i/>
          <w:color w:val="000000"/>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66F0F60" w14:textId="77777777" w:rsidR="00C9460A" w:rsidRPr="00C8495C" w:rsidRDefault="00C9460A" w:rsidP="00C9460A">
      <w:pPr>
        <w:spacing w:line="360" w:lineRule="auto"/>
        <w:ind w:right="49"/>
        <w:contextualSpacing/>
        <w:jc w:val="both"/>
        <w:rPr>
          <w:rFonts w:ascii="Palatino Linotype" w:hAnsi="Palatino Linotype"/>
          <w:color w:val="000000"/>
        </w:rPr>
      </w:pPr>
    </w:p>
    <w:p w14:paraId="5DADA4C6" w14:textId="77777777" w:rsidR="00C9460A" w:rsidRPr="00C8495C" w:rsidRDefault="00C9460A" w:rsidP="00C9460A">
      <w:pPr>
        <w:numPr>
          <w:ilvl w:val="0"/>
          <w:numId w:val="1"/>
        </w:numPr>
        <w:spacing w:line="360" w:lineRule="auto"/>
        <w:ind w:right="49"/>
        <w:contextualSpacing/>
        <w:jc w:val="both"/>
        <w:rPr>
          <w:rFonts w:ascii="Palatino Linotype" w:hAnsi="Palatino Linotype"/>
          <w:color w:val="000000"/>
        </w:rPr>
      </w:pPr>
      <w:r w:rsidRPr="00C8495C">
        <w:rPr>
          <w:rFonts w:ascii="Palatino Linotype" w:hAnsi="Palatino Linotype"/>
          <w:color w:val="000000"/>
        </w:rPr>
        <w:lastRenderedPageBreak/>
        <w:t xml:space="preserve">Asimismo, </w:t>
      </w:r>
      <w:r w:rsidRPr="00C8495C">
        <w:rPr>
          <w:rFonts w:ascii="Palatino Linotype" w:hAnsi="Palatino Linotype" w:cs="Arial"/>
          <w:color w:val="000000"/>
        </w:rPr>
        <w:t>sirve de apoyo, por analogía, la Jurisprudencia No. 29 visible a foja 19 del Apéndice al Semanario Judicial de la Federación 1917-1995, Torno VI, Materia Común, Primera Parte, Tesis de la Suprema Corte de Justicia, que contiene:</w:t>
      </w:r>
    </w:p>
    <w:p w14:paraId="69972408" w14:textId="77777777" w:rsidR="00C9460A" w:rsidRPr="00C8495C" w:rsidRDefault="00C9460A" w:rsidP="00C9460A">
      <w:pPr>
        <w:spacing w:line="360" w:lineRule="auto"/>
        <w:ind w:right="49"/>
        <w:contextualSpacing/>
        <w:jc w:val="both"/>
        <w:rPr>
          <w:rFonts w:ascii="Palatino Linotype" w:hAnsi="Palatino Linotype"/>
          <w:color w:val="000000"/>
        </w:rPr>
      </w:pPr>
    </w:p>
    <w:p w14:paraId="664E3A85" w14:textId="77777777" w:rsidR="00C9460A" w:rsidRPr="00C8495C" w:rsidRDefault="00C9460A" w:rsidP="00C9460A">
      <w:pPr>
        <w:ind w:left="567" w:right="539"/>
        <w:contextualSpacing/>
        <w:jc w:val="both"/>
        <w:rPr>
          <w:rFonts w:ascii="Palatino Linotype" w:hAnsi="Palatino Linotype"/>
          <w:color w:val="000000"/>
          <w:sz w:val="22"/>
          <w:szCs w:val="22"/>
        </w:rPr>
      </w:pPr>
      <w:r w:rsidRPr="00C8495C">
        <w:rPr>
          <w:rFonts w:ascii="Palatino Linotype" w:hAnsi="Palatino Linotype" w:cs="Arial"/>
          <w:b/>
          <w:i/>
          <w:color w:val="000000"/>
          <w:sz w:val="22"/>
          <w:szCs w:val="22"/>
        </w:rPr>
        <w:t xml:space="preserve">AGRAVIOS EN LA REVISION. DEBEN ESTAR EN RELACION DIRECTA CON LOS FUNDAMENTOS Y CONSIDERACIONES DE LA SENTENCIA. </w:t>
      </w:r>
      <w:r w:rsidRPr="00C8495C">
        <w:rPr>
          <w:rFonts w:ascii="Palatino Linotype" w:hAnsi="Palatino Linotype" w:cs="Arial"/>
          <w:bCs/>
          <w:i/>
          <w:color w:val="000000"/>
          <w:sz w:val="22"/>
          <w:szCs w:val="22"/>
        </w:rPr>
        <w:t>“</w:t>
      </w:r>
      <w:r w:rsidRPr="00C8495C">
        <w:rPr>
          <w:rFonts w:ascii="Palatino Linotype" w:hAnsi="Palatino Linotype" w:cs="Arial"/>
          <w:i/>
          <w:color w:val="000000"/>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6227E492" w14:textId="77777777" w:rsidR="00C9460A" w:rsidRPr="00C8495C" w:rsidRDefault="00C9460A" w:rsidP="00C9460A">
      <w:pPr>
        <w:spacing w:line="360" w:lineRule="auto"/>
        <w:ind w:right="49"/>
        <w:contextualSpacing/>
        <w:jc w:val="both"/>
        <w:rPr>
          <w:rFonts w:ascii="Palatino Linotype" w:hAnsi="Palatino Linotype"/>
          <w:color w:val="000000"/>
        </w:rPr>
      </w:pPr>
    </w:p>
    <w:p w14:paraId="048C457B" w14:textId="77274E20" w:rsidR="00236F33" w:rsidRPr="00C8495C" w:rsidRDefault="00C9460A" w:rsidP="00364594">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C8495C">
        <w:rPr>
          <w:rFonts w:ascii="Palatino Linotype" w:eastAsia="MS Gothic" w:hAnsi="Palatino Linotype" w:cs="Times New Roman"/>
          <w:szCs w:val="26"/>
        </w:rPr>
        <w:t xml:space="preserve">Razón de lo anterior, este Organismo Garante determina como </w:t>
      </w:r>
      <w:r w:rsidRPr="00C8495C">
        <w:rPr>
          <w:rFonts w:ascii="Palatino Linotype" w:eastAsia="MS Gothic" w:hAnsi="Palatino Linotype" w:cs="Times New Roman"/>
          <w:b/>
          <w:szCs w:val="26"/>
        </w:rPr>
        <w:t>parcialmente fundados</w:t>
      </w:r>
      <w:r w:rsidRPr="00C8495C">
        <w:rPr>
          <w:rFonts w:ascii="Palatino Linotype" w:eastAsia="MS Gothic" w:hAnsi="Palatino Linotype" w:cs="Times New Roman"/>
          <w:szCs w:val="26"/>
        </w:rPr>
        <w:t xml:space="preserve"> los agravios expuestos por el </w:t>
      </w:r>
      <w:r w:rsidRPr="00C8495C">
        <w:rPr>
          <w:rFonts w:ascii="Palatino Linotype" w:eastAsia="MS Gothic" w:hAnsi="Palatino Linotype" w:cs="Times New Roman"/>
          <w:b/>
          <w:szCs w:val="26"/>
        </w:rPr>
        <w:t>RECURRENTE</w:t>
      </w:r>
      <w:r w:rsidRPr="00C8495C">
        <w:rPr>
          <w:rFonts w:ascii="Palatino Linotype" w:eastAsia="MS Gothic" w:hAnsi="Palatino Linotype" w:cs="Times New Roman"/>
          <w:szCs w:val="26"/>
        </w:rPr>
        <w:t xml:space="preserve"> dentro del recurso de revisión </w:t>
      </w:r>
      <w:r w:rsidRPr="00C8495C">
        <w:rPr>
          <w:rFonts w:ascii="Palatino Linotype" w:eastAsia="MS Gothic" w:hAnsi="Palatino Linotype" w:cs="Times New Roman"/>
          <w:b/>
          <w:szCs w:val="26"/>
        </w:rPr>
        <w:t>13038/INFOEM/IP/RR/2022</w:t>
      </w:r>
      <w:r w:rsidRPr="00C8495C">
        <w:rPr>
          <w:rFonts w:ascii="Palatino Linotype" w:eastAsia="MS Gothic" w:hAnsi="Palatino Linotype" w:cs="Times New Roman"/>
          <w:szCs w:val="26"/>
        </w:rPr>
        <w:t xml:space="preserve">, por lo que se </w:t>
      </w:r>
      <w:r w:rsidRPr="00C8495C">
        <w:rPr>
          <w:rFonts w:ascii="Palatino Linotype" w:eastAsia="MS Gothic" w:hAnsi="Palatino Linotype" w:cs="Times New Roman"/>
          <w:b/>
          <w:szCs w:val="26"/>
        </w:rPr>
        <w:t>ordena</w:t>
      </w:r>
      <w:r w:rsidRPr="00C8495C">
        <w:rPr>
          <w:rFonts w:ascii="Palatino Linotype" w:eastAsia="MS Gothic" w:hAnsi="Palatino Linotype" w:cs="Times New Roman"/>
          <w:szCs w:val="26"/>
        </w:rPr>
        <w:t xml:space="preserve"> entregar el Acuerdo </w:t>
      </w:r>
      <w:r w:rsidRPr="00C8495C">
        <w:rPr>
          <w:rFonts w:ascii="Palatino Linotype" w:eastAsia="MS Gothic" w:hAnsi="Palatino Linotype" w:cs="Times New Roman"/>
          <w:bCs/>
          <w:szCs w:val="26"/>
        </w:rPr>
        <w:t>del Comité de Transparencia, en el que clasifique como información confidencial el Plan de Trabajo del Sistema de Gestión de Protección de Datos Personales de los ejercicios dos mil diecinueve al dos mil veintidós.</w:t>
      </w:r>
    </w:p>
    <w:p w14:paraId="027CB7C9" w14:textId="77777777" w:rsidR="00364594" w:rsidRPr="00C8495C" w:rsidRDefault="00364594" w:rsidP="00364594">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437FA7BC" w14:textId="17327245" w:rsidR="00BB7519" w:rsidRPr="00C8495C" w:rsidRDefault="00BB7519" w:rsidP="00364594">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C8495C">
        <w:rPr>
          <w:rFonts w:ascii="Palatino Linotype" w:hAnsi="Palatino Linotype"/>
          <w:b/>
          <w:bCs/>
          <w:color w:val="000000" w:themeColor="text1"/>
        </w:rPr>
        <w:t>QUINTO. De la versión pública.</w:t>
      </w:r>
    </w:p>
    <w:p w14:paraId="6365BFC9" w14:textId="77777777" w:rsidR="00BB7519" w:rsidRPr="00C8495C" w:rsidRDefault="00BB7519" w:rsidP="00BB7519">
      <w:pPr>
        <w:pStyle w:val="Prrafodelista"/>
        <w:tabs>
          <w:tab w:val="left" w:pos="426"/>
        </w:tabs>
        <w:spacing w:before="240" w:after="240" w:line="360" w:lineRule="auto"/>
        <w:ind w:left="0" w:right="51"/>
        <w:jc w:val="both"/>
        <w:rPr>
          <w:rFonts w:ascii="Palatino Linotype" w:hAnsi="Palatino Linotype"/>
          <w:color w:val="000000" w:themeColor="text1"/>
        </w:rPr>
      </w:pPr>
    </w:p>
    <w:p w14:paraId="4575F206" w14:textId="77777777" w:rsidR="00D05160" w:rsidRPr="00C8495C" w:rsidRDefault="00BB7519"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Debe </w:t>
      </w:r>
      <w:r w:rsidR="00D05160" w:rsidRPr="00C8495C">
        <w:rPr>
          <w:rFonts w:ascii="Palatino Linotype" w:hAnsi="Palatino Linotype"/>
          <w:color w:val="000000" w:themeColor="text1"/>
        </w:rPr>
        <w:t xml:space="preserve">destacarse que, debido a la naturaleza de la información </w:t>
      </w:r>
      <w:r w:rsidR="00D05160" w:rsidRPr="00C8495C">
        <w:rPr>
          <w:rFonts w:ascii="Palatino Linotype" w:hAnsi="Palatino Linotype"/>
          <w:bCs/>
          <w:color w:val="000000" w:themeColor="text1"/>
        </w:rPr>
        <w:t>solicitada, consistente en el soporte documental de todas las autorizaciones de cambio de uso de suelo, eventualmente</w:t>
      </w:r>
      <w:r w:rsidR="00D05160" w:rsidRPr="00C8495C">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w:t>
      </w:r>
      <w:r w:rsidR="00D05160" w:rsidRPr="00C8495C">
        <w:rPr>
          <w:rFonts w:ascii="Palatino Linotype" w:hAnsi="Palatino Linotype"/>
          <w:color w:val="000000" w:themeColor="text1"/>
        </w:rPr>
        <w:lastRenderedPageBreak/>
        <w:t>velar por la protección de los datos personales aun tratándose de servidores públicos y en su caso generar la versión pública de los documentos por las consideraciones que se estimen pertinentes.</w:t>
      </w:r>
    </w:p>
    <w:p w14:paraId="58D2B7F4"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26E7FB6F"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La </w:t>
      </w:r>
      <w:r w:rsidRPr="00C8495C">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CA5AB77"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3BF1A43B" w14:textId="77777777" w:rsidR="00D05160" w:rsidRPr="00C8495C" w:rsidRDefault="00D05160" w:rsidP="00D0516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C8495C">
        <w:rPr>
          <w:rFonts w:ascii="Palatino Linotype" w:hAnsi="Palatino Linotype"/>
          <w:b/>
          <w:color w:val="000000" w:themeColor="text1"/>
        </w:rPr>
        <w:t>I. Requisitos previos.</w:t>
      </w:r>
    </w:p>
    <w:p w14:paraId="40364F77"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7E934E82"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Los </w:t>
      </w:r>
      <w:r w:rsidRPr="00C8495C">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C8495C">
        <w:rPr>
          <w:rFonts w:ascii="Palatino Linotype" w:eastAsia="MS Mincho" w:hAnsi="Palatino Linotype" w:cs="Times New Roman"/>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437DFF6"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E97E19F"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Además, </w:t>
      </w:r>
      <w:r w:rsidRPr="00C8495C">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B750FA"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6AAA53D8"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El </w:t>
      </w:r>
      <w:r w:rsidRPr="00C8495C">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35F7B2F"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21057B44" w14:textId="77777777" w:rsidR="00D05160" w:rsidRPr="00C8495C" w:rsidRDefault="00D05160" w:rsidP="00D0516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C8495C">
        <w:rPr>
          <w:rFonts w:ascii="Palatino Linotype" w:hAnsi="Palatino Linotype"/>
          <w:b/>
          <w:color w:val="000000" w:themeColor="text1"/>
        </w:rPr>
        <w:t>II. Supuestos de clasificación.</w:t>
      </w:r>
    </w:p>
    <w:p w14:paraId="6A56943A"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6815B93"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Las </w:t>
      </w:r>
      <w:r w:rsidRPr="00C8495C">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BA2DC75"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31F06E57"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Los </w:t>
      </w:r>
      <w:r w:rsidRPr="00C8495C">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FC5C06A" w14:textId="77777777" w:rsidR="00D05160" w:rsidRPr="00C8495C" w:rsidRDefault="00D05160" w:rsidP="00D05160">
      <w:pPr>
        <w:pStyle w:val="Prrafodelista"/>
        <w:tabs>
          <w:tab w:val="left" w:pos="426"/>
        </w:tabs>
        <w:spacing w:before="240" w:line="360" w:lineRule="auto"/>
        <w:ind w:left="0" w:right="51"/>
        <w:jc w:val="both"/>
        <w:rPr>
          <w:rFonts w:ascii="Palatino Linotype" w:hAnsi="Palatino Linotype"/>
          <w:color w:val="000000" w:themeColor="text1"/>
        </w:rPr>
      </w:pPr>
    </w:p>
    <w:p w14:paraId="1073A749" w14:textId="77777777" w:rsidR="00D05160" w:rsidRPr="00C8495C" w:rsidRDefault="00D05160" w:rsidP="00D0516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C8495C">
        <w:rPr>
          <w:rFonts w:ascii="Palatino Linotype" w:hAnsi="Palatino Linotype" w:cs="Bookman Old Style"/>
          <w:bCs/>
          <w:i/>
          <w:color w:val="000000"/>
          <w:sz w:val="22"/>
          <w:szCs w:val="22"/>
        </w:rPr>
        <w:t>“</w:t>
      </w:r>
      <w:r w:rsidRPr="00C8495C">
        <w:rPr>
          <w:rFonts w:ascii="Palatino Linotype" w:hAnsi="Palatino Linotype" w:cs="Bookman Old Style"/>
          <w:b/>
          <w:i/>
          <w:color w:val="000000"/>
          <w:sz w:val="22"/>
          <w:szCs w:val="22"/>
        </w:rPr>
        <w:t>I.</w:t>
      </w:r>
      <w:r w:rsidRPr="00C8495C">
        <w:rPr>
          <w:rFonts w:ascii="Palatino Linotype" w:hAnsi="Palatino Linotype" w:cs="Bookman Old Style"/>
          <w:bCs/>
          <w:i/>
          <w:color w:val="000000"/>
          <w:sz w:val="22"/>
          <w:szCs w:val="22"/>
        </w:rPr>
        <w:t xml:space="preserve"> </w:t>
      </w:r>
      <w:r w:rsidRPr="00C8495C">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3FE549E7" w14:textId="77777777" w:rsidR="00D05160" w:rsidRPr="00C8495C" w:rsidRDefault="00D05160" w:rsidP="00D0516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C8495C">
        <w:rPr>
          <w:rFonts w:ascii="Palatino Linotype" w:hAnsi="Palatino Linotype" w:cs="Bookman Old Style"/>
          <w:b/>
          <w:i/>
          <w:color w:val="000000"/>
          <w:sz w:val="22"/>
          <w:szCs w:val="22"/>
        </w:rPr>
        <w:t>II.</w:t>
      </w:r>
      <w:r w:rsidRPr="00C8495C">
        <w:rPr>
          <w:rFonts w:ascii="Palatino Linotype" w:hAnsi="Palatino Linotype" w:cs="Bookman Old Style"/>
          <w:bCs/>
          <w:i/>
          <w:color w:val="000000"/>
          <w:sz w:val="22"/>
          <w:szCs w:val="22"/>
        </w:rPr>
        <w:t xml:space="preserve"> </w:t>
      </w:r>
      <w:r w:rsidRPr="00C8495C">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A50E71A" w14:textId="77777777" w:rsidR="00D05160" w:rsidRPr="00C8495C" w:rsidRDefault="00D05160" w:rsidP="00D0516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C8495C">
        <w:rPr>
          <w:rFonts w:ascii="Palatino Linotype" w:hAnsi="Palatino Linotype" w:cs="Bookman Old Style"/>
          <w:b/>
          <w:i/>
          <w:color w:val="000000"/>
          <w:sz w:val="22"/>
          <w:szCs w:val="22"/>
        </w:rPr>
        <w:t>III.</w:t>
      </w:r>
      <w:r w:rsidRPr="00C8495C">
        <w:rPr>
          <w:rFonts w:ascii="Palatino Linotype" w:hAnsi="Palatino Linotype" w:cs="Bookman Old Style"/>
          <w:bCs/>
          <w:i/>
          <w:color w:val="000000"/>
          <w:sz w:val="22"/>
          <w:szCs w:val="22"/>
        </w:rPr>
        <w:t xml:space="preserve"> </w:t>
      </w:r>
      <w:r w:rsidRPr="00C8495C">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6CBEB585" w14:textId="77777777" w:rsidR="00D05160" w:rsidRPr="00C8495C" w:rsidRDefault="00D05160" w:rsidP="00D0516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C8495C">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6B46B0CA" w14:textId="77777777" w:rsidR="00D05160" w:rsidRPr="00C8495C" w:rsidRDefault="00D05160" w:rsidP="00D0516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C8495C">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11F930CB"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FD19585"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Palatino Linotype" w:hAnsi="Palatino Linotype" w:cs="Palatino Linotype"/>
          <w:color w:val="000000"/>
        </w:rPr>
        <w:t xml:space="preserve">Mientras </w:t>
      </w:r>
      <w:r w:rsidRPr="00C8495C">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661C484"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2FBCD472"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Como </w:t>
      </w:r>
      <w:r w:rsidRPr="00C8495C">
        <w:rPr>
          <w:rFonts w:ascii="Palatino Linotype" w:eastAsia="MS Mincho" w:hAnsi="Palatino Linotype" w:cs="Times New Roman"/>
        </w:rPr>
        <w:t xml:space="preserve">consecuencia de lo anterior, el </w:t>
      </w:r>
      <w:r w:rsidRPr="00C8495C">
        <w:rPr>
          <w:rFonts w:ascii="Palatino Linotype" w:eastAsia="MS Mincho" w:hAnsi="Palatino Linotype" w:cs="Times New Roman"/>
          <w:b/>
          <w:bCs/>
        </w:rPr>
        <w:t>SUJETO OBLIGADO</w:t>
      </w:r>
      <w:r w:rsidRPr="00C8495C">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w:t>
      </w:r>
      <w:r w:rsidRPr="00C8495C">
        <w:rPr>
          <w:rFonts w:ascii="Palatino Linotype" w:eastAsia="MS Mincho" w:hAnsi="Palatino Linotype" w:cs="Times New Roman"/>
        </w:rPr>
        <w:lastRenderedPageBreak/>
        <w:t>jurídica. Esto también lo debe de realizar el servidor público habilitado y el titular del área que administra la información.</w:t>
      </w:r>
    </w:p>
    <w:p w14:paraId="7A2EE0BE"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7370D63A"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Al </w:t>
      </w:r>
      <w:r w:rsidRPr="00C8495C">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4AD75CFD" w14:textId="77777777" w:rsidR="00D05160" w:rsidRPr="00C8495C" w:rsidRDefault="00D05160" w:rsidP="00D05160">
      <w:pPr>
        <w:pStyle w:val="Prrafodelista"/>
        <w:tabs>
          <w:tab w:val="left" w:pos="426"/>
        </w:tabs>
        <w:spacing w:before="240" w:line="360" w:lineRule="auto"/>
        <w:ind w:left="0" w:right="51"/>
        <w:jc w:val="both"/>
        <w:rPr>
          <w:rFonts w:ascii="Palatino Linotype" w:hAnsi="Palatino Linotype"/>
          <w:color w:val="000000" w:themeColor="text1"/>
        </w:rPr>
      </w:pPr>
    </w:p>
    <w:p w14:paraId="431741BB"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w:t>
      </w:r>
      <w:r w:rsidRPr="00C8495C">
        <w:rPr>
          <w:rFonts w:ascii="Palatino Linotype" w:hAnsi="Palatino Linotype" w:cs="Arial"/>
          <w:b/>
          <w:i/>
          <w:sz w:val="22"/>
          <w:szCs w:val="22"/>
        </w:rPr>
        <w:t>Quincuagésimo.</w:t>
      </w:r>
      <w:r w:rsidRPr="00C8495C">
        <w:rPr>
          <w:rFonts w:ascii="Palatino Linotype" w:hAnsi="Palatino Linotype" w:cs="Arial"/>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E418B62"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38D1062"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Quincuagésimo primero.</w:t>
      </w:r>
      <w:r w:rsidRPr="00C8495C">
        <w:rPr>
          <w:rFonts w:ascii="Palatino Linotype" w:hAnsi="Palatino Linotype" w:cs="Arial"/>
          <w:i/>
          <w:sz w:val="22"/>
          <w:szCs w:val="22"/>
        </w:rPr>
        <w:t xml:space="preserve"> Toda acta del Comité de Transparencia deberá contener: </w:t>
      </w:r>
    </w:p>
    <w:p w14:paraId="35BA5B17"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w:t>
      </w:r>
      <w:r w:rsidRPr="00C8495C">
        <w:rPr>
          <w:rFonts w:ascii="Palatino Linotype" w:hAnsi="Palatino Linotype" w:cs="Arial"/>
          <w:i/>
          <w:sz w:val="22"/>
          <w:szCs w:val="22"/>
        </w:rPr>
        <w:t xml:space="preserve"> El número de sesión y fecha; </w:t>
      </w:r>
    </w:p>
    <w:p w14:paraId="494552E1"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II.</w:t>
      </w:r>
      <w:r w:rsidRPr="00C8495C">
        <w:rPr>
          <w:rFonts w:ascii="Palatino Linotype" w:hAnsi="Palatino Linotype" w:cs="Arial"/>
          <w:i/>
          <w:sz w:val="22"/>
          <w:szCs w:val="22"/>
        </w:rPr>
        <w:t xml:space="preserve"> El nombre del área que solicitó la clasificación de información; </w:t>
      </w:r>
    </w:p>
    <w:p w14:paraId="03894D32"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III.</w:t>
      </w:r>
      <w:r w:rsidRPr="00C8495C">
        <w:rPr>
          <w:rFonts w:ascii="Palatino Linotype" w:hAnsi="Palatino Linotype" w:cs="Arial"/>
          <w:i/>
          <w:sz w:val="22"/>
          <w:szCs w:val="22"/>
        </w:rPr>
        <w:t xml:space="preserve"> La fundamentación legal y motivación correspondiente; </w:t>
      </w:r>
    </w:p>
    <w:p w14:paraId="45632745"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IV.</w:t>
      </w:r>
      <w:r w:rsidRPr="00C8495C">
        <w:rPr>
          <w:rFonts w:ascii="Palatino Linotype" w:hAnsi="Palatino Linotype" w:cs="Arial"/>
          <w:i/>
          <w:sz w:val="22"/>
          <w:szCs w:val="22"/>
        </w:rPr>
        <w:t xml:space="preserve"> La resolución o resoluciones aprobadas; y </w:t>
      </w:r>
    </w:p>
    <w:p w14:paraId="07E64D13"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V.</w:t>
      </w:r>
      <w:r w:rsidRPr="00C8495C">
        <w:rPr>
          <w:rFonts w:ascii="Palatino Linotype" w:hAnsi="Palatino Linotype" w:cs="Arial"/>
          <w:i/>
          <w:sz w:val="22"/>
          <w:szCs w:val="22"/>
        </w:rPr>
        <w:t xml:space="preserve"> La rúbrica o firma digital de cada integrante del Comité de Transparencia. </w:t>
      </w:r>
    </w:p>
    <w:p w14:paraId="29277E90"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6B2F17AD"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w:t>
      </w:r>
      <w:r w:rsidRPr="00C8495C">
        <w:rPr>
          <w:rFonts w:ascii="Palatino Linotype" w:hAnsi="Palatino Linotype" w:cs="Arial"/>
          <w:i/>
          <w:sz w:val="22"/>
          <w:szCs w:val="22"/>
        </w:rPr>
        <w:t xml:space="preserve"> Los motivos y razonamientos que sustenten la confirmación o modificación de la prueba de daño; </w:t>
      </w:r>
    </w:p>
    <w:p w14:paraId="08AC3EFD"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II.</w:t>
      </w:r>
      <w:r w:rsidRPr="00C8495C">
        <w:rPr>
          <w:rFonts w:ascii="Palatino Linotype" w:hAnsi="Palatino Linotype" w:cs="Arial"/>
          <w:i/>
          <w:sz w:val="22"/>
          <w:szCs w:val="22"/>
        </w:rPr>
        <w:t xml:space="preserve"> Descripción de las partes o secciones reservadas, en caso de clasificación parcial; </w:t>
      </w:r>
    </w:p>
    <w:p w14:paraId="52F91C0B"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III.</w:t>
      </w:r>
      <w:r w:rsidRPr="00C8495C">
        <w:rPr>
          <w:rFonts w:ascii="Palatino Linotype" w:hAnsi="Palatino Linotype" w:cs="Arial"/>
          <w:i/>
          <w:sz w:val="22"/>
          <w:szCs w:val="22"/>
        </w:rPr>
        <w:t xml:space="preserve"> El periodo por el que mantendrá su clasificación y fecha de expiración; y </w:t>
      </w:r>
    </w:p>
    <w:p w14:paraId="39B5AB50"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IV.</w:t>
      </w:r>
      <w:r w:rsidRPr="00C8495C">
        <w:rPr>
          <w:rFonts w:ascii="Palatino Linotype" w:hAnsi="Palatino Linotype" w:cs="Arial"/>
          <w:i/>
          <w:sz w:val="22"/>
          <w:szCs w:val="22"/>
        </w:rPr>
        <w:t xml:space="preserve"> El nombre del titular y área encargada de realizar la versión pública del documento, en su caso. </w:t>
      </w:r>
    </w:p>
    <w:p w14:paraId="0979E353"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41290AA"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7744955B"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D22CED4"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5B655DC6"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ACB6F10"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Quincuagésimo segundo.</w:t>
      </w:r>
      <w:r w:rsidRPr="00C8495C">
        <w:rPr>
          <w:rFonts w:ascii="Palatino Linotype" w:hAnsi="Palatino Linotype" w:cs="Arial"/>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C8495C">
        <w:rPr>
          <w:rFonts w:ascii="Palatino Linotype" w:hAnsi="Palatino Linotype" w:cs="Arial"/>
          <w:i/>
          <w:sz w:val="22"/>
          <w:szCs w:val="22"/>
        </w:rPr>
        <w:t>sobreposicion</w:t>
      </w:r>
      <w:proofErr w:type="spellEnd"/>
      <w:r w:rsidRPr="00C8495C">
        <w:rPr>
          <w:rFonts w:ascii="Palatino Linotype" w:hAnsi="Palatino Linotype" w:cs="Arial"/>
          <w:i/>
          <w:sz w:val="22"/>
          <w:szCs w:val="22"/>
        </w:rPr>
        <w:t xml:space="preserve"> de contenido distinto al autorizado por el Comité. </w:t>
      </w:r>
    </w:p>
    <w:p w14:paraId="49709580"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F241D6C"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2789B4D8" w14:textId="77777777" w:rsidR="00D05160" w:rsidRPr="00C8495C" w:rsidRDefault="00D05160" w:rsidP="00D05160">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C8495C">
        <w:rPr>
          <w:rFonts w:ascii="Palatino Linotype" w:hAnsi="Palatino Linotype" w:cs="Arial"/>
          <w:b/>
          <w:i/>
          <w:sz w:val="22"/>
          <w:szCs w:val="22"/>
        </w:rPr>
        <w:t>I.</w:t>
      </w:r>
      <w:r w:rsidRPr="00C8495C">
        <w:rPr>
          <w:rFonts w:ascii="Palatino Linotype" w:hAnsi="Palatino Linotype" w:cs="Arial"/>
          <w:i/>
          <w:sz w:val="22"/>
          <w:szCs w:val="22"/>
        </w:rPr>
        <w:t xml:space="preserve"> Fijar la fecha en que se elaboró la versión pública y la fecha en la cual el Comité de Transparencia confirmo dicha versión; </w:t>
      </w:r>
    </w:p>
    <w:p w14:paraId="68EB78A4" w14:textId="77777777" w:rsidR="00D05160" w:rsidRPr="00C8495C" w:rsidRDefault="00D05160" w:rsidP="00D05160">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C8495C">
        <w:rPr>
          <w:rFonts w:ascii="Palatino Linotype" w:hAnsi="Palatino Linotype" w:cs="Arial"/>
          <w:b/>
          <w:i/>
          <w:sz w:val="22"/>
          <w:szCs w:val="22"/>
        </w:rPr>
        <w:t>II.</w:t>
      </w:r>
      <w:r w:rsidRPr="00C8495C">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C8011EF" w14:textId="77777777" w:rsidR="00D05160" w:rsidRPr="00C8495C" w:rsidRDefault="00D05160" w:rsidP="00D05160">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C8495C">
        <w:rPr>
          <w:rFonts w:ascii="Palatino Linotype" w:hAnsi="Palatino Linotype" w:cs="Arial"/>
          <w:b/>
          <w:i/>
          <w:sz w:val="22"/>
          <w:szCs w:val="22"/>
        </w:rPr>
        <w:t>III.</w:t>
      </w:r>
      <w:r w:rsidRPr="00C8495C">
        <w:rPr>
          <w:rFonts w:ascii="Palatino Linotype" w:hAnsi="Palatino Linotype" w:cs="Arial"/>
          <w:i/>
          <w:sz w:val="22"/>
          <w:szCs w:val="22"/>
        </w:rPr>
        <w:t xml:space="preserve"> Señalar las personas o instancias autorizadas a acceder a la información clasificada. </w:t>
      </w:r>
    </w:p>
    <w:p w14:paraId="483CB5F2"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1CE0A0"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5AE2408D" w14:textId="77777777"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346AD" w14:textId="324FE0E2" w:rsidR="00D05160" w:rsidRPr="00C8495C" w:rsidRDefault="00D05160" w:rsidP="00D0516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C8495C">
        <w:rPr>
          <w:rFonts w:ascii="Palatino Linotype" w:hAnsi="Palatino Linotype" w:cs="Arial"/>
          <w:b/>
          <w:i/>
          <w:sz w:val="22"/>
          <w:szCs w:val="22"/>
        </w:rPr>
        <w:t>Quincuagésimo tercero.</w:t>
      </w:r>
      <w:r w:rsidRPr="00C8495C">
        <w:rPr>
          <w:rFonts w:ascii="Palatino Linotype" w:hAnsi="Palatino Linotype" w:cs="Arial"/>
          <w:i/>
          <w:sz w:val="22"/>
          <w:szCs w:val="22"/>
        </w:rPr>
        <w:t xml:space="preserve"> EI formato para señalar la clasificación de un documento o expediente que contenga información reservada, es el siguiente:</w:t>
      </w:r>
    </w:p>
    <w:p w14:paraId="284B3271" w14:textId="77777777" w:rsidR="00D05160" w:rsidRPr="00C8495C" w:rsidRDefault="00D05160" w:rsidP="00D05160">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C8495C">
        <w:rPr>
          <w:rFonts w:ascii="Palatino Linotype" w:hAnsi="Palatino Linotype" w:cs="Arial"/>
          <w:i/>
          <w:noProof/>
          <w:lang w:val="es-MX" w:eastAsia="es-MX"/>
        </w:rPr>
        <w:drawing>
          <wp:inline distT="0" distB="0" distL="0" distR="0" wp14:anchorId="229131A4" wp14:editId="125F7BD6">
            <wp:extent cx="3375489" cy="2770665"/>
            <wp:effectExtent l="57150" t="57150" r="111125" b="1060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681" cy="281104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DAD97D"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51D67257"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Palatino Linotype" w:hAnsi="Palatino Linotype" w:cs="Palatino Linotype"/>
          <w:color w:val="000000"/>
        </w:rPr>
        <w:t xml:space="preserve">Una </w:t>
      </w:r>
      <w:r w:rsidRPr="00C8495C">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AED5CF5"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6F13E550" w14:textId="77777777" w:rsidR="00D05160" w:rsidRPr="00C8495C" w:rsidRDefault="00D05160" w:rsidP="00D0516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C8495C">
        <w:rPr>
          <w:rFonts w:ascii="Palatino Linotype" w:hAnsi="Palatino Linotype"/>
          <w:b/>
          <w:color w:val="000000" w:themeColor="text1"/>
        </w:rPr>
        <w:t>III. La intervención del Comité de Transparencia.</w:t>
      </w:r>
    </w:p>
    <w:p w14:paraId="695124BF"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b/>
          <w:color w:val="000000" w:themeColor="text1"/>
        </w:rPr>
      </w:pPr>
      <w:r w:rsidRPr="00C8495C">
        <w:rPr>
          <w:rFonts w:ascii="Palatino Linotype" w:hAnsi="Palatino Linotype"/>
          <w:b/>
          <w:color w:val="000000" w:themeColor="text1"/>
        </w:rPr>
        <w:t>a) Formalidades para emitir el Acuerdo de Clasificación.</w:t>
      </w:r>
    </w:p>
    <w:p w14:paraId="68FBA8CC"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9878C27"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El </w:t>
      </w:r>
      <w:r w:rsidRPr="00C8495C">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018792E"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45ED985A"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Evidentemente, </w:t>
      </w:r>
      <w:r w:rsidRPr="00C8495C">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C8495C">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6FA88D7"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46086E9"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La </w:t>
      </w:r>
      <w:r w:rsidRPr="00C8495C">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6245436"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4ABF84F7"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b/>
          <w:color w:val="000000" w:themeColor="text1"/>
        </w:rPr>
      </w:pPr>
      <w:r w:rsidRPr="00C8495C">
        <w:rPr>
          <w:rFonts w:ascii="Palatino Linotype" w:hAnsi="Palatino Linotype"/>
          <w:b/>
          <w:color w:val="000000" w:themeColor="text1"/>
        </w:rPr>
        <w:t>b) Requisitos de fondo del Acuerdo de Clasificación.</w:t>
      </w:r>
    </w:p>
    <w:p w14:paraId="305CE068"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7619C61A"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Como </w:t>
      </w:r>
      <w:r w:rsidRPr="00C8495C">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5D1C8DB"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6C136BAC"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De </w:t>
      </w:r>
      <w:r w:rsidRPr="00C8495C">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01697D3"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3DCB5A89"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Han </w:t>
      </w:r>
      <w:r w:rsidRPr="00C8495C">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C8495C">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roofErr w:type="gramStart"/>
      <w:r w:rsidRPr="00C8495C">
        <w:rPr>
          <w:rFonts w:ascii="Palatino Linotype" w:eastAsia="MS Mincho" w:hAnsi="Palatino Linotype" w:cs="Times New Roman"/>
          <w:i/>
          <w:iCs/>
        </w:rPr>
        <w:t>(....</w:t>
      </w:r>
      <w:proofErr w:type="gramEnd"/>
      <w:r w:rsidRPr="00C8495C">
        <w:rPr>
          <w:rFonts w:ascii="Palatino Linotype" w:eastAsia="MS Mincho" w:hAnsi="Palatino Linotype" w:cs="Times New Roman"/>
          <w:i/>
          <w:iCs/>
        </w:rPr>
        <w:t>)”</w:t>
      </w:r>
      <w:r w:rsidRPr="00C8495C">
        <w:rPr>
          <w:rFonts w:ascii="Palatino Linotype" w:eastAsia="MS Mincho" w:hAnsi="Palatino Linotype" w:cs="Times New Roman"/>
        </w:rPr>
        <w:t>.</w:t>
      </w:r>
    </w:p>
    <w:p w14:paraId="3D5D0E4A"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35FA0287"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Por </w:t>
      </w:r>
      <w:r w:rsidRPr="00C8495C">
        <w:rPr>
          <w:rFonts w:ascii="Palatino Linotype" w:eastAsia="MS Mincho" w:hAnsi="Palatino Linotype" w:cs="Times New Roman"/>
        </w:rPr>
        <w:t>su parte, el intérprete judicial del país ha establecido una jurisprudencia</w:t>
      </w:r>
      <w:r w:rsidRPr="00C8495C">
        <w:rPr>
          <w:rStyle w:val="Refdenotaalpie"/>
          <w:rFonts w:ascii="Palatino Linotype" w:eastAsia="MS Mincho" w:hAnsi="Palatino Linotype" w:cs="Times New Roman"/>
        </w:rPr>
        <w:footnoteReference w:id="23"/>
      </w:r>
      <w:r w:rsidRPr="00C8495C">
        <w:rPr>
          <w:rFonts w:ascii="Palatino Linotype" w:eastAsia="MS Mincho" w:hAnsi="Palatino Linotype" w:cs="Times New Roman"/>
        </w:rPr>
        <w:t xml:space="preserve"> respecto a qué debe entenderse por fundamentación y motivación, en los siguientes términos:</w:t>
      </w:r>
    </w:p>
    <w:p w14:paraId="533FC01F" w14:textId="77777777" w:rsidR="00D05160" w:rsidRPr="00C8495C" w:rsidRDefault="00D05160" w:rsidP="00D05160">
      <w:pPr>
        <w:pStyle w:val="Prrafodelista"/>
        <w:tabs>
          <w:tab w:val="left" w:pos="426"/>
        </w:tabs>
        <w:spacing w:before="240" w:line="360" w:lineRule="auto"/>
        <w:ind w:left="0" w:right="51"/>
        <w:jc w:val="both"/>
        <w:rPr>
          <w:rFonts w:ascii="Palatino Linotype" w:hAnsi="Palatino Linotype"/>
          <w:color w:val="000000" w:themeColor="text1"/>
        </w:rPr>
      </w:pPr>
    </w:p>
    <w:p w14:paraId="4FBA3F40" w14:textId="77777777" w:rsidR="00D05160" w:rsidRPr="00C8495C" w:rsidRDefault="00D05160" w:rsidP="00D05160">
      <w:pPr>
        <w:spacing w:line="276" w:lineRule="auto"/>
        <w:ind w:left="567" w:right="567"/>
        <w:contextualSpacing/>
        <w:jc w:val="both"/>
        <w:rPr>
          <w:rFonts w:ascii="Palatino Linotype" w:hAnsi="Palatino Linotype" w:cs="Arial"/>
          <w:i/>
          <w:color w:val="000000"/>
          <w:sz w:val="22"/>
          <w:szCs w:val="22"/>
        </w:rPr>
      </w:pPr>
      <w:r w:rsidRPr="00C8495C">
        <w:rPr>
          <w:rFonts w:ascii="Palatino Linotype" w:hAnsi="Palatino Linotype" w:cs="Arial"/>
          <w:b/>
          <w:i/>
          <w:color w:val="000000"/>
          <w:sz w:val="22"/>
          <w:szCs w:val="22"/>
        </w:rPr>
        <w:lastRenderedPageBreak/>
        <w:t>FUNDAMENTACIÓN Y MOTIVACIÓN.</w:t>
      </w:r>
      <w:r w:rsidRPr="00C8495C">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1959DC"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62991E11"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Palatino Linotype" w:hAnsi="Palatino Linotype" w:cs="Palatino Linotype"/>
          <w:color w:val="000000"/>
        </w:rPr>
        <w:t xml:space="preserve">Así, </w:t>
      </w:r>
      <w:r w:rsidRPr="00C8495C">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236784"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446F7AA"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En </w:t>
      </w:r>
      <w:r w:rsidRPr="00C8495C">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97FDE4"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3EF3D218" w14:textId="77777777" w:rsidR="00D05160"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En </w:t>
      </w:r>
      <w:r w:rsidRPr="00C8495C">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ACFBA63" w14:textId="77777777" w:rsidR="00D05160" w:rsidRPr="00C8495C" w:rsidRDefault="00D05160" w:rsidP="00D05160">
      <w:pPr>
        <w:pStyle w:val="Prrafodelista"/>
        <w:tabs>
          <w:tab w:val="left" w:pos="426"/>
        </w:tabs>
        <w:spacing w:before="240" w:after="240" w:line="360" w:lineRule="auto"/>
        <w:ind w:left="0" w:right="51"/>
        <w:jc w:val="both"/>
        <w:rPr>
          <w:rFonts w:ascii="Palatino Linotype" w:hAnsi="Palatino Linotype"/>
          <w:color w:val="000000" w:themeColor="text1"/>
        </w:rPr>
      </w:pPr>
    </w:p>
    <w:p w14:paraId="13CE2B32" w14:textId="7E2E3AD5" w:rsidR="00BB7519" w:rsidRPr="00C8495C" w:rsidRDefault="00D05160" w:rsidP="00D051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rPr>
        <w:t xml:space="preserve">Otro </w:t>
      </w:r>
      <w:r w:rsidRPr="00C8495C">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E5197AE" w14:textId="77777777" w:rsidR="00364594" w:rsidRPr="00C8495C" w:rsidRDefault="00364594" w:rsidP="0036459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63F0A366" w:rsidR="00C65875" w:rsidRPr="00C8495C" w:rsidRDefault="00364594" w:rsidP="00E833C2">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C8495C">
        <w:rPr>
          <w:rFonts w:ascii="Palatino Linotype" w:hAnsi="Palatino Linotype" w:cs="Arial"/>
          <w:b/>
          <w:bCs/>
          <w:lang w:eastAsia="es-MX"/>
        </w:rPr>
        <w:t>SEXTO</w:t>
      </w:r>
      <w:r w:rsidR="00C65875" w:rsidRPr="00C8495C">
        <w:rPr>
          <w:rFonts w:ascii="Palatino Linotype" w:hAnsi="Palatino Linotype" w:cs="Arial"/>
          <w:b/>
          <w:bCs/>
          <w:lang w:eastAsia="es-MX"/>
        </w:rPr>
        <w:t>. Decisión.</w:t>
      </w:r>
    </w:p>
    <w:p w14:paraId="462AEDDB" w14:textId="77777777" w:rsidR="00C65875" w:rsidRPr="00C8495C"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12A683CE" w:rsidR="00C65875" w:rsidRPr="00C8495C" w:rsidRDefault="000E48E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s="Arial"/>
          <w:lang w:eastAsia="es-MX"/>
        </w:rPr>
        <w:t xml:space="preserve">Luego de analizar todas y cada una de las constancias que obran dentro del expediente digital formado en el SAIMEX, se estableció que el </w:t>
      </w:r>
      <w:r w:rsidR="00523C4B" w:rsidRPr="00C8495C">
        <w:rPr>
          <w:rFonts w:ascii="Palatino Linotype" w:hAnsi="Palatino Linotype" w:cs="Arial"/>
          <w:b/>
          <w:bCs/>
          <w:lang w:eastAsia="es-MX"/>
        </w:rPr>
        <w:t>SUJETO OBLIGADO</w:t>
      </w:r>
      <w:r w:rsidR="00523C4B" w:rsidRPr="00C8495C">
        <w:rPr>
          <w:rFonts w:ascii="Palatino Linotype" w:hAnsi="Palatino Linotype" w:cs="Arial"/>
          <w:lang w:eastAsia="es-MX"/>
        </w:rPr>
        <w:t xml:space="preserve"> había </w:t>
      </w:r>
      <w:r w:rsidR="0007614C" w:rsidRPr="00C8495C">
        <w:rPr>
          <w:rFonts w:ascii="Palatino Linotype" w:hAnsi="Palatino Linotype" w:cs="Arial"/>
          <w:lang w:eastAsia="es-MX"/>
        </w:rPr>
        <w:t>colmado el derecho de acceso a la información ejercido por el particular</w:t>
      </w:r>
      <w:r w:rsidR="00D05160" w:rsidRPr="00C8495C">
        <w:rPr>
          <w:rFonts w:ascii="Palatino Linotype" w:hAnsi="Palatino Linotype" w:cs="Arial"/>
          <w:lang w:eastAsia="es-MX"/>
        </w:rPr>
        <w:t xml:space="preserve"> de forma parcial</w:t>
      </w:r>
      <w:r w:rsidR="00C9460A" w:rsidRPr="00C8495C">
        <w:rPr>
          <w:rFonts w:ascii="Palatino Linotype" w:hAnsi="Palatino Linotype" w:cs="Arial"/>
          <w:lang w:eastAsia="es-MX"/>
        </w:rPr>
        <w:t xml:space="preserve">; por ello, una vez establecida la competencia del </w:t>
      </w:r>
      <w:r w:rsidR="00C9460A" w:rsidRPr="00C8495C">
        <w:rPr>
          <w:rFonts w:ascii="Palatino Linotype" w:hAnsi="Palatino Linotype" w:cs="Arial"/>
          <w:b/>
          <w:lang w:eastAsia="es-MX"/>
        </w:rPr>
        <w:t>SUJETO OBLIGADO</w:t>
      </w:r>
      <w:r w:rsidR="00C9460A" w:rsidRPr="00C8495C">
        <w:rPr>
          <w:rFonts w:ascii="Palatino Linotype" w:hAnsi="Palatino Linotype" w:cs="Arial"/>
          <w:lang w:eastAsia="es-MX"/>
        </w:rPr>
        <w:t xml:space="preserve"> para poseer, generar y administrar el Plan de Trabajo del Sistema de Gestión de Protección de Datos Personales, así como su naturaleza y contenido, se determinó que era necesario clasificarse.</w:t>
      </w:r>
    </w:p>
    <w:p w14:paraId="53A0C7F3" w14:textId="77777777" w:rsidR="00E62DCB" w:rsidRPr="00C8495C"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831AF24" w:rsidR="00F01443" w:rsidRPr="00C8495C"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eastAsia="MS Mincho" w:hAnsi="Palatino Linotype" w:cstheme="majorBidi"/>
          <w:lang w:val="es-ES"/>
        </w:rPr>
        <w:t xml:space="preserve">Por </w:t>
      </w:r>
      <w:r w:rsidR="0043490F" w:rsidRPr="00C8495C">
        <w:rPr>
          <w:rFonts w:ascii="Palatino Linotype" w:eastAsia="MS Mincho" w:hAnsi="Palatino Linotype" w:cstheme="majorBidi"/>
          <w:lang w:val="es-ES"/>
        </w:rPr>
        <w:t xml:space="preserve">lo tanto, en consecuencia y en mérito de lo expuesto en líneas anteriores, resultan parcialmente fundadas las razones o motivos de inconformidad hechos valer por el </w:t>
      </w:r>
      <w:r w:rsidR="0043490F" w:rsidRPr="00C8495C">
        <w:rPr>
          <w:rFonts w:ascii="Palatino Linotype" w:eastAsia="MS Mincho" w:hAnsi="Palatino Linotype" w:cstheme="majorBidi"/>
          <w:b/>
          <w:lang w:val="es-ES"/>
        </w:rPr>
        <w:t>RECURRENTE</w:t>
      </w:r>
      <w:r w:rsidR="0043490F" w:rsidRPr="00C8495C">
        <w:rPr>
          <w:rFonts w:ascii="Palatino Linotype" w:eastAsia="MS Mincho" w:hAnsi="Palatino Linotype" w:cstheme="majorBidi"/>
          <w:lang w:val="es-ES"/>
        </w:rPr>
        <w:t xml:space="preserve"> dentro del recurso de revisión </w:t>
      </w:r>
      <w:r w:rsidR="00057718" w:rsidRPr="00C8495C">
        <w:rPr>
          <w:rFonts w:ascii="Palatino Linotype" w:eastAsia="MS Mincho" w:hAnsi="Palatino Linotype" w:cstheme="majorBidi"/>
          <w:b/>
          <w:bCs/>
          <w:lang w:val="es-ES"/>
        </w:rPr>
        <w:t>13038/INFOEM/IP/RR/2022</w:t>
      </w:r>
      <w:r w:rsidR="0043490F" w:rsidRPr="00C8495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43490F" w:rsidRPr="00C8495C">
        <w:rPr>
          <w:rFonts w:ascii="Palatino Linotype" w:eastAsia="MS Mincho" w:hAnsi="Palatino Linotype" w:cstheme="majorBidi"/>
          <w:b/>
          <w:lang w:val="es-ES"/>
        </w:rPr>
        <w:t>MODIFICA</w:t>
      </w:r>
      <w:r w:rsidR="0043490F" w:rsidRPr="00C8495C">
        <w:rPr>
          <w:rFonts w:ascii="Palatino Linotype" w:eastAsia="MS Mincho" w:hAnsi="Palatino Linotype" w:cstheme="majorBidi"/>
          <w:lang w:val="es-ES"/>
        </w:rPr>
        <w:t xml:space="preserve"> la respuesta a la solicitud de información número </w:t>
      </w:r>
      <w:r w:rsidR="00057718" w:rsidRPr="00C8495C">
        <w:rPr>
          <w:rFonts w:ascii="Palatino Linotype" w:eastAsia="MS Mincho" w:hAnsi="Palatino Linotype" w:cstheme="majorBidi"/>
          <w:b/>
          <w:lang w:val="es-ES"/>
        </w:rPr>
        <w:t>00199/SEGEGOB/IP/2022</w:t>
      </w:r>
      <w:r w:rsidR="0043490F" w:rsidRPr="00C8495C">
        <w:rPr>
          <w:rFonts w:ascii="Palatino Linotype" w:eastAsia="MS Mincho" w:hAnsi="Palatino Linotype" w:cstheme="majorBidi"/>
          <w:lang w:val="es-ES"/>
        </w:rPr>
        <w:t>.</w:t>
      </w:r>
    </w:p>
    <w:p w14:paraId="370E910A" w14:textId="77777777" w:rsidR="00F01443" w:rsidRPr="00C8495C"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C8495C"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495C">
        <w:rPr>
          <w:rFonts w:ascii="Palatino Linotype" w:hAnsi="Palatino Linotype"/>
          <w:color w:val="000000" w:themeColor="text1"/>
          <w:lang w:val="es-ES"/>
        </w:rPr>
        <w:t xml:space="preserve">Por </w:t>
      </w:r>
      <w:r w:rsidR="00B41516" w:rsidRPr="00C8495C">
        <w:rPr>
          <w:rFonts w:ascii="Palatino Linotype" w:hAnsi="Palatino Linotype"/>
          <w:color w:val="000000" w:themeColor="text1"/>
        </w:rPr>
        <w:t xml:space="preserve">lo anteriormente expuesto y fundado, </w:t>
      </w:r>
      <w:r w:rsidR="003E6079" w:rsidRPr="00C8495C">
        <w:rPr>
          <w:rFonts w:ascii="Palatino Linotype" w:hAnsi="Palatino Linotype"/>
          <w:color w:val="000000" w:themeColor="text1"/>
        </w:rPr>
        <w:t>e</w:t>
      </w:r>
      <w:r w:rsidR="00B41516" w:rsidRPr="00C8495C">
        <w:rPr>
          <w:rFonts w:ascii="Palatino Linotype" w:hAnsi="Palatino Linotype"/>
          <w:color w:val="000000" w:themeColor="text1"/>
        </w:rPr>
        <w:t xml:space="preserve">ste </w:t>
      </w:r>
      <w:r w:rsidR="00B41516" w:rsidRPr="00C8495C">
        <w:rPr>
          <w:rFonts w:ascii="Palatino Linotype" w:hAnsi="Palatino Linotype"/>
          <w:b/>
          <w:color w:val="000000" w:themeColor="text1"/>
        </w:rPr>
        <w:t>ÓRGANO GARANTE</w:t>
      </w:r>
      <w:r w:rsidR="00B41516" w:rsidRPr="00C8495C">
        <w:rPr>
          <w:rFonts w:ascii="Palatino Linotype" w:hAnsi="Palatino Linotype"/>
          <w:color w:val="000000" w:themeColor="text1"/>
        </w:rPr>
        <w:t xml:space="preserve"> emite los siguientes:</w:t>
      </w:r>
      <w:r w:rsidR="003E6079" w:rsidRPr="00C8495C">
        <w:rPr>
          <w:rFonts w:ascii="Palatino Linotype" w:hAnsi="Palatino Linotype"/>
          <w:color w:val="000000" w:themeColor="text1"/>
        </w:rPr>
        <w:t xml:space="preserve"> </w:t>
      </w:r>
      <w:r w:rsidR="00D71057" w:rsidRPr="00C8495C">
        <w:rPr>
          <w:rFonts w:ascii="Palatino Linotype" w:hAnsi="Palatino Linotype"/>
          <w:color w:val="000000" w:themeColor="text1"/>
        </w:rPr>
        <w:t>--------------------------------------------------------------------------</w:t>
      </w:r>
      <w:r w:rsidR="00E10AC3" w:rsidRPr="00C8495C">
        <w:rPr>
          <w:rFonts w:ascii="Palatino Linotype" w:hAnsi="Palatino Linotype"/>
          <w:color w:val="000000" w:themeColor="text1"/>
        </w:rPr>
        <w:t>-----------------</w:t>
      </w:r>
      <w:r w:rsidR="00895335" w:rsidRPr="00C8495C">
        <w:rPr>
          <w:rFonts w:ascii="Palatino Linotype" w:hAnsi="Palatino Linotype"/>
          <w:color w:val="000000" w:themeColor="text1"/>
        </w:rPr>
        <w:t>--</w:t>
      </w:r>
      <w:r w:rsidR="003E6079" w:rsidRPr="00C8495C">
        <w:rPr>
          <w:rFonts w:ascii="Palatino Linotype" w:hAnsi="Palatino Linotype"/>
          <w:color w:val="000000" w:themeColor="text1"/>
        </w:rPr>
        <w:t>--</w:t>
      </w:r>
      <w:r w:rsidR="00FC6C3D" w:rsidRPr="00C8495C">
        <w:rPr>
          <w:rFonts w:ascii="Palatino Linotype" w:hAnsi="Palatino Linotype"/>
          <w:color w:val="000000" w:themeColor="text1"/>
        </w:rPr>
        <w:t>----------------------------------------</w:t>
      </w:r>
      <w:r w:rsidR="00472A17" w:rsidRPr="00C8495C">
        <w:rPr>
          <w:rFonts w:ascii="Palatino Linotype" w:hAnsi="Palatino Linotype"/>
          <w:color w:val="000000" w:themeColor="text1"/>
        </w:rPr>
        <w:t>------------------------------------------------------------------------------------------------------------------------------------------------------------------------</w:t>
      </w:r>
      <w:r w:rsidR="00FC6C3D" w:rsidRPr="00C8495C">
        <w:rPr>
          <w:rFonts w:ascii="Palatino Linotype" w:hAnsi="Palatino Linotype"/>
          <w:color w:val="000000" w:themeColor="text1"/>
        </w:rPr>
        <w:t>----------</w:t>
      </w:r>
    </w:p>
    <w:p w14:paraId="741E74F7" w14:textId="77777777" w:rsidR="003A7F9A" w:rsidRPr="00C8495C" w:rsidRDefault="003A7F9A" w:rsidP="003A7F9A">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C8495C" w:rsidRDefault="009959DB" w:rsidP="009959DB">
      <w:pPr>
        <w:pStyle w:val="Ttulo1"/>
        <w:spacing w:line="360" w:lineRule="auto"/>
        <w:jc w:val="center"/>
        <w:rPr>
          <w:b/>
          <w:color w:val="000000" w:themeColor="text1"/>
          <w:sz w:val="28"/>
          <w:szCs w:val="24"/>
        </w:rPr>
      </w:pPr>
      <w:bookmarkStart w:id="22" w:name="_Toc495427547"/>
      <w:bookmarkStart w:id="23" w:name="_Toc497905366"/>
      <w:bookmarkStart w:id="24" w:name="_Toc88071791"/>
      <w:r w:rsidRPr="00C8495C">
        <w:rPr>
          <w:b/>
          <w:color w:val="000000" w:themeColor="text1"/>
          <w:sz w:val="28"/>
          <w:szCs w:val="24"/>
        </w:rPr>
        <w:lastRenderedPageBreak/>
        <w:t>R E S O L U T I V O S</w:t>
      </w:r>
      <w:bookmarkEnd w:id="20"/>
      <w:bookmarkEnd w:id="21"/>
      <w:bookmarkEnd w:id="22"/>
      <w:bookmarkEnd w:id="23"/>
      <w:bookmarkEnd w:id="24"/>
    </w:p>
    <w:p w14:paraId="2EF2AC2D" w14:textId="77777777" w:rsidR="00A73C04" w:rsidRPr="00C8495C" w:rsidRDefault="00A73C04" w:rsidP="002578EE">
      <w:pPr>
        <w:spacing w:line="360" w:lineRule="auto"/>
        <w:jc w:val="both"/>
        <w:rPr>
          <w:rFonts w:ascii="Palatino Linotype" w:eastAsia="Times New Roman" w:hAnsi="Palatino Linotype" w:cs="Arial"/>
          <w:b/>
          <w:sz w:val="28"/>
          <w:szCs w:val="28"/>
        </w:rPr>
      </w:pPr>
    </w:p>
    <w:p w14:paraId="473AFDEF" w14:textId="3F6B033C" w:rsidR="002245E1" w:rsidRPr="00C8495C" w:rsidRDefault="00A73C04" w:rsidP="002245E1">
      <w:pPr>
        <w:spacing w:line="360" w:lineRule="auto"/>
        <w:jc w:val="both"/>
        <w:rPr>
          <w:rFonts w:ascii="Palatino Linotype" w:eastAsia="Times New Roman" w:hAnsi="Palatino Linotype" w:cs="Times New Roman"/>
        </w:rPr>
      </w:pPr>
      <w:r w:rsidRPr="00C8495C">
        <w:rPr>
          <w:rFonts w:ascii="Palatino Linotype" w:eastAsia="Times New Roman" w:hAnsi="Palatino Linotype" w:cs="Arial"/>
          <w:b/>
          <w:sz w:val="28"/>
          <w:szCs w:val="28"/>
        </w:rPr>
        <w:t>PRIMERO</w:t>
      </w:r>
      <w:r w:rsidRPr="00C8495C">
        <w:rPr>
          <w:rFonts w:ascii="Palatino Linotype" w:eastAsia="Times New Roman" w:hAnsi="Palatino Linotype" w:cs="Arial"/>
          <w:b/>
        </w:rPr>
        <w:t xml:space="preserve">. </w:t>
      </w:r>
      <w:r w:rsidR="00743CAC" w:rsidRPr="00C8495C">
        <w:rPr>
          <w:rFonts w:ascii="Palatino Linotype" w:eastAsia="Times New Roman" w:hAnsi="Palatino Linotype" w:cs="Arial"/>
        </w:rPr>
        <w:t xml:space="preserve">Resultan </w:t>
      </w:r>
      <w:r w:rsidR="002245E1" w:rsidRPr="00C8495C">
        <w:rPr>
          <w:rFonts w:ascii="Palatino Linotype" w:eastAsia="Times New Roman" w:hAnsi="Palatino Linotype" w:cs="Arial"/>
        </w:rPr>
        <w:t>parcialmente fundadas las</w:t>
      </w:r>
      <w:r w:rsidR="002245E1" w:rsidRPr="00C8495C">
        <w:rPr>
          <w:rFonts w:ascii="Palatino Linotype" w:eastAsia="Times New Roman" w:hAnsi="Palatino Linotype" w:cs="Arial"/>
          <w:b/>
        </w:rPr>
        <w:t xml:space="preserve"> </w:t>
      </w:r>
      <w:r w:rsidR="002245E1" w:rsidRPr="00C8495C">
        <w:rPr>
          <w:rFonts w:ascii="Palatino Linotype" w:eastAsia="Times New Roman" w:hAnsi="Palatino Linotype" w:cs="Arial"/>
          <w:lang w:val="es-ES"/>
        </w:rPr>
        <w:t xml:space="preserve">razones o motivos de inconformidad hechos valer </w:t>
      </w:r>
      <w:r w:rsidR="002245E1" w:rsidRPr="00C8495C">
        <w:rPr>
          <w:rFonts w:ascii="Palatino Linotype" w:eastAsia="Calibri" w:hAnsi="Palatino Linotype" w:cs="Arial"/>
          <w:lang w:val="es-ES"/>
        </w:rPr>
        <w:t xml:space="preserve">en el recurso de revisión </w:t>
      </w:r>
      <w:r w:rsidR="00057718" w:rsidRPr="00C8495C">
        <w:rPr>
          <w:rFonts w:ascii="Palatino Linotype" w:eastAsia="Times New Roman" w:hAnsi="Palatino Linotype" w:cs="Times New Roman"/>
          <w:b/>
        </w:rPr>
        <w:t>13038/INFOEM/IP/RR/2022</w:t>
      </w:r>
      <w:r w:rsidR="002245E1" w:rsidRPr="00C8495C">
        <w:rPr>
          <w:rFonts w:ascii="Palatino Linotype" w:eastAsia="Times New Roman" w:hAnsi="Palatino Linotype" w:cs="Times New Roman"/>
          <w:b/>
        </w:rPr>
        <w:t xml:space="preserve"> </w:t>
      </w:r>
      <w:r w:rsidR="002245E1" w:rsidRPr="00C8495C">
        <w:rPr>
          <w:rFonts w:ascii="Palatino Linotype" w:eastAsia="Times New Roman" w:hAnsi="Palatino Linotype" w:cs="Times New Roman"/>
        </w:rPr>
        <w:t>en términos de los</w:t>
      </w:r>
      <w:r w:rsidR="002245E1" w:rsidRPr="00C8495C">
        <w:rPr>
          <w:rFonts w:ascii="Palatino Linotype" w:eastAsia="Times New Roman" w:hAnsi="Palatino Linotype" w:cs="Times New Roman"/>
          <w:b/>
          <w:bCs/>
        </w:rPr>
        <w:t xml:space="preserve"> Considerandos</w:t>
      </w:r>
      <w:r w:rsidR="002245E1" w:rsidRPr="00C8495C">
        <w:rPr>
          <w:rFonts w:ascii="Palatino Linotype" w:eastAsia="Times New Roman" w:hAnsi="Palatino Linotype" w:cs="Times New Roman"/>
        </w:rPr>
        <w:t xml:space="preserve"> </w:t>
      </w:r>
      <w:r w:rsidR="002245E1" w:rsidRPr="00C8495C">
        <w:rPr>
          <w:rFonts w:ascii="Palatino Linotype" w:eastAsia="Times New Roman" w:hAnsi="Palatino Linotype" w:cs="Times New Roman"/>
          <w:b/>
        </w:rPr>
        <w:t>CUARTO</w:t>
      </w:r>
      <w:r w:rsidR="002245E1" w:rsidRPr="00C8495C">
        <w:rPr>
          <w:rFonts w:ascii="Palatino Linotype" w:eastAsia="Times New Roman" w:hAnsi="Palatino Linotype" w:cs="Times New Roman"/>
        </w:rPr>
        <w:t xml:space="preserve"> y </w:t>
      </w:r>
      <w:r w:rsidR="002245E1" w:rsidRPr="00C8495C">
        <w:rPr>
          <w:rFonts w:ascii="Palatino Linotype" w:eastAsia="Times New Roman" w:hAnsi="Palatino Linotype" w:cs="Times New Roman"/>
          <w:b/>
        </w:rPr>
        <w:t>QUINTO</w:t>
      </w:r>
      <w:r w:rsidR="002245E1" w:rsidRPr="00C8495C">
        <w:rPr>
          <w:rFonts w:ascii="Palatino Linotype" w:eastAsia="Times New Roman" w:hAnsi="Palatino Linotype" w:cs="Times New Roman"/>
        </w:rPr>
        <w:t xml:space="preserve"> de la presente resolución.</w:t>
      </w:r>
    </w:p>
    <w:p w14:paraId="3D2C9ED4" w14:textId="77777777" w:rsidR="002245E1" w:rsidRPr="00C8495C" w:rsidRDefault="002245E1" w:rsidP="002245E1">
      <w:pPr>
        <w:spacing w:line="360" w:lineRule="auto"/>
        <w:contextualSpacing/>
        <w:jc w:val="both"/>
        <w:rPr>
          <w:rFonts w:ascii="Palatino Linotype" w:eastAsia="Calibri" w:hAnsi="Palatino Linotype" w:cs="Arial"/>
          <w:b/>
          <w:bCs/>
          <w:lang w:val="es-ES"/>
        </w:rPr>
      </w:pPr>
    </w:p>
    <w:p w14:paraId="73D5FF28" w14:textId="6F5D62A0" w:rsidR="002245E1" w:rsidRPr="00C8495C" w:rsidRDefault="002245E1" w:rsidP="002245E1">
      <w:pPr>
        <w:spacing w:line="360" w:lineRule="auto"/>
        <w:contextualSpacing/>
        <w:jc w:val="both"/>
        <w:rPr>
          <w:rFonts w:ascii="Palatino Linotype" w:eastAsia="Times New Roman" w:hAnsi="Palatino Linotype" w:cs="Arial"/>
          <w:color w:val="000000"/>
        </w:rPr>
      </w:pPr>
      <w:r w:rsidRPr="00C8495C">
        <w:rPr>
          <w:rFonts w:ascii="Palatino Linotype" w:eastAsia="Calibri" w:hAnsi="Palatino Linotype" w:cs="Arial"/>
          <w:b/>
          <w:bCs/>
          <w:sz w:val="28"/>
          <w:szCs w:val="28"/>
          <w:lang w:val="es-ES"/>
        </w:rPr>
        <w:t>SEGUNDO</w:t>
      </w:r>
      <w:r w:rsidRPr="00C8495C">
        <w:rPr>
          <w:rFonts w:ascii="Palatino Linotype" w:eastAsia="Calibri" w:hAnsi="Palatino Linotype" w:cs="Arial"/>
          <w:b/>
          <w:bCs/>
          <w:lang w:val="es-ES"/>
        </w:rPr>
        <w:t xml:space="preserve">. </w:t>
      </w:r>
      <w:r w:rsidRPr="00C8495C">
        <w:rPr>
          <w:rFonts w:ascii="Palatino Linotype" w:eastAsia="Calibri" w:hAnsi="Palatino Linotype" w:cs="Arial"/>
          <w:lang w:val="es-ES"/>
        </w:rPr>
        <w:t xml:space="preserve">Se </w:t>
      </w:r>
      <w:r w:rsidRPr="00C8495C">
        <w:rPr>
          <w:rFonts w:ascii="Palatino Linotype" w:eastAsia="Calibri" w:hAnsi="Palatino Linotype" w:cs="Arial"/>
          <w:b/>
          <w:lang w:val="es-ES"/>
        </w:rPr>
        <w:t>MODIFICA</w:t>
      </w:r>
      <w:r w:rsidRPr="00C8495C">
        <w:rPr>
          <w:rFonts w:ascii="Palatino Linotype" w:eastAsia="Calibri" w:hAnsi="Palatino Linotype" w:cs="Arial"/>
          <w:lang w:val="es-ES"/>
        </w:rPr>
        <w:t xml:space="preserve"> la respuesta emitida por la </w:t>
      </w:r>
      <w:r w:rsidR="00057718" w:rsidRPr="00C8495C">
        <w:rPr>
          <w:rFonts w:ascii="Palatino Linotype" w:eastAsia="Calibri" w:hAnsi="Palatino Linotype" w:cs="Arial"/>
          <w:b/>
        </w:rPr>
        <w:t>Secretaría General de Gobierno</w:t>
      </w:r>
      <w:r w:rsidRPr="00C8495C">
        <w:rPr>
          <w:rFonts w:ascii="Palatino Linotype" w:eastAsia="Calibri" w:hAnsi="Palatino Linotype" w:cs="Arial"/>
          <w:bCs/>
        </w:rPr>
        <w:t xml:space="preserve"> a la solicitud </w:t>
      </w:r>
      <w:r w:rsidR="00057718" w:rsidRPr="00C8495C">
        <w:rPr>
          <w:rFonts w:ascii="Palatino Linotype" w:eastAsia="MS Mincho" w:hAnsi="Palatino Linotype" w:cstheme="majorBidi"/>
          <w:b/>
          <w:lang w:val="es-ES"/>
        </w:rPr>
        <w:t>00199/SEGEGOB/IP/2022</w:t>
      </w:r>
      <w:r w:rsidRPr="00C8495C">
        <w:rPr>
          <w:rFonts w:ascii="Palatino Linotype" w:eastAsia="MS Mincho" w:hAnsi="Palatino Linotype" w:cstheme="majorBidi"/>
          <w:b/>
          <w:lang w:val="es-ES"/>
        </w:rPr>
        <w:t xml:space="preserve"> </w:t>
      </w:r>
      <w:r w:rsidRPr="00C8495C">
        <w:rPr>
          <w:rFonts w:ascii="Palatino Linotype" w:eastAsia="Calibri" w:hAnsi="Palatino Linotype" w:cs="Arial"/>
        </w:rPr>
        <w:t xml:space="preserve">y se </w:t>
      </w:r>
      <w:r w:rsidRPr="00C8495C">
        <w:rPr>
          <w:rFonts w:ascii="Palatino Linotype" w:eastAsia="Calibri" w:hAnsi="Palatino Linotype" w:cs="Arial"/>
          <w:b/>
        </w:rPr>
        <w:t>ORDENA</w:t>
      </w:r>
      <w:r w:rsidRPr="00C8495C">
        <w:rPr>
          <w:rFonts w:ascii="Palatino Linotype" w:eastAsia="Calibri" w:hAnsi="Palatino Linotype" w:cs="Arial"/>
          <w:b/>
          <w:lang w:val="es-ES"/>
        </w:rPr>
        <w:t xml:space="preserve"> </w:t>
      </w:r>
      <w:r w:rsidRPr="00C8495C">
        <w:rPr>
          <w:rFonts w:ascii="Palatino Linotype" w:eastAsia="Calibri" w:hAnsi="Palatino Linotype" w:cs="Arial"/>
          <w:lang w:val="es-ES"/>
        </w:rPr>
        <w:t xml:space="preserve">entregar, </w:t>
      </w:r>
      <w:bookmarkStart w:id="25" w:name="_Toc460947013"/>
      <w:r w:rsidRPr="00C8495C">
        <w:rPr>
          <w:rFonts w:ascii="Palatino Linotype" w:eastAsia="Calibri" w:hAnsi="Palatino Linotype" w:cs="Arial"/>
          <w:lang w:val="es-ES"/>
        </w:rPr>
        <w:t>vía Sistema de Acceso a la Información Pública Mexiquense (SAIMEX)</w:t>
      </w:r>
      <w:r w:rsidRPr="00C8495C">
        <w:rPr>
          <w:rFonts w:ascii="Palatino Linotype" w:eastAsia="Times New Roman" w:hAnsi="Palatino Linotype" w:cs="Arial"/>
          <w:color w:val="000000"/>
        </w:rPr>
        <w:t>, de ser procedente en versión pública, la siguiente información:</w:t>
      </w:r>
    </w:p>
    <w:p w14:paraId="73AAA10E" w14:textId="77777777" w:rsidR="002245E1" w:rsidRPr="00C8495C" w:rsidRDefault="002245E1" w:rsidP="002245E1">
      <w:pPr>
        <w:spacing w:line="360" w:lineRule="auto"/>
        <w:contextualSpacing/>
        <w:jc w:val="both"/>
        <w:rPr>
          <w:rFonts w:ascii="Palatino Linotype" w:eastAsia="Times New Roman" w:hAnsi="Palatino Linotype" w:cs="Arial"/>
          <w:color w:val="000000"/>
        </w:rPr>
      </w:pPr>
    </w:p>
    <w:p w14:paraId="73F19C21" w14:textId="78257095" w:rsidR="002245E1" w:rsidRPr="00C8495C" w:rsidRDefault="00FC7370" w:rsidP="002245E1">
      <w:pPr>
        <w:pStyle w:val="Prrafodelista"/>
        <w:numPr>
          <w:ilvl w:val="0"/>
          <w:numId w:val="2"/>
        </w:numPr>
        <w:spacing w:after="240" w:line="360" w:lineRule="auto"/>
        <w:ind w:left="1134" w:right="567"/>
        <w:jc w:val="both"/>
        <w:rPr>
          <w:rFonts w:ascii="Palatino Linotype" w:hAnsi="Palatino Linotype"/>
          <w:b/>
          <w:bCs/>
          <w:color w:val="000000"/>
        </w:rPr>
      </w:pPr>
      <w:r w:rsidRPr="00C8495C">
        <w:rPr>
          <w:rFonts w:ascii="Palatino Linotype" w:hAnsi="Palatino Linotype"/>
          <w:b/>
          <w:bCs/>
          <w:color w:val="000000"/>
        </w:rPr>
        <w:t>Acuerdo del Comité de Transparencia, en el que se clasifique como información confidencial el Plan de Trabajo del Sistema de Gestión de Protección de Datos Personales, de los ejercicios dos mil diecinueve, dos mil veinte, dos mil veintiuno y dos mil veintidós.</w:t>
      </w:r>
    </w:p>
    <w:p w14:paraId="67255264" w14:textId="77777777" w:rsidR="002245E1" w:rsidRPr="00C8495C" w:rsidRDefault="002245E1" w:rsidP="002245E1">
      <w:pPr>
        <w:tabs>
          <w:tab w:val="left" w:pos="993"/>
        </w:tabs>
        <w:spacing w:line="360" w:lineRule="auto"/>
        <w:jc w:val="both"/>
        <w:rPr>
          <w:rFonts w:ascii="Palatino Linotype" w:eastAsia="Calibri" w:hAnsi="Palatino Linotype" w:cs="Arial"/>
        </w:rPr>
      </w:pPr>
    </w:p>
    <w:p w14:paraId="27C3F9CA" w14:textId="77777777" w:rsidR="002245E1" w:rsidRPr="00C8495C" w:rsidRDefault="002245E1" w:rsidP="002245E1">
      <w:pPr>
        <w:spacing w:line="360" w:lineRule="auto"/>
        <w:jc w:val="both"/>
        <w:rPr>
          <w:rFonts w:ascii="Palatino Linotype" w:eastAsia="MS Mincho" w:hAnsi="Palatino Linotype" w:cs="Times New Roman"/>
          <w:color w:val="000000"/>
        </w:rPr>
      </w:pPr>
      <w:r w:rsidRPr="00C8495C">
        <w:rPr>
          <w:rFonts w:ascii="Palatino Linotype" w:eastAsia="MS Mincho" w:hAnsi="Palatino Linotype" w:cs="Times New Roman"/>
          <w:b/>
          <w:color w:val="000000"/>
          <w:sz w:val="28"/>
          <w:szCs w:val="28"/>
        </w:rPr>
        <w:t>TERCERO</w:t>
      </w:r>
      <w:r w:rsidRPr="00C8495C">
        <w:rPr>
          <w:rFonts w:ascii="Palatino Linotype" w:eastAsia="MS Mincho" w:hAnsi="Palatino Linotype" w:cs="Times New Roman"/>
          <w:b/>
          <w:color w:val="000000"/>
        </w:rPr>
        <w:t>.</w:t>
      </w:r>
      <w:r w:rsidRPr="00C8495C">
        <w:rPr>
          <w:rFonts w:ascii="Palatino Linotype" w:eastAsia="MS Mincho" w:hAnsi="Palatino Linotype" w:cs="Times New Roman"/>
          <w:color w:val="000000"/>
        </w:rPr>
        <w:t xml:space="preserve"> </w:t>
      </w:r>
      <w:r w:rsidRPr="00C8495C">
        <w:rPr>
          <w:rFonts w:ascii="Palatino Linotype" w:eastAsia="MS Mincho" w:hAnsi="Palatino Linotype" w:cs="Times New Roman"/>
          <w:b/>
          <w:bCs/>
          <w:color w:val="000000"/>
        </w:rPr>
        <w:t>Notifíquese</w:t>
      </w:r>
      <w:r w:rsidRPr="00C8495C">
        <w:rPr>
          <w:rFonts w:ascii="Palatino Linotype" w:eastAsia="MS Mincho" w:hAnsi="Palatino Linotype" w:cs="Times New Roman"/>
          <w:color w:val="000000"/>
        </w:rPr>
        <w:t xml:space="preserve"> al </w:t>
      </w:r>
      <w:r w:rsidRPr="00C8495C">
        <w:rPr>
          <w:rFonts w:ascii="Palatino Linotype" w:hAnsi="Palatino Linotype" w:cs="Arial"/>
          <w:color w:val="222222"/>
          <w:lang w:eastAsia="es-MX"/>
        </w:rPr>
        <w:t xml:space="preserve">Titular de la Unidad de Transparencia del </w:t>
      </w:r>
      <w:r w:rsidRPr="00C8495C">
        <w:rPr>
          <w:rFonts w:ascii="Palatino Linotype" w:hAnsi="Palatino Linotype" w:cs="Arial"/>
          <w:b/>
          <w:bCs/>
          <w:color w:val="222222"/>
          <w:lang w:eastAsia="es-MX"/>
        </w:rPr>
        <w:t>SUJETO OBLIGADO</w:t>
      </w:r>
      <w:r w:rsidRPr="00C8495C">
        <w:rPr>
          <w:rFonts w:ascii="Palatino Linotype" w:hAnsi="Palatino Linotype" w:cs="Arial"/>
          <w:color w:val="222222"/>
          <w:lang w:eastAsia="es-MX"/>
        </w:rPr>
        <w:t xml:space="preserve">, vía SAIMEX, </w:t>
      </w:r>
      <w:r w:rsidRPr="00C8495C">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dé cumplimiento a lo ordenado dentro </w:t>
      </w:r>
      <w:r w:rsidRPr="00C8495C">
        <w:rPr>
          <w:rFonts w:ascii="Palatino Linotype" w:hAnsi="Palatino Linotype" w:cs="Arial"/>
          <w:b/>
          <w:bCs/>
          <w:color w:val="222222"/>
          <w:lang w:val="es-MX" w:eastAsia="es-MX"/>
        </w:rPr>
        <w:t>del plazo de diez días hábiles</w:t>
      </w:r>
      <w:r w:rsidRPr="00C8495C">
        <w:rPr>
          <w:rFonts w:ascii="Palatino Linotype" w:hAnsi="Palatino Linotype" w:cs="Arial"/>
          <w:color w:val="222222"/>
          <w:lang w:val="es-MX" w:eastAsia="es-MX"/>
        </w:rPr>
        <w:t xml:space="preserve">, e informe a este Instituto en un plazo de tres días hábiles siguientes sobre el cumplimiento dado a la presente, y se le apercibe que en caso de negarse a cumplir la presente resolución o hacerlo de </w:t>
      </w:r>
      <w:r w:rsidRPr="00C8495C">
        <w:rPr>
          <w:rFonts w:ascii="Palatino Linotype" w:hAnsi="Palatino Linotype" w:cs="Arial"/>
          <w:color w:val="222222"/>
          <w:lang w:val="es-MX" w:eastAsia="es-MX"/>
        </w:rPr>
        <w:lastRenderedPageBreak/>
        <w:t>manera parcial, se le impondrá una medida de apremio de conformidad con lo previsto en los artículos 198, 200, fracción III; 214, 215 y 216 de la Ley de Transparencia y Acceso a la Información Pública del Estado de México y Municipios</w:t>
      </w:r>
      <w:r w:rsidRPr="00C8495C">
        <w:rPr>
          <w:rFonts w:ascii="Palatino Linotype" w:eastAsia="MS Mincho" w:hAnsi="Palatino Linotype" w:cs="Times New Roman"/>
          <w:color w:val="000000"/>
        </w:rPr>
        <w:t>.</w:t>
      </w:r>
    </w:p>
    <w:p w14:paraId="24527BCC" w14:textId="77777777" w:rsidR="002245E1" w:rsidRPr="00C8495C" w:rsidRDefault="002245E1" w:rsidP="002245E1">
      <w:pPr>
        <w:spacing w:line="360" w:lineRule="auto"/>
        <w:jc w:val="both"/>
        <w:rPr>
          <w:rFonts w:ascii="Palatino Linotype" w:eastAsia="MS Mincho" w:hAnsi="Palatino Linotype" w:cs="Times New Roman"/>
          <w:color w:val="000000"/>
        </w:rPr>
      </w:pPr>
    </w:p>
    <w:p w14:paraId="0B640A8B" w14:textId="77777777" w:rsidR="002245E1" w:rsidRPr="00C8495C" w:rsidRDefault="002245E1" w:rsidP="002245E1">
      <w:pPr>
        <w:spacing w:line="360" w:lineRule="auto"/>
        <w:jc w:val="both"/>
        <w:rPr>
          <w:rFonts w:ascii="Palatino Linotype" w:eastAsia="MS Mincho" w:hAnsi="Palatino Linotype" w:cs="Times New Roman"/>
          <w:color w:val="000000"/>
        </w:rPr>
      </w:pPr>
      <w:r w:rsidRPr="00C8495C">
        <w:rPr>
          <w:rFonts w:ascii="Palatino Linotype" w:eastAsia="MS Mincho" w:hAnsi="Palatino Linotype" w:cs="Times New Roman"/>
          <w:b/>
          <w:bCs/>
          <w:color w:val="000000"/>
          <w:sz w:val="28"/>
          <w:szCs w:val="28"/>
        </w:rPr>
        <w:t>CUARTO</w:t>
      </w:r>
      <w:r w:rsidRPr="00C8495C">
        <w:rPr>
          <w:rFonts w:ascii="Palatino Linotype" w:eastAsia="MS Mincho" w:hAnsi="Palatino Linotype" w:cs="Times New Roman"/>
          <w:b/>
          <w:bCs/>
          <w:color w:val="000000"/>
        </w:rPr>
        <w:t>.</w:t>
      </w:r>
      <w:r w:rsidRPr="00C8495C">
        <w:rPr>
          <w:rFonts w:ascii="Palatino Linotype" w:eastAsia="MS Mincho" w:hAnsi="Palatino Linotype" w:cs="Times New Roman"/>
          <w:color w:val="000000"/>
        </w:rPr>
        <w:t xml:space="preserve"> De </w:t>
      </w:r>
      <w:r w:rsidRPr="00C8495C">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C8495C">
        <w:rPr>
          <w:rFonts w:ascii="Palatino Linotype" w:eastAsia="MS Mincho" w:hAnsi="Palatino Linotype" w:cs="Times New Roman"/>
          <w:b/>
          <w:color w:val="000000"/>
        </w:rPr>
        <w:t>SUJETO OBLIGADO,</w:t>
      </w:r>
      <w:r w:rsidRPr="00C8495C">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7F52A46" w14:textId="77777777" w:rsidR="002245E1" w:rsidRPr="00C8495C" w:rsidRDefault="002245E1" w:rsidP="002245E1">
      <w:pPr>
        <w:spacing w:line="360" w:lineRule="auto"/>
        <w:jc w:val="both"/>
        <w:rPr>
          <w:rFonts w:ascii="Palatino Linotype" w:eastAsia="MS Mincho" w:hAnsi="Palatino Linotype" w:cs="Times New Roman"/>
          <w:color w:val="000000"/>
        </w:rPr>
      </w:pPr>
    </w:p>
    <w:p w14:paraId="3363869D" w14:textId="77777777" w:rsidR="002245E1" w:rsidRPr="00C8495C" w:rsidRDefault="002245E1" w:rsidP="002245E1">
      <w:pPr>
        <w:spacing w:line="360" w:lineRule="auto"/>
        <w:jc w:val="both"/>
        <w:rPr>
          <w:rFonts w:ascii="Palatino Linotype" w:eastAsia="MS Mincho" w:hAnsi="Palatino Linotype" w:cs="Times New Roman"/>
          <w:color w:val="000000"/>
        </w:rPr>
      </w:pPr>
      <w:r w:rsidRPr="00C8495C">
        <w:rPr>
          <w:rFonts w:ascii="Palatino Linotype" w:eastAsia="MS Mincho" w:hAnsi="Palatino Linotype" w:cs="Times New Roman"/>
          <w:b/>
          <w:color w:val="000000"/>
          <w:sz w:val="28"/>
          <w:szCs w:val="28"/>
        </w:rPr>
        <w:t>QUINTO</w:t>
      </w:r>
      <w:r w:rsidRPr="00C8495C">
        <w:rPr>
          <w:rFonts w:ascii="Palatino Linotype" w:eastAsia="MS Mincho" w:hAnsi="Palatino Linotype" w:cs="Times New Roman"/>
          <w:b/>
          <w:color w:val="000000"/>
        </w:rPr>
        <w:t xml:space="preserve">. </w:t>
      </w:r>
      <w:r w:rsidRPr="00C8495C">
        <w:rPr>
          <w:rFonts w:ascii="Palatino Linotype" w:eastAsia="MS Mincho" w:hAnsi="Palatino Linotype" w:cs="Times New Roman"/>
          <w:color w:val="000000"/>
        </w:rPr>
        <w:t xml:space="preserve">Notifíquese al </w:t>
      </w:r>
      <w:r w:rsidRPr="00C8495C">
        <w:rPr>
          <w:rFonts w:ascii="Palatino Linotype" w:eastAsia="MS Mincho" w:hAnsi="Palatino Linotype" w:cs="Times New Roman"/>
          <w:b/>
          <w:bCs/>
          <w:color w:val="000000"/>
        </w:rPr>
        <w:t>RECURRENTE</w:t>
      </w:r>
      <w:r w:rsidRPr="00C8495C">
        <w:rPr>
          <w:rFonts w:ascii="Palatino Linotype" w:eastAsia="MS Mincho" w:hAnsi="Palatino Linotype" w:cs="Times New Roman"/>
          <w:color w:val="000000"/>
        </w:rPr>
        <w:t xml:space="preserve"> la presente resolución vía Sistema de Acceso a la Información Mexiquense (SAIMEX).</w:t>
      </w:r>
    </w:p>
    <w:p w14:paraId="0C2FFDF2" w14:textId="77777777" w:rsidR="002245E1" w:rsidRPr="00C8495C" w:rsidRDefault="002245E1" w:rsidP="002245E1">
      <w:pPr>
        <w:spacing w:line="360" w:lineRule="auto"/>
        <w:jc w:val="both"/>
        <w:rPr>
          <w:rFonts w:ascii="Palatino Linotype" w:hAnsi="Palatino Linotype"/>
          <w:b/>
        </w:rPr>
      </w:pPr>
    </w:p>
    <w:p w14:paraId="282DD647" w14:textId="666CADDE" w:rsidR="002245E1" w:rsidRPr="00C8495C" w:rsidRDefault="002245E1" w:rsidP="00A43CB8">
      <w:pPr>
        <w:spacing w:line="360" w:lineRule="auto"/>
        <w:jc w:val="both"/>
        <w:rPr>
          <w:rFonts w:ascii="Palatino Linotype" w:eastAsia="MS Mincho" w:hAnsi="Palatino Linotype" w:cs="Times New Roman"/>
          <w:color w:val="000000"/>
        </w:rPr>
      </w:pPr>
      <w:r w:rsidRPr="00C8495C">
        <w:rPr>
          <w:rFonts w:ascii="Palatino Linotype" w:eastAsia="MS Mincho" w:hAnsi="Palatino Linotype" w:cs="Times New Roman"/>
          <w:b/>
          <w:sz w:val="28"/>
          <w:szCs w:val="28"/>
        </w:rPr>
        <w:t>SEXTO</w:t>
      </w:r>
      <w:r w:rsidRPr="00C8495C">
        <w:rPr>
          <w:rFonts w:ascii="Palatino Linotype" w:eastAsia="MS Mincho" w:hAnsi="Palatino Linotype" w:cs="Times New Roman"/>
          <w:b/>
          <w:color w:val="000000"/>
        </w:rPr>
        <w:t xml:space="preserve">. </w:t>
      </w:r>
      <w:r w:rsidRPr="00C8495C">
        <w:rPr>
          <w:rFonts w:ascii="Palatino Linotype" w:eastAsia="MS Mincho" w:hAnsi="Palatino Linotype" w:cs="Times New Roman"/>
          <w:color w:val="000000"/>
        </w:rPr>
        <w:t xml:space="preserve">Se </w:t>
      </w:r>
      <w:bookmarkEnd w:id="25"/>
      <w:r w:rsidRPr="00C8495C">
        <w:rPr>
          <w:rFonts w:ascii="Palatino Linotype" w:eastAsia="MS Mincho" w:hAnsi="Palatino Linotype" w:cs="Times New Roman"/>
          <w:color w:val="000000" w:themeColor="text1"/>
        </w:rPr>
        <w:t>hace del conocimiento del</w:t>
      </w:r>
      <w:r w:rsidRPr="00C8495C">
        <w:rPr>
          <w:rFonts w:ascii="Palatino Linotype" w:eastAsia="MS Mincho" w:hAnsi="Palatino Linotype" w:cs="Times New Roman"/>
          <w:b/>
          <w:color w:val="000000" w:themeColor="text1"/>
        </w:rPr>
        <w:t xml:space="preserve"> RECURRENTE </w:t>
      </w:r>
      <w:r w:rsidRPr="00C8495C">
        <w:rPr>
          <w:rFonts w:ascii="Palatino Linotype" w:eastAsia="MS Mincho" w:hAnsi="Palatino Linotype" w:cs="Times New Roman"/>
          <w:color w:val="000000" w:themeColor="text1"/>
        </w:rPr>
        <w:t xml:space="preserve">que, </w:t>
      </w:r>
      <w:r w:rsidR="00A43CB8" w:rsidRPr="00C8495C">
        <w:rPr>
          <w:rFonts w:ascii="Palatino Linotype" w:eastAsia="MS Mincho" w:hAnsi="Palatino Linotype" w:cs="Times New Roman"/>
          <w:color w:val="000000"/>
          <w:lang w:val="es-ES"/>
        </w:rPr>
        <w:t>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 o bien, vía juicio de amparo en los términos de las leyes aplicables.</w:t>
      </w:r>
    </w:p>
    <w:p w14:paraId="060D2F43" w14:textId="01821F77" w:rsidR="00965964" w:rsidRPr="00C8495C" w:rsidRDefault="00965964" w:rsidP="002245E1">
      <w:pPr>
        <w:spacing w:line="360" w:lineRule="auto"/>
        <w:jc w:val="both"/>
        <w:rPr>
          <w:rFonts w:ascii="Palatino Linotype" w:eastAsia="MS Mincho" w:hAnsi="Palatino Linotype"/>
          <w:color w:val="000000"/>
        </w:rPr>
      </w:pPr>
    </w:p>
    <w:p w14:paraId="7EFA4F21" w14:textId="1DDFBB48" w:rsidR="00895335" w:rsidRDefault="00B45E8D" w:rsidP="0046791C">
      <w:pPr>
        <w:spacing w:line="360" w:lineRule="auto"/>
        <w:ind w:right="48"/>
        <w:jc w:val="both"/>
        <w:rPr>
          <w:rFonts w:ascii="Palatino Linotype" w:hAnsi="Palatino Linotype" w:cs="Arial"/>
          <w:color w:val="000000" w:themeColor="text1"/>
        </w:rPr>
      </w:pPr>
      <w:r w:rsidRPr="00C8495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C8495C">
        <w:rPr>
          <w:rFonts w:ascii="Palatino Linotype" w:hAnsi="Palatino Linotype"/>
        </w:rPr>
        <w:lastRenderedPageBreak/>
        <w:t xml:space="preserve">VILCHIS; MARÍA DEL ROSARIO MEJÍA AYALA; SHARON CRISTINA MORALES MARTÍNEZ; LUIS GUSTAVO PARRA NORIEGA; Y GUADALUPE RAMÍREZ PEÑA EN LA </w:t>
      </w:r>
      <w:r w:rsidR="00FC7370" w:rsidRPr="00C8495C">
        <w:rPr>
          <w:rFonts w:ascii="Palatino Linotype" w:hAnsi="Palatino Linotype"/>
        </w:rPr>
        <w:t>CUADRAGÉSIMA</w:t>
      </w:r>
      <w:r w:rsidRPr="00C8495C">
        <w:rPr>
          <w:rFonts w:ascii="Palatino Linotype" w:hAnsi="Palatino Linotype"/>
        </w:rPr>
        <w:t xml:space="preserve"> </w:t>
      </w:r>
      <w:r w:rsidR="00965964" w:rsidRPr="00C8495C">
        <w:rPr>
          <w:rFonts w:ascii="Palatino Linotype" w:hAnsi="Palatino Linotype"/>
        </w:rPr>
        <w:t>CUARTA</w:t>
      </w:r>
      <w:r w:rsidRPr="00C8495C">
        <w:rPr>
          <w:rFonts w:ascii="Palatino Linotype" w:hAnsi="Palatino Linotype"/>
        </w:rPr>
        <w:t xml:space="preserve"> SESIÓN ORDINARIA CELEBRADA EL </w:t>
      </w:r>
      <w:r w:rsidR="003A7F9A" w:rsidRPr="00C8495C">
        <w:rPr>
          <w:rFonts w:ascii="Palatino Linotype" w:hAnsi="Palatino Linotype"/>
        </w:rPr>
        <w:t>SEIS (06</w:t>
      </w:r>
      <w:r w:rsidR="00FC7370" w:rsidRPr="00C8495C">
        <w:rPr>
          <w:rFonts w:ascii="Palatino Linotype" w:hAnsi="Palatino Linotype"/>
        </w:rPr>
        <w:t xml:space="preserve">) DE DICIEMBRE </w:t>
      </w:r>
      <w:r w:rsidRPr="00C8495C">
        <w:rPr>
          <w:rFonts w:ascii="Palatino Linotype" w:hAnsi="Palatino Linotype"/>
        </w:rPr>
        <w:t>DE DOS MIL VEINTITRÉS, ANTE EL SECRETARIO TÉCNICO DEL PLENO ALEXIS TAPIA RAMÍREZ</w:t>
      </w:r>
      <w:r w:rsidR="00473026" w:rsidRPr="00C8495C">
        <w:rPr>
          <w:rFonts w:ascii="Palatino Linotype" w:hAnsi="Palatino Linotype"/>
        </w:rPr>
        <w:t>.</w:t>
      </w:r>
      <w:r w:rsidR="00473026">
        <w:rPr>
          <w:rFonts w:ascii="Palatino Linotype" w:hAnsi="Palatino Linotype"/>
        </w:rPr>
        <w:t xml:space="preserve"> </w:t>
      </w:r>
      <w:r w:rsidR="00895335">
        <w:rPr>
          <w:rFonts w:ascii="Palatino Linotype" w:hAnsi="Palatino Linotype" w:cs="Arial"/>
          <w:color w:val="000000" w:themeColor="text1"/>
        </w:rPr>
        <w:br w:type="page"/>
      </w:r>
    </w:p>
    <w:sectPr w:rsidR="00895335" w:rsidSect="006D57BE">
      <w:headerReference w:type="default" r:id="rId17"/>
      <w:footerReference w:type="default" r:id="rId18"/>
      <w:headerReference w:type="first" r:id="rId19"/>
      <w:footerReference w:type="first" r:id="rId20"/>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AE87F" w14:textId="77777777" w:rsidR="004236DB" w:rsidRDefault="004236DB" w:rsidP="00587366">
      <w:r>
        <w:separator/>
      </w:r>
    </w:p>
  </w:endnote>
  <w:endnote w:type="continuationSeparator" w:id="0">
    <w:p w14:paraId="4EEA2463" w14:textId="77777777" w:rsidR="004236DB" w:rsidRDefault="004236DB" w:rsidP="00587366">
      <w:r>
        <w:continuationSeparator/>
      </w:r>
    </w:p>
  </w:endnote>
  <w:endnote w:type="continuationNotice" w:id="1">
    <w:p w14:paraId="3F1D01D1" w14:textId="77777777" w:rsidR="004236DB" w:rsidRDefault="00423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2B5389" w:rsidRPr="00883450" w:rsidRDefault="002B538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C497C">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C497C">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0E7C8B1E" w:rsidR="002B5389" w:rsidRDefault="002B53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2B5389" w:rsidRPr="00883450" w:rsidRDefault="002B538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77F2D" w:rsidRPr="00277F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77F2D" w:rsidRPr="00277F2D">
      <w:rPr>
        <w:rFonts w:ascii="Palatino Linotype" w:hAnsi="Palatino Linotype"/>
        <w:noProof/>
        <w:sz w:val="22"/>
        <w:szCs w:val="22"/>
        <w:lang w:val="es-ES"/>
      </w:rPr>
      <w:t>1</w:t>
    </w:r>
    <w:r w:rsidRPr="00883450">
      <w:rPr>
        <w:rFonts w:ascii="Palatino Linotype" w:hAnsi="Palatino Linotype"/>
        <w:sz w:val="22"/>
        <w:szCs w:val="22"/>
      </w:rPr>
      <w:fldChar w:fldCharType="end"/>
    </w:r>
  </w:p>
  <w:p w14:paraId="5F5C4865" w14:textId="6B993D8B" w:rsidR="002B5389" w:rsidRPr="00883450" w:rsidRDefault="002B538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F8103" w14:textId="77777777" w:rsidR="004236DB" w:rsidRDefault="004236DB" w:rsidP="00587366">
      <w:r>
        <w:separator/>
      </w:r>
    </w:p>
  </w:footnote>
  <w:footnote w:type="continuationSeparator" w:id="0">
    <w:p w14:paraId="67D03FF7" w14:textId="77777777" w:rsidR="004236DB" w:rsidRDefault="004236DB" w:rsidP="00587366">
      <w:r>
        <w:continuationSeparator/>
      </w:r>
    </w:p>
  </w:footnote>
  <w:footnote w:type="continuationNotice" w:id="1">
    <w:p w14:paraId="2AF1CF13" w14:textId="77777777" w:rsidR="004236DB" w:rsidRDefault="004236DB"/>
  </w:footnote>
  <w:footnote w:id="2">
    <w:p w14:paraId="470C14FC" w14:textId="77777777" w:rsidR="002B5389" w:rsidRPr="00C7183E" w:rsidRDefault="002B5389"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2B5389" w:rsidRDefault="002B5389"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2B5389" w:rsidRDefault="002B5389"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0E62BFE4" w14:textId="77777777" w:rsidR="002B5389" w:rsidRPr="009C43C2" w:rsidRDefault="002B5389" w:rsidP="0036459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7D6857EE" w14:textId="77777777" w:rsidR="002B5389" w:rsidRPr="009C43C2" w:rsidRDefault="002B5389" w:rsidP="0036459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270237F4" w14:textId="77777777" w:rsidR="002B5389" w:rsidRPr="009C43C2" w:rsidRDefault="002B5389" w:rsidP="00364594">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1B295419" w14:textId="77777777" w:rsidR="002B5389" w:rsidRDefault="002B5389" w:rsidP="00364594">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1B8C0F5D" w14:textId="77777777" w:rsidR="002B5389" w:rsidRDefault="002B5389" w:rsidP="00364594">
      <w:pPr>
        <w:pStyle w:val="Textonotapie"/>
      </w:pPr>
      <w:r>
        <w:rPr>
          <w:rStyle w:val="Refdenotaalpie"/>
        </w:rPr>
        <w:footnoteRef/>
      </w:r>
      <w:r>
        <w:t xml:space="preserve"> Artículo 50, Ley de Transparencia y Acceso a la Información Pública del Estado de México y Municipios.</w:t>
      </w:r>
    </w:p>
  </w:footnote>
  <w:footnote w:id="10">
    <w:p w14:paraId="673612D0" w14:textId="77777777" w:rsidR="002B5389" w:rsidRDefault="002B5389" w:rsidP="00364594">
      <w:pPr>
        <w:pStyle w:val="Textonotapie"/>
      </w:pPr>
      <w:r>
        <w:rPr>
          <w:rStyle w:val="Refdenotaalpie"/>
        </w:rPr>
        <w:footnoteRef/>
      </w:r>
      <w:r>
        <w:t xml:space="preserve"> Artículo 51, Ídem.</w:t>
      </w:r>
    </w:p>
  </w:footnote>
  <w:footnote w:id="11">
    <w:p w14:paraId="207C9FF7" w14:textId="77777777" w:rsidR="002B5389" w:rsidRDefault="002B5389" w:rsidP="00364594">
      <w:pPr>
        <w:pStyle w:val="Textonotapie"/>
      </w:pPr>
      <w:r>
        <w:rPr>
          <w:rStyle w:val="Refdenotaalpie"/>
        </w:rPr>
        <w:footnoteRef/>
      </w:r>
      <w:r>
        <w:t xml:space="preserve"> Artículo 58, Ley de Transparencia y Acceso a la Información Pública del Estado de México y Municipios.</w:t>
      </w:r>
    </w:p>
  </w:footnote>
  <w:footnote w:id="12">
    <w:p w14:paraId="68117782" w14:textId="77777777" w:rsidR="002B5389" w:rsidRDefault="002B5389" w:rsidP="00364594">
      <w:pPr>
        <w:pStyle w:val="Textonotapie"/>
      </w:pPr>
      <w:r>
        <w:rPr>
          <w:rStyle w:val="Refdenotaalpie"/>
        </w:rPr>
        <w:footnoteRef/>
      </w:r>
      <w:r>
        <w:t xml:space="preserve"> Artículo 59, Ídem.</w:t>
      </w:r>
    </w:p>
  </w:footnote>
  <w:footnote w:id="13">
    <w:p w14:paraId="01229996" w14:textId="77777777" w:rsidR="002B5389" w:rsidRPr="00FF602E" w:rsidRDefault="002B5389" w:rsidP="00364594">
      <w:pPr>
        <w:pStyle w:val="Textonotapie"/>
        <w:rPr>
          <w:lang w:val="es-MX"/>
        </w:rPr>
      </w:pPr>
      <w:r>
        <w:rPr>
          <w:rStyle w:val="Refdenotaalpie"/>
        </w:rPr>
        <w:footnoteRef/>
      </w:r>
      <w:r>
        <w:t xml:space="preserve"> Artículo 1, Ley de Protección de Datos Personales en Posesión de Sujetos Obligados del Estado de México y Municipios.</w:t>
      </w:r>
    </w:p>
  </w:footnote>
  <w:footnote w:id="14">
    <w:p w14:paraId="276ABD6D" w14:textId="77777777" w:rsidR="002B5389" w:rsidRPr="00FB27CE" w:rsidRDefault="002B5389" w:rsidP="00364594">
      <w:pPr>
        <w:pStyle w:val="Textonotapie"/>
        <w:rPr>
          <w:lang w:val="es-MX"/>
        </w:rPr>
      </w:pPr>
      <w:r>
        <w:rPr>
          <w:rStyle w:val="Refdenotaalpie"/>
        </w:rPr>
        <w:footnoteRef/>
      </w:r>
      <w:r>
        <w:t xml:space="preserve"> Ibídem.</w:t>
      </w:r>
    </w:p>
  </w:footnote>
  <w:footnote w:id="15">
    <w:p w14:paraId="2777139B" w14:textId="77777777" w:rsidR="002B5389" w:rsidRPr="009E479D" w:rsidRDefault="002B5389" w:rsidP="00364594">
      <w:pPr>
        <w:pStyle w:val="Textonotapie"/>
        <w:rPr>
          <w:lang w:val="es-MX"/>
        </w:rPr>
      </w:pPr>
      <w:r>
        <w:rPr>
          <w:rStyle w:val="Refdenotaalpie"/>
        </w:rPr>
        <w:footnoteRef/>
      </w:r>
      <w:r>
        <w:t xml:space="preserve"> Artículo 38, Ídem.</w:t>
      </w:r>
    </w:p>
  </w:footnote>
  <w:footnote w:id="16">
    <w:p w14:paraId="1E37F90D" w14:textId="77777777" w:rsidR="002B5389" w:rsidRPr="00130695" w:rsidRDefault="002B5389" w:rsidP="00364594">
      <w:pPr>
        <w:pStyle w:val="Textonotapie"/>
        <w:rPr>
          <w:lang w:val="es-MX"/>
        </w:rPr>
      </w:pPr>
      <w:r>
        <w:rPr>
          <w:rStyle w:val="Refdenotaalpie"/>
        </w:rPr>
        <w:footnoteRef/>
      </w:r>
      <w:r>
        <w:t xml:space="preserve"> Artículo 43, Ley de Protección de Datos Personales en Posesión de Sujetos Obligados del Estado de México.</w:t>
      </w:r>
    </w:p>
  </w:footnote>
  <w:footnote w:id="17">
    <w:p w14:paraId="645A3619" w14:textId="77777777" w:rsidR="002B5389" w:rsidRPr="008C104D" w:rsidRDefault="002B5389" w:rsidP="00364594">
      <w:pPr>
        <w:pStyle w:val="Textonotapie"/>
        <w:rPr>
          <w:lang w:val="es-MX"/>
        </w:rPr>
      </w:pPr>
      <w:r>
        <w:rPr>
          <w:rStyle w:val="Refdenotaalpie"/>
        </w:rPr>
        <w:footnoteRef/>
      </w:r>
      <w:r>
        <w:t xml:space="preserve"> Ibídem.</w:t>
      </w:r>
    </w:p>
  </w:footnote>
  <w:footnote w:id="18">
    <w:p w14:paraId="73DA36C5" w14:textId="77777777" w:rsidR="002B5389" w:rsidRPr="009574F1" w:rsidRDefault="002B5389" w:rsidP="00364594">
      <w:pPr>
        <w:pStyle w:val="Textonotapie"/>
        <w:rPr>
          <w:lang w:val="es-MX"/>
        </w:rPr>
      </w:pPr>
      <w:r>
        <w:rPr>
          <w:rStyle w:val="Refdenotaalpie"/>
        </w:rPr>
        <w:footnoteRef/>
      </w:r>
      <w:r>
        <w:t xml:space="preserve"> Artículo 45, Ley de Protección de Datos Personales en Posesión de Sujetos Obligados del Estado de México y Municipios.</w:t>
      </w:r>
    </w:p>
  </w:footnote>
  <w:footnote w:id="19">
    <w:p w14:paraId="15740DAB" w14:textId="77777777" w:rsidR="002B5389" w:rsidRPr="000C39AB" w:rsidRDefault="002B5389" w:rsidP="00364594">
      <w:pPr>
        <w:pStyle w:val="Textonotapie"/>
        <w:rPr>
          <w:lang w:val="es-MX"/>
        </w:rPr>
      </w:pPr>
      <w:r>
        <w:rPr>
          <w:rStyle w:val="Refdenotaalpie"/>
        </w:rPr>
        <w:footnoteRef/>
      </w:r>
      <w:r>
        <w:t xml:space="preserve"> Artículo 46, Ley de Protección de Datos Personales en Posesión de Sujetos Obligados del Estado de México y Munciipios.</w:t>
      </w:r>
    </w:p>
  </w:footnote>
  <w:footnote w:id="20">
    <w:p w14:paraId="203D1464" w14:textId="77777777" w:rsidR="002B5389" w:rsidRDefault="002B5389" w:rsidP="00364594">
      <w:pPr>
        <w:pStyle w:val="Textonotapie"/>
      </w:pPr>
      <w:r>
        <w:rPr>
          <w:rStyle w:val="Refdenotaalpie"/>
        </w:rPr>
        <w:footnoteRef/>
      </w:r>
      <w:r>
        <w:t xml:space="preserve"> Artículo 4, fracción VI, Ley de Protección de Datos Personales en Posesión de Sujetos Obligados del Estado de México y Municipios.</w:t>
      </w:r>
    </w:p>
  </w:footnote>
  <w:footnote w:id="21">
    <w:p w14:paraId="62440DCD" w14:textId="77777777" w:rsidR="002B5389" w:rsidRDefault="002B5389" w:rsidP="00364594">
      <w:pPr>
        <w:pStyle w:val="Textonotapie"/>
      </w:pPr>
      <w:r>
        <w:rPr>
          <w:rStyle w:val="Refdenotaalpie"/>
        </w:rPr>
        <w:footnoteRef/>
      </w:r>
      <w:r>
        <w:t xml:space="preserve"> Artículo 35, Ídem.</w:t>
      </w:r>
    </w:p>
  </w:footnote>
  <w:footnote w:id="22">
    <w:p w14:paraId="67D26AA1" w14:textId="77777777" w:rsidR="002B5389" w:rsidRDefault="002B5389" w:rsidP="00364594">
      <w:pPr>
        <w:pStyle w:val="Textonotapie"/>
      </w:pPr>
      <w:r>
        <w:rPr>
          <w:rStyle w:val="Refdenotaalpie"/>
        </w:rPr>
        <w:footnoteRef/>
      </w:r>
      <w:r>
        <w:t xml:space="preserve"> Artículo 36, Ídem.</w:t>
      </w:r>
    </w:p>
  </w:footnote>
  <w:footnote w:id="23">
    <w:p w14:paraId="64AC2A9E" w14:textId="77777777" w:rsidR="002B5389" w:rsidRDefault="002B5389" w:rsidP="00D0516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2B5389" w:rsidRPr="00025127" w14:paraId="07F2896E" w14:textId="77777777" w:rsidTr="008E29BB">
      <w:trPr>
        <w:trHeight w:val="138"/>
        <w:jc w:val="right"/>
      </w:trPr>
      <w:tc>
        <w:tcPr>
          <w:tcW w:w="3828" w:type="dxa"/>
          <w:vAlign w:val="center"/>
        </w:tcPr>
        <w:p w14:paraId="4A5B1974" w14:textId="172F35BB" w:rsidR="002B5389" w:rsidRPr="00025127" w:rsidRDefault="002B538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011119E2" w:rsidR="002B5389" w:rsidRPr="00025127" w:rsidRDefault="002B5389" w:rsidP="00F25B61">
          <w:pPr>
            <w:pStyle w:val="Encabezado"/>
            <w:jc w:val="both"/>
            <w:rPr>
              <w:rFonts w:ascii="Palatino Linotype" w:hAnsi="Palatino Linotype"/>
              <w:b/>
              <w:sz w:val="22"/>
              <w:szCs w:val="22"/>
            </w:rPr>
          </w:pPr>
          <w:r>
            <w:rPr>
              <w:rFonts w:ascii="Palatino Linotype" w:hAnsi="Palatino Linotype"/>
              <w:b/>
              <w:sz w:val="22"/>
              <w:szCs w:val="22"/>
            </w:rPr>
            <w:t>13038</w:t>
          </w:r>
          <w:r w:rsidRPr="00025127">
            <w:rPr>
              <w:rFonts w:ascii="Palatino Linotype" w:hAnsi="Palatino Linotype"/>
              <w:b/>
              <w:sz w:val="22"/>
              <w:szCs w:val="22"/>
            </w:rPr>
            <w:t>/INFOEM/IP/RR/</w:t>
          </w:r>
          <w:r>
            <w:rPr>
              <w:rFonts w:ascii="Palatino Linotype" w:hAnsi="Palatino Linotype"/>
              <w:b/>
              <w:sz w:val="22"/>
              <w:szCs w:val="22"/>
            </w:rPr>
            <w:t>2022</w:t>
          </w:r>
        </w:p>
      </w:tc>
    </w:tr>
    <w:tr w:rsidR="002B5389" w:rsidRPr="00025127" w14:paraId="1B5D8690" w14:textId="77777777" w:rsidTr="008E29BB">
      <w:trPr>
        <w:trHeight w:val="233"/>
        <w:jc w:val="right"/>
      </w:trPr>
      <w:tc>
        <w:tcPr>
          <w:tcW w:w="3828" w:type="dxa"/>
          <w:vAlign w:val="center"/>
        </w:tcPr>
        <w:p w14:paraId="3903F2C6" w14:textId="22D569F8" w:rsidR="002B5389" w:rsidRPr="00025127" w:rsidRDefault="002B5389" w:rsidP="0005771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21180A71" w:rsidR="002B5389" w:rsidRPr="00025127" w:rsidRDefault="002B5389" w:rsidP="00057718">
          <w:pPr>
            <w:pStyle w:val="Encabezado"/>
            <w:rPr>
              <w:rFonts w:ascii="Palatino Linotype" w:hAnsi="Palatino Linotype"/>
              <w:b/>
              <w:sz w:val="22"/>
              <w:szCs w:val="22"/>
            </w:rPr>
          </w:pPr>
          <w:r>
            <w:rPr>
              <w:rFonts w:ascii="Palatino Linotype" w:hAnsi="Palatino Linotype"/>
              <w:b/>
              <w:bCs/>
              <w:color w:val="000000"/>
              <w:sz w:val="22"/>
              <w:szCs w:val="22"/>
            </w:rPr>
            <w:t>Secretaría General de Gobierno</w:t>
          </w:r>
        </w:p>
      </w:tc>
    </w:tr>
    <w:tr w:rsidR="002B5389" w:rsidRPr="00025127" w14:paraId="095EB01B" w14:textId="77777777" w:rsidTr="008E29BB">
      <w:trPr>
        <w:trHeight w:val="321"/>
        <w:jc w:val="right"/>
      </w:trPr>
      <w:tc>
        <w:tcPr>
          <w:tcW w:w="3828" w:type="dxa"/>
          <w:vAlign w:val="center"/>
        </w:tcPr>
        <w:p w14:paraId="6E000A51" w14:textId="05E1861A" w:rsidR="002B5389" w:rsidRPr="00025127" w:rsidRDefault="002B538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2B5389" w:rsidRPr="00025127" w:rsidRDefault="002B538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2B5389" w:rsidRDefault="002B5389"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2B5389" w:rsidRPr="00025127" w14:paraId="0A3256F2" w14:textId="77777777" w:rsidTr="008E29BB">
      <w:trPr>
        <w:trHeight w:val="138"/>
        <w:jc w:val="right"/>
      </w:trPr>
      <w:tc>
        <w:tcPr>
          <w:tcW w:w="3828" w:type="dxa"/>
          <w:vAlign w:val="center"/>
        </w:tcPr>
        <w:p w14:paraId="3D80769D" w14:textId="44A35B8D" w:rsidR="002B5389" w:rsidRPr="00025127" w:rsidRDefault="002B5389"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096D6BF7" w:rsidR="002B5389" w:rsidRPr="00025127" w:rsidRDefault="002B5389" w:rsidP="00F25B61">
          <w:pPr>
            <w:pStyle w:val="Encabezado"/>
            <w:rPr>
              <w:rFonts w:ascii="Palatino Linotype" w:hAnsi="Palatino Linotype"/>
              <w:b/>
              <w:sz w:val="22"/>
              <w:szCs w:val="22"/>
            </w:rPr>
          </w:pPr>
          <w:r>
            <w:rPr>
              <w:rFonts w:ascii="Palatino Linotype" w:hAnsi="Palatino Linotype"/>
              <w:b/>
              <w:sz w:val="22"/>
              <w:szCs w:val="22"/>
            </w:rPr>
            <w:t>13038</w:t>
          </w:r>
          <w:r w:rsidRPr="00025127">
            <w:rPr>
              <w:rFonts w:ascii="Palatino Linotype" w:hAnsi="Palatino Linotype"/>
              <w:b/>
              <w:sz w:val="22"/>
              <w:szCs w:val="22"/>
            </w:rPr>
            <w:t>/INFOEM/IP/RR/</w:t>
          </w:r>
          <w:r>
            <w:rPr>
              <w:rFonts w:ascii="Palatino Linotype" w:hAnsi="Palatino Linotype"/>
              <w:b/>
              <w:sz w:val="22"/>
              <w:szCs w:val="22"/>
            </w:rPr>
            <w:t>2022</w:t>
          </w:r>
        </w:p>
      </w:tc>
    </w:tr>
    <w:tr w:rsidR="002B5389" w:rsidRPr="00025127" w14:paraId="128C8B3C" w14:textId="77777777" w:rsidTr="008E29BB">
      <w:trPr>
        <w:trHeight w:val="233"/>
        <w:jc w:val="right"/>
      </w:trPr>
      <w:tc>
        <w:tcPr>
          <w:tcW w:w="3828" w:type="dxa"/>
          <w:vAlign w:val="center"/>
        </w:tcPr>
        <w:p w14:paraId="483E3371" w14:textId="66B1BC74" w:rsidR="002B5389" w:rsidRPr="00025127" w:rsidRDefault="002B538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16FF5A5" w:rsidR="002B5389" w:rsidRPr="00025127" w:rsidRDefault="002B5389" w:rsidP="0058757A">
          <w:pPr>
            <w:pStyle w:val="Encabezado"/>
            <w:rPr>
              <w:rFonts w:ascii="Palatino Linotype" w:hAnsi="Palatino Linotype"/>
              <w:b/>
              <w:sz w:val="22"/>
              <w:szCs w:val="22"/>
            </w:rPr>
          </w:pPr>
        </w:p>
      </w:tc>
    </w:tr>
    <w:tr w:rsidR="002B5389" w:rsidRPr="00025127" w14:paraId="41BE0704" w14:textId="77777777" w:rsidTr="008E29BB">
      <w:trPr>
        <w:trHeight w:val="321"/>
        <w:jc w:val="right"/>
      </w:trPr>
      <w:tc>
        <w:tcPr>
          <w:tcW w:w="3828" w:type="dxa"/>
          <w:vAlign w:val="center"/>
        </w:tcPr>
        <w:p w14:paraId="34C64148" w14:textId="10C6C8A9" w:rsidR="002B5389" w:rsidRPr="00025127" w:rsidRDefault="002B538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0FB07E4B" w:rsidR="002B5389" w:rsidRPr="00025127" w:rsidRDefault="002B5389" w:rsidP="007623A7">
          <w:pPr>
            <w:pStyle w:val="Encabezado"/>
            <w:rPr>
              <w:rFonts w:ascii="Palatino Linotype" w:hAnsi="Palatino Linotype"/>
              <w:b/>
              <w:sz w:val="22"/>
              <w:szCs w:val="22"/>
            </w:rPr>
          </w:pPr>
          <w:r>
            <w:rPr>
              <w:rFonts w:ascii="Palatino Linotype" w:hAnsi="Palatino Linotype"/>
              <w:b/>
              <w:bCs/>
              <w:color w:val="000000"/>
              <w:sz w:val="22"/>
              <w:szCs w:val="22"/>
            </w:rPr>
            <w:t>Secretaría General de Gobierno</w:t>
          </w:r>
        </w:p>
      </w:tc>
    </w:tr>
    <w:tr w:rsidR="002B5389" w:rsidRPr="00025127" w14:paraId="0C8B6193" w14:textId="77777777" w:rsidTr="008E29BB">
      <w:trPr>
        <w:trHeight w:val="321"/>
        <w:jc w:val="right"/>
      </w:trPr>
      <w:tc>
        <w:tcPr>
          <w:tcW w:w="3828" w:type="dxa"/>
          <w:vAlign w:val="center"/>
        </w:tcPr>
        <w:p w14:paraId="321FFAFF" w14:textId="0E8C2CE7" w:rsidR="002B5389" w:rsidRPr="00025127" w:rsidRDefault="002B538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2B5389" w:rsidRPr="00025127" w:rsidRDefault="002B538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2B5389" w:rsidRDefault="004236DB" w:rsidP="00472C41">
    <w:pPr>
      <w:pStyle w:val="Encabezado"/>
      <w:tabs>
        <w:tab w:val="clear" w:pos="4252"/>
        <w:tab w:val="clear" w:pos="8504"/>
        <w:tab w:val="left" w:pos="3103"/>
      </w:tabs>
    </w:pPr>
    <w:r>
      <w:rPr>
        <w:noProof/>
      </w:rPr>
      <w:pict w14:anchorId="15E0F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972CA0"/>
    <w:multiLevelType w:val="hybridMultilevel"/>
    <w:tmpl w:val="0CAEB49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22C3E5C">
      <w:start w:val="1"/>
      <w:numFmt w:val="lowerLetter"/>
      <w:lvlText w:val="%3)"/>
      <w:lvlJc w:val="left"/>
      <w:pPr>
        <w:ind w:left="23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00217"/>
    <w:multiLevelType w:val="hybridMultilevel"/>
    <w:tmpl w:val="92646DF0"/>
    <w:lvl w:ilvl="0" w:tplc="FFFFFFFF">
      <w:start w:val="1"/>
      <w:numFmt w:val="decimal"/>
      <w:lvlText w:val="%1."/>
      <w:lvlJc w:val="left"/>
      <w:pPr>
        <w:ind w:left="720" w:hanging="360"/>
      </w:pPr>
      <w:rPr>
        <w:rFonts w:ascii="Palatino Linotype" w:hAnsi="Palatino Linotype" w:hint="default"/>
        <w:b/>
        <w:i w:val="0"/>
        <w:color w:val="auto"/>
        <w:sz w:val="24"/>
      </w:rPr>
    </w:lvl>
    <w:lvl w:ilvl="1" w:tplc="EC54DEE6">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1877324">
    <w:abstractNumId w:val="8"/>
  </w:num>
  <w:num w:numId="2" w16cid:durableId="2054771713">
    <w:abstractNumId w:val="11"/>
  </w:num>
  <w:num w:numId="3" w16cid:durableId="1191456666">
    <w:abstractNumId w:val="0"/>
  </w:num>
  <w:num w:numId="4" w16cid:durableId="1162965870">
    <w:abstractNumId w:val="6"/>
  </w:num>
  <w:num w:numId="5" w16cid:durableId="659817824">
    <w:abstractNumId w:val="3"/>
  </w:num>
  <w:num w:numId="6" w16cid:durableId="10298389">
    <w:abstractNumId w:val="19"/>
  </w:num>
  <w:num w:numId="7" w16cid:durableId="768626150">
    <w:abstractNumId w:val="15"/>
  </w:num>
  <w:num w:numId="8" w16cid:durableId="2056076790">
    <w:abstractNumId w:val="9"/>
  </w:num>
  <w:num w:numId="9" w16cid:durableId="857230900">
    <w:abstractNumId w:val="12"/>
  </w:num>
  <w:num w:numId="10" w16cid:durableId="1159931234">
    <w:abstractNumId w:val="23"/>
  </w:num>
  <w:num w:numId="11" w16cid:durableId="892498547">
    <w:abstractNumId w:val="4"/>
  </w:num>
  <w:num w:numId="12" w16cid:durableId="373389876">
    <w:abstractNumId w:val="20"/>
  </w:num>
  <w:num w:numId="13" w16cid:durableId="523709213">
    <w:abstractNumId w:val="17"/>
  </w:num>
  <w:num w:numId="14" w16cid:durableId="154686830">
    <w:abstractNumId w:val="24"/>
  </w:num>
  <w:num w:numId="15" w16cid:durableId="341205188">
    <w:abstractNumId w:val="22"/>
  </w:num>
  <w:num w:numId="16" w16cid:durableId="1396467058">
    <w:abstractNumId w:val="2"/>
  </w:num>
  <w:num w:numId="17" w16cid:durableId="261642773">
    <w:abstractNumId w:val="7"/>
  </w:num>
  <w:num w:numId="18" w16cid:durableId="718014991">
    <w:abstractNumId w:val="16"/>
  </w:num>
  <w:num w:numId="19" w16cid:durableId="194393936">
    <w:abstractNumId w:val="14"/>
  </w:num>
  <w:num w:numId="20" w16cid:durableId="1632663700">
    <w:abstractNumId w:val="21"/>
  </w:num>
  <w:num w:numId="21" w16cid:durableId="912550135">
    <w:abstractNumId w:val="10"/>
  </w:num>
  <w:num w:numId="22" w16cid:durableId="1163086264">
    <w:abstractNumId w:val="18"/>
  </w:num>
  <w:num w:numId="23" w16cid:durableId="602222694">
    <w:abstractNumId w:val="13"/>
  </w:num>
  <w:num w:numId="24" w16cid:durableId="478616340">
    <w:abstractNumId w:val="5"/>
  </w:num>
  <w:num w:numId="25" w16cid:durableId="7348559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4F51"/>
    <w:rsid w:val="00015A16"/>
    <w:rsid w:val="00015A51"/>
    <w:rsid w:val="00016250"/>
    <w:rsid w:val="000174A0"/>
    <w:rsid w:val="000203D3"/>
    <w:rsid w:val="000204A6"/>
    <w:rsid w:val="000210BF"/>
    <w:rsid w:val="000211F8"/>
    <w:rsid w:val="0002146F"/>
    <w:rsid w:val="000218C3"/>
    <w:rsid w:val="00022D89"/>
    <w:rsid w:val="000236A3"/>
    <w:rsid w:val="00024F35"/>
    <w:rsid w:val="00025127"/>
    <w:rsid w:val="00025266"/>
    <w:rsid w:val="0002699D"/>
    <w:rsid w:val="0003063D"/>
    <w:rsid w:val="0003135E"/>
    <w:rsid w:val="00031D37"/>
    <w:rsid w:val="00031F10"/>
    <w:rsid w:val="00031F98"/>
    <w:rsid w:val="00032493"/>
    <w:rsid w:val="0003261D"/>
    <w:rsid w:val="00032EC5"/>
    <w:rsid w:val="00032ED4"/>
    <w:rsid w:val="00037657"/>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237C"/>
    <w:rsid w:val="00052A3C"/>
    <w:rsid w:val="00053AA7"/>
    <w:rsid w:val="00054A03"/>
    <w:rsid w:val="00055000"/>
    <w:rsid w:val="000557BC"/>
    <w:rsid w:val="00055DD8"/>
    <w:rsid w:val="00056317"/>
    <w:rsid w:val="00056A79"/>
    <w:rsid w:val="00057718"/>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18C5"/>
    <w:rsid w:val="0007221E"/>
    <w:rsid w:val="000728AD"/>
    <w:rsid w:val="00072F5D"/>
    <w:rsid w:val="00073701"/>
    <w:rsid w:val="00074573"/>
    <w:rsid w:val="0007490B"/>
    <w:rsid w:val="0007614C"/>
    <w:rsid w:val="00076A3F"/>
    <w:rsid w:val="00076E15"/>
    <w:rsid w:val="000770CE"/>
    <w:rsid w:val="00077563"/>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D6F"/>
    <w:rsid w:val="00090FED"/>
    <w:rsid w:val="00091C2C"/>
    <w:rsid w:val="00093A7F"/>
    <w:rsid w:val="00093B8E"/>
    <w:rsid w:val="00093FB4"/>
    <w:rsid w:val="00093FC7"/>
    <w:rsid w:val="00094B41"/>
    <w:rsid w:val="000953E2"/>
    <w:rsid w:val="00095806"/>
    <w:rsid w:val="00095BB9"/>
    <w:rsid w:val="0009700A"/>
    <w:rsid w:val="0009728E"/>
    <w:rsid w:val="000975D0"/>
    <w:rsid w:val="000A0678"/>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CC"/>
    <w:rsid w:val="000D15CB"/>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4B49"/>
    <w:rsid w:val="000F5B8F"/>
    <w:rsid w:val="000F6D7E"/>
    <w:rsid w:val="00100187"/>
    <w:rsid w:val="00100C6D"/>
    <w:rsid w:val="00100DDD"/>
    <w:rsid w:val="001015CE"/>
    <w:rsid w:val="001019F7"/>
    <w:rsid w:val="00101E4E"/>
    <w:rsid w:val="0010205D"/>
    <w:rsid w:val="001020D3"/>
    <w:rsid w:val="001022A5"/>
    <w:rsid w:val="001025BC"/>
    <w:rsid w:val="001025C6"/>
    <w:rsid w:val="00102D65"/>
    <w:rsid w:val="00103662"/>
    <w:rsid w:val="00103888"/>
    <w:rsid w:val="0010409E"/>
    <w:rsid w:val="001060E2"/>
    <w:rsid w:val="00106847"/>
    <w:rsid w:val="00107499"/>
    <w:rsid w:val="00107557"/>
    <w:rsid w:val="0011167C"/>
    <w:rsid w:val="00111F02"/>
    <w:rsid w:val="0011279B"/>
    <w:rsid w:val="00112B02"/>
    <w:rsid w:val="00112D20"/>
    <w:rsid w:val="00112F09"/>
    <w:rsid w:val="00114A21"/>
    <w:rsid w:val="00115F2B"/>
    <w:rsid w:val="001163C7"/>
    <w:rsid w:val="00117441"/>
    <w:rsid w:val="00117D31"/>
    <w:rsid w:val="0012006D"/>
    <w:rsid w:val="0012196F"/>
    <w:rsid w:val="00121F4A"/>
    <w:rsid w:val="001228C0"/>
    <w:rsid w:val="00122948"/>
    <w:rsid w:val="00122E4B"/>
    <w:rsid w:val="00123639"/>
    <w:rsid w:val="0012380D"/>
    <w:rsid w:val="00124015"/>
    <w:rsid w:val="00124CF1"/>
    <w:rsid w:val="001250B4"/>
    <w:rsid w:val="001253D1"/>
    <w:rsid w:val="00125595"/>
    <w:rsid w:val="00126C46"/>
    <w:rsid w:val="00127A33"/>
    <w:rsid w:val="00127E68"/>
    <w:rsid w:val="00130E89"/>
    <w:rsid w:val="0013111C"/>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138"/>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E3"/>
    <w:rsid w:val="00174E02"/>
    <w:rsid w:val="00174E1B"/>
    <w:rsid w:val="0017653A"/>
    <w:rsid w:val="0017745D"/>
    <w:rsid w:val="001775DF"/>
    <w:rsid w:val="00180328"/>
    <w:rsid w:val="001809A7"/>
    <w:rsid w:val="00181C60"/>
    <w:rsid w:val="00181E2A"/>
    <w:rsid w:val="001848C0"/>
    <w:rsid w:val="00185460"/>
    <w:rsid w:val="001862A3"/>
    <w:rsid w:val="00191AA0"/>
    <w:rsid w:val="00191B0B"/>
    <w:rsid w:val="001921FD"/>
    <w:rsid w:val="001925E3"/>
    <w:rsid w:val="00192E4B"/>
    <w:rsid w:val="001937BA"/>
    <w:rsid w:val="001942E6"/>
    <w:rsid w:val="00194D62"/>
    <w:rsid w:val="00196407"/>
    <w:rsid w:val="00196B4D"/>
    <w:rsid w:val="00197091"/>
    <w:rsid w:val="001970D6"/>
    <w:rsid w:val="001972CC"/>
    <w:rsid w:val="001977D2"/>
    <w:rsid w:val="001A032D"/>
    <w:rsid w:val="001A138D"/>
    <w:rsid w:val="001A1C6B"/>
    <w:rsid w:val="001A2857"/>
    <w:rsid w:val="001A2A89"/>
    <w:rsid w:val="001A2C62"/>
    <w:rsid w:val="001A335B"/>
    <w:rsid w:val="001A3634"/>
    <w:rsid w:val="001A4D5D"/>
    <w:rsid w:val="001A5150"/>
    <w:rsid w:val="001A58B9"/>
    <w:rsid w:val="001A61E1"/>
    <w:rsid w:val="001A6C1E"/>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B7B9E"/>
    <w:rsid w:val="001C09E0"/>
    <w:rsid w:val="001C0AED"/>
    <w:rsid w:val="001C13A8"/>
    <w:rsid w:val="001C13B1"/>
    <w:rsid w:val="001C1C2A"/>
    <w:rsid w:val="001C1CDE"/>
    <w:rsid w:val="001C20E8"/>
    <w:rsid w:val="001C263B"/>
    <w:rsid w:val="001C2713"/>
    <w:rsid w:val="001C2C34"/>
    <w:rsid w:val="001C2EF3"/>
    <w:rsid w:val="001C34D6"/>
    <w:rsid w:val="001C3732"/>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89D"/>
    <w:rsid w:val="001E5C94"/>
    <w:rsid w:val="001E6822"/>
    <w:rsid w:val="001E69C9"/>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31F3"/>
    <w:rsid w:val="002058A7"/>
    <w:rsid w:val="00205A1A"/>
    <w:rsid w:val="00205B35"/>
    <w:rsid w:val="002073E5"/>
    <w:rsid w:val="00207665"/>
    <w:rsid w:val="002076E2"/>
    <w:rsid w:val="00207F2B"/>
    <w:rsid w:val="0021056F"/>
    <w:rsid w:val="00210BD1"/>
    <w:rsid w:val="00211229"/>
    <w:rsid w:val="0021175E"/>
    <w:rsid w:val="0021198E"/>
    <w:rsid w:val="00211E8C"/>
    <w:rsid w:val="00212C9C"/>
    <w:rsid w:val="00212FCA"/>
    <w:rsid w:val="00213108"/>
    <w:rsid w:val="00213D85"/>
    <w:rsid w:val="00213DFB"/>
    <w:rsid w:val="002142D5"/>
    <w:rsid w:val="0021453E"/>
    <w:rsid w:val="0021475E"/>
    <w:rsid w:val="0021514E"/>
    <w:rsid w:val="00215A63"/>
    <w:rsid w:val="00215F08"/>
    <w:rsid w:val="002172A1"/>
    <w:rsid w:val="00217888"/>
    <w:rsid w:val="002179AC"/>
    <w:rsid w:val="00217B86"/>
    <w:rsid w:val="00220ADB"/>
    <w:rsid w:val="00221635"/>
    <w:rsid w:val="002217BA"/>
    <w:rsid w:val="00221E74"/>
    <w:rsid w:val="00223177"/>
    <w:rsid w:val="00223507"/>
    <w:rsid w:val="00223616"/>
    <w:rsid w:val="00223ACC"/>
    <w:rsid w:val="0022448D"/>
    <w:rsid w:val="002245E1"/>
    <w:rsid w:val="00226ED6"/>
    <w:rsid w:val="002275DE"/>
    <w:rsid w:val="00230170"/>
    <w:rsid w:val="002305CF"/>
    <w:rsid w:val="002310B5"/>
    <w:rsid w:val="0023189C"/>
    <w:rsid w:val="00232110"/>
    <w:rsid w:val="0023225E"/>
    <w:rsid w:val="00233E08"/>
    <w:rsid w:val="002345FF"/>
    <w:rsid w:val="00235DF2"/>
    <w:rsid w:val="00236F33"/>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16E0"/>
    <w:rsid w:val="00252A20"/>
    <w:rsid w:val="00252B41"/>
    <w:rsid w:val="0025524F"/>
    <w:rsid w:val="002578EE"/>
    <w:rsid w:val="00257D1F"/>
    <w:rsid w:val="00257E5F"/>
    <w:rsid w:val="00260C1D"/>
    <w:rsid w:val="00261001"/>
    <w:rsid w:val="002617DC"/>
    <w:rsid w:val="002619BA"/>
    <w:rsid w:val="00261A42"/>
    <w:rsid w:val="00261D84"/>
    <w:rsid w:val="0026271B"/>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4FC"/>
    <w:rsid w:val="002765F2"/>
    <w:rsid w:val="00277A35"/>
    <w:rsid w:val="00277F2D"/>
    <w:rsid w:val="00280278"/>
    <w:rsid w:val="00280870"/>
    <w:rsid w:val="00280994"/>
    <w:rsid w:val="00280E3F"/>
    <w:rsid w:val="00280F05"/>
    <w:rsid w:val="0028248C"/>
    <w:rsid w:val="00282B05"/>
    <w:rsid w:val="00282D4D"/>
    <w:rsid w:val="0028323A"/>
    <w:rsid w:val="00283861"/>
    <w:rsid w:val="00283964"/>
    <w:rsid w:val="002856F3"/>
    <w:rsid w:val="00286DDB"/>
    <w:rsid w:val="002871EB"/>
    <w:rsid w:val="0028741E"/>
    <w:rsid w:val="00287EB2"/>
    <w:rsid w:val="00290DBD"/>
    <w:rsid w:val="00291D91"/>
    <w:rsid w:val="002948C4"/>
    <w:rsid w:val="00294D2D"/>
    <w:rsid w:val="002960D6"/>
    <w:rsid w:val="00297E45"/>
    <w:rsid w:val="002A047E"/>
    <w:rsid w:val="002A1407"/>
    <w:rsid w:val="002A2099"/>
    <w:rsid w:val="002A229B"/>
    <w:rsid w:val="002A26D9"/>
    <w:rsid w:val="002A3453"/>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389"/>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9BE"/>
    <w:rsid w:val="002D0E3D"/>
    <w:rsid w:val="002D10C8"/>
    <w:rsid w:val="002D1A38"/>
    <w:rsid w:val="002D1AA7"/>
    <w:rsid w:val="002D1C2C"/>
    <w:rsid w:val="002D28CB"/>
    <w:rsid w:val="002D2E16"/>
    <w:rsid w:val="002D35AE"/>
    <w:rsid w:val="002D373C"/>
    <w:rsid w:val="002D57AA"/>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405"/>
    <w:rsid w:val="002F7BEF"/>
    <w:rsid w:val="002F7D11"/>
    <w:rsid w:val="003001E4"/>
    <w:rsid w:val="003007E0"/>
    <w:rsid w:val="00300DF2"/>
    <w:rsid w:val="0030150B"/>
    <w:rsid w:val="00301B41"/>
    <w:rsid w:val="00301D47"/>
    <w:rsid w:val="00302EBF"/>
    <w:rsid w:val="003030B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051E"/>
    <w:rsid w:val="0035104F"/>
    <w:rsid w:val="0035199B"/>
    <w:rsid w:val="003522BF"/>
    <w:rsid w:val="00352901"/>
    <w:rsid w:val="0035420B"/>
    <w:rsid w:val="00355AEE"/>
    <w:rsid w:val="00355D3B"/>
    <w:rsid w:val="0035606B"/>
    <w:rsid w:val="0035651C"/>
    <w:rsid w:val="00356F8B"/>
    <w:rsid w:val="00357CC7"/>
    <w:rsid w:val="0036005D"/>
    <w:rsid w:val="0036073F"/>
    <w:rsid w:val="003615A3"/>
    <w:rsid w:val="003629EE"/>
    <w:rsid w:val="00363DCB"/>
    <w:rsid w:val="003643B3"/>
    <w:rsid w:val="00364594"/>
    <w:rsid w:val="00364DC9"/>
    <w:rsid w:val="00365BED"/>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3033"/>
    <w:rsid w:val="003A4606"/>
    <w:rsid w:val="003A4699"/>
    <w:rsid w:val="003A5E73"/>
    <w:rsid w:val="003A63D9"/>
    <w:rsid w:val="003A6417"/>
    <w:rsid w:val="003A65FE"/>
    <w:rsid w:val="003A6A5A"/>
    <w:rsid w:val="003A7221"/>
    <w:rsid w:val="003A730E"/>
    <w:rsid w:val="003A751C"/>
    <w:rsid w:val="003A7F9A"/>
    <w:rsid w:val="003B123F"/>
    <w:rsid w:val="003B1857"/>
    <w:rsid w:val="003B1CEE"/>
    <w:rsid w:val="003B2199"/>
    <w:rsid w:val="003B2856"/>
    <w:rsid w:val="003B2A0D"/>
    <w:rsid w:val="003B31FA"/>
    <w:rsid w:val="003B470A"/>
    <w:rsid w:val="003B4874"/>
    <w:rsid w:val="003B55AD"/>
    <w:rsid w:val="003B5F46"/>
    <w:rsid w:val="003B60AF"/>
    <w:rsid w:val="003B7304"/>
    <w:rsid w:val="003B790C"/>
    <w:rsid w:val="003B7EC4"/>
    <w:rsid w:val="003C183D"/>
    <w:rsid w:val="003C19CA"/>
    <w:rsid w:val="003C1CF5"/>
    <w:rsid w:val="003C2E96"/>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45"/>
    <w:rsid w:val="003D29E0"/>
    <w:rsid w:val="003D4163"/>
    <w:rsid w:val="003D459A"/>
    <w:rsid w:val="003D46D0"/>
    <w:rsid w:val="003D47A3"/>
    <w:rsid w:val="003D4984"/>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DDA"/>
    <w:rsid w:val="003F140F"/>
    <w:rsid w:val="003F1552"/>
    <w:rsid w:val="003F15DB"/>
    <w:rsid w:val="003F2702"/>
    <w:rsid w:val="003F2778"/>
    <w:rsid w:val="003F36A4"/>
    <w:rsid w:val="003F3757"/>
    <w:rsid w:val="003F4900"/>
    <w:rsid w:val="003F70CA"/>
    <w:rsid w:val="003F7823"/>
    <w:rsid w:val="003F7CCB"/>
    <w:rsid w:val="00400541"/>
    <w:rsid w:val="00400E76"/>
    <w:rsid w:val="00400EF7"/>
    <w:rsid w:val="0040137F"/>
    <w:rsid w:val="00402179"/>
    <w:rsid w:val="0040278D"/>
    <w:rsid w:val="00402C84"/>
    <w:rsid w:val="00403249"/>
    <w:rsid w:val="00403781"/>
    <w:rsid w:val="004044E9"/>
    <w:rsid w:val="00404689"/>
    <w:rsid w:val="0040471A"/>
    <w:rsid w:val="00405A4C"/>
    <w:rsid w:val="004069D9"/>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2378"/>
    <w:rsid w:val="0042267F"/>
    <w:rsid w:val="00422A4D"/>
    <w:rsid w:val="00422B32"/>
    <w:rsid w:val="004236DB"/>
    <w:rsid w:val="004241E2"/>
    <w:rsid w:val="0042437A"/>
    <w:rsid w:val="00424992"/>
    <w:rsid w:val="00424E72"/>
    <w:rsid w:val="0042562E"/>
    <w:rsid w:val="00425F0D"/>
    <w:rsid w:val="00426D7C"/>
    <w:rsid w:val="00427621"/>
    <w:rsid w:val="004277BC"/>
    <w:rsid w:val="004300ED"/>
    <w:rsid w:val="00431687"/>
    <w:rsid w:val="00432B72"/>
    <w:rsid w:val="00433016"/>
    <w:rsid w:val="0043405B"/>
    <w:rsid w:val="0043412E"/>
    <w:rsid w:val="004341B3"/>
    <w:rsid w:val="004342F1"/>
    <w:rsid w:val="00434884"/>
    <w:rsid w:val="0043490F"/>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1B2"/>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A36"/>
    <w:rsid w:val="004D5BA4"/>
    <w:rsid w:val="004D63B9"/>
    <w:rsid w:val="004D68F8"/>
    <w:rsid w:val="004D6D19"/>
    <w:rsid w:val="004D70F9"/>
    <w:rsid w:val="004E0E70"/>
    <w:rsid w:val="004E11D8"/>
    <w:rsid w:val="004E6E3A"/>
    <w:rsid w:val="004E6F5A"/>
    <w:rsid w:val="004F0BF4"/>
    <w:rsid w:val="004F0C96"/>
    <w:rsid w:val="004F0F98"/>
    <w:rsid w:val="004F28A0"/>
    <w:rsid w:val="004F39A4"/>
    <w:rsid w:val="004F3CD5"/>
    <w:rsid w:val="004F44C7"/>
    <w:rsid w:val="004F489F"/>
    <w:rsid w:val="004F4958"/>
    <w:rsid w:val="004F5D92"/>
    <w:rsid w:val="004F766F"/>
    <w:rsid w:val="004F785F"/>
    <w:rsid w:val="004F78B7"/>
    <w:rsid w:val="004F7944"/>
    <w:rsid w:val="00500224"/>
    <w:rsid w:val="005002D1"/>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3C4B"/>
    <w:rsid w:val="005248B9"/>
    <w:rsid w:val="00525374"/>
    <w:rsid w:val="005255D3"/>
    <w:rsid w:val="00525C4F"/>
    <w:rsid w:val="00526446"/>
    <w:rsid w:val="00527495"/>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5FC"/>
    <w:rsid w:val="00556B04"/>
    <w:rsid w:val="00556F72"/>
    <w:rsid w:val="00556F82"/>
    <w:rsid w:val="00557C27"/>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66AF"/>
    <w:rsid w:val="005773AC"/>
    <w:rsid w:val="00577884"/>
    <w:rsid w:val="00577C3F"/>
    <w:rsid w:val="00577EF7"/>
    <w:rsid w:val="00581871"/>
    <w:rsid w:val="00581C0F"/>
    <w:rsid w:val="00582919"/>
    <w:rsid w:val="00583749"/>
    <w:rsid w:val="00583D93"/>
    <w:rsid w:val="005849B2"/>
    <w:rsid w:val="00585172"/>
    <w:rsid w:val="0058643D"/>
    <w:rsid w:val="00586719"/>
    <w:rsid w:val="00587366"/>
    <w:rsid w:val="0058757A"/>
    <w:rsid w:val="00590037"/>
    <w:rsid w:val="00590579"/>
    <w:rsid w:val="00590892"/>
    <w:rsid w:val="00590BE7"/>
    <w:rsid w:val="0059170B"/>
    <w:rsid w:val="00591931"/>
    <w:rsid w:val="005924FA"/>
    <w:rsid w:val="00593476"/>
    <w:rsid w:val="005937B2"/>
    <w:rsid w:val="005937BC"/>
    <w:rsid w:val="00594C52"/>
    <w:rsid w:val="00595511"/>
    <w:rsid w:val="00596238"/>
    <w:rsid w:val="00596514"/>
    <w:rsid w:val="00596761"/>
    <w:rsid w:val="0059679B"/>
    <w:rsid w:val="00596BE2"/>
    <w:rsid w:val="00597B2E"/>
    <w:rsid w:val="00597B44"/>
    <w:rsid w:val="00597D18"/>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497C"/>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52E"/>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FFE"/>
    <w:rsid w:val="006078F8"/>
    <w:rsid w:val="00607A6F"/>
    <w:rsid w:val="006118CE"/>
    <w:rsid w:val="00611DC1"/>
    <w:rsid w:val="00612044"/>
    <w:rsid w:val="00612317"/>
    <w:rsid w:val="00613655"/>
    <w:rsid w:val="006144EE"/>
    <w:rsid w:val="0061450C"/>
    <w:rsid w:val="00616236"/>
    <w:rsid w:val="00617125"/>
    <w:rsid w:val="00617813"/>
    <w:rsid w:val="006206CC"/>
    <w:rsid w:val="0062118E"/>
    <w:rsid w:val="00622B06"/>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5388"/>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C4A"/>
    <w:rsid w:val="00680F25"/>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869"/>
    <w:rsid w:val="00697B44"/>
    <w:rsid w:val="00697C1C"/>
    <w:rsid w:val="00697FB5"/>
    <w:rsid w:val="006A0339"/>
    <w:rsid w:val="006A1047"/>
    <w:rsid w:val="006A11C8"/>
    <w:rsid w:val="006A1737"/>
    <w:rsid w:val="006A2CF3"/>
    <w:rsid w:val="006A2D34"/>
    <w:rsid w:val="006A2EDE"/>
    <w:rsid w:val="006A2EFB"/>
    <w:rsid w:val="006A32B6"/>
    <w:rsid w:val="006A356D"/>
    <w:rsid w:val="006A3D7A"/>
    <w:rsid w:val="006A422A"/>
    <w:rsid w:val="006A4617"/>
    <w:rsid w:val="006A6859"/>
    <w:rsid w:val="006A6EDA"/>
    <w:rsid w:val="006A79C3"/>
    <w:rsid w:val="006B004E"/>
    <w:rsid w:val="006B0198"/>
    <w:rsid w:val="006B0995"/>
    <w:rsid w:val="006B12E8"/>
    <w:rsid w:val="006B1A37"/>
    <w:rsid w:val="006B1C19"/>
    <w:rsid w:val="006B218B"/>
    <w:rsid w:val="006B249F"/>
    <w:rsid w:val="006B31E7"/>
    <w:rsid w:val="006B367D"/>
    <w:rsid w:val="006B424B"/>
    <w:rsid w:val="006B4585"/>
    <w:rsid w:val="006B53EE"/>
    <w:rsid w:val="006B5BA1"/>
    <w:rsid w:val="006B60B4"/>
    <w:rsid w:val="006B65D4"/>
    <w:rsid w:val="006B66E6"/>
    <w:rsid w:val="006B78FF"/>
    <w:rsid w:val="006B7A58"/>
    <w:rsid w:val="006C15A0"/>
    <w:rsid w:val="006C250B"/>
    <w:rsid w:val="006C26B3"/>
    <w:rsid w:val="006C2FEE"/>
    <w:rsid w:val="006C50B1"/>
    <w:rsid w:val="006C50C2"/>
    <w:rsid w:val="006C563A"/>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147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414A"/>
    <w:rsid w:val="006F51AA"/>
    <w:rsid w:val="006F5231"/>
    <w:rsid w:val="006F69E5"/>
    <w:rsid w:val="00700553"/>
    <w:rsid w:val="0070102E"/>
    <w:rsid w:val="00701218"/>
    <w:rsid w:val="00702D2E"/>
    <w:rsid w:val="007050B1"/>
    <w:rsid w:val="007050D2"/>
    <w:rsid w:val="00705527"/>
    <w:rsid w:val="00705B80"/>
    <w:rsid w:val="007060B5"/>
    <w:rsid w:val="00707096"/>
    <w:rsid w:val="00710B50"/>
    <w:rsid w:val="007114A9"/>
    <w:rsid w:val="007127BB"/>
    <w:rsid w:val="00712B96"/>
    <w:rsid w:val="007136BC"/>
    <w:rsid w:val="007137B5"/>
    <w:rsid w:val="00714346"/>
    <w:rsid w:val="00714576"/>
    <w:rsid w:val="00714FEC"/>
    <w:rsid w:val="00715A04"/>
    <w:rsid w:val="00715B7D"/>
    <w:rsid w:val="00720481"/>
    <w:rsid w:val="00721335"/>
    <w:rsid w:val="0072136F"/>
    <w:rsid w:val="00721924"/>
    <w:rsid w:val="00721F66"/>
    <w:rsid w:val="00722B93"/>
    <w:rsid w:val="0072445A"/>
    <w:rsid w:val="007263AA"/>
    <w:rsid w:val="00730DF4"/>
    <w:rsid w:val="00730F4A"/>
    <w:rsid w:val="00730FB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2486"/>
    <w:rsid w:val="007426B7"/>
    <w:rsid w:val="00742D6A"/>
    <w:rsid w:val="00743CAC"/>
    <w:rsid w:val="0074433B"/>
    <w:rsid w:val="007446C2"/>
    <w:rsid w:val="0074573F"/>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605"/>
    <w:rsid w:val="007C20E3"/>
    <w:rsid w:val="007C255D"/>
    <w:rsid w:val="007C3795"/>
    <w:rsid w:val="007C37D2"/>
    <w:rsid w:val="007C3985"/>
    <w:rsid w:val="007C3DFC"/>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7B65"/>
    <w:rsid w:val="007D7EF3"/>
    <w:rsid w:val="007E0553"/>
    <w:rsid w:val="007E1C1C"/>
    <w:rsid w:val="007E31A3"/>
    <w:rsid w:val="007E5125"/>
    <w:rsid w:val="007E5A30"/>
    <w:rsid w:val="007E5DB4"/>
    <w:rsid w:val="007E6334"/>
    <w:rsid w:val="007E64B6"/>
    <w:rsid w:val="007E72D5"/>
    <w:rsid w:val="007E72DF"/>
    <w:rsid w:val="007F0617"/>
    <w:rsid w:val="007F313E"/>
    <w:rsid w:val="007F33CD"/>
    <w:rsid w:val="007F372C"/>
    <w:rsid w:val="007F3993"/>
    <w:rsid w:val="007F3A5A"/>
    <w:rsid w:val="007F57FD"/>
    <w:rsid w:val="007F5AD6"/>
    <w:rsid w:val="007F6819"/>
    <w:rsid w:val="007F6DC7"/>
    <w:rsid w:val="007F6F57"/>
    <w:rsid w:val="007F729E"/>
    <w:rsid w:val="007F7653"/>
    <w:rsid w:val="007F7734"/>
    <w:rsid w:val="008005D2"/>
    <w:rsid w:val="00800E69"/>
    <w:rsid w:val="00800EFF"/>
    <w:rsid w:val="00801FC4"/>
    <w:rsid w:val="008027FA"/>
    <w:rsid w:val="00802B28"/>
    <w:rsid w:val="00802BFE"/>
    <w:rsid w:val="00803827"/>
    <w:rsid w:val="0080391F"/>
    <w:rsid w:val="008039C2"/>
    <w:rsid w:val="008046E4"/>
    <w:rsid w:val="00804992"/>
    <w:rsid w:val="008055FF"/>
    <w:rsid w:val="00805C62"/>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18E"/>
    <w:rsid w:val="008433C1"/>
    <w:rsid w:val="00843908"/>
    <w:rsid w:val="00843FA9"/>
    <w:rsid w:val="008443E1"/>
    <w:rsid w:val="008444D4"/>
    <w:rsid w:val="008456F2"/>
    <w:rsid w:val="008459B3"/>
    <w:rsid w:val="00845D12"/>
    <w:rsid w:val="00846713"/>
    <w:rsid w:val="00846C5D"/>
    <w:rsid w:val="00846D48"/>
    <w:rsid w:val="008472A9"/>
    <w:rsid w:val="008473E4"/>
    <w:rsid w:val="008473FA"/>
    <w:rsid w:val="00847830"/>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0E"/>
    <w:rsid w:val="008B3CBF"/>
    <w:rsid w:val="008B4553"/>
    <w:rsid w:val="008B4590"/>
    <w:rsid w:val="008B512C"/>
    <w:rsid w:val="008B5AB4"/>
    <w:rsid w:val="008B64F7"/>
    <w:rsid w:val="008B66A6"/>
    <w:rsid w:val="008B6849"/>
    <w:rsid w:val="008B69D1"/>
    <w:rsid w:val="008B7D4A"/>
    <w:rsid w:val="008B7FFE"/>
    <w:rsid w:val="008C0446"/>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EA6"/>
    <w:rsid w:val="008D728C"/>
    <w:rsid w:val="008D73B7"/>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7752"/>
    <w:rsid w:val="009006C5"/>
    <w:rsid w:val="009012A9"/>
    <w:rsid w:val="0090174A"/>
    <w:rsid w:val="00902E52"/>
    <w:rsid w:val="009036B3"/>
    <w:rsid w:val="00903C6E"/>
    <w:rsid w:val="009052C1"/>
    <w:rsid w:val="0090620F"/>
    <w:rsid w:val="009071FE"/>
    <w:rsid w:val="00907761"/>
    <w:rsid w:val="00907A46"/>
    <w:rsid w:val="00907D31"/>
    <w:rsid w:val="00910076"/>
    <w:rsid w:val="009107CD"/>
    <w:rsid w:val="00910E1B"/>
    <w:rsid w:val="0091242A"/>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3E62"/>
    <w:rsid w:val="00945A61"/>
    <w:rsid w:val="009465B0"/>
    <w:rsid w:val="009467D2"/>
    <w:rsid w:val="00946F63"/>
    <w:rsid w:val="00947A1D"/>
    <w:rsid w:val="00950154"/>
    <w:rsid w:val="00950C6E"/>
    <w:rsid w:val="00951ECA"/>
    <w:rsid w:val="0095218D"/>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6E6"/>
    <w:rsid w:val="009609D2"/>
    <w:rsid w:val="00960CFA"/>
    <w:rsid w:val="00960E89"/>
    <w:rsid w:val="0096234B"/>
    <w:rsid w:val="00962F40"/>
    <w:rsid w:val="00963968"/>
    <w:rsid w:val="00965470"/>
    <w:rsid w:val="00965763"/>
    <w:rsid w:val="00965964"/>
    <w:rsid w:val="009670E9"/>
    <w:rsid w:val="00970F70"/>
    <w:rsid w:val="00971015"/>
    <w:rsid w:val="00971056"/>
    <w:rsid w:val="0097210F"/>
    <w:rsid w:val="0097252B"/>
    <w:rsid w:val="00972668"/>
    <w:rsid w:val="009727B4"/>
    <w:rsid w:val="00972C36"/>
    <w:rsid w:val="00972DF8"/>
    <w:rsid w:val="009747E8"/>
    <w:rsid w:val="009750AA"/>
    <w:rsid w:val="00975852"/>
    <w:rsid w:val="009767EB"/>
    <w:rsid w:val="00976943"/>
    <w:rsid w:val="00977D37"/>
    <w:rsid w:val="00980FAE"/>
    <w:rsid w:val="009813EA"/>
    <w:rsid w:val="00981E97"/>
    <w:rsid w:val="009830D3"/>
    <w:rsid w:val="00983535"/>
    <w:rsid w:val="00983B8F"/>
    <w:rsid w:val="009845C2"/>
    <w:rsid w:val="00984D47"/>
    <w:rsid w:val="0098595E"/>
    <w:rsid w:val="00986073"/>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381"/>
    <w:rsid w:val="009B649B"/>
    <w:rsid w:val="009B6F16"/>
    <w:rsid w:val="009B7C54"/>
    <w:rsid w:val="009C0285"/>
    <w:rsid w:val="009C0940"/>
    <w:rsid w:val="009C0950"/>
    <w:rsid w:val="009C1D99"/>
    <w:rsid w:val="009C1F8B"/>
    <w:rsid w:val="009C20A8"/>
    <w:rsid w:val="009C27CC"/>
    <w:rsid w:val="009C3E4C"/>
    <w:rsid w:val="009C5057"/>
    <w:rsid w:val="009C5F2B"/>
    <w:rsid w:val="009C6069"/>
    <w:rsid w:val="009C6CAB"/>
    <w:rsid w:val="009D0ACE"/>
    <w:rsid w:val="009D1378"/>
    <w:rsid w:val="009D1780"/>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3CB8"/>
    <w:rsid w:val="00A440EB"/>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720"/>
    <w:rsid w:val="00A50922"/>
    <w:rsid w:val="00A50B8A"/>
    <w:rsid w:val="00A51F40"/>
    <w:rsid w:val="00A5217A"/>
    <w:rsid w:val="00A526B0"/>
    <w:rsid w:val="00A5306B"/>
    <w:rsid w:val="00A53A38"/>
    <w:rsid w:val="00A54A94"/>
    <w:rsid w:val="00A55D2B"/>
    <w:rsid w:val="00A55FD1"/>
    <w:rsid w:val="00A572BC"/>
    <w:rsid w:val="00A57A82"/>
    <w:rsid w:val="00A57B20"/>
    <w:rsid w:val="00A62B7B"/>
    <w:rsid w:val="00A63B45"/>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106"/>
    <w:rsid w:val="00AA6228"/>
    <w:rsid w:val="00AA69A4"/>
    <w:rsid w:val="00AA75D4"/>
    <w:rsid w:val="00AB1131"/>
    <w:rsid w:val="00AB1B91"/>
    <w:rsid w:val="00AB2744"/>
    <w:rsid w:val="00AB274F"/>
    <w:rsid w:val="00AB2E93"/>
    <w:rsid w:val="00AB34A4"/>
    <w:rsid w:val="00AB3F90"/>
    <w:rsid w:val="00AB5F30"/>
    <w:rsid w:val="00AB61E4"/>
    <w:rsid w:val="00AB6BE3"/>
    <w:rsid w:val="00AB7AAA"/>
    <w:rsid w:val="00AC2197"/>
    <w:rsid w:val="00AC37C3"/>
    <w:rsid w:val="00AC39F6"/>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648"/>
    <w:rsid w:val="00AE1CCB"/>
    <w:rsid w:val="00AE22F9"/>
    <w:rsid w:val="00AE2957"/>
    <w:rsid w:val="00AE3F30"/>
    <w:rsid w:val="00AE4496"/>
    <w:rsid w:val="00AE48E8"/>
    <w:rsid w:val="00AE5FF5"/>
    <w:rsid w:val="00AE6A90"/>
    <w:rsid w:val="00AE6F39"/>
    <w:rsid w:val="00AE7823"/>
    <w:rsid w:val="00AE7F20"/>
    <w:rsid w:val="00AF0E7C"/>
    <w:rsid w:val="00AF1F04"/>
    <w:rsid w:val="00AF2D72"/>
    <w:rsid w:val="00AF3B55"/>
    <w:rsid w:val="00AF3B8B"/>
    <w:rsid w:val="00AF3D59"/>
    <w:rsid w:val="00AF42B5"/>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03F"/>
    <w:rsid w:val="00B04A9B"/>
    <w:rsid w:val="00B04E10"/>
    <w:rsid w:val="00B055B9"/>
    <w:rsid w:val="00B07194"/>
    <w:rsid w:val="00B0733E"/>
    <w:rsid w:val="00B1011E"/>
    <w:rsid w:val="00B10AFF"/>
    <w:rsid w:val="00B12CE1"/>
    <w:rsid w:val="00B13243"/>
    <w:rsid w:val="00B13511"/>
    <w:rsid w:val="00B13AEF"/>
    <w:rsid w:val="00B13D85"/>
    <w:rsid w:val="00B14050"/>
    <w:rsid w:val="00B14ED7"/>
    <w:rsid w:val="00B16296"/>
    <w:rsid w:val="00B16CC7"/>
    <w:rsid w:val="00B1786A"/>
    <w:rsid w:val="00B17BB2"/>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A7"/>
    <w:rsid w:val="00B342D1"/>
    <w:rsid w:val="00B34371"/>
    <w:rsid w:val="00B357DD"/>
    <w:rsid w:val="00B36BEC"/>
    <w:rsid w:val="00B36E92"/>
    <w:rsid w:val="00B37104"/>
    <w:rsid w:val="00B37930"/>
    <w:rsid w:val="00B406E3"/>
    <w:rsid w:val="00B41516"/>
    <w:rsid w:val="00B428BD"/>
    <w:rsid w:val="00B433EB"/>
    <w:rsid w:val="00B43F5B"/>
    <w:rsid w:val="00B447D7"/>
    <w:rsid w:val="00B44F9F"/>
    <w:rsid w:val="00B451F7"/>
    <w:rsid w:val="00B452A3"/>
    <w:rsid w:val="00B4545E"/>
    <w:rsid w:val="00B45A0F"/>
    <w:rsid w:val="00B45E8D"/>
    <w:rsid w:val="00B47889"/>
    <w:rsid w:val="00B478CF"/>
    <w:rsid w:val="00B47D0D"/>
    <w:rsid w:val="00B47D7A"/>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14EB"/>
    <w:rsid w:val="00B62FF7"/>
    <w:rsid w:val="00B64032"/>
    <w:rsid w:val="00B64099"/>
    <w:rsid w:val="00B643D6"/>
    <w:rsid w:val="00B64919"/>
    <w:rsid w:val="00B6571D"/>
    <w:rsid w:val="00B667C6"/>
    <w:rsid w:val="00B66BC8"/>
    <w:rsid w:val="00B6723D"/>
    <w:rsid w:val="00B67B60"/>
    <w:rsid w:val="00B67BD4"/>
    <w:rsid w:val="00B70A0A"/>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B1F"/>
    <w:rsid w:val="00B83E2E"/>
    <w:rsid w:val="00B84739"/>
    <w:rsid w:val="00B850AA"/>
    <w:rsid w:val="00B855AA"/>
    <w:rsid w:val="00B864B3"/>
    <w:rsid w:val="00B87678"/>
    <w:rsid w:val="00B8780A"/>
    <w:rsid w:val="00B902E7"/>
    <w:rsid w:val="00B90B4F"/>
    <w:rsid w:val="00B914D9"/>
    <w:rsid w:val="00B922D9"/>
    <w:rsid w:val="00B926D6"/>
    <w:rsid w:val="00B93351"/>
    <w:rsid w:val="00B93C6F"/>
    <w:rsid w:val="00B945F2"/>
    <w:rsid w:val="00B95670"/>
    <w:rsid w:val="00B959FD"/>
    <w:rsid w:val="00B966BF"/>
    <w:rsid w:val="00B96907"/>
    <w:rsid w:val="00B96FBD"/>
    <w:rsid w:val="00B974B4"/>
    <w:rsid w:val="00B97D44"/>
    <w:rsid w:val="00BA0012"/>
    <w:rsid w:val="00BA0458"/>
    <w:rsid w:val="00BA0930"/>
    <w:rsid w:val="00BA200D"/>
    <w:rsid w:val="00BA4BD7"/>
    <w:rsid w:val="00BA4F66"/>
    <w:rsid w:val="00BA54A2"/>
    <w:rsid w:val="00BA5645"/>
    <w:rsid w:val="00BA5D63"/>
    <w:rsid w:val="00BA6D15"/>
    <w:rsid w:val="00BA7987"/>
    <w:rsid w:val="00BA7CFA"/>
    <w:rsid w:val="00BB1309"/>
    <w:rsid w:val="00BB2592"/>
    <w:rsid w:val="00BB3156"/>
    <w:rsid w:val="00BB3E47"/>
    <w:rsid w:val="00BB4F26"/>
    <w:rsid w:val="00BB5CA9"/>
    <w:rsid w:val="00BB6662"/>
    <w:rsid w:val="00BB7519"/>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3724"/>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6121"/>
    <w:rsid w:val="00C2782D"/>
    <w:rsid w:val="00C27ABF"/>
    <w:rsid w:val="00C3086E"/>
    <w:rsid w:val="00C315FB"/>
    <w:rsid w:val="00C31713"/>
    <w:rsid w:val="00C317BD"/>
    <w:rsid w:val="00C3198E"/>
    <w:rsid w:val="00C31A78"/>
    <w:rsid w:val="00C31C1C"/>
    <w:rsid w:val="00C33279"/>
    <w:rsid w:val="00C34B8F"/>
    <w:rsid w:val="00C35332"/>
    <w:rsid w:val="00C363D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788"/>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559"/>
    <w:rsid w:val="00C8495C"/>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60A"/>
    <w:rsid w:val="00C94D16"/>
    <w:rsid w:val="00C95593"/>
    <w:rsid w:val="00C9667A"/>
    <w:rsid w:val="00C96A1F"/>
    <w:rsid w:val="00C9707E"/>
    <w:rsid w:val="00CA03B7"/>
    <w:rsid w:val="00CA0640"/>
    <w:rsid w:val="00CA2022"/>
    <w:rsid w:val="00CA3FB6"/>
    <w:rsid w:val="00CA46F1"/>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490E"/>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5758"/>
    <w:rsid w:val="00CE68FD"/>
    <w:rsid w:val="00CE6EC5"/>
    <w:rsid w:val="00CE7E6A"/>
    <w:rsid w:val="00CF030B"/>
    <w:rsid w:val="00CF15AD"/>
    <w:rsid w:val="00CF1C1F"/>
    <w:rsid w:val="00CF23A2"/>
    <w:rsid w:val="00CF2665"/>
    <w:rsid w:val="00CF30A1"/>
    <w:rsid w:val="00CF5D77"/>
    <w:rsid w:val="00CF6EB2"/>
    <w:rsid w:val="00CF73C6"/>
    <w:rsid w:val="00D00269"/>
    <w:rsid w:val="00D02F72"/>
    <w:rsid w:val="00D04655"/>
    <w:rsid w:val="00D04914"/>
    <w:rsid w:val="00D05160"/>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02A"/>
    <w:rsid w:val="00D20E91"/>
    <w:rsid w:val="00D2181D"/>
    <w:rsid w:val="00D225CB"/>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484D"/>
    <w:rsid w:val="00D75D56"/>
    <w:rsid w:val="00D75E6C"/>
    <w:rsid w:val="00D80F7C"/>
    <w:rsid w:val="00D82CB3"/>
    <w:rsid w:val="00D82FC0"/>
    <w:rsid w:val="00D8322A"/>
    <w:rsid w:val="00D83C17"/>
    <w:rsid w:val="00D84CCA"/>
    <w:rsid w:val="00D850A1"/>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BB0"/>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414"/>
    <w:rsid w:val="00DC073A"/>
    <w:rsid w:val="00DC0A7B"/>
    <w:rsid w:val="00DC1539"/>
    <w:rsid w:val="00DC2022"/>
    <w:rsid w:val="00DC2246"/>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419C"/>
    <w:rsid w:val="00DF51C5"/>
    <w:rsid w:val="00DF56A2"/>
    <w:rsid w:val="00DF6794"/>
    <w:rsid w:val="00DF72C7"/>
    <w:rsid w:val="00DF7862"/>
    <w:rsid w:val="00E000DE"/>
    <w:rsid w:val="00E0021C"/>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44E"/>
    <w:rsid w:val="00E43ABE"/>
    <w:rsid w:val="00E44057"/>
    <w:rsid w:val="00E44449"/>
    <w:rsid w:val="00E445BD"/>
    <w:rsid w:val="00E44A89"/>
    <w:rsid w:val="00E4629A"/>
    <w:rsid w:val="00E46673"/>
    <w:rsid w:val="00E46BF7"/>
    <w:rsid w:val="00E47A5F"/>
    <w:rsid w:val="00E47BA8"/>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5AE2"/>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3C2"/>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4DAF"/>
    <w:rsid w:val="00EA5061"/>
    <w:rsid w:val="00EA5118"/>
    <w:rsid w:val="00EA53CF"/>
    <w:rsid w:val="00EA5A71"/>
    <w:rsid w:val="00EA5E33"/>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D7111"/>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E7CA5"/>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3F3"/>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7B2"/>
    <w:rsid w:val="00F37B6F"/>
    <w:rsid w:val="00F40438"/>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190F"/>
    <w:rsid w:val="00F51B84"/>
    <w:rsid w:val="00F53104"/>
    <w:rsid w:val="00F5372F"/>
    <w:rsid w:val="00F53C70"/>
    <w:rsid w:val="00F54F8A"/>
    <w:rsid w:val="00F550F8"/>
    <w:rsid w:val="00F55309"/>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6E08"/>
    <w:rsid w:val="00F67057"/>
    <w:rsid w:val="00F67946"/>
    <w:rsid w:val="00F7271E"/>
    <w:rsid w:val="00F72B50"/>
    <w:rsid w:val="00F72B99"/>
    <w:rsid w:val="00F72CCD"/>
    <w:rsid w:val="00F72E9F"/>
    <w:rsid w:val="00F73166"/>
    <w:rsid w:val="00F736F9"/>
    <w:rsid w:val="00F739E9"/>
    <w:rsid w:val="00F75114"/>
    <w:rsid w:val="00F75285"/>
    <w:rsid w:val="00F77C12"/>
    <w:rsid w:val="00F77D64"/>
    <w:rsid w:val="00F8110A"/>
    <w:rsid w:val="00F81620"/>
    <w:rsid w:val="00F82FA5"/>
    <w:rsid w:val="00F84240"/>
    <w:rsid w:val="00F85237"/>
    <w:rsid w:val="00F8564F"/>
    <w:rsid w:val="00F87DAE"/>
    <w:rsid w:val="00F9000A"/>
    <w:rsid w:val="00F9002A"/>
    <w:rsid w:val="00F90261"/>
    <w:rsid w:val="00F906D0"/>
    <w:rsid w:val="00F90CC8"/>
    <w:rsid w:val="00F91388"/>
    <w:rsid w:val="00F92667"/>
    <w:rsid w:val="00F92741"/>
    <w:rsid w:val="00F93FEB"/>
    <w:rsid w:val="00F94AFE"/>
    <w:rsid w:val="00F94E43"/>
    <w:rsid w:val="00F94E4C"/>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62AC"/>
    <w:rsid w:val="00FC66A8"/>
    <w:rsid w:val="00FC6AC7"/>
    <w:rsid w:val="00FC6C3D"/>
    <w:rsid w:val="00FC7370"/>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48667350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868016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1086805">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97387-7668-41EC-9524-DAF4F3B4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69</Pages>
  <Words>14627</Words>
  <Characters>80454</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13</cp:revision>
  <cp:lastPrinted>2019-12-11T01:19:00Z</cp:lastPrinted>
  <dcterms:created xsi:type="dcterms:W3CDTF">2023-11-30T08:43:00Z</dcterms:created>
  <dcterms:modified xsi:type="dcterms:W3CDTF">2023-12-15T17:21:00Z</dcterms:modified>
</cp:coreProperties>
</file>