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C99D" w14:textId="7A22B941" w:rsidR="001C2C89" w:rsidRPr="009B7185" w:rsidRDefault="001C2C89" w:rsidP="001C2C89">
      <w:pPr>
        <w:tabs>
          <w:tab w:val="left" w:pos="8931"/>
        </w:tabs>
        <w:spacing w:after="0" w:line="360" w:lineRule="auto"/>
        <w:rPr>
          <w:rFonts w:eastAsia="Calibri" w:cs="Tahoma"/>
          <w:lang w:val="es-ES"/>
        </w:rPr>
      </w:pPr>
      <w:r w:rsidRPr="009B7185">
        <w:rPr>
          <w:rFonts w:cs="Tahoma"/>
          <w:bCs/>
        </w:rPr>
        <w:t xml:space="preserve">Resolución del Pleno del Instituto de Transparencia, Acceso a la Información Pública y Protección de Datos Personales del Estado de México y Municipios, con domicilio en Metepec, </w:t>
      </w:r>
      <w:r w:rsidRPr="009B7185">
        <w:rPr>
          <w:rFonts w:eastAsia="Calibri" w:cs="Tahoma"/>
          <w:lang w:val="es-ES"/>
        </w:rPr>
        <w:t xml:space="preserve">Estado de México, </w:t>
      </w:r>
      <w:r w:rsidR="009B7185" w:rsidRPr="009B7185">
        <w:rPr>
          <w:rFonts w:eastAsia="Calibri" w:cs="Tahoma"/>
          <w:lang w:val="es-ES"/>
        </w:rPr>
        <w:t>veinticuatro</w:t>
      </w:r>
      <w:r w:rsidRPr="009B7185">
        <w:rPr>
          <w:rFonts w:eastAsia="Calibri" w:cs="Tahoma"/>
          <w:lang w:val="es-ES"/>
        </w:rPr>
        <w:t xml:space="preserve"> de mayo de dos mil veintitrés. </w:t>
      </w:r>
    </w:p>
    <w:p w14:paraId="4A837323" w14:textId="77777777" w:rsidR="001C2C89" w:rsidRPr="009B7185" w:rsidRDefault="001C2C89" w:rsidP="001C2C89">
      <w:pPr>
        <w:spacing w:after="0" w:line="360" w:lineRule="auto"/>
        <w:rPr>
          <w:rFonts w:eastAsia="Calibri" w:cs="Tahoma"/>
          <w:b/>
          <w:bCs/>
          <w:lang w:val="es-ES"/>
        </w:rPr>
      </w:pPr>
    </w:p>
    <w:p w14:paraId="2FE4DD28" w14:textId="33CF5C06" w:rsidR="001C2C89" w:rsidRPr="009B7185" w:rsidRDefault="001C2C89" w:rsidP="001C2C89">
      <w:pPr>
        <w:spacing w:after="0" w:line="360" w:lineRule="auto"/>
        <w:rPr>
          <w:rFonts w:cs="Tahoma"/>
          <w:color w:val="0D0D0D" w:themeColor="text1" w:themeTint="F2"/>
        </w:rPr>
      </w:pPr>
      <w:r w:rsidRPr="009B7185">
        <w:rPr>
          <w:rFonts w:eastAsia="Calibri" w:cs="Tahoma"/>
          <w:b/>
          <w:bCs/>
          <w:lang w:val="es-ES"/>
        </w:rPr>
        <w:t xml:space="preserve">VISTO </w:t>
      </w:r>
      <w:r w:rsidRPr="009B7185">
        <w:rPr>
          <w:rFonts w:eastAsia="Calibri" w:cs="Tahoma"/>
          <w:lang w:val="es-ES"/>
        </w:rPr>
        <w:t xml:space="preserve">el expediente conformado con motivo del Recurso de Revisión </w:t>
      </w:r>
      <w:r w:rsidRPr="009B7185">
        <w:rPr>
          <w:rFonts w:eastAsia="Calibri" w:cs="Tahoma"/>
          <w:b/>
        </w:rPr>
        <w:t>01426/INFOEM/IP/RR/2023</w:t>
      </w:r>
      <w:r w:rsidRPr="009B7185">
        <w:rPr>
          <w:rFonts w:eastAsia="Calibri" w:cs="Tahoma"/>
        </w:rPr>
        <w:t>, interpuesto por el</w:t>
      </w:r>
      <w:r w:rsidRPr="009B7185">
        <w:rPr>
          <w:rFonts w:cs="Tahoma"/>
          <w:color w:val="0D0D0D" w:themeColor="text1" w:themeTint="F2"/>
        </w:rPr>
        <w:t xml:space="preserve"> Recurrente o Particular, en contra de la respuesta del Sujeto Obligado, Ayuntamiento de Tecámac, a la solicitud de acceso a la información pública</w:t>
      </w:r>
      <w:r w:rsidRPr="009B7185">
        <w:t xml:space="preserve"> 00043/TECAMAC/IP/2023, </w:t>
      </w:r>
      <w:r w:rsidRPr="009B7185">
        <w:rPr>
          <w:rFonts w:cs="Tahoma"/>
          <w:color w:val="0D0D0D" w:themeColor="text1" w:themeTint="F2"/>
        </w:rPr>
        <w:t>se emite</w:t>
      </w:r>
      <w:r w:rsidRPr="009B7185">
        <w:rPr>
          <w:rFonts w:cs="Tahoma"/>
          <w:bCs/>
          <w:color w:val="0D0D0D" w:themeColor="text1" w:themeTint="F2"/>
        </w:rPr>
        <w:t xml:space="preserve"> la presente Resolución, con base en los Antecedentes y Considerandos que se exponen a continuación:</w:t>
      </w:r>
    </w:p>
    <w:p w14:paraId="7A052065" w14:textId="77777777" w:rsidR="001C2C89" w:rsidRPr="009B7185" w:rsidRDefault="001C2C89" w:rsidP="001C2C89">
      <w:pPr>
        <w:spacing w:after="0" w:line="360" w:lineRule="auto"/>
        <w:rPr>
          <w:rFonts w:eastAsia="Calibri" w:cs="Tahoma"/>
          <w:b/>
          <w:bCs/>
          <w:lang w:val="es-ES"/>
        </w:rPr>
      </w:pPr>
    </w:p>
    <w:p w14:paraId="31B8ACDE" w14:textId="77777777" w:rsidR="001C2C89" w:rsidRPr="009B7185" w:rsidRDefault="001C2C89" w:rsidP="001C2C89">
      <w:pPr>
        <w:spacing w:after="0" w:line="360" w:lineRule="auto"/>
        <w:jc w:val="center"/>
        <w:rPr>
          <w:rFonts w:eastAsia="Calibri" w:cs="Tahoma"/>
          <w:b/>
          <w:bCs/>
          <w:lang w:val="es-ES"/>
        </w:rPr>
      </w:pPr>
      <w:r w:rsidRPr="009B7185">
        <w:rPr>
          <w:rFonts w:eastAsia="Calibri" w:cs="Tahoma"/>
          <w:b/>
          <w:bCs/>
          <w:lang w:val="es-ES"/>
        </w:rPr>
        <w:t>A N T E C E D E N T E S:</w:t>
      </w:r>
    </w:p>
    <w:p w14:paraId="14CC82F7" w14:textId="77777777" w:rsidR="001C2C89" w:rsidRPr="009B7185" w:rsidRDefault="001C2C89" w:rsidP="001C2C89">
      <w:pPr>
        <w:spacing w:after="0" w:line="360" w:lineRule="auto"/>
        <w:rPr>
          <w:lang w:val="es-ES"/>
        </w:rPr>
      </w:pPr>
    </w:p>
    <w:p w14:paraId="04C8E7B2" w14:textId="77777777" w:rsidR="001C2C89" w:rsidRPr="009B7185" w:rsidRDefault="001C2C89" w:rsidP="001C2C89">
      <w:pPr>
        <w:spacing w:after="0" w:line="360" w:lineRule="auto"/>
        <w:rPr>
          <w:rFonts w:eastAsia="Calibri" w:cs="Tahoma"/>
          <w:b/>
          <w:bCs/>
          <w:lang w:val="es-ES"/>
        </w:rPr>
      </w:pPr>
      <w:r w:rsidRPr="009B7185">
        <w:rPr>
          <w:rFonts w:eastAsia="Calibri" w:cs="Tahoma"/>
          <w:b/>
          <w:bCs/>
          <w:lang w:val="es-ES"/>
        </w:rPr>
        <w:t>I. Presentación de la solicitud de información.</w:t>
      </w:r>
    </w:p>
    <w:p w14:paraId="2A6D405A" w14:textId="77777777" w:rsidR="001C2C89" w:rsidRPr="009B7185" w:rsidRDefault="001C2C89" w:rsidP="001C2C89">
      <w:pPr>
        <w:spacing w:after="0" w:line="360" w:lineRule="auto"/>
        <w:rPr>
          <w:rFonts w:eastAsia="Calibri" w:cs="Tahoma"/>
          <w:b/>
          <w:bCs/>
          <w:lang w:val="es-ES"/>
        </w:rPr>
      </w:pPr>
    </w:p>
    <w:p w14:paraId="3C4A8860" w14:textId="7B3FC44E" w:rsidR="001C2C89" w:rsidRPr="009B7185" w:rsidRDefault="001C2C89" w:rsidP="001C2C89">
      <w:pPr>
        <w:spacing w:after="0" w:line="360" w:lineRule="auto"/>
        <w:rPr>
          <w:rFonts w:cs="Tahoma"/>
        </w:rPr>
      </w:pPr>
      <w:r w:rsidRPr="009B7185">
        <w:rPr>
          <w:rFonts w:eastAsia="Calibri" w:cs="Tahoma"/>
          <w:lang w:val="es-ES"/>
        </w:rPr>
        <w:t>Con fecha quince de febrero de dos mil veintitrés, el Particular presentó una solicitud de información, a través del Sistema de Acceso a la Información Mexiquense (SAIMEX), ante el Ayuntamiento de Tecámac</w:t>
      </w:r>
      <w:r w:rsidRPr="009B7185">
        <w:rPr>
          <w:b/>
          <w:bCs/>
          <w:lang w:val="es-ES"/>
        </w:rPr>
        <w:t>,</w:t>
      </w:r>
      <w:r w:rsidRPr="009B7185">
        <w:rPr>
          <w:rFonts w:cs="Tahoma"/>
        </w:rPr>
        <w:t xml:space="preserve"> en los siguientes términos:</w:t>
      </w:r>
    </w:p>
    <w:p w14:paraId="125E8FE3" w14:textId="77777777" w:rsidR="001C2C89" w:rsidRPr="009B7185" w:rsidRDefault="001C2C89" w:rsidP="001C2C89">
      <w:pPr>
        <w:spacing w:after="0" w:line="360" w:lineRule="auto"/>
        <w:rPr>
          <w:rFonts w:cs="Tahoma"/>
        </w:rPr>
      </w:pPr>
    </w:p>
    <w:p w14:paraId="50C2B61B" w14:textId="77777777" w:rsidR="001C2C89" w:rsidRPr="009B7185" w:rsidRDefault="001C2C89" w:rsidP="001C2C89">
      <w:pPr>
        <w:tabs>
          <w:tab w:val="left" w:pos="4667"/>
        </w:tabs>
        <w:spacing w:after="0" w:line="360" w:lineRule="auto"/>
        <w:ind w:left="567" w:right="567"/>
        <w:rPr>
          <w:rFonts w:cs="Tahoma"/>
          <w:b/>
          <w:bCs/>
          <w:i/>
          <w:sz w:val="20"/>
          <w:szCs w:val="20"/>
        </w:rPr>
      </w:pPr>
      <w:r w:rsidRPr="009B7185">
        <w:rPr>
          <w:rFonts w:cs="Tahoma"/>
          <w:b/>
          <w:bCs/>
          <w:i/>
          <w:sz w:val="20"/>
          <w:szCs w:val="20"/>
        </w:rPr>
        <w:t>“DESCRIPCIÓN CLARA Y PRECISA DE LA INFORMACIÓN SOLICITADA</w:t>
      </w:r>
    </w:p>
    <w:p w14:paraId="58D0FDF4" w14:textId="5BDD437E" w:rsidR="001C2C89" w:rsidRPr="009B7185" w:rsidRDefault="001C2C89" w:rsidP="001C2C89">
      <w:pPr>
        <w:tabs>
          <w:tab w:val="left" w:pos="4667"/>
        </w:tabs>
        <w:spacing w:after="0" w:line="360" w:lineRule="auto"/>
        <w:ind w:left="567" w:right="567"/>
        <w:rPr>
          <w:i/>
          <w:iCs/>
          <w:color w:val="000000"/>
          <w:sz w:val="20"/>
          <w:szCs w:val="20"/>
        </w:rPr>
      </w:pPr>
      <w:r w:rsidRPr="009B7185">
        <w:rPr>
          <w:i/>
          <w:iCs/>
          <w:color w:val="000000"/>
          <w:sz w:val="20"/>
          <w:szCs w:val="20"/>
        </w:rPr>
        <w:t xml:space="preserve">Atentamente solicito todos los convenios, acuerdos, contratos y/o instrumentos jurídicos celebrados entre Mariela </w:t>
      </w:r>
      <w:proofErr w:type="spellStart"/>
      <w:r w:rsidRPr="009B7185">
        <w:rPr>
          <w:i/>
          <w:iCs/>
          <w:color w:val="000000"/>
          <w:sz w:val="20"/>
          <w:szCs w:val="20"/>
        </w:rPr>
        <w:t>Gutierrez</w:t>
      </w:r>
      <w:proofErr w:type="spellEnd"/>
      <w:r w:rsidRPr="009B7185">
        <w:rPr>
          <w:i/>
          <w:iCs/>
          <w:color w:val="000000"/>
          <w:sz w:val="20"/>
          <w:szCs w:val="20"/>
        </w:rPr>
        <w:t xml:space="preserve"> Escalante en su calidad de titular del H. Ayuntamiento de Tecámac de Felipe Villanueva, en su calidad de integrante de algún </w:t>
      </w:r>
      <w:proofErr w:type="spellStart"/>
      <w:r w:rsidRPr="009B7185">
        <w:rPr>
          <w:i/>
          <w:iCs/>
          <w:color w:val="000000"/>
          <w:sz w:val="20"/>
          <w:szCs w:val="20"/>
        </w:rPr>
        <w:t>Cómite</w:t>
      </w:r>
      <w:proofErr w:type="spellEnd"/>
      <w:r w:rsidRPr="009B7185">
        <w:rPr>
          <w:i/>
          <w:iCs/>
          <w:color w:val="000000"/>
          <w:sz w:val="20"/>
          <w:szCs w:val="20"/>
        </w:rPr>
        <w:t>, Consejo, Comisión, entre otras, de la que sea parte como consecuencia de sus funciones como presidenta del Ayuntamiento y el Sistema de Agua Potable de Santa María Ozumbilla Edo. de Mex. A.C. en los últimos 6 años hasta la fecha. (Sic)</w:t>
      </w:r>
    </w:p>
    <w:p w14:paraId="64AB52CE" w14:textId="77777777" w:rsidR="001C2C89" w:rsidRPr="009B7185" w:rsidRDefault="001C2C89" w:rsidP="001C2C89">
      <w:pPr>
        <w:spacing w:after="0" w:line="360" w:lineRule="auto"/>
        <w:ind w:left="567" w:right="567"/>
        <w:rPr>
          <w:rFonts w:eastAsia="Times New Roman" w:cs="Arial"/>
          <w:bCs/>
          <w:i/>
          <w:color w:val="auto"/>
          <w:sz w:val="20"/>
          <w:szCs w:val="20"/>
          <w:lang w:eastAsia="es-ES"/>
        </w:rPr>
      </w:pPr>
    </w:p>
    <w:p w14:paraId="1B948886" w14:textId="77777777" w:rsidR="001C2C89" w:rsidRPr="009B7185" w:rsidRDefault="001C2C89" w:rsidP="001C2C89">
      <w:pPr>
        <w:tabs>
          <w:tab w:val="left" w:pos="4667"/>
        </w:tabs>
        <w:spacing w:after="0" w:line="360" w:lineRule="auto"/>
        <w:ind w:left="567" w:right="567"/>
        <w:rPr>
          <w:rFonts w:eastAsia="Times New Roman" w:cs="Tahoma"/>
          <w:b/>
          <w:bCs/>
          <w:i/>
          <w:iCs/>
          <w:color w:val="auto"/>
          <w:sz w:val="20"/>
          <w:szCs w:val="20"/>
          <w:lang w:eastAsia="es-ES"/>
        </w:rPr>
      </w:pPr>
      <w:r w:rsidRPr="009B7185">
        <w:rPr>
          <w:rFonts w:eastAsia="Times New Roman" w:cs="Tahoma"/>
          <w:b/>
          <w:bCs/>
          <w:i/>
          <w:iCs/>
          <w:color w:val="auto"/>
          <w:sz w:val="20"/>
          <w:szCs w:val="20"/>
          <w:lang w:eastAsia="es-ES"/>
        </w:rPr>
        <w:t>“MODALIDAD DE ENTREGA</w:t>
      </w:r>
    </w:p>
    <w:p w14:paraId="2C462E6F" w14:textId="77777777" w:rsidR="001C2C89" w:rsidRPr="009B7185" w:rsidRDefault="001C2C89" w:rsidP="001C2C89">
      <w:pPr>
        <w:spacing w:after="0" w:line="360" w:lineRule="auto"/>
        <w:ind w:left="567" w:right="567"/>
        <w:rPr>
          <w:rFonts w:eastAsia="Times New Roman" w:cs="Arial"/>
          <w:bCs/>
          <w:i/>
          <w:iCs/>
          <w:color w:val="auto"/>
          <w:sz w:val="20"/>
          <w:szCs w:val="20"/>
          <w:lang w:eastAsia="es-ES"/>
        </w:rPr>
      </w:pPr>
      <w:r w:rsidRPr="009B7185">
        <w:rPr>
          <w:rFonts w:eastAsia="Times New Roman" w:cs="Arial"/>
          <w:bCs/>
          <w:i/>
          <w:iCs/>
          <w:color w:val="auto"/>
          <w:sz w:val="20"/>
          <w:szCs w:val="20"/>
          <w:lang w:eastAsia="es-ES"/>
        </w:rPr>
        <w:t>A través del SAIMEX” (Sic)</w:t>
      </w:r>
    </w:p>
    <w:p w14:paraId="1B70232E" w14:textId="77777777" w:rsidR="001C2C89" w:rsidRPr="009B7185" w:rsidRDefault="001C2C89" w:rsidP="001C2C89">
      <w:pPr>
        <w:spacing w:after="0" w:line="360" w:lineRule="auto"/>
        <w:ind w:left="567" w:right="567"/>
        <w:rPr>
          <w:rFonts w:eastAsia="Times New Roman" w:cs="Arial"/>
          <w:bCs/>
          <w:i/>
          <w:iCs/>
          <w:color w:val="auto"/>
          <w:sz w:val="20"/>
          <w:lang w:eastAsia="es-ES"/>
        </w:rPr>
      </w:pPr>
    </w:p>
    <w:p w14:paraId="380260CC" w14:textId="77777777" w:rsidR="001C2C89" w:rsidRPr="009B7185" w:rsidRDefault="001C2C89" w:rsidP="001C2C89">
      <w:pPr>
        <w:tabs>
          <w:tab w:val="left" w:pos="4667"/>
        </w:tabs>
        <w:spacing w:after="0" w:line="360" w:lineRule="auto"/>
        <w:ind w:right="567"/>
        <w:rPr>
          <w:rFonts w:cs="Tahoma"/>
          <w:b/>
          <w:bCs/>
          <w:color w:val="auto"/>
          <w:szCs w:val="24"/>
        </w:rPr>
      </w:pPr>
      <w:r w:rsidRPr="009B7185">
        <w:rPr>
          <w:rFonts w:cs="Tahoma"/>
          <w:b/>
          <w:bCs/>
          <w:szCs w:val="24"/>
        </w:rPr>
        <w:t xml:space="preserve">II. </w:t>
      </w:r>
      <w:r w:rsidRPr="009B7185">
        <w:rPr>
          <w:rFonts w:cs="Tahoma"/>
          <w:b/>
          <w:szCs w:val="24"/>
        </w:rPr>
        <w:t>Respuesta</w:t>
      </w:r>
      <w:r w:rsidRPr="009B7185">
        <w:rPr>
          <w:rFonts w:cs="Tahoma"/>
          <w:b/>
          <w:bCs/>
          <w:szCs w:val="24"/>
        </w:rPr>
        <w:t xml:space="preserve"> del Sujeto Obligado.</w:t>
      </w:r>
    </w:p>
    <w:p w14:paraId="4E4837B8" w14:textId="77777777" w:rsidR="001C2C89" w:rsidRPr="009B7185" w:rsidRDefault="001C2C89" w:rsidP="001C2C89">
      <w:pPr>
        <w:pStyle w:val="Prrafodelista"/>
        <w:tabs>
          <w:tab w:val="left" w:pos="567"/>
        </w:tabs>
        <w:spacing w:after="0" w:line="360" w:lineRule="auto"/>
        <w:ind w:left="0"/>
        <w:rPr>
          <w:rFonts w:cs="Tahoma"/>
          <w:bCs/>
        </w:rPr>
      </w:pPr>
    </w:p>
    <w:p w14:paraId="438E5DDE" w14:textId="3CC99EB6" w:rsidR="001C2C89" w:rsidRPr="009B7185" w:rsidRDefault="0068260D" w:rsidP="001C2C89">
      <w:pPr>
        <w:pStyle w:val="Prrafodelista"/>
        <w:tabs>
          <w:tab w:val="left" w:pos="567"/>
        </w:tabs>
        <w:spacing w:after="0" w:line="360" w:lineRule="auto"/>
        <w:ind w:left="0"/>
        <w:rPr>
          <w:rFonts w:cs="Tahoma"/>
        </w:rPr>
      </w:pPr>
      <w:r w:rsidRPr="009B7185">
        <w:rPr>
          <w:rFonts w:cs="Tahoma"/>
          <w:bCs/>
        </w:rPr>
        <w:t>Con fecha</w:t>
      </w:r>
      <w:r w:rsidR="001C2C89" w:rsidRPr="009B7185">
        <w:rPr>
          <w:rFonts w:cs="Tahoma"/>
          <w:bCs/>
        </w:rPr>
        <w:t xml:space="preserve"> veintisiete de febrero de dos mil veintitrés,</w:t>
      </w:r>
      <w:r w:rsidR="001C2C89" w:rsidRPr="009B7185">
        <w:rPr>
          <w:rFonts w:cs="Tahoma"/>
        </w:rPr>
        <w:t xml:space="preserve"> el Ayuntamiento de Tecámac notificó al Solicitante, mediante el Sistema de Acceso a la Información Mexiquense (SAIMEX), la respuesta a la solicitud de acceso a la información, por medio del oficio número SA/SJG/</w:t>
      </w:r>
      <w:r w:rsidR="008A205A" w:rsidRPr="009B7185">
        <w:rPr>
          <w:rFonts w:cs="Tahoma"/>
        </w:rPr>
        <w:t>0</w:t>
      </w:r>
      <w:r w:rsidR="001C2C89" w:rsidRPr="009B7185">
        <w:rPr>
          <w:rFonts w:cs="Tahoma"/>
        </w:rPr>
        <w:t>22</w:t>
      </w:r>
      <w:r w:rsidR="008A205A" w:rsidRPr="009B7185">
        <w:rPr>
          <w:rFonts w:cs="Tahoma"/>
        </w:rPr>
        <w:t>8</w:t>
      </w:r>
      <w:r w:rsidR="001C2C89" w:rsidRPr="009B7185">
        <w:rPr>
          <w:rFonts w:cs="Tahoma"/>
        </w:rPr>
        <w:t>/202</w:t>
      </w:r>
      <w:r w:rsidR="008A205A" w:rsidRPr="009B7185">
        <w:rPr>
          <w:rFonts w:cs="Tahoma"/>
        </w:rPr>
        <w:t>3</w:t>
      </w:r>
      <w:r w:rsidR="001C2C89" w:rsidRPr="009B7185">
        <w:rPr>
          <w:rFonts w:cs="Tahoma"/>
        </w:rPr>
        <w:t xml:space="preserve">, de fecha </w:t>
      </w:r>
      <w:r w:rsidR="008A205A" w:rsidRPr="009B7185">
        <w:rPr>
          <w:rFonts w:cs="Tahoma"/>
        </w:rPr>
        <w:t xml:space="preserve">veintidós de febrero </w:t>
      </w:r>
      <w:r w:rsidR="001C2C89" w:rsidRPr="009B7185">
        <w:rPr>
          <w:rFonts w:cs="Tahoma"/>
        </w:rPr>
        <w:t>de dos mil veinti</w:t>
      </w:r>
      <w:r w:rsidR="008A205A" w:rsidRPr="009B7185">
        <w:rPr>
          <w:rFonts w:cs="Tahoma"/>
        </w:rPr>
        <w:t>trés</w:t>
      </w:r>
      <w:r w:rsidR="001C2C89" w:rsidRPr="009B7185">
        <w:rPr>
          <w:rFonts w:cs="Tahoma"/>
        </w:rPr>
        <w:t xml:space="preserve">, suscrito por el </w:t>
      </w:r>
      <w:r w:rsidR="008A205A" w:rsidRPr="009B7185">
        <w:rPr>
          <w:rFonts w:cs="Tahoma"/>
        </w:rPr>
        <w:t>Subsecretario Jurídico y de Gobierno, dirigido al T</w:t>
      </w:r>
      <w:r w:rsidR="001C2C89" w:rsidRPr="009B7185">
        <w:rPr>
          <w:rFonts w:cs="Tahoma"/>
        </w:rPr>
        <w:t xml:space="preserve">itular de la Unidad de Transparencia, por medio del cual manifiesta y expone: </w:t>
      </w:r>
    </w:p>
    <w:p w14:paraId="47B3E730" w14:textId="77777777" w:rsidR="001C2C89" w:rsidRPr="009B7185" w:rsidRDefault="001C2C89" w:rsidP="001C2C89">
      <w:pPr>
        <w:spacing w:after="0" w:line="360" w:lineRule="auto"/>
        <w:ind w:left="567" w:right="567"/>
        <w:rPr>
          <w:rFonts w:eastAsia="Calibri" w:cs="Tahoma"/>
          <w:b/>
          <w:i/>
          <w:iCs/>
          <w:sz w:val="20"/>
          <w:szCs w:val="20"/>
        </w:rPr>
      </w:pPr>
    </w:p>
    <w:p w14:paraId="5BB8F899" w14:textId="77777777" w:rsidR="001C2C89" w:rsidRPr="009B7185" w:rsidRDefault="001C2C89" w:rsidP="001C2C89">
      <w:pPr>
        <w:spacing w:after="0" w:line="360" w:lineRule="auto"/>
        <w:ind w:left="567" w:right="567"/>
        <w:rPr>
          <w:rFonts w:eastAsia="Calibri" w:cs="Tahoma"/>
          <w:bCs/>
          <w:i/>
          <w:iCs/>
          <w:sz w:val="20"/>
          <w:szCs w:val="20"/>
        </w:rPr>
      </w:pPr>
      <w:r w:rsidRPr="009B7185">
        <w:rPr>
          <w:rFonts w:eastAsia="Calibri" w:cs="Tahoma"/>
          <w:bCs/>
          <w:i/>
          <w:iCs/>
          <w:sz w:val="20"/>
          <w:szCs w:val="20"/>
        </w:rPr>
        <w:t>“…</w:t>
      </w:r>
    </w:p>
    <w:p w14:paraId="6460283B" w14:textId="2BE79894" w:rsidR="001C2C89"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De acuerdo al artículo 2 de la Constitución Política de los Estados Unidos Mexicanos, “son</w:t>
      </w:r>
      <w:r w:rsidR="0068260D" w:rsidRPr="009B7185">
        <w:rPr>
          <w:rFonts w:eastAsia="Calibri" w:cs="Tahoma"/>
          <w:bCs/>
          <w:i/>
          <w:iCs/>
          <w:sz w:val="20"/>
          <w:szCs w:val="20"/>
        </w:rPr>
        <w:t xml:space="preserve"> </w:t>
      </w:r>
      <w:r w:rsidRPr="009B7185">
        <w:rPr>
          <w:rFonts w:eastAsia="Calibri" w:cs="Tahoma"/>
          <w:bCs/>
          <w:i/>
          <w:iCs/>
          <w:sz w:val="20"/>
          <w:szCs w:val="20"/>
        </w:rPr>
        <w:t>comunidades integrantes de un pueblo indígena, aquel</w:t>
      </w:r>
      <w:r w:rsidR="0068260D" w:rsidRPr="009B7185">
        <w:rPr>
          <w:rFonts w:eastAsia="Calibri" w:cs="Tahoma"/>
          <w:bCs/>
          <w:i/>
          <w:iCs/>
          <w:sz w:val="20"/>
          <w:szCs w:val="20"/>
        </w:rPr>
        <w:t>las que formen una unidad social</w:t>
      </w:r>
      <w:r w:rsidRPr="009B7185">
        <w:rPr>
          <w:rFonts w:eastAsia="Calibri" w:cs="Tahoma"/>
          <w:bCs/>
          <w:i/>
          <w:iCs/>
          <w:sz w:val="20"/>
          <w:szCs w:val="20"/>
        </w:rPr>
        <w:t>,</w:t>
      </w:r>
      <w:r w:rsidR="0068260D" w:rsidRPr="009B7185">
        <w:rPr>
          <w:rFonts w:eastAsia="Calibri" w:cs="Tahoma"/>
          <w:bCs/>
          <w:i/>
          <w:iCs/>
          <w:sz w:val="20"/>
          <w:szCs w:val="20"/>
        </w:rPr>
        <w:t xml:space="preserve"> </w:t>
      </w:r>
      <w:r w:rsidRPr="009B7185">
        <w:rPr>
          <w:rFonts w:eastAsia="Calibri" w:cs="Tahoma"/>
          <w:bCs/>
          <w:i/>
          <w:iCs/>
          <w:sz w:val="20"/>
          <w:szCs w:val="20"/>
        </w:rPr>
        <w:t>económica y cultural, asentadas en un territorio y que reconocen autoridades propias de acuerdo</w:t>
      </w:r>
      <w:r w:rsidR="0068260D" w:rsidRPr="009B7185">
        <w:rPr>
          <w:rFonts w:eastAsia="Calibri" w:cs="Tahoma"/>
          <w:bCs/>
          <w:i/>
          <w:iCs/>
          <w:sz w:val="20"/>
          <w:szCs w:val="20"/>
        </w:rPr>
        <w:t xml:space="preserve"> </w:t>
      </w:r>
      <w:r w:rsidRPr="009B7185">
        <w:rPr>
          <w:rFonts w:eastAsia="Calibri" w:cs="Tahoma"/>
          <w:bCs/>
          <w:i/>
          <w:iCs/>
          <w:sz w:val="20"/>
          <w:szCs w:val="20"/>
        </w:rPr>
        <w:t>sus usos y costumbres.” (sic).</w:t>
      </w:r>
    </w:p>
    <w:p w14:paraId="49181888" w14:textId="77777777" w:rsidR="008A205A" w:rsidRPr="009B7185" w:rsidRDefault="008A205A" w:rsidP="008A205A">
      <w:pPr>
        <w:spacing w:after="0" w:line="360" w:lineRule="auto"/>
        <w:ind w:left="567" w:right="567"/>
        <w:rPr>
          <w:rFonts w:eastAsia="Calibri" w:cs="Tahoma"/>
          <w:bCs/>
          <w:i/>
          <w:iCs/>
          <w:sz w:val="20"/>
          <w:szCs w:val="20"/>
        </w:rPr>
      </w:pPr>
    </w:p>
    <w:p w14:paraId="3F30398A" w14:textId="77777777"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A esto, se informa que, el Municipio de Tecámac, no cuenta de manera oficial con alguna persona</w:t>
      </w:r>
    </w:p>
    <w:p w14:paraId="381C29F1" w14:textId="77777777"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que figure como representante indígena, debido a que, en el territorio municipal no existe registro</w:t>
      </w:r>
    </w:p>
    <w:p w14:paraId="79629701" w14:textId="2B81CEFB"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de algún grupo, comunidad, pueblo o región indígena.</w:t>
      </w:r>
    </w:p>
    <w:p w14:paraId="25E060F6" w14:textId="77777777" w:rsidR="008A205A" w:rsidRPr="009B7185" w:rsidRDefault="008A205A" w:rsidP="008A205A">
      <w:pPr>
        <w:spacing w:after="0" w:line="360" w:lineRule="auto"/>
        <w:ind w:left="567" w:right="567"/>
        <w:rPr>
          <w:rFonts w:eastAsia="Calibri" w:cs="Tahoma"/>
          <w:bCs/>
          <w:i/>
          <w:iCs/>
          <w:sz w:val="20"/>
          <w:szCs w:val="20"/>
        </w:rPr>
      </w:pPr>
    </w:p>
    <w:p w14:paraId="67925FC0" w14:textId="77777777"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Lo anterior, se puede revisar en el Plan de Desarrollo Municipal 2022-2024, aprobado en el cuarto</w:t>
      </w:r>
    </w:p>
    <w:p w14:paraId="75703E29" w14:textId="77777777"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punto del orden del día de la Tercera Sesión Extraordinaria de Cabildo del 2022, celebrada el 31</w:t>
      </w:r>
    </w:p>
    <w:p w14:paraId="610EE149" w14:textId="6E0D9CEF"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de marzo de 2022; el cual menciona textualmente lo siguiente:</w:t>
      </w:r>
    </w:p>
    <w:p w14:paraId="1091EAFD" w14:textId="77777777" w:rsidR="008A205A" w:rsidRPr="009B7185" w:rsidRDefault="008A205A" w:rsidP="008A205A">
      <w:pPr>
        <w:spacing w:after="0" w:line="360" w:lineRule="auto"/>
        <w:ind w:left="567" w:right="567"/>
        <w:rPr>
          <w:rFonts w:eastAsia="Calibri" w:cs="Tahoma"/>
          <w:bCs/>
          <w:i/>
          <w:iCs/>
          <w:sz w:val="20"/>
          <w:szCs w:val="20"/>
        </w:rPr>
      </w:pPr>
    </w:p>
    <w:p w14:paraId="444FE95C" w14:textId="77777777"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“VI. Pilar 1 Social. Municipio Socialmente responsable, Solidario e Incluyente.</w:t>
      </w:r>
    </w:p>
    <w:p w14:paraId="0A45E1E9" w14:textId="35F8671C"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 xml:space="preserve">VI.VI. Tema: Desarrollo humano incluyente, sin discriminación y libre de violencia </w:t>
      </w:r>
    </w:p>
    <w:p w14:paraId="1C53869A" w14:textId="1CA6C70C"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VI.VI. II. Sub Tema: Población indígena</w:t>
      </w:r>
    </w:p>
    <w:p w14:paraId="4B5F938B" w14:textId="77777777" w:rsidR="008A205A" w:rsidRPr="009B7185" w:rsidRDefault="008A205A" w:rsidP="008A205A">
      <w:pPr>
        <w:spacing w:after="0" w:line="360" w:lineRule="auto"/>
        <w:ind w:left="567" w:right="567"/>
        <w:rPr>
          <w:rFonts w:eastAsia="Calibri" w:cs="Tahoma"/>
          <w:bCs/>
          <w:i/>
          <w:iCs/>
          <w:sz w:val="20"/>
          <w:szCs w:val="20"/>
        </w:rPr>
      </w:pPr>
    </w:p>
    <w:p w14:paraId="5E9EAE5A" w14:textId="009C6881" w:rsidR="008A205A"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lastRenderedPageBreak/>
        <w:t xml:space="preserve">El municipio tiene una composición pluricultural sustentada en sus localidades originarias. La población </w:t>
      </w:r>
      <w:proofErr w:type="spellStart"/>
      <w:r w:rsidRPr="009B7185">
        <w:rPr>
          <w:rFonts w:eastAsia="Calibri" w:cs="Tahoma"/>
          <w:bCs/>
          <w:i/>
          <w:iCs/>
          <w:sz w:val="20"/>
          <w:szCs w:val="20"/>
        </w:rPr>
        <w:t>tecamaquense</w:t>
      </w:r>
      <w:proofErr w:type="spellEnd"/>
      <w:r w:rsidRPr="009B7185">
        <w:rPr>
          <w:rFonts w:eastAsia="Calibri" w:cs="Tahoma"/>
          <w:bCs/>
          <w:i/>
          <w:iCs/>
          <w:sz w:val="20"/>
          <w:szCs w:val="20"/>
        </w:rPr>
        <w:t xml:space="preserve">, junto con el Gobierno Municipal, tienen la responsabilidad cultural de proteger sus tradiciones y patrimonios. Geográficamente, no existe una región donde se concentre población indígena, sin embargo, en el municipio existen hablantes de alguna lengua indígena; ellos son herederos, practicantes, promotores y conservadores de diversas culturas. Dicha población equivale al 0.89% del total de población </w:t>
      </w:r>
      <w:proofErr w:type="spellStart"/>
      <w:r w:rsidRPr="009B7185">
        <w:rPr>
          <w:rFonts w:eastAsia="Calibri" w:cs="Tahoma"/>
          <w:bCs/>
          <w:i/>
          <w:iCs/>
          <w:sz w:val="20"/>
          <w:szCs w:val="20"/>
        </w:rPr>
        <w:t>tecamaquense</w:t>
      </w:r>
      <w:proofErr w:type="spellEnd"/>
      <w:r w:rsidRPr="009B7185">
        <w:rPr>
          <w:rFonts w:eastAsia="Calibri" w:cs="Tahoma"/>
          <w:bCs/>
          <w:i/>
          <w:iCs/>
          <w:sz w:val="20"/>
          <w:szCs w:val="20"/>
        </w:rPr>
        <w:t>, lo que representa alrededor de</w:t>
      </w:r>
    </w:p>
    <w:p w14:paraId="4C1832D6" w14:textId="2143A145" w:rsidR="001C2C89" w:rsidRPr="009B7185" w:rsidRDefault="008A205A" w:rsidP="008A205A">
      <w:pPr>
        <w:spacing w:after="0" w:line="360" w:lineRule="auto"/>
        <w:ind w:left="567" w:right="567"/>
        <w:rPr>
          <w:rFonts w:eastAsia="Calibri" w:cs="Tahoma"/>
          <w:bCs/>
          <w:i/>
          <w:iCs/>
          <w:sz w:val="20"/>
          <w:szCs w:val="20"/>
        </w:rPr>
      </w:pPr>
      <w:r w:rsidRPr="009B7185">
        <w:rPr>
          <w:rFonts w:eastAsia="Calibri" w:cs="Tahoma"/>
          <w:bCs/>
          <w:i/>
          <w:iCs/>
          <w:sz w:val="20"/>
          <w:szCs w:val="20"/>
        </w:rPr>
        <w:t>4874 habitantes.” (sic)</w:t>
      </w:r>
      <w:r w:rsidR="001C2C89" w:rsidRPr="009B7185">
        <w:rPr>
          <w:rFonts w:eastAsia="Calibri" w:cs="Tahoma"/>
          <w:bCs/>
          <w:i/>
          <w:iCs/>
          <w:sz w:val="20"/>
          <w:szCs w:val="20"/>
        </w:rPr>
        <w:t xml:space="preserve"> </w:t>
      </w:r>
    </w:p>
    <w:p w14:paraId="576309F7" w14:textId="77777777" w:rsidR="001C2C89" w:rsidRPr="009B7185" w:rsidRDefault="001C2C89" w:rsidP="001C2C89">
      <w:pPr>
        <w:spacing w:after="0" w:line="360" w:lineRule="auto"/>
        <w:ind w:left="567" w:right="567"/>
        <w:rPr>
          <w:rFonts w:eastAsia="Calibri" w:cs="Tahoma"/>
          <w:bCs/>
          <w:i/>
          <w:iCs/>
          <w:sz w:val="20"/>
          <w:szCs w:val="20"/>
        </w:rPr>
      </w:pPr>
      <w:r w:rsidRPr="009B7185">
        <w:rPr>
          <w:rFonts w:eastAsia="Calibri" w:cs="Tahoma"/>
          <w:bCs/>
          <w:i/>
          <w:iCs/>
          <w:sz w:val="20"/>
          <w:szCs w:val="20"/>
        </w:rPr>
        <w:t>…”</w:t>
      </w:r>
    </w:p>
    <w:p w14:paraId="0D823ADA" w14:textId="77777777" w:rsidR="001C2C89" w:rsidRPr="009B7185" w:rsidRDefault="001C2C89" w:rsidP="001C2C89">
      <w:pPr>
        <w:autoSpaceDE w:val="0"/>
        <w:autoSpaceDN w:val="0"/>
        <w:adjustRightInd w:val="0"/>
        <w:spacing w:after="0" w:line="360" w:lineRule="auto"/>
        <w:rPr>
          <w:rFonts w:eastAsia="Calibri" w:cs="Tahoma"/>
          <w:b/>
          <w:color w:val="000000"/>
        </w:rPr>
      </w:pPr>
    </w:p>
    <w:p w14:paraId="581862CF" w14:textId="77777777" w:rsidR="001C2C89" w:rsidRPr="009B7185" w:rsidRDefault="001C2C89" w:rsidP="001C2C89">
      <w:pPr>
        <w:autoSpaceDE w:val="0"/>
        <w:autoSpaceDN w:val="0"/>
        <w:adjustRightInd w:val="0"/>
        <w:spacing w:after="0" w:line="360" w:lineRule="auto"/>
        <w:rPr>
          <w:rFonts w:eastAsia="Calibri" w:cs="Tahoma"/>
          <w:b/>
          <w:color w:val="000000"/>
        </w:rPr>
      </w:pPr>
      <w:r w:rsidRPr="009B7185">
        <w:rPr>
          <w:rFonts w:eastAsia="Calibri" w:cs="Tahoma"/>
          <w:b/>
          <w:color w:val="000000"/>
        </w:rPr>
        <w:t xml:space="preserve">III. Interposición del Recurso de Revisión. </w:t>
      </w:r>
    </w:p>
    <w:p w14:paraId="3A938015" w14:textId="77777777" w:rsidR="001C2C89" w:rsidRPr="009B7185" w:rsidRDefault="001C2C89" w:rsidP="001C2C89">
      <w:pPr>
        <w:spacing w:after="0" w:line="360" w:lineRule="auto"/>
        <w:rPr>
          <w:rFonts w:eastAsia="Times New Roman" w:cs="Tahoma"/>
          <w:bCs/>
          <w:color w:val="auto"/>
          <w:lang w:eastAsia="es-ES"/>
        </w:rPr>
      </w:pPr>
    </w:p>
    <w:p w14:paraId="47A57A26" w14:textId="3CAFB1A1" w:rsidR="001C2C89" w:rsidRPr="009B7185" w:rsidRDefault="001C2C89" w:rsidP="001C2C89">
      <w:pPr>
        <w:spacing w:after="0" w:line="360" w:lineRule="auto"/>
        <w:rPr>
          <w:rFonts w:eastAsia="Times New Roman" w:cs="Tahoma"/>
          <w:bCs/>
          <w:color w:val="auto"/>
          <w:lang w:val="es-ES" w:eastAsia="es-ES"/>
        </w:rPr>
      </w:pPr>
      <w:r w:rsidRPr="009B7185">
        <w:rPr>
          <w:rFonts w:eastAsia="Times New Roman" w:cs="Tahoma"/>
          <w:bCs/>
          <w:color w:val="auto"/>
          <w:lang w:val="es-ES" w:eastAsia="es-ES"/>
        </w:rPr>
        <w:t xml:space="preserve">Con </w:t>
      </w:r>
      <w:r w:rsidR="008A205A" w:rsidRPr="009B7185">
        <w:rPr>
          <w:rFonts w:eastAsia="Times New Roman" w:cs="Tahoma"/>
          <w:bCs/>
          <w:color w:val="auto"/>
          <w:lang w:val="es-ES" w:eastAsia="es-ES"/>
        </w:rPr>
        <w:t xml:space="preserve">fecha catorce de marzo </w:t>
      </w:r>
      <w:r w:rsidRPr="009B7185">
        <w:rPr>
          <w:rFonts w:eastAsia="Times New Roman" w:cs="Tahoma"/>
          <w:bCs/>
          <w:color w:val="auto"/>
          <w:lang w:val="es-ES" w:eastAsia="es-ES"/>
        </w:rPr>
        <w:t>de dos mil veinti</w:t>
      </w:r>
      <w:r w:rsidR="008A205A" w:rsidRPr="009B7185">
        <w:rPr>
          <w:rFonts w:eastAsia="Times New Roman" w:cs="Tahoma"/>
          <w:bCs/>
          <w:color w:val="auto"/>
          <w:lang w:val="es-ES" w:eastAsia="es-ES"/>
        </w:rPr>
        <w:t>tré</w:t>
      </w:r>
      <w:r w:rsidRPr="009B7185">
        <w:rPr>
          <w:rFonts w:eastAsia="Times New Roman" w:cs="Tahoma"/>
          <w:bCs/>
          <w:color w:val="auto"/>
          <w:lang w:val="es-ES" w:eastAsia="es-ES"/>
        </w:rPr>
        <w:t xml:space="preserve">s, </w:t>
      </w:r>
      <w:r w:rsidRPr="009B7185">
        <w:rPr>
          <w:rFonts w:eastAsia="Times New Roman" w:cs="Tahoma"/>
          <w:bCs/>
          <w:color w:val="auto"/>
          <w:lang w:eastAsia="es-ES"/>
        </w:rPr>
        <w:t xml:space="preserve">se recibió en este Instituto, a través del </w:t>
      </w:r>
      <w:r w:rsidRPr="009B7185">
        <w:rPr>
          <w:rFonts w:eastAsia="Times New Roman" w:cs="Tahoma"/>
          <w:bCs/>
          <w:color w:val="auto"/>
          <w:lang w:val="es-ES" w:eastAsia="es-ES"/>
        </w:rPr>
        <w:t>Sistema de Acceso a la Información Mexiquense (SAIMEX)</w:t>
      </w:r>
      <w:r w:rsidRPr="009B7185">
        <w:rPr>
          <w:rFonts w:eastAsia="Times New Roman" w:cs="Tahoma"/>
          <w:bCs/>
          <w:color w:val="auto"/>
          <w:lang w:eastAsia="es-ES"/>
        </w:rPr>
        <w:t>, Recurso de Revisión interpuesto por la parte Recurrente, en contra de la respuesta del Sujeto Obligado,</w:t>
      </w:r>
      <w:r w:rsidR="008A205A" w:rsidRPr="009B7185">
        <w:rPr>
          <w:rFonts w:eastAsia="Times New Roman" w:cs="Tahoma"/>
          <w:bCs/>
          <w:color w:val="auto"/>
          <w:lang w:eastAsia="es-ES"/>
        </w:rPr>
        <w:t xml:space="preserve"> </w:t>
      </w:r>
      <w:r w:rsidRPr="009B7185">
        <w:rPr>
          <w:rFonts w:eastAsia="Times New Roman" w:cs="Tahoma"/>
          <w:bCs/>
          <w:color w:val="auto"/>
          <w:lang w:eastAsia="es-ES"/>
        </w:rPr>
        <w:t>en los siguientes términos:</w:t>
      </w:r>
    </w:p>
    <w:p w14:paraId="324BD973" w14:textId="77777777" w:rsidR="001C2C89" w:rsidRPr="009B7185" w:rsidRDefault="001C2C89" w:rsidP="001C2C89">
      <w:pPr>
        <w:spacing w:after="0" w:line="360" w:lineRule="auto"/>
        <w:rPr>
          <w:rFonts w:eastAsia="Times New Roman" w:cs="Tahoma"/>
          <w:bCs/>
          <w:color w:val="auto"/>
          <w:lang w:eastAsia="es-ES"/>
        </w:rPr>
      </w:pPr>
    </w:p>
    <w:p w14:paraId="22E1DBDC" w14:textId="77777777" w:rsidR="001C2C89" w:rsidRPr="009B7185" w:rsidRDefault="001C2C89" w:rsidP="00943C09">
      <w:pPr>
        <w:spacing w:after="0" w:line="360" w:lineRule="auto"/>
        <w:ind w:left="567" w:right="567"/>
        <w:rPr>
          <w:rFonts w:eastAsia="Times New Roman" w:cs="Tahoma"/>
          <w:b/>
          <w:bCs/>
          <w:i/>
          <w:color w:val="auto"/>
          <w:sz w:val="20"/>
          <w:szCs w:val="20"/>
          <w:lang w:eastAsia="es-ES"/>
        </w:rPr>
      </w:pPr>
      <w:r w:rsidRPr="009B7185">
        <w:rPr>
          <w:rFonts w:eastAsia="Times New Roman" w:cs="Tahoma"/>
          <w:b/>
          <w:bCs/>
          <w:i/>
          <w:color w:val="auto"/>
          <w:sz w:val="20"/>
          <w:szCs w:val="20"/>
          <w:lang w:eastAsia="es-ES"/>
        </w:rPr>
        <w:t>“ACTO IMPUGNADO</w:t>
      </w:r>
    </w:p>
    <w:p w14:paraId="491EEC78" w14:textId="389A2412" w:rsidR="001C2C89" w:rsidRPr="009B7185" w:rsidRDefault="00943C09" w:rsidP="00943C09">
      <w:pPr>
        <w:spacing w:after="0" w:line="360" w:lineRule="auto"/>
        <w:ind w:left="567" w:right="567"/>
        <w:rPr>
          <w:i/>
          <w:color w:val="000000"/>
          <w:sz w:val="20"/>
          <w:szCs w:val="20"/>
        </w:rPr>
      </w:pPr>
      <w:r w:rsidRPr="009B7185">
        <w:rPr>
          <w:i/>
          <w:color w:val="000000"/>
          <w:sz w:val="20"/>
          <w:szCs w:val="20"/>
        </w:rPr>
        <w:t>La respuesta y el contenido del oficio SA/SJG/0228/2023 de fecha 22 de febrero de 2023 del sujeto obligado puesto que dicha respuesta no tiene nada que ver con lo solicitado por este recurrente. (Sic)</w:t>
      </w:r>
    </w:p>
    <w:p w14:paraId="3B8AE690" w14:textId="77777777" w:rsidR="00943C09" w:rsidRPr="009B7185" w:rsidRDefault="00943C09" w:rsidP="00943C09">
      <w:pPr>
        <w:spacing w:after="0" w:line="360" w:lineRule="auto"/>
        <w:ind w:left="567" w:right="567"/>
        <w:rPr>
          <w:rFonts w:eastAsia="Times New Roman" w:cs="Tahoma"/>
          <w:bCs/>
          <w:i/>
          <w:color w:val="auto"/>
          <w:sz w:val="20"/>
          <w:szCs w:val="20"/>
          <w:lang w:eastAsia="es-ES"/>
        </w:rPr>
      </w:pPr>
    </w:p>
    <w:p w14:paraId="5924AFFF" w14:textId="5ABC0165" w:rsidR="001C2C89" w:rsidRPr="009B7185" w:rsidRDefault="001C2C89" w:rsidP="00943C09">
      <w:pPr>
        <w:spacing w:after="0" w:line="360" w:lineRule="auto"/>
        <w:ind w:left="567" w:right="567"/>
        <w:rPr>
          <w:rFonts w:eastAsia="Times New Roman" w:cs="Tahoma"/>
          <w:b/>
          <w:bCs/>
          <w:i/>
          <w:color w:val="auto"/>
          <w:sz w:val="20"/>
          <w:szCs w:val="20"/>
          <w:lang w:eastAsia="es-ES"/>
        </w:rPr>
      </w:pPr>
      <w:r w:rsidRPr="009B7185">
        <w:rPr>
          <w:rFonts w:eastAsia="Times New Roman" w:cs="Tahoma"/>
          <w:b/>
          <w:bCs/>
          <w:i/>
          <w:color w:val="auto"/>
          <w:sz w:val="20"/>
          <w:szCs w:val="20"/>
          <w:lang w:eastAsia="es-ES"/>
        </w:rPr>
        <w:t>“RAZONES O MOTIVOS DE LA INCONFORMIDAD</w:t>
      </w:r>
    </w:p>
    <w:p w14:paraId="6F80B4B5" w14:textId="0C66A0AE" w:rsidR="001C2C89" w:rsidRPr="009B7185" w:rsidRDefault="00943C09" w:rsidP="00943C09">
      <w:pPr>
        <w:spacing w:after="0" w:line="360" w:lineRule="auto"/>
        <w:ind w:left="567" w:right="567"/>
        <w:rPr>
          <w:i/>
          <w:color w:val="000000"/>
          <w:sz w:val="20"/>
          <w:szCs w:val="20"/>
        </w:rPr>
      </w:pPr>
      <w:r w:rsidRPr="009B7185">
        <w:rPr>
          <w:i/>
          <w:color w:val="000000"/>
          <w:sz w:val="20"/>
          <w:szCs w:val="20"/>
        </w:rPr>
        <w:t>La respuesta y el contenido del oficio SA/SJG/0228/2023 de fecha 22 de febrero de 2023 del sujeto obligado no tiene nada que ver con lo solicitado por este recurrente</w:t>
      </w:r>
      <w:r w:rsidR="001C2C89" w:rsidRPr="009B7185">
        <w:rPr>
          <w:i/>
          <w:color w:val="000000"/>
          <w:sz w:val="20"/>
          <w:szCs w:val="20"/>
        </w:rPr>
        <w:t>.”</w:t>
      </w:r>
      <w:r w:rsidR="001C2C89" w:rsidRPr="009B7185">
        <w:rPr>
          <w:bCs/>
          <w:i/>
          <w:color w:val="000000"/>
          <w:sz w:val="20"/>
          <w:szCs w:val="20"/>
        </w:rPr>
        <w:t xml:space="preserve"> </w:t>
      </w:r>
      <w:r w:rsidR="001C2C89" w:rsidRPr="009B7185">
        <w:rPr>
          <w:rFonts w:eastAsia="Times New Roman" w:cs="Tahoma"/>
          <w:bCs/>
          <w:i/>
          <w:color w:val="auto"/>
          <w:sz w:val="20"/>
          <w:szCs w:val="20"/>
          <w:lang w:eastAsia="es-ES"/>
        </w:rPr>
        <w:t>(Sic)</w:t>
      </w:r>
    </w:p>
    <w:p w14:paraId="37A1733F" w14:textId="77777777" w:rsidR="001C2C89" w:rsidRPr="009B7185" w:rsidRDefault="001C2C89" w:rsidP="001C2C89">
      <w:pPr>
        <w:spacing w:after="0" w:line="360" w:lineRule="auto"/>
        <w:rPr>
          <w:rFonts w:eastAsia="Times New Roman" w:cs="Tahoma"/>
          <w:bCs/>
          <w:color w:val="auto"/>
          <w:lang w:eastAsia="es-ES"/>
        </w:rPr>
      </w:pPr>
    </w:p>
    <w:p w14:paraId="47CF1C84" w14:textId="77777777" w:rsidR="001C2C89" w:rsidRPr="009B7185" w:rsidRDefault="001C2C89" w:rsidP="001C2C89">
      <w:pPr>
        <w:spacing w:after="0" w:line="360" w:lineRule="auto"/>
        <w:rPr>
          <w:rFonts w:eastAsia="Batang" w:cs="Tahoma"/>
          <w:b/>
          <w:bCs/>
          <w:color w:val="000000"/>
        </w:rPr>
      </w:pPr>
      <w:r w:rsidRPr="009B7185">
        <w:rPr>
          <w:rFonts w:eastAsia="Calibri" w:cs="Tahoma"/>
          <w:b/>
          <w:color w:val="000000"/>
        </w:rPr>
        <w:t xml:space="preserve">IV. </w:t>
      </w:r>
      <w:r w:rsidRPr="009B7185">
        <w:rPr>
          <w:rFonts w:eastAsia="Batang" w:cs="Tahoma"/>
          <w:b/>
          <w:bCs/>
          <w:color w:val="000000"/>
        </w:rPr>
        <w:t>Trámite del Recurso de Revisión</w:t>
      </w:r>
      <w:r w:rsidRPr="009B7185">
        <w:rPr>
          <w:rFonts w:eastAsia="Calibri" w:cs="Tahoma"/>
          <w:b/>
          <w:color w:val="000000"/>
        </w:rPr>
        <w:t xml:space="preserve"> </w:t>
      </w:r>
      <w:r w:rsidRPr="009B7185">
        <w:rPr>
          <w:rFonts w:eastAsia="Batang" w:cs="Tahoma"/>
          <w:b/>
          <w:bCs/>
          <w:color w:val="000000"/>
        </w:rPr>
        <w:t>ante este Instituto.</w:t>
      </w:r>
    </w:p>
    <w:p w14:paraId="6F85CB9E" w14:textId="77777777" w:rsidR="001C2C89" w:rsidRPr="009B7185" w:rsidRDefault="001C2C89" w:rsidP="001C2C89">
      <w:pPr>
        <w:spacing w:after="0" w:line="360" w:lineRule="auto"/>
        <w:rPr>
          <w:rFonts w:eastAsia="Batang" w:cs="Tahoma"/>
          <w:b/>
          <w:bCs/>
          <w:color w:val="000000"/>
        </w:rPr>
      </w:pPr>
    </w:p>
    <w:p w14:paraId="7AE15A2A" w14:textId="0454EBF8" w:rsidR="001C2C89" w:rsidRPr="009B7185" w:rsidRDefault="001C2C89" w:rsidP="001C2C89">
      <w:pPr>
        <w:spacing w:after="0" w:line="360" w:lineRule="auto"/>
        <w:rPr>
          <w:rFonts w:eastAsia="Times New Roman" w:cs="Tahoma"/>
          <w:bCs/>
          <w:color w:val="auto"/>
          <w:lang w:eastAsia="es-ES"/>
        </w:rPr>
      </w:pPr>
      <w:r w:rsidRPr="009B7185">
        <w:rPr>
          <w:rFonts w:eastAsia="Batang" w:cs="Tahoma"/>
          <w:b/>
          <w:bCs/>
          <w:color w:val="000000"/>
        </w:rPr>
        <w:lastRenderedPageBreak/>
        <w:t xml:space="preserve">a) Turno del Medio de Impugnación. </w:t>
      </w:r>
      <w:r w:rsidRPr="009B7185">
        <w:rPr>
          <w:rFonts w:eastAsia="Batang" w:cs="Tahoma"/>
          <w:bCs/>
          <w:color w:val="000000"/>
        </w:rPr>
        <w:t xml:space="preserve">El </w:t>
      </w:r>
      <w:r w:rsidR="00943C09" w:rsidRPr="009B7185">
        <w:rPr>
          <w:rFonts w:eastAsia="Batang" w:cs="Tahoma"/>
          <w:bCs/>
          <w:color w:val="000000"/>
        </w:rPr>
        <w:t>catorce de marzo</w:t>
      </w:r>
      <w:r w:rsidRPr="009B7185">
        <w:rPr>
          <w:rFonts w:eastAsia="Batang" w:cs="Tahoma"/>
          <w:bCs/>
          <w:color w:val="000000"/>
        </w:rPr>
        <w:t xml:space="preserve"> </w:t>
      </w:r>
      <w:r w:rsidRPr="009B7185">
        <w:rPr>
          <w:rFonts w:eastAsia="Times New Roman" w:cs="Tahoma"/>
          <w:bCs/>
          <w:color w:val="auto"/>
          <w:lang w:eastAsia="es-ES"/>
        </w:rPr>
        <w:t>de dos mil veinti</w:t>
      </w:r>
      <w:r w:rsidR="00943C09" w:rsidRPr="009B7185">
        <w:rPr>
          <w:rFonts w:eastAsia="Times New Roman" w:cs="Tahoma"/>
          <w:bCs/>
          <w:color w:val="auto"/>
          <w:lang w:eastAsia="es-ES"/>
        </w:rPr>
        <w:t>tré</w:t>
      </w:r>
      <w:r w:rsidRPr="009B7185">
        <w:rPr>
          <w:rFonts w:eastAsia="Times New Roman" w:cs="Tahoma"/>
          <w:bCs/>
          <w:color w:val="auto"/>
          <w:lang w:eastAsia="es-ES"/>
        </w:rPr>
        <w:t>s</w:t>
      </w:r>
      <w:r w:rsidRPr="009B7185">
        <w:rPr>
          <w:rFonts w:eastAsia="Batang" w:cs="Tahoma"/>
          <w:bCs/>
          <w:color w:val="000000"/>
        </w:rPr>
        <w:t xml:space="preserve">, el </w:t>
      </w:r>
      <w:r w:rsidRPr="009B7185">
        <w:rPr>
          <w:rFonts w:eastAsia="Calibri" w:cs="Tahoma"/>
          <w:color w:val="000000"/>
          <w:lang w:val="es-ES"/>
        </w:rPr>
        <w:t>Sistema de Acceso a la Información Mexiquense (SAIMEX),</w:t>
      </w:r>
      <w:r w:rsidRPr="009B7185">
        <w:rPr>
          <w:rFonts w:eastAsia="Batang" w:cs="Tahoma"/>
          <w:bCs/>
          <w:color w:val="000000"/>
        </w:rPr>
        <w:t xml:space="preserve"> asignó el número de expediente </w:t>
      </w:r>
      <w:r w:rsidR="00943C09" w:rsidRPr="009B7185">
        <w:rPr>
          <w:rFonts w:eastAsia="Batang" w:cs="Tahoma"/>
          <w:b/>
          <w:bCs/>
          <w:color w:val="000000"/>
        </w:rPr>
        <w:t>0</w:t>
      </w:r>
      <w:r w:rsidRPr="009B7185">
        <w:rPr>
          <w:rFonts w:eastAsia="Batang" w:cs="Tahoma"/>
          <w:b/>
          <w:bCs/>
          <w:color w:val="000000"/>
        </w:rPr>
        <w:t>1</w:t>
      </w:r>
      <w:r w:rsidR="00943C09" w:rsidRPr="009B7185">
        <w:rPr>
          <w:rFonts w:eastAsia="Batang" w:cs="Tahoma"/>
          <w:b/>
          <w:bCs/>
          <w:color w:val="000000"/>
        </w:rPr>
        <w:t>426</w:t>
      </w:r>
      <w:r w:rsidRPr="009B7185">
        <w:rPr>
          <w:rFonts w:eastAsia="Calibri" w:cs="Tahoma"/>
          <w:b/>
          <w:bCs/>
        </w:rPr>
        <w:t>/INFOEM/IP/RR/202</w:t>
      </w:r>
      <w:r w:rsidR="00943C09" w:rsidRPr="009B7185">
        <w:rPr>
          <w:rFonts w:eastAsia="Calibri" w:cs="Tahoma"/>
          <w:b/>
          <w:bCs/>
        </w:rPr>
        <w:t>3</w:t>
      </w:r>
      <w:r w:rsidRPr="009B7185">
        <w:rPr>
          <w:rFonts w:eastAsia="Batang" w:cs="Tahoma"/>
          <w:bCs/>
          <w:color w:val="000000"/>
        </w:rPr>
        <w:t>, al Medio de Impugnación que nos ocupa, con base en el sistema aprobado por el Pleno de este Órgano Garante y lo turnó al Comisionado Luis Gustavo Parra Noriega, para los efectos del artículo 185, fracción I de la Ley de Transparencia y Acceso a la Información Pública del Estado de México y Municipios.</w:t>
      </w:r>
    </w:p>
    <w:p w14:paraId="324D0182" w14:textId="77777777" w:rsidR="001C2C89" w:rsidRPr="009B7185" w:rsidRDefault="001C2C89" w:rsidP="001C2C89">
      <w:pPr>
        <w:spacing w:after="0" w:line="360" w:lineRule="auto"/>
        <w:rPr>
          <w:rFonts w:eastAsia="Batang" w:cs="Tahoma"/>
          <w:bCs/>
          <w:color w:val="000000"/>
        </w:rPr>
      </w:pPr>
    </w:p>
    <w:p w14:paraId="4F3FA2A1" w14:textId="22811C72" w:rsidR="001C2C89" w:rsidRPr="009B7185" w:rsidRDefault="001C2C89" w:rsidP="001C2C89">
      <w:pPr>
        <w:spacing w:after="0" w:line="360" w:lineRule="auto"/>
        <w:rPr>
          <w:rFonts w:eastAsia="Times New Roman" w:cs="Tahoma"/>
          <w:b/>
          <w:bCs/>
          <w:color w:val="auto"/>
          <w:lang w:eastAsia="es-ES"/>
        </w:rPr>
      </w:pPr>
      <w:r w:rsidRPr="009B7185">
        <w:rPr>
          <w:rFonts w:eastAsia="Times New Roman" w:cs="Tahoma"/>
          <w:b/>
          <w:bCs/>
          <w:color w:val="auto"/>
          <w:lang w:eastAsia="es-ES"/>
        </w:rPr>
        <w:t>b) Admisión del Recurso de Revisión</w:t>
      </w:r>
      <w:r w:rsidRPr="009B7185">
        <w:rPr>
          <w:rFonts w:eastAsia="Times New Roman" w:cs="Tahoma"/>
          <w:b/>
          <w:bCs/>
          <w:color w:val="auto"/>
          <w:lang w:val="es-ES_tradnl" w:eastAsia="es-ES"/>
        </w:rPr>
        <w:t xml:space="preserve">. </w:t>
      </w:r>
      <w:r w:rsidRPr="009B7185">
        <w:rPr>
          <w:rFonts w:eastAsia="Batang" w:cs="Tahoma"/>
          <w:bCs/>
          <w:color w:val="000000"/>
        </w:rPr>
        <w:t xml:space="preserve">El </w:t>
      </w:r>
      <w:r w:rsidR="00943C09" w:rsidRPr="009B7185">
        <w:rPr>
          <w:rFonts w:eastAsia="Batang" w:cs="Tahoma"/>
          <w:bCs/>
          <w:color w:val="000000"/>
        </w:rPr>
        <w:t>diecisiete de marzo</w:t>
      </w:r>
      <w:r w:rsidRPr="009B7185">
        <w:rPr>
          <w:rFonts w:eastAsia="Batang" w:cs="Tahoma"/>
          <w:bCs/>
          <w:color w:val="000000"/>
        </w:rPr>
        <w:t xml:space="preserve"> de dos mil veinti</w:t>
      </w:r>
      <w:r w:rsidR="00943C09" w:rsidRPr="009B7185">
        <w:rPr>
          <w:rFonts w:eastAsia="Batang" w:cs="Tahoma"/>
          <w:bCs/>
          <w:color w:val="000000"/>
        </w:rPr>
        <w:t>tré</w:t>
      </w:r>
      <w:r w:rsidRPr="009B7185">
        <w:rPr>
          <w:rFonts w:eastAsia="Batang" w:cs="Tahoma"/>
          <w:bCs/>
          <w:color w:val="000000"/>
        </w:rPr>
        <w:t>s</w:t>
      </w:r>
      <w:r w:rsidRPr="009B7185">
        <w:rPr>
          <w:rFonts w:eastAsia="Times New Roman" w:cs="Tahoma"/>
          <w:bCs/>
          <w:color w:val="auto"/>
          <w:lang w:val="es-ES_tradnl" w:eastAsia="es-ES"/>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cinco de dicho mes y año, a través del Sistema de Acceso a la Información Mexiquense (SAIMEX), en el que se les otorgó un plazo de siete días hábiles posteriores a la misma, para que manifestaran lo que a su derecho conviniera y formularan alegatos. </w:t>
      </w:r>
    </w:p>
    <w:p w14:paraId="574EE27D" w14:textId="77777777" w:rsidR="001C2C89" w:rsidRPr="009B7185" w:rsidRDefault="001C2C89" w:rsidP="001C2C89">
      <w:pPr>
        <w:spacing w:after="0" w:line="360" w:lineRule="auto"/>
        <w:rPr>
          <w:rFonts w:cs="Tahoma"/>
          <w:b/>
          <w:lang w:val="es-ES_tradnl"/>
        </w:rPr>
      </w:pPr>
    </w:p>
    <w:p w14:paraId="48FF50C4" w14:textId="77777777" w:rsidR="007A2FE0" w:rsidRPr="009B7185" w:rsidRDefault="001C2C89" w:rsidP="001C2C89">
      <w:pPr>
        <w:spacing w:after="0" w:line="360" w:lineRule="auto"/>
        <w:rPr>
          <w:rFonts w:eastAsia="Times New Roman" w:cs="Tahoma"/>
          <w:bCs/>
          <w:color w:val="auto"/>
          <w:szCs w:val="24"/>
          <w:lang w:eastAsia="es-ES"/>
        </w:rPr>
      </w:pPr>
      <w:r w:rsidRPr="009B7185">
        <w:rPr>
          <w:rFonts w:cs="Tahoma"/>
          <w:b/>
          <w:lang w:val="es-ES_tradnl"/>
        </w:rPr>
        <w:t xml:space="preserve">c) Informe Justificado.  </w:t>
      </w:r>
      <w:r w:rsidRPr="009B7185">
        <w:rPr>
          <w:rFonts w:eastAsia="Times New Roman" w:cs="Tahoma"/>
          <w:bCs/>
          <w:color w:val="auto"/>
          <w:szCs w:val="24"/>
          <w:lang w:eastAsia="es-ES"/>
        </w:rPr>
        <w:t xml:space="preserve">El </w:t>
      </w:r>
      <w:r w:rsidR="00943C09" w:rsidRPr="009B7185">
        <w:rPr>
          <w:rFonts w:eastAsia="Times New Roman" w:cs="Tahoma"/>
          <w:bCs/>
          <w:color w:val="auto"/>
          <w:szCs w:val="24"/>
          <w:lang w:eastAsia="es-ES"/>
        </w:rPr>
        <w:t>veintidós de marzo</w:t>
      </w:r>
      <w:r w:rsidRPr="009B7185">
        <w:rPr>
          <w:rFonts w:eastAsia="Times New Roman" w:cs="Tahoma"/>
          <w:bCs/>
          <w:color w:val="auto"/>
          <w:szCs w:val="24"/>
          <w:lang w:eastAsia="es-ES"/>
        </w:rPr>
        <w:t xml:space="preserve"> de dos mil veinti</w:t>
      </w:r>
      <w:r w:rsidR="00943C09" w:rsidRPr="009B7185">
        <w:rPr>
          <w:rFonts w:eastAsia="Times New Roman" w:cs="Tahoma"/>
          <w:bCs/>
          <w:color w:val="auto"/>
          <w:szCs w:val="24"/>
          <w:lang w:eastAsia="es-ES"/>
        </w:rPr>
        <w:t>tré</w:t>
      </w:r>
      <w:r w:rsidRPr="009B7185">
        <w:rPr>
          <w:rFonts w:eastAsia="Times New Roman" w:cs="Tahoma"/>
          <w:bCs/>
          <w:color w:val="auto"/>
          <w:szCs w:val="24"/>
          <w:lang w:eastAsia="es-ES"/>
        </w:rPr>
        <w:t>s, se recibió en este Instituto, a través del Sistema de Acceso a la Información Mexiquense (SAIMEX), el Informe Justificado, por medio de</w:t>
      </w:r>
      <w:r w:rsidR="007A2FE0" w:rsidRPr="009B7185">
        <w:rPr>
          <w:rFonts w:eastAsia="Times New Roman" w:cs="Tahoma"/>
          <w:bCs/>
          <w:color w:val="auto"/>
          <w:szCs w:val="24"/>
          <w:lang w:eastAsia="es-ES"/>
        </w:rPr>
        <w:t xml:space="preserve"> </w:t>
      </w:r>
      <w:r w:rsidRPr="009B7185">
        <w:rPr>
          <w:rFonts w:eastAsia="Times New Roman" w:cs="Tahoma"/>
          <w:bCs/>
          <w:color w:val="auto"/>
          <w:szCs w:val="24"/>
          <w:lang w:eastAsia="es-ES"/>
        </w:rPr>
        <w:t>l</w:t>
      </w:r>
      <w:r w:rsidR="007A2FE0" w:rsidRPr="009B7185">
        <w:rPr>
          <w:rFonts w:eastAsia="Times New Roman" w:cs="Tahoma"/>
          <w:bCs/>
          <w:color w:val="auto"/>
          <w:szCs w:val="24"/>
          <w:lang w:eastAsia="es-ES"/>
        </w:rPr>
        <w:t>a digitalización de los siguientes documentos:</w:t>
      </w:r>
    </w:p>
    <w:p w14:paraId="4DFF8324" w14:textId="77777777" w:rsidR="007A2FE0" w:rsidRPr="009B7185" w:rsidRDefault="007A2FE0" w:rsidP="001C2C89">
      <w:pPr>
        <w:spacing w:after="0" w:line="360" w:lineRule="auto"/>
        <w:rPr>
          <w:rFonts w:eastAsia="Times New Roman" w:cs="Tahoma"/>
          <w:bCs/>
          <w:color w:val="auto"/>
          <w:szCs w:val="24"/>
          <w:lang w:eastAsia="es-ES"/>
        </w:rPr>
      </w:pPr>
    </w:p>
    <w:p w14:paraId="4B26036B" w14:textId="15A6B99E" w:rsidR="007A2FE0" w:rsidRPr="009B7185" w:rsidRDefault="007A2FE0" w:rsidP="007A2FE0">
      <w:pPr>
        <w:spacing w:after="0" w:line="360" w:lineRule="auto"/>
        <w:rPr>
          <w:rFonts w:eastAsia="Times New Roman" w:cs="Tahoma"/>
          <w:bCs/>
          <w:color w:val="auto"/>
          <w:szCs w:val="24"/>
          <w:lang w:eastAsia="es-ES"/>
        </w:rPr>
      </w:pPr>
      <w:r w:rsidRPr="009B7185">
        <w:rPr>
          <w:rFonts w:eastAsia="Times New Roman" w:cs="Tahoma"/>
          <w:bCs/>
          <w:color w:val="auto"/>
          <w:szCs w:val="24"/>
          <w:lang w:eastAsia="es-ES"/>
        </w:rPr>
        <w:t>i) Oficio número SA/SJG/0526/2023, de fecha dieciocho de marzo de dos mil veintitrés, suscrito por el Subsecretario Jurídico y de Gobierno, dirigido al Titular de la Unidad de Transparencia, por medio del cual manifiesta y expone:</w:t>
      </w:r>
    </w:p>
    <w:p w14:paraId="7B582196" w14:textId="77777777" w:rsidR="007A2FE0" w:rsidRPr="009B7185" w:rsidRDefault="007A2FE0" w:rsidP="007A2FE0">
      <w:pPr>
        <w:spacing w:after="0" w:line="360" w:lineRule="auto"/>
        <w:rPr>
          <w:rFonts w:eastAsia="Times New Roman" w:cs="Tahoma"/>
          <w:bCs/>
          <w:color w:val="auto"/>
          <w:szCs w:val="24"/>
          <w:lang w:eastAsia="es-ES"/>
        </w:rPr>
      </w:pPr>
    </w:p>
    <w:p w14:paraId="35A3CAA0" w14:textId="6C6FAC16" w:rsidR="007A2FE0" w:rsidRPr="009B7185" w:rsidRDefault="007A2FE0" w:rsidP="007A2FE0">
      <w:pPr>
        <w:spacing w:after="0" w:line="360" w:lineRule="auto"/>
        <w:ind w:left="567" w:right="567"/>
        <w:rPr>
          <w:rFonts w:cs="Tahoma"/>
          <w:b/>
          <w:i/>
          <w:iCs/>
          <w:sz w:val="20"/>
          <w:szCs w:val="20"/>
          <w:lang w:val="es-ES_tradnl"/>
        </w:rPr>
      </w:pPr>
      <w:r w:rsidRPr="009B7185">
        <w:rPr>
          <w:rFonts w:eastAsia="Times New Roman" w:cs="Tahoma"/>
          <w:bCs/>
          <w:i/>
          <w:iCs/>
          <w:color w:val="auto"/>
          <w:sz w:val="20"/>
          <w:szCs w:val="20"/>
          <w:lang w:eastAsia="es-ES"/>
        </w:rPr>
        <w:t xml:space="preserve">“…A esto y de acuerdo a la naturaleza de las funciones, se realizó la contestación correspondiente, mediante oficio SA/SJG/0222/2023, con fecha veintiuno de febrero de 2023, la cual no se cargó </w:t>
      </w:r>
      <w:r w:rsidRPr="009B7185">
        <w:rPr>
          <w:rFonts w:eastAsia="Times New Roman" w:cs="Tahoma"/>
          <w:bCs/>
          <w:i/>
          <w:iCs/>
          <w:color w:val="auto"/>
          <w:sz w:val="20"/>
          <w:szCs w:val="20"/>
          <w:lang w:eastAsia="es-ES"/>
        </w:rPr>
        <w:lastRenderedPageBreak/>
        <w:t>correctamente a la plataforma, cargando así y de manera errónea, la contestación a la solicitud de información pública 00042/TECAMAC/IP/2023, lo que se puede confirmar revisando dicha contestación; a lo anterior, y buscando remediar la posible afectación al Derecho al Acceso a la Información, se hace entrega de la contestación correcta a dicha solicitud…”</w:t>
      </w:r>
    </w:p>
    <w:p w14:paraId="2FF91259" w14:textId="77777777" w:rsidR="007A2FE0" w:rsidRPr="009B7185" w:rsidRDefault="007A2FE0" w:rsidP="001C2C89">
      <w:pPr>
        <w:spacing w:after="0" w:line="360" w:lineRule="auto"/>
        <w:rPr>
          <w:rFonts w:eastAsia="Times New Roman" w:cs="Tahoma"/>
          <w:bCs/>
          <w:color w:val="auto"/>
          <w:szCs w:val="24"/>
          <w:lang w:eastAsia="es-ES"/>
        </w:rPr>
      </w:pPr>
    </w:p>
    <w:p w14:paraId="5F52EE90" w14:textId="45A0E214" w:rsidR="001C2C89" w:rsidRPr="009B7185" w:rsidRDefault="007A2FE0" w:rsidP="001C2C89">
      <w:pPr>
        <w:spacing w:after="0" w:line="360" w:lineRule="auto"/>
        <w:rPr>
          <w:rFonts w:cs="Tahoma"/>
          <w:b/>
          <w:lang w:val="es-ES_tradnl"/>
        </w:rPr>
      </w:pPr>
      <w:r w:rsidRPr="009B7185">
        <w:rPr>
          <w:rFonts w:eastAsia="Times New Roman" w:cs="Tahoma"/>
          <w:bCs/>
          <w:color w:val="auto"/>
          <w:szCs w:val="24"/>
          <w:lang w:eastAsia="es-ES"/>
        </w:rPr>
        <w:t>ii) O</w:t>
      </w:r>
      <w:r w:rsidR="001C2C89" w:rsidRPr="009B7185">
        <w:rPr>
          <w:rFonts w:eastAsia="Times New Roman" w:cs="Tahoma"/>
          <w:bCs/>
          <w:color w:val="auto"/>
          <w:szCs w:val="24"/>
          <w:lang w:eastAsia="es-ES"/>
        </w:rPr>
        <w:t>ficio</w:t>
      </w:r>
      <w:r w:rsidRPr="009B7185">
        <w:rPr>
          <w:rFonts w:eastAsia="Times New Roman" w:cs="Tahoma"/>
          <w:bCs/>
          <w:color w:val="auto"/>
          <w:szCs w:val="24"/>
          <w:lang w:eastAsia="es-ES"/>
        </w:rPr>
        <w:t xml:space="preserve"> número</w:t>
      </w:r>
      <w:r w:rsidR="001C2C89" w:rsidRPr="009B7185">
        <w:rPr>
          <w:rFonts w:eastAsia="Times New Roman" w:cs="Tahoma"/>
          <w:bCs/>
          <w:color w:val="auto"/>
          <w:szCs w:val="24"/>
          <w:lang w:eastAsia="es-ES"/>
        </w:rPr>
        <w:t xml:space="preserve"> </w:t>
      </w:r>
      <w:r w:rsidR="005A09C6" w:rsidRPr="009B7185">
        <w:rPr>
          <w:rFonts w:eastAsia="Times New Roman" w:cs="Tahoma"/>
          <w:bCs/>
          <w:color w:val="auto"/>
          <w:szCs w:val="24"/>
          <w:lang w:eastAsia="es-ES"/>
        </w:rPr>
        <w:t>SA</w:t>
      </w:r>
      <w:r w:rsidR="001C2C89" w:rsidRPr="009B7185">
        <w:rPr>
          <w:rFonts w:eastAsia="Times New Roman" w:cs="Tahoma"/>
          <w:bCs/>
          <w:color w:val="auto"/>
          <w:szCs w:val="24"/>
          <w:lang w:eastAsia="es-ES"/>
        </w:rPr>
        <w:t>/</w:t>
      </w:r>
      <w:r w:rsidR="005A09C6" w:rsidRPr="009B7185">
        <w:rPr>
          <w:rFonts w:eastAsia="Times New Roman" w:cs="Tahoma"/>
          <w:bCs/>
          <w:color w:val="auto"/>
          <w:szCs w:val="24"/>
          <w:lang w:eastAsia="es-ES"/>
        </w:rPr>
        <w:t>SJG</w:t>
      </w:r>
      <w:r w:rsidR="001C2C89" w:rsidRPr="009B7185">
        <w:rPr>
          <w:rFonts w:eastAsia="Times New Roman" w:cs="Tahoma"/>
          <w:bCs/>
          <w:color w:val="auto"/>
          <w:szCs w:val="24"/>
          <w:lang w:eastAsia="es-ES"/>
        </w:rPr>
        <w:t>/</w:t>
      </w:r>
      <w:r w:rsidR="005A09C6" w:rsidRPr="009B7185">
        <w:rPr>
          <w:rFonts w:eastAsia="Times New Roman" w:cs="Tahoma"/>
          <w:bCs/>
          <w:color w:val="auto"/>
          <w:szCs w:val="24"/>
          <w:lang w:eastAsia="es-ES"/>
        </w:rPr>
        <w:t>0222</w:t>
      </w:r>
      <w:r w:rsidR="001C2C89" w:rsidRPr="009B7185">
        <w:rPr>
          <w:rFonts w:eastAsia="Times New Roman" w:cs="Tahoma"/>
          <w:bCs/>
          <w:color w:val="auto"/>
          <w:szCs w:val="24"/>
          <w:lang w:eastAsia="es-ES"/>
        </w:rPr>
        <w:t>/202</w:t>
      </w:r>
      <w:r w:rsidR="005A09C6" w:rsidRPr="009B7185">
        <w:rPr>
          <w:rFonts w:eastAsia="Times New Roman" w:cs="Tahoma"/>
          <w:bCs/>
          <w:color w:val="auto"/>
          <w:szCs w:val="24"/>
          <w:lang w:eastAsia="es-ES"/>
        </w:rPr>
        <w:t>3</w:t>
      </w:r>
      <w:r w:rsidR="001C2C89" w:rsidRPr="009B7185">
        <w:rPr>
          <w:rFonts w:eastAsia="Times New Roman" w:cs="Tahoma"/>
          <w:bCs/>
          <w:color w:val="auto"/>
          <w:szCs w:val="24"/>
          <w:lang w:eastAsia="es-ES"/>
        </w:rPr>
        <w:t>,</w:t>
      </w:r>
      <w:r w:rsidR="005A09C6" w:rsidRPr="009B7185">
        <w:rPr>
          <w:rFonts w:eastAsia="Times New Roman" w:cs="Tahoma"/>
          <w:bCs/>
          <w:color w:val="auto"/>
          <w:szCs w:val="24"/>
          <w:lang w:eastAsia="es-ES"/>
        </w:rPr>
        <w:t xml:space="preserve"> de fecha veintiuno de febrero de dos mil veintitrés,</w:t>
      </w:r>
      <w:r w:rsidR="001C2C89" w:rsidRPr="009B7185">
        <w:rPr>
          <w:rFonts w:eastAsia="Times New Roman" w:cs="Tahoma"/>
          <w:bCs/>
          <w:color w:val="auto"/>
          <w:szCs w:val="24"/>
          <w:lang w:eastAsia="es-ES"/>
        </w:rPr>
        <w:t xml:space="preserve"> suscrito por el </w:t>
      </w:r>
      <w:r w:rsidR="005A09C6" w:rsidRPr="009B7185">
        <w:rPr>
          <w:rFonts w:eastAsia="Times New Roman" w:cs="Tahoma"/>
          <w:bCs/>
          <w:color w:val="auto"/>
          <w:szCs w:val="24"/>
          <w:lang w:eastAsia="es-ES"/>
        </w:rPr>
        <w:t>Subsecretario Jurídico y de Gobierno</w:t>
      </w:r>
      <w:r w:rsidR="001C2C89" w:rsidRPr="009B7185">
        <w:rPr>
          <w:rFonts w:eastAsia="Times New Roman" w:cs="Tahoma"/>
          <w:bCs/>
          <w:color w:val="auto"/>
          <w:szCs w:val="24"/>
          <w:lang w:eastAsia="es-ES"/>
        </w:rPr>
        <w:t>,</w:t>
      </w:r>
      <w:r w:rsidR="005A09C6" w:rsidRPr="009B7185">
        <w:rPr>
          <w:rFonts w:eastAsia="Times New Roman" w:cs="Tahoma"/>
          <w:bCs/>
          <w:color w:val="auto"/>
          <w:szCs w:val="24"/>
          <w:lang w:eastAsia="es-ES"/>
        </w:rPr>
        <w:t xml:space="preserve"> dirigido al Titular de la Unidad de Transparencia,</w:t>
      </w:r>
      <w:r w:rsidR="001C2C89" w:rsidRPr="009B7185">
        <w:rPr>
          <w:rFonts w:eastAsia="Times New Roman" w:cs="Tahoma"/>
          <w:bCs/>
          <w:color w:val="auto"/>
          <w:szCs w:val="24"/>
          <w:lang w:eastAsia="es-ES"/>
        </w:rPr>
        <w:t xml:space="preserve"> por medio del cual</w:t>
      </w:r>
      <w:r w:rsidR="005A09C6" w:rsidRPr="009B7185">
        <w:rPr>
          <w:rFonts w:eastAsia="Times New Roman" w:cs="Tahoma"/>
          <w:bCs/>
          <w:color w:val="auto"/>
          <w:szCs w:val="24"/>
          <w:lang w:eastAsia="es-ES"/>
        </w:rPr>
        <w:t xml:space="preserve"> manifiesta y expone</w:t>
      </w:r>
      <w:r w:rsidR="001C2C89" w:rsidRPr="009B7185">
        <w:rPr>
          <w:rFonts w:eastAsia="Times New Roman" w:cs="Tahoma"/>
          <w:bCs/>
          <w:color w:val="auto"/>
          <w:szCs w:val="24"/>
          <w:lang w:eastAsia="es-ES"/>
        </w:rPr>
        <w:t>:</w:t>
      </w:r>
    </w:p>
    <w:p w14:paraId="07025A26" w14:textId="77777777" w:rsidR="005A09C6" w:rsidRPr="009B7185" w:rsidRDefault="005A09C6" w:rsidP="001C2C89">
      <w:pPr>
        <w:spacing w:after="0" w:line="360" w:lineRule="auto"/>
        <w:ind w:left="567" w:right="567"/>
        <w:rPr>
          <w:rFonts w:eastAsia="Times New Roman" w:cs="Tahoma"/>
          <w:bCs/>
          <w:color w:val="auto"/>
          <w:szCs w:val="24"/>
          <w:lang w:eastAsia="es-ES"/>
        </w:rPr>
      </w:pPr>
    </w:p>
    <w:p w14:paraId="7748939C" w14:textId="0D0F4559" w:rsidR="005A09C6" w:rsidRPr="009B7185" w:rsidRDefault="005A09C6" w:rsidP="005A09C6">
      <w:pPr>
        <w:spacing w:after="0" w:line="360" w:lineRule="auto"/>
        <w:ind w:left="567" w:right="567"/>
        <w:rPr>
          <w:rFonts w:eastAsia="Times New Roman" w:cs="Tahoma"/>
          <w:bCs/>
          <w:i/>
          <w:iCs/>
          <w:color w:val="auto"/>
          <w:sz w:val="20"/>
          <w:szCs w:val="20"/>
          <w:lang w:eastAsia="es-ES"/>
        </w:rPr>
      </w:pPr>
      <w:r w:rsidRPr="009B7185">
        <w:rPr>
          <w:rFonts w:eastAsia="Times New Roman" w:cs="Tahoma"/>
          <w:bCs/>
          <w:i/>
          <w:iCs/>
          <w:color w:val="auto"/>
          <w:sz w:val="20"/>
          <w:szCs w:val="20"/>
          <w:lang w:eastAsia="es-ES"/>
        </w:rPr>
        <w:t>“…Con el interés de proteger en todo momento el derecho al acceso a la información pública, se informa al solicitante que el Sujeto Obligado Municipio de Tecámac, no cuenta con información referente a ningún contrato, convenio o instrumento jurídico celebrado con algún Sistema de Agua Potable de Santa María Ozumbilla Edo. De Mex. A.C. en los últimos años hasta la fecha.</w:t>
      </w:r>
    </w:p>
    <w:p w14:paraId="5DCC98D0" w14:textId="77777777" w:rsidR="005A09C6" w:rsidRPr="009B7185" w:rsidRDefault="005A09C6" w:rsidP="005A09C6">
      <w:pPr>
        <w:spacing w:after="0" w:line="360" w:lineRule="auto"/>
        <w:ind w:left="567" w:right="567"/>
        <w:rPr>
          <w:rFonts w:eastAsia="Times New Roman" w:cs="Tahoma"/>
          <w:bCs/>
          <w:i/>
          <w:iCs/>
          <w:color w:val="auto"/>
          <w:sz w:val="20"/>
          <w:szCs w:val="20"/>
          <w:lang w:eastAsia="es-ES"/>
        </w:rPr>
      </w:pPr>
    </w:p>
    <w:p w14:paraId="66E0FFE9" w14:textId="546A7B65" w:rsidR="001C2C89" w:rsidRPr="009B7185" w:rsidRDefault="005A09C6" w:rsidP="005A09C6">
      <w:pPr>
        <w:spacing w:after="0" w:line="360" w:lineRule="auto"/>
        <w:ind w:left="567" w:right="567"/>
        <w:rPr>
          <w:rFonts w:eastAsia="Times New Roman" w:cs="Tahoma"/>
          <w:bCs/>
          <w:i/>
          <w:iCs/>
          <w:color w:val="auto"/>
          <w:sz w:val="20"/>
          <w:szCs w:val="20"/>
          <w:lang w:eastAsia="es-ES"/>
        </w:rPr>
      </w:pPr>
      <w:r w:rsidRPr="009B7185">
        <w:rPr>
          <w:rFonts w:eastAsia="Times New Roman" w:cs="Tahoma"/>
          <w:bCs/>
          <w:i/>
          <w:iCs/>
          <w:color w:val="auto"/>
          <w:sz w:val="20"/>
          <w:szCs w:val="20"/>
          <w:lang w:eastAsia="es-ES"/>
        </w:rPr>
        <w:t>Por lo anterior, se sugiere al solicitante dirigirse al Sujeto Obligado Organismo Descentralizado para la Prestación de los Servicios del Agua Potable, Alcantarillado y Saneamiento de Tecámac (ODAPAS), que, de acuerdo a la naturaleza de sus facultades, competencias y funciones, es quien podría poseer la información requerida, esto en su página oficial con el apartado Transparencia, O bien, a la liga https://odapastecamac.gob.mx/ transparencia</w:t>
      </w:r>
      <w:r w:rsidR="0068260D" w:rsidRPr="009B7185">
        <w:rPr>
          <w:rFonts w:eastAsia="Times New Roman" w:cs="Tahoma"/>
          <w:bCs/>
          <w:i/>
          <w:iCs/>
          <w:color w:val="auto"/>
          <w:sz w:val="20"/>
          <w:szCs w:val="20"/>
          <w:lang w:eastAsia="es-ES"/>
        </w:rPr>
        <w:t>…</w:t>
      </w:r>
      <w:r w:rsidR="001C2C89" w:rsidRPr="009B7185">
        <w:rPr>
          <w:rFonts w:cs="Tahoma"/>
          <w:bCs/>
          <w:i/>
          <w:iCs/>
          <w:sz w:val="20"/>
          <w:szCs w:val="20"/>
          <w:lang w:val="es-ES_tradnl"/>
        </w:rPr>
        <w:t xml:space="preserve">” </w:t>
      </w:r>
    </w:p>
    <w:p w14:paraId="60C67665" w14:textId="77777777" w:rsidR="001C2C89" w:rsidRPr="009B7185" w:rsidRDefault="001C2C89" w:rsidP="005A09C6">
      <w:pPr>
        <w:spacing w:after="0" w:line="360" w:lineRule="auto"/>
        <w:ind w:left="567" w:right="567"/>
        <w:rPr>
          <w:rFonts w:cs="Tahoma"/>
          <w:b/>
          <w:i/>
          <w:iCs/>
          <w:sz w:val="20"/>
          <w:szCs w:val="20"/>
          <w:lang w:val="es-ES_tradnl"/>
        </w:rPr>
      </w:pPr>
    </w:p>
    <w:p w14:paraId="38B8D7FC" w14:textId="2589F698" w:rsidR="001C2C89" w:rsidRPr="009B7185" w:rsidRDefault="009C2EE4" w:rsidP="001C2C89">
      <w:pPr>
        <w:spacing w:after="0" w:line="360" w:lineRule="auto"/>
        <w:rPr>
          <w:rFonts w:cs="Tahoma"/>
          <w:bCs/>
          <w:lang w:val="es-ES_tradnl"/>
        </w:rPr>
      </w:pPr>
      <w:r w:rsidRPr="009B7185">
        <w:rPr>
          <w:rFonts w:cs="Tahoma"/>
          <w:b/>
          <w:lang w:val="es-ES_tradnl"/>
        </w:rPr>
        <w:t>d</w:t>
      </w:r>
      <w:r w:rsidR="001C2C89" w:rsidRPr="009B7185">
        <w:rPr>
          <w:rFonts w:cs="Tahoma"/>
          <w:b/>
          <w:lang w:val="es-ES_tradnl"/>
        </w:rPr>
        <w:t xml:space="preserve">) Vista del informe justificado. </w:t>
      </w:r>
      <w:r w:rsidR="001C2C89" w:rsidRPr="009B7185">
        <w:rPr>
          <w:rFonts w:cs="Tahoma"/>
          <w:bCs/>
          <w:lang w:val="es-ES_tradnl"/>
        </w:rPr>
        <w:t xml:space="preserve">El </w:t>
      </w:r>
      <w:r w:rsidR="005A09C6" w:rsidRPr="009B7185">
        <w:rPr>
          <w:rFonts w:cs="Tahoma"/>
          <w:bCs/>
          <w:lang w:val="es-ES_tradnl"/>
        </w:rPr>
        <w:t xml:space="preserve">veinte de abril </w:t>
      </w:r>
      <w:r w:rsidR="001C2C89" w:rsidRPr="009B7185">
        <w:rPr>
          <w:rFonts w:cs="Tahoma"/>
          <w:bCs/>
          <w:lang w:val="es-ES_tradnl"/>
        </w:rPr>
        <w:t>de dos mil vein</w:t>
      </w:r>
      <w:r w:rsidR="005A09C6" w:rsidRPr="009B7185">
        <w:rPr>
          <w:rFonts w:cs="Tahoma"/>
          <w:bCs/>
          <w:lang w:val="es-ES_tradnl"/>
        </w:rPr>
        <w:t>titré</w:t>
      </w:r>
      <w:r w:rsidR="001C2C89" w:rsidRPr="009B7185">
        <w:rPr>
          <w:rFonts w:cs="Tahoma"/>
          <w:bCs/>
          <w:lang w:val="es-ES_tradnl"/>
        </w:rPr>
        <w:t xml:space="preserve">s, se dictó acuerdo mediante el cual se pone a disposición del Particular, el Informe Justificado, proporcionado por el Sujeto Obligado a través del </w:t>
      </w:r>
      <w:r w:rsidR="001C2C89" w:rsidRPr="009B7185">
        <w:rPr>
          <w:rFonts w:eastAsia="Times New Roman" w:cs="Tahoma"/>
          <w:bCs/>
          <w:color w:val="auto"/>
          <w:szCs w:val="24"/>
          <w:lang w:eastAsia="es-ES"/>
        </w:rPr>
        <w:t xml:space="preserve">Sistema de Acceso a la Información Mexiquense (SAIMEX). </w:t>
      </w:r>
    </w:p>
    <w:p w14:paraId="2642A97A" w14:textId="77777777" w:rsidR="001C2C89" w:rsidRPr="009B7185" w:rsidRDefault="001C2C89" w:rsidP="001C2C89">
      <w:pPr>
        <w:spacing w:after="0" w:line="360" w:lineRule="auto"/>
        <w:rPr>
          <w:rFonts w:cs="Tahoma"/>
          <w:b/>
          <w:lang w:val="es-ES_tradnl"/>
        </w:rPr>
      </w:pPr>
    </w:p>
    <w:p w14:paraId="666C795F" w14:textId="1D19282B" w:rsidR="001C2C89" w:rsidRPr="009B7185" w:rsidRDefault="009C2EE4" w:rsidP="001C2C89">
      <w:pPr>
        <w:spacing w:after="0" w:line="360" w:lineRule="auto"/>
        <w:rPr>
          <w:rFonts w:eastAsia="Palatino Linotype" w:cs="Palatino Linotype"/>
          <w:lang w:val="es-ES"/>
        </w:rPr>
      </w:pPr>
      <w:r w:rsidRPr="009B7185">
        <w:rPr>
          <w:rFonts w:eastAsia="Palatino Linotype" w:cs="Palatino Linotype"/>
          <w:b/>
          <w:bCs/>
          <w:lang w:val="es-ES"/>
        </w:rPr>
        <w:t>e</w:t>
      </w:r>
      <w:r w:rsidR="001C2C89" w:rsidRPr="009B7185">
        <w:rPr>
          <w:rFonts w:eastAsia="Palatino Linotype" w:cs="Palatino Linotype"/>
          <w:b/>
          <w:bCs/>
          <w:lang w:val="es-ES"/>
        </w:rPr>
        <w:t xml:space="preserve">) Ampliación de plazo para resolver. </w:t>
      </w:r>
      <w:r w:rsidR="001C2C89" w:rsidRPr="009B7185">
        <w:rPr>
          <w:rFonts w:eastAsia="Palatino Linotype" w:cs="Palatino Linotype"/>
          <w:lang w:val="es-ES"/>
        </w:rPr>
        <w:t xml:space="preserve">El </w:t>
      </w:r>
      <w:r w:rsidR="00537E22" w:rsidRPr="009B7185">
        <w:rPr>
          <w:rFonts w:eastAsia="Palatino Linotype" w:cs="Palatino Linotype"/>
          <w:lang w:val="es-ES"/>
        </w:rPr>
        <w:t>diez de mayo</w:t>
      </w:r>
      <w:r w:rsidR="001C2C89" w:rsidRPr="009B7185">
        <w:rPr>
          <w:rFonts w:eastAsia="Palatino Linotype" w:cs="Palatino Linotype"/>
          <w:lang w:val="es-ES"/>
        </w:rPr>
        <w:t xml:space="preserve"> de dos mil veinti</w:t>
      </w:r>
      <w:r w:rsidR="00537E22" w:rsidRPr="009B7185">
        <w:rPr>
          <w:rFonts w:eastAsia="Palatino Linotype" w:cs="Palatino Linotype"/>
          <w:lang w:val="es-ES"/>
        </w:rPr>
        <w:t>tré</w:t>
      </w:r>
      <w:r w:rsidR="001C2C89" w:rsidRPr="009B7185">
        <w:rPr>
          <w:rFonts w:eastAsia="Palatino Linotype" w:cs="Palatino Linotype"/>
          <w:lang w:val="es-ES"/>
        </w:rPr>
        <w:t xml:space="preserve">s, el Comisionado Ponente, con fundamento en lo dispuesto por el artículo 181, párrafo tercero, de la Ley de Transparencia y Acceso a la Información Pública del Estado de México y Municipios, acordó </w:t>
      </w:r>
      <w:r w:rsidR="001C2C89" w:rsidRPr="009B7185">
        <w:rPr>
          <w:rFonts w:eastAsia="Palatino Linotype" w:cs="Palatino Linotype"/>
          <w:lang w:val="es-ES"/>
        </w:rPr>
        <w:lastRenderedPageBreak/>
        <w:t>ampliar por un periodo de quince días hábiles, el plazo para resolver el Recurso de Revisión que nos ocupa; acto que fue notificado a las partes, mediante el Sistema de Acceso a la Información Mexiquense (SAIMEX).</w:t>
      </w:r>
    </w:p>
    <w:p w14:paraId="6A79195C" w14:textId="77777777" w:rsidR="001C2C89" w:rsidRPr="009B7185" w:rsidRDefault="001C2C89" w:rsidP="001C2C89">
      <w:pPr>
        <w:spacing w:after="0" w:line="360" w:lineRule="auto"/>
        <w:rPr>
          <w:rFonts w:eastAsia="Times New Roman" w:cs="Tahoma"/>
          <w:b/>
          <w:color w:val="auto"/>
          <w:szCs w:val="24"/>
          <w:lang w:eastAsia="es-ES"/>
        </w:rPr>
      </w:pPr>
    </w:p>
    <w:p w14:paraId="42CED52F" w14:textId="0F775F78" w:rsidR="001C2C89" w:rsidRPr="009B7185" w:rsidRDefault="009C2EE4" w:rsidP="001C2C89">
      <w:pPr>
        <w:spacing w:after="0" w:line="360" w:lineRule="auto"/>
        <w:rPr>
          <w:rFonts w:eastAsia="Times New Roman" w:cs="Tahoma"/>
          <w:color w:val="auto"/>
          <w:szCs w:val="24"/>
          <w:lang w:eastAsia="es-ES"/>
        </w:rPr>
      </w:pPr>
      <w:r w:rsidRPr="009B7185">
        <w:rPr>
          <w:rFonts w:eastAsia="Times New Roman" w:cs="Tahoma"/>
          <w:b/>
          <w:color w:val="auto"/>
          <w:szCs w:val="24"/>
          <w:lang w:eastAsia="es-ES"/>
        </w:rPr>
        <w:t>f</w:t>
      </w:r>
      <w:r w:rsidR="001C2C89" w:rsidRPr="009B7185">
        <w:rPr>
          <w:rFonts w:eastAsia="Times New Roman" w:cs="Tahoma"/>
          <w:b/>
          <w:color w:val="auto"/>
          <w:szCs w:val="24"/>
          <w:lang w:eastAsia="es-ES"/>
        </w:rPr>
        <w:t>) Cierre de instrucción.</w:t>
      </w:r>
      <w:r w:rsidR="001C2C89" w:rsidRPr="009B7185">
        <w:rPr>
          <w:rFonts w:eastAsia="Times New Roman" w:cs="Tahoma"/>
          <w:color w:val="auto"/>
          <w:szCs w:val="24"/>
          <w:lang w:eastAsia="es-ES"/>
        </w:rPr>
        <w:t xml:space="preserve"> El </w:t>
      </w:r>
      <w:r w:rsidR="00537E22" w:rsidRPr="009B7185">
        <w:rPr>
          <w:rFonts w:eastAsia="Times New Roman" w:cs="Tahoma"/>
          <w:color w:val="auto"/>
          <w:szCs w:val="24"/>
          <w:lang w:eastAsia="es-ES"/>
        </w:rPr>
        <w:t>once de mayo</w:t>
      </w:r>
      <w:r w:rsidR="001C2C89" w:rsidRPr="009B7185">
        <w:rPr>
          <w:rFonts w:eastAsia="Times New Roman" w:cs="Tahoma"/>
          <w:color w:val="auto"/>
          <w:szCs w:val="24"/>
          <w:lang w:eastAsia="es-ES"/>
        </w:rPr>
        <w:t xml:space="preserve"> de dos mil veinti</w:t>
      </w:r>
      <w:r w:rsidR="00537E22" w:rsidRPr="009B7185">
        <w:rPr>
          <w:rFonts w:eastAsia="Times New Roman" w:cs="Tahoma"/>
          <w:color w:val="auto"/>
          <w:szCs w:val="24"/>
          <w:lang w:eastAsia="es-ES"/>
        </w:rPr>
        <w:t>trés</w:t>
      </w:r>
      <w:r w:rsidR="001C2C89" w:rsidRPr="009B718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1C2C89" w:rsidRPr="009B7185">
        <w:rPr>
          <w:rFonts w:eastAsia="Times New Roman" w:cs="Tahoma"/>
          <w:color w:val="auto"/>
          <w:szCs w:val="20"/>
          <w:lang w:val="es-ES" w:eastAsia="es-ES"/>
        </w:rPr>
        <w:t>Sistema de Acceso a la Información Mexiquense (SAIMEX)</w:t>
      </w:r>
      <w:r w:rsidR="001C2C89" w:rsidRPr="009B7185">
        <w:rPr>
          <w:rFonts w:eastAsia="Times New Roman" w:cs="Tahoma"/>
          <w:color w:val="auto"/>
          <w:szCs w:val="24"/>
          <w:lang w:eastAsia="es-ES"/>
        </w:rPr>
        <w:t xml:space="preserve">. </w:t>
      </w:r>
    </w:p>
    <w:p w14:paraId="13D54218" w14:textId="77777777" w:rsidR="001C2C89" w:rsidRPr="009B7185" w:rsidRDefault="001C2C89" w:rsidP="001C2C89">
      <w:pPr>
        <w:spacing w:after="0" w:line="360" w:lineRule="auto"/>
        <w:rPr>
          <w:rFonts w:eastAsia="Times New Roman" w:cs="Tahoma"/>
          <w:color w:val="auto"/>
          <w:szCs w:val="24"/>
          <w:lang w:eastAsia="es-ES"/>
        </w:rPr>
      </w:pPr>
    </w:p>
    <w:p w14:paraId="77555A46" w14:textId="77777777" w:rsidR="001C2C89" w:rsidRPr="009B7185" w:rsidRDefault="001C2C89" w:rsidP="001C2C89">
      <w:pPr>
        <w:spacing w:after="0" w:line="360" w:lineRule="auto"/>
        <w:rPr>
          <w:rFonts w:eastAsia="Times New Roman" w:cs="Tahoma"/>
          <w:color w:val="000000"/>
          <w:szCs w:val="24"/>
          <w:lang w:eastAsia="es-ES"/>
        </w:rPr>
      </w:pPr>
      <w:r w:rsidRPr="009B7185">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20751B2E" w14:textId="77777777" w:rsidR="001C2C89" w:rsidRPr="009B7185" w:rsidRDefault="001C2C89" w:rsidP="001C2C89">
      <w:pPr>
        <w:spacing w:after="0" w:line="360" w:lineRule="auto"/>
        <w:rPr>
          <w:rFonts w:eastAsia="Times New Roman" w:cs="Tahoma"/>
          <w:b/>
          <w:color w:val="auto"/>
          <w:lang w:val="es-ES" w:eastAsia="es-ES"/>
        </w:rPr>
      </w:pPr>
    </w:p>
    <w:p w14:paraId="47A06EFB" w14:textId="77777777" w:rsidR="001C2C89" w:rsidRPr="009B7185" w:rsidRDefault="001C2C89" w:rsidP="001C2C89">
      <w:pPr>
        <w:spacing w:after="0" w:line="360" w:lineRule="auto"/>
        <w:jc w:val="center"/>
        <w:rPr>
          <w:rFonts w:eastAsia="Times New Roman" w:cs="Tahoma"/>
          <w:b/>
          <w:color w:val="auto"/>
          <w:lang w:val="es-ES" w:eastAsia="es-ES"/>
        </w:rPr>
      </w:pPr>
      <w:r w:rsidRPr="009B7185">
        <w:rPr>
          <w:rFonts w:eastAsia="Times New Roman" w:cs="Tahoma"/>
          <w:b/>
          <w:color w:val="auto"/>
          <w:lang w:val="es-ES" w:eastAsia="es-ES"/>
        </w:rPr>
        <w:t>C O N S I D E R A N D O S:</w:t>
      </w:r>
    </w:p>
    <w:p w14:paraId="70CE60A8" w14:textId="77777777" w:rsidR="001C2C89" w:rsidRPr="009B7185" w:rsidRDefault="001C2C89" w:rsidP="001C2C89">
      <w:pPr>
        <w:spacing w:after="0" w:line="360" w:lineRule="auto"/>
        <w:jc w:val="center"/>
        <w:rPr>
          <w:rFonts w:eastAsia="Times New Roman" w:cs="Tahoma"/>
          <w:b/>
          <w:color w:val="auto"/>
          <w:lang w:val="es-ES" w:eastAsia="es-ES"/>
        </w:rPr>
      </w:pPr>
    </w:p>
    <w:p w14:paraId="385F0631" w14:textId="77777777" w:rsidR="001C2C89" w:rsidRPr="009B7185" w:rsidRDefault="001C2C89" w:rsidP="001C2C89">
      <w:pPr>
        <w:autoSpaceDE w:val="0"/>
        <w:autoSpaceDN w:val="0"/>
        <w:adjustRightInd w:val="0"/>
        <w:spacing w:after="0" w:line="360" w:lineRule="auto"/>
        <w:rPr>
          <w:rFonts w:eastAsia="Times New Roman" w:cs="Tahoma"/>
          <w:b/>
          <w:color w:val="auto"/>
          <w:szCs w:val="24"/>
          <w:lang w:val="es-ES" w:eastAsia="es-ES"/>
        </w:rPr>
      </w:pPr>
      <w:r w:rsidRPr="009B7185">
        <w:rPr>
          <w:rFonts w:eastAsia="Calibri" w:cs="Tahoma"/>
          <w:b/>
          <w:color w:val="000000"/>
          <w:szCs w:val="24"/>
          <w:lang w:val="es-ES" w:eastAsia="es-MX"/>
        </w:rPr>
        <w:t>PRIMERO</w:t>
      </w:r>
      <w:r w:rsidRPr="009B7185">
        <w:rPr>
          <w:rFonts w:eastAsia="Calibri" w:cs="Tahoma"/>
          <w:color w:val="000000"/>
          <w:szCs w:val="24"/>
          <w:lang w:val="es-ES" w:eastAsia="es-MX"/>
        </w:rPr>
        <w:t xml:space="preserve">. </w:t>
      </w:r>
      <w:r w:rsidRPr="009B7185">
        <w:rPr>
          <w:rFonts w:eastAsia="Times New Roman" w:cs="Tahoma"/>
          <w:b/>
          <w:color w:val="auto"/>
          <w:szCs w:val="24"/>
          <w:lang w:val="es-ES" w:eastAsia="es-ES"/>
        </w:rPr>
        <w:t>Competencia.</w:t>
      </w:r>
    </w:p>
    <w:p w14:paraId="307D54B4" w14:textId="77777777" w:rsidR="001C2C89" w:rsidRPr="009B7185" w:rsidRDefault="001C2C89" w:rsidP="001C2C89">
      <w:pPr>
        <w:autoSpaceDE w:val="0"/>
        <w:autoSpaceDN w:val="0"/>
        <w:adjustRightInd w:val="0"/>
        <w:spacing w:after="0" w:line="360" w:lineRule="auto"/>
        <w:rPr>
          <w:rFonts w:eastAsia="Times New Roman" w:cs="Tahoma"/>
          <w:b/>
          <w:color w:val="auto"/>
          <w:szCs w:val="24"/>
          <w:lang w:val="es-ES" w:eastAsia="es-ES"/>
        </w:rPr>
      </w:pPr>
    </w:p>
    <w:p w14:paraId="53273B21" w14:textId="4D7E633C" w:rsidR="001C2C89" w:rsidRPr="009B7185" w:rsidRDefault="001C2C89" w:rsidP="001C2C89">
      <w:pPr>
        <w:spacing w:after="0" w:line="360" w:lineRule="auto"/>
        <w:rPr>
          <w:rFonts w:eastAsia="Times New Roman" w:cs="Tahoma"/>
          <w:bCs/>
          <w:color w:val="auto"/>
          <w:lang w:eastAsia="es-ES"/>
        </w:rPr>
      </w:pPr>
      <w:bookmarkStart w:id="0" w:name="_Hlk63334754"/>
      <w:r w:rsidRPr="009B71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w:t>
      </w:r>
      <w:r w:rsidRPr="009B7185">
        <w:rPr>
          <w:rFonts w:eastAsia="Times New Roman" w:cs="Tahoma"/>
          <w:bCs/>
          <w:color w:val="auto"/>
          <w:lang w:eastAsia="es-ES"/>
        </w:rPr>
        <w:lastRenderedPageBreak/>
        <w:t>fracciones II y IV; 13, 29, 36, fracciones I y II; 176, 178, 179, 181 párrafo tercero, 185, 188 y 189 de la Ley Transparencia y Acceso a la Información Pública del Estado de México y Municipios;</w:t>
      </w:r>
      <w:r w:rsidRPr="009B7185">
        <w:rPr>
          <w:rFonts w:eastAsia="Times New Roman" w:cs="Times New Roman"/>
          <w:bCs/>
          <w:color w:val="auto"/>
          <w:lang w:eastAsia="es-ES"/>
        </w:rPr>
        <w:t xml:space="preserve"> 7°, </w:t>
      </w:r>
      <w:r w:rsidRPr="009B7185">
        <w:rPr>
          <w:rFonts w:eastAsia="Times New Roman" w:cs="Tahoma"/>
          <w:bCs/>
          <w:color w:val="auto"/>
          <w:lang w:eastAsia="es-ES"/>
        </w:rPr>
        <w:t>9°, fracciones I y XXI</w:t>
      </w:r>
      <w:r w:rsidR="00647C03" w:rsidRPr="009B7185">
        <w:rPr>
          <w:rFonts w:eastAsia="Times New Roman" w:cs="Tahoma"/>
          <w:bCs/>
          <w:color w:val="auto"/>
          <w:lang w:eastAsia="es-ES"/>
        </w:rPr>
        <w:t>II</w:t>
      </w:r>
      <w:r w:rsidRPr="009B7185">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2314549B" w14:textId="77777777" w:rsidR="001C2C89" w:rsidRPr="009B7185" w:rsidRDefault="001C2C89" w:rsidP="001C2C89">
      <w:pPr>
        <w:spacing w:after="0" w:line="360" w:lineRule="auto"/>
      </w:pPr>
    </w:p>
    <w:p w14:paraId="5DFE7C33" w14:textId="77777777" w:rsidR="001C2C89" w:rsidRPr="009B7185" w:rsidRDefault="001C2C89" w:rsidP="001C2C89">
      <w:pPr>
        <w:autoSpaceDE w:val="0"/>
        <w:autoSpaceDN w:val="0"/>
        <w:adjustRightInd w:val="0"/>
        <w:spacing w:after="0" w:line="360" w:lineRule="auto"/>
        <w:rPr>
          <w:b/>
          <w:lang w:val="es-ES"/>
        </w:rPr>
      </w:pPr>
      <w:r w:rsidRPr="009B7185">
        <w:rPr>
          <w:rFonts w:eastAsia="Calibri" w:cs="Tahoma"/>
          <w:b/>
          <w:color w:val="000000"/>
          <w:szCs w:val="24"/>
          <w:lang w:val="es-ES" w:eastAsia="es-MX"/>
        </w:rPr>
        <w:t>SEGUNDO</w:t>
      </w:r>
      <w:r w:rsidRPr="009B7185">
        <w:rPr>
          <w:rFonts w:eastAsia="Calibri" w:cs="Tahoma"/>
          <w:color w:val="000000"/>
          <w:szCs w:val="24"/>
          <w:lang w:val="es-ES" w:eastAsia="es-MX"/>
        </w:rPr>
        <w:t xml:space="preserve">. </w:t>
      </w:r>
      <w:r w:rsidRPr="009B7185">
        <w:rPr>
          <w:b/>
          <w:lang w:val="es-ES"/>
        </w:rPr>
        <w:t>Causales de improcedencia</w:t>
      </w:r>
    </w:p>
    <w:p w14:paraId="06EF8BB8" w14:textId="77777777" w:rsidR="001C2C89" w:rsidRPr="009B7185" w:rsidRDefault="001C2C89" w:rsidP="001C2C89">
      <w:pPr>
        <w:spacing w:after="0" w:line="360" w:lineRule="auto"/>
        <w:rPr>
          <w:b/>
          <w:lang w:val="es-ES"/>
        </w:rPr>
      </w:pPr>
    </w:p>
    <w:p w14:paraId="2ECFC77E" w14:textId="77777777" w:rsidR="001C2C89" w:rsidRPr="009B7185" w:rsidRDefault="001C2C89" w:rsidP="001C2C89">
      <w:pPr>
        <w:spacing w:after="0" w:line="360" w:lineRule="auto"/>
        <w:rPr>
          <w:rFonts w:eastAsia="Times New Roman" w:cs="Tahoma"/>
          <w:color w:val="auto"/>
          <w:lang w:eastAsia="es-ES"/>
        </w:rPr>
      </w:pPr>
      <w:r w:rsidRPr="009B718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42508B5" w14:textId="77777777" w:rsidR="001C2C89" w:rsidRPr="009B7185" w:rsidRDefault="001C2C89" w:rsidP="001C2C89">
      <w:pPr>
        <w:spacing w:after="0" w:line="360" w:lineRule="auto"/>
        <w:rPr>
          <w:rFonts w:eastAsia="Times New Roman" w:cs="Tahoma"/>
          <w:color w:val="auto"/>
          <w:lang w:eastAsia="es-ES"/>
        </w:rPr>
      </w:pPr>
    </w:p>
    <w:p w14:paraId="4BCC0316" w14:textId="77777777" w:rsidR="001C2C89" w:rsidRPr="009B7185" w:rsidRDefault="001C2C89" w:rsidP="001C2C89">
      <w:pPr>
        <w:autoSpaceDE w:val="0"/>
        <w:autoSpaceDN w:val="0"/>
        <w:adjustRightInd w:val="0"/>
        <w:spacing w:after="0" w:line="360" w:lineRule="auto"/>
        <w:rPr>
          <w:rFonts w:eastAsia="Calibri" w:cs="Tahoma"/>
          <w:color w:val="000000"/>
          <w:lang w:eastAsia="es-MX"/>
        </w:rPr>
      </w:pPr>
      <w:r w:rsidRPr="009B7185">
        <w:rPr>
          <w:rFonts w:eastAsia="Calibri" w:cs="Tahoma"/>
          <w:color w:val="000000"/>
          <w:lang w:eastAsia="es-MX"/>
        </w:rPr>
        <w:t xml:space="preserve">En el presente caso, </w:t>
      </w:r>
      <w:r w:rsidRPr="009B7185">
        <w:rPr>
          <w:rFonts w:eastAsia="Calibri" w:cs="Tahoma"/>
          <w:b/>
          <w:color w:val="000000"/>
          <w:lang w:eastAsia="es-MX"/>
        </w:rPr>
        <w:t>no se actualiza ninguna de las causales de improcedencia</w:t>
      </w:r>
      <w:r w:rsidRPr="009B7185">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C9F3C3B" w14:textId="77777777" w:rsidR="001C2C89" w:rsidRPr="009B7185" w:rsidRDefault="001C2C89" w:rsidP="001C2C89">
      <w:pPr>
        <w:spacing w:after="0" w:line="360" w:lineRule="auto"/>
        <w:rPr>
          <w:rFonts w:eastAsia="Times New Roman" w:cs="Tahoma"/>
          <w:b/>
          <w:bCs/>
          <w:color w:val="auto"/>
          <w:lang w:eastAsia="es-ES"/>
        </w:rPr>
      </w:pPr>
    </w:p>
    <w:p w14:paraId="487C4223" w14:textId="6C27CCC1" w:rsidR="001C2C89" w:rsidRPr="009B7185" w:rsidRDefault="001C2C89" w:rsidP="001C2C89">
      <w:pPr>
        <w:spacing w:after="0" w:line="360" w:lineRule="auto"/>
        <w:rPr>
          <w:rFonts w:eastAsia="Calibri" w:cs="Tahoma"/>
          <w:color w:val="000000"/>
          <w:lang w:eastAsia="es-MX"/>
        </w:rPr>
      </w:pPr>
      <w:r w:rsidRPr="009B7185">
        <w:rPr>
          <w:rFonts w:eastAsia="Times New Roman" w:cs="Tahoma"/>
          <w:color w:val="auto"/>
          <w:lang w:eastAsia="es-ES"/>
        </w:rPr>
        <w:lastRenderedPageBreak/>
        <w:t>Asimismo, se actualiza la causal de procedencia del Recurso de Revisión señalada en el artículo 179, fracciones V</w:t>
      </w:r>
      <w:r w:rsidR="00537E22" w:rsidRPr="009B7185">
        <w:rPr>
          <w:rFonts w:eastAsia="Times New Roman" w:cs="Tahoma"/>
          <w:color w:val="auto"/>
          <w:lang w:eastAsia="es-ES"/>
        </w:rPr>
        <w:t>I</w:t>
      </w:r>
      <w:r w:rsidRPr="009B7185">
        <w:rPr>
          <w:rFonts w:eastAsia="Times New Roman" w:cs="Tahoma"/>
          <w:color w:val="auto"/>
          <w:lang w:eastAsia="es-ES"/>
        </w:rPr>
        <w:t xml:space="preserve">, </w:t>
      </w:r>
      <w:r w:rsidRPr="009B7185">
        <w:rPr>
          <w:rFonts w:eastAsia="Calibri" w:cs="Tahoma"/>
          <w:color w:val="000000"/>
          <w:lang w:eastAsia="es-MX"/>
        </w:rPr>
        <w:t>Ley de Transparencia y Acceso a la Información Pública del Estado de México y Municipios</w:t>
      </w:r>
      <w:r w:rsidRPr="009B7185">
        <w:rPr>
          <w:rFonts w:eastAsia="Times New Roman" w:cs="Tahoma"/>
          <w:color w:val="auto"/>
          <w:lang w:eastAsia="es-ES"/>
        </w:rPr>
        <w:t xml:space="preserve">, </w:t>
      </w:r>
      <w:r w:rsidRPr="009B7185">
        <w:rPr>
          <w:rFonts w:eastAsia="Calibri" w:cs="Tahoma"/>
          <w:color w:val="000000"/>
          <w:lang w:eastAsia="es-MX"/>
        </w:rPr>
        <w:t>pues el Recurrente se inconformó con la</w:t>
      </w:r>
      <w:r w:rsidR="00537E22" w:rsidRPr="009B7185">
        <w:rPr>
          <w:rFonts w:eastAsia="Calibri" w:cs="Tahoma"/>
          <w:color w:val="000000"/>
          <w:lang w:eastAsia="es-MX"/>
        </w:rPr>
        <w:t xml:space="preserve"> entrega de información que no corresponde con lo solicitado</w:t>
      </w:r>
      <w:r w:rsidRPr="009B7185">
        <w:rPr>
          <w:rFonts w:eastAsia="Calibri" w:cs="Tahoma"/>
          <w:color w:val="000000"/>
          <w:lang w:eastAsia="es-MX"/>
        </w:rPr>
        <w:t>.</w:t>
      </w:r>
    </w:p>
    <w:p w14:paraId="620211E1" w14:textId="77777777" w:rsidR="001C2C89" w:rsidRPr="009B7185" w:rsidRDefault="001C2C89" w:rsidP="001C2C89">
      <w:pPr>
        <w:spacing w:after="0" w:line="360" w:lineRule="auto"/>
        <w:rPr>
          <w:rFonts w:eastAsia="Times New Roman" w:cs="Tahoma"/>
          <w:b/>
          <w:bCs/>
          <w:color w:val="auto"/>
          <w:szCs w:val="24"/>
          <w:lang w:val="es-ES" w:eastAsia="es-ES"/>
        </w:rPr>
      </w:pPr>
    </w:p>
    <w:p w14:paraId="0474C46D" w14:textId="77777777" w:rsidR="001C2C89" w:rsidRPr="009B7185" w:rsidRDefault="001C2C89" w:rsidP="001C2C89">
      <w:pPr>
        <w:spacing w:after="0" w:line="360" w:lineRule="auto"/>
        <w:rPr>
          <w:rFonts w:eastAsia="Times New Roman" w:cs="Tahoma"/>
          <w:b/>
          <w:bCs/>
          <w:color w:val="auto"/>
          <w:szCs w:val="24"/>
          <w:lang w:val="es-ES" w:eastAsia="es-ES"/>
        </w:rPr>
      </w:pPr>
      <w:r w:rsidRPr="009B7185">
        <w:rPr>
          <w:rFonts w:eastAsia="Times New Roman" w:cs="Tahoma"/>
          <w:b/>
          <w:bCs/>
          <w:color w:val="auto"/>
          <w:szCs w:val="24"/>
          <w:lang w:val="es-ES" w:eastAsia="es-ES"/>
        </w:rPr>
        <w:t>TERCERO. Causales de sobreseimiento.</w:t>
      </w:r>
    </w:p>
    <w:p w14:paraId="2EF28E51" w14:textId="77777777" w:rsidR="00537E22" w:rsidRPr="009B7185" w:rsidRDefault="00537E22" w:rsidP="001C2C89">
      <w:pPr>
        <w:spacing w:after="0" w:line="360" w:lineRule="auto"/>
        <w:rPr>
          <w:rFonts w:eastAsia="Times New Roman" w:cs="Tahoma"/>
          <w:b/>
          <w:bCs/>
          <w:color w:val="auto"/>
          <w:szCs w:val="24"/>
          <w:lang w:val="es-ES" w:eastAsia="es-ES"/>
        </w:rPr>
      </w:pPr>
    </w:p>
    <w:p w14:paraId="5FF96319" w14:textId="77777777" w:rsidR="002726AE" w:rsidRPr="009B7185" w:rsidRDefault="002726AE" w:rsidP="002726AE">
      <w:pPr>
        <w:spacing w:after="0" w:line="360" w:lineRule="auto"/>
        <w:rPr>
          <w:rFonts w:eastAsia="Times New Roman" w:cs="Tahoma"/>
          <w:b/>
          <w:bCs/>
          <w:color w:val="auto"/>
          <w:szCs w:val="24"/>
          <w:lang w:val="es-ES" w:eastAsia="es-ES"/>
        </w:rPr>
      </w:pPr>
      <w:r w:rsidRPr="009B7185">
        <w:rPr>
          <w:rFonts w:eastAsia="Times New Roman" w:cs="Tahoma"/>
          <w:color w:val="auto"/>
          <w:szCs w:val="24"/>
          <w:lang w:val="es-ES" w:eastAsia="es-ES"/>
        </w:rPr>
        <w:t>Por ser de previo y especial pronunciamiento, este Instituto analiza si se actualiza alguna causal de sobreseimiento.</w:t>
      </w:r>
    </w:p>
    <w:p w14:paraId="7D5BA98B" w14:textId="77777777" w:rsidR="002726AE" w:rsidRPr="009B7185" w:rsidRDefault="002726AE" w:rsidP="002726AE">
      <w:pPr>
        <w:spacing w:after="0" w:line="360" w:lineRule="auto"/>
        <w:rPr>
          <w:rFonts w:eastAsia="Times New Roman" w:cs="Tahoma"/>
          <w:color w:val="auto"/>
          <w:szCs w:val="24"/>
          <w:lang w:val="es-ES" w:eastAsia="es-ES"/>
        </w:rPr>
      </w:pPr>
    </w:p>
    <w:p w14:paraId="3FB30DB4" w14:textId="77777777" w:rsidR="00647C03" w:rsidRPr="009B7185" w:rsidRDefault="00647C03" w:rsidP="00647C03">
      <w:pPr>
        <w:spacing w:after="0" w:line="360" w:lineRule="auto"/>
        <w:rPr>
          <w:rFonts w:eastAsia="Times New Roman" w:cs="Tahoma"/>
          <w:bCs/>
          <w:color w:val="auto"/>
          <w:lang w:eastAsia="es-ES"/>
        </w:rPr>
      </w:pPr>
      <w:r w:rsidRPr="009B7185">
        <w:rPr>
          <w:rFonts w:eastAsia="Times New Roman" w:cs="Tahoma"/>
          <w:bCs/>
          <w:color w:val="auto"/>
          <w:lang w:eastAsia="es-ES"/>
        </w:rPr>
        <w:t xml:space="preserve">Al respecto,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9B7185">
        <w:rPr>
          <w:rFonts w:eastAsia="Times New Roman" w:cs="Tahoma"/>
          <w:b/>
          <w:bCs/>
          <w:color w:val="auto"/>
          <w:lang w:eastAsia="es-ES"/>
        </w:rPr>
        <w:t>que no se actualizan los supuestos de sobreseimiento previstos en las fracciones I, II, IV y V</w:t>
      </w:r>
      <w:r w:rsidRPr="009B7185">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14:paraId="53219778" w14:textId="77777777" w:rsidR="00647C03" w:rsidRPr="009B7185" w:rsidRDefault="00647C03" w:rsidP="00647C03">
      <w:pPr>
        <w:spacing w:after="0" w:line="360" w:lineRule="auto"/>
        <w:rPr>
          <w:rFonts w:eastAsia="Times New Roman" w:cs="Tahoma"/>
          <w:bCs/>
          <w:color w:val="auto"/>
          <w:lang w:eastAsia="es-ES"/>
        </w:rPr>
      </w:pPr>
    </w:p>
    <w:p w14:paraId="4ABCB1B5" w14:textId="5B63F94A" w:rsidR="00647C03" w:rsidRPr="009B7185" w:rsidRDefault="00647C03" w:rsidP="00647C03">
      <w:pPr>
        <w:spacing w:after="0" w:line="360" w:lineRule="auto"/>
        <w:rPr>
          <w:rFonts w:cs="Tahoma"/>
          <w:szCs w:val="24"/>
          <w:lang w:val="es-ES"/>
        </w:rPr>
      </w:pPr>
      <w:r w:rsidRPr="009B7185">
        <w:rPr>
          <w:rFonts w:cs="Tahoma"/>
          <w:szCs w:val="24"/>
          <w:lang w:val="es-ES"/>
        </w:rPr>
        <w:t xml:space="preserve">No obstante, toda vez que durante la sustanciación del Recurso de Revisión </w:t>
      </w:r>
      <w:r w:rsidR="0062674E" w:rsidRPr="009B7185">
        <w:rPr>
          <w:rFonts w:cs="Tahoma"/>
          <w:szCs w:val="24"/>
        </w:rPr>
        <w:t>01426</w:t>
      </w:r>
      <w:r w:rsidRPr="009B7185">
        <w:rPr>
          <w:rFonts w:cs="Tahoma"/>
          <w:szCs w:val="24"/>
        </w:rPr>
        <w:t>/INFOEM/IP/RR/2023</w:t>
      </w:r>
      <w:r w:rsidRPr="009B7185">
        <w:rPr>
          <w:rFonts w:cs="Tahoma"/>
          <w:szCs w:val="24"/>
          <w:lang w:val="es-ES"/>
        </w:rPr>
        <w:t xml:space="preserve">, el </w:t>
      </w:r>
      <w:r w:rsidR="0062674E" w:rsidRPr="009B7185">
        <w:rPr>
          <w:rFonts w:cs="Tahoma"/>
          <w:szCs w:val="24"/>
          <w:lang w:val="es-ES"/>
        </w:rPr>
        <w:t>Ayuntamiento de Tecámac</w:t>
      </w:r>
      <w:r w:rsidRPr="009B7185">
        <w:rPr>
          <w:rFonts w:eastAsia="Calibri" w:cs="Tahoma"/>
        </w:rPr>
        <w:t xml:space="preserve">, </w:t>
      </w:r>
      <w:r w:rsidRPr="009B7185">
        <w:rPr>
          <w:rFonts w:cs="Tahoma"/>
          <w:szCs w:val="24"/>
          <w:lang w:val="es-ES"/>
        </w:rPr>
        <w:t>modificó su respuesta, a través de su Informe Justificado, se estima procedente entrar al estudio de la causal de sobreseimiento prevista en la fracción III, del artículo 192 de la Ley de la Materia.</w:t>
      </w:r>
    </w:p>
    <w:p w14:paraId="43FA41CC" w14:textId="77777777" w:rsidR="00647C03" w:rsidRPr="009B7185" w:rsidRDefault="00647C03" w:rsidP="00647C03">
      <w:pPr>
        <w:spacing w:after="0" w:line="360" w:lineRule="auto"/>
        <w:rPr>
          <w:rFonts w:eastAsia="Times New Roman" w:cs="Tahoma"/>
          <w:iCs/>
          <w:color w:val="auto"/>
          <w:lang w:val="es-ES" w:eastAsia="es-ES"/>
        </w:rPr>
      </w:pPr>
    </w:p>
    <w:p w14:paraId="4900617D" w14:textId="0085F1A7" w:rsidR="001C2C89" w:rsidRPr="009B7185" w:rsidRDefault="00647C03" w:rsidP="00647C03">
      <w:pPr>
        <w:spacing w:after="0" w:line="360" w:lineRule="auto"/>
        <w:rPr>
          <w:color w:val="000000"/>
        </w:rPr>
      </w:pPr>
      <w:r w:rsidRPr="009B7185">
        <w:rPr>
          <w:rFonts w:eastAsia="Times New Roman" w:cs="Tahoma"/>
          <w:color w:val="auto"/>
          <w:szCs w:val="24"/>
          <w:lang w:val="es-ES" w:eastAsia="es-ES"/>
        </w:rPr>
        <w:t xml:space="preserve">Al respecto, a efecto de verificar si se actualiza la causal de sobreseimiento, en principio resulta necesario precisar </w:t>
      </w:r>
      <w:r w:rsidR="0062674E" w:rsidRPr="009B7185">
        <w:rPr>
          <w:rFonts w:eastAsia="Times New Roman" w:cs="Tahoma"/>
          <w:color w:val="auto"/>
          <w:szCs w:val="24"/>
          <w:lang w:val="es-ES" w:eastAsia="es-ES"/>
        </w:rPr>
        <w:t>que el ahora Recurrente pidió</w:t>
      </w:r>
      <w:r w:rsidR="002726AE" w:rsidRPr="009B7185">
        <w:rPr>
          <w:rFonts w:eastAsia="Times New Roman" w:cs="Tahoma"/>
          <w:color w:val="auto"/>
          <w:lang w:eastAsia="es-ES"/>
        </w:rPr>
        <w:t xml:space="preserve"> </w:t>
      </w:r>
      <w:r w:rsidR="00800E37" w:rsidRPr="009B7185">
        <w:rPr>
          <w:rFonts w:eastAsia="Times New Roman" w:cs="Tahoma"/>
          <w:color w:val="auto"/>
          <w:lang w:eastAsia="es-ES"/>
        </w:rPr>
        <w:t xml:space="preserve">los convenios, acuerdos, contratos o cualquier instrumento jurídico, celebrado entre Mariela Gutiérrez Escalante, en su calidad de </w:t>
      </w:r>
      <w:r w:rsidR="00800E37" w:rsidRPr="009B7185">
        <w:rPr>
          <w:rFonts w:eastAsia="Times New Roman" w:cs="Tahoma"/>
          <w:color w:val="auto"/>
          <w:lang w:eastAsia="es-ES"/>
        </w:rPr>
        <w:lastRenderedPageBreak/>
        <w:t>Presidenta Municipal y el Sistema de Agua Potable de Santa María Ozumbilla</w:t>
      </w:r>
      <w:r w:rsidR="00451BC5" w:rsidRPr="009B7185">
        <w:rPr>
          <w:color w:val="000000"/>
        </w:rPr>
        <w:t xml:space="preserve"> </w:t>
      </w:r>
      <w:r w:rsidR="00800E37" w:rsidRPr="009B7185">
        <w:rPr>
          <w:color w:val="000000"/>
        </w:rPr>
        <w:t>Estado de México A.C.,</w:t>
      </w:r>
      <w:r w:rsidR="00B60094" w:rsidRPr="009B7185">
        <w:rPr>
          <w:color w:val="000000"/>
        </w:rPr>
        <w:t xml:space="preserve"> </w:t>
      </w:r>
      <w:r w:rsidR="00800E37" w:rsidRPr="009B7185">
        <w:rPr>
          <w:color w:val="000000"/>
        </w:rPr>
        <w:t>de los últimos seis años.</w:t>
      </w:r>
    </w:p>
    <w:p w14:paraId="4F443DAA" w14:textId="77777777" w:rsidR="00373E11" w:rsidRPr="009B7185" w:rsidRDefault="00373E11" w:rsidP="00373E11">
      <w:pPr>
        <w:pStyle w:val="Prrafodelista"/>
        <w:spacing w:after="0" w:line="360" w:lineRule="auto"/>
        <w:rPr>
          <w:color w:val="000000"/>
        </w:rPr>
      </w:pPr>
    </w:p>
    <w:p w14:paraId="5C08F6C6" w14:textId="20B0D2C2" w:rsidR="0032173D" w:rsidRPr="009B7185" w:rsidRDefault="001C2C89" w:rsidP="0032173D">
      <w:pPr>
        <w:spacing w:after="0" w:line="360" w:lineRule="auto"/>
        <w:rPr>
          <w:rFonts w:eastAsia="Times New Roman" w:cs="Times New Roman"/>
          <w:color w:val="auto"/>
          <w:lang w:eastAsia="es-ES"/>
        </w:rPr>
      </w:pPr>
      <w:r w:rsidRPr="009B7185">
        <w:rPr>
          <w:rFonts w:eastAsia="Times New Roman" w:cs="Times New Roman"/>
          <w:color w:val="auto"/>
          <w:lang w:eastAsia="es-ES"/>
        </w:rPr>
        <w:t xml:space="preserve">En respuesta, el Sujeto Obligado, </w:t>
      </w:r>
      <w:r w:rsidR="00373E11" w:rsidRPr="009B7185">
        <w:rPr>
          <w:rFonts w:eastAsia="Times New Roman" w:cs="Times New Roman"/>
          <w:color w:val="auto"/>
          <w:lang w:eastAsia="es-ES"/>
        </w:rPr>
        <w:t xml:space="preserve">señaló </w:t>
      </w:r>
      <w:r w:rsidR="0096239C" w:rsidRPr="009B7185">
        <w:rPr>
          <w:rFonts w:eastAsia="Times New Roman" w:cs="Times New Roman"/>
          <w:color w:val="auto"/>
          <w:lang w:eastAsia="es-ES"/>
        </w:rPr>
        <w:t>que e</w:t>
      </w:r>
      <w:r w:rsidR="00800E37" w:rsidRPr="009B7185">
        <w:rPr>
          <w:rFonts w:eastAsia="Times New Roman" w:cs="Times New Roman"/>
          <w:color w:val="auto"/>
          <w:lang w:eastAsia="es-ES"/>
        </w:rPr>
        <w:t>l municipio de Tecámac no contaba con alguna persona que figurará</w:t>
      </w:r>
      <w:r w:rsidR="0096239C" w:rsidRPr="009B7185">
        <w:rPr>
          <w:rFonts w:eastAsia="Times New Roman" w:cs="Times New Roman"/>
          <w:color w:val="auto"/>
          <w:lang w:eastAsia="es-ES"/>
        </w:rPr>
        <w:t xml:space="preserve"> como</w:t>
      </w:r>
      <w:r w:rsidR="002B1CE8" w:rsidRPr="009B7185">
        <w:rPr>
          <w:rFonts w:eastAsia="Times New Roman" w:cs="Times New Roman"/>
          <w:color w:val="auto"/>
          <w:lang w:eastAsia="es-ES"/>
        </w:rPr>
        <w:t xml:space="preserve"> representante indígena, debido a que el municipio no exist</w:t>
      </w:r>
      <w:r w:rsidR="00800E37" w:rsidRPr="009B7185">
        <w:rPr>
          <w:rFonts w:eastAsia="Times New Roman" w:cs="Times New Roman"/>
          <w:color w:val="auto"/>
          <w:lang w:eastAsia="es-ES"/>
        </w:rPr>
        <w:t>ía</w:t>
      </w:r>
      <w:r w:rsidR="002B1CE8" w:rsidRPr="009B7185">
        <w:rPr>
          <w:rFonts w:eastAsia="Times New Roman" w:cs="Times New Roman"/>
          <w:color w:val="auto"/>
          <w:lang w:eastAsia="es-ES"/>
        </w:rPr>
        <w:t xml:space="preserve"> registro de algún grupo o comunidad, pueblo o región indígena</w:t>
      </w:r>
      <w:r w:rsidRPr="009B7185">
        <w:rPr>
          <w:rFonts w:eastAsia="Times New Roman" w:cs="Times New Roman"/>
          <w:color w:val="auto"/>
          <w:lang w:eastAsia="es-ES"/>
        </w:rPr>
        <w:t xml:space="preserve">; ante dicha circunstancia, la parte Recurrente se inconformó </w:t>
      </w:r>
      <w:r w:rsidR="00373E11" w:rsidRPr="009B7185">
        <w:rPr>
          <w:rFonts w:eastAsia="Times New Roman" w:cs="Times New Roman"/>
          <w:color w:val="auto"/>
          <w:lang w:eastAsia="es-ES"/>
        </w:rPr>
        <w:t>de la respuesta proporcionada por que no tenía nada que ver con lo solicitado</w:t>
      </w:r>
      <w:r w:rsidRPr="009B7185">
        <w:rPr>
          <w:rFonts w:eastAsia="Times New Roman" w:cs="Times New Roman"/>
          <w:color w:val="auto"/>
          <w:lang w:eastAsia="es-ES"/>
        </w:rPr>
        <w:t xml:space="preserve">, </w:t>
      </w:r>
      <w:r w:rsidRPr="009B7185">
        <w:rPr>
          <w:rFonts w:eastAsia="Calibri" w:cs="Tahoma"/>
          <w:bCs/>
          <w:iCs/>
          <w:lang w:val="es-ES"/>
        </w:rPr>
        <w:t>lo cual actualiza el supuesto previsto en el artículo 179, fracción V</w:t>
      </w:r>
      <w:r w:rsidR="00373E11" w:rsidRPr="009B7185">
        <w:rPr>
          <w:rFonts w:eastAsia="Calibri" w:cs="Tahoma"/>
          <w:bCs/>
          <w:iCs/>
          <w:lang w:val="es-ES"/>
        </w:rPr>
        <w:t>I</w:t>
      </w:r>
      <w:r w:rsidRPr="009B7185">
        <w:rPr>
          <w:rFonts w:eastAsia="Calibri" w:cs="Tahoma"/>
          <w:bCs/>
          <w:iCs/>
          <w:lang w:val="es-ES"/>
        </w:rPr>
        <w:t>, de la Ley de Transparencia y Acceso a la Información Pública del Estado de México y Municipios</w:t>
      </w:r>
      <w:r w:rsidRPr="009B7185">
        <w:rPr>
          <w:rFonts w:eastAsia="Calibri" w:cs="Tahoma"/>
          <w:bCs/>
          <w:iCs/>
          <w:shd w:val="clear" w:color="auto" w:fill="FFFFFF"/>
        </w:rPr>
        <w:t>.</w:t>
      </w:r>
      <w:r w:rsidRPr="009B7185">
        <w:rPr>
          <w:rFonts w:eastAsia="Calibri" w:cs="Tahoma"/>
          <w:bCs/>
          <w:iCs/>
          <w:color w:val="000000"/>
          <w:lang w:val="es-ES_tradnl"/>
        </w:rPr>
        <w:t xml:space="preserve"> </w:t>
      </w:r>
    </w:p>
    <w:p w14:paraId="36DBED64" w14:textId="77777777" w:rsidR="0032173D" w:rsidRPr="009B7185" w:rsidRDefault="0032173D" w:rsidP="0032173D">
      <w:pPr>
        <w:spacing w:after="0" w:line="360" w:lineRule="auto"/>
        <w:rPr>
          <w:rFonts w:eastAsia="Calibri" w:cs="Tahoma"/>
          <w:bCs/>
          <w:iCs/>
          <w:color w:val="000000"/>
          <w:lang w:val="es-ES_tradnl"/>
        </w:rPr>
      </w:pPr>
    </w:p>
    <w:p w14:paraId="2EA8D1CD" w14:textId="14C6741D" w:rsidR="001C2C89" w:rsidRPr="009B7185" w:rsidRDefault="001C2C89" w:rsidP="001C2C89">
      <w:pPr>
        <w:spacing w:after="0" w:line="360" w:lineRule="auto"/>
        <w:rPr>
          <w:color w:val="000000"/>
        </w:rPr>
      </w:pPr>
      <w:r w:rsidRPr="009B7185">
        <w:rPr>
          <w:rFonts w:eastAsia="Calibri" w:cs="Tahoma"/>
          <w:lang w:val="es-ES"/>
        </w:rPr>
        <w:t xml:space="preserve">Así las cosas, una vez admitido y notificado el Recurso de Revisión a las partes, el Sujeto Obligado </w:t>
      </w:r>
      <w:r w:rsidR="00800E37" w:rsidRPr="009B7185">
        <w:rPr>
          <w:rFonts w:eastAsia="Calibri" w:cs="Tahoma"/>
          <w:lang w:val="es-ES"/>
        </w:rPr>
        <w:t>modificó su respuesta, por medio del Subsecretario Jurídico y de Gobierno, que precisa que el Ayuntamiento no contaba con algún contrato, convenio o instrumento jurídico celebrado con el Sistema de Agua Potable de Santa María Ozumbilla, Estado de México, A.C., en los últimos años.</w:t>
      </w:r>
    </w:p>
    <w:p w14:paraId="1D8573B3" w14:textId="77777777" w:rsidR="001C2C89" w:rsidRPr="009B7185" w:rsidRDefault="001C2C89" w:rsidP="001C2C89">
      <w:pPr>
        <w:spacing w:after="0" w:line="360" w:lineRule="auto"/>
        <w:rPr>
          <w:rFonts w:eastAsia="Times New Roman" w:cs="Tahoma"/>
          <w:iCs/>
          <w:color w:val="auto"/>
          <w:shd w:val="clear" w:color="auto" w:fill="FFFFFF"/>
          <w:lang w:val="es-ES" w:eastAsia="es-ES"/>
        </w:rPr>
      </w:pPr>
    </w:p>
    <w:p w14:paraId="23B465C8" w14:textId="6C53E9D3" w:rsidR="001C2C89" w:rsidRPr="009B7185" w:rsidRDefault="001C2C89" w:rsidP="001C2C89">
      <w:pPr>
        <w:spacing w:after="0" w:line="360" w:lineRule="auto"/>
        <w:rPr>
          <w:rFonts w:eastAsia="Times New Roman" w:cs="Times New Roman"/>
          <w:color w:val="auto"/>
          <w:lang w:eastAsia="es-ES"/>
        </w:rPr>
      </w:pPr>
      <w:r w:rsidRPr="009B7185">
        <w:rPr>
          <w:rFonts w:eastAsia="Times New Roman" w:cs="Times New Roman"/>
          <w:color w:val="auto"/>
          <w:lang w:eastAsia="es-ES"/>
        </w:rPr>
        <w:t xml:space="preserve">Lo anterior, se desprende de las documentales que obran en el expediente de referencia, materia de la presente resolución, consistentes en: la solicitud de acceso a la información; la respuesta proporcionada por el Ayuntamiento de </w:t>
      </w:r>
      <w:r w:rsidR="0032173D" w:rsidRPr="009B7185">
        <w:rPr>
          <w:rFonts w:eastAsia="Times New Roman" w:cs="Times New Roman"/>
          <w:color w:val="auto"/>
          <w:lang w:eastAsia="es-ES"/>
        </w:rPr>
        <w:t>Tecámac</w:t>
      </w:r>
      <w:r w:rsidRPr="009B7185">
        <w:rPr>
          <w:rFonts w:eastAsia="Times New Roman" w:cs="Times New Roman"/>
          <w:color w:val="auto"/>
          <w:lang w:eastAsia="es-ES"/>
        </w:rPr>
        <w:t xml:space="preserve">,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14:paraId="64FAA8BB" w14:textId="77777777" w:rsidR="001C2C89" w:rsidRPr="009B7185" w:rsidRDefault="001C2C89" w:rsidP="001C2C89">
      <w:pPr>
        <w:spacing w:after="0" w:line="360" w:lineRule="auto"/>
        <w:rPr>
          <w:rFonts w:eastAsia="Times New Roman" w:cs="Tahoma"/>
          <w:b/>
          <w:color w:val="auto"/>
          <w:lang w:eastAsia="es-ES"/>
        </w:rPr>
      </w:pPr>
    </w:p>
    <w:p w14:paraId="147EF98B" w14:textId="6EF77113" w:rsidR="00B60094" w:rsidRPr="009B7185" w:rsidRDefault="0062674E" w:rsidP="002B1CE8">
      <w:pPr>
        <w:spacing w:after="0" w:line="360" w:lineRule="auto"/>
        <w:rPr>
          <w:rFonts w:eastAsia="Times New Roman" w:cs="Tahoma"/>
          <w:bCs/>
          <w:iCs/>
          <w:color w:val="auto"/>
          <w:lang w:eastAsia="es-ES"/>
        </w:rPr>
      </w:pPr>
      <w:r w:rsidRPr="009B7185">
        <w:rPr>
          <w:rFonts w:eastAsia="Times New Roman" w:cs="Tahoma"/>
          <w:bCs/>
          <w:iCs/>
          <w:color w:val="auto"/>
          <w:lang w:eastAsia="es-ES"/>
        </w:rPr>
        <w:t>Expuesto lo anterior</w:t>
      </w:r>
      <w:r w:rsidR="00B60094" w:rsidRPr="009B7185">
        <w:rPr>
          <w:rFonts w:eastAsia="Times New Roman" w:cs="Tahoma"/>
          <w:bCs/>
          <w:iCs/>
          <w:color w:val="auto"/>
          <w:lang w:eastAsia="es-ES"/>
        </w:rPr>
        <w:t xml:space="preserve">, se procede al análisis del agravio hecho valer por el ahora Recurrente, concerniente a la entrega de la información que no corresponde con lo solicitado; por lo que, </w:t>
      </w:r>
      <w:r w:rsidR="00B60094" w:rsidRPr="009B7185">
        <w:rPr>
          <w:rFonts w:eastAsia="Times New Roman" w:cs="Tahoma"/>
          <w:bCs/>
          <w:iCs/>
          <w:color w:val="auto"/>
          <w:lang w:eastAsia="es-ES"/>
        </w:rPr>
        <w:lastRenderedPageBreak/>
        <w:t>en principio es necesario contextualizar la solicitud de información, refere</w:t>
      </w:r>
      <w:r w:rsidR="00D4321F" w:rsidRPr="009B7185">
        <w:rPr>
          <w:rFonts w:eastAsia="Times New Roman" w:cs="Tahoma"/>
          <w:bCs/>
          <w:iCs/>
          <w:color w:val="auto"/>
          <w:lang w:eastAsia="es-ES"/>
        </w:rPr>
        <w:t>nte a los contratos, convenios,</w:t>
      </w:r>
      <w:r w:rsidR="00B60094" w:rsidRPr="009B7185">
        <w:rPr>
          <w:rFonts w:eastAsia="Times New Roman" w:cs="Tahoma"/>
          <w:bCs/>
          <w:iCs/>
          <w:color w:val="auto"/>
          <w:lang w:eastAsia="es-ES"/>
        </w:rPr>
        <w:t xml:space="preserve"> acuerdos </w:t>
      </w:r>
      <w:r w:rsidR="00D4321F" w:rsidRPr="009B7185">
        <w:rPr>
          <w:rFonts w:eastAsia="Times New Roman" w:cs="Tahoma"/>
          <w:bCs/>
          <w:iCs/>
          <w:color w:val="auto"/>
          <w:lang w:eastAsia="es-ES"/>
        </w:rPr>
        <w:t>o instrumentos jurídicos celebrados</w:t>
      </w:r>
      <w:r w:rsidR="00B60094" w:rsidRPr="009B7185">
        <w:rPr>
          <w:rFonts w:eastAsia="Times New Roman" w:cs="Tahoma"/>
          <w:bCs/>
          <w:iCs/>
          <w:color w:val="auto"/>
          <w:lang w:eastAsia="es-ES"/>
        </w:rPr>
        <w:t>.</w:t>
      </w:r>
    </w:p>
    <w:p w14:paraId="5D761341" w14:textId="77777777" w:rsidR="002B1CE8" w:rsidRPr="009B7185" w:rsidRDefault="002B1CE8" w:rsidP="002B1CE8">
      <w:pPr>
        <w:spacing w:after="0" w:line="360" w:lineRule="auto"/>
        <w:rPr>
          <w:rFonts w:eastAsia="Times New Roman" w:cs="Tahoma"/>
          <w:bCs/>
          <w:iCs/>
          <w:color w:val="auto"/>
          <w:lang w:eastAsia="es-ES"/>
        </w:rPr>
      </w:pPr>
    </w:p>
    <w:p w14:paraId="7797EA20" w14:textId="6D103966" w:rsidR="00B60094" w:rsidRPr="009B7185" w:rsidRDefault="00D4321F" w:rsidP="00D4321F">
      <w:pPr>
        <w:spacing w:after="0" w:line="360" w:lineRule="auto"/>
        <w:rPr>
          <w:rFonts w:eastAsia="Calibri" w:cs="Times New Roman"/>
        </w:rPr>
      </w:pPr>
      <w:r w:rsidRPr="009B7185">
        <w:rPr>
          <w:rFonts w:eastAsia="Calibri" w:cs="Times New Roman"/>
        </w:rPr>
        <w:t>Sobre el tema</w:t>
      </w:r>
      <w:r w:rsidR="00B60094" w:rsidRPr="009B7185">
        <w:rPr>
          <w:rFonts w:eastAsia="Calibri" w:cs="Times New Roman"/>
        </w:rPr>
        <w:t xml:space="preserve">, </w:t>
      </w:r>
      <w:r w:rsidRPr="009B7185">
        <w:rPr>
          <w:rFonts w:eastAsia="Calibri" w:cs="Times New Roman"/>
        </w:rPr>
        <w:t xml:space="preserve">el artículo 48, de la Ley Orgánica Municipal del Estado de México, precisa que la persona titular de la Presidencia Municipal será la encargada de ejecutar acuerdos; </w:t>
      </w:r>
      <w:r w:rsidR="00BF04E7" w:rsidRPr="009B7185">
        <w:rPr>
          <w:rFonts w:eastAsia="Calibri" w:cs="Times New Roman"/>
        </w:rPr>
        <w:t>de asumir la representación jurídica del Ayuntamiento; de contratar y concertar la realización de obras y la prestación de servicios públicos; de expedir o negar licencias o permisos de funcionamiento, así como, celebrar convenios. Lo cual, toma relevancia, pues conforme al artículo 33, del Bando Municipal dos mil veintidós, de Tecámac, la Presidencia Municipal celebrará los actos jurídicos que sean necesarios para el desempeño de sus funciones y la eficaz prestación de los servicios públicos a su cargo.</w:t>
      </w:r>
    </w:p>
    <w:p w14:paraId="273ECE51" w14:textId="77777777" w:rsidR="00D4321F" w:rsidRPr="009B7185" w:rsidRDefault="00D4321F" w:rsidP="00D4321F">
      <w:pPr>
        <w:spacing w:after="0" w:line="360" w:lineRule="auto"/>
        <w:rPr>
          <w:rFonts w:eastAsia="Times New Roman" w:cs="Tahoma"/>
          <w:bCs/>
          <w:iCs/>
          <w:color w:val="auto"/>
          <w:lang w:eastAsia="es-MX"/>
        </w:rPr>
      </w:pPr>
    </w:p>
    <w:p w14:paraId="19FDD88B" w14:textId="77777777" w:rsidR="00B60094" w:rsidRPr="009B7185" w:rsidRDefault="00B60094" w:rsidP="00B60094">
      <w:pPr>
        <w:spacing w:after="0" w:line="360" w:lineRule="auto"/>
        <w:rPr>
          <w:rFonts w:eastAsia="Times New Roman" w:cs="Tahoma"/>
          <w:bCs/>
          <w:iCs/>
          <w:color w:val="auto"/>
          <w:lang w:eastAsia="es-MX"/>
        </w:rPr>
      </w:pPr>
      <w:r w:rsidRPr="009B7185">
        <w:rPr>
          <w:rFonts w:eastAsia="Times New Roman" w:cs="Tahoma"/>
          <w:bCs/>
          <w:iCs/>
          <w:color w:val="auto"/>
          <w:lang w:eastAsia="es-MX"/>
        </w:rPr>
        <w:t>Además, el artículo 70, fracciones XXVII y XXVII, de la Ley General de Transparencia y Acceso a la Información Pública 92, fracciones, XXIX y XXXII, de la Ley de Transparencia y Acceso a la Información Pública del Estado de México y Municipios, precisan que los contratos de adquisiciones, corresponden a obligaciones de transparencia comunes, misma que los Sujetos Obligado deberán mantener actualizada, en sus portales de Internet, además de los procesos y resultados sobre procedimientos de adjudicación directa o invitación restringida.</w:t>
      </w:r>
    </w:p>
    <w:p w14:paraId="06C3E1F7" w14:textId="77777777" w:rsidR="002B1CE8" w:rsidRPr="009B7185" w:rsidRDefault="002B1CE8" w:rsidP="0096239C">
      <w:pPr>
        <w:spacing w:after="0" w:line="360" w:lineRule="auto"/>
        <w:rPr>
          <w:rFonts w:eastAsia="Times New Roman" w:cs="Tahoma"/>
          <w:color w:val="auto"/>
          <w:lang w:eastAsia="es-ES"/>
        </w:rPr>
      </w:pPr>
    </w:p>
    <w:p w14:paraId="1E728E70" w14:textId="289E8626" w:rsidR="00956F3C" w:rsidRPr="009B7185" w:rsidRDefault="00956F3C" w:rsidP="0096239C">
      <w:pPr>
        <w:spacing w:after="0" w:line="360" w:lineRule="auto"/>
        <w:rPr>
          <w:rFonts w:eastAsia="Times New Roman" w:cs="Tahoma"/>
          <w:color w:val="auto"/>
          <w:lang w:eastAsia="es-ES"/>
        </w:rPr>
      </w:pPr>
      <w:r w:rsidRPr="009B7185">
        <w:rPr>
          <w:rFonts w:eastAsia="Times New Roman" w:cs="Tahoma"/>
          <w:color w:val="auto"/>
          <w:lang w:eastAsia="es-ES"/>
        </w:rPr>
        <w:t>Ahora bien, este Instituto revisó el Plan de Desarrollo Municipal de Tecámac, de las administraciones 2016-2018, 2019-2021 y 2022-2024, de los cuales, se logra vislumbrar que María Gutiérrez Escalante, ocupó el cargo de las dos últimas administraciones, es decir, del primero de enero de dos mil diecinueve a la fecha de la solicitud.</w:t>
      </w:r>
    </w:p>
    <w:p w14:paraId="3E965743" w14:textId="77777777" w:rsidR="00956F3C" w:rsidRPr="009B7185" w:rsidRDefault="00956F3C" w:rsidP="0096239C">
      <w:pPr>
        <w:spacing w:after="0" w:line="360" w:lineRule="auto"/>
        <w:rPr>
          <w:rFonts w:eastAsia="Times New Roman" w:cs="Tahoma"/>
          <w:color w:val="auto"/>
          <w:lang w:eastAsia="es-ES"/>
        </w:rPr>
      </w:pPr>
    </w:p>
    <w:p w14:paraId="648D2D5B" w14:textId="4FF64930" w:rsidR="00956F3C" w:rsidRPr="009B7185" w:rsidRDefault="00956F3C" w:rsidP="0096239C">
      <w:pPr>
        <w:spacing w:after="0" w:line="360" w:lineRule="auto"/>
        <w:rPr>
          <w:rFonts w:eastAsia="Times New Roman" w:cs="Tahoma"/>
          <w:color w:val="auto"/>
          <w:lang w:eastAsia="es-ES"/>
        </w:rPr>
      </w:pPr>
      <w:r w:rsidRPr="009B7185">
        <w:rPr>
          <w:rFonts w:eastAsia="Times New Roman" w:cs="Tahoma"/>
          <w:color w:val="auto"/>
          <w:lang w:eastAsia="es-ES"/>
        </w:rPr>
        <w:lastRenderedPageBreak/>
        <w:t>En ese orden de ideas, es de señalar que por una parte, el Particular solicitó la información de los últimos seis años y por otra, en específico los actos jurídicos celebrados por la actual Presidente Municipal, en ejercicio de sus funciones; además, toda vez que los Solicitantes no son peritos en la materia, este Instituto considera que su pretensi</w:t>
      </w:r>
      <w:r w:rsidR="00647C03" w:rsidRPr="009B7185">
        <w:rPr>
          <w:rFonts w:eastAsia="Times New Roman" w:cs="Tahoma"/>
          <w:color w:val="auto"/>
          <w:lang w:eastAsia="es-ES"/>
        </w:rPr>
        <w:t>ón es obtener específicamente la información de las administraciones 2019-2021 y 2022-2024, al ser estas donde la servidora pública señalada en la solicitud, fungió como Presidenta Municipal.</w:t>
      </w:r>
    </w:p>
    <w:p w14:paraId="41D6292C" w14:textId="77777777" w:rsidR="00647C03" w:rsidRPr="009B7185" w:rsidRDefault="00647C03" w:rsidP="0096239C">
      <w:pPr>
        <w:spacing w:after="0" w:line="360" w:lineRule="auto"/>
        <w:rPr>
          <w:rFonts w:eastAsia="Times New Roman" w:cs="Tahoma"/>
          <w:color w:val="auto"/>
          <w:lang w:eastAsia="es-ES"/>
        </w:rPr>
      </w:pPr>
    </w:p>
    <w:p w14:paraId="366285DD" w14:textId="3E52774B" w:rsidR="00647C03" w:rsidRPr="009B7185" w:rsidRDefault="00647C03" w:rsidP="0096239C">
      <w:pPr>
        <w:spacing w:after="0" w:line="360" w:lineRule="auto"/>
        <w:rPr>
          <w:rFonts w:eastAsia="Times New Roman" w:cs="Tahoma"/>
          <w:color w:val="auto"/>
          <w:lang w:eastAsia="es-ES"/>
        </w:rPr>
      </w:pPr>
      <w:r w:rsidRPr="009B7185">
        <w:rPr>
          <w:rFonts w:eastAsia="Times New Roman" w:cs="Tahoma"/>
          <w:color w:val="auto"/>
          <w:lang w:eastAsia="es-ES"/>
        </w:rPr>
        <w:t xml:space="preserve">Ahora bien, respecto a la Asociación Civil requerida, este Instituto localizó en los Planes de Desarrollo Municipal de Tecámac, que precisa que la prestación del servicio de agua potable en el territorio municipal, está divido, la mayor parte esta operado por el </w:t>
      </w:r>
      <w:r w:rsidRPr="009B7185">
        <w:t>Organismo Público Descentralizado para la Prestación de los Servicios de Agua Potable, Alcantarillado y Saneamiento de Tecámac, y la otra parte, por ocho Comités Independientes de Agua, entre los cuales, se encuentra el de Santa María Ozumbilla (Sistema de Agua Potable de Santa María Ozumbilla Estado de México A.C.).</w:t>
      </w:r>
    </w:p>
    <w:p w14:paraId="2BCF3169" w14:textId="77777777" w:rsidR="00956F3C" w:rsidRPr="009B7185" w:rsidRDefault="00956F3C" w:rsidP="0096239C">
      <w:pPr>
        <w:spacing w:after="0" w:line="360" w:lineRule="auto"/>
        <w:rPr>
          <w:rFonts w:eastAsia="Times New Roman" w:cs="Tahoma"/>
          <w:color w:val="auto"/>
          <w:lang w:eastAsia="es-ES"/>
        </w:rPr>
      </w:pPr>
    </w:p>
    <w:p w14:paraId="4FA70C8A" w14:textId="473813F7" w:rsidR="00B60094" w:rsidRPr="009B7185" w:rsidRDefault="00B60094" w:rsidP="0096239C">
      <w:pPr>
        <w:spacing w:after="0" w:line="360" w:lineRule="auto"/>
        <w:rPr>
          <w:color w:val="000000"/>
        </w:rPr>
      </w:pPr>
      <w:r w:rsidRPr="009B7185">
        <w:rPr>
          <w:rFonts w:eastAsia="Times New Roman" w:cs="Tahoma"/>
          <w:bCs/>
          <w:iCs/>
          <w:color w:val="auto"/>
          <w:lang w:eastAsia="es-MX"/>
        </w:rPr>
        <w:t xml:space="preserve">Conforme a lo anterior, se logra observar que la pretensión del ahora Recurrente es obtener los </w:t>
      </w:r>
      <w:r w:rsidRPr="009B7185">
        <w:rPr>
          <w:color w:val="000000"/>
        </w:rPr>
        <w:t xml:space="preserve">Convenios, </w:t>
      </w:r>
      <w:r w:rsidR="00647C03" w:rsidRPr="009B7185">
        <w:rPr>
          <w:color w:val="000000"/>
        </w:rPr>
        <w:t>Acuerdos, C</w:t>
      </w:r>
      <w:r w:rsidRPr="009B7185">
        <w:rPr>
          <w:color w:val="000000"/>
        </w:rPr>
        <w:t>ontratos</w:t>
      </w:r>
      <w:r w:rsidR="00647C03" w:rsidRPr="009B7185">
        <w:rPr>
          <w:color w:val="000000"/>
        </w:rPr>
        <w:t xml:space="preserve"> o cualquier Acto Jurídico</w:t>
      </w:r>
      <w:r w:rsidRPr="009B7185">
        <w:rPr>
          <w:color w:val="000000"/>
        </w:rPr>
        <w:t xml:space="preserve"> celebrado, entre </w:t>
      </w:r>
      <w:r w:rsidR="00647C03" w:rsidRPr="009B7185">
        <w:rPr>
          <w:color w:val="000000"/>
        </w:rPr>
        <w:t xml:space="preserve">la Presidenta Municipal y </w:t>
      </w:r>
      <w:r w:rsidRPr="009B7185">
        <w:rPr>
          <w:color w:val="000000"/>
        </w:rPr>
        <w:t>Sistema de Agua Potable de Santa María Ozumbilla</w:t>
      </w:r>
      <w:r w:rsidR="00451BC5" w:rsidRPr="009B7185">
        <w:rPr>
          <w:color w:val="000000"/>
        </w:rPr>
        <w:t xml:space="preserve"> </w:t>
      </w:r>
      <w:r w:rsidR="00647C03" w:rsidRPr="009B7185">
        <w:rPr>
          <w:color w:val="000000"/>
        </w:rPr>
        <w:t xml:space="preserve">Estado de México, </w:t>
      </w:r>
      <w:r w:rsidRPr="009B7185">
        <w:rPr>
          <w:color w:val="000000"/>
        </w:rPr>
        <w:t>A.C.</w:t>
      </w:r>
      <w:r w:rsidR="00647C03" w:rsidRPr="009B7185">
        <w:rPr>
          <w:color w:val="000000"/>
        </w:rPr>
        <w:t>,</w:t>
      </w:r>
      <w:r w:rsidRPr="009B7185">
        <w:rPr>
          <w:color w:val="000000"/>
        </w:rPr>
        <w:t xml:space="preserve"> </w:t>
      </w:r>
      <w:r w:rsidR="0096239C" w:rsidRPr="009B7185">
        <w:rPr>
          <w:color w:val="000000"/>
        </w:rPr>
        <w:t xml:space="preserve">del </w:t>
      </w:r>
      <w:r w:rsidR="00647C03" w:rsidRPr="009B7185">
        <w:rPr>
          <w:color w:val="000000"/>
        </w:rPr>
        <w:t>primero de enero de dos mil diecinueve (fecha de inicio de funciones de la funcionaria requerida)</w:t>
      </w:r>
      <w:r w:rsidR="0096239C" w:rsidRPr="009B7185">
        <w:rPr>
          <w:color w:val="000000"/>
        </w:rPr>
        <w:t xml:space="preserve"> al quince de febrero de dos mil veintitrés</w:t>
      </w:r>
      <w:r w:rsidR="00647C03" w:rsidRPr="009B7185">
        <w:rPr>
          <w:color w:val="000000"/>
        </w:rPr>
        <w:t xml:space="preserve"> (fecha de presentación de la solicitud)</w:t>
      </w:r>
      <w:r w:rsidRPr="009B7185">
        <w:rPr>
          <w:rFonts w:eastAsia="Calibri" w:cs="Tahoma"/>
          <w:color w:val="auto"/>
        </w:rPr>
        <w:t>.</w:t>
      </w:r>
    </w:p>
    <w:p w14:paraId="66B6CBC6" w14:textId="77777777" w:rsidR="00B60094" w:rsidRPr="009B7185" w:rsidRDefault="00B60094" w:rsidP="001C2C89">
      <w:pPr>
        <w:spacing w:after="0" w:line="360" w:lineRule="auto"/>
        <w:ind w:right="-28"/>
        <w:contextualSpacing/>
        <w:rPr>
          <w:rFonts w:eastAsia="Times New Roman" w:cs="Tahoma"/>
          <w:color w:val="auto"/>
          <w:lang w:eastAsia="es-ES"/>
        </w:rPr>
      </w:pPr>
    </w:p>
    <w:p w14:paraId="7904104F" w14:textId="46DC213A" w:rsidR="0062674E" w:rsidRPr="009B7185" w:rsidRDefault="0062674E" w:rsidP="0062674E">
      <w:pPr>
        <w:spacing w:after="0" w:line="360" w:lineRule="auto"/>
        <w:contextualSpacing/>
        <w:rPr>
          <w:rFonts w:cs="Tahoma"/>
          <w:bCs/>
        </w:rPr>
      </w:pPr>
      <w:r w:rsidRPr="009B7185">
        <w:rPr>
          <w:rFonts w:cs="Tahoma"/>
          <w:bCs/>
        </w:rPr>
        <w:t xml:space="preserve">Establecida dicha circunstancia, es necesario precisar que de las constancias que obran en el expediente se logra vislumbrar que el Sujeto Obligado turno la solicitud de información a la Subsecretaría Jurídica y de Gobierno, por lo que, resulta necesario hacer referencia al procedimiento de búsqueda que deben de seguir los Sujetos Obligados para localizar la información, el cual se encuentra previsto en los artículos 160 y 162 de la Ley de </w:t>
      </w:r>
      <w:r w:rsidRPr="009B7185">
        <w:rPr>
          <w:rFonts w:cs="Tahoma"/>
          <w:bCs/>
        </w:rPr>
        <w:lastRenderedPageBreak/>
        <w:t>Transparencia y Acceso a la Información Pública del Estado de México y Municipios, mismo que es el siguiente:</w:t>
      </w:r>
    </w:p>
    <w:p w14:paraId="2BF28CFA" w14:textId="77777777" w:rsidR="0062674E" w:rsidRPr="009B7185" w:rsidRDefault="0062674E" w:rsidP="0062674E">
      <w:pPr>
        <w:spacing w:after="0" w:line="360" w:lineRule="auto"/>
        <w:contextualSpacing/>
        <w:rPr>
          <w:rFonts w:cs="Tahoma"/>
          <w:bCs/>
        </w:rPr>
      </w:pPr>
    </w:p>
    <w:p w14:paraId="13172A6A" w14:textId="77777777" w:rsidR="0062674E" w:rsidRPr="009B7185" w:rsidRDefault="0062674E" w:rsidP="0062674E">
      <w:pPr>
        <w:numPr>
          <w:ilvl w:val="0"/>
          <w:numId w:val="12"/>
        </w:numPr>
        <w:spacing w:after="0" w:line="360" w:lineRule="auto"/>
        <w:contextualSpacing/>
        <w:rPr>
          <w:rFonts w:eastAsia="Calibri" w:cs="Tahoma"/>
          <w:bCs/>
          <w:color w:val="000000"/>
          <w:lang w:val="es-ES"/>
        </w:rPr>
      </w:pPr>
      <w:r w:rsidRPr="009B7185">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AC2E4F1" w14:textId="77777777" w:rsidR="0062674E" w:rsidRPr="009B7185" w:rsidRDefault="0062674E" w:rsidP="0062674E">
      <w:pPr>
        <w:spacing w:after="0" w:line="360" w:lineRule="auto"/>
        <w:ind w:left="360"/>
        <w:contextualSpacing/>
        <w:rPr>
          <w:rFonts w:eastAsia="Calibri" w:cs="Tahoma"/>
          <w:bCs/>
          <w:color w:val="000000"/>
          <w:lang w:val="es-ES"/>
        </w:rPr>
      </w:pPr>
    </w:p>
    <w:p w14:paraId="21D5F9D9" w14:textId="77777777" w:rsidR="0062674E" w:rsidRPr="009B7185" w:rsidRDefault="0062674E" w:rsidP="0062674E">
      <w:pPr>
        <w:numPr>
          <w:ilvl w:val="0"/>
          <w:numId w:val="12"/>
        </w:numPr>
        <w:spacing w:after="0" w:line="360" w:lineRule="auto"/>
        <w:contextualSpacing/>
        <w:rPr>
          <w:rFonts w:eastAsia="Calibri" w:cs="Tahoma"/>
          <w:bCs/>
          <w:color w:val="000000"/>
          <w:lang w:val="es-ES"/>
        </w:rPr>
      </w:pPr>
      <w:r w:rsidRPr="009B7185">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28DEBCE5" w14:textId="77777777" w:rsidR="0062674E" w:rsidRPr="009B7185" w:rsidRDefault="0062674E" w:rsidP="0062674E">
      <w:pPr>
        <w:spacing w:after="0" w:line="360" w:lineRule="auto"/>
        <w:contextualSpacing/>
        <w:rPr>
          <w:rFonts w:cs="Tahoma"/>
          <w:bCs/>
        </w:rPr>
      </w:pPr>
    </w:p>
    <w:p w14:paraId="05F37F72" w14:textId="23C9902B" w:rsidR="0062674E" w:rsidRPr="009B7185" w:rsidRDefault="0062674E" w:rsidP="0062674E">
      <w:pPr>
        <w:spacing w:after="0" w:line="360" w:lineRule="auto"/>
        <w:ind w:right="-28"/>
        <w:contextualSpacing/>
        <w:rPr>
          <w:rFonts w:cs="Tahoma"/>
          <w:bCs/>
        </w:rPr>
      </w:pPr>
      <w:r w:rsidRPr="009B7185">
        <w:rPr>
          <w:rFonts w:eastAsia="Calibri" w:cs="Tahoma"/>
          <w:bCs/>
          <w:color w:val="000000"/>
        </w:rPr>
        <w:t xml:space="preserve">Así, a efecto de determinar si el Sujeto Obligado cumplió con el procedimiento de búsqueda,  resulta necesario traer a colación </w:t>
      </w:r>
      <w:r w:rsidRPr="009B7185">
        <w:rPr>
          <w:rFonts w:cs="Tahoma"/>
          <w:bCs/>
        </w:rPr>
        <w:t>el artículo 2.77 del Código Reglamentario de Tecámac, dos mil veintidós, que establece que el Sujeto Obligado cuenta con la Subsecretaría Jurídica y de Gobierno, encargada de auxiliar a la Presidencia Municipal para otorgar certeza y validez jurídica en su actuación; así como, de proporcionar asesoría, representación y acompañamiento legal, lo cual incluye la elaboración de instrumentos jurídicos de cualquier naturaleza.</w:t>
      </w:r>
    </w:p>
    <w:p w14:paraId="14238A2C" w14:textId="77777777" w:rsidR="0062674E" w:rsidRPr="009B7185" w:rsidRDefault="0062674E" w:rsidP="0062674E">
      <w:pPr>
        <w:spacing w:after="0" w:line="360" w:lineRule="auto"/>
        <w:contextualSpacing/>
        <w:rPr>
          <w:rFonts w:cs="Tahoma"/>
          <w:bCs/>
        </w:rPr>
      </w:pPr>
    </w:p>
    <w:p w14:paraId="2142210F" w14:textId="5777B6E5" w:rsidR="0062674E" w:rsidRPr="009B7185" w:rsidRDefault="0062674E" w:rsidP="0062674E">
      <w:pPr>
        <w:spacing w:after="0" w:line="360" w:lineRule="auto"/>
        <w:ind w:right="-28"/>
        <w:contextualSpacing/>
        <w:rPr>
          <w:rFonts w:eastAsia="Calibri" w:cs="Tahoma"/>
          <w:bCs/>
          <w:iCs/>
          <w:color w:val="auto"/>
        </w:rPr>
      </w:pPr>
      <w:r w:rsidRPr="009B7185">
        <w:rPr>
          <w:rFonts w:eastAsia="Calibri" w:cs="Tahoma"/>
          <w:bCs/>
          <w:iCs/>
          <w:color w:val="auto"/>
        </w:rPr>
        <w:t xml:space="preserve">Así se logra vislumbrar que el Sujeto Obligado cumplió con el procedimiento de búsqueda establecido en el artículo 162 de la Ley de Transparencia y Acceso a la Información Pública del Estado de México y Municipios, al gestionar el requerimiento de información al área </w:t>
      </w:r>
      <w:r w:rsidRPr="009B7185">
        <w:rPr>
          <w:rFonts w:eastAsia="Calibri" w:cs="Tahoma"/>
          <w:bCs/>
          <w:iCs/>
          <w:color w:val="auto"/>
        </w:rPr>
        <w:lastRenderedPageBreak/>
        <w:t>encargada de auxiliar a la Presidencia Municipal de elaborar instrumentos jurídicos que suscriba, como lo son, contratos, convenios, acuerdos, entre otros.</w:t>
      </w:r>
    </w:p>
    <w:p w14:paraId="00FAFF24" w14:textId="77777777" w:rsidR="0062674E" w:rsidRPr="009B7185" w:rsidRDefault="0062674E" w:rsidP="0062674E">
      <w:pPr>
        <w:spacing w:after="0" w:line="360" w:lineRule="auto"/>
        <w:contextualSpacing/>
      </w:pPr>
    </w:p>
    <w:p w14:paraId="0BF337AD" w14:textId="7A1F6F16" w:rsidR="00DE7653" w:rsidRPr="009B7185" w:rsidRDefault="0062674E" w:rsidP="00DE7653">
      <w:pPr>
        <w:tabs>
          <w:tab w:val="left" w:pos="4962"/>
        </w:tabs>
        <w:spacing w:after="0" w:line="360" w:lineRule="auto"/>
        <w:rPr>
          <w:rFonts w:eastAsia="Calibri" w:cs="Times New Roman"/>
        </w:rPr>
      </w:pPr>
      <w:r w:rsidRPr="009B7185">
        <w:t xml:space="preserve">Ahora bien, en respuesta dicha área </w:t>
      </w:r>
      <w:r w:rsidR="00DE7653" w:rsidRPr="009B7185">
        <w:t xml:space="preserve">precisó </w:t>
      </w:r>
      <w:r w:rsidRPr="009B7185">
        <w:rPr>
          <w:rFonts w:eastAsia="Times New Roman" w:cs="Times New Roman"/>
          <w:color w:val="auto"/>
          <w:lang w:eastAsia="es-ES"/>
        </w:rPr>
        <w:t xml:space="preserve">que Tecámac no </w:t>
      </w:r>
      <w:r w:rsidR="00DE7653" w:rsidRPr="009B7185">
        <w:rPr>
          <w:rFonts w:eastAsia="Times New Roman" w:cs="Times New Roman"/>
          <w:color w:val="auto"/>
          <w:lang w:eastAsia="es-ES"/>
        </w:rPr>
        <w:t xml:space="preserve">contaba </w:t>
      </w:r>
      <w:r w:rsidRPr="009B7185">
        <w:rPr>
          <w:rFonts w:eastAsia="Times New Roman" w:cs="Times New Roman"/>
          <w:color w:val="auto"/>
          <w:lang w:eastAsia="es-ES"/>
        </w:rPr>
        <w:t>con alguna persona que figur</w:t>
      </w:r>
      <w:r w:rsidR="00DE7653" w:rsidRPr="009B7185">
        <w:rPr>
          <w:rFonts w:eastAsia="Times New Roman" w:cs="Times New Roman"/>
          <w:color w:val="auto"/>
          <w:lang w:eastAsia="es-ES"/>
        </w:rPr>
        <w:t>ará</w:t>
      </w:r>
      <w:r w:rsidRPr="009B7185">
        <w:rPr>
          <w:rFonts w:eastAsia="Times New Roman" w:cs="Times New Roman"/>
          <w:color w:val="auto"/>
          <w:lang w:eastAsia="es-ES"/>
        </w:rPr>
        <w:t xml:space="preserve"> como representante indígena, debido a que</w:t>
      </w:r>
      <w:r w:rsidR="00DE7653" w:rsidRPr="009B7185">
        <w:rPr>
          <w:rFonts w:eastAsia="Times New Roman" w:cs="Times New Roman"/>
          <w:color w:val="auto"/>
          <w:lang w:eastAsia="es-ES"/>
        </w:rPr>
        <w:t xml:space="preserve"> en</w:t>
      </w:r>
      <w:r w:rsidRPr="009B7185">
        <w:rPr>
          <w:rFonts w:eastAsia="Times New Roman" w:cs="Times New Roman"/>
          <w:color w:val="auto"/>
          <w:lang w:eastAsia="es-ES"/>
        </w:rPr>
        <w:t xml:space="preserve"> el municipio no </w:t>
      </w:r>
      <w:r w:rsidR="00DE7653" w:rsidRPr="009B7185">
        <w:rPr>
          <w:rFonts w:eastAsia="Times New Roman" w:cs="Times New Roman"/>
          <w:color w:val="auto"/>
          <w:lang w:eastAsia="es-ES"/>
        </w:rPr>
        <w:t>existía</w:t>
      </w:r>
      <w:r w:rsidRPr="009B7185">
        <w:rPr>
          <w:rFonts w:eastAsia="Times New Roman" w:cs="Times New Roman"/>
          <w:color w:val="auto"/>
          <w:lang w:eastAsia="es-ES"/>
        </w:rPr>
        <w:t xml:space="preserve"> registro de algún grupo o comunidad, pueblo o región indígena</w:t>
      </w:r>
      <w:r w:rsidR="00DE7653" w:rsidRPr="009B7185">
        <w:rPr>
          <w:rFonts w:eastAsia="Times New Roman" w:cs="Times New Roman"/>
          <w:color w:val="auto"/>
          <w:lang w:eastAsia="es-ES"/>
        </w:rPr>
        <w:t xml:space="preserve">, pronunciamiento que resulta incongruente y no guarda relación con lo peticionado; </w:t>
      </w:r>
      <w:r w:rsidR="00DE7653" w:rsidRPr="009B7185">
        <w:rPr>
          <w:rFonts w:eastAsia="Calibri" w:cs="Tahoma"/>
          <w:bCs/>
          <w:iCs/>
          <w:color w:val="000000"/>
          <w:szCs w:val="24"/>
          <w:lang w:eastAsia="es-MX"/>
        </w:rPr>
        <w:t>sobre el tema</w:t>
      </w:r>
      <w:r w:rsidR="00DE7653" w:rsidRPr="009B7185">
        <w:rPr>
          <w:rFonts w:eastAsia="Calibri" w:cs="Times New Roman"/>
        </w:rPr>
        <w:t xml:space="preserve">, el artículo 1.8, fracción XIII, del Código Administrativo del Estado de México, establece que para que tenga validez, todo acto administrativo deberá guardar congruencia con lo solicitado. </w:t>
      </w:r>
      <w:r w:rsidR="00DE7653" w:rsidRPr="009B7185">
        <w:rPr>
          <w:rFonts w:eastAsia="Times New Roman" w:cs="Times New Roman"/>
          <w:color w:val="auto"/>
          <w:lang w:eastAsia="es-ES"/>
        </w:rPr>
        <w:t>Además</w:t>
      </w:r>
      <w:r w:rsidR="00DE7653" w:rsidRPr="009B7185">
        <w:rPr>
          <w:rFonts w:eastAsia="Times New Roman" w:cs="Times New Roman"/>
          <w:color w:val="auto"/>
          <w:lang w:val="es-ES" w:eastAsia="es-ES"/>
        </w:rPr>
        <w:t>,</w:t>
      </w:r>
      <w:r w:rsidR="00DE7653" w:rsidRPr="009B7185">
        <w:rPr>
          <w:rFonts w:eastAsia="Times New Roman" w:cs="Tahoma"/>
          <w:color w:val="auto"/>
          <w:szCs w:val="20"/>
          <w:lang w:eastAsia="es-MX"/>
        </w:rPr>
        <w:t xml:space="preserve"> resulta necesario traer</w:t>
      </w:r>
      <w:r w:rsidR="00DE7653" w:rsidRPr="009B7185">
        <w:rPr>
          <w:rFonts w:eastAsia="Calibri" w:cs="Tahoma"/>
          <w:bCs/>
          <w:color w:val="auto"/>
          <w:lang w:val="es-ES"/>
        </w:rPr>
        <w:t xml:space="preserve"> a colación, el Criterio con clave de control SO/002/2017, de la Segunda Época, emitido por el Instituto Nacional de Transparencia, Acceso a la Información y Protección de Datos Personales, que señala lo siguiente:</w:t>
      </w:r>
    </w:p>
    <w:p w14:paraId="0CAB9987" w14:textId="77777777" w:rsidR="00DE7653" w:rsidRPr="009B7185" w:rsidRDefault="00DE7653" w:rsidP="00DE7653">
      <w:pPr>
        <w:spacing w:after="0" w:line="360" w:lineRule="auto"/>
        <w:rPr>
          <w:rFonts w:eastAsia="Calibri" w:cs="Tahoma"/>
          <w:bCs/>
          <w:color w:val="auto"/>
          <w:lang w:val="es-ES"/>
        </w:rPr>
      </w:pPr>
    </w:p>
    <w:p w14:paraId="2E2D93EE" w14:textId="77777777" w:rsidR="00DE7653" w:rsidRPr="009B7185" w:rsidRDefault="00DE7653" w:rsidP="00DE7653">
      <w:pPr>
        <w:spacing w:after="0" w:line="360" w:lineRule="auto"/>
        <w:ind w:left="567" w:right="567"/>
        <w:rPr>
          <w:rFonts w:eastAsia="Calibri" w:cs="Tahoma"/>
          <w:i/>
          <w:color w:val="auto"/>
          <w:sz w:val="20"/>
          <w:szCs w:val="20"/>
        </w:rPr>
      </w:pPr>
      <w:r w:rsidRPr="009B7185">
        <w:rPr>
          <w:rFonts w:eastAsia="Calibri" w:cs="Tahoma"/>
          <w:b/>
          <w:bCs/>
          <w:i/>
          <w:color w:val="auto"/>
          <w:sz w:val="20"/>
          <w:szCs w:val="20"/>
        </w:rPr>
        <w:t xml:space="preserve">“Congruencia y exhaustividad. Sus alcances para garantizar el derecho de acceso a la información. </w:t>
      </w:r>
      <w:r w:rsidRPr="009B7185">
        <w:rPr>
          <w:rFonts w:eastAsia="Calibri" w:cs="Tahoma"/>
          <w:bCs/>
          <w:i/>
          <w:color w:val="auto"/>
          <w:sz w:val="20"/>
          <w:szCs w:val="20"/>
        </w:rPr>
        <w:t xml:space="preserve">De conformidad con el artículo </w:t>
      </w:r>
      <w:r w:rsidRPr="009B7185">
        <w:rPr>
          <w:rFonts w:eastAsia="Calibri" w:cs="Tahoma"/>
          <w:bCs/>
          <w:i/>
          <w:color w:val="auto"/>
          <w:sz w:val="20"/>
          <w:szCs w:val="20"/>
          <w:lang w:val="es-ES_tradnl"/>
        </w:rPr>
        <w:t>3 de la Ley Federal de Procedimiento Administrativo</w:t>
      </w:r>
      <w:r w:rsidRPr="009B7185">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B7185">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590DAAB" w14:textId="77777777" w:rsidR="00DE7653" w:rsidRPr="009B7185" w:rsidRDefault="00DE7653" w:rsidP="00DE7653">
      <w:pPr>
        <w:spacing w:after="0" w:line="360" w:lineRule="auto"/>
        <w:rPr>
          <w:rFonts w:eastAsia="Times New Roman" w:cs="Times New Roman"/>
          <w:color w:val="auto"/>
          <w:lang w:val="es-ES" w:eastAsia="es-ES"/>
        </w:rPr>
      </w:pPr>
    </w:p>
    <w:p w14:paraId="26B04510" w14:textId="799EB2AE" w:rsidR="0062674E" w:rsidRPr="009B7185" w:rsidRDefault="00DE7653" w:rsidP="00DE7653">
      <w:pPr>
        <w:spacing w:after="0" w:line="360" w:lineRule="auto"/>
        <w:contextualSpacing/>
      </w:pPr>
      <w:r w:rsidRPr="009B7185">
        <w:rPr>
          <w:rFonts w:eastAsia="Times New Roman" w:cs="Times New Roman"/>
          <w:color w:val="auto"/>
          <w:lang w:eastAsia="es-ES"/>
        </w:rPr>
        <w:t xml:space="preserve">Del citado criterio, se desprende que </w:t>
      </w:r>
      <w:r w:rsidRPr="009B7185">
        <w:rPr>
          <w:rFonts w:eastAsia="Times New Roman" w:cs="Times New Roman"/>
          <w:bCs/>
          <w:color w:val="auto"/>
          <w:lang w:eastAsia="es-ES"/>
        </w:rPr>
        <w:t>todo acto administrativo debe apegarse al</w:t>
      </w:r>
      <w:r w:rsidRPr="009B7185">
        <w:rPr>
          <w:rFonts w:eastAsia="Times New Roman" w:cs="Times New Roman"/>
          <w:color w:val="auto"/>
          <w:lang w:val="es-ES" w:eastAsia="es-ES"/>
        </w:rPr>
        <w:t xml:space="preserve"> </w:t>
      </w:r>
      <w:r w:rsidRPr="009B7185">
        <w:rPr>
          <w:rFonts w:eastAsia="Times New Roman" w:cs="Times New Roman"/>
          <w:b/>
          <w:color w:val="auto"/>
          <w:lang w:val="es-ES" w:eastAsia="es-ES"/>
        </w:rPr>
        <w:t xml:space="preserve">Principio de Congruencia, </w:t>
      </w:r>
      <w:r w:rsidRPr="009B7185">
        <w:rPr>
          <w:rFonts w:eastAsia="Times New Roman" w:cs="Times New Roman"/>
          <w:color w:val="auto"/>
          <w:lang w:val="es-ES" w:eastAsia="es-ES"/>
        </w:rPr>
        <w:t>el cual</w:t>
      </w:r>
      <w:r w:rsidRPr="009B7185">
        <w:rPr>
          <w:rFonts w:eastAsia="Times New Roman" w:cs="Times New Roman"/>
          <w:b/>
          <w:color w:val="auto"/>
          <w:lang w:val="es-ES" w:eastAsia="es-ES"/>
        </w:rPr>
        <w:t xml:space="preserve"> </w:t>
      </w:r>
      <w:r w:rsidRPr="009B7185">
        <w:rPr>
          <w:rFonts w:eastAsia="Times New Roman" w:cs="Times New Roman"/>
          <w:color w:val="auto"/>
          <w:lang w:val="es-ES" w:eastAsia="es-ES"/>
        </w:rPr>
        <w:t xml:space="preserve">implica que exista concordancia entre el requerimiento formulado y la </w:t>
      </w:r>
      <w:r w:rsidRPr="009B7185">
        <w:rPr>
          <w:rFonts w:eastAsia="Times New Roman" w:cs="Times New Roman"/>
          <w:color w:val="auto"/>
          <w:lang w:val="es-ES" w:eastAsia="es-ES"/>
        </w:rPr>
        <w:lastRenderedPageBreak/>
        <w:t xml:space="preserve">respuesta entregada; por tales consideraciones, </w:t>
      </w:r>
      <w:r w:rsidRPr="009B7185">
        <w:rPr>
          <w:rFonts w:eastAsia="Calibri" w:cs="Times New Roman"/>
        </w:rPr>
        <w:t>se concluye que el Sujeto Obligado no satisfizo el derecho de acceso a la información del Solicitante, al incumplir el Principio referido, pues como se refirió el pronunciamiento realizado por el área competente, no guarda relación con lo peticionado.</w:t>
      </w:r>
    </w:p>
    <w:p w14:paraId="5356306E" w14:textId="77777777" w:rsidR="0062674E" w:rsidRPr="009B7185" w:rsidRDefault="0062674E" w:rsidP="0062674E">
      <w:pPr>
        <w:spacing w:after="0" w:line="360" w:lineRule="auto"/>
        <w:contextualSpacing/>
      </w:pPr>
    </w:p>
    <w:p w14:paraId="381AAE84" w14:textId="3D67B931" w:rsidR="0062674E" w:rsidRPr="009B7185" w:rsidRDefault="00DE7653" w:rsidP="0062674E">
      <w:pPr>
        <w:spacing w:after="0" w:line="360" w:lineRule="auto"/>
        <w:contextualSpacing/>
      </w:pPr>
      <w:r w:rsidRPr="009B7185">
        <w:t>No obstante</w:t>
      </w:r>
      <w:r w:rsidR="0062674E" w:rsidRPr="009B7185">
        <w:t>,</w:t>
      </w:r>
      <w:r w:rsidRPr="009B7185">
        <w:t xml:space="preserve"> durante la sustanciación del Medio de Impugnación, el área modificó su actuar y precisó que el Ayuntamiento, no tenía algún contrato, convenio o instrumento jurídico celebrado con el Sistema de Agua Potable de Santa María Ozumbilla, en los últimos años</w:t>
      </w:r>
      <w:r w:rsidR="0062674E" w:rsidRPr="009B7185">
        <w:t>; al</w:t>
      </w:r>
      <w:r w:rsidR="0062674E" w:rsidRPr="009B7185">
        <w:rPr>
          <w:rFonts w:eastAsia="Calibri" w:cs="Tahoma"/>
          <w:bCs/>
        </w:rPr>
        <w:t xml:space="preserve"> respecto, es señalar que este Instituto, no tiene atribuciones para pronunciarse sobre la veracidad de la información. A</w:t>
      </w:r>
      <w:r w:rsidR="0062674E" w:rsidRPr="009B7185">
        <w:rPr>
          <w:rFonts w:eastAsia="Calibri" w:cs="Tahoma"/>
          <w:bCs/>
          <w:iCs/>
        </w:rPr>
        <w:t xml:space="preserve">poya lo anterior, el </w:t>
      </w:r>
      <w:r w:rsidR="0062674E" w:rsidRPr="009B7185">
        <w:rPr>
          <w:rFonts w:eastAsia="Calibri" w:cs="Tahoma"/>
          <w:bCs/>
          <w:lang w:val="es-ES"/>
        </w:rPr>
        <w:t xml:space="preserve">Criterio de Interpretación, de la Primera Época, con número de registro </w:t>
      </w:r>
      <w:r w:rsidR="0062674E" w:rsidRPr="009B7185">
        <w:rPr>
          <w:rFonts w:eastAsia="Calibri" w:cs="Tahoma"/>
          <w:bCs/>
        </w:rPr>
        <w:t>SO/031/2010,</w:t>
      </w:r>
      <w:r w:rsidR="0062674E" w:rsidRPr="009B7185">
        <w:rPr>
          <w:rFonts w:eastAsia="Calibri" w:cs="Tahoma"/>
          <w:bCs/>
          <w:iCs/>
        </w:rPr>
        <w:t xml:space="preserve"> emitido por el Pleno del entonces Instituto Federal de Acceso a la Información y Protección de Datos, que a continuación se cita:</w:t>
      </w:r>
    </w:p>
    <w:p w14:paraId="72A5DEC2" w14:textId="77777777" w:rsidR="0062674E" w:rsidRPr="009B7185" w:rsidRDefault="0062674E" w:rsidP="0062674E">
      <w:pPr>
        <w:spacing w:after="0" w:line="360" w:lineRule="auto"/>
        <w:ind w:left="567" w:right="567"/>
        <w:contextualSpacing/>
        <w:rPr>
          <w:rFonts w:eastAsia="Calibri" w:cs="Tahoma"/>
          <w:b/>
          <w:bCs/>
          <w:i/>
          <w:sz w:val="20"/>
          <w:szCs w:val="20"/>
        </w:rPr>
      </w:pPr>
    </w:p>
    <w:p w14:paraId="605FB7DA" w14:textId="77777777" w:rsidR="0062674E" w:rsidRPr="009B7185" w:rsidRDefault="0062674E" w:rsidP="0062674E">
      <w:pPr>
        <w:spacing w:after="0" w:line="360" w:lineRule="auto"/>
        <w:ind w:left="567" w:right="567"/>
        <w:contextualSpacing/>
        <w:rPr>
          <w:rFonts w:eastAsia="Calibri" w:cs="Tahoma"/>
          <w:bCs/>
          <w:i/>
          <w:sz w:val="20"/>
          <w:szCs w:val="20"/>
        </w:rPr>
      </w:pPr>
      <w:r w:rsidRPr="009B7185">
        <w:rPr>
          <w:rFonts w:eastAsia="Calibri" w:cs="Tahoma"/>
          <w:b/>
          <w:bCs/>
          <w:i/>
          <w:sz w:val="20"/>
          <w:szCs w:val="20"/>
        </w:rPr>
        <w:t xml:space="preserve">“El Instituto Federal de Acceso a la Información y Protección de Datos </w:t>
      </w:r>
      <w:r w:rsidRPr="009B7185">
        <w:rPr>
          <w:rFonts w:eastAsia="Calibri" w:cs="Tahoma"/>
          <w:b/>
          <w:bCs/>
          <w:i/>
          <w:sz w:val="20"/>
          <w:szCs w:val="20"/>
          <w:u w:val="single"/>
        </w:rPr>
        <w:t xml:space="preserve">no cuenta con facultades para pronunciarse respecto de la veracidad de los documentos proporcionados por los sujetos obligados. </w:t>
      </w:r>
      <w:r w:rsidRPr="009B7185">
        <w:rPr>
          <w:rFonts w:eastAsia="Calibri" w:cs="Tahoma"/>
          <w:bCs/>
          <w:i/>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1D1E4E" w14:textId="77777777" w:rsidR="0062674E" w:rsidRPr="009B7185" w:rsidRDefault="0062674E" w:rsidP="0062674E">
      <w:pPr>
        <w:spacing w:after="0" w:line="360" w:lineRule="auto"/>
        <w:contextualSpacing/>
        <w:rPr>
          <w:rFonts w:eastAsia="Times New Roman" w:cs="Times New Roman"/>
          <w:color w:val="auto"/>
          <w:lang w:val="es-ES" w:eastAsia="es-ES"/>
        </w:rPr>
      </w:pPr>
    </w:p>
    <w:p w14:paraId="10E0A813" w14:textId="77777777" w:rsidR="00B50E48" w:rsidRPr="009B7185" w:rsidRDefault="00B50E48" w:rsidP="0062674E">
      <w:pPr>
        <w:spacing w:after="0" w:line="360" w:lineRule="auto"/>
        <w:contextualSpacing/>
        <w:rPr>
          <w:rFonts w:eastAsia="Times New Roman" w:cs="Times New Roman"/>
          <w:color w:val="auto"/>
          <w:lang w:val="es-ES" w:eastAsia="es-ES"/>
        </w:rPr>
      </w:pPr>
    </w:p>
    <w:p w14:paraId="159C931B" w14:textId="77777777" w:rsidR="00B50E48" w:rsidRPr="009B7185" w:rsidRDefault="00B50E48" w:rsidP="0062674E">
      <w:pPr>
        <w:spacing w:after="0" w:line="360" w:lineRule="auto"/>
        <w:contextualSpacing/>
        <w:rPr>
          <w:rFonts w:eastAsia="Times New Roman" w:cs="Times New Roman"/>
          <w:color w:val="auto"/>
          <w:lang w:val="es-ES" w:eastAsia="es-ES"/>
        </w:rPr>
      </w:pPr>
    </w:p>
    <w:p w14:paraId="4F3861EB" w14:textId="3600B1B3" w:rsidR="00DE7653" w:rsidRPr="009B7185" w:rsidRDefault="00DE7653" w:rsidP="0062674E">
      <w:pPr>
        <w:spacing w:after="0" w:line="360" w:lineRule="auto"/>
        <w:contextualSpacing/>
      </w:pPr>
      <w:r w:rsidRPr="009B7185">
        <w:rPr>
          <w:rFonts w:eastAsia="Times New Roman" w:cs="Times New Roman"/>
          <w:color w:val="auto"/>
          <w:lang w:val="es-ES" w:eastAsia="es-ES"/>
        </w:rPr>
        <w:t xml:space="preserve">Lo anterior, lo robusteció el área con el hecho de que el Organismo </w:t>
      </w:r>
      <w:r w:rsidRPr="009B7185">
        <w:t>Público Descentralizado para la Prestación de los Servicios de Agua Potable, Alcantarillado y Saneamiento de Tecámac, era el responsable de regular el servicio de agua potable en el Municipios.</w:t>
      </w:r>
    </w:p>
    <w:p w14:paraId="0FC28F50" w14:textId="77777777" w:rsidR="00DE7653" w:rsidRPr="009B7185" w:rsidRDefault="00DE7653" w:rsidP="0062674E">
      <w:pPr>
        <w:spacing w:after="0" w:line="360" w:lineRule="auto"/>
        <w:contextualSpacing/>
        <w:rPr>
          <w:rFonts w:eastAsia="Times New Roman" w:cs="Times New Roman"/>
          <w:color w:val="auto"/>
          <w:lang w:val="es-ES" w:eastAsia="es-ES"/>
        </w:rPr>
      </w:pPr>
    </w:p>
    <w:p w14:paraId="1F2076B2" w14:textId="590C64CD" w:rsidR="0062674E" w:rsidRPr="009B7185" w:rsidRDefault="0062674E" w:rsidP="0062674E">
      <w:pPr>
        <w:tabs>
          <w:tab w:val="left" w:pos="4962"/>
        </w:tabs>
        <w:spacing w:after="0" w:line="360" w:lineRule="auto"/>
        <w:rPr>
          <w:rFonts w:eastAsia="Times New Roman" w:cs="Tahoma"/>
          <w:bCs/>
          <w:color w:val="auto"/>
          <w:lang w:eastAsia="es-ES"/>
        </w:rPr>
      </w:pPr>
      <w:r w:rsidRPr="009B7185">
        <w:rPr>
          <w:rFonts w:eastAsia="Times New Roman" w:cs="Tahoma"/>
          <w:bCs/>
          <w:color w:val="0D0D0D" w:themeColor="text1" w:themeTint="F2"/>
          <w:szCs w:val="24"/>
          <w:lang w:val="es-ES" w:eastAsia="es-ES"/>
        </w:rPr>
        <w:t xml:space="preserve">Conforme a lo expuesto, se logra </w:t>
      </w:r>
      <w:r w:rsidRPr="009B7185">
        <w:rPr>
          <w:rFonts w:eastAsia="Times New Roman" w:cs="Tahoma"/>
          <w:bCs/>
          <w:color w:val="auto"/>
          <w:lang w:eastAsia="es-ES"/>
        </w:rPr>
        <w:t xml:space="preserve">observar que </w:t>
      </w:r>
      <w:r w:rsidR="00DE7653" w:rsidRPr="009B7185">
        <w:rPr>
          <w:rFonts w:eastAsia="Times New Roman" w:cs="Tahoma"/>
          <w:bCs/>
          <w:color w:val="auto"/>
          <w:lang w:eastAsia="es-ES"/>
        </w:rPr>
        <w:t>el área competente indicó</w:t>
      </w:r>
      <w:r w:rsidRPr="009B7185">
        <w:rPr>
          <w:rFonts w:eastAsia="Times New Roman" w:cs="Tahoma"/>
          <w:bCs/>
          <w:color w:val="auto"/>
          <w:lang w:eastAsia="es-ES"/>
        </w:rPr>
        <w:t xml:space="preserve"> las razones por las cuales la información era inexistente, a saber, </w:t>
      </w:r>
      <w:r w:rsidR="00DE7653" w:rsidRPr="009B7185">
        <w:rPr>
          <w:rFonts w:eastAsia="Times New Roman" w:cs="Tahoma"/>
          <w:bCs/>
          <w:color w:val="auto"/>
          <w:lang w:eastAsia="es-ES"/>
        </w:rPr>
        <w:t>que el Ayuntamiento no había celebrado algún instrumento jurídico con la Asociación Civil referida en la solicitud</w:t>
      </w:r>
      <w:r w:rsidRPr="009B7185">
        <w:rPr>
          <w:rFonts w:eastAsia="Times New Roman" w:cs="Tahoma"/>
          <w:bCs/>
          <w:color w:val="auto"/>
          <w:lang w:eastAsia="es-ES"/>
        </w:rPr>
        <w:t>;</w:t>
      </w:r>
      <w:r w:rsidRPr="009B7185">
        <w:rPr>
          <w:rFonts w:eastAsia="Times New Roman" w:cs="Tahoma"/>
          <w:bCs/>
          <w:iCs/>
          <w:color w:val="auto"/>
          <w:lang w:val="es-ES" w:eastAsia="es-ES"/>
        </w:rPr>
        <w:t xml:space="preserve"> sobre el tema, e</w:t>
      </w:r>
      <w:r w:rsidRPr="009B7185">
        <w:rPr>
          <w:rFonts w:eastAsia="Times New Roman" w:cs="Tahoma"/>
          <w:bCs/>
          <w:color w:val="auto"/>
          <w:lang w:val="es-ES_tradnl" w:eastAsia="es-ES"/>
        </w:rPr>
        <w:t xml:space="preserve">l </w:t>
      </w:r>
      <w:r w:rsidRPr="009B7185">
        <w:rPr>
          <w:rFonts w:eastAsia="Times New Roman" w:cs="Tahoma"/>
          <w:bCs/>
          <w:color w:val="auto"/>
          <w:lang w:eastAsia="es-ES"/>
        </w:rPr>
        <w:t>Criterio SO/014/2017, emitido por el Instituto Nacional de Transparencia, Acceso a la Información Pública y Protección de Datos Personales en el Estado de México y Municipios, que señala lo siguiente:</w:t>
      </w:r>
    </w:p>
    <w:p w14:paraId="3B7654C5" w14:textId="77777777" w:rsidR="0062674E" w:rsidRPr="009B7185" w:rsidRDefault="0062674E" w:rsidP="0062674E">
      <w:pPr>
        <w:spacing w:after="0" w:line="360" w:lineRule="auto"/>
        <w:rPr>
          <w:rFonts w:eastAsia="Times New Roman" w:cs="Tahoma"/>
          <w:bCs/>
          <w:color w:val="auto"/>
          <w:lang w:eastAsia="es-ES"/>
        </w:rPr>
      </w:pPr>
    </w:p>
    <w:p w14:paraId="459ED5B2" w14:textId="77777777" w:rsidR="0062674E" w:rsidRPr="009B7185" w:rsidRDefault="0062674E" w:rsidP="0062674E">
      <w:pPr>
        <w:spacing w:after="0" w:line="360" w:lineRule="auto"/>
        <w:ind w:left="567" w:right="567"/>
        <w:rPr>
          <w:rFonts w:eastAsia="Times New Roman" w:cs="Tahoma"/>
          <w:bCs/>
          <w:i/>
          <w:color w:val="auto"/>
          <w:sz w:val="20"/>
          <w:szCs w:val="20"/>
          <w:lang w:val="es-ES" w:eastAsia="es-ES"/>
        </w:rPr>
      </w:pPr>
      <w:r w:rsidRPr="009B7185">
        <w:rPr>
          <w:rFonts w:eastAsia="Times New Roman" w:cs="Tahoma"/>
          <w:bCs/>
          <w:i/>
          <w:color w:val="auto"/>
          <w:sz w:val="20"/>
          <w:szCs w:val="20"/>
          <w:lang w:val="es-ES" w:eastAsia="es-ES"/>
        </w:rPr>
        <w:t>“</w:t>
      </w:r>
      <w:r w:rsidRPr="009B7185">
        <w:rPr>
          <w:rFonts w:eastAsia="Times New Roman" w:cs="Tahoma"/>
          <w:b/>
          <w:bCs/>
          <w:i/>
          <w:color w:val="auto"/>
          <w:sz w:val="20"/>
          <w:szCs w:val="20"/>
          <w:lang w:val="es-ES" w:eastAsia="es-ES"/>
        </w:rPr>
        <w:t xml:space="preserve">Inexistencia. </w:t>
      </w:r>
      <w:r w:rsidRPr="009B7185">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7978D61E" w14:textId="77777777" w:rsidR="0062674E" w:rsidRPr="009B7185" w:rsidRDefault="0062674E" w:rsidP="0062674E">
      <w:pPr>
        <w:spacing w:after="0" w:line="360" w:lineRule="auto"/>
        <w:rPr>
          <w:rFonts w:eastAsia="Times New Roman" w:cs="Tahoma"/>
          <w:color w:val="auto"/>
          <w:lang w:eastAsia="es-ES"/>
        </w:rPr>
      </w:pPr>
    </w:p>
    <w:p w14:paraId="2BBB2F8A" w14:textId="77777777" w:rsidR="0062674E" w:rsidRPr="009B7185" w:rsidRDefault="0062674E" w:rsidP="0062674E">
      <w:pPr>
        <w:spacing w:after="0" w:line="360" w:lineRule="auto"/>
        <w:rPr>
          <w:rFonts w:eastAsia="Times New Roman" w:cs="Tahoma"/>
          <w:color w:val="auto"/>
          <w:lang w:val="es-ES" w:eastAsia="es-ES"/>
        </w:rPr>
      </w:pPr>
      <w:r w:rsidRPr="009B7185">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9B7185">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71B97AD" w14:textId="77777777" w:rsidR="0062674E" w:rsidRPr="009B7185" w:rsidRDefault="0062674E" w:rsidP="0062674E">
      <w:pPr>
        <w:spacing w:after="0" w:line="360" w:lineRule="auto"/>
        <w:rPr>
          <w:rFonts w:eastAsia="Times New Roman" w:cs="Tahoma"/>
          <w:color w:val="auto"/>
          <w:lang w:val="es-ES" w:eastAsia="es-ES"/>
        </w:rPr>
      </w:pPr>
    </w:p>
    <w:p w14:paraId="089699D3" w14:textId="77777777" w:rsidR="0062674E" w:rsidRPr="009B7185" w:rsidRDefault="0062674E" w:rsidP="0062674E">
      <w:pPr>
        <w:spacing w:after="0" w:line="360" w:lineRule="auto"/>
        <w:rPr>
          <w:rFonts w:eastAsia="Times New Roman" w:cs="Tahoma"/>
          <w:bCs/>
          <w:color w:val="auto"/>
          <w:lang w:eastAsia="es-ES"/>
        </w:rPr>
      </w:pPr>
      <w:r w:rsidRPr="009B7185">
        <w:rPr>
          <w:rFonts w:eastAsia="Times New Roman" w:cs="Tahoma"/>
          <w:color w:val="auto"/>
          <w:lang w:val="es-ES" w:eastAsia="es-ES"/>
        </w:rPr>
        <w:t>Así</w:t>
      </w:r>
      <w:r w:rsidRPr="009B7185">
        <w:rPr>
          <w:rFonts w:eastAsia="Times New Roman" w:cs="Tahoma"/>
          <w:color w:val="auto"/>
          <w:lang w:eastAsia="es-ES"/>
        </w:rPr>
        <w:t xml:space="preserve">, es posible concluir que la </w:t>
      </w:r>
      <w:r w:rsidRPr="009B7185">
        <w:rPr>
          <w:rFonts w:eastAsia="Times New Roman" w:cs="Tahoma"/>
          <w:b/>
          <w:color w:val="auto"/>
          <w:lang w:eastAsia="es-ES"/>
        </w:rPr>
        <w:t>inexistencia</w:t>
      </w:r>
      <w:r w:rsidRPr="009B7185">
        <w:rPr>
          <w:rFonts w:eastAsia="Times New Roman" w:cs="Tahoma"/>
          <w:color w:val="auto"/>
          <w:lang w:eastAsia="es-ES"/>
        </w:rPr>
        <w:t xml:space="preserve"> presupone la competencia del sujeto obligado para conocer de la información, pero por alguna circunstancia, la documentación solicitada no obra en sus archivos. </w:t>
      </w:r>
      <w:r w:rsidRPr="009B7185">
        <w:rPr>
          <w:rFonts w:eastAsia="Times New Roman" w:cs="Tahoma"/>
          <w:bCs/>
          <w:color w:val="auto"/>
          <w:lang w:eastAsia="es-ES"/>
        </w:rPr>
        <w:t xml:space="preserve">Para tal situación, no basta con que los sujetos obligados señalen </w:t>
      </w:r>
      <w:r w:rsidRPr="009B7185">
        <w:rPr>
          <w:rFonts w:eastAsia="Times New Roman" w:cs="Tahoma"/>
          <w:bCs/>
          <w:color w:val="auto"/>
          <w:lang w:eastAsia="es-ES"/>
        </w:rPr>
        <w:lastRenderedPageBreak/>
        <w:t>dicha circunstancia, sino que también debe de señalar las razones por las cuales no cuentan con lo peticionado, es decir, las circunstancias que dan lugar a la inexistencia.</w:t>
      </w:r>
    </w:p>
    <w:p w14:paraId="32C4411C" w14:textId="77777777" w:rsidR="00B50E48" w:rsidRPr="009B7185" w:rsidRDefault="00B50E48" w:rsidP="0062674E">
      <w:pPr>
        <w:spacing w:after="0" w:line="360" w:lineRule="auto"/>
        <w:rPr>
          <w:rFonts w:eastAsia="Times New Roman" w:cs="Tahoma"/>
          <w:bCs/>
          <w:color w:val="auto"/>
          <w:lang w:eastAsia="es-ES"/>
        </w:rPr>
      </w:pPr>
    </w:p>
    <w:p w14:paraId="20E7018B" w14:textId="55E1607A" w:rsidR="0062674E" w:rsidRPr="009B7185" w:rsidRDefault="0062674E" w:rsidP="0062674E">
      <w:pPr>
        <w:spacing w:after="0" w:line="360" w:lineRule="auto"/>
        <w:rPr>
          <w:rFonts w:eastAsia="Times New Roman" w:cs="Tahoma"/>
          <w:color w:val="auto"/>
          <w:lang w:val="es-ES" w:eastAsia="es-ES"/>
        </w:rPr>
      </w:pPr>
      <w:r w:rsidRPr="009B7185">
        <w:rPr>
          <w:rFonts w:eastAsia="Times New Roman" w:cs="Tahoma"/>
          <w:bCs/>
          <w:color w:val="auto"/>
          <w:lang w:eastAsia="es-ES"/>
        </w:rPr>
        <w:t xml:space="preserve">En ese contexto, la </w:t>
      </w:r>
      <w:r w:rsidR="00DE7653" w:rsidRPr="009B7185">
        <w:rPr>
          <w:rFonts w:cs="Tahoma"/>
          <w:bCs/>
        </w:rPr>
        <w:t>Subsecretaría Jurídica y de Gobierno</w:t>
      </w:r>
      <w:r w:rsidRPr="009B7185">
        <w:rPr>
          <w:rFonts w:eastAsia="Times New Roman" w:cs="Tahoma"/>
          <w:bCs/>
          <w:color w:val="auto"/>
          <w:lang w:eastAsia="es-ES"/>
        </w:rPr>
        <w:t xml:space="preserve">, </w:t>
      </w:r>
      <w:r w:rsidR="00DE7653" w:rsidRPr="009B7185">
        <w:rPr>
          <w:rFonts w:eastAsia="Times New Roman" w:cs="Tahoma"/>
          <w:bCs/>
          <w:color w:val="auto"/>
          <w:lang w:eastAsia="es-ES"/>
        </w:rPr>
        <w:t>indicó</w:t>
      </w:r>
      <w:r w:rsidRPr="009B7185">
        <w:rPr>
          <w:rFonts w:eastAsia="Times New Roman" w:cs="Tahoma"/>
          <w:bCs/>
          <w:color w:val="auto"/>
          <w:lang w:eastAsia="es-ES"/>
        </w:rPr>
        <w:t xml:space="preserve"> las circunstancias por las cuales no contaban con la información, a saber, que </w:t>
      </w:r>
      <w:r w:rsidR="00DE7653" w:rsidRPr="009B7185">
        <w:rPr>
          <w:rFonts w:eastAsia="Times New Roman" w:cs="Tahoma"/>
          <w:bCs/>
          <w:color w:val="auto"/>
          <w:lang w:eastAsia="es-ES"/>
        </w:rPr>
        <w:t>no se había llevado a cabo algún instrumento jurídico con la Asociación Civil solicitada, en los últimos años</w:t>
      </w:r>
      <w:r w:rsidRPr="009B7185">
        <w:rPr>
          <w:rFonts w:eastAsia="Times New Roman" w:cs="Tahoma"/>
          <w:bCs/>
          <w:color w:val="auto"/>
          <w:lang w:eastAsia="es-ES"/>
        </w:rPr>
        <w:t xml:space="preserve">; además, este Instituto </w:t>
      </w:r>
      <w:r w:rsidRPr="009B7185">
        <w:rPr>
          <w:rFonts w:eastAsia="Times New Roman" w:cs="Tahoma"/>
          <w:color w:val="auto"/>
          <w:lang w:val="es-ES" w:eastAsia="es-ES"/>
        </w:rPr>
        <w:t xml:space="preserve">realizó una búsqueda de información pública, en la página oficial del Ayuntamiento, en sus redes sociales oficiales, así como en su Portal de Información Pública de Oficio Mexiquense, sin embargo, no se localizó algún documento o información, que aluda a que existan </w:t>
      </w:r>
      <w:r w:rsidR="00DE7653" w:rsidRPr="009B7185">
        <w:rPr>
          <w:rFonts w:eastAsia="Times New Roman" w:cs="Tahoma"/>
          <w:color w:val="auto"/>
          <w:lang w:val="es-ES" w:eastAsia="es-ES"/>
        </w:rPr>
        <w:t>de algún Acto Jurídico celebrado por la Presidenta Municipal y el Comité Independiente de Agua Potable</w:t>
      </w:r>
      <w:r w:rsidRPr="009B7185">
        <w:rPr>
          <w:rFonts w:eastAsia="Times New Roman" w:cs="Tahoma"/>
          <w:color w:val="auto"/>
          <w:lang w:val="es-ES" w:eastAsia="es-ES"/>
        </w:rPr>
        <w:t>.</w:t>
      </w:r>
    </w:p>
    <w:p w14:paraId="5932FEBF" w14:textId="77777777" w:rsidR="0062674E" w:rsidRPr="009B7185" w:rsidRDefault="0062674E" w:rsidP="0062674E">
      <w:pPr>
        <w:spacing w:after="0" w:line="360" w:lineRule="auto"/>
        <w:rPr>
          <w:rFonts w:eastAsia="Times New Roman" w:cs="Tahoma"/>
          <w:color w:val="auto"/>
          <w:lang w:val="es-ES" w:eastAsia="es-ES"/>
        </w:rPr>
      </w:pPr>
    </w:p>
    <w:p w14:paraId="1463C9A5" w14:textId="6281DE7E" w:rsidR="0062674E" w:rsidRPr="009B7185" w:rsidRDefault="0062674E" w:rsidP="0062674E">
      <w:pPr>
        <w:spacing w:after="0" w:line="360" w:lineRule="auto"/>
        <w:rPr>
          <w:rFonts w:eastAsia="Times New Roman" w:cs="Tahoma"/>
          <w:color w:val="auto"/>
          <w:lang w:val="es-ES" w:eastAsia="es-ES"/>
        </w:rPr>
      </w:pPr>
      <w:r w:rsidRPr="009B7185">
        <w:rPr>
          <w:rFonts w:eastAsia="Times New Roman" w:cs="Tahoma"/>
          <w:color w:val="auto"/>
          <w:lang w:val="es-ES" w:eastAsia="es-ES"/>
        </w:rPr>
        <w:t>Así, se logra colegir que la información solicitada por el ahora Recurrente es inexistente, pues el Sujeto Obligado, realizó una búsqueda exhaustiva y razonable en los archivos de la</w:t>
      </w:r>
      <w:r w:rsidR="003E083F" w:rsidRPr="009B7185">
        <w:rPr>
          <w:rFonts w:eastAsia="Times New Roman" w:cs="Tahoma"/>
          <w:color w:val="auto"/>
          <w:lang w:val="es-ES" w:eastAsia="es-ES"/>
        </w:rPr>
        <w:t xml:space="preserve"> unidad administrativa competente y esta</w:t>
      </w:r>
      <w:r w:rsidRPr="009B7185">
        <w:rPr>
          <w:rFonts w:eastAsia="Times New Roman" w:cs="Tahoma"/>
          <w:color w:val="auto"/>
          <w:lang w:val="es-ES" w:eastAsia="es-ES"/>
        </w:rPr>
        <w:t xml:space="preserve"> </w:t>
      </w:r>
      <w:r w:rsidR="003E083F" w:rsidRPr="009B7185">
        <w:rPr>
          <w:rFonts w:eastAsia="Times New Roman" w:cs="Tahoma"/>
          <w:color w:val="auto"/>
          <w:lang w:val="es-ES" w:eastAsia="es-ES"/>
        </w:rPr>
        <w:t>señaló</w:t>
      </w:r>
      <w:r w:rsidRPr="009B7185">
        <w:rPr>
          <w:rFonts w:eastAsia="Times New Roman" w:cs="Tahoma"/>
          <w:color w:val="auto"/>
          <w:lang w:val="es-ES" w:eastAsia="es-ES"/>
        </w:rPr>
        <w:t xml:space="preserve"> los motivos por los cuales no contaba con la peticionado. </w:t>
      </w:r>
    </w:p>
    <w:p w14:paraId="2B4167AF" w14:textId="77777777" w:rsidR="003E083F" w:rsidRPr="009B7185" w:rsidRDefault="003E083F" w:rsidP="0062674E">
      <w:pPr>
        <w:spacing w:after="0" w:line="360" w:lineRule="auto"/>
        <w:rPr>
          <w:rFonts w:eastAsia="Times New Roman" w:cs="Tahoma"/>
          <w:color w:val="auto"/>
          <w:lang w:val="es-ES" w:eastAsia="es-ES"/>
        </w:rPr>
      </w:pPr>
    </w:p>
    <w:p w14:paraId="747F55C9" w14:textId="382115C7" w:rsidR="003E083F" w:rsidRPr="009B7185" w:rsidRDefault="003E083F" w:rsidP="003E083F">
      <w:pPr>
        <w:widowControl w:val="0"/>
        <w:spacing w:after="0" w:line="360" w:lineRule="auto"/>
      </w:pPr>
      <w:r w:rsidRPr="009B7185">
        <w:rPr>
          <w:rFonts w:eastAsia="Calibri" w:cs="Times New Roman"/>
          <w:bCs/>
        </w:rPr>
        <w:t xml:space="preserve">el artículo 53 fracción I,  del Bando Municipal de Tecámac dos mil veintidós, establece </w:t>
      </w:r>
      <w:r w:rsidRPr="009B7185">
        <w:rPr>
          <w:rFonts w:eastAsia="Times New Roman" w:cs="Tahoma"/>
          <w:color w:val="auto"/>
          <w:lang w:eastAsia="es-ES"/>
        </w:rPr>
        <w:t xml:space="preserve">que para el adecuado ejercicio de sus atribuciones el Sujeto Obligado se auxiliará de organismos descentralizados de la administración pública municipal, entre los cuáles se encuentra el </w:t>
      </w:r>
      <w:r w:rsidRPr="009B7185">
        <w:t>Organismo Público Descentralizado para la Prestación de los Servicios de Agua Potable, Alcantarillado y Saneamiento.</w:t>
      </w:r>
    </w:p>
    <w:p w14:paraId="540AE8D8" w14:textId="77777777" w:rsidR="003E083F" w:rsidRPr="009B7185" w:rsidRDefault="003E083F" w:rsidP="003E083F">
      <w:pPr>
        <w:widowControl w:val="0"/>
        <w:spacing w:after="0" w:line="360" w:lineRule="auto"/>
      </w:pPr>
    </w:p>
    <w:p w14:paraId="533B73C4" w14:textId="0C30BF6A" w:rsidR="0062674E" w:rsidRPr="009B7185" w:rsidRDefault="003E083F" w:rsidP="0062674E">
      <w:pPr>
        <w:spacing w:after="0" w:line="360" w:lineRule="auto"/>
        <w:rPr>
          <w:rFonts w:eastAsia="Times New Roman" w:cs="Tahoma"/>
          <w:color w:val="auto"/>
          <w:lang w:eastAsia="es-ES"/>
        </w:rPr>
      </w:pPr>
      <w:r w:rsidRPr="009B7185">
        <w:t xml:space="preserve">Por otro lado, el artículo 37 de la Ley agua del Estado de México precisa que, los organismos operadores podrán ser municipales o intermunicipales con personalidad jurídica y patrimonio propio, con autonomía técnica y administrativa en el manejo de sus recursos. Lo </w:t>
      </w:r>
      <w:r w:rsidRPr="009B7185">
        <w:lastRenderedPageBreak/>
        <w:t>anterior, toma relevancia, pues conforme al Reglamento Interno del Organismo Público Descentralizado para la Prestación de los Servicios de Agua Potable, Alcantarillado y Saneamiento de Tecámac, dicho órgano tendrá las funciones de iniciar</w:t>
      </w:r>
      <w:r w:rsidR="00B50E48" w:rsidRPr="009B7185">
        <w:t xml:space="preserve"> y</w:t>
      </w:r>
      <w:r w:rsidRPr="009B7185">
        <w:t xml:space="preserve"> tramitar</w:t>
      </w:r>
      <w:r w:rsidR="00B50E48" w:rsidRPr="009B7185">
        <w:t xml:space="preserve"> convenios, acuerdos, concesiones, permisos o autorizaciones otorgadas.</w:t>
      </w:r>
    </w:p>
    <w:p w14:paraId="003A07CE" w14:textId="77777777" w:rsidR="00B50E48" w:rsidRPr="009B7185" w:rsidRDefault="00B50E48" w:rsidP="0062674E">
      <w:pPr>
        <w:spacing w:after="0" w:line="360" w:lineRule="auto"/>
        <w:rPr>
          <w:rFonts w:eastAsia="Times New Roman" w:cs="Tahoma"/>
          <w:color w:val="auto"/>
          <w:lang w:val="es-ES" w:eastAsia="es-ES"/>
        </w:rPr>
      </w:pPr>
    </w:p>
    <w:p w14:paraId="2AD50237" w14:textId="77777777" w:rsidR="0062674E" w:rsidRPr="009B7185" w:rsidRDefault="0062674E" w:rsidP="0062674E">
      <w:pPr>
        <w:widowControl w:val="0"/>
        <w:spacing w:after="0" w:line="360" w:lineRule="auto"/>
        <w:rPr>
          <w:rFonts w:eastAsia="Calibri" w:cs="Times New Roman"/>
        </w:rPr>
      </w:pPr>
      <w:r w:rsidRPr="009B7185">
        <w:rPr>
          <w:rFonts w:eastAsia="Calibri" w:cs="Times New Roman"/>
        </w:rPr>
        <w:t xml:space="preserve">Por tales consideraciones, se desprende el Sujeto Obligado precisó las circunstancias por las cuales lo peticionado no obraba en sus archivos;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48C2D3EB" w14:textId="77777777" w:rsidR="0062674E" w:rsidRPr="009B7185" w:rsidRDefault="0062674E" w:rsidP="0062674E">
      <w:pPr>
        <w:widowControl w:val="0"/>
        <w:spacing w:after="0" w:line="360" w:lineRule="auto"/>
        <w:rPr>
          <w:rFonts w:eastAsia="Calibri" w:cs="Times New Roman"/>
        </w:rPr>
      </w:pPr>
    </w:p>
    <w:p w14:paraId="7548B356" w14:textId="77777777" w:rsidR="0062674E" w:rsidRPr="009B7185" w:rsidRDefault="0062674E" w:rsidP="0062674E">
      <w:pPr>
        <w:spacing w:after="0" w:line="360" w:lineRule="auto"/>
        <w:rPr>
          <w:rFonts w:eastAsia="Times New Roman" w:cs="Tahoma"/>
          <w:bCs/>
          <w:color w:val="auto"/>
          <w:lang w:eastAsia="es-ES"/>
        </w:rPr>
      </w:pPr>
      <w:r w:rsidRPr="009B7185">
        <w:rPr>
          <w:rFonts w:eastAsia="Times New Roman" w:cs="Tahoma"/>
          <w:color w:val="auto"/>
          <w:lang w:val="es-ES" w:eastAsia="es-ES"/>
        </w:rPr>
        <w:t xml:space="preserve">De la misma manera, </w:t>
      </w:r>
      <w:r w:rsidRPr="009B7185">
        <w:rPr>
          <w:rFonts w:eastAsia="Times New Roman" w:cs="Tahoma"/>
          <w:bCs/>
          <w:color w:val="auto"/>
          <w:lang w:eastAsia="es-ES"/>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114E9B3" w14:textId="77777777" w:rsidR="0062674E" w:rsidRPr="009B7185" w:rsidRDefault="0062674E" w:rsidP="0062674E">
      <w:pPr>
        <w:spacing w:after="0" w:line="360" w:lineRule="auto"/>
        <w:rPr>
          <w:rFonts w:eastAsia="Times New Roman" w:cs="Tahoma"/>
          <w:bCs/>
          <w:color w:val="auto"/>
          <w:lang w:eastAsia="es-ES"/>
        </w:rPr>
      </w:pPr>
    </w:p>
    <w:p w14:paraId="1A562A75" w14:textId="4CEC46CA" w:rsidR="0062674E" w:rsidRPr="009B7185" w:rsidRDefault="0062674E" w:rsidP="0062674E">
      <w:pPr>
        <w:spacing w:after="0" w:line="360" w:lineRule="auto"/>
        <w:rPr>
          <w:rFonts w:eastAsia="Times New Roman" w:cs="Tahoma"/>
          <w:b/>
          <w:bCs/>
          <w:color w:val="auto"/>
          <w:lang w:eastAsia="es-ES"/>
        </w:rPr>
      </w:pPr>
      <w:r w:rsidRPr="009B7185">
        <w:rPr>
          <w:rFonts w:eastAsia="Times New Roman" w:cs="Tahoma"/>
          <w:lang w:eastAsia="es-ES"/>
        </w:rPr>
        <w:t xml:space="preserve">Al respecto, dicho criterio aplica al caso en concreto, ya que, no se localizó algún indicio de que el Ayuntamiento haya </w:t>
      </w:r>
      <w:r w:rsidR="00B50E48" w:rsidRPr="009B7185">
        <w:rPr>
          <w:rFonts w:eastAsia="Times New Roman" w:cs="Tahoma"/>
          <w:lang w:eastAsia="es-ES"/>
        </w:rPr>
        <w:t xml:space="preserve">celebrado algún instrumento jurídico con la Asociación Civil, aunado al hecho que el </w:t>
      </w:r>
      <w:r w:rsidR="00B50E48" w:rsidRPr="009B7185">
        <w:t>Organismo Público Descentralizado para la Prestación de los Servicios de Agua Potable, Alcantarillado y Saneamiento es el que lleva alguna relación con los Comités Independientes de Agua Potable</w:t>
      </w:r>
      <w:r w:rsidRPr="009B7185">
        <w:rPr>
          <w:rFonts w:eastAsia="Times New Roman" w:cs="Tahoma"/>
          <w:lang w:eastAsia="es-ES"/>
        </w:rPr>
        <w:t xml:space="preserve">; </w:t>
      </w:r>
      <w:r w:rsidRPr="009B7185">
        <w:rPr>
          <w:rFonts w:eastAsia="Times New Roman" w:cs="Tahoma"/>
          <w:bCs/>
          <w:color w:val="auto"/>
          <w:lang w:eastAsia="es-ES"/>
        </w:rPr>
        <w:t xml:space="preserve">por lo cual, </w:t>
      </w:r>
      <w:r w:rsidRPr="009B7185">
        <w:rPr>
          <w:rFonts w:eastAsia="Times New Roman" w:cs="Tahoma"/>
          <w:color w:val="auto"/>
          <w:lang w:eastAsia="es-ES"/>
        </w:rPr>
        <w:t xml:space="preserve">se considera que el Sujeto Obligado, señaló las razones por las cuales no contaba con lo requerido y cumplió con el segundo párrafo, del artículo 19 de la Ley de Transparencia y Acceso a la Información Pública </w:t>
      </w:r>
      <w:r w:rsidRPr="009B7185">
        <w:rPr>
          <w:rFonts w:eastAsia="Times New Roman" w:cs="Tahoma"/>
          <w:color w:val="auto"/>
          <w:lang w:eastAsia="es-ES"/>
        </w:rPr>
        <w:lastRenderedPageBreak/>
        <w:t>del Estado de México y Municipios, por lo que,</w:t>
      </w:r>
      <w:r w:rsidRPr="009B7185">
        <w:rPr>
          <w:rFonts w:eastAsia="Times New Roman" w:cs="Tahoma"/>
          <w:bCs/>
          <w:color w:val="auto"/>
          <w:lang w:eastAsia="es-ES"/>
        </w:rPr>
        <w:t xml:space="preserve"> </w:t>
      </w:r>
      <w:r w:rsidRPr="009B7185">
        <w:rPr>
          <w:rFonts w:eastAsia="Times New Roman" w:cs="Tahoma"/>
          <w:b/>
          <w:bCs/>
          <w:color w:val="auto"/>
          <w:lang w:eastAsia="es-ES"/>
        </w:rPr>
        <w:t>se considera que la impugnación que se dirime ha quedado sin materia.</w:t>
      </w:r>
    </w:p>
    <w:p w14:paraId="2E02A1E5" w14:textId="77777777" w:rsidR="00B50E48" w:rsidRPr="009B7185" w:rsidRDefault="00B50E48" w:rsidP="0062674E">
      <w:pPr>
        <w:spacing w:after="0" w:line="360" w:lineRule="auto"/>
        <w:rPr>
          <w:rFonts w:eastAsia="Times New Roman" w:cs="Tahoma"/>
          <w:b/>
          <w:bCs/>
          <w:color w:val="auto"/>
          <w:lang w:eastAsia="es-ES"/>
        </w:rPr>
      </w:pPr>
    </w:p>
    <w:p w14:paraId="75BEFE69" w14:textId="77777777" w:rsidR="00B50E48" w:rsidRPr="009B7185" w:rsidRDefault="00B50E48" w:rsidP="00B50E48">
      <w:pPr>
        <w:spacing w:after="0" w:line="360" w:lineRule="auto"/>
        <w:rPr>
          <w:rFonts w:eastAsia="Calibri" w:cs="Tahoma"/>
          <w:b/>
          <w:bCs/>
          <w:lang w:val="es-ES"/>
        </w:rPr>
      </w:pPr>
      <w:r w:rsidRPr="009B7185">
        <w:rPr>
          <w:rFonts w:eastAsia="Calibri" w:cs="Tahoma"/>
          <w:b/>
          <w:bCs/>
          <w:lang w:val="es-ES"/>
        </w:rPr>
        <w:t xml:space="preserve">CUARTO. Decisión. </w:t>
      </w:r>
    </w:p>
    <w:p w14:paraId="3B330592" w14:textId="77777777" w:rsidR="00B50E48" w:rsidRPr="009B7185" w:rsidRDefault="00B50E48" w:rsidP="00B50E48">
      <w:pPr>
        <w:spacing w:after="0" w:line="360" w:lineRule="auto"/>
        <w:rPr>
          <w:rFonts w:eastAsia="Calibri" w:cs="Tahoma"/>
          <w:b/>
          <w:bCs/>
          <w:lang w:val="es-ES"/>
        </w:rPr>
      </w:pPr>
    </w:p>
    <w:p w14:paraId="2F697C98" w14:textId="77777777" w:rsidR="00B50E48" w:rsidRPr="009B7185" w:rsidRDefault="00B50E48" w:rsidP="00B50E48">
      <w:pPr>
        <w:spacing w:after="0" w:line="360" w:lineRule="auto"/>
        <w:rPr>
          <w:rFonts w:eastAsia="Calibri" w:cs="Tahoma"/>
          <w:bCs/>
          <w:lang w:val="es-ES"/>
        </w:rPr>
      </w:pPr>
      <w:r w:rsidRPr="009B7185">
        <w:rPr>
          <w:rFonts w:eastAsia="Calibri" w:cs="Tahoma"/>
          <w:bCs/>
          <w:lang w:val="es-ES"/>
        </w:rPr>
        <w:t xml:space="preserve">Con fundamento en lo dispuesto en el artículo 186, fracción I de la Ley de Transparencia y Acceso a la Información Pública del Estado de México y Municipios, se considera procedente </w:t>
      </w:r>
      <w:r w:rsidRPr="009B7185">
        <w:rPr>
          <w:rFonts w:eastAsia="Calibri" w:cs="Tahoma"/>
          <w:b/>
          <w:bCs/>
          <w:lang w:val="es-ES"/>
        </w:rPr>
        <w:t xml:space="preserve">SOBRESEER </w:t>
      </w:r>
      <w:r w:rsidRPr="009B7185">
        <w:rPr>
          <w:rFonts w:eastAsia="Calibri" w:cs="Tahoma"/>
          <w:bCs/>
          <w:lang w:val="es-ES"/>
        </w:rPr>
        <w:t>el Recurso de Revisión, en virtud de que se actualiza la hipótesis normativa prevista en la fracción III, del artículo 192, del citado ordenamiento legal.</w:t>
      </w:r>
    </w:p>
    <w:p w14:paraId="7CDDA2CA" w14:textId="77777777" w:rsidR="00B50E48" w:rsidRPr="009B7185" w:rsidRDefault="00B50E48" w:rsidP="00B50E48">
      <w:pPr>
        <w:spacing w:after="0" w:line="360" w:lineRule="auto"/>
        <w:rPr>
          <w:rFonts w:eastAsia="Calibri" w:cs="Tahoma"/>
          <w:bCs/>
          <w:lang w:val="es-ES"/>
        </w:rPr>
      </w:pPr>
    </w:p>
    <w:p w14:paraId="5DBB1BD6" w14:textId="77777777" w:rsidR="00B50E48" w:rsidRPr="009B7185" w:rsidRDefault="00B50E48" w:rsidP="00B50E48">
      <w:pPr>
        <w:spacing w:after="0" w:line="360" w:lineRule="auto"/>
        <w:rPr>
          <w:rFonts w:eastAsia="Calibri" w:cs="Tahoma"/>
          <w:b/>
          <w:bCs/>
          <w:iCs/>
        </w:rPr>
      </w:pPr>
      <w:r w:rsidRPr="009B7185">
        <w:rPr>
          <w:rFonts w:eastAsia="Calibri" w:cs="Tahoma"/>
          <w:b/>
          <w:bCs/>
          <w:iCs/>
        </w:rPr>
        <w:t>Términos de la Resolución para conocimiento del Particular.</w:t>
      </w:r>
    </w:p>
    <w:p w14:paraId="6E27D5B4" w14:textId="77777777" w:rsidR="00B50E48" w:rsidRPr="009B7185" w:rsidRDefault="00B50E48" w:rsidP="00B50E48">
      <w:pPr>
        <w:spacing w:after="0" w:line="360" w:lineRule="auto"/>
        <w:rPr>
          <w:rFonts w:eastAsia="Calibri" w:cs="Tahoma"/>
          <w:b/>
          <w:bCs/>
          <w:iCs/>
        </w:rPr>
      </w:pPr>
    </w:p>
    <w:p w14:paraId="093E48FD" w14:textId="7523DDC3" w:rsidR="00B50E48" w:rsidRPr="009B7185" w:rsidRDefault="00B50E48" w:rsidP="00B50E48">
      <w:pPr>
        <w:spacing w:after="0" w:line="360" w:lineRule="auto"/>
        <w:rPr>
          <w:rFonts w:eastAsia="Calibri" w:cs="Tahoma"/>
          <w:bCs/>
          <w:iCs/>
          <w:lang w:val="es-ES"/>
        </w:rPr>
      </w:pPr>
      <w:r w:rsidRPr="009B7185">
        <w:rPr>
          <w:rFonts w:eastAsia="Calibri" w:cs="Tahoma"/>
          <w:bCs/>
          <w:iCs/>
          <w:lang w:val="es-ES"/>
        </w:rPr>
        <w:t>Se le hace del conocimiento del Particular, que, si bien en un principio se le daba la razón, pues el Sujeto Obligado no fue congruente con su respuesta, lo cierto es que mediante su Informe Justificado señaló que con había celebrado algún instrumento jurídico con la Asociación Civil que es un Comité Independiente de Agua Potable.</w:t>
      </w:r>
    </w:p>
    <w:p w14:paraId="3582C948" w14:textId="77777777" w:rsidR="00B50E48" w:rsidRPr="009B7185" w:rsidRDefault="00B50E48" w:rsidP="00B50E48">
      <w:pPr>
        <w:spacing w:after="0" w:line="360" w:lineRule="auto"/>
        <w:rPr>
          <w:rFonts w:eastAsia="Calibri" w:cs="Tahoma"/>
          <w:bCs/>
          <w:iCs/>
          <w:lang w:val="es-ES"/>
        </w:rPr>
      </w:pPr>
    </w:p>
    <w:p w14:paraId="7570B1E9" w14:textId="086C1D66" w:rsidR="00B50E48" w:rsidRPr="009B7185" w:rsidRDefault="00B50E48" w:rsidP="00B50E48">
      <w:pPr>
        <w:spacing w:after="0" w:line="360" w:lineRule="auto"/>
        <w:rPr>
          <w:rFonts w:eastAsia="Calibri" w:cs="Tahoma"/>
          <w:bCs/>
          <w:iCs/>
          <w:lang w:val="es-ES"/>
        </w:rPr>
      </w:pPr>
      <w:r w:rsidRPr="009B7185">
        <w:rPr>
          <w:rFonts w:eastAsia="Calibri" w:cs="Tahoma"/>
          <w:bCs/>
          <w:iCs/>
          <w:lang w:val="es-ES"/>
        </w:rPr>
        <w:t xml:space="preserve">Finalmente, se le informa que </w:t>
      </w:r>
      <w:r w:rsidRPr="009B7185">
        <w:rPr>
          <w:rFonts w:eastAsia="Calibri" w:cs="Tahoma"/>
          <w:bCs/>
          <w:iCs/>
          <w:lang w:val="es-ES_tradnl"/>
        </w:rPr>
        <w:t>la labor del Instituto de Transparencia, Acceso a la Información Pública y Protección de Datos Personales del Estado de México y Municipios, por una parte, es apoyar a la población a acceder a la información pública y, por otra parte, es garantizar la protección de los datos personales.</w:t>
      </w:r>
    </w:p>
    <w:p w14:paraId="7F6620EA" w14:textId="77777777" w:rsidR="00B50E48" w:rsidRPr="009B7185" w:rsidRDefault="00B50E48" w:rsidP="00B50E48">
      <w:pPr>
        <w:spacing w:after="0" w:line="360" w:lineRule="auto"/>
        <w:rPr>
          <w:rFonts w:eastAsia="Calibri" w:cs="Tahoma"/>
          <w:bCs/>
          <w:lang w:val="es-ES"/>
        </w:rPr>
      </w:pPr>
    </w:p>
    <w:p w14:paraId="0C09B928" w14:textId="77777777" w:rsidR="00B50E48" w:rsidRPr="009B7185" w:rsidRDefault="00B50E48" w:rsidP="00B50E48">
      <w:pPr>
        <w:spacing w:after="0" w:line="360" w:lineRule="auto"/>
        <w:rPr>
          <w:rFonts w:eastAsia="Calibri" w:cs="Tahoma"/>
          <w:bCs/>
        </w:rPr>
      </w:pPr>
      <w:r w:rsidRPr="009B7185">
        <w:rPr>
          <w:rFonts w:eastAsia="Calibri" w:cs="Tahoma"/>
          <w:bCs/>
        </w:rPr>
        <w:t>Por lo expuesto y fundado, este Pleno:</w:t>
      </w:r>
    </w:p>
    <w:p w14:paraId="25B9D4B9" w14:textId="77777777" w:rsidR="0062674E" w:rsidRPr="009B7185" w:rsidRDefault="0062674E" w:rsidP="001C2C89">
      <w:pPr>
        <w:spacing w:after="0" w:line="360" w:lineRule="auto"/>
        <w:ind w:right="-28"/>
        <w:contextualSpacing/>
        <w:rPr>
          <w:rFonts w:eastAsia="Times New Roman" w:cs="Tahoma"/>
          <w:color w:val="auto"/>
          <w:lang w:eastAsia="es-ES"/>
        </w:rPr>
      </w:pPr>
    </w:p>
    <w:p w14:paraId="4356BA1E" w14:textId="77777777" w:rsidR="001C2C89" w:rsidRPr="009B7185" w:rsidRDefault="001C2C89" w:rsidP="001C2C89">
      <w:pPr>
        <w:spacing w:after="0" w:line="360" w:lineRule="auto"/>
        <w:ind w:right="-91"/>
        <w:jc w:val="center"/>
        <w:rPr>
          <w:rFonts w:eastAsia="Calibri" w:cs="Tahoma"/>
          <w:b/>
          <w:bCs/>
          <w:color w:val="auto"/>
        </w:rPr>
      </w:pPr>
      <w:r w:rsidRPr="009B7185">
        <w:rPr>
          <w:rFonts w:eastAsia="Calibri" w:cs="Tahoma"/>
          <w:b/>
          <w:bCs/>
          <w:color w:val="auto"/>
        </w:rPr>
        <w:t>R E S U E L V E:</w:t>
      </w:r>
    </w:p>
    <w:p w14:paraId="712EF659" w14:textId="77777777" w:rsidR="001C2C89" w:rsidRPr="009B7185" w:rsidRDefault="001C2C89" w:rsidP="001C2C89">
      <w:pPr>
        <w:spacing w:after="0" w:line="360" w:lineRule="auto"/>
        <w:ind w:right="-91"/>
        <w:jc w:val="center"/>
        <w:rPr>
          <w:rFonts w:eastAsia="Calibri" w:cs="Tahoma"/>
          <w:b/>
          <w:bCs/>
          <w:color w:val="auto"/>
        </w:rPr>
      </w:pPr>
    </w:p>
    <w:p w14:paraId="36B09318" w14:textId="77777777" w:rsidR="00B50E48" w:rsidRPr="009B7185" w:rsidRDefault="00B50E48" w:rsidP="001C2C89">
      <w:pPr>
        <w:spacing w:after="0" w:line="360" w:lineRule="auto"/>
        <w:ind w:right="-91"/>
        <w:jc w:val="center"/>
        <w:rPr>
          <w:rFonts w:eastAsia="Calibri" w:cs="Tahoma"/>
          <w:b/>
          <w:bCs/>
          <w:color w:val="auto"/>
        </w:rPr>
      </w:pPr>
    </w:p>
    <w:p w14:paraId="7EE3421D" w14:textId="3DBA4F73" w:rsidR="00B50E48" w:rsidRPr="009B7185" w:rsidRDefault="00B50E48" w:rsidP="00B50E48">
      <w:pPr>
        <w:spacing w:after="0" w:line="360" w:lineRule="auto"/>
        <w:rPr>
          <w:rFonts w:eastAsia="Calibri" w:cs="Tahoma"/>
          <w:b/>
          <w:bCs/>
          <w:iCs/>
        </w:rPr>
      </w:pPr>
      <w:r w:rsidRPr="009B7185">
        <w:rPr>
          <w:rFonts w:eastAsia="Calibri" w:cs="Tahoma"/>
          <w:b/>
          <w:bCs/>
          <w:iCs/>
        </w:rPr>
        <w:t xml:space="preserve">PRIMERO. </w:t>
      </w:r>
      <w:r w:rsidRPr="009B7185">
        <w:rPr>
          <w:rFonts w:eastAsia="Calibri" w:cs="Tahoma"/>
          <w:bCs/>
          <w:iCs/>
        </w:rPr>
        <w:t xml:space="preserve">Se </w:t>
      </w:r>
      <w:r w:rsidRPr="009B7185">
        <w:rPr>
          <w:rFonts w:eastAsia="Calibri" w:cs="Tahoma"/>
          <w:b/>
          <w:bCs/>
          <w:iCs/>
        </w:rPr>
        <w:t xml:space="preserve">SOBRESEE </w:t>
      </w:r>
      <w:r w:rsidRPr="009B7185">
        <w:rPr>
          <w:rFonts w:eastAsia="Calibri" w:cs="Tahoma"/>
          <w:bCs/>
          <w:iCs/>
        </w:rPr>
        <w:t>el Recurso de Revisión con número</w:t>
      </w:r>
      <w:r w:rsidRPr="009B7185">
        <w:rPr>
          <w:rFonts w:eastAsia="Calibri" w:cs="Tahoma"/>
          <w:b/>
          <w:bCs/>
          <w:iCs/>
        </w:rPr>
        <w:t xml:space="preserve"> </w:t>
      </w:r>
      <w:r w:rsidRPr="009B7185">
        <w:rPr>
          <w:rFonts w:eastAsia="Calibri" w:cs="Tahoma"/>
          <w:b/>
        </w:rPr>
        <w:t>01426/INFOEM/IP/RR/2023</w:t>
      </w:r>
      <w:r w:rsidRPr="009B7185">
        <w:rPr>
          <w:rFonts w:eastAsia="Calibri" w:cs="Tahoma"/>
          <w:bCs/>
          <w:iCs/>
        </w:rPr>
        <w:t>,</w:t>
      </w:r>
      <w:r w:rsidRPr="009B7185">
        <w:rPr>
          <w:rFonts w:eastAsia="Calibri" w:cs="Tahoma"/>
          <w:bCs/>
          <w:iCs/>
          <w:color w:val="auto"/>
        </w:rPr>
        <w:t xml:space="preserve"> </w:t>
      </w:r>
      <w:r w:rsidRPr="009B7185">
        <w:rPr>
          <w:rFonts w:eastAsia="Calibri" w:cs="Tahoma"/>
          <w:bCs/>
          <w:iCs/>
          <w:color w:val="auto"/>
          <w:lang w:val="es-ES"/>
        </w:rPr>
        <w:t>en términos del artículo 192, fracción III, de la Ley de Transparencia y Acceso a la Información Pública del Estado de México y Municipios</w:t>
      </w:r>
      <w:r w:rsidRPr="009B7185">
        <w:rPr>
          <w:rFonts w:cs="Arial"/>
          <w:bCs/>
          <w:color w:val="000000"/>
          <w:lang w:val="es-ES"/>
        </w:rPr>
        <w:t xml:space="preserve">, </w:t>
      </w:r>
      <w:r w:rsidRPr="009B7185">
        <w:rPr>
          <w:rFonts w:cs="Tahoma"/>
          <w:bCs/>
          <w:iCs/>
          <w:szCs w:val="24"/>
          <w:lang w:val="es-ES_tradnl"/>
        </w:rPr>
        <w:t>porque el Sujeto Obligado al modificar la respuesta de la solicitud de acceso a la información con número de folio</w:t>
      </w:r>
      <w:r w:rsidRPr="009B7185">
        <w:rPr>
          <w:rFonts w:eastAsia="Calibri" w:cs="Tahoma"/>
          <w:bCs/>
          <w:iCs/>
        </w:rPr>
        <w:t xml:space="preserve"> </w:t>
      </w:r>
      <w:r w:rsidRPr="009B7185">
        <w:t>00043/TECAMAC/IP/2023</w:t>
      </w:r>
      <w:r w:rsidRPr="009B7185">
        <w:rPr>
          <w:rFonts w:eastAsia="Calibri" w:cs="Tahoma"/>
          <w:bCs/>
          <w:iCs/>
        </w:rPr>
        <w:t>, el Medio de Impugnación, quedó sin materia, en términos de los Considerandos</w:t>
      </w:r>
      <w:r w:rsidRPr="009B7185">
        <w:rPr>
          <w:rFonts w:eastAsia="Calibri" w:cs="Tahoma"/>
          <w:b/>
          <w:bCs/>
          <w:iCs/>
        </w:rPr>
        <w:t xml:space="preserve"> </w:t>
      </w:r>
      <w:r w:rsidRPr="009B7185">
        <w:rPr>
          <w:rFonts w:eastAsia="Calibri" w:cs="Tahoma"/>
          <w:bCs/>
          <w:iCs/>
        </w:rPr>
        <w:t>TERCERO y CUARTO</w:t>
      </w:r>
      <w:r w:rsidRPr="009B7185">
        <w:rPr>
          <w:rFonts w:eastAsia="Calibri" w:cs="Tahoma"/>
          <w:b/>
          <w:bCs/>
          <w:iCs/>
        </w:rPr>
        <w:t xml:space="preserve"> </w:t>
      </w:r>
      <w:r w:rsidRPr="009B7185">
        <w:rPr>
          <w:rFonts w:eastAsia="Calibri" w:cs="Tahoma"/>
          <w:bCs/>
          <w:iCs/>
        </w:rPr>
        <w:t>de la presente Resolución.</w:t>
      </w:r>
    </w:p>
    <w:p w14:paraId="6F6C4FE3" w14:textId="77777777" w:rsidR="00B50E48" w:rsidRPr="009B7185" w:rsidRDefault="00B50E48" w:rsidP="00B50E48">
      <w:pPr>
        <w:spacing w:after="0" w:line="360" w:lineRule="auto"/>
        <w:rPr>
          <w:rFonts w:eastAsia="Calibri" w:cs="Tahoma"/>
          <w:b/>
          <w:bCs/>
          <w:iCs/>
        </w:rPr>
      </w:pPr>
    </w:p>
    <w:p w14:paraId="2941B353" w14:textId="77777777" w:rsidR="00B50E48" w:rsidRPr="009B7185" w:rsidRDefault="00B50E48" w:rsidP="00B50E48">
      <w:pPr>
        <w:spacing w:after="0" w:line="360" w:lineRule="auto"/>
        <w:rPr>
          <w:rFonts w:eastAsia="Calibri" w:cs="Tahoma"/>
          <w:b/>
          <w:bCs/>
          <w:iCs/>
        </w:rPr>
      </w:pPr>
      <w:r w:rsidRPr="009B7185">
        <w:rPr>
          <w:rFonts w:eastAsia="Calibri" w:cs="Tahoma"/>
          <w:b/>
          <w:bCs/>
          <w:iCs/>
        </w:rPr>
        <w:t xml:space="preserve">SEGUNDO. NOTIFÍQUESE </w:t>
      </w:r>
      <w:r w:rsidRPr="009B7185">
        <w:rPr>
          <w:rFonts w:eastAsia="Calibri" w:cs="Tahoma"/>
          <w:bCs/>
          <w:iCs/>
        </w:rPr>
        <w:t>la presente Resolución al Titular de la Unidad de Transparencia del Sujeto Obligado.</w:t>
      </w:r>
    </w:p>
    <w:p w14:paraId="5889345E" w14:textId="77777777" w:rsidR="00B50E48" w:rsidRPr="009B7185" w:rsidRDefault="00B50E48" w:rsidP="00B50E48">
      <w:pPr>
        <w:spacing w:after="0" w:line="360" w:lineRule="auto"/>
        <w:rPr>
          <w:rFonts w:eastAsia="Calibri" w:cs="Tahoma"/>
          <w:b/>
          <w:bCs/>
          <w:i/>
          <w:iCs/>
        </w:rPr>
      </w:pPr>
    </w:p>
    <w:p w14:paraId="22AAE35A" w14:textId="77777777" w:rsidR="00B50E48" w:rsidRPr="009B7185" w:rsidRDefault="00B50E48" w:rsidP="00B50E48">
      <w:pPr>
        <w:spacing w:after="0" w:line="360" w:lineRule="auto"/>
        <w:rPr>
          <w:rFonts w:eastAsia="Calibri" w:cs="Tahoma"/>
          <w:b/>
          <w:bCs/>
          <w:iCs/>
        </w:rPr>
      </w:pPr>
      <w:r w:rsidRPr="009B7185">
        <w:rPr>
          <w:rFonts w:eastAsia="Calibri" w:cs="Tahoma"/>
          <w:b/>
          <w:bCs/>
          <w:iCs/>
        </w:rPr>
        <w:t xml:space="preserve">TERCERO. NOTIFÍQUESE </w:t>
      </w:r>
      <w:r w:rsidRPr="009B7185">
        <w:rPr>
          <w:rFonts w:eastAsia="Calibri"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FF705B" w14:textId="77777777" w:rsidR="00B50E48" w:rsidRPr="009B7185" w:rsidRDefault="00B50E48" w:rsidP="00296435">
      <w:pPr>
        <w:spacing w:after="0" w:line="360" w:lineRule="auto"/>
        <w:rPr>
          <w:rFonts w:eastAsia="Calibri" w:cs="Tahoma"/>
          <w:bCs/>
        </w:rPr>
      </w:pPr>
    </w:p>
    <w:p w14:paraId="5D95AB28" w14:textId="1B94C1FB" w:rsidR="00296435" w:rsidRPr="00446963" w:rsidRDefault="00296435" w:rsidP="00296435">
      <w:pPr>
        <w:spacing w:after="0" w:line="360" w:lineRule="auto"/>
        <w:rPr>
          <w:rFonts w:cs="Arial"/>
        </w:rPr>
      </w:pPr>
      <w:r w:rsidRPr="009B7185">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50E48" w:rsidRPr="009B7185">
        <w:t>NOVENA</w:t>
      </w:r>
      <w:r w:rsidRPr="009B7185">
        <w:t xml:space="preserve"> SESIÓN ORDINARIA CELEBRADA EL </w:t>
      </w:r>
      <w:r w:rsidR="00B50E48" w:rsidRPr="009B7185">
        <w:t>VEINTICUATRO</w:t>
      </w:r>
      <w:r w:rsidRPr="009B7185">
        <w:t xml:space="preserve"> DE MAYO DE DOS MIL VEINTITRÉS, ANTE EL SECRETARIO TÉCNICO DEL PLENO, ALEXIS TAPIA RAMÍREZ.</w:t>
      </w:r>
    </w:p>
    <w:p w14:paraId="6CA7A00C" w14:textId="77777777" w:rsidR="001C2C89" w:rsidRDefault="001C2C89" w:rsidP="001C2C89">
      <w:pPr>
        <w:spacing w:after="0" w:line="360" w:lineRule="auto"/>
      </w:pPr>
      <w:r>
        <w:br w:type="page"/>
      </w:r>
    </w:p>
    <w:p w14:paraId="4781B35B" w14:textId="77777777" w:rsidR="00CE7148" w:rsidRDefault="00CE7148"/>
    <w:sectPr w:rsidR="00CE7148" w:rsidSect="00DE7653">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A597" w14:textId="77777777" w:rsidR="004C27B9" w:rsidRDefault="004C27B9" w:rsidP="001C2C89">
      <w:pPr>
        <w:spacing w:after="0" w:line="240" w:lineRule="auto"/>
      </w:pPr>
      <w:r>
        <w:separator/>
      </w:r>
    </w:p>
  </w:endnote>
  <w:endnote w:type="continuationSeparator" w:id="0">
    <w:p w14:paraId="31051F26" w14:textId="77777777" w:rsidR="004C27B9" w:rsidRDefault="004C27B9" w:rsidP="001C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3F40A16A" w14:textId="77777777" w:rsidR="00DE7653" w:rsidRDefault="00DE76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D7D2352" w14:textId="77777777" w:rsidR="00DE7653" w:rsidRDefault="00DE76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3BE791C" w14:textId="77777777" w:rsidR="00DE7653" w:rsidRDefault="00DE76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13E9">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13E9">
              <w:rPr>
                <w:b/>
                <w:bCs/>
                <w:noProof/>
              </w:rPr>
              <w:t>20</w:t>
            </w:r>
            <w:r>
              <w:rPr>
                <w:b/>
                <w:bCs/>
                <w:sz w:val="24"/>
                <w:szCs w:val="24"/>
              </w:rPr>
              <w:fldChar w:fldCharType="end"/>
            </w:r>
          </w:p>
        </w:sdtContent>
      </w:sdt>
    </w:sdtContent>
  </w:sdt>
  <w:p w14:paraId="1D391000" w14:textId="77777777" w:rsidR="00DE7653" w:rsidRDefault="00DE765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20644BB" w14:textId="77777777" w:rsidR="00DE7653" w:rsidRDefault="00DE76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13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13E9">
              <w:rPr>
                <w:b/>
                <w:bCs/>
                <w:noProof/>
              </w:rPr>
              <w:t>20</w:t>
            </w:r>
            <w:r>
              <w:rPr>
                <w:b/>
                <w:bCs/>
                <w:sz w:val="24"/>
                <w:szCs w:val="24"/>
              </w:rPr>
              <w:fldChar w:fldCharType="end"/>
            </w:r>
          </w:p>
        </w:sdtContent>
      </w:sdt>
    </w:sdtContent>
  </w:sdt>
  <w:p w14:paraId="258791E7" w14:textId="77777777" w:rsidR="00DE7653" w:rsidRDefault="00DE7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6142" w14:textId="77777777" w:rsidR="004C27B9" w:rsidRDefault="004C27B9" w:rsidP="001C2C89">
      <w:pPr>
        <w:spacing w:after="0" w:line="240" w:lineRule="auto"/>
      </w:pPr>
      <w:r>
        <w:separator/>
      </w:r>
    </w:p>
  </w:footnote>
  <w:footnote w:type="continuationSeparator" w:id="0">
    <w:p w14:paraId="3E7F4C9E" w14:textId="77777777" w:rsidR="004C27B9" w:rsidRDefault="004C27B9" w:rsidP="001C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DE7653" w:rsidRPr="00E152D8" w14:paraId="31E9DAC9" w14:textId="77777777" w:rsidTr="00DE7653">
      <w:trPr>
        <w:trHeight w:val="132"/>
      </w:trPr>
      <w:tc>
        <w:tcPr>
          <w:tcW w:w="2691" w:type="dxa"/>
        </w:tcPr>
        <w:p w14:paraId="7780F0D4"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8A3E08A" w14:textId="77777777" w:rsidR="00DE7653" w:rsidRPr="00EE1572" w:rsidRDefault="00DE7653" w:rsidP="00DE7653">
          <w:pPr>
            <w:tabs>
              <w:tab w:val="right" w:pos="8838"/>
            </w:tabs>
            <w:ind w:left="-28" w:right="-32"/>
            <w:rPr>
              <w:rFonts w:eastAsia="Calibri" w:cs="Tahoma"/>
            </w:rPr>
          </w:pPr>
          <w:r w:rsidRPr="00EE1572">
            <w:rPr>
              <w:rFonts w:eastAsia="Calibri" w:cs="Tahoma"/>
            </w:rPr>
            <w:t>03846/INFOEM/IP/RR/2020</w:t>
          </w:r>
        </w:p>
      </w:tc>
    </w:tr>
    <w:tr w:rsidR="00DE7653" w:rsidRPr="00E152D8" w14:paraId="26BD27DA" w14:textId="77777777" w:rsidTr="00DE7653">
      <w:trPr>
        <w:trHeight w:val="261"/>
      </w:trPr>
      <w:tc>
        <w:tcPr>
          <w:tcW w:w="2691" w:type="dxa"/>
        </w:tcPr>
        <w:p w14:paraId="737B23E3" w14:textId="77777777" w:rsidR="00DE7653" w:rsidRPr="00E152D8" w:rsidRDefault="00DE7653" w:rsidP="00DE76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61CB79F" w14:textId="77777777" w:rsidR="00DE7653" w:rsidRPr="00EE1572" w:rsidRDefault="00DE7653" w:rsidP="00DE7653">
          <w:pPr>
            <w:tabs>
              <w:tab w:val="right" w:pos="8838"/>
            </w:tabs>
            <w:ind w:right="-32"/>
            <w:rPr>
              <w:rFonts w:eastAsia="Calibri" w:cs="Tahoma"/>
              <w:lang w:val="es-MX"/>
            </w:rPr>
          </w:pPr>
          <w:r w:rsidRPr="00EE1572">
            <w:rPr>
              <w:rFonts w:eastAsia="Calibri" w:cs="Tahoma"/>
              <w:lang w:val="es-MX"/>
            </w:rPr>
            <w:t>Ayuntamiento de Temascalcingo</w:t>
          </w:r>
        </w:p>
      </w:tc>
    </w:tr>
    <w:tr w:rsidR="00DE7653" w:rsidRPr="00E152D8" w14:paraId="6D8A3494" w14:textId="77777777" w:rsidTr="00DE7653">
      <w:trPr>
        <w:trHeight w:val="261"/>
      </w:trPr>
      <w:tc>
        <w:tcPr>
          <w:tcW w:w="2691" w:type="dxa"/>
        </w:tcPr>
        <w:p w14:paraId="41AEAEE9"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6578FCE1" w14:textId="77777777" w:rsidR="00DE7653" w:rsidRPr="00E152D8" w:rsidRDefault="00DE7653" w:rsidP="00DE7653">
          <w:pPr>
            <w:tabs>
              <w:tab w:val="right" w:pos="8838"/>
            </w:tabs>
            <w:ind w:right="-32"/>
            <w:rPr>
              <w:rFonts w:eastAsia="Calibri" w:cs="Tahoma"/>
              <w:b/>
              <w:lang w:val="es-MX"/>
            </w:rPr>
          </w:pPr>
          <w:r w:rsidRPr="00E152D8">
            <w:rPr>
              <w:rFonts w:eastAsia="Calibri" w:cs="Tahoma"/>
              <w:lang w:val="es-MX"/>
            </w:rPr>
            <w:t>Luis Gustavo Parra Noriega</w:t>
          </w:r>
        </w:p>
      </w:tc>
    </w:tr>
  </w:tbl>
  <w:p w14:paraId="6A1000BB" w14:textId="77777777" w:rsidR="00DE7653" w:rsidRDefault="009B7185">
    <w:pPr>
      <w:pStyle w:val="Encabezado"/>
    </w:pPr>
    <w:r>
      <w:rPr>
        <w:noProof/>
      </w:rPr>
      <w:pict w14:anchorId="3F03F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BD36" w14:textId="57C21BC4" w:rsidR="00DE7653" w:rsidRDefault="009B7185">
    <w:r>
      <w:rPr>
        <w:noProof/>
      </w:rPr>
      <w:pict w14:anchorId="16839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94.35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5386"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976"/>
    </w:tblGrid>
    <w:tr w:rsidR="00DE7653" w:rsidRPr="00E152D8" w14:paraId="3878AA81" w14:textId="77777777" w:rsidTr="00FA0FCF">
      <w:trPr>
        <w:trHeight w:val="138"/>
      </w:trPr>
      <w:tc>
        <w:tcPr>
          <w:tcW w:w="2410" w:type="dxa"/>
          <w:vAlign w:val="center"/>
        </w:tcPr>
        <w:p w14:paraId="267E7D9D" w14:textId="77777777" w:rsidR="00DE7653" w:rsidRPr="00E152D8" w:rsidRDefault="00DE7653" w:rsidP="00DE7653">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14:paraId="5DA5B0B3" w14:textId="0B098C9A" w:rsidR="00DE7653" w:rsidRPr="00051642" w:rsidRDefault="00DE7653" w:rsidP="00DE7653">
          <w:pPr>
            <w:tabs>
              <w:tab w:val="right" w:pos="8838"/>
            </w:tabs>
            <w:ind w:right="-32"/>
            <w:rPr>
              <w:rFonts w:eastAsia="Calibri" w:cs="Tahoma"/>
            </w:rPr>
          </w:pPr>
          <w:r>
            <w:rPr>
              <w:rFonts w:eastAsia="Calibri" w:cs="Tahoma"/>
              <w:lang w:val="es-MX"/>
            </w:rPr>
            <w:t>01426/INFOEM/IP/RR/2023</w:t>
          </w:r>
        </w:p>
      </w:tc>
    </w:tr>
    <w:tr w:rsidR="00DE7653" w:rsidRPr="00E152D8" w14:paraId="3650C0D7" w14:textId="77777777" w:rsidTr="00FA0FCF">
      <w:trPr>
        <w:trHeight w:val="273"/>
      </w:trPr>
      <w:tc>
        <w:tcPr>
          <w:tcW w:w="2410" w:type="dxa"/>
        </w:tcPr>
        <w:p w14:paraId="0831EAC9" w14:textId="77777777" w:rsidR="00DE7653" w:rsidRPr="00E152D8" w:rsidRDefault="00DE7653" w:rsidP="00DE76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14:paraId="7E08E547" w14:textId="493B1A5F" w:rsidR="00DE7653" w:rsidRPr="00051642" w:rsidRDefault="00DE7653" w:rsidP="00DE7653">
          <w:pPr>
            <w:tabs>
              <w:tab w:val="right" w:pos="8838"/>
            </w:tabs>
            <w:ind w:left="-28" w:right="-32"/>
            <w:rPr>
              <w:rFonts w:eastAsia="Calibri" w:cs="Tahoma"/>
              <w:lang w:val="es-MX"/>
            </w:rPr>
          </w:pPr>
          <w:r>
            <w:rPr>
              <w:rFonts w:eastAsia="Calibri" w:cs="Tahoma"/>
              <w:lang w:val="es-MX"/>
            </w:rPr>
            <w:t>Ayuntamiento de Tecámac</w:t>
          </w:r>
        </w:p>
      </w:tc>
    </w:tr>
    <w:tr w:rsidR="00DE7653" w:rsidRPr="00E152D8" w14:paraId="73B229D1" w14:textId="77777777" w:rsidTr="00FA0FCF">
      <w:trPr>
        <w:trHeight w:val="273"/>
      </w:trPr>
      <w:tc>
        <w:tcPr>
          <w:tcW w:w="2410" w:type="dxa"/>
        </w:tcPr>
        <w:p w14:paraId="5302CF3F"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14:paraId="2DD5873E" w14:textId="77777777" w:rsidR="00DE7653" w:rsidRPr="00E152D8" w:rsidRDefault="00DE7653" w:rsidP="00DE7653">
          <w:pPr>
            <w:tabs>
              <w:tab w:val="right" w:pos="8838"/>
            </w:tabs>
            <w:ind w:left="-28" w:right="-32"/>
            <w:rPr>
              <w:rFonts w:eastAsia="Calibri" w:cs="Tahoma"/>
              <w:b/>
              <w:lang w:val="es-MX"/>
            </w:rPr>
          </w:pPr>
          <w:r w:rsidRPr="00E152D8">
            <w:rPr>
              <w:rFonts w:eastAsia="Calibri" w:cs="Tahoma"/>
              <w:lang w:val="es-MX"/>
            </w:rPr>
            <w:t>Luis Gustavo Parra Noriega</w:t>
          </w:r>
        </w:p>
      </w:tc>
    </w:tr>
  </w:tbl>
  <w:p w14:paraId="14FB1E08" w14:textId="4EA980E1" w:rsidR="00DE7653" w:rsidRDefault="00DE7653" w:rsidP="00DE765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387"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836"/>
    </w:tblGrid>
    <w:tr w:rsidR="00DE7653" w:rsidRPr="00E152D8" w14:paraId="02CE98F3" w14:textId="77777777" w:rsidTr="001C2C89">
      <w:trPr>
        <w:trHeight w:val="132"/>
      </w:trPr>
      <w:tc>
        <w:tcPr>
          <w:tcW w:w="2551" w:type="dxa"/>
        </w:tcPr>
        <w:p w14:paraId="5495495C"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Recurso de Revisión:</w:t>
          </w:r>
        </w:p>
      </w:tc>
      <w:tc>
        <w:tcPr>
          <w:tcW w:w="2836" w:type="dxa"/>
        </w:tcPr>
        <w:p w14:paraId="7E2C4135" w14:textId="6F93B27D" w:rsidR="00DE7653" w:rsidRPr="00051642" w:rsidRDefault="00DE7653" w:rsidP="00DE7653">
          <w:pPr>
            <w:tabs>
              <w:tab w:val="right" w:pos="8838"/>
            </w:tabs>
            <w:ind w:left="-111" w:right="-32"/>
            <w:rPr>
              <w:rFonts w:eastAsia="Calibri" w:cs="Tahoma"/>
            </w:rPr>
          </w:pPr>
          <w:r>
            <w:rPr>
              <w:rFonts w:eastAsia="Calibri" w:cs="Tahoma"/>
              <w:lang w:val="es-MX"/>
            </w:rPr>
            <w:t>01426/INFOEM/IP/RR/2023</w:t>
          </w:r>
        </w:p>
      </w:tc>
    </w:tr>
    <w:tr w:rsidR="00DE7653" w:rsidRPr="00E152D8" w14:paraId="65F2C92A" w14:textId="77777777" w:rsidTr="001C2C89">
      <w:trPr>
        <w:trHeight w:val="132"/>
      </w:trPr>
      <w:tc>
        <w:tcPr>
          <w:tcW w:w="2551" w:type="dxa"/>
        </w:tcPr>
        <w:p w14:paraId="4ACE5E25" w14:textId="77777777" w:rsidR="00DE7653" w:rsidRPr="00E152D8" w:rsidRDefault="00DE7653" w:rsidP="00DE7653">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836" w:type="dxa"/>
        </w:tcPr>
        <w:p w14:paraId="69FE904D" w14:textId="12904C5D" w:rsidR="00DE7653" w:rsidRPr="00E152D8" w:rsidRDefault="00DE7653" w:rsidP="00DE7653">
          <w:pPr>
            <w:tabs>
              <w:tab w:val="right" w:pos="8838"/>
            </w:tabs>
            <w:ind w:left="-111" w:right="-109"/>
            <w:rPr>
              <w:rFonts w:eastAsia="Calibri" w:cs="Tahoma"/>
              <w:lang w:val="es-MX"/>
            </w:rPr>
          </w:pPr>
        </w:p>
      </w:tc>
    </w:tr>
    <w:tr w:rsidR="00DE7653" w:rsidRPr="00E152D8" w14:paraId="10CA8874" w14:textId="77777777" w:rsidTr="001C2C89">
      <w:trPr>
        <w:trHeight w:val="261"/>
      </w:trPr>
      <w:tc>
        <w:tcPr>
          <w:tcW w:w="2551" w:type="dxa"/>
        </w:tcPr>
        <w:p w14:paraId="2E1C3F61" w14:textId="77777777" w:rsidR="00DE7653" w:rsidRPr="00E152D8" w:rsidRDefault="00DE7653" w:rsidP="00DE76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836" w:type="dxa"/>
        </w:tcPr>
        <w:p w14:paraId="0CB82E07" w14:textId="631DA76B" w:rsidR="00DE7653" w:rsidRPr="00051642" w:rsidRDefault="00DE7653" w:rsidP="00DE7653">
          <w:pPr>
            <w:tabs>
              <w:tab w:val="right" w:pos="8838"/>
            </w:tabs>
            <w:ind w:left="-111" w:right="-32"/>
            <w:rPr>
              <w:rFonts w:eastAsia="Calibri" w:cs="Tahoma"/>
              <w:lang w:val="es-MX"/>
            </w:rPr>
          </w:pPr>
          <w:r>
            <w:rPr>
              <w:rFonts w:eastAsia="Calibri" w:cs="Tahoma"/>
              <w:lang w:val="es-MX"/>
            </w:rPr>
            <w:t>Ayuntamiento de Tecámac</w:t>
          </w:r>
        </w:p>
      </w:tc>
    </w:tr>
    <w:tr w:rsidR="00DE7653" w:rsidRPr="00E152D8" w14:paraId="03C98395" w14:textId="77777777" w:rsidTr="001C2C89">
      <w:trPr>
        <w:trHeight w:val="261"/>
      </w:trPr>
      <w:tc>
        <w:tcPr>
          <w:tcW w:w="2551" w:type="dxa"/>
        </w:tcPr>
        <w:p w14:paraId="44E18FAD" w14:textId="77777777" w:rsidR="00DE7653" w:rsidRPr="00E152D8" w:rsidRDefault="00DE7653" w:rsidP="00DE7653">
          <w:pPr>
            <w:tabs>
              <w:tab w:val="right" w:pos="8838"/>
            </w:tabs>
            <w:ind w:right="-105"/>
            <w:rPr>
              <w:rFonts w:eastAsia="Calibri" w:cs="Tahoma"/>
              <w:b/>
              <w:lang w:val="es-MX"/>
            </w:rPr>
          </w:pPr>
          <w:r w:rsidRPr="00E152D8">
            <w:rPr>
              <w:rFonts w:eastAsia="Calibri" w:cs="Tahoma"/>
              <w:b/>
              <w:lang w:val="es-MX"/>
            </w:rPr>
            <w:t>Comisionado Ponente:</w:t>
          </w:r>
        </w:p>
      </w:tc>
      <w:tc>
        <w:tcPr>
          <w:tcW w:w="2836" w:type="dxa"/>
        </w:tcPr>
        <w:p w14:paraId="1C51A8E8" w14:textId="77777777" w:rsidR="00DE7653" w:rsidRPr="00E152D8" w:rsidRDefault="00DE7653" w:rsidP="00DE7653">
          <w:pPr>
            <w:tabs>
              <w:tab w:val="right" w:pos="8838"/>
            </w:tabs>
            <w:ind w:left="-111" w:right="-32"/>
            <w:rPr>
              <w:rFonts w:eastAsia="Calibri" w:cs="Tahoma"/>
              <w:b/>
              <w:lang w:val="es-MX"/>
            </w:rPr>
          </w:pPr>
          <w:r w:rsidRPr="00E152D8">
            <w:rPr>
              <w:rFonts w:eastAsia="Calibri" w:cs="Tahoma"/>
              <w:lang w:val="es-MX"/>
            </w:rPr>
            <w:t>Luis Gustavo Parra Noriega</w:t>
          </w:r>
        </w:p>
      </w:tc>
    </w:tr>
  </w:tbl>
  <w:p w14:paraId="64C9A08D" w14:textId="77777777" w:rsidR="00DE7653" w:rsidRDefault="009B7185" w:rsidP="00DE7653">
    <w:pPr>
      <w:pStyle w:val="Encabezado"/>
      <w:tabs>
        <w:tab w:val="left" w:pos="5812"/>
      </w:tabs>
    </w:pPr>
    <w:r>
      <w:rPr>
        <w:noProof/>
      </w:rPr>
      <w:pict w14:anchorId="50FCA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347DB"/>
    <w:multiLevelType w:val="hybridMultilevel"/>
    <w:tmpl w:val="8DEADDAA"/>
    <w:lvl w:ilvl="0" w:tplc="0DEEC8B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7A67EF"/>
    <w:multiLevelType w:val="hybridMultilevel"/>
    <w:tmpl w:val="0418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B845734"/>
    <w:multiLevelType w:val="hybridMultilevel"/>
    <w:tmpl w:val="417CBCA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4" w15:restartNumberingAfterBreak="0">
    <w:nsid w:val="4EF60AF5"/>
    <w:multiLevelType w:val="hybridMultilevel"/>
    <w:tmpl w:val="FFF02E5E"/>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B97590"/>
    <w:multiLevelType w:val="hybridMultilevel"/>
    <w:tmpl w:val="ECA6201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7" w15:restartNumberingAfterBreak="0">
    <w:nsid w:val="6A4D5918"/>
    <w:multiLevelType w:val="hybridMultilevel"/>
    <w:tmpl w:val="63E4A0F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DB43B7"/>
    <w:multiLevelType w:val="hybridMultilevel"/>
    <w:tmpl w:val="30B4E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01231C6"/>
    <w:multiLevelType w:val="hybridMultilevel"/>
    <w:tmpl w:val="483EC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1B223A"/>
    <w:multiLevelType w:val="hybridMultilevel"/>
    <w:tmpl w:val="7BE6A6C0"/>
    <w:lvl w:ilvl="0" w:tplc="6B58AD7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8038382">
    <w:abstractNumId w:val="6"/>
  </w:num>
  <w:num w:numId="2" w16cid:durableId="1240943037">
    <w:abstractNumId w:val="2"/>
  </w:num>
  <w:num w:numId="3" w16cid:durableId="151609020">
    <w:abstractNumId w:val="0"/>
  </w:num>
  <w:num w:numId="4" w16cid:durableId="1254968697">
    <w:abstractNumId w:val="11"/>
  </w:num>
  <w:num w:numId="5" w16cid:durableId="2111049719">
    <w:abstractNumId w:val="8"/>
  </w:num>
  <w:num w:numId="6" w16cid:durableId="1532377283">
    <w:abstractNumId w:val="6"/>
  </w:num>
  <w:num w:numId="7" w16cid:durableId="1812015818">
    <w:abstractNumId w:val="10"/>
  </w:num>
  <w:num w:numId="8" w16cid:durableId="1836145123">
    <w:abstractNumId w:val="3"/>
  </w:num>
  <w:num w:numId="9" w16cid:durableId="2041466574">
    <w:abstractNumId w:val="7"/>
  </w:num>
  <w:num w:numId="10" w16cid:durableId="232468966">
    <w:abstractNumId w:val="4"/>
  </w:num>
  <w:num w:numId="11" w16cid:durableId="1950549184">
    <w:abstractNumId w:val="5"/>
  </w:num>
  <w:num w:numId="12" w16cid:durableId="672533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96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89"/>
    <w:rsid w:val="0001284E"/>
    <w:rsid w:val="001C2C89"/>
    <w:rsid w:val="00264675"/>
    <w:rsid w:val="002726AE"/>
    <w:rsid w:val="00296435"/>
    <w:rsid w:val="002B1CE8"/>
    <w:rsid w:val="00300191"/>
    <w:rsid w:val="0032173D"/>
    <w:rsid w:val="00353D50"/>
    <w:rsid w:val="00373E11"/>
    <w:rsid w:val="003E083F"/>
    <w:rsid w:val="00451BC5"/>
    <w:rsid w:val="00476196"/>
    <w:rsid w:val="004C27B9"/>
    <w:rsid w:val="005113E9"/>
    <w:rsid w:val="00537E22"/>
    <w:rsid w:val="005A09C6"/>
    <w:rsid w:val="0062674E"/>
    <w:rsid w:val="00647C03"/>
    <w:rsid w:val="0068260D"/>
    <w:rsid w:val="007A2FE0"/>
    <w:rsid w:val="00800E37"/>
    <w:rsid w:val="00822F6C"/>
    <w:rsid w:val="00842B82"/>
    <w:rsid w:val="008A205A"/>
    <w:rsid w:val="00943C09"/>
    <w:rsid w:val="00956F3C"/>
    <w:rsid w:val="0096239C"/>
    <w:rsid w:val="009B7185"/>
    <w:rsid w:val="009C2EE4"/>
    <w:rsid w:val="00A52704"/>
    <w:rsid w:val="00AD4A9E"/>
    <w:rsid w:val="00B50E48"/>
    <w:rsid w:val="00B60094"/>
    <w:rsid w:val="00BF04E7"/>
    <w:rsid w:val="00CE7148"/>
    <w:rsid w:val="00D4321F"/>
    <w:rsid w:val="00DE7653"/>
    <w:rsid w:val="00ED115C"/>
    <w:rsid w:val="00F273C0"/>
    <w:rsid w:val="00F94895"/>
    <w:rsid w:val="00F97E56"/>
    <w:rsid w:val="00FA0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218393"/>
  <w15:chartTrackingRefBased/>
  <w15:docId w15:val="{6CD76D54-D42A-4266-AEC4-4AFAB126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89"/>
    <w:pPr>
      <w:jc w:val="both"/>
    </w:pPr>
    <w:rPr>
      <w:rFonts w:ascii="Palatino Linotype" w:hAnsi="Palatino Linotype"/>
      <w:color w:val="000000" w:themeColor="text1"/>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C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2C89"/>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1C2C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2C89"/>
    <w:rPr>
      <w:rFonts w:ascii="Palatino Linotype" w:hAnsi="Palatino Linotype"/>
      <w:color w:val="000000" w:themeColor="text1"/>
      <w:kern w:val="0"/>
      <w14:ligatures w14:val="none"/>
    </w:rPr>
  </w:style>
  <w:style w:type="table" w:styleId="Tablaconcuadrcula">
    <w:name w:val="Table Grid"/>
    <w:basedOn w:val="Tablanormal"/>
    <w:uiPriority w:val="59"/>
    <w:qFormat/>
    <w:rsid w:val="001C2C89"/>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2C8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C2C89"/>
    <w:rPr>
      <w:rFonts w:ascii="Palatino Linotype" w:hAnsi="Palatino Linotype"/>
      <w:color w:val="000000" w:themeColor="text1"/>
      <w:kern w:val="0"/>
      <w14:ligatures w14:val="none"/>
    </w:rPr>
  </w:style>
  <w:style w:type="character" w:styleId="Hipervnculo">
    <w:name w:val="Hyperlink"/>
    <w:basedOn w:val="Fuentedeprrafopredeter"/>
    <w:uiPriority w:val="99"/>
    <w:unhideWhenUsed/>
    <w:rsid w:val="001C2C89"/>
    <w:rPr>
      <w:color w:val="0000FF"/>
      <w:u w:val="single"/>
    </w:rPr>
  </w:style>
  <w:style w:type="character" w:customStyle="1" w:styleId="Mencinsinresolver1">
    <w:name w:val="Mención sin resolver1"/>
    <w:basedOn w:val="Fuentedeprrafopredeter"/>
    <w:uiPriority w:val="99"/>
    <w:semiHidden/>
    <w:unhideWhenUsed/>
    <w:rsid w:val="00321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6894">
      <w:bodyDiv w:val="1"/>
      <w:marLeft w:val="0"/>
      <w:marRight w:val="0"/>
      <w:marTop w:val="0"/>
      <w:marBottom w:val="0"/>
      <w:divBdr>
        <w:top w:val="none" w:sz="0" w:space="0" w:color="auto"/>
        <w:left w:val="none" w:sz="0" w:space="0" w:color="auto"/>
        <w:bottom w:val="none" w:sz="0" w:space="0" w:color="auto"/>
        <w:right w:val="none" w:sz="0" w:space="0" w:color="auto"/>
      </w:divBdr>
    </w:div>
    <w:div w:id="536312805">
      <w:bodyDiv w:val="1"/>
      <w:marLeft w:val="0"/>
      <w:marRight w:val="0"/>
      <w:marTop w:val="0"/>
      <w:marBottom w:val="0"/>
      <w:divBdr>
        <w:top w:val="none" w:sz="0" w:space="0" w:color="auto"/>
        <w:left w:val="none" w:sz="0" w:space="0" w:color="auto"/>
        <w:bottom w:val="none" w:sz="0" w:space="0" w:color="auto"/>
        <w:right w:val="none" w:sz="0" w:space="0" w:color="auto"/>
      </w:divBdr>
    </w:div>
    <w:div w:id="1103306134">
      <w:bodyDiv w:val="1"/>
      <w:marLeft w:val="0"/>
      <w:marRight w:val="0"/>
      <w:marTop w:val="0"/>
      <w:marBottom w:val="0"/>
      <w:divBdr>
        <w:top w:val="none" w:sz="0" w:space="0" w:color="auto"/>
        <w:left w:val="none" w:sz="0" w:space="0" w:color="auto"/>
        <w:bottom w:val="none" w:sz="0" w:space="0" w:color="auto"/>
        <w:right w:val="none" w:sz="0" w:space="0" w:color="auto"/>
      </w:divBdr>
    </w:div>
    <w:div w:id="1115096288">
      <w:bodyDiv w:val="1"/>
      <w:marLeft w:val="0"/>
      <w:marRight w:val="0"/>
      <w:marTop w:val="0"/>
      <w:marBottom w:val="0"/>
      <w:divBdr>
        <w:top w:val="none" w:sz="0" w:space="0" w:color="auto"/>
        <w:left w:val="none" w:sz="0" w:space="0" w:color="auto"/>
        <w:bottom w:val="none" w:sz="0" w:space="0" w:color="auto"/>
        <w:right w:val="none" w:sz="0" w:space="0" w:color="auto"/>
      </w:divBdr>
    </w:div>
    <w:div w:id="1324317545">
      <w:bodyDiv w:val="1"/>
      <w:marLeft w:val="0"/>
      <w:marRight w:val="0"/>
      <w:marTop w:val="0"/>
      <w:marBottom w:val="0"/>
      <w:divBdr>
        <w:top w:val="none" w:sz="0" w:space="0" w:color="auto"/>
        <w:left w:val="none" w:sz="0" w:space="0" w:color="auto"/>
        <w:bottom w:val="none" w:sz="0" w:space="0" w:color="auto"/>
        <w:right w:val="none" w:sz="0" w:space="0" w:color="auto"/>
      </w:divBdr>
    </w:div>
    <w:div w:id="1421173661">
      <w:bodyDiv w:val="1"/>
      <w:marLeft w:val="0"/>
      <w:marRight w:val="0"/>
      <w:marTop w:val="0"/>
      <w:marBottom w:val="0"/>
      <w:divBdr>
        <w:top w:val="none" w:sz="0" w:space="0" w:color="auto"/>
        <w:left w:val="none" w:sz="0" w:space="0" w:color="auto"/>
        <w:bottom w:val="none" w:sz="0" w:space="0" w:color="auto"/>
        <w:right w:val="none" w:sz="0" w:space="0" w:color="auto"/>
      </w:divBdr>
    </w:div>
    <w:div w:id="1484784197">
      <w:bodyDiv w:val="1"/>
      <w:marLeft w:val="0"/>
      <w:marRight w:val="0"/>
      <w:marTop w:val="0"/>
      <w:marBottom w:val="0"/>
      <w:divBdr>
        <w:top w:val="none" w:sz="0" w:space="0" w:color="auto"/>
        <w:left w:val="none" w:sz="0" w:space="0" w:color="auto"/>
        <w:bottom w:val="none" w:sz="0" w:space="0" w:color="auto"/>
        <w:right w:val="none" w:sz="0" w:space="0" w:color="auto"/>
      </w:divBdr>
    </w:div>
    <w:div w:id="1679042072">
      <w:bodyDiv w:val="1"/>
      <w:marLeft w:val="0"/>
      <w:marRight w:val="0"/>
      <w:marTop w:val="0"/>
      <w:marBottom w:val="0"/>
      <w:divBdr>
        <w:top w:val="none" w:sz="0" w:space="0" w:color="auto"/>
        <w:left w:val="none" w:sz="0" w:space="0" w:color="auto"/>
        <w:bottom w:val="none" w:sz="0" w:space="0" w:color="auto"/>
        <w:right w:val="none" w:sz="0" w:space="0" w:color="auto"/>
      </w:divBdr>
    </w:div>
    <w:div w:id="1726756934">
      <w:bodyDiv w:val="1"/>
      <w:marLeft w:val="0"/>
      <w:marRight w:val="0"/>
      <w:marTop w:val="0"/>
      <w:marBottom w:val="0"/>
      <w:divBdr>
        <w:top w:val="none" w:sz="0" w:space="0" w:color="auto"/>
        <w:left w:val="none" w:sz="0" w:space="0" w:color="auto"/>
        <w:bottom w:val="none" w:sz="0" w:space="0" w:color="auto"/>
        <w:right w:val="none" w:sz="0" w:space="0" w:color="auto"/>
      </w:divBdr>
    </w:div>
    <w:div w:id="1858614040">
      <w:bodyDiv w:val="1"/>
      <w:marLeft w:val="0"/>
      <w:marRight w:val="0"/>
      <w:marTop w:val="0"/>
      <w:marBottom w:val="0"/>
      <w:divBdr>
        <w:top w:val="none" w:sz="0" w:space="0" w:color="auto"/>
        <w:left w:val="none" w:sz="0" w:space="0" w:color="auto"/>
        <w:bottom w:val="none" w:sz="0" w:space="0" w:color="auto"/>
        <w:right w:val="none" w:sz="0" w:space="0" w:color="auto"/>
      </w:divBdr>
    </w:div>
    <w:div w:id="21218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6EA9-3EB4-4080-A0A9-D46C54C3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5023</Words>
  <Characters>27631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4</cp:revision>
  <dcterms:created xsi:type="dcterms:W3CDTF">2023-05-17T01:44:00Z</dcterms:created>
  <dcterms:modified xsi:type="dcterms:W3CDTF">2023-05-25T03:32:00Z</dcterms:modified>
</cp:coreProperties>
</file>