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220" w:rsidRDefault="007C7167" w:rsidP="00FA2B01">
      <w:pPr>
        <w:spacing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con domicilio en Metepec, Estado de México, de fecha veintidós de febrero de dos mil veintitrés. </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relativo al recurso de revisión </w:t>
      </w:r>
      <w:r>
        <w:rPr>
          <w:rFonts w:ascii="Palatino Linotype" w:eastAsia="Palatino Linotype" w:hAnsi="Palatino Linotype" w:cs="Palatino Linotype"/>
          <w:b/>
        </w:rPr>
        <w:t>13529/INFOEM/IP/RR/2022</w:t>
      </w:r>
      <w:r>
        <w:rPr>
          <w:rFonts w:ascii="Palatino Linotype" w:eastAsia="Palatino Linotype" w:hAnsi="Palatino Linotype" w:cs="Palatino Linotype"/>
        </w:rPr>
        <w:t xml:space="preserve">, interpuesto </w:t>
      </w:r>
      <w:r>
        <w:rPr>
          <w:rFonts w:ascii="Palatino Linotype" w:eastAsia="Palatino Linotype" w:hAnsi="Palatino Linotype" w:cs="Palatino Linotype"/>
          <w:b/>
        </w:rPr>
        <w:t>un particular que no proporcionó su nombre</w:t>
      </w:r>
      <w:r>
        <w:rPr>
          <w:rFonts w:ascii="Palatino Linotype" w:eastAsia="Palatino Linotype" w:hAnsi="Palatino Linotype" w:cs="Palatino Linotype"/>
        </w:rPr>
        <w:t xml:space="preserve">, en lo sucesivo se le denominara </w:t>
      </w:r>
      <w:r>
        <w:rPr>
          <w:rFonts w:ascii="Palatino Linotype" w:eastAsia="Palatino Linotype" w:hAnsi="Palatino Linotype" w:cs="Palatino Linotype"/>
          <w:b/>
        </w:rPr>
        <w:t>LA PARTE RECURRENTE</w:t>
      </w:r>
      <w:r>
        <w:rPr>
          <w:rFonts w:ascii="Palatino Linotype" w:eastAsia="Palatino Linotype" w:hAnsi="Palatino Linotype" w:cs="Palatino Linotype"/>
        </w:rPr>
        <w:t>, en contra de la respuesta a su solicitud de información con número de folio</w:t>
      </w:r>
      <w:r>
        <w:rPr>
          <w:rFonts w:ascii="Palatino Linotype" w:eastAsia="Palatino Linotype" w:hAnsi="Palatino Linotype" w:cs="Palatino Linotype"/>
          <w:b/>
        </w:rPr>
        <w:t xml:space="preserve"> 00196/JUCHITE/IP/2022,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Juchitepec</w:t>
      </w:r>
      <w:proofErr w:type="spellEnd"/>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se procede a dictar la presente resolución, con base en los siguientes:</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 N T E C E D E N T E S</w:t>
      </w:r>
    </w:p>
    <w:p w:rsidR="00036220" w:rsidRDefault="00036220" w:rsidP="00FA2B01">
      <w:pPr>
        <w:pBdr>
          <w:top w:val="nil"/>
          <w:left w:val="nil"/>
          <w:bottom w:val="nil"/>
          <w:right w:val="nil"/>
          <w:between w:val="nil"/>
        </w:pBdr>
        <w:spacing w:line="360" w:lineRule="auto"/>
        <w:ind w:left="717"/>
        <w:rPr>
          <w:rFonts w:ascii="Palatino Linotype" w:eastAsia="Palatino Linotype" w:hAnsi="Palatino Linotype" w:cs="Palatino Linotype"/>
          <w:b/>
          <w:color w:val="000000"/>
        </w:rPr>
      </w:pPr>
    </w:p>
    <w:p w:rsidR="00036220" w:rsidRDefault="007C7167" w:rsidP="00FA2B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trece de julio de dos mil veintidós,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b/>
        </w:rPr>
        <w:t>,</w:t>
      </w:r>
      <w:r>
        <w:rPr>
          <w:rFonts w:ascii="Palatino Linotype" w:eastAsia="Palatino Linotype" w:hAnsi="Palatino Linotype" w:cs="Palatino Linotype"/>
        </w:rPr>
        <w:t xml:space="preserve"> requiriéndole lo siguiente:</w:t>
      </w:r>
    </w:p>
    <w:p w:rsidR="00FA2B01" w:rsidRDefault="00FA2B01"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0"/>
          <w:szCs w:val="20"/>
        </w:rPr>
      </w:pPr>
    </w:p>
    <w:p w:rsidR="00036220"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0"/>
          <w:szCs w:val="20"/>
        </w:rPr>
      </w:pPr>
      <w:r>
        <w:rPr>
          <w:rFonts w:ascii="Palatino Linotype" w:eastAsia="Palatino Linotype" w:hAnsi="Palatino Linotype" w:cs="Palatino Linotype"/>
          <w:i/>
          <w:color w:val="404040"/>
          <w:sz w:val="20"/>
          <w:szCs w:val="20"/>
        </w:rPr>
        <w:t>“</w:t>
      </w:r>
      <w:proofErr w:type="spellStart"/>
      <w:r>
        <w:rPr>
          <w:rFonts w:ascii="Palatino Linotype" w:eastAsia="Palatino Linotype" w:hAnsi="Palatino Linotype" w:cs="Palatino Linotype"/>
          <w:i/>
          <w:color w:val="404040"/>
          <w:sz w:val="20"/>
          <w:szCs w:val="20"/>
        </w:rPr>
        <w:t>cual</w:t>
      </w:r>
      <w:proofErr w:type="spellEnd"/>
      <w:r>
        <w:rPr>
          <w:rFonts w:ascii="Palatino Linotype" w:eastAsia="Palatino Linotype" w:hAnsi="Palatino Linotype" w:cs="Palatino Linotype"/>
          <w:i/>
          <w:color w:val="404040"/>
          <w:sz w:val="20"/>
          <w:szCs w:val="20"/>
        </w:rPr>
        <w:t xml:space="preserve"> es el sueldo quincenal de la presidenta, </w:t>
      </w:r>
      <w:proofErr w:type="spellStart"/>
      <w:r>
        <w:rPr>
          <w:rFonts w:ascii="Palatino Linotype" w:eastAsia="Palatino Linotype" w:hAnsi="Palatino Linotype" w:cs="Palatino Linotype"/>
          <w:i/>
          <w:color w:val="404040"/>
          <w:sz w:val="20"/>
          <w:szCs w:val="20"/>
        </w:rPr>
        <w:t>sindico</w:t>
      </w:r>
      <w:proofErr w:type="spellEnd"/>
      <w:r>
        <w:rPr>
          <w:rFonts w:ascii="Palatino Linotype" w:eastAsia="Palatino Linotype" w:hAnsi="Palatino Linotype" w:cs="Palatino Linotype"/>
          <w:i/>
          <w:color w:val="404040"/>
          <w:sz w:val="20"/>
          <w:szCs w:val="20"/>
        </w:rPr>
        <w:t xml:space="preserve"> y regidores” (sic)</w:t>
      </w:r>
    </w:p>
    <w:p w:rsidR="00FA2B01" w:rsidRDefault="00FA2B01" w:rsidP="00FA2B01">
      <w:pPr>
        <w:spacing w:line="360" w:lineRule="auto"/>
        <w:jc w:val="both"/>
        <w:rPr>
          <w:rFonts w:ascii="Palatino Linotype" w:eastAsia="Palatino Linotype" w:hAnsi="Palatino Linotype" w:cs="Palatino Linotype"/>
          <w:b/>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Respuesta. </w:t>
      </w:r>
      <w:r w:rsidR="001A6DC7">
        <w:rPr>
          <w:rFonts w:ascii="Palatino Linotype" w:eastAsia="Palatino Linotype" w:hAnsi="Palatino Linotype" w:cs="Palatino Linotype"/>
        </w:rPr>
        <w:t xml:space="preserve">Con fecha </w:t>
      </w:r>
      <w:r w:rsidR="00FA2B01">
        <w:rPr>
          <w:rFonts w:ascii="Palatino Linotype" w:eastAsia="Palatino Linotype" w:hAnsi="Palatino Linotype" w:cs="Palatino Linotype"/>
        </w:rPr>
        <w:t xml:space="preserve">seis </w:t>
      </w:r>
      <w:r>
        <w:rPr>
          <w:rFonts w:ascii="Palatino Linotype" w:eastAsia="Palatino Linotype" w:hAnsi="Palatino Linotype" w:cs="Palatino Linotype"/>
        </w:rPr>
        <w:t xml:space="preserve">de agosto del dos mil veintidós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envió su respuesta a la solicitud de acceso a la información a través del SAIMEX, en la cual refirió lo siguiente: </w:t>
      </w:r>
    </w:p>
    <w:p w:rsidR="00036220" w:rsidRDefault="00036220"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0"/>
          <w:szCs w:val="20"/>
        </w:rPr>
      </w:pPr>
    </w:p>
    <w:p w:rsidR="00036220"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0"/>
          <w:szCs w:val="20"/>
        </w:rPr>
      </w:pPr>
      <w:r>
        <w:rPr>
          <w:rFonts w:ascii="Palatino Linotype" w:eastAsia="Palatino Linotype" w:hAnsi="Palatino Linotype" w:cs="Palatino Linotype"/>
          <w:i/>
          <w:color w:val="000000"/>
          <w:sz w:val="20"/>
          <w:szCs w:val="20"/>
        </w:rPr>
        <w:t>“En cumplimiento a lo que estableces los artículos 1, 2, 11, 12, 15, 23 fracción IV, 24, 53 fracciones II, V y 150 de la Ley de Transparencia y Acceso a la Información Pública del Estado de México y Municipios, le comento a usted, que la información de referencia. Dicha información la puede consultar en los anexos que se le proporciona a través de la plataforma SAIMEX. Sin otro particular, reciba un cordial saludo.” (</w:t>
      </w:r>
      <w:proofErr w:type="gramStart"/>
      <w:r>
        <w:rPr>
          <w:rFonts w:ascii="Palatino Linotype" w:eastAsia="Palatino Linotype" w:hAnsi="Palatino Linotype" w:cs="Palatino Linotype"/>
          <w:i/>
          <w:color w:val="000000"/>
          <w:sz w:val="20"/>
          <w:szCs w:val="20"/>
        </w:rPr>
        <w:t>sic</w:t>
      </w:r>
      <w:proofErr w:type="gramEnd"/>
      <w:r>
        <w:rPr>
          <w:rFonts w:ascii="Palatino Linotype" w:eastAsia="Palatino Linotype" w:hAnsi="Palatino Linotype" w:cs="Palatino Linotype"/>
          <w:i/>
          <w:color w:val="000000"/>
          <w:sz w:val="20"/>
          <w:szCs w:val="20"/>
        </w:rPr>
        <w:t>)</w:t>
      </w:r>
    </w:p>
    <w:p w:rsidR="00036220" w:rsidRDefault="00036220"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0"/>
          <w:szCs w:val="20"/>
        </w:rPr>
      </w:pPr>
    </w:p>
    <w:p w:rsidR="00036220" w:rsidRDefault="007C7167" w:rsidP="00FA2B01">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ajuntó el archivo </w:t>
      </w:r>
      <w:r>
        <w:rPr>
          <w:rFonts w:ascii="Palatino Linotype" w:eastAsia="Palatino Linotype" w:hAnsi="Palatino Linotype" w:cs="Palatino Linotype"/>
          <w:i/>
          <w:color w:val="000000"/>
        </w:rPr>
        <w:t xml:space="preserve">00196JUCHITEIP2022.pdf </w:t>
      </w:r>
      <w:r>
        <w:rPr>
          <w:rFonts w:ascii="Palatino Linotype" w:eastAsia="Palatino Linotype" w:hAnsi="Palatino Linotype" w:cs="Palatino Linotype"/>
          <w:color w:val="000000"/>
        </w:rPr>
        <w:t xml:space="preserve">que en su interior contiene nueve recibos de nómina en incorrecta versión pública, de la quincena comprendida entre el primero y el quince de mayo de dos mil veintidós, de las siguientes Personas Servidoras Públicas adscritas al Ayuntamiento de </w:t>
      </w:r>
      <w:proofErr w:type="spellStart"/>
      <w:r>
        <w:rPr>
          <w:rFonts w:ascii="Palatino Linotype" w:eastAsia="Palatino Linotype" w:hAnsi="Palatino Linotype" w:cs="Palatino Linotype"/>
          <w:color w:val="000000"/>
        </w:rPr>
        <w:t>Juchitepec</w:t>
      </w:r>
      <w:proofErr w:type="spellEnd"/>
      <w:r>
        <w:rPr>
          <w:rFonts w:ascii="Palatino Linotype" w:eastAsia="Palatino Linotype" w:hAnsi="Palatino Linotype" w:cs="Palatino Linotype"/>
          <w:color w:val="000000"/>
        </w:rPr>
        <w:t xml:space="preserve">: </w:t>
      </w:r>
    </w:p>
    <w:p w:rsidR="00036220" w:rsidRDefault="00036220" w:rsidP="00FA2B01">
      <w:pPr>
        <w:spacing w:line="360" w:lineRule="auto"/>
        <w:ind w:right="49"/>
        <w:jc w:val="both"/>
        <w:rPr>
          <w:rFonts w:ascii="Palatino Linotype" w:eastAsia="Palatino Linotype" w:hAnsi="Palatino Linotype" w:cs="Palatino Linotype"/>
          <w:color w:val="000000"/>
        </w:rPr>
      </w:pPr>
    </w:p>
    <w:p w:rsidR="00036220" w:rsidRPr="001A6DC7" w:rsidRDefault="007C7167" w:rsidP="00FA2B0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A6DC7">
        <w:rPr>
          <w:rFonts w:ascii="Palatino Linotype" w:eastAsia="Palatino Linotype" w:hAnsi="Palatino Linotype" w:cs="Palatino Linotype"/>
          <w:color w:val="000000"/>
        </w:rPr>
        <w:t xml:space="preserve">Presidenta Municipal de </w:t>
      </w:r>
      <w:proofErr w:type="spellStart"/>
      <w:r w:rsidRPr="001A6DC7">
        <w:rPr>
          <w:rFonts w:ascii="Palatino Linotype" w:eastAsia="Palatino Linotype" w:hAnsi="Palatino Linotype" w:cs="Palatino Linotype"/>
          <w:color w:val="000000"/>
        </w:rPr>
        <w:t>Juchitepec</w:t>
      </w:r>
      <w:proofErr w:type="spellEnd"/>
      <w:r w:rsidRPr="001A6DC7">
        <w:rPr>
          <w:rFonts w:ascii="Palatino Linotype" w:eastAsia="Palatino Linotype" w:hAnsi="Palatino Linotype" w:cs="Palatino Linotype"/>
          <w:color w:val="000000"/>
        </w:rPr>
        <w:t>;</w:t>
      </w:r>
    </w:p>
    <w:p w:rsidR="00036220" w:rsidRPr="001A6DC7" w:rsidRDefault="007C7167" w:rsidP="00FA2B0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A6DC7">
        <w:rPr>
          <w:rFonts w:ascii="Palatino Linotype" w:eastAsia="Palatino Linotype" w:hAnsi="Palatino Linotype" w:cs="Palatino Linotype"/>
          <w:color w:val="000000"/>
        </w:rPr>
        <w:t xml:space="preserve">Síndico de </w:t>
      </w:r>
      <w:proofErr w:type="spellStart"/>
      <w:r w:rsidRPr="001A6DC7">
        <w:rPr>
          <w:rFonts w:ascii="Palatino Linotype" w:eastAsia="Palatino Linotype" w:hAnsi="Palatino Linotype" w:cs="Palatino Linotype"/>
          <w:color w:val="000000"/>
        </w:rPr>
        <w:t>Juchitepec</w:t>
      </w:r>
      <w:proofErr w:type="spellEnd"/>
      <w:r w:rsidRPr="001A6DC7">
        <w:rPr>
          <w:rFonts w:ascii="Palatino Linotype" w:eastAsia="Palatino Linotype" w:hAnsi="Palatino Linotype" w:cs="Palatino Linotype"/>
          <w:color w:val="000000"/>
        </w:rPr>
        <w:t xml:space="preserve">; </w:t>
      </w:r>
    </w:p>
    <w:p w:rsidR="00036220" w:rsidRPr="001A6DC7" w:rsidRDefault="007C7167" w:rsidP="00FA2B0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A6DC7">
        <w:rPr>
          <w:rFonts w:ascii="Palatino Linotype" w:eastAsia="Palatino Linotype" w:hAnsi="Palatino Linotype" w:cs="Palatino Linotype"/>
          <w:color w:val="000000"/>
        </w:rPr>
        <w:t xml:space="preserve">Primera regiduría; </w:t>
      </w:r>
    </w:p>
    <w:p w:rsidR="00036220" w:rsidRPr="001A6DC7" w:rsidRDefault="007C7167" w:rsidP="00FA2B0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A6DC7">
        <w:rPr>
          <w:rFonts w:ascii="Palatino Linotype" w:eastAsia="Palatino Linotype" w:hAnsi="Palatino Linotype" w:cs="Palatino Linotype"/>
          <w:color w:val="000000"/>
        </w:rPr>
        <w:t xml:space="preserve">Segunda regiduría; </w:t>
      </w:r>
    </w:p>
    <w:p w:rsidR="00036220" w:rsidRPr="001A6DC7" w:rsidRDefault="007C7167" w:rsidP="00FA2B0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A6DC7">
        <w:rPr>
          <w:rFonts w:ascii="Palatino Linotype" w:eastAsia="Palatino Linotype" w:hAnsi="Palatino Linotype" w:cs="Palatino Linotype"/>
          <w:color w:val="000000"/>
        </w:rPr>
        <w:t xml:space="preserve">Tercera regiduría; </w:t>
      </w:r>
    </w:p>
    <w:p w:rsidR="00036220" w:rsidRPr="001A6DC7" w:rsidRDefault="007C7167" w:rsidP="00FA2B0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A6DC7">
        <w:rPr>
          <w:rFonts w:ascii="Palatino Linotype" w:eastAsia="Palatino Linotype" w:hAnsi="Palatino Linotype" w:cs="Palatino Linotype"/>
          <w:color w:val="000000"/>
        </w:rPr>
        <w:t xml:space="preserve">Cuarta regiduría; </w:t>
      </w:r>
    </w:p>
    <w:p w:rsidR="00036220" w:rsidRPr="001A6DC7" w:rsidRDefault="007C7167" w:rsidP="00FA2B0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1A6DC7">
        <w:rPr>
          <w:rFonts w:ascii="Palatino Linotype" w:eastAsia="Palatino Linotype" w:hAnsi="Palatino Linotype" w:cs="Palatino Linotype"/>
          <w:color w:val="000000"/>
        </w:rPr>
        <w:t>Quinta regiduría;</w:t>
      </w:r>
      <w:r w:rsidR="006719C7">
        <w:rPr>
          <w:rFonts w:ascii="Palatino Linotype" w:eastAsia="Palatino Linotype" w:hAnsi="Palatino Linotype" w:cs="Palatino Linotype"/>
          <w:color w:val="000000"/>
        </w:rPr>
        <w:t xml:space="preserve"> y,</w:t>
      </w:r>
    </w:p>
    <w:p w:rsidR="00036220" w:rsidRPr="001A6DC7" w:rsidRDefault="006719C7" w:rsidP="00FA2B01">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Séptima regiduría.</w:t>
      </w:r>
    </w:p>
    <w:p w:rsidR="00036220" w:rsidRDefault="007C7167" w:rsidP="00FA2B0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con la respuesta del </w:t>
      </w:r>
      <w:r>
        <w:rPr>
          <w:rFonts w:ascii="Palatino Linotype" w:eastAsia="Palatino Linotype" w:hAnsi="Palatino Linotype" w:cs="Palatino Linotype"/>
          <w:b/>
        </w:rPr>
        <w:t>SUJETO OBLIGADO, LA PARTE RECURRENTE</w:t>
      </w:r>
      <w:r>
        <w:rPr>
          <w:rFonts w:ascii="Palatino Linotype" w:eastAsia="Palatino Linotype" w:hAnsi="Palatino Linotype" w:cs="Palatino Linotype"/>
        </w:rPr>
        <w:t xml:space="preserve"> interpuso recurso de revisión a través del SAIMEX en fecha veintidós de agosto de dos mil veintidós, a través del cual expresó lo siguiente:</w:t>
      </w:r>
    </w:p>
    <w:p w:rsidR="00036220" w:rsidRDefault="00036220" w:rsidP="00FA2B01">
      <w:pPr>
        <w:spacing w:line="360" w:lineRule="auto"/>
        <w:ind w:right="49"/>
        <w:jc w:val="both"/>
        <w:rPr>
          <w:rFonts w:ascii="Palatino Linotype" w:eastAsia="Palatino Linotype" w:hAnsi="Palatino Linotype" w:cs="Palatino Linotype"/>
        </w:rPr>
      </w:pPr>
    </w:p>
    <w:p w:rsidR="00036220" w:rsidRDefault="007C7167" w:rsidP="00FA2B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Acto impugnado.</w:t>
      </w:r>
    </w:p>
    <w:p w:rsidR="00036220" w:rsidRPr="00FA2B01"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2"/>
          <w:szCs w:val="22"/>
        </w:rPr>
      </w:pPr>
      <w:r w:rsidRPr="001A6DC7">
        <w:rPr>
          <w:rFonts w:ascii="Palatino Linotype" w:eastAsia="Palatino Linotype" w:hAnsi="Palatino Linotype" w:cs="Palatino Linotype"/>
          <w:i/>
          <w:color w:val="404040"/>
        </w:rPr>
        <w:t>“</w:t>
      </w:r>
      <w:proofErr w:type="spellStart"/>
      <w:r w:rsidRPr="001A6DC7">
        <w:rPr>
          <w:rFonts w:ascii="Palatino Linotype" w:eastAsia="Palatino Linotype" w:hAnsi="Palatino Linotype" w:cs="Palatino Linotype"/>
          <w:i/>
          <w:color w:val="404040"/>
        </w:rPr>
        <w:t>cual</w:t>
      </w:r>
      <w:proofErr w:type="spellEnd"/>
      <w:r w:rsidRPr="001A6DC7">
        <w:rPr>
          <w:rFonts w:ascii="Palatino Linotype" w:eastAsia="Palatino Linotype" w:hAnsi="Palatino Linotype" w:cs="Palatino Linotype"/>
          <w:i/>
          <w:color w:val="404040"/>
        </w:rPr>
        <w:t xml:space="preserve"> es el sueldo quincenal de la presidenta, </w:t>
      </w:r>
      <w:proofErr w:type="spellStart"/>
      <w:r w:rsidRPr="001A6DC7">
        <w:rPr>
          <w:rFonts w:ascii="Palatino Linotype" w:eastAsia="Palatino Linotype" w:hAnsi="Palatino Linotype" w:cs="Palatino Linotype"/>
          <w:i/>
          <w:color w:val="404040"/>
        </w:rPr>
        <w:t>sindico</w:t>
      </w:r>
      <w:proofErr w:type="spellEnd"/>
      <w:r w:rsidRPr="001A6DC7">
        <w:rPr>
          <w:rFonts w:ascii="Palatino Linotype" w:eastAsia="Palatino Linotype" w:hAnsi="Palatino Linotype" w:cs="Palatino Linotype"/>
          <w:i/>
          <w:color w:val="404040"/>
        </w:rPr>
        <w:t xml:space="preserve"> y regidores” (sic)</w:t>
      </w:r>
    </w:p>
    <w:p w:rsidR="00036220" w:rsidRDefault="007C7167" w:rsidP="00FA2B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Motivos de inconformidad.</w:t>
      </w:r>
      <w:r>
        <w:rPr>
          <w:rFonts w:ascii="Palatino Linotype" w:eastAsia="Palatino Linotype" w:hAnsi="Palatino Linotype" w:cs="Palatino Linotype"/>
          <w:b/>
        </w:rPr>
        <w:tab/>
      </w:r>
    </w:p>
    <w:p w:rsidR="00036220" w:rsidRPr="00FA2B01"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rPr>
      </w:pPr>
      <w:r w:rsidRPr="00FA2B01">
        <w:rPr>
          <w:rFonts w:ascii="Palatino Linotype" w:eastAsia="Palatino Linotype" w:hAnsi="Palatino Linotype" w:cs="Palatino Linotype"/>
          <w:i/>
          <w:color w:val="404040"/>
          <w:sz w:val="22"/>
          <w:szCs w:val="22"/>
        </w:rPr>
        <w:t>“</w:t>
      </w:r>
      <w:r w:rsidRPr="00FA2B01">
        <w:rPr>
          <w:rFonts w:ascii="Palatino Linotype" w:eastAsia="Palatino Linotype" w:hAnsi="Palatino Linotype" w:cs="Palatino Linotype"/>
          <w:i/>
          <w:color w:val="000000"/>
          <w:sz w:val="22"/>
          <w:szCs w:val="22"/>
        </w:rPr>
        <w:t xml:space="preserve">me </w:t>
      </w:r>
      <w:proofErr w:type="spellStart"/>
      <w:r w:rsidRPr="00FA2B01">
        <w:rPr>
          <w:rFonts w:ascii="Palatino Linotype" w:eastAsia="Palatino Linotype" w:hAnsi="Palatino Linotype" w:cs="Palatino Linotype"/>
          <w:i/>
          <w:color w:val="000000"/>
          <w:sz w:val="22"/>
          <w:szCs w:val="22"/>
        </w:rPr>
        <w:t>estan</w:t>
      </w:r>
      <w:proofErr w:type="spellEnd"/>
      <w:r w:rsidRPr="00FA2B01">
        <w:rPr>
          <w:rFonts w:ascii="Palatino Linotype" w:eastAsia="Palatino Linotype" w:hAnsi="Palatino Linotype" w:cs="Palatino Linotype"/>
          <w:i/>
          <w:color w:val="000000"/>
          <w:sz w:val="22"/>
          <w:szCs w:val="22"/>
        </w:rPr>
        <w:t xml:space="preserve"> negando la </w:t>
      </w:r>
      <w:proofErr w:type="spellStart"/>
      <w:r w:rsidRPr="00FA2B01">
        <w:rPr>
          <w:rFonts w:ascii="Palatino Linotype" w:eastAsia="Palatino Linotype" w:hAnsi="Palatino Linotype" w:cs="Palatino Linotype"/>
          <w:i/>
          <w:color w:val="000000"/>
          <w:sz w:val="22"/>
          <w:szCs w:val="22"/>
        </w:rPr>
        <w:t>informacion</w:t>
      </w:r>
      <w:proofErr w:type="spellEnd"/>
      <w:r w:rsidRPr="00FA2B01">
        <w:rPr>
          <w:rFonts w:ascii="Palatino Linotype" w:eastAsia="Palatino Linotype" w:hAnsi="Palatino Linotype" w:cs="Palatino Linotype"/>
          <w:i/>
          <w:color w:val="404040"/>
          <w:sz w:val="22"/>
          <w:szCs w:val="22"/>
        </w:rPr>
        <w:t>” (sic</w:t>
      </w:r>
      <w:r w:rsidRPr="00FA2B01">
        <w:rPr>
          <w:rFonts w:ascii="Palatino Linotype" w:eastAsia="Palatino Linotype" w:hAnsi="Palatino Linotype" w:cs="Palatino Linotype"/>
          <w:i/>
          <w:color w:val="404040"/>
        </w:rPr>
        <w:t>)</w:t>
      </w:r>
    </w:p>
    <w:p w:rsidR="00036220" w:rsidRDefault="00036220" w:rsidP="00FA2B01">
      <w:pPr>
        <w:spacing w:line="360" w:lineRule="auto"/>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13529/INFOEM/IP/RR/2022, </w:t>
      </w:r>
      <w:r>
        <w:rPr>
          <w:rFonts w:ascii="Palatino Linotype" w:eastAsia="Palatino Linotype" w:hAnsi="Palatino Linotype" w:cs="Palatino Linotype"/>
        </w:rPr>
        <w:t xml:space="preserve">se turnó por el sistema electrónico del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para su análisis, estudio, elaboración del proyecto y presentación ante el Pleno de este Instituto.</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del recurso de revisión: </w:t>
      </w:r>
      <w:r>
        <w:rPr>
          <w:rFonts w:ascii="Palatino Linotype" w:eastAsia="Palatino Linotype" w:hAnsi="Palatino Linotype" w:cs="Palatino Linotype"/>
        </w:rPr>
        <w:t xml:space="preserve">En fecha </w:t>
      </w:r>
      <w:r w:rsidRPr="00FA2B01">
        <w:rPr>
          <w:rFonts w:ascii="Palatino Linotype" w:eastAsia="Palatino Linotype" w:hAnsi="Palatino Linotype" w:cs="Palatino Linotype"/>
          <w:b/>
        </w:rPr>
        <w:t>veinticinco de agosto de dos mil veintidós,</w:t>
      </w:r>
      <w:r>
        <w:rPr>
          <w:rFonts w:ascii="Palatino Linotype" w:eastAsia="Palatino Linotype" w:hAnsi="Palatino Linotype" w:cs="Palatino Linotype"/>
        </w:rPr>
        <w:t xml:space="preserve">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admitió a trámite el recurso de revisión que ahora se resuelve, dando un plazo máximo de siete días hábiles para que las partes manifestaran lo que a su derecho resultara conveniente, ofrecieran pruebas, formularan alegatos y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presentara su informe justificado.</w:t>
      </w:r>
    </w:p>
    <w:p w:rsidR="00036220" w:rsidRDefault="007C7167" w:rsidP="00FA2B0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en que se actúa se advierte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fue omiso en ofrecer pruebas o expresar alegatos y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no remitió su Informe Justificado, tal como se </w:t>
      </w:r>
      <w:r>
        <w:rPr>
          <w:rFonts w:ascii="Palatino Linotype" w:eastAsia="Palatino Linotype" w:hAnsi="Palatino Linotype" w:cs="Palatino Linotype"/>
          <w:color w:val="000000"/>
        </w:rPr>
        <w:lastRenderedPageBreak/>
        <w:t xml:space="preserve">aprecia. </w:t>
      </w:r>
    </w:p>
    <w:p w:rsidR="00036220" w:rsidRDefault="007C7167" w:rsidP="00FA2B0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extent cx="5873950" cy="1657971"/>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4509" t="27021" r="24545" b="47413"/>
                    <a:stretch>
                      <a:fillRect/>
                    </a:stretch>
                  </pic:blipFill>
                  <pic:spPr>
                    <a:xfrm>
                      <a:off x="0" y="0"/>
                      <a:ext cx="5873950" cy="1657971"/>
                    </a:xfrm>
                    <a:prstGeom prst="rect">
                      <a:avLst/>
                    </a:prstGeom>
                    <a:ln/>
                  </pic:spPr>
                </pic:pic>
              </a:graphicData>
            </a:graphic>
          </wp:inline>
        </w:drawing>
      </w: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siete de febrero de dos mil veintitrés</w:t>
      </w:r>
      <w:r>
        <w:rPr>
          <w:rFonts w:ascii="Palatino Linotype" w:eastAsia="Palatino Linotype" w:hAnsi="Palatino Linotype" w:cs="Palatino Linotype"/>
        </w:rPr>
        <w:t xml:space="preserve">,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rsidR="00036220" w:rsidRDefault="00036220" w:rsidP="00FA2B01">
      <w:pPr>
        <w:widowControl w:val="0"/>
        <w:spacing w:line="360" w:lineRule="auto"/>
        <w:jc w:val="both"/>
        <w:rPr>
          <w:rFonts w:ascii="Palatino Linotype" w:eastAsia="Palatino Linotype" w:hAnsi="Palatino Linotype" w:cs="Palatino Linotype"/>
          <w:b/>
        </w:rPr>
      </w:pPr>
    </w:p>
    <w:p w:rsidR="00036220" w:rsidRDefault="007C7167" w:rsidP="00FA2B0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ocho de febrero de dos mil veintitrés</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ampliar el plazo para emitir la presente resolución. </w:t>
      </w:r>
    </w:p>
    <w:p w:rsidR="00036220" w:rsidRDefault="00036220" w:rsidP="00FA2B01">
      <w:pPr>
        <w:widowControl w:val="0"/>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w:t>
      </w:r>
      <w:r w:rsidR="00FA2B01">
        <w:rPr>
          <w:rFonts w:ascii="Palatino Linotype" w:eastAsia="Palatino Linotype" w:hAnsi="Palatino Linotype" w:cs="Palatino Linotype"/>
        </w:rPr>
        <w:t xml:space="preserve">dos mil veintiuno </w:t>
      </w:r>
      <w:r>
        <w:rPr>
          <w:rFonts w:ascii="Palatino Linotype" w:eastAsia="Palatino Linotype" w:hAnsi="Palatino Linotype" w:cs="Palatino Linotype"/>
        </w:rPr>
        <w:t xml:space="preserve">dentro del mismo periodo, se ha incrementado aproximadamente un 400%, circunstancia atípica que </w:t>
      </w:r>
      <w:r>
        <w:rPr>
          <w:rFonts w:ascii="Palatino Linotype" w:eastAsia="Palatino Linotype" w:hAnsi="Palatino Linotype" w:cs="Palatino Linotype"/>
        </w:rPr>
        <w:lastRenderedPageBreak/>
        <w:t>ha rebasado las capacidades técnicas y humanas del personal encargado de la proyección de las resoluciones a dichos medios de impugnación.</w:t>
      </w:r>
    </w:p>
    <w:p w:rsidR="00FA2B01" w:rsidRDefault="00FA2B01"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A2B01" w:rsidRDefault="00FA2B01"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A2B01" w:rsidRDefault="00FA2B01"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FA2B01" w:rsidRDefault="00FA2B01"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036220" w:rsidRDefault="007C7167" w:rsidP="00FA2B01">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Complejidad del Asunto: </w:t>
      </w:r>
      <w:r>
        <w:rPr>
          <w:rFonts w:ascii="Palatino Linotype" w:eastAsia="Palatino Linotype" w:hAnsi="Palatino Linotype" w:cs="Palatino Linotype"/>
        </w:rPr>
        <w:t xml:space="preserve">La complejidad de la prueba, la pluralidad de sujetos procesales, el tiempo transcurrido, las características y contexto del recurso. </w:t>
      </w:r>
    </w:p>
    <w:p w:rsidR="00036220" w:rsidRDefault="007C7167" w:rsidP="00FA2B01">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Actividad Procesal del interesado:</w:t>
      </w:r>
      <w:r>
        <w:rPr>
          <w:rFonts w:ascii="Palatino Linotype" w:eastAsia="Palatino Linotype" w:hAnsi="Palatino Linotype" w:cs="Palatino Linotype"/>
        </w:rPr>
        <w:t xml:space="preserve"> Acciones u omisiones del interesado.</w:t>
      </w:r>
    </w:p>
    <w:p w:rsidR="00036220" w:rsidRDefault="007C7167" w:rsidP="00FA2B01">
      <w:pPr>
        <w:numPr>
          <w:ilvl w:val="0"/>
          <w:numId w:val="3"/>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Conducta de la Autoridad:</w:t>
      </w:r>
      <w:r>
        <w:rPr>
          <w:rFonts w:ascii="Palatino Linotype" w:eastAsia="Palatino Linotype" w:hAnsi="Palatino Linotype" w:cs="Palatino Linotype"/>
        </w:rPr>
        <w:t xml:space="preserve"> Las Acciones u omisiones realizadas en el procedimiento. Así como si la autoridad actuó con la debida diligencia.</w:t>
      </w:r>
    </w:p>
    <w:p w:rsidR="00036220" w:rsidRDefault="007C7167" w:rsidP="00FA2B01">
      <w:pPr>
        <w:numPr>
          <w:ilvl w:val="0"/>
          <w:numId w:val="3"/>
        </w:numPr>
        <w:pBdr>
          <w:top w:val="nil"/>
          <w:left w:val="nil"/>
          <w:bottom w:val="nil"/>
          <w:right w:val="nil"/>
          <w:between w:val="nil"/>
        </w:pBdr>
        <w:spacing w:line="360" w:lineRule="auto"/>
        <w:rPr>
          <w:rFonts w:ascii="Palatino Linotype" w:eastAsia="Palatino Linotype" w:hAnsi="Palatino Linotype" w:cs="Palatino Linotype"/>
          <w:color w:val="000000"/>
        </w:rPr>
      </w:pPr>
      <w:r>
        <w:rPr>
          <w:rFonts w:ascii="Palatino Linotype" w:eastAsia="Palatino Linotype" w:hAnsi="Palatino Linotype" w:cs="Palatino Linotype"/>
          <w:color w:val="000000"/>
        </w:rPr>
        <w:t>La afectación generada en la situación jurídica de la persona involucrada en el proceso: Violación a sus derechos humanos.</w:t>
      </w:r>
    </w:p>
    <w:p w:rsidR="00036220" w:rsidRDefault="00036220" w:rsidP="00FA2B01">
      <w:pPr>
        <w:pBdr>
          <w:top w:val="nil"/>
          <w:left w:val="nil"/>
          <w:bottom w:val="nil"/>
          <w:right w:val="nil"/>
          <w:between w:val="nil"/>
        </w:pBdr>
        <w:spacing w:line="360" w:lineRule="auto"/>
        <w:ind w:left="927" w:hanging="360"/>
        <w:rPr>
          <w:rFonts w:ascii="Palatino Linotype" w:eastAsia="Palatino Linotype" w:hAnsi="Palatino Linotype" w:cs="Palatino Linotype"/>
          <w:color w:val="000000"/>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A2B01" w:rsidRDefault="00FA2B01"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encuentra sustento en la jurisprudencia P</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J. 32/92 emitida por el Pleno de la Suprema Corte de Justicia de la Nación de rubro </w:t>
      </w:r>
      <w:r>
        <w:rPr>
          <w:rFonts w:ascii="Palatino Linotype" w:eastAsia="Palatino Linotype" w:hAnsi="Palatino Linotype" w:cs="Palatino Linotype"/>
          <w:b/>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b/>
        </w:rPr>
        <w:t>,</w:t>
      </w:r>
      <w:r>
        <w:rPr>
          <w:rFonts w:ascii="Palatino Linotype" w:eastAsia="Palatino Linotype" w:hAnsi="Palatino Linotype" w:cs="Palatino Linotype"/>
        </w:rPr>
        <w:t xml:space="preserve"> visible en la Gaceta del Seminario Judicial de la Federación con el registro digital 205635.</w:t>
      </w: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A2B01" w:rsidRDefault="00FA2B01"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FA2B01" w:rsidRDefault="00FA2B01"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 </w:t>
      </w:r>
      <w:r>
        <w:rPr>
          <w:rFonts w:ascii="Palatino Linotype" w:eastAsia="Palatino Linotype" w:hAnsi="Palatino Linotype" w:cs="Palatino Linotype"/>
          <w:b/>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i/>
        </w:rPr>
        <w:t>“PLAZO RAZONABLE PARA RESOLVER. CONCEPTO Y ELEMENTOS QUE LO INTEGRAN A LA LUZ DEL DERECHO INTERNACIONAL DE LOS DERECHOS HUMANOS.”</w:t>
      </w:r>
      <w:r>
        <w:rPr>
          <w:rFonts w:ascii="Palatino Linotype" w:eastAsia="Palatino Linotype" w:hAnsi="Palatino Linotype" w:cs="Palatino Linotype"/>
          <w:b/>
        </w:rPr>
        <w:t>,</w:t>
      </w:r>
      <w:r>
        <w:rPr>
          <w:rFonts w:ascii="Palatino Linotype" w:eastAsia="Palatino Linotype" w:hAnsi="Palatino Linotype" w:cs="Palatino Linotype"/>
        </w:rPr>
        <w:t xml:space="preserve"> visible en el Seminario Judicial de la Federación y su gaceta, con el registro digital 2002350.</w:t>
      </w: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2" w:name="_heading=h.30j0zll" w:colFirst="0" w:colLast="0"/>
      <w:bookmarkEnd w:id="2"/>
      <w:r>
        <w:rPr>
          <w:rFonts w:ascii="Palatino Linotype" w:eastAsia="Palatino Linotype" w:hAnsi="Palatino Linotype" w:cs="Palatino Linotype"/>
          <w:b/>
          <w:color w:val="000000"/>
          <w:sz w:val="22"/>
          <w:szCs w:val="22"/>
        </w:rPr>
        <w:t xml:space="preserve">C O N S I D E R A N D O </w:t>
      </w:r>
    </w:p>
    <w:p w:rsidR="00036220" w:rsidRDefault="00036220" w:rsidP="00FA2B01">
      <w:pPr>
        <w:pBdr>
          <w:top w:val="nil"/>
          <w:left w:val="nil"/>
          <w:bottom w:val="nil"/>
          <w:right w:val="nil"/>
          <w:between w:val="nil"/>
        </w:pBdr>
        <w:spacing w:line="360" w:lineRule="auto"/>
        <w:rPr>
          <w:rFonts w:ascii="Palatino Linotype" w:eastAsia="Palatino Linotype" w:hAnsi="Palatino Linotype" w:cs="Palatino Linotype"/>
          <w:b/>
          <w:color w:val="000000"/>
        </w:rPr>
      </w:pPr>
    </w:p>
    <w:p w:rsidR="00036220" w:rsidRDefault="007C7167" w:rsidP="00FA2B01">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036220" w:rsidRDefault="00036220" w:rsidP="00FA2B01">
      <w:pPr>
        <w:spacing w:line="360" w:lineRule="auto"/>
        <w:jc w:val="both"/>
        <w:rPr>
          <w:rFonts w:ascii="Palatino Linotype" w:eastAsia="Palatino Linotype" w:hAnsi="Palatino Linotype" w:cs="Palatino Linotype"/>
          <w:highlight w:val="whit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w:t>
      </w:r>
      <w:proofErr w:type="spellStart"/>
      <w:r>
        <w:rPr>
          <w:rFonts w:ascii="Palatino Linotype" w:eastAsia="Palatino Linotype" w:hAnsi="Palatino Linotype" w:cs="Palatino Linotype"/>
          <w:b/>
        </w:rPr>
        <w:t>Procedibilidad</w:t>
      </w:r>
      <w:proofErr w:type="spellEnd"/>
      <w:r>
        <w:rPr>
          <w:rFonts w:ascii="Palatino Linotype" w:eastAsia="Palatino Linotype" w:hAnsi="Palatino Linotype" w:cs="Palatino Linotype"/>
          <w:b/>
        </w:rPr>
        <w:t xml:space="preserve"> del Recurso de Revisión</w:t>
      </w:r>
      <w:r>
        <w:rPr>
          <w:rFonts w:ascii="Palatino Linotype" w:eastAsia="Palatino Linotype" w:hAnsi="Palatino Linotype" w:cs="Palatino Linotype"/>
        </w:rPr>
        <w:t xml:space="preserve">. Previo al estudio del fondo del asunto, se procede a analizar los requisitos de oportunidad y </w:t>
      </w:r>
      <w:proofErr w:type="spellStart"/>
      <w:r>
        <w:rPr>
          <w:rFonts w:ascii="Palatino Linotype" w:eastAsia="Palatino Linotype" w:hAnsi="Palatino Linotype" w:cs="Palatino Linotype"/>
        </w:rPr>
        <w:lastRenderedPageBreak/>
        <w:t>procedibilidad</w:t>
      </w:r>
      <w:proofErr w:type="spellEnd"/>
      <w:r>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ya que</w:t>
      </w:r>
      <w:r>
        <w:rPr>
          <w:rFonts w:ascii="Palatino Linotype" w:eastAsia="Palatino Linotype" w:hAnsi="Palatino Linotype" w:cs="Palatino Linotype"/>
          <w:b/>
        </w:rPr>
        <w:t xml:space="preserve"> EL</w:t>
      </w:r>
      <w:r>
        <w:rPr>
          <w:rFonts w:ascii="Palatino Linotype" w:eastAsia="Palatino Linotype" w:hAnsi="Palatino Linotype" w:cs="Palatino Linotype"/>
        </w:rPr>
        <w:t xml:space="preserv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su respuesta a la solicitud de información el ocho de agosto del dos mil veintidós, y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su recurso de revisión el veintidós de agosto del mismo año; esto es, al décimo día hábil siguiente que tuvo conocimiento de la respuesta. </w:t>
      </w:r>
    </w:p>
    <w:p w:rsidR="00036220" w:rsidRDefault="00036220" w:rsidP="00FA2B01">
      <w:pPr>
        <w:spacing w:line="360" w:lineRule="auto"/>
        <w:ind w:right="49"/>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w:t>
      </w:r>
      <w:proofErr w:type="spellStart"/>
      <w:r>
        <w:rPr>
          <w:rFonts w:ascii="Palatino Linotype" w:eastAsia="Palatino Linotype" w:hAnsi="Palatino Linotype" w:cs="Palatino Linotype"/>
        </w:rPr>
        <w:t>procedibilidad</w:t>
      </w:r>
      <w:proofErr w:type="spellEnd"/>
      <w:r>
        <w:rPr>
          <w:rFonts w:ascii="Palatino Linotype" w:eastAsia="Palatino Linotype" w:hAnsi="Palatino Linotype" w:cs="Palatino Linotype"/>
        </w:rPr>
        <w:t xml:space="preserve"> del recurso de revisión, es de suma importancia señalar que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36220" w:rsidRDefault="00036220" w:rsidP="00FA2B01">
      <w:pPr>
        <w:spacing w:line="360" w:lineRule="auto"/>
        <w:ind w:left="851" w:right="902"/>
        <w:jc w:val="both"/>
        <w:rPr>
          <w:rFonts w:ascii="Palatino Linotype" w:eastAsia="Palatino Linotype" w:hAnsi="Palatino Linotype" w:cs="Palatino Linotype"/>
          <w:i/>
          <w:sz w:val="22"/>
          <w:szCs w:val="22"/>
        </w:rPr>
      </w:pPr>
    </w:p>
    <w:p w:rsidR="00036220" w:rsidRDefault="007C7167" w:rsidP="00FA2B01">
      <w:pPr>
        <w:spacing w:line="360"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036220" w:rsidRDefault="00036220" w:rsidP="00FA2B01">
      <w:pPr>
        <w:spacing w:line="360" w:lineRule="auto"/>
        <w:ind w:left="851" w:right="902"/>
        <w:jc w:val="both"/>
        <w:rPr>
          <w:rFonts w:ascii="Palatino Linotype" w:eastAsia="Palatino Linotype" w:hAnsi="Palatino Linotype" w:cs="Palatino Linotype"/>
          <w:i/>
          <w:sz w:val="22"/>
          <w:szCs w:val="22"/>
        </w:rPr>
      </w:pPr>
    </w:p>
    <w:p w:rsidR="00036220" w:rsidRDefault="007C7167" w:rsidP="00FA2B0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036220" w:rsidRDefault="00036220" w:rsidP="00FA2B01">
      <w:pPr>
        <w:spacing w:line="360" w:lineRule="auto"/>
        <w:jc w:val="both"/>
        <w:rPr>
          <w:rFonts w:ascii="Palatino Linotype" w:eastAsia="Palatino Linotype" w:hAnsi="Palatino Linotype" w:cs="Palatino Linotype"/>
          <w:color w:val="000000"/>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rsidR="00036220" w:rsidRDefault="00036220" w:rsidP="00FA2B01">
      <w:pPr>
        <w:spacing w:line="360" w:lineRule="auto"/>
        <w:ind w:left="1276" w:right="1752"/>
        <w:jc w:val="both"/>
        <w:rPr>
          <w:rFonts w:ascii="Palatino Linotype" w:eastAsia="Palatino Linotype" w:hAnsi="Palatino Linotype" w:cs="Palatino Linotype"/>
          <w:b/>
          <w:i/>
          <w:sz w:val="22"/>
          <w:szCs w:val="22"/>
        </w:rPr>
      </w:pPr>
    </w:p>
    <w:p w:rsidR="00036220" w:rsidRDefault="007C7167" w:rsidP="00FA2B01">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rsidR="00036220" w:rsidRDefault="007C7167" w:rsidP="00FA2B01">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La negativa a la información solicitada;</w:t>
      </w:r>
    </w:p>
    <w:p w:rsidR="00036220" w:rsidRDefault="007C7167" w:rsidP="00FA2B01">
      <w:pPr>
        <w:spacing w:line="360" w:lineRule="auto"/>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36220" w:rsidRDefault="00036220" w:rsidP="00FA2B01">
      <w:pPr>
        <w:spacing w:line="360" w:lineRule="auto"/>
        <w:ind w:left="1276" w:right="1752"/>
        <w:jc w:val="both"/>
        <w:rPr>
          <w:rFonts w:ascii="Palatino Linotype" w:eastAsia="Palatino Linotype" w:hAnsi="Palatino Linotype" w:cs="Palatino Linotype"/>
          <w:i/>
          <w:sz w:val="22"/>
          <w:szCs w:val="22"/>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emitida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LA PARTE RECURRENTE</w:t>
      </w:r>
      <w:r>
        <w:rPr>
          <w:rFonts w:ascii="Palatino Linotype" w:eastAsia="Palatino Linotype" w:hAnsi="Palatino Linotype" w:cs="Palatino Linotype"/>
        </w:rPr>
        <w:t>, o en su defecto, en caso de ser procedente, ordenar la entrega de información.</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36220" w:rsidRPr="00626CB3"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sidRPr="00626CB3">
        <w:rPr>
          <w:rFonts w:ascii="Palatino Linotype" w:eastAsia="Palatino Linotype" w:hAnsi="Palatino Linotype" w:cs="Palatino Linotype"/>
          <w:b/>
          <w:i/>
          <w:color w:val="404040"/>
          <w:sz w:val="22"/>
          <w:szCs w:val="22"/>
        </w:rPr>
        <w:t>Artículo 4</w:t>
      </w:r>
      <w:r w:rsidRPr="00626CB3">
        <w:rPr>
          <w:rFonts w:ascii="Palatino Linotype" w:eastAsia="Palatino Linotype" w:hAnsi="Palatino Linotype" w:cs="Palatino Linotype"/>
          <w:i/>
          <w:color w:val="404040"/>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36220" w:rsidRPr="00626CB3"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sidRPr="00626CB3">
        <w:rPr>
          <w:rFonts w:ascii="Palatino Linotype" w:eastAsia="Palatino Linotype" w:hAnsi="Palatino Linotype" w:cs="Palatino Linotype"/>
          <w:i/>
          <w:color w:val="40404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sidRPr="00626CB3">
        <w:rPr>
          <w:rFonts w:ascii="Palatino Linotype" w:eastAsia="Palatino Linotype" w:hAnsi="Palatino Linotype" w:cs="Palatino Linotype"/>
          <w:i/>
          <w:color w:val="404040"/>
          <w:sz w:val="22"/>
          <w:szCs w:val="22"/>
        </w:rPr>
        <w:t>Los sujetos obligados deben poner en práctica, políticas y programas de acceso a la información que se apeguen a criterios de publicidad, veracidad, oportunidad, precisión y suficiencia en beneficio de los solicitantes.</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036220" w:rsidRDefault="00036220"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rPr>
      </w:pP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sidRPr="00626CB3">
        <w:rPr>
          <w:rFonts w:ascii="Palatino Linotype" w:eastAsia="Palatino Linotype" w:hAnsi="Palatino Linotype" w:cs="Palatino Linotype"/>
          <w:b/>
          <w:i/>
          <w:color w:val="404040"/>
          <w:sz w:val="22"/>
          <w:szCs w:val="22"/>
        </w:rPr>
        <w:t>Artículo 12.-</w:t>
      </w:r>
      <w:r>
        <w:rPr>
          <w:rFonts w:ascii="Palatino Linotype" w:eastAsia="Palatino Linotype" w:hAnsi="Palatino Linotype" w:cs="Palatino Linotype"/>
          <w:i/>
          <w:color w:val="404040"/>
          <w:sz w:val="22"/>
          <w:szCs w:val="22"/>
        </w:rPr>
        <w:t xml:space="preserve"> Quienes generen, recopilen, administren, manejen, procesen, archiven o conserven información pública serán responsables de la misma en los términos de las disposiciones jurídicas aplicables. </w:t>
      </w:r>
    </w:p>
    <w:p w:rsidR="00036220" w:rsidRDefault="00036220"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36220" w:rsidRDefault="00036220"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000000"/>
        </w:rPr>
      </w:pPr>
    </w:p>
    <w:p w:rsidR="00036220" w:rsidRDefault="007C7167" w:rsidP="00FA2B01">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solicitada que tengan en su poder en el estado que se encuentran, sin necesidad de concretarse al interés o términos específicos del solicitante.</w:t>
      </w:r>
    </w:p>
    <w:p w:rsidR="00036220" w:rsidRDefault="00036220" w:rsidP="00FA2B01">
      <w:pPr>
        <w:spacing w:line="360" w:lineRule="auto"/>
        <w:ind w:right="-93"/>
        <w:jc w:val="both"/>
        <w:rPr>
          <w:rFonts w:ascii="Palatino Linotype" w:eastAsia="Palatino Linotype" w:hAnsi="Palatino Linotype" w:cs="Palatino Linotype"/>
          <w:color w:val="000000"/>
        </w:rPr>
      </w:pPr>
    </w:p>
    <w:p w:rsidR="00036220" w:rsidRDefault="007C7167" w:rsidP="00FA2B01">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rsidR="00036220" w:rsidRDefault="00036220"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rPr>
      </w:pPr>
    </w:p>
    <w:p w:rsidR="00036220" w:rsidRPr="0081026B"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r w:rsidRPr="00626CB3">
        <w:rPr>
          <w:rFonts w:ascii="Palatino Linotype" w:eastAsia="Palatino Linotype" w:hAnsi="Palatino Linotype" w:cs="Palatino Linotype"/>
          <w:b/>
          <w:i/>
          <w:sz w:val="22"/>
          <w:szCs w:val="22"/>
        </w:rPr>
        <w:t>No existe obligación de elaborar documentos ad hoc para atender las solicitudes de acceso a la información</w:t>
      </w:r>
      <w:r w:rsidRPr="0081026B">
        <w:rPr>
          <w:rFonts w:ascii="Palatino Linotype" w:eastAsia="Palatino Linotype" w:hAnsi="Palatino Linotype" w:cs="Palatino Linotype"/>
          <w:i/>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36220" w:rsidRPr="0081026B"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r w:rsidRPr="0081026B">
        <w:rPr>
          <w:rFonts w:ascii="Palatino Linotype" w:eastAsia="Palatino Linotype" w:hAnsi="Palatino Linotype" w:cs="Palatino Linotype"/>
          <w:i/>
          <w:sz w:val="22"/>
          <w:szCs w:val="22"/>
        </w:rPr>
        <w:t xml:space="preserve">Resoluciones: </w:t>
      </w:r>
    </w:p>
    <w:p w:rsidR="00036220"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2"/>
          <w:szCs w:val="22"/>
        </w:rPr>
      </w:pPr>
      <w:r w:rsidRPr="0081026B">
        <w:rPr>
          <w:rFonts w:ascii="Palatino Linotype" w:eastAsia="Palatino Linotype" w:hAnsi="Palatino Linotype" w:cs="Palatino Linotype"/>
          <w:i/>
          <w:sz w:val="22"/>
          <w:szCs w:val="22"/>
        </w:rPr>
        <w:t>RRA 0050/16. Instituto Nacional para la Evaluación de la Educación. 13 julio de 2016. Por unanimidad. Comisionado Ponente: Francisco Javier Acuña Llamas.</w:t>
      </w:r>
    </w:p>
    <w:p w:rsidR="00036220" w:rsidRPr="0081026B"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r w:rsidRPr="0081026B">
        <w:rPr>
          <w:rFonts w:ascii="Palatino Linotype" w:eastAsia="Palatino Linotype" w:hAnsi="Palatino Linotype" w:cs="Palatino Linotype"/>
          <w:i/>
          <w:sz w:val="22"/>
          <w:szCs w:val="22"/>
        </w:rPr>
        <w:t xml:space="preserve">RRA 0310/16. Instituto Nacional de Transparencia, Acceso a la Información y Protección de Datos Personales. 10 de agosto de 2016. Por unanimidad. Comisionada Ponente. Areli Cano Guadiana. </w:t>
      </w:r>
    </w:p>
    <w:p w:rsidR="00036220" w:rsidRPr="0081026B" w:rsidRDefault="007C7167"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sz w:val="22"/>
          <w:szCs w:val="22"/>
        </w:rPr>
      </w:pPr>
      <w:r w:rsidRPr="0081026B">
        <w:rPr>
          <w:rFonts w:ascii="Palatino Linotype" w:eastAsia="Palatino Linotype" w:hAnsi="Palatino Linotype" w:cs="Palatino Linotype"/>
          <w:i/>
          <w:sz w:val="22"/>
          <w:szCs w:val="22"/>
        </w:rPr>
        <w:t>RRA 1889/16. Secretaría de Hacienda y Crédito Público. 05 de octubre de 2016. Por unanimidad. Comisionada Ponente. Ximena Puente de la Mora.</w:t>
      </w:r>
    </w:p>
    <w:p w:rsidR="00036220" w:rsidRDefault="00036220" w:rsidP="00FA2B01">
      <w:pPr>
        <w:spacing w:line="360" w:lineRule="auto"/>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36220" w:rsidRDefault="00036220" w:rsidP="00FA2B01">
      <w:pPr>
        <w:spacing w:line="360" w:lineRule="auto"/>
        <w:jc w:val="both"/>
        <w:rPr>
          <w:rFonts w:ascii="Palatino Linotype" w:eastAsia="Palatino Linotype" w:hAnsi="Palatino Linotype" w:cs="Palatino Linotype"/>
          <w:color w:val="000000"/>
        </w:rPr>
      </w:pPr>
    </w:p>
    <w:p w:rsidR="00036220" w:rsidRDefault="007C7167" w:rsidP="00FA2B0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36220" w:rsidRDefault="00036220" w:rsidP="00FA2B01">
      <w:pPr>
        <w:spacing w:line="360" w:lineRule="auto"/>
        <w:ind w:right="49"/>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036220" w:rsidRDefault="00036220" w:rsidP="00FA2B01">
      <w:pPr>
        <w:spacing w:line="360" w:lineRule="auto"/>
        <w:ind w:left="851" w:right="899"/>
        <w:jc w:val="both"/>
        <w:rPr>
          <w:rFonts w:ascii="Palatino Linotype" w:eastAsia="Palatino Linotype" w:hAnsi="Palatino Linotype" w:cs="Palatino Linotype"/>
          <w:i/>
          <w:sz w:val="22"/>
          <w:szCs w:val="22"/>
        </w:rPr>
      </w:pPr>
    </w:p>
    <w:p w:rsidR="00036220" w:rsidRDefault="007C7167" w:rsidP="00626CB3">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3. Para los efectos de la presente Ley se entenderá por:</w:t>
      </w:r>
    </w:p>
    <w:p w:rsidR="00036220" w:rsidRDefault="007C7167" w:rsidP="00626CB3">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036220" w:rsidRDefault="007C7167" w:rsidP="00626CB3">
      <w:pPr>
        <w:spacing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36220" w:rsidRDefault="007C7167" w:rsidP="00626CB3">
      <w:pPr>
        <w:spacing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rsidR="00036220" w:rsidRDefault="00036220" w:rsidP="00FA2B01">
      <w:pPr>
        <w:spacing w:line="360" w:lineRule="auto"/>
        <w:ind w:left="851" w:right="899"/>
        <w:jc w:val="both"/>
        <w:rPr>
          <w:rFonts w:ascii="Palatino Linotype" w:eastAsia="Palatino Linotype" w:hAnsi="Palatino Linotype" w:cs="Palatino Linotype"/>
          <w:sz w:val="22"/>
          <w:szCs w:val="22"/>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36220" w:rsidRDefault="00036220" w:rsidP="00FA2B01">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rPr>
      </w:pP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CRITERIO 0002-11</w:t>
      </w: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En consecuencia el acceso a la información se refiere a que se cumplan cualquiera de los siguientes tres supuestos:</w:t>
      </w: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1) Que se trate de información registrada en cualquier soporte documental, que en ejercicio de las atribuciones conferidas, sea generada por los Sujetos Obligados;</w:t>
      </w: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lastRenderedPageBreak/>
        <w:t>2) Que se trate de información registrada en cualquier soporte documental, que en ejercicio de las atribuciones conferidas, sea administrada por los Sujetos Obligados, y</w:t>
      </w:r>
    </w:p>
    <w:p w:rsidR="00036220" w:rsidRDefault="007C7167" w:rsidP="00626CB3">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3) Que se trate de información registrada en cualquier soporte documental, que en ejercicio de las atribuciones conferidas, se encuentre en posesión de los Sujetos Obligados.</w:t>
      </w:r>
    </w:p>
    <w:p w:rsidR="00036220" w:rsidRDefault="00036220" w:rsidP="00FA2B01">
      <w:pPr>
        <w:spacing w:line="360" w:lineRule="auto"/>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de la solicitud de información motivo del recurso de revisión que ahora se resuelve, se advierte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Ayuntamiento de </w:t>
      </w:r>
      <w:proofErr w:type="spellStart"/>
      <w:r>
        <w:rPr>
          <w:rFonts w:ascii="Palatino Linotype" w:eastAsia="Palatino Linotype" w:hAnsi="Palatino Linotype" w:cs="Palatino Linotype"/>
          <w:b/>
        </w:rPr>
        <w:t>Juchitepec</w:t>
      </w:r>
      <w:proofErr w:type="spellEnd"/>
      <w:r>
        <w:rPr>
          <w:rFonts w:ascii="Palatino Linotype" w:eastAsia="Palatino Linotype" w:hAnsi="Palatino Linotype" w:cs="Palatino Linotype"/>
        </w:rPr>
        <w:t>, lo siguiente:</w:t>
      </w:r>
    </w:p>
    <w:p w:rsidR="00036220" w:rsidRPr="001F26A7" w:rsidRDefault="00036220" w:rsidP="00FA2B01">
      <w:pPr>
        <w:spacing w:line="360" w:lineRule="auto"/>
        <w:jc w:val="both"/>
        <w:rPr>
          <w:rFonts w:ascii="Palatino Linotype" w:eastAsia="Palatino Linotype" w:hAnsi="Palatino Linotype" w:cs="Palatino Linotype"/>
        </w:rPr>
      </w:pPr>
    </w:p>
    <w:p w:rsidR="00036220" w:rsidRPr="001F26A7" w:rsidRDefault="007C7167" w:rsidP="00FA2B0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26A7">
        <w:rPr>
          <w:rFonts w:ascii="Palatino Linotype" w:eastAsia="Palatino Linotype" w:hAnsi="Palatino Linotype" w:cs="Palatino Linotype"/>
          <w:color w:val="000000"/>
        </w:rPr>
        <w:t>El sueldo quincenal de la Presidenta Municipal,</w:t>
      </w:r>
    </w:p>
    <w:p w:rsidR="00036220" w:rsidRPr="001F26A7" w:rsidRDefault="007C7167" w:rsidP="00FA2B0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26A7">
        <w:rPr>
          <w:rFonts w:ascii="Palatino Linotype" w:eastAsia="Palatino Linotype" w:hAnsi="Palatino Linotype" w:cs="Palatino Linotype"/>
          <w:color w:val="000000"/>
        </w:rPr>
        <w:t>El sueldo quincenal del Síndico, y</w:t>
      </w:r>
    </w:p>
    <w:p w:rsidR="00036220" w:rsidRPr="001F26A7" w:rsidRDefault="007C7167" w:rsidP="00FA2B01">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1F26A7">
        <w:rPr>
          <w:rFonts w:ascii="Palatino Linotype" w:eastAsia="Palatino Linotype" w:hAnsi="Palatino Linotype" w:cs="Palatino Linotype"/>
          <w:color w:val="000000"/>
        </w:rPr>
        <w:t xml:space="preserve">El sueldo quincenal de los Regidores. </w:t>
      </w:r>
    </w:p>
    <w:p w:rsidR="00036220" w:rsidRDefault="00036220" w:rsidP="00FA2B01">
      <w:pPr>
        <w:spacing w:line="360" w:lineRule="auto"/>
        <w:ind w:left="360"/>
        <w:jc w:val="both"/>
        <w:rPr>
          <w:rFonts w:ascii="Palatino Linotype" w:eastAsia="Palatino Linotype" w:hAnsi="Palatino Linotype" w:cs="Palatino Linotype"/>
        </w:rPr>
      </w:pPr>
    </w:p>
    <w:p w:rsidR="00036220" w:rsidRDefault="007C7167" w:rsidP="00FA2B01">
      <w:pPr>
        <w:spacing w:line="360" w:lineRule="auto"/>
        <w:ind w:right="49"/>
        <w:jc w:val="both"/>
        <w:rPr>
          <w:rFonts w:ascii="Palatino Linotype" w:eastAsia="Palatino Linotype" w:hAnsi="Palatino Linotype" w:cs="Palatino Linotype"/>
          <w:color w:val="000000"/>
        </w:rPr>
      </w:pPr>
      <w:r w:rsidRPr="0022603B">
        <w:rPr>
          <w:rFonts w:ascii="Palatino Linotype" w:eastAsia="Palatino Linotype" w:hAnsi="Palatino Linotype" w:cs="Palatino Linotype"/>
        </w:rPr>
        <w:t xml:space="preserve">Por su parte </w:t>
      </w:r>
      <w:r w:rsidRPr="0022603B">
        <w:rPr>
          <w:rFonts w:ascii="Palatino Linotype" w:eastAsia="Palatino Linotype" w:hAnsi="Palatino Linotype" w:cs="Palatino Linotype"/>
          <w:b/>
        </w:rPr>
        <w:t xml:space="preserve">EL SUJETO OBLIGADO, </w:t>
      </w:r>
      <w:r w:rsidRPr="0022603B">
        <w:rPr>
          <w:rFonts w:ascii="Palatino Linotype" w:eastAsia="Palatino Linotype" w:hAnsi="Palatino Linotype" w:cs="Palatino Linotype"/>
        </w:rPr>
        <w:t xml:space="preserve">en su respuesta, remitió </w:t>
      </w:r>
      <w:r w:rsidR="00A97F38" w:rsidRPr="0022603B">
        <w:rPr>
          <w:rFonts w:ascii="Palatino Linotype" w:eastAsia="Palatino Linotype" w:hAnsi="Palatino Linotype" w:cs="Palatino Linotype"/>
        </w:rPr>
        <w:t xml:space="preserve">en versión pública, nueve recibos de nómina que corresponden a la primera quincena de mayo de dos mil veintidós </w:t>
      </w:r>
      <w:r w:rsidRPr="0022603B">
        <w:rPr>
          <w:rFonts w:ascii="Palatino Linotype" w:eastAsia="Palatino Linotype" w:hAnsi="Palatino Linotype" w:cs="Palatino Linotype"/>
          <w:color w:val="000000"/>
        </w:rPr>
        <w:t xml:space="preserve"> </w:t>
      </w:r>
      <w:r w:rsidR="00A97F38" w:rsidRPr="0022603B">
        <w:rPr>
          <w:rFonts w:ascii="Palatino Linotype" w:eastAsia="Palatino Linotype" w:hAnsi="Palatino Linotype" w:cs="Palatino Linotype"/>
          <w:color w:val="000000"/>
        </w:rPr>
        <w:t>de los siguientes servidores públicos:</w:t>
      </w:r>
      <w:r w:rsidR="00A97F38">
        <w:rPr>
          <w:rFonts w:ascii="Palatino Linotype" w:eastAsia="Palatino Linotype" w:hAnsi="Palatino Linotype" w:cs="Palatino Linotype"/>
          <w:color w:val="000000"/>
        </w:rPr>
        <w:t xml:space="preserve"> </w:t>
      </w:r>
    </w:p>
    <w:p w:rsidR="00036220" w:rsidRDefault="007C7167" w:rsidP="00FA2B0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Presidenta Municipal de </w:t>
      </w:r>
      <w:proofErr w:type="spellStart"/>
      <w:r>
        <w:rPr>
          <w:rFonts w:ascii="Palatino Linotype" w:eastAsia="Palatino Linotype" w:hAnsi="Palatino Linotype" w:cs="Palatino Linotype"/>
          <w:color w:val="000000"/>
          <w:sz w:val="22"/>
          <w:szCs w:val="22"/>
        </w:rPr>
        <w:t>Juchitepec</w:t>
      </w:r>
      <w:proofErr w:type="spellEnd"/>
      <w:r>
        <w:rPr>
          <w:rFonts w:ascii="Palatino Linotype" w:eastAsia="Palatino Linotype" w:hAnsi="Palatino Linotype" w:cs="Palatino Linotype"/>
          <w:color w:val="000000"/>
          <w:sz w:val="22"/>
          <w:szCs w:val="22"/>
        </w:rPr>
        <w:t>;</w:t>
      </w:r>
    </w:p>
    <w:p w:rsidR="00036220" w:rsidRDefault="007C7167" w:rsidP="00FA2B0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Síndico de </w:t>
      </w:r>
      <w:proofErr w:type="spellStart"/>
      <w:r>
        <w:rPr>
          <w:rFonts w:ascii="Palatino Linotype" w:eastAsia="Palatino Linotype" w:hAnsi="Palatino Linotype" w:cs="Palatino Linotype"/>
          <w:color w:val="000000"/>
          <w:sz w:val="22"/>
          <w:szCs w:val="22"/>
        </w:rPr>
        <w:t>Juchitepec</w:t>
      </w:r>
      <w:proofErr w:type="spellEnd"/>
      <w:r>
        <w:rPr>
          <w:rFonts w:ascii="Palatino Linotype" w:eastAsia="Palatino Linotype" w:hAnsi="Palatino Linotype" w:cs="Palatino Linotype"/>
          <w:color w:val="000000"/>
          <w:sz w:val="22"/>
          <w:szCs w:val="22"/>
        </w:rPr>
        <w:t xml:space="preserve">; </w:t>
      </w:r>
    </w:p>
    <w:p w:rsidR="00036220" w:rsidRDefault="007C7167" w:rsidP="00FA2B0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Primera regiduría; </w:t>
      </w:r>
    </w:p>
    <w:p w:rsidR="00036220" w:rsidRDefault="007C7167" w:rsidP="00FA2B0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Segunda regiduría; </w:t>
      </w:r>
    </w:p>
    <w:p w:rsidR="00036220" w:rsidRDefault="007C7167" w:rsidP="00FA2B0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Tercera regiduría; </w:t>
      </w:r>
    </w:p>
    <w:p w:rsidR="00036220" w:rsidRDefault="007C7167" w:rsidP="00FA2B0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Cuarta regiduría; </w:t>
      </w:r>
    </w:p>
    <w:p w:rsidR="00036220" w:rsidRDefault="007C7167" w:rsidP="00FA2B0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Quinta regiduría;</w:t>
      </w:r>
      <w:r w:rsidR="00377A7B">
        <w:rPr>
          <w:rFonts w:ascii="Palatino Linotype" w:eastAsia="Palatino Linotype" w:hAnsi="Palatino Linotype" w:cs="Palatino Linotype"/>
          <w:color w:val="000000"/>
          <w:sz w:val="22"/>
          <w:szCs w:val="22"/>
        </w:rPr>
        <w:t xml:space="preserve"> y,</w:t>
      </w:r>
    </w:p>
    <w:p w:rsidR="00E44079" w:rsidRPr="00377A7B" w:rsidRDefault="00377A7B" w:rsidP="00FA2B0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Séptima regiduría.</w:t>
      </w:r>
    </w:p>
    <w:p w:rsidR="00E44079" w:rsidRDefault="000A3F93"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Cabe señalar que de la respuesta proporcionada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advierte que si bien es cierto remitió la versión pública de los recibos de nómina, también lo </w:t>
      </w:r>
      <w:r w:rsidR="003F18EC">
        <w:rPr>
          <w:rFonts w:ascii="Palatino Linotype" w:eastAsia="Palatino Linotype" w:hAnsi="Palatino Linotype" w:cs="Palatino Linotype"/>
        </w:rPr>
        <w:t xml:space="preserve">es </w:t>
      </w:r>
      <w:r>
        <w:rPr>
          <w:rFonts w:ascii="Palatino Linotype" w:eastAsia="Palatino Linotype" w:hAnsi="Palatino Linotype" w:cs="Palatino Linotype"/>
        </w:rPr>
        <w:t xml:space="preserve">que no proporcionó </w:t>
      </w:r>
      <w:r w:rsidR="003F18EC">
        <w:rPr>
          <w:rFonts w:ascii="Palatino Linotype" w:eastAsia="Palatino Linotype" w:hAnsi="Palatino Linotype" w:cs="Palatino Linotype"/>
        </w:rPr>
        <w:t xml:space="preserve">el Acuerdo del Comité de Transparencia que sustente la versión pública; aunado a que no se observa el </w:t>
      </w:r>
      <w:r w:rsidR="00696C65">
        <w:rPr>
          <w:rFonts w:ascii="Palatino Linotype" w:eastAsia="Palatino Linotype" w:hAnsi="Palatino Linotype" w:cs="Palatino Linotype"/>
        </w:rPr>
        <w:t>recibo</w:t>
      </w:r>
      <w:r w:rsidR="003F18EC">
        <w:rPr>
          <w:rFonts w:ascii="Palatino Linotype" w:eastAsia="Palatino Linotype" w:hAnsi="Palatino Linotype" w:cs="Palatino Linotype"/>
        </w:rPr>
        <w:t xml:space="preserve"> de n</w:t>
      </w:r>
      <w:r w:rsidR="0062786C">
        <w:rPr>
          <w:rFonts w:ascii="Palatino Linotype" w:eastAsia="Palatino Linotype" w:hAnsi="Palatino Linotype" w:cs="Palatino Linotype"/>
        </w:rPr>
        <w:t xml:space="preserve">ómina de la Sexta Regiduría. </w:t>
      </w:r>
    </w:p>
    <w:p w:rsidR="0062786C" w:rsidRDefault="0062786C" w:rsidP="00FA2B01">
      <w:pPr>
        <w:spacing w:line="360" w:lineRule="auto"/>
        <w:jc w:val="both"/>
        <w:rPr>
          <w:rFonts w:ascii="Palatino Linotype" w:eastAsia="Palatino Linotype" w:hAnsi="Palatino Linotype" w:cs="Palatino Linotype"/>
        </w:rPr>
      </w:pPr>
    </w:p>
    <w:p w:rsidR="00696C65" w:rsidRPr="00A61845" w:rsidRDefault="0062786C" w:rsidP="00696C6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por tanto, que la respuesta no cumple </w:t>
      </w:r>
      <w:r w:rsidR="00696C65" w:rsidRPr="00A61845">
        <w:rPr>
          <w:rFonts w:ascii="Palatino Linotype" w:eastAsia="Palatino Linotype" w:hAnsi="Palatino Linotype" w:cs="Palatino Linotype"/>
        </w:rPr>
        <w:t xml:space="preserve">con lo establecido por los artículos 4, 12 y 24 último párrafo de la Ley de Transparencia y Acceso a la Información Pública del Estado de México y Municipios; ante ello, los motivos de inconformidad acontecen fundados para modificar la respuesta del </w:t>
      </w:r>
      <w:r w:rsidR="00696C65" w:rsidRPr="00A61845">
        <w:rPr>
          <w:rFonts w:ascii="Palatino Linotype" w:eastAsia="Palatino Linotype" w:hAnsi="Palatino Linotype" w:cs="Palatino Linotype"/>
          <w:b/>
        </w:rPr>
        <w:t>SUJETO OBLIGADO</w:t>
      </w:r>
      <w:r w:rsidR="00696C65" w:rsidRPr="00A61845">
        <w:rPr>
          <w:rFonts w:ascii="Palatino Linotype" w:eastAsia="Palatino Linotype" w:hAnsi="Palatino Linotype" w:cs="Palatino Linotype"/>
        </w:rPr>
        <w:t xml:space="preserve"> en razón de las consideraciones de derecho que a continuación se exponen:</w:t>
      </w:r>
    </w:p>
    <w:p w:rsidR="00696C65" w:rsidRPr="00A61845" w:rsidRDefault="00696C65" w:rsidP="00696C65">
      <w:pPr>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Antes de estudiar el fondo del asunto, se debe resaltar que con la información remitida en el apartado de respuesta por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este no niega contar con la información solicitada por el </w:t>
      </w:r>
      <w:r w:rsidRPr="00A61845">
        <w:rPr>
          <w:rFonts w:ascii="Palatino Linotype" w:eastAsia="Palatino Linotype" w:hAnsi="Palatino Linotype" w:cs="Palatino Linotype"/>
          <w:b/>
        </w:rPr>
        <w:t>RECURRENTE</w:t>
      </w:r>
      <w:r w:rsidRPr="00A61845">
        <w:rPr>
          <w:rFonts w:ascii="Palatino Linotype" w:eastAsia="Palatino Linotype" w:hAnsi="Palatino Linotype" w:cs="Palatino Linotype"/>
        </w:rPr>
        <w:t>, sino por el contrario, entrega la misma, por lo cual, la competencia para generar, poseer o administrara la información solicitada, en el caso concreto, se obvia.</w:t>
      </w:r>
    </w:p>
    <w:p w:rsidR="00696C65" w:rsidRPr="00A61845" w:rsidRDefault="00696C65" w:rsidP="00696C65">
      <w:pPr>
        <w:widowControl w:val="0"/>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Lo anterior es así, ya que el estudio enunciado tiene por objeto determinar si el Sujeto Obligado genera, posee o administra la información solicitada; sin embargo, en aquellos casos en que éste la asume y hace entrega de la misma, sería ocioso y nada práctico nos conduciría su estudio, ya que se insiste, la información pública solicitada fue asumida y entregada por 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w:t>
      </w:r>
    </w:p>
    <w:p w:rsidR="004E4F2E" w:rsidRPr="00A61845" w:rsidRDefault="004E4F2E" w:rsidP="004E4F2E">
      <w:pPr>
        <w:widowControl w:val="0"/>
        <w:spacing w:before="240" w:after="240"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Antes del estudio de fondo, es pertinente establecer como está integrada la </w:t>
      </w:r>
      <w:r w:rsidRPr="00A61845">
        <w:rPr>
          <w:rFonts w:ascii="Palatino Linotype" w:eastAsia="Palatino Linotype" w:hAnsi="Palatino Linotype" w:cs="Palatino Linotype"/>
        </w:rPr>
        <w:lastRenderedPageBreak/>
        <w:t xml:space="preserve">administración pública del </w:t>
      </w:r>
      <w:r w:rsidRPr="00A61845">
        <w:rPr>
          <w:rFonts w:ascii="Palatino Linotype" w:eastAsia="Palatino Linotype" w:hAnsi="Palatino Linotype" w:cs="Palatino Linotype"/>
          <w:b/>
        </w:rPr>
        <w:t>SUJETO OBLIGADO</w:t>
      </w:r>
      <w:r w:rsidRPr="00A61845">
        <w:rPr>
          <w:rFonts w:ascii="Palatino Linotype" w:eastAsia="Palatino Linotype" w:hAnsi="Palatino Linotype" w:cs="Palatino Linotype"/>
        </w:rPr>
        <w:t xml:space="preserve">, por lo que, es necesario a traer lo señalado por los artículos </w:t>
      </w:r>
      <w:r w:rsidR="004F131B">
        <w:rPr>
          <w:rFonts w:ascii="Palatino Linotype" w:eastAsia="Palatino Linotype" w:hAnsi="Palatino Linotype" w:cs="Palatino Linotype"/>
        </w:rPr>
        <w:t>5 fracción VI</w:t>
      </w:r>
      <w:r w:rsidR="00863971">
        <w:rPr>
          <w:rFonts w:ascii="Palatino Linotype" w:eastAsia="Palatino Linotype" w:hAnsi="Palatino Linotype" w:cs="Palatino Linotype"/>
        </w:rPr>
        <w:t>, 24</w:t>
      </w:r>
      <w:r w:rsidRPr="00A61845">
        <w:rPr>
          <w:rFonts w:ascii="Palatino Linotype" w:eastAsia="Palatino Linotype" w:hAnsi="Palatino Linotype" w:cs="Palatino Linotype"/>
        </w:rPr>
        <w:t xml:space="preserve"> del Band</w:t>
      </w:r>
      <w:r w:rsidR="004F131B">
        <w:rPr>
          <w:rFonts w:ascii="Palatino Linotype" w:eastAsia="Palatino Linotype" w:hAnsi="Palatino Linotype" w:cs="Palatino Linotype"/>
        </w:rPr>
        <w:t xml:space="preserve">o Municipal del Ayuntamiento de </w:t>
      </w:r>
      <w:proofErr w:type="spellStart"/>
      <w:r w:rsidR="004F131B">
        <w:rPr>
          <w:rFonts w:ascii="Palatino Linotype" w:eastAsia="Palatino Linotype" w:hAnsi="Palatino Linotype" w:cs="Palatino Linotype"/>
        </w:rPr>
        <w:t>Juchitepec</w:t>
      </w:r>
      <w:proofErr w:type="spellEnd"/>
      <w:r w:rsidRPr="00A61845">
        <w:rPr>
          <w:rFonts w:ascii="Palatino Linotype" w:eastAsia="Palatino Linotype" w:hAnsi="Palatino Linotype" w:cs="Palatino Linotype"/>
        </w:rPr>
        <w:t xml:space="preserve"> para el año 2022, que señalan:</w:t>
      </w:r>
    </w:p>
    <w:p w:rsidR="00E44079" w:rsidRPr="000A6342" w:rsidRDefault="004F131B" w:rsidP="000A6342">
      <w:pPr>
        <w:spacing w:line="360" w:lineRule="auto"/>
        <w:ind w:left="851" w:right="616"/>
        <w:jc w:val="both"/>
        <w:rPr>
          <w:rFonts w:ascii="Palatino Linotype" w:hAnsi="Palatino Linotype"/>
          <w:i/>
          <w:sz w:val="22"/>
          <w:szCs w:val="22"/>
        </w:rPr>
      </w:pPr>
      <w:r w:rsidRPr="000A6342">
        <w:rPr>
          <w:rFonts w:ascii="Palatino Linotype" w:hAnsi="Palatino Linotype"/>
          <w:i/>
          <w:sz w:val="22"/>
          <w:szCs w:val="22"/>
        </w:rPr>
        <w:t>Artículo 5.- Para efectos del presente Bando Municipal, se entenderá por:</w:t>
      </w:r>
    </w:p>
    <w:p w:rsidR="004F131B" w:rsidRPr="000A6342" w:rsidRDefault="004F131B" w:rsidP="000A6342">
      <w:pPr>
        <w:spacing w:line="360" w:lineRule="auto"/>
        <w:ind w:left="851" w:right="616"/>
        <w:jc w:val="both"/>
        <w:rPr>
          <w:rFonts w:ascii="Palatino Linotype" w:hAnsi="Palatino Linotype"/>
          <w:i/>
          <w:sz w:val="22"/>
          <w:szCs w:val="22"/>
        </w:rPr>
      </w:pPr>
      <w:r w:rsidRPr="000A6342">
        <w:rPr>
          <w:rFonts w:ascii="Palatino Linotype" w:hAnsi="Palatino Linotype"/>
          <w:i/>
          <w:sz w:val="22"/>
          <w:szCs w:val="22"/>
        </w:rPr>
        <w:t>…</w:t>
      </w:r>
    </w:p>
    <w:p w:rsidR="004F131B" w:rsidRPr="000A6342" w:rsidRDefault="004F131B" w:rsidP="000A6342">
      <w:pPr>
        <w:spacing w:line="360" w:lineRule="auto"/>
        <w:ind w:left="851" w:right="616"/>
        <w:jc w:val="both"/>
        <w:rPr>
          <w:rFonts w:ascii="Palatino Linotype" w:hAnsi="Palatino Linotype"/>
          <w:b/>
          <w:i/>
          <w:sz w:val="22"/>
          <w:szCs w:val="22"/>
          <w:u w:val="single"/>
        </w:rPr>
      </w:pPr>
      <w:r w:rsidRPr="000A6342">
        <w:rPr>
          <w:rFonts w:ascii="Palatino Linotype" w:hAnsi="Palatino Linotype"/>
          <w:i/>
          <w:sz w:val="22"/>
          <w:szCs w:val="22"/>
        </w:rPr>
        <w:t xml:space="preserve">VI. Ayuntamiento: El Órgano de Gobierno Colegiado integrado por la </w:t>
      </w:r>
      <w:r w:rsidRPr="000A6342">
        <w:rPr>
          <w:rFonts w:ascii="Palatino Linotype" w:hAnsi="Palatino Linotype"/>
          <w:b/>
          <w:i/>
          <w:sz w:val="22"/>
          <w:szCs w:val="22"/>
          <w:u w:val="single"/>
        </w:rPr>
        <w:t>Presidenta Municipal, el Síndico, Regidoras y Regidores</w:t>
      </w:r>
      <w:r w:rsidR="000A6342" w:rsidRPr="000A6342">
        <w:rPr>
          <w:rFonts w:ascii="Palatino Linotype" w:hAnsi="Palatino Linotype"/>
          <w:b/>
          <w:i/>
          <w:sz w:val="22"/>
          <w:szCs w:val="22"/>
          <w:u w:val="single"/>
        </w:rPr>
        <w:t>.</w:t>
      </w:r>
    </w:p>
    <w:p w:rsidR="000A6342" w:rsidRPr="000A6342" w:rsidRDefault="000A6342" w:rsidP="000A6342">
      <w:pPr>
        <w:spacing w:line="360" w:lineRule="auto"/>
        <w:ind w:left="851" w:right="616"/>
        <w:jc w:val="both"/>
        <w:rPr>
          <w:rFonts w:ascii="Palatino Linotype" w:eastAsia="Palatino Linotype" w:hAnsi="Palatino Linotype" w:cs="Palatino Linotype"/>
          <w:i/>
          <w:sz w:val="22"/>
          <w:szCs w:val="22"/>
        </w:rPr>
      </w:pPr>
      <w:r w:rsidRPr="000A6342">
        <w:rPr>
          <w:rFonts w:ascii="Palatino Linotype" w:hAnsi="Palatino Linotype"/>
          <w:i/>
          <w:sz w:val="22"/>
          <w:szCs w:val="22"/>
        </w:rPr>
        <w:t>….</w:t>
      </w:r>
    </w:p>
    <w:p w:rsidR="00E44079" w:rsidRDefault="00E44079" w:rsidP="00863971">
      <w:pPr>
        <w:spacing w:line="360" w:lineRule="auto"/>
        <w:ind w:right="616"/>
        <w:jc w:val="both"/>
        <w:rPr>
          <w:rFonts w:ascii="Palatino Linotype" w:eastAsia="Palatino Linotype" w:hAnsi="Palatino Linotype" w:cs="Palatino Linotype"/>
          <w:sz w:val="22"/>
          <w:szCs w:val="22"/>
        </w:rPr>
      </w:pPr>
    </w:p>
    <w:p w:rsidR="00863971" w:rsidRPr="00863971" w:rsidRDefault="00863971" w:rsidP="00863971">
      <w:pPr>
        <w:spacing w:line="276" w:lineRule="auto"/>
        <w:ind w:left="851" w:right="616"/>
        <w:jc w:val="both"/>
        <w:rPr>
          <w:rFonts w:ascii="Palatino Linotype" w:eastAsia="Palatino Linotype" w:hAnsi="Palatino Linotype" w:cs="Palatino Linotype"/>
          <w:i/>
          <w:sz w:val="22"/>
          <w:szCs w:val="22"/>
        </w:rPr>
      </w:pPr>
      <w:r w:rsidRPr="00863971">
        <w:rPr>
          <w:rFonts w:ascii="Palatino Linotype" w:hAnsi="Palatino Linotype"/>
          <w:b/>
          <w:i/>
        </w:rPr>
        <w:t>Artículo 24</w:t>
      </w:r>
      <w:r w:rsidRPr="00863971">
        <w:rPr>
          <w:rFonts w:ascii="Palatino Linotype" w:hAnsi="Palatino Linotype"/>
          <w:i/>
        </w:rPr>
        <w:t xml:space="preserve">.- El gobierno del Municipio está depositado en un cuerpo colegiado denominado Ayuntamiento, al que se someten en sesión de cabildo los asuntos de gobierno y de la administración pública municipal; cuyos integrantes son: una </w:t>
      </w:r>
      <w:r w:rsidRPr="001C539E">
        <w:rPr>
          <w:rFonts w:ascii="Palatino Linotype" w:hAnsi="Palatino Linotype"/>
          <w:b/>
          <w:i/>
          <w:u w:val="single"/>
        </w:rPr>
        <w:t>Presidenta Municipal, un Síndico Municipal y siete Regidores y Regidoras</w:t>
      </w:r>
      <w:r w:rsidRPr="00863971">
        <w:rPr>
          <w:rFonts w:ascii="Palatino Linotype" w:hAnsi="Palatino Linotype"/>
          <w:i/>
        </w:rPr>
        <w:t>, según el principio de mayoría relativa y de representación proporcional.</w:t>
      </w:r>
    </w:p>
    <w:p w:rsidR="00E44079" w:rsidRDefault="00E44079" w:rsidP="00FA2B01">
      <w:pPr>
        <w:spacing w:line="360" w:lineRule="auto"/>
        <w:jc w:val="both"/>
        <w:rPr>
          <w:rFonts w:ascii="Palatino Linotype" w:eastAsia="Palatino Linotype" w:hAnsi="Palatino Linotype" w:cs="Palatino Linotype"/>
        </w:rPr>
      </w:pPr>
    </w:p>
    <w:p w:rsidR="001C539E" w:rsidRDefault="001C539E"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 precepto normativo, que antecede se tiene que el Cabildo del Municipio de </w:t>
      </w:r>
      <w:proofErr w:type="spellStart"/>
      <w:r>
        <w:rPr>
          <w:rFonts w:ascii="Palatino Linotype" w:eastAsia="Palatino Linotype" w:hAnsi="Palatino Linotype" w:cs="Palatino Linotype"/>
        </w:rPr>
        <w:t>Juchitepec</w:t>
      </w:r>
      <w:proofErr w:type="spellEnd"/>
      <w:r>
        <w:rPr>
          <w:rFonts w:ascii="Palatino Linotype" w:eastAsia="Palatino Linotype" w:hAnsi="Palatino Linotype" w:cs="Palatino Linotype"/>
        </w:rPr>
        <w:t>, está integrado por una Presidenta Municipal, un Síndico Municipal y siete Regidores y R</w:t>
      </w:r>
      <w:r w:rsidR="00C34B16">
        <w:rPr>
          <w:rFonts w:ascii="Palatino Linotype" w:eastAsia="Palatino Linotype" w:hAnsi="Palatino Linotype" w:cs="Palatino Linotype"/>
        </w:rPr>
        <w:t xml:space="preserve">egidoras, tal como se advierte,  en la siguiente captura de pantalla. </w:t>
      </w:r>
    </w:p>
    <w:p w:rsidR="0032632A" w:rsidRDefault="0032632A" w:rsidP="00FA2B01">
      <w:pPr>
        <w:spacing w:line="360" w:lineRule="auto"/>
        <w:jc w:val="both"/>
        <w:rPr>
          <w:rFonts w:ascii="Palatino Linotype" w:eastAsia="Palatino Linotype" w:hAnsi="Palatino Linotype" w:cs="Palatino Linotype"/>
        </w:rPr>
      </w:pPr>
      <w:r w:rsidRPr="0032632A">
        <w:rPr>
          <w:rFonts w:ascii="Palatino Linotype" w:eastAsia="Palatino Linotype" w:hAnsi="Palatino Linotype" w:cs="Palatino Linotype"/>
          <w:noProof/>
          <w:lang w:val="es-MX" w:eastAsia="es-MX"/>
        </w:rPr>
        <w:lastRenderedPageBreak/>
        <w:drawing>
          <wp:inline distT="0" distB="0" distL="0" distR="0" wp14:anchorId="59C58795" wp14:editId="666096D2">
            <wp:extent cx="5612130" cy="5655945"/>
            <wp:effectExtent l="0" t="0" r="762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55945"/>
                    </a:xfrm>
                    <a:prstGeom prst="rect">
                      <a:avLst/>
                    </a:prstGeom>
                  </pic:spPr>
                </pic:pic>
              </a:graphicData>
            </a:graphic>
          </wp:inline>
        </w:drawing>
      </w:r>
    </w:p>
    <w:p w:rsidR="00C34B16" w:rsidRDefault="00C34B16" w:rsidP="00FA2B01">
      <w:pPr>
        <w:spacing w:line="360" w:lineRule="auto"/>
        <w:jc w:val="both"/>
        <w:rPr>
          <w:rFonts w:ascii="Palatino Linotype" w:eastAsia="Palatino Linotype" w:hAnsi="Palatino Linotype" w:cs="Palatino Linotype"/>
        </w:rPr>
      </w:pPr>
    </w:p>
    <w:p w:rsidR="006371BF" w:rsidRDefault="006371BF"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 la documentación entregada, se advierte que el </w:t>
      </w:r>
      <w:r w:rsidR="009E45AD">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omitió pronunciarse sobre el recibo de nómina del Sexto </w:t>
      </w:r>
      <w:r w:rsidR="0032632A">
        <w:rPr>
          <w:rFonts w:ascii="Palatino Linotype" w:eastAsia="Palatino Linotype" w:hAnsi="Palatino Linotype" w:cs="Palatino Linotype"/>
        </w:rPr>
        <w:t>R</w:t>
      </w:r>
      <w:r w:rsidR="00AA58A6">
        <w:rPr>
          <w:rFonts w:ascii="Palatino Linotype" w:eastAsia="Palatino Linotype" w:hAnsi="Palatino Linotype" w:cs="Palatino Linotype"/>
        </w:rPr>
        <w:t xml:space="preserve">egidor. </w:t>
      </w:r>
    </w:p>
    <w:p w:rsidR="007136ED" w:rsidRDefault="007136ED" w:rsidP="00FA2B01">
      <w:pPr>
        <w:spacing w:line="360" w:lineRule="auto"/>
        <w:jc w:val="both"/>
        <w:rPr>
          <w:rFonts w:ascii="Palatino Linotype" w:eastAsia="Palatino Linotype" w:hAnsi="Palatino Linotype" w:cs="Palatino Linotype"/>
        </w:rPr>
      </w:pPr>
    </w:p>
    <w:p w:rsidR="009001BB" w:rsidRDefault="009001BB"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Ahora bien, cabe referir, que la información relacionada con el sueldo </w:t>
      </w:r>
      <w:r w:rsidR="00CB614B">
        <w:rPr>
          <w:rFonts w:ascii="Palatino Linotype" w:eastAsia="Palatino Linotype" w:hAnsi="Palatino Linotype" w:cs="Palatino Linotype"/>
        </w:rPr>
        <w:t xml:space="preserve">o </w:t>
      </w:r>
      <w:r>
        <w:rPr>
          <w:rFonts w:ascii="Palatino Linotype" w:eastAsia="Palatino Linotype" w:hAnsi="Palatino Linotype" w:cs="Palatino Linotype"/>
        </w:rPr>
        <w:t xml:space="preserve">remuneraciones de servidores públicos, se trata de una </w:t>
      </w:r>
      <w:r w:rsidR="00CB614B">
        <w:rPr>
          <w:rFonts w:ascii="Palatino Linotype" w:eastAsia="Palatino Linotype" w:hAnsi="Palatino Linotype" w:cs="Palatino Linotype"/>
        </w:rPr>
        <w:t>o</w:t>
      </w:r>
      <w:r>
        <w:rPr>
          <w:rFonts w:ascii="Palatino Linotype" w:eastAsia="Palatino Linotype" w:hAnsi="Palatino Linotype" w:cs="Palatino Linotype"/>
        </w:rPr>
        <w:t xml:space="preserve">bligación </w:t>
      </w:r>
      <w:r w:rsidR="00CB614B">
        <w:rPr>
          <w:rFonts w:ascii="Palatino Linotype" w:eastAsia="Palatino Linotype" w:hAnsi="Palatino Linotype" w:cs="Palatino Linotype"/>
        </w:rPr>
        <w:t xml:space="preserve">de transparencia común, establecida en el artículo 92 fracción </w:t>
      </w:r>
      <w:r w:rsidR="00CB43EB">
        <w:rPr>
          <w:rFonts w:ascii="Palatino Linotype" w:eastAsia="Palatino Linotype" w:hAnsi="Palatino Linotype" w:cs="Palatino Linotype"/>
        </w:rPr>
        <w:t>VIII de la Ley de Transparencia y Acceso a la Información Pública del Estado de México y Municip</w:t>
      </w:r>
      <w:r w:rsidR="00B32903">
        <w:rPr>
          <w:rFonts w:ascii="Palatino Linotype" w:eastAsia="Palatino Linotype" w:hAnsi="Palatino Linotype" w:cs="Palatino Linotype"/>
        </w:rPr>
        <w:t>i</w:t>
      </w:r>
      <w:r w:rsidR="00070AC0">
        <w:rPr>
          <w:rFonts w:ascii="Palatino Linotype" w:eastAsia="Palatino Linotype" w:hAnsi="Palatino Linotype" w:cs="Palatino Linotype"/>
        </w:rPr>
        <w:t xml:space="preserve">os que a la letra dice: </w:t>
      </w:r>
    </w:p>
    <w:p w:rsidR="00070AC0" w:rsidRDefault="00070AC0" w:rsidP="00FA2B01">
      <w:pPr>
        <w:spacing w:line="360" w:lineRule="auto"/>
        <w:jc w:val="both"/>
        <w:rPr>
          <w:rFonts w:ascii="Palatino Linotype" w:eastAsia="Palatino Linotype" w:hAnsi="Palatino Linotype" w:cs="Palatino Linotype"/>
        </w:rPr>
      </w:pPr>
    </w:p>
    <w:p w:rsidR="00070AC0" w:rsidRPr="00495CA4" w:rsidRDefault="00070AC0" w:rsidP="00495CA4">
      <w:pPr>
        <w:spacing w:line="276" w:lineRule="auto"/>
        <w:ind w:left="851" w:right="616"/>
        <w:jc w:val="both"/>
        <w:rPr>
          <w:rFonts w:ascii="Palatino Linotype" w:hAnsi="Palatino Linotype"/>
          <w:i/>
          <w:sz w:val="22"/>
          <w:szCs w:val="22"/>
        </w:rPr>
      </w:pPr>
      <w:r w:rsidRPr="00495CA4">
        <w:rPr>
          <w:rFonts w:ascii="Palatino Linotype" w:hAnsi="Palatino Linotype"/>
          <w:b/>
          <w:i/>
          <w:sz w:val="22"/>
          <w:szCs w:val="22"/>
        </w:rPr>
        <w:t>Artículo 92.</w:t>
      </w:r>
      <w:r w:rsidRPr="00495CA4">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70AC0" w:rsidRPr="00495CA4" w:rsidRDefault="00070AC0" w:rsidP="00495CA4">
      <w:pPr>
        <w:spacing w:line="276" w:lineRule="auto"/>
        <w:ind w:left="851" w:right="616"/>
        <w:jc w:val="both"/>
        <w:rPr>
          <w:rFonts w:ascii="Palatino Linotype" w:hAnsi="Palatino Linotype"/>
          <w:i/>
          <w:sz w:val="22"/>
          <w:szCs w:val="22"/>
        </w:rPr>
      </w:pPr>
      <w:r w:rsidRPr="00495CA4">
        <w:rPr>
          <w:rFonts w:ascii="Palatino Linotype" w:hAnsi="Palatino Linotype"/>
          <w:i/>
          <w:sz w:val="22"/>
          <w:szCs w:val="22"/>
        </w:rPr>
        <w:t>…</w:t>
      </w:r>
    </w:p>
    <w:p w:rsidR="00070AC0" w:rsidRPr="00495CA4" w:rsidRDefault="000715EE" w:rsidP="00495CA4">
      <w:pPr>
        <w:spacing w:line="276" w:lineRule="auto"/>
        <w:ind w:left="851" w:right="616"/>
        <w:jc w:val="both"/>
        <w:rPr>
          <w:rFonts w:ascii="Palatino Linotype" w:hAnsi="Palatino Linotype"/>
          <w:i/>
          <w:sz w:val="22"/>
          <w:szCs w:val="22"/>
        </w:rPr>
      </w:pPr>
      <w:r w:rsidRPr="00495CA4">
        <w:rPr>
          <w:rFonts w:ascii="Palatino Linotype" w:hAnsi="Palatino Linotype"/>
          <w:i/>
          <w:sz w:val="22"/>
          <w:szCs w:val="22"/>
        </w:rPr>
        <w:t xml:space="preserve">VIII. </w:t>
      </w:r>
      <w:r w:rsidRPr="00495CA4">
        <w:rPr>
          <w:rFonts w:ascii="Palatino Linotype" w:hAnsi="Palatino Linotype"/>
          <w:b/>
          <w:i/>
          <w:sz w:val="22"/>
          <w:szCs w:val="22"/>
        </w:rPr>
        <w:t>La remuneración bruta y neta de todos los servidores públicos</w:t>
      </w:r>
      <w:r w:rsidRPr="00495CA4">
        <w:rPr>
          <w:rFonts w:ascii="Palatino Linotype" w:hAnsi="Palatino Linotype"/>
          <w:i/>
          <w:sz w:val="22"/>
          <w:szCs w:val="22"/>
        </w:rPr>
        <w:t xml:space="preserve"> de base o de confianza, de todas las percepciones, incluyendo </w:t>
      </w:r>
      <w:r w:rsidRPr="00495CA4">
        <w:rPr>
          <w:rFonts w:ascii="Palatino Linotype" w:hAnsi="Palatino Linotype"/>
          <w:b/>
          <w:i/>
          <w:sz w:val="22"/>
          <w:szCs w:val="22"/>
        </w:rPr>
        <w:t>sueldos,</w:t>
      </w:r>
      <w:r w:rsidRPr="00495CA4">
        <w:rPr>
          <w:rFonts w:ascii="Palatino Linotype" w:hAnsi="Palatino Linotype"/>
          <w:i/>
          <w:sz w:val="22"/>
          <w:szCs w:val="22"/>
        </w:rPr>
        <w:t xml:space="preserve"> prestaciones, gratificaciones, primas, comisiones, dietas, bonos, estímulos, ingresos y sistemas de compensación, señalando la periodicidad de dicha remuneración;</w:t>
      </w:r>
    </w:p>
    <w:p w:rsidR="00495CA4" w:rsidRPr="00495CA4" w:rsidRDefault="00495CA4" w:rsidP="00495CA4">
      <w:pPr>
        <w:spacing w:line="276" w:lineRule="auto"/>
        <w:ind w:left="851" w:right="616"/>
        <w:jc w:val="both"/>
        <w:rPr>
          <w:rFonts w:ascii="Palatino Linotype" w:eastAsia="Palatino Linotype" w:hAnsi="Palatino Linotype" w:cs="Palatino Linotype"/>
          <w:i/>
          <w:sz w:val="22"/>
          <w:szCs w:val="22"/>
        </w:rPr>
      </w:pPr>
      <w:r w:rsidRPr="00495CA4">
        <w:rPr>
          <w:rFonts w:ascii="Palatino Linotype" w:hAnsi="Palatino Linotype"/>
          <w:i/>
          <w:sz w:val="22"/>
          <w:szCs w:val="22"/>
        </w:rPr>
        <w:t>…</w:t>
      </w:r>
    </w:p>
    <w:p w:rsidR="00B32903" w:rsidRDefault="00B32903" w:rsidP="00FA2B01">
      <w:pPr>
        <w:spacing w:line="360" w:lineRule="auto"/>
        <w:jc w:val="both"/>
        <w:rPr>
          <w:rFonts w:ascii="Palatino Linotype" w:eastAsia="Palatino Linotype" w:hAnsi="Palatino Linotype" w:cs="Palatino Linotype"/>
        </w:rPr>
      </w:pPr>
    </w:p>
    <w:p w:rsidR="00036220" w:rsidRDefault="0079423B"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w:t>
      </w:r>
      <w:r w:rsidR="00CA210F">
        <w:rPr>
          <w:rFonts w:ascii="Palatino Linotype" w:eastAsia="Palatino Linotype" w:hAnsi="Palatino Linotype" w:cs="Palatino Linotype"/>
        </w:rPr>
        <w:t xml:space="preserve">hora bien, cabe reiterar que la pretensión de la  </w:t>
      </w:r>
      <w:r w:rsidR="00945211">
        <w:rPr>
          <w:rFonts w:ascii="Palatino Linotype" w:eastAsia="Palatino Linotype" w:hAnsi="Palatino Linotype" w:cs="Palatino Linotype"/>
          <w:b/>
        </w:rPr>
        <w:t>RECURRENTE</w:t>
      </w:r>
      <w:r w:rsidR="00CA210F">
        <w:rPr>
          <w:rFonts w:ascii="Palatino Linotype" w:eastAsia="Palatino Linotype" w:hAnsi="Palatino Linotype" w:cs="Palatino Linotype"/>
          <w:b/>
        </w:rPr>
        <w:t xml:space="preserve"> </w:t>
      </w:r>
      <w:r w:rsidR="00CA210F">
        <w:rPr>
          <w:rFonts w:ascii="Palatino Linotype" w:eastAsia="Palatino Linotype" w:hAnsi="Palatino Linotype" w:cs="Palatino Linotype"/>
        </w:rPr>
        <w:t xml:space="preserve">radica en conocer el sueldo quincenal de la Presidenta Municipal, el Síndico Municipal y los Regidores </w:t>
      </w:r>
      <w:r w:rsidR="00945211">
        <w:rPr>
          <w:rFonts w:ascii="Palatino Linotype" w:eastAsia="Palatino Linotype" w:hAnsi="Palatino Linotype" w:cs="Palatino Linotype"/>
        </w:rPr>
        <w:t xml:space="preserve">y que si bien en los recibos de nómina remitidos por el </w:t>
      </w:r>
      <w:r w:rsidR="00945211">
        <w:rPr>
          <w:rFonts w:ascii="Palatino Linotype" w:eastAsia="Palatino Linotype" w:hAnsi="Palatino Linotype" w:cs="Palatino Linotype"/>
          <w:b/>
        </w:rPr>
        <w:t xml:space="preserve">SUJETO OBLIGADO </w:t>
      </w:r>
      <w:r w:rsidR="00945211">
        <w:rPr>
          <w:rFonts w:ascii="Palatino Linotype" w:eastAsia="Palatino Linotype" w:hAnsi="Palatino Linotype" w:cs="Palatino Linotype"/>
        </w:rPr>
        <w:t xml:space="preserve">se puede advertir el sueldo quincenal de los servidores públicos, también los es que en </w:t>
      </w:r>
      <w:r w:rsidR="00451792">
        <w:rPr>
          <w:rFonts w:ascii="Palatino Linotype" w:eastAsia="Palatino Linotype" w:hAnsi="Palatino Linotype" w:cs="Palatino Linotype"/>
        </w:rPr>
        <w:t xml:space="preserve">se clasificó </w:t>
      </w:r>
      <w:r w:rsidR="00945211">
        <w:rPr>
          <w:rFonts w:ascii="Palatino Linotype" w:eastAsia="Palatino Linotype" w:hAnsi="Palatino Linotype" w:cs="Palatino Linotype"/>
        </w:rPr>
        <w:t>informaci</w:t>
      </w:r>
      <w:r w:rsidR="00C45AFA">
        <w:rPr>
          <w:rFonts w:ascii="Palatino Linotype" w:eastAsia="Palatino Linotype" w:hAnsi="Palatino Linotype" w:cs="Palatino Linotype"/>
        </w:rPr>
        <w:t xml:space="preserve">ón, sin que se remitiera el Acuerdo del Comité de Transparencia que sustentara </w:t>
      </w:r>
      <w:r w:rsidR="00651F10">
        <w:rPr>
          <w:rFonts w:ascii="Palatino Linotype" w:eastAsia="Palatino Linotype" w:hAnsi="Palatino Linotype" w:cs="Palatino Linotype"/>
        </w:rPr>
        <w:t xml:space="preserve">la clasificación de los datos contenidos en los documentos. </w:t>
      </w:r>
    </w:p>
    <w:p w:rsidR="00651F10" w:rsidRDefault="00651F10" w:rsidP="00FA2B01">
      <w:pPr>
        <w:spacing w:line="360" w:lineRule="auto"/>
        <w:jc w:val="both"/>
        <w:rPr>
          <w:rFonts w:ascii="Palatino Linotype" w:eastAsia="Palatino Linotype" w:hAnsi="Palatino Linotype" w:cs="Palatino Linotype"/>
        </w:rPr>
      </w:pPr>
    </w:p>
    <w:p w:rsidR="00FF22BD" w:rsidRDefault="00651F10" w:rsidP="00FF22BD">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 de señalar que del análisis se advierte que se testaron las firmas de los servidores públicos en los recibos de n</w:t>
      </w:r>
      <w:r w:rsidR="00FF22BD">
        <w:rPr>
          <w:rFonts w:ascii="Palatino Linotype" w:eastAsia="Palatino Linotype" w:hAnsi="Palatino Linotype" w:cs="Palatino Linotype"/>
        </w:rPr>
        <w:t xml:space="preserve">ómina, respecto a este dato es de señalar que si bien, </w:t>
      </w:r>
      <w:r w:rsidR="00FF22BD" w:rsidRPr="00A61845">
        <w:rPr>
          <w:rFonts w:ascii="Palatino Linotype" w:eastAsia="Palatino Linotype" w:hAnsi="Palatino Linotype" w:cs="Palatino Linotype"/>
        </w:rPr>
        <w:t>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por regla general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 como en el presente caso, al tratarse de que los servidores públicos sí recibieron su remuneración por su trabajo.</w:t>
      </w:r>
    </w:p>
    <w:p w:rsidR="00E823B0" w:rsidRPr="00A61845" w:rsidRDefault="00E823B0" w:rsidP="00E823B0">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Robustece lo anterior el criterio orientador 02/19 emitido por el Instituto Nacional de Transparencia, Acceso a la Información y Protección de Datos Personales, INAI, el cual refiere:</w:t>
      </w:r>
    </w:p>
    <w:p w:rsidR="00E823B0" w:rsidRPr="00A61845" w:rsidRDefault="00E823B0" w:rsidP="00E823B0">
      <w:pPr>
        <w:pBdr>
          <w:top w:val="nil"/>
          <w:left w:val="nil"/>
          <w:bottom w:val="nil"/>
          <w:right w:val="nil"/>
          <w:between w:val="nil"/>
        </w:pBdr>
        <w:spacing w:line="360" w:lineRule="auto"/>
        <w:jc w:val="both"/>
        <w:rPr>
          <w:rFonts w:ascii="Palatino Linotype" w:eastAsia="Palatino Linotype" w:hAnsi="Palatino Linotype" w:cs="Palatino Linotype"/>
        </w:rPr>
      </w:pPr>
    </w:p>
    <w:p w:rsidR="00E823B0" w:rsidRPr="00A61845" w:rsidRDefault="00E823B0" w:rsidP="00E823B0">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pública.”(Sic)</w:t>
      </w:r>
    </w:p>
    <w:p w:rsidR="00E823B0" w:rsidRPr="00A61845" w:rsidRDefault="00E823B0" w:rsidP="00E823B0">
      <w:pPr>
        <w:pBdr>
          <w:top w:val="nil"/>
          <w:left w:val="nil"/>
          <w:bottom w:val="nil"/>
          <w:right w:val="nil"/>
          <w:between w:val="nil"/>
        </w:pBdr>
        <w:spacing w:line="360" w:lineRule="auto"/>
        <w:ind w:left="567" w:right="616"/>
        <w:jc w:val="both"/>
        <w:rPr>
          <w:rFonts w:ascii="Palatino Linotype" w:eastAsia="Palatino Linotype" w:hAnsi="Palatino Linotype" w:cs="Palatino Linotype"/>
          <w:i/>
          <w:sz w:val="22"/>
          <w:szCs w:val="22"/>
        </w:rPr>
      </w:pPr>
    </w:p>
    <w:p w:rsidR="00E823B0" w:rsidRPr="00A61845" w:rsidRDefault="00E823B0" w:rsidP="00E823B0">
      <w:pPr>
        <w:pBdr>
          <w:top w:val="nil"/>
          <w:left w:val="nil"/>
          <w:bottom w:val="nil"/>
          <w:right w:val="nil"/>
          <w:between w:val="nil"/>
        </w:pBdr>
        <w:spacing w:line="360" w:lineRule="auto"/>
        <w:jc w:val="both"/>
        <w:rPr>
          <w:rFonts w:ascii="Palatino Linotype" w:eastAsia="Palatino Linotype" w:hAnsi="Palatino Linotype" w:cs="Palatino Linotype"/>
        </w:rPr>
      </w:pPr>
      <w:r w:rsidRPr="00A61845">
        <w:rPr>
          <w:rFonts w:ascii="Palatino Linotype" w:eastAsia="Palatino Linotype" w:hAnsi="Palatino Linotype" w:cs="Palatino Linotype"/>
        </w:rPr>
        <w:t xml:space="preserve">Robustecen lo anterior expuesto los </w:t>
      </w:r>
      <w:r w:rsidRPr="00A61845">
        <w:rPr>
          <w:rFonts w:ascii="Palatino Linotype" w:eastAsia="Palatino Linotype" w:hAnsi="Palatino Linotype" w:cs="Palatino Linotype"/>
          <w:b/>
        </w:rPr>
        <w:t xml:space="preserve">Lineamientos Generales en Materia de Clasificación y Desclasificación de la Información, así como para la Elaboración de Versiones Públicas </w:t>
      </w:r>
      <w:r w:rsidRPr="00A61845">
        <w:rPr>
          <w:rFonts w:ascii="Palatino Linotype" w:eastAsia="Palatino Linotype" w:hAnsi="Palatino Linotype" w:cs="Palatino Linotype"/>
        </w:rPr>
        <w:t>que señalan lo siguiente:</w:t>
      </w:r>
    </w:p>
    <w:p w:rsidR="00E823B0" w:rsidRPr="00A61845" w:rsidRDefault="00E823B0" w:rsidP="00E823B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E823B0" w:rsidRPr="00A61845" w:rsidRDefault="00E823B0" w:rsidP="00E823B0">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“Quincuagésimo séptimo. Se considera, en principio, como información pública y no podrá omitirse de las versiones públicas la siguiente:</w:t>
      </w:r>
    </w:p>
    <w:p w:rsidR="00E823B0" w:rsidRPr="00A61845" w:rsidRDefault="00E823B0" w:rsidP="00E823B0">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lastRenderedPageBreak/>
        <w:t>La relativa a las Obligaciones de Transparencia que contempla el Título V de la Ley General y las demás disposiciones legales aplicables;</w:t>
      </w:r>
    </w:p>
    <w:p w:rsidR="00E823B0" w:rsidRPr="00A61845" w:rsidRDefault="00E823B0" w:rsidP="00E823B0">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b/>
          <w:i/>
          <w:sz w:val="22"/>
          <w:szCs w:val="22"/>
        </w:rPr>
        <w:t xml:space="preserve">El nombre de los servidores públicos en los documentos, y sus </w:t>
      </w:r>
      <w:r w:rsidRPr="00A61845">
        <w:rPr>
          <w:rFonts w:ascii="Palatino Linotype" w:eastAsia="Palatino Linotype" w:hAnsi="Palatino Linotype" w:cs="Palatino Linotype"/>
          <w:b/>
          <w:i/>
          <w:sz w:val="22"/>
          <w:szCs w:val="22"/>
          <w:u w:val="single"/>
        </w:rPr>
        <w:t>firmas autógrafas</w:t>
      </w:r>
      <w:r w:rsidRPr="00A61845">
        <w:rPr>
          <w:rFonts w:ascii="Palatino Linotype" w:eastAsia="Palatino Linotype" w:hAnsi="Palatino Linotype" w:cs="Palatino Linotype"/>
          <w:i/>
          <w:sz w:val="22"/>
          <w:szCs w:val="22"/>
        </w:rPr>
        <w:t>, cuando sean utilizados en el ejercicio de las facultades conferidas para el desempeño del servicio público, y</w:t>
      </w:r>
    </w:p>
    <w:p w:rsidR="00E823B0" w:rsidRPr="00A61845" w:rsidRDefault="00E823B0" w:rsidP="00E823B0">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La información que documente decisiones y los actos de autoridad concluidos de los sujetos obligados, así como el ejercicio de las facultades o actividades de los servidores públicos, de manera que se pueda valorar el desempeño de los mismos.</w:t>
      </w:r>
    </w:p>
    <w:p w:rsidR="00E823B0" w:rsidRPr="00A61845" w:rsidRDefault="00E823B0" w:rsidP="00E823B0">
      <w:pPr>
        <w:pBdr>
          <w:top w:val="nil"/>
          <w:left w:val="nil"/>
          <w:bottom w:val="nil"/>
          <w:right w:val="nil"/>
          <w:between w:val="nil"/>
        </w:pBdr>
        <w:ind w:left="567" w:right="618"/>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Lo anterior, siempre y cuando no se acredite alguna causal de clasificación, prevista en las leyes o en los tratados internaciones suscritos por el Estado mexicano.”(Sic).</w:t>
      </w:r>
    </w:p>
    <w:p w:rsidR="00E823B0" w:rsidRPr="00A61845" w:rsidRDefault="00E823B0" w:rsidP="00E823B0">
      <w:pPr>
        <w:pBdr>
          <w:top w:val="nil"/>
          <w:left w:val="nil"/>
          <w:bottom w:val="nil"/>
          <w:right w:val="nil"/>
          <w:between w:val="nil"/>
        </w:pBdr>
        <w:ind w:left="567" w:right="618"/>
        <w:jc w:val="both"/>
        <w:rPr>
          <w:rFonts w:ascii="Palatino Linotype" w:eastAsia="Palatino Linotype" w:hAnsi="Palatino Linotype" w:cs="Palatino Linotype"/>
          <w:i/>
          <w:sz w:val="22"/>
          <w:szCs w:val="22"/>
        </w:rPr>
      </w:pPr>
    </w:p>
    <w:p w:rsidR="00E823B0" w:rsidRPr="00E823B0" w:rsidRDefault="00E823B0" w:rsidP="00E823B0">
      <w:pPr>
        <w:spacing w:before="240" w:after="240" w:line="360" w:lineRule="auto"/>
        <w:jc w:val="both"/>
        <w:rPr>
          <w:rFonts w:ascii="Palatino Linotype" w:hAnsi="Palatino Linotype"/>
        </w:rPr>
      </w:pPr>
      <w:r w:rsidRPr="00E823B0">
        <w:rPr>
          <w:rFonts w:ascii="Palatino Linotype" w:eastAsia="Palatino Linotype" w:hAnsi="Palatino Linotype" w:cs="Palatino Linotype"/>
        </w:rPr>
        <w:t xml:space="preserve">Ahora bien, por cuanto hace a la información fiscal, es de señalar que </w:t>
      </w:r>
      <w:r w:rsidRPr="00E823B0">
        <w:rPr>
          <w:rFonts w:ascii="Palatino Linotype" w:hAnsi="Palatino Linotype"/>
        </w:rPr>
        <w:t xml:space="preserve">La </w:t>
      </w:r>
      <w:r w:rsidRPr="00E823B0">
        <w:rPr>
          <w:rFonts w:ascii="Palatino Linotype" w:hAnsi="Palatino Linotype"/>
          <w:b/>
        </w:rPr>
        <w:t>Cadena Original</w:t>
      </w:r>
      <w:r w:rsidRPr="00E823B0">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009926AC" w:rsidRPr="00E823B0">
        <w:rPr>
          <w:rFonts w:ascii="Palatino Linotype" w:hAnsi="Palatino Linotype"/>
          <w:b/>
          <w:bCs/>
        </w:rPr>
        <w:t>SUJETO OBLIGADO</w:t>
      </w:r>
      <w:r w:rsidR="009926AC" w:rsidRPr="00E823B0">
        <w:rPr>
          <w:rFonts w:ascii="Palatino Linotype" w:hAnsi="Palatino Linotype"/>
        </w:rPr>
        <w:t xml:space="preserve"> </w:t>
      </w:r>
      <w:r w:rsidRPr="00E823B0">
        <w:rPr>
          <w:rFonts w:ascii="Palatino Linotype" w:hAnsi="Palatino Linotype"/>
        </w:rPr>
        <w:t>analizar dicha circunstancia con la finalidad de proteger, de ser el caso, la información a través de su clasificación por actualizarse el supuesto de confidencialidad.</w:t>
      </w:r>
    </w:p>
    <w:p w:rsidR="00E823B0" w:rsidRPr="00E823B0" w:rsidRDefault="00E823B0" w:rsidP="00E823B0">
      <w:pPr>
        <w:spacing w:before="240" w:after="240" w:line="360" w:lineRule="auto"/>
        <w:jc w:val="both"/>
        <w:rPr>
          <w:rFonts w:ascii="Palatino Linotype" w:hAnsi="Palatino Linotype"/>
        </w:rPr>
      </w:pPr>
      <w:r w:rsidRPr="00E823B0">
        <w:rPr>
          <w:rFonts w:ascii="Palatino Linotype" w:hAnsi="Palatino Linotype" w:cs="Arial"/>
        </w:rPr>
        <w:t xml:space="preserve">Los </w:t>
      </w:r>
      <w:r w:rsidRPr="00E823B0">
        <w:rPr>
          <w:rFonts w:ascii="Palatino Linotype" w:hAnsi="Palatino Linotype" w:cs="Arial"/>
          <w:b/>
        </w:rPr>
        <w:t>códigos bidimensionales</w:t>
      </w:r>
      <w:r w:rsidRPr="00E823B0">
        <w:rPr>
          <w:rFonts w:ascii="Palatino Linotype" w:hAnsi="Palatino Linotype" w:cs="Arial"/>
        </w:rPr>
        <w:t xml:space="preserve"> o </w:t>
      </w:r>
      <w:r w:rsidRPr="00E823B0">
        <w:rPr>
          <w:rFonts w:ascii="Palatino Linotype" w:hAnsi="Palatino Linotype" w:cs="Arial"/>
          <w:b/>
        </w:rPr>
        <w:t xml:space="preserve">códigos QR, </w:t>
      </w:r>
      <w:r w:rsidRPr="00E823B0">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E823B0">
        <w:rPr>
          <w:rFonts w:ascii="Palatino Linotype" w:hAnsi="Palatino Linotype"/>
        </w:rPr>
        <w:t xml:space="preserve">, debiendo el </w:t>
      </w:r>
      <w:r w:rsidR="009926AC" w:rsidRPr="00E823B0">
        <w:rPr>
          <w:rFonts w:ascii="Palatino Linotype" w:hAnsi="Palatino Linotype"/>
          <w:b/>
          <w:bCs/>
        </w:rPr>
        <w:t xml:space="preserve">SUJETO OBLIGADO </w:t>
      </w:r>
      <w:r w:rsidRPr="00E823B0">
        <w:rPr>
          <w:rFonts w:ascii="Palatino Linotype" w:hAnsi="Palatino Linotype"/>
        </w:rPr>
        <w:t>analizar dicha circunstancia con la finalidad de determinar si se actualiza algún supuesto de confidencialidad.</w:t>
      </w:r>
    </w:p>
    <w:p w:rsidR="00E823B0" w:rsidRPr="008A59AB" w:rsidRDefault="00E823B0" w:rsidP="00E823B0">
      <w:pPr>
        <w:spacing w:before="240" w:after="240" w:line="360" w:lineRule="auto"/>
        <w:jc w:val="both"/>
        <w:rPr>
          <w:rFonts w:ascii="Palatino Linotype" w:hAnsi="Palatino Linotype" w:cs="Arial"/>
        </w:rPr>
      </w:pPr>
      <w:r w:rsidRPr="00E823B0">
        <w:rPr>
          <w:rFonts w:ascii="Palatino Linotype" w:hAnsi="Palatino Linotype" w:cs="Arial"/>
        </w:rPr>
        <w:lastRenderedPageBreak/>
        <w:t xml:space="preserve">En tal sentido, si derivado del análisis efectuado por </w:t>
      </w:r>
      <w:r w:rsidR="009926AC" w:rsidRPr="00E823B0">
        <w:rPr>
          <w:rFonts w:ascii="Palatino Linotype" w:hAnsi="Palatino Linotype" w:cs="Arial"/>
          <w:b/>
        </w:rPr>
        <w:t xml:space="preserve">SUJETO OBLIGADO </w:t>
      </w:r>
      <w:r w:rsidRPr="00E823B0">
        <w:rPr>
          <w:rFonts w:ascii="Palatino Linotype" w:hAnsi="Palatino Linotype" w:cs="Arial"/>
          <w:bCs/>
        </w:rPr>
        <w:t>en el presente caso,</w:t>
      </w:r>
      <w:r w:rsidRPr="00E823B0">
        <w:rPr>
          <w:rFonts w:ascii="Palatino Linotype" w:hAnsi="Palatino Linotype" w:cs="Arial"/>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rsidR="00036220" w:rsidRDefault="001C2273" w:rsidP="001C2273">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sz w:val="23"/>
          <w:szCs w:val="23"/>
        </w:rPr>
      </w:pPr>
      <w:r>
        <w:rPr>
          <w:rFonts w:ascii="Palatino Linotype" w:eastAsia="Palatino Linotype" w:hAnsi="Palatino Linotype" w:cs="Palatino Linotype"/>
          <w:color w:val="000000"/>
          <w:sz w:val="23"/>
          <w:szCs w:val="23"/>
        </w:rPr>
        <w:t xml:space="preserve">Es así que, </w:t>
      </w:r>
      <w:r w:rsidR="00E84453">
        <w:rPr>
          <w:rFonts w:ascii="Palatino Linotype" w:eastAsia="Palatino Linotype" w:hAnsi="Palatino Linotype" w:cs="Palatino Linotype"/>
          <w:color w:val="000000"/>
          <w:sz w:val="23"/>
          <w:szCs w:val="23"/>
        </w:rPr>
        <w:t xml:space="preserve">el Pleno de este Instituto  determina dable ordenar la estrega de </w:t>
      </w:r>
      <w:r w:rsidR="00C1408A">
        <w:rPr>
          <w:rFonts w:ascii="Palatino Linotype" w:eastAsia="Palatino Linotype" w:hAnsi="Palatino Linotype" w:cs="Palatino Linotype"/>
          <w:color w:val="000000"/>
          <w:sz w:val="23"/>
          <w:szCs w:val="23"/>
        </w:rPr>
        <w:t>en versión pública de los documentos donde conste el sueldo quincenal de la Presidenta Municipal, el Síndico M</w:t>
      </w:r>
      <w:r w:rsidR="00E30B7D">
        <w:rPr>
          <w:rFonts w:ascii="Palatino Linotype" w:eastAsia="Palatino Linotype" w:hAnsi="Palatino Linotype" w:cs="Palatino Linotype"/>
          <w:color w:val="000000"/>
          <w:sz w:val="23"/>
          <w:szCs w:val="23"/>
        </w:rPr>
        <w:t xml:space="preserve">unicipal, Regidoras y Regidores al treinta </w:t>
      </w:r>
      <w:r w:rsidR="002706ED">
        <w:rPr>
          <w:rFonts w:ascii="Palatino Linotype" w:eastAsia="Palatino Linotype" w:hAnsi="Palatino Linotype" w:cs="Palatino Linotype"/>
          <w:color w:val="000000"/>
          <w:sz w:val="23"/>
          <w:szCs w:val="23"/>
        </w:rPr>
        <w:t xml:space="preserve">de junio de dos mil veintidós. </w:t>
      </w:r>
    </w:p>
    <w:p w:rsidR="00E30B7D" w:rsidRDefault="00E30B7D" w:rsidP="001C2273">
      <w:pPr>
        <w:pBdr>
          <w:top w:val="nil"/>
          <w:left w:val="nil"/>
          <w:bottom w:val="nil"/>
          <w:right w:val="nil"/>
          <w:between w:val="nil"/>
        </w:pBdr>
        <w:spacing w:line="360" w:lineRule="auto"/>
        <w:ind w:right="99"/>
        <w:jc w:val="both"/>
        <w:rPr>
          <w:rFonts w:ascii="Palatino Linotype" w:eastAsia="Palatino Linotype" w:hAnsi="Palatino Linotype" w:cs="Palatino Linotype"/>
          <w:color w:val="000000"/>
          <w:sz w:val="23"/>
          <w:szCs w:val="23"/>
        </w:rPr>
      </w:pPr>
    </w:p>
    <w:p w:rsidR="00AE0458" w:rsidRPr="00E6237A" w:rsidRDefault="007C7167" w:rsidP="00AE0458">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sidR="00AE0458" w:rsidRPr="00E6237A">
        <w:rPr>
          <w:rFonts w:ascii="Palatino Linotype" w:eastAsia="Palatino Linotype" w:hAnsi="Palatino Linotype" w:cs="Palatino Linotype"/>
        </w:rPr>
        <w:t>Como fue debidamente apuntado, el </w:t>
      </w:r>
      <w:r w:rsidR="00AE0458" w:rsidRPr="00E6237A">
        <w:rPr>
          <w:rFonts w:ascii="Palatino Linotype" w:eastAsia="Palatino Linotype" w:hAnsi="Palatino Linotype" w:cs="Palatino Linotype"/>
          <w:b/>
        </w:rPr>
        <w:t>Sujeto Obligado</w:t>
      </w:r>
      <w:r w:rsidR="00AE0458" w:rsidRPr="00E6237A">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rsidR="00AE0458" w:rsidRPr="00E6237A" w:rsidRDefault="00AE0458" w:rsidP="00AE0458">
      <w:pPr>
        <w:spacing w:before="240" w:after="240" w:line="360" w:lineRule="auto"/>
        <w:ind w:right="49"/>
        <w:jc w:val="both"/>
        <w:rPr>
          <w:rFonts w:ascii="Palatino Linotype" w:eastAsia="Palatino Linotype" w:hAnsi="Palatino Linotype" w:cs="Palatino Linotype"/>
        </w:rPr>
      </w:pPr>
      <w:r w:rsidRPr="00E6237A">
        <w:rPr>
          <w:rFonts w:ascii="Palatino Linotype" w:eastAsia="Palatino Linotype" w:hAnsi="Palatino Linotype" w:cs="Palatino Linotype"/>
        </w:rPr>
        <w:lastRenderedPageBreak/>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AE0458" w:rsidRPr="00E6237A" w:rsidRDefault="00AE0458" w:rsidP="00AE0458">
      <w:pPr>
        <w:spacing w:before="240" w:after="240" w:line="360" w:lineRule="auto"/>
        <w:ind w:right="49"/>
        <w:jc w:val="both"/>
        <w:rPr>
          <w:rFonts w:ascii="Palatino Linotype" w:eastAsia="Palatino Linotype" w:hAnsi="Palatino Linotype" w:cs="Palatino Linotype"/>
        </w:rPr>
      </w:pPr>
      <w:r w:rsidRPr="00E6237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rsidR="00AE0458" w:rsidRPr="0096268C" w:rsidRDefault="00AE0458" w:rsidP="00AE0458">
      <w:pPr>
        <w:spacing w:before="240" w:after="240" w:line="360" w:lineRule="auto"/>
        <w:ind w:right="49"/>
        <w:jc w:val="both"/>
        <w:rPr>
          <w:rFonts w:ascii="Palatino Linotype" w:eastAsia="Palatino Linotype" w:hAnsi="Palatino Linotype" w:cs="Palatino Linotype"/>
          <w:sz w:val="22"/>
          <w:szCs w:val="22"/>
        </w:rPr>
      </w:pPr>
      <w:r w:rsidRPr="00E6237A">
        <w:rPr>
          <w:rFonts w:ascii="Palatino Linotype" w:eastAsia="Palatino Linotype" w:hAnsi="Palatino Linotype" w:cs="Palatino Linotype"/>
        </w:rPr>
        <w:t xml:space="preserve">Al respecto, los artículos 3, fracciones IX, XX, XXI, XXXII, XLV; 6, 91, 137, 143 </w:t>
      </w:r>
      <w:proofErr w:type="gramStart"/>
      <w:r w:rsidRPr="00E6237A">
        <w:rPr>
          <w:rFonts w:ascii="Palatino Linotype" w:eastAsia="Palatino Linotype" w:hAnsi="Palatino Linotype" w:cs="Palatino Linotype"/>
        </w:rPr>
        <w:t>fracción</w:t>
      </w:r>
      <w:proofErr w:type="gramEnd"/>
      <w:r w:rsidRPr="00E6237A">
        <w:rPr>
          <w:rFonts w:ascii="Palatino Linotype" w:eastAsia="Palatino Linotype" w:hAnsi="Palatino Linotype" w:cs="Palatino Linotype"/>
        </w:rPr>
        <w:t xml:space="preserve"> I, de la Ley de Transparencia y Acceso a la Información Pública del Estado de </w:t>
      </w:r>
      <w:r w:rsidRPr="0096268C">
        <w:rPr>
          <w:rFonts w:ascii="Palatino Linotype" w:eastAsia="Palatino Linotype" w:hAnsi="Palatino Linotype" w:cs="Palatino Linotype"/>
          <w:sz w:val="22"/>
          <w:szCs w:val="22"/>
        </w:rPr>
        <w:t>México y Municipios vigente establecen:</w:t>
      </w:r>
    </w:p>
    <w:p w:rsidR="00AE0458" w:rsidRPr="0096268C" w:rsidRDefault="00AE0458" w:rsidP="00AE0458">
      <w:pPr>
        <w:spacing w:before="120" w:after="120"/>
        <w:ind w:left="851"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sz w:val="22"/>
          <w:szCs w:val="22"/>
        </w:rPr>
        <w:t> </w:t>
      </w:r>
      <w:r w:rsidRPr="0096268C">
        <w:rPr>
          <w:rFonts w:ascii="Palatino Linotype" w:eastAsia="Palatino Linotype" w:hAnsi="Palatino Linotype" w:cs="Palatino Linotype"/>
          <w:i/>
          <w:sz w:val="22"/>
          <w:szCs w:val="22"/>
        </w:rPr>
        <w:t>“</w:t>
      </w:r>
      <w:r w:rsidRPr="0096268C">
        <w:rPr>
          <w:rFonts w:ascii="Palatino Linotype" w:eastAsia="Palatino Linotype" w:hAnsi="Palatino Linotype" w:cs="Palatino Linotype"/>
          <w:b/>
          <w:i/>
          <w:sz w:val="22"/>
          <w:szCs w:val="22"/>
        </w:rPr>
        <w:t>Artículo 3.</w:t>
      </w:r>
      <w:r w:rsidRPr="0096268C">
        <w:rPr>
          <w:rFonts w:ascii="Palatino Linotype" w:eastAsia="Palatino Linotype" w:hAnsi="Palatino Linotype" w:cs="Palatino Linotype"/>
          <w:i/>
          <w:sz w:val="22"/>
          <w:szCs w:val="22"/>
        </w:rPr>
        <w:t xml:space="preserve"> Para los efectos de la presente Ley se entenderá por:</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i/>
          <w:sz w:val="22"/>
          <w:szCs w:val="22"/>
        </w:rPr>
        <w:t>(…)</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IX. Datos personales</w:t>
      </w:r>
      <w:r w:rsidRPr="0096268C">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i/>
          <w:sz w:val="22"/>
          <w:szCs w:val="22"/>
        </w:rPr>
        <w:t>(…)</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XX. Información clasificada</w:t>
      </w:r>
      <w:r w:rsidRPr="0096268C">
        <w:rPr>
          <w:rFonts w:ascii="Palatino Linotype" w:eastAsia="Palatino Linotype" w:hAnsi="Palatino Linotype" w:cs="Palatino Linotype"/>
          <w:i/>
          <w:sz w:val="22"/>
          <w:szCs w:val="22"/>
        </w:rPr>
        <w:t>: Aquella considerada por la presente Ley como reservada o confidencial;</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XXI. Información confidencial</w:t>
      </w:r>
      <w:r w:rsidRPr="0096268C">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i/>
          <w:sz w:val="22"/>
          <w:szCs w:val="22"/>
        </w:rPr>
        <w:t>(…)</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lastRenderedPageBreak/>
        <w:t>XXXII. Protección de Datos Personales</w:t>
      </w:r>
      <w:r w:rsidRPr="0096268C">
        <w:rPr>
          <w:rFonts w:ascii="Palatino Linotype" w:eastAsia="Palatino Linotype" w:hAnsi="Palatino Linotype" w:cs="Palatino Linotype"/>
          <w:i/>
          <w:sz w:val="22"/>
          <w:szCs w:val="22"/>
        </w:rPr>
        <w:t>: Derecho humano que tutela la privacidad de datos personales en poder de los sujetos obligados y sujetos particulares;</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i/>
          <w:sz w:val="22"/>
          <w:szCs w:val="22"/>
        </w:rPr>
        <w:t>(…)</w:t>
      </w:r>
    </w:p>
    <w:p w:rsidR="00AE0458" w:rsidRPr="0096268C" w:rsidRDefault="00AE0458" w:rsidP="00AE0458">
      <w:pPr>
        <w:tabs>
          <w:tab w:val="left" w:pos="1276"/>
        </w:tabs>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XLV. Versión pública</w:t>
      </w:r>
      <w:r w:rsidRPr="0096268C">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AE0458" w:rsidRPr="0096268C" w:rsidRDefault="00AE0458" w:rsidP="00AE0458">
      <w:pPr>
        <w:spacing w:before="120" w:after="120"/>
        <w:ind w:left="851"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 Artículo 6</w:t>
      </w:r>
      <w:r w:rsidRPr="0096268C">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E0458" w:rsidRPr="0096268C" w:rsidRDefault="00AE0458" w:rsidP="00AE0458">
      <w:pPr>
        <w:spacing w:before="120" w:after="120"/>
        <w:ind w:left="851"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i/>
          <w:sz w:val="22"/>
          <w:szCs w:val="22"/>
        </w:rPr>
        <w:t> (…)</w:t>
      </w:r>
    </w:p>
    <w:p w:rsidR="00AE0458" w:rsidRPr="0096268C" w:rsidRDefault="00AE0458" w:rsidP="00AE0458">
      <w:pPr>
        <w:spacing w:before="120" w:after="120"/>
        <w:ind w:left="851"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Artículo 91.</w:t>
      </w:r>
      <w:r w:rsidRPr="0096268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AE0458" w:rsidRPr="0096268C" w:rsidRDefault="00AE0458" w:rsidP="00AE0458">
      <w:pPr>
        <w:spacing w:before="120" w:after="120"/>
        <w:ind w:left="851"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i/>
          <w:sz w:val="22"/>
          <w:szCs w:val="22"/>
        </w:rPr>
        <w:t>(…)</w:t>
      </w:r>
    </w:p>
    <w:p w:rsidR="00AE0458" w:rsidRPr="0096268C" w:rsidRDefault="00AE0458" w:rsidP="00AE0458">
      <w:pPr>
        <w:spacing w:before="120" w:after="120"/>
        <w:ind w:left="851"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Artículo 137.</w:t>
      </w:r>
      <w:r w:rsidRPr="0096268C">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E0458" w:rsidRPr="0096268C" w:rsidRDefault="00AE0458" w:rsidP="00AE0458">
      <w:pPr>
        <w:spacing w:before="120" w:after="120"/>
        <w:ind w:left="851"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 Artículo 143.</w:t>
      </w:r>
      <w:r w:rsidRPr="0096268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rsidR="00AE0458" w:rsidRPr="0096268C" w:rsidRDefault="00AE0458" w:rsidP="00AE0458">
      <w:pPr>
        <w:spacing w:before="120" w:after="120"/>
        <w:ind w:left="1134" w:right="902"/>
        <w:jc w:val="both"/>
        <w:rPr>
          <w:rFonts w:ascii="Palatino Linotype" w:eastAsia="Palatino Linotype" w:hAnsi="Palatino Linotype" w:cs="Palatino Linotype"/>
          <w:i/>
          <w:sz w:val="22"/>
          <w:szCs w:val="22"/>
        </w:rPr>
      </w:pPr>
      <w:r w:rsidRPr="0096268C">
        <w:rPr>
          <w:rFonts w:ascii="Palatino Linotype" w:eastAsia="Palatino Linotype" w:hAnsi="Palatino Linotype" w:cs="Palatino Linotype"/>
          <w:b/>
          <w:i/>
          <w:sz w:val="22"/>
          <w:szCs w:val="22"/>
        </w:rPr>
        <w:t>I.</w:t>
      </w:r>
      <w:r w:rsidRPr="0096268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AE0458" w:rsidRPr="00E6237A" w:rsidRDefault="00AE0458" w:rsidP="00AE0458">
      <w:pPr>
        <w:spacing w:before="240" w:after="240" w:line="360" w:lineRule="auto"/>
        <w:ind w:right="50"/>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E6237A">
        <w:rPr>
          <w:rFonts w:ascii="Palatino Linotype" w:eastAsia="Palatino Linotype" w:hAnsi="Palatino Linotype" w:cs="Palatino Linotype"/>
          <w:b/>
        </w:rPr>
        <w:t>Sujeto Obligado</w:t>
      </w:r>
      <w:r w:rsidRPr="00E6237A">
        <w:rPr>
          <w:rFonts w:ascii="Palatino Linotype" w:eastAsia="Palatino Linotype" w:hAnsi="Palatino Linotype" w:cs="Palatino Linotype"/>
        </w:rPr>
        <w:t xml:space="preserve"> deberá proceder a testar los datos personales que se encuentre contenidos </w:t>
      </w:r>
      <w:r w:rsidRPr="00E6237A">
        <w:rPr>
          <w:rFonts w:ascii="Palatino Linotype" w:eastAsia="Palatino Linotype" w:hAnsi="Palatino Linotype" w:cs="Palatino Linotype"/>
        </w:rPr>
        <w:lastRenderedPageBreak/>
        <w:t>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rsidR="00AE0458" w:rsidRPr="00E6237A" w:rsidRDefault="00AE0458" w:rsidP="00AE0458">
      <w:pPr>
        <w:spacing w:before="240" w:after="240" w:line="360" w:lineRule="auto"/>
        <w:ind w:right="50"/>
        <w:jc w:val="both"/>
        <w:rPr>
          <w:rFonts w:ascii="Palatino Linotype" w:eastAsia="Palatino Linotype" w:hAnsi="Palatino Linotype" w:cs="Palatino Linotype"/>
        </w:rPr>
      </w:pPr>
      <w:r w:rsidRPr="00E6237A">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AE0458" w:rsidRPr="008A59AB" w:rsidRDefault="00AE0458" w:rsidP="00AE0458">
      <w:pPr>
        <w:spacing w:before="240" w:after="240" w:line="360" w:lineRule="auto"/>
        <w:jc w:val="both"/>
        <w:rPr>
          <w:rFonts w:ascii="Palatino Linotype" w:hAnsi="Palatino Linotype" w:cs="Arial"/>
        </w:rPr>
      </w:pPr>
      <w:r w:rsidRPr="00E6237A">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E6237A">
        <w:rPr>
          <w:rFonts w:ascii="Palatino Linotype" w:eastAsia="Palatino Linotype" w:hAnsi="Palatino Linotype" w:cs="Palatino Linotype"/>
          <w:b/>
        </w:rPr>
        <w:t>Sujeto Obligado</w:t>
      </w:r>
      <w:r w:rsidRPr="00E6237A">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6237A">
        <w:rPr>
          <w:rFonts w:ascii="Palatino Linotype" w:eastAsia="Palatino Linotype" w:hAnsi="Palatino Linotype" w:cs="Palatino Linotype"/>
          <w:b/>
        </w:rPr>
        <w:t>Registro Federal de Contribuyentes</w:t>
      </w:r>
      <w:r w:rsidRPr="00E6237A">
        <w:rPr>
          <w:rFonts w:ascii="Palatino Linotype" w:eastAsia="Palatino Linotype" w:hAnsi="Palatino Linotype" w:cs="Palatino Linotype"/>
        </w:rPr>
        <w:t xml:space="preserve"> (RFC), la </w:t>
      </w:r>
      <w:r w:rsidRPr="00E6237A">
        <w:rPr>
          <w:rFonts w:ascii="Palatino Linotype" w:eastAsia="Palatino Linotype" w:hAnsi="Palatino Linotype" w:cs="Palatino Linotype"/>
          <w:b/>
        </w:rPr>
        <w:t>Clave Única de Registro de Población</w:t>
      </w:r>
      <w:r w:rsidRPr="00E6237A">
        <w:rPr>
          <w:rFonts w:ascii="Palatino Linotype" w:eastAsia="Palatino Linotype" w:hAnsi="Palatino Linotype" w:cs="Palatino Linotype"/>
        </w:rPr>
        <w:t xml:space="preserve"> (CURP), la </w:t>
      </w:r>
      <w:r w:rsidRPr="00E6237A">
        <w:rPr>
          <w:rFonts w:ascii="Palatino Linotype" w:eastAsia="Palatino Linotype" w:hAnsi="Palatino Linotype" w:cs="Palatino Linotype"/>
          <w:b/>
        </w:rPr>
        <w:t>Clave de cualquier tipo de seguridad social</w:t>
      </w:r>
      <w:r w:rsidRPr="00E6237A">
        <w:rPr>
          <w:rFonts w:ascii="Palatino Linotype" w:eastAsia="Palatino Linotype" w:hAnsi="Palatino Linotype" w:cs="Palatino Linotype"/>
        </w:rPr>
        <w:t xml:space="preserve"> (ISSEMYM, u otros), los </w:t>
      </w:r>
      <w:r w:rsidRPr="00E6237A">
        <w:rPr>
          <w:rFonts w:ascii="Palatino Linotype" w:eastAsia="Palatino Linotype" w:hAnsi="Palatino Linotype" w:cs="Palatino Linotype"/>
          <w:b/>
        </w:rPr>
        <w:t>números de cuentas bancarias</w:t>
      </w:r>
      <w:r w:rsidRPr="00E6237A">
        <w:rPr>
          <w:rFonts w:ascii="Palatino Linotype" w:eastAsia="Palatino Linotype" w:hAnsi="Palatino Linotype" w:cs="Palatino Linotype"/>
        </w:rPr>
        <w:t xml:space="preserve">, claves </w:t>
      </w:r>
      <w:r w:rsidRPr="00E6237A">
        <w:rPr>
          <w:rFonts w:ascii="Palatino Linotype" w:eastAsia="Palatino Linotype" w:hAnsi="Palatino Linotype" w:cs="Palatino Linotype"/>
        </w:rPr>
        <w:lastRenderedPageBreak/>
        <w:t xml:space="preserve">estandarizadas – interbancarias - (CLABES) y de tarjetas, los </w:t>
      </w:r>
      <w:r w:rsidRPr="00E6237A">
        <w:rPr>
          <w:rFonts w:ascii="Palatino Linotype" w:eastAsia="Palatino Linotype" w:hAnsi="Palatino Linotype" w:cs="Palatino Linotype"/>
          <w:b/>
        </w:rPr>
        <w:t>préstamos o descuentos</w:t>
      </w:r>
      <w:r w:rsidRPr="00E6237A">
        <w:rPr>
          <w:rFonts w:ascii="Palatino Linotype" w:eastAsia="Palatino Linotype" w:hAnsi="Palatino Linotype" w:cs="Palatino Linotype"/>
        </w:rPr>
        <w:t xml:space="preserve"> que se le hagan a la persona y que no tengan relación con los impuestos o la cuota por seguridad social, </w:t>
      </w:r>
      <w:r>
        <w:rPr>
          <w:rFonts w:ascii="Palatino Linotype" w:eastAsia="Palatino Linotype" w:hAnsi="Palatino Linotype" w:cs="Palatino Linotype"/>
        </w:rPr>
        <w:t>el</w:t>
      </w:r>
      <w:r>
        <w:rPr>
          <w:rFonts w:ascii="Palatino Linotype" w:eastAsia="Palatino Linotype" w:hAnsi="Palatino Linotype" w:cs="Palatino Linotype"/>
          <w:b/>
        </w:rPr>
        <w:t xml:space="preserve"> número de </w:t>
      </w:r>
      <w:r w:rsidRPr="00377A7B">
        <w:rPr>
          <w:rFonts w:ascii="Palatino Linotype" w:eastAsia="Palatino Linotype" w:hAnsi="Palatino Linotype" w:cs="Palatino Linotype"/>
          <w:b/>
        </w:rPr>
        <w:t xml:space="preserve">empleado, </w:t>
      </w:r>
      <w:r w:rsidRPr="00377A7B">
        <w:rPr>
          <w:rFonts w:ascii="Palatino Linotype" w:hAnsi="Palatino Linotype" w:cs="Arial"/>
        </w:rPr>
        <w:t xml:space="preserve">así como de ser el caso, el </w:t>
      </w:r>
      <w:r w:rsidRPr="00377A7B">
        <w:rPr>
          <w:rFonts w:ascii="Palatino Linotype" w:hAnsi="Palatino Linotype" w:cs="Arial"/>
          <w:b/>
        </w:rPr>
        <w:t>folio fiscal</w:t>
      </w:r>
      <w:r w:rsidRPr="00377A7B">
        <w:rPr>
          <w:rFonts w:ascii="Palatino Linotype" w:hAnsi="Palatino Linotype" w:cs="Arial"/>
        </w:rPr>
        <w:t xml:space="preserve">, la  </w:t>
      </w:r>
      <w:r w:rsidRPr="00377A7B">
        <w:rPr>
          <w:rFonts w:ascii="Palatino Linotype" w:hAnsi="Palatino Linotype" w:cs="Arial"/>
          <w:b/>
        </w:rPr>
        <w:t xml:space="preserve">cadena original, </w:t>
      </w:r>
      <w:r w:rsidRPr="00377A7B">
        <w:rPr>
          <w:rFonts w:ascii="Palatino Linotype" w:hAnsi="Palatino Linotype" w:cs="Arial"/>
        </w:rPr>
        <w:t>los</w:t>
      </w:r>
      <w:r w:rsidRPr="00377A7B">
        <w:rPr>
          <w:rFonts w:ascii="Palatino Linotype" w:hAnsi="Palatino Linotype" w:cs="Arial"/>
          <w:b/>
        </w:rPr>
        <w:t xml:space="preserve"> códigos bidimensionales o códigos QR,</w:t>
      </w:r>
      <w:r w:rsidRPr="00377A7B">
        <w:rPr>
          <w:rFonts w:ascii="Palatino Linotype" w:hAnsi="Palatino Linotype" w:cs="Arial"/>
        </w:rPr>
        <w:t xml:space="preserve"> y cualquier información de carácter fiscal, bajo las siguientes consideraciones. </w:t>
      </w:r>
    </w:p>
    <w:p w:rsidR="00AE0458" w:rsidRDefault="00AE0458" w:rsidP="00AE0458">
      <w:pPr>
        <w:spacing w:before="240" w:after="240" w:line="360" w:lineRule="auto"/>
        <w:ind w:right="50"/>
        <w:jc w:val="both"/>
        <w:rPr>
          <w:rFonts w:ascii="Palatino Linotype" w:eastAsia="Palatino Linotype" w:hAnsi="Palatino Linotype" w:cs="Palatino Linotype"/>
        </w:rPr>
      </w:pPr>
      <w:r w:rsidRPr="00E6237A">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E6237A">
        <w:rPr>
          <w:rFonts w:ascii="Palatino Linotype" w:eastAsia="Palatino Linotype" w:hAnsi="Palatino Linotype" w:cs="Palatino Linotype"/>
        </w:rPr>
        <w:t>homoclave</w:t>
      </w:r>
      <w:proofErr w:type="spellEnd"/>
      <w:r w:rsidRPr="00E6237A">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rsidR="00AE0458" w:rsidRPr="000F66F5" w:rsidRDefault="00AE0458" w:rsidP="00AE0458">
      <w:pPr>
        <w:ind w:left="851" w:right="900"/>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b/>
          <w:i/>
          <w:sz w:val="22"/>
          <w:szCs w:val="22"/>
        </w:rPr>
        <w:lastRenderedPageBreak/>
        <w:t xml:space="preserve"> “Registro Federal de Contribuyentes (RFC) de personas físicas</w:t>
      </w:r>
      <w:r w:rsidRPr="000F66F5">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rsidR="00AE0458" w:rsidRPr="00E6237A" w:rsidRDefault="00AE0458" w:rsidP="00AE04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E6237A">
        <w:rPr>
          <w:rFonts w:ascii="Palatino Linotype" w:eastAsia="Palatino Linotype" w:hAnsi="Palatino Linotype" w:cs="Palatino Linotype"/>
        </w:rPr>
        <w:t>homoclave</w:t>
      </w:r>
      <w:proofErr w:type="spellEnd"/>
      <w:r w:rsidRPr="00E6237A">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AE0458" w:rsidRPr="00E6237A" w:rsidRDefault="00AE0458" w:rsidP="00AE04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AE0458" w:rsidRPr="00E6237A" w:rsidRDefault="00AE0458" w:rsidP="00AE04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rsidR="00AE0458" w:rsidRPr="000F66F5" w:rsidRDefault="00AE0458" w:rsidP="00AE0458">
      <w:pPr>
        <w:ind w:left="851" w:right="851"/>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b/>
          <w:i/>
          <w:sz w:val="22"/>
          <w:szCs w:val="22"/>
        </w:rPr>
        <w:lastRenderedPageBreak/>
        <w:t xml:space="preserve"> “Clave Única de Registro de Población (CURP). </w:t>
      </w:r>
      <w:r w:rsidRPr="000F66F5">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rsidR="00AE0458" w:rsidRPr="00E6237A" w:rsidRDefault="00AE0458" w:rsidP="00AE0458">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lastRenderedPageBreak/>
        <w:t xml:space="preserve">En esa virtud, este Pleno determina que dicha información no puede ser del dominio público, toda vez que se podría dar un uso inadecuado a la misma o cometer algún ilícito o fraude como ya ha sido expuesto. </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rsidR="00AE0458" w:rsidRPr="000F66F5" w:rsidRDefault="00AE0458" w:rsidP="00AE0458">
      <w:pPr>
        <w:spacing w:before="240" w:after="240"/>
        <w:ind w:left="851" w:right="900"/>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w:t>
      </w:r>
      <w:r w:rsidRPr="000F66F5">
        <w:rPr>
          <w:rFonts w:ascii="Palatino Linotype" w:eastAsia="Palatino Linotype" w:hAnsi="Palatino Linotype" w:cs="Palatino Linotype"/>
          <w:b/>
          <w:i/>
          <w:sz w:val="22"/>
          <w:szCs w:val="22"/>
        </w:rPr>
        <w:t>Cuentas bancarias y/o CLABE interbancaria de personas físicas y morales privadas.</w:t>
      </w:r>
      <w:r w:rsidRPr="000F66F5">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AE0458" w:rsidRPr="000F66F5" w:rsidRDefault="00AE0458" w:rsidP="00AE0458">
      <w:pPr>
        <w:spacing w:before="240" w:after="240"/>
        <w:ind w:left="851" w:right="900"/>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0F66F5">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Por cuanto hace a los </w:t>
      </w:r>
      <w:r w:rsidRPr="00E6237A">
        <w:rPr>
          <w:rFonts w:ascii="Palatino Linotype" w:eastAsia="Palatino Linotype" w:hAnsi="Palatino Linotype" w:cs="Palatino Linotype"/>
          <w:b/>
        </w:rPr>
        <w:t>préstamos o descuentos de carácter personal</w:t>
      </w:r>
      <w:r w:rsidRPr="00E6237A">
        <w:rPr>
          <w:rFonts w:ascii="Palatino Linotype" w:eastAsia="Palatino Linotype" w:hAnsi="Palatino Linotype" w:cs="Palatino Linotype"/>
        </w:rPr>
        <w:t>, en virtud de no tener relación con la prestación del servicio y al no involucrar instituciones públicas, se consideran datos confidenciales.</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lastRenderedPageBreak/>
        <w:t>Para entender los límites y alcances de esta restricción, es oportuno recurrir al artículo 84 de la Ley del Trabajo de los Servidores Públicos del Estado y Municipios:</w:t>
      </w:r>
    </w:p>
    <w:p w:rsidR="00AE0458" w:rsidRPr="000F66F5" w:rsidRDefault="00AE0458" w:rsidP="00AE0458">
      <w:pPr>
        <w:spacing w:before="240" w:after="240"/>
        <w:ind w:left="851" w:right="900"/>
        <w:jc w:val="both"/>
        <w:rPr>
          <w:rFonts w:ascii="Palatino Linotype" w:eastAsia="Palatino Linotype" w:hAnsi="Palatino Linotype" w:cs="Palatino Linotype"/>
          <w:b/>
          <w:i/>
          <w:sz w:val="22"/>
          <w:szCs w:val="22"/>
        </w:rPr>
      </w:pPr>
      <w:r w:rsidRPr="000F66F5">
        <w:rPr>
          <w:rFonts w:ascii="Palatino Linotype" w:eastAsia="Palatino Linotype" w:hAnsi="Palatino Linotype" w:cs="Palatino Linotype"/>
          <w:b/>
          <w:i/>
          <w:sz w:val="22"/>
          <w:szCs w:val="22"/>
        </w:rPr>
        <w:t xml:space="preserve">“ARTÍCULO 84. </w:t>
      </w:r>
      <w:r w:rsidRPr="000F66F5">
        <w:rPr>
          <w:rFonts w:ascii="Palatino Linotype" w:eastAsia="Palatino Linotype" w:hAnsi="Palatino Linotype" w:cs="Palatino Linotype"/>
          <w:i/>
          <w:sz w:val="22"/>
          <w:szCs w:val="22"/>
        </w:rPr>
        <w:t>Sólo podrán hacerse retenciones, descuentos o deducciones al sueldo de los servidores públicos por concepto de:</w:t>
      </w:r>
    </w:p>
    <w:p w:rsidR="00AE0458" w:rsidRPr="000F66F5" w:rsidRDefault="00AE0458" w:rsidP="00AE0458">
      <w:pPr>
        <w:ind w:left="993" w:right="902"/>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I. Gravámenes fiscales relacionados con el sueldo;</w:t>
      </w:r>
    </w:p>
    <w:p w:rsidR="00AE0458" w:rsidRPr="000F66F5" w:rsidRDefault="00AE0458" w:rsidP="00AE0458">
      <w:pPr>
        <w:ind w:left="993" w:right="902"/>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rsidR="00AE0458" w:rsidRPr="000F66F5" w:rsidRDefault="00AE0458" w:rsidP="00AE0458">
      <w:pPr>
        <w:ind w:left="993" w:right="902"/>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III. Cuotas sindicales;</w:t>
      </w:r>
    </w:p>
    <w:p w:rsidR="00AE0458" w:rsidRPr="000F66F5" w:rsidRDefault="00AE0458" w:rsidP="00AE0458">
      <w:pPr>
        <w:ind w:left="993" w:right="902"/>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rsidR="00AE0458" w:rsidRPr="000F66F5" w:rsidRDefault="00AE0458" w:rsidP="00AE0458">
      <w:pPr>
        <w:ind w:left="993" w:right="902"/>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rsidR="00AE0458" w:rsidRPr="000F66F5" w:rsidRDefault="00AE0458" w:rsidP="00AE0458">
      <w:pPr>
        <w:ind w:left="993" w:right="902"/>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rsidR="00AE0458" w:rsidRPr="000F66F5" w:rsidRDefault="00AE0458" w:rsidP="00AE0458">
      <w:pPr>
        <w:ind w:left="993" w:right="902"/>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VII. Faltas de puntualidad o de asistencia injustificadas;</w:t>
      </w:r>
    </w:p>
    <w:p w:rsidR="00AE0458" w:rsidRPr="000F66F5" w:rsidRDefault="00AE0458" w:rsidP="00AE0458">
      <w:pPr>
        <w:ind w:left="993" w:right="902"/>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b/>
          <w:i/>
          <w:sz w:val="22"/>
          <w:szCs w:val="22"/>
        </w:rPr>
        <w:t>VIII. Pensiones alimenticias ordenadas por la autoridad judicial;</w:t>
      </w:r>
      <w:r w:rsidRPr="000F66F5">
        <w:rPr>
          <w:rFonts w:ascii="Palatino Linotype" w:eastAsia="Palatino Linotype" w:hAnsi="Palatino Linotype" w:cs="Palatino Linotype"/>
          <w:i/>
          <w:sz w:val="22"/>
          <w:szCs w:val="22"/>
        </w:rPr>
        <w:t xml:space="preserve"> o</w:t>
      </w:r>
    </w:p>
    <w:p w:rsidR="00AE0458" w:rsidRPr="000F66F5" w:rsidRDefault="00AE0458" w:rsidP="00AE0458">
      <w:pPr>
        <w:ind w:left="993" w:right="902"/>
        <w:jc w:val="both"/>
        <w:rPr>
          <w:rFonts w:ascii="Palatino Linotype" w:eastAsia="Palatino Linotype" w:hAnsi="Palatino Linotype" w:cs="Palatino Linotype"/>
          <w:b/>
          <w:i/>
          <w:sz w:val="22"/>
          <w:szCs w:val="22"/>
        </w:rPr>
      </w:pPr>
      <w:r w:rsidRPr="000F66F5">
        <w:rPr>
          <w:rFonts w:ascii="Palatino Linotype" w:eastAsia="Palatino Linotype" w:hAnsi="Palatino Linotype" w:cs="Palatino Linotype"/>
          <w:b/>
          <w:i/>
          <w:sz w:val="22"/>
          <w:szCs w:val="22"/>
        </w:rPr>
        <w:t>IX. Cualquier otro convenido con instituciones de servicios y aceptado por el servidor público.</w:t>
      </w:r>
    </w:p>
    <w:p w:rsidR="00AE0458" w:rsidRPr="000F66F5" w:rsidRDefault="00AE0458" w:rsidP="00AE0458">
      <w:pPr>
        <w:spacing w:before="240" w:after="240"/>
        <w:ind w:left="851" w:right="900"/>
        <w:jc w:val="both"/>
        <w:rPr>
          <w:rFonts w:ascii="Palatino Linotype" w:eastAsia="Palatino Linotype" w:hAnsi="Palatino Linotype" w:cs="Palatino Linotype"/>
          <w:i/>
          <w:sz w:val="22"/>
          <w:szCs w:val="22"/>
        </w:rPr>
      </w:pPr>
      <w:r w:rsidRPr="000F66F5">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Como se puede observar, la Ley del Trabajo de mérito establece claramente cuáles son esos descuentos o gravámenes que directamente se relacionan con las obligaciones adquiridas como servidores públicos y aquéllos que únicamente </w:t>
      </w:r>
      <w:r w:rsidRPr="00E6237A">
        <w:rPr>
          <w:rFonts w:ascii="Palatino Linotype" w:eastAsia="Palatino Linotype" w:hAnsi="Palatino Linotype" w:cs="Palatino Linotype"/>
        </w:rPr>
        <w:lastRenderedPageBreak/>
        <w:t>inciden en su vida privada. De este modo, descuentos por pensiones alimenticias o créditos adquiridos con instituciones privadas que no se relacionen con el gasto público, son información que debe clasificarse como confidencial.</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Con relación al </w:t>
      </w:r>
      <w:r w:rsidRPr="00E6237A">
        <w:rPr>
          <w:rFonts w:ascii="Palatino Linotype" w:eastAsia="Palatino Linotype" w:hAnsi="Palatino Linotype" w:cs="Palatino Linotype"/>
          <w:b/>
        </w:rPr>
        <w:t>número de empleado</w:t>
      </w:r>
      <w:r w:rsidRPr="00E6237A">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E6237A">
        <w:rPr>
          <w:rFonts w:ascii="Palatino Linotype" w:eastAsia="Palatino Linotype" w:hAnsi="Palatino Linotype" w:cs="Palatino Linotype"/>
          <w:vertAlign w:val="superscript"/>
        </w:rPr>
        <w:footnoteReference w:id="3"/>
      </w:r>
      <w:r w:rsidRPr="00E6237A">
        <w:rPr>
          <w:rFonts w:ascii="Palatino Linotype" w:eastAsia="Palatino Linotype" w:hAnsi="Palatino Linotype" w:cs="Palatino Linotype"/>
        </w:rPr>
        <w:t>.</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rsidR="00AE0458" w:rsidRPr="00E6237A" w:rsidRDefault="00AE0458" w:rsidP="00AE0458">
      <w:pPr>
        <w:tabs>
          <w:tab w:val="left" w:pos="7655"/>
        </w:tabs>
        <w:spacing w:before="240" w:after="240"/>
        <w:ind w:left="993" w:right="992"/>
        <w:jc w:val="both"/>
        <w:rPr>
          <w:rFonts w:ascii="Palatino Linotype" w:eastAsia="Palatino Linotype" w:hAnsi="Palatino Linotype" w:cs="Palatino Linotype"/>
          <w:i/>
        </w:rPr>
      </w:pPr>
      <w:r w:rsidRPr="00E6237A">
        <w:rPr>
          <w:rFonts w:ascii="Palatino Linotype" w:eastAsia="Palatino Linotype" w:hAnsi="Palatino Linotype" w:cs="Palatino Linotype"/>
          <w:b/>
          <w:i/>
        </w:rPr>
        <w:t xml:space="preserve">“Número de empleado. </w:t>
      </w:r>
      <w:r w:rsidRPr="00E6237A">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rsidR="00AE0458" w:rsidRPr="00E6237A" w:rsidRDefault="00AE0458" w:rsidP="00AE0458">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w:t>
      </w:r>
      <w:r w:rsidRPr="00E6237A">
        <w:rPr>
          <w:rFonts w:ascii="Palatino Linotype" w:eastAsia="Palatino Linotype" w:hAnsi="Palatino Linotype" w:cs="Palatino Linotype"/>
        </w:rPr>
        <w:lastRenderedPageBreak/>
        <w:t xml:space="preserve">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E6237A">
        <w:rPr>
          <w:rFonts w:ascii="Palatino Linotype" w:eastAsia="Palatino Linotype" w:hAnsi="Palatino Linotype" w:cs="Palatino Linotype"/>
          <w:b/>
        </w:rPr>
        <w:t>Sujeto Obligado</w:t>
      </w:r>
      <w:r w:rsidRPr="00E6237A">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rsidR="00AE0458" w:rsidRPr="00377A7B" w:rsidRDefault="00AE0458" w:rsidP="00AE0458">
      <w:pPr>
        <w:spacing w:before="240" w:after="240" w:line="360" w:lineRule="auto"/>
        <w:jc w:val="both"/>
        <w:rPr>
          <w:rFonts w:ascii="Palatino Linotype" w:hAnsi="Palatino Linotype"/>
        </w:rPr>
      </w:pPr>
      <w:r w:rsidRPr="00377A7B">
        <w:rPr>
          <w:rFonts w:ascii="Palatino Linotype" w:hAnsi="Palatino Linotype"/>
          <w:b/>
          <w:bCs/>
        </w:rPr>
        <w:t>De la información fiscal</w:t>
      </w:r>
      <w:r w:rsidRPr="00377A7B">
        <w:rPr>
          <w:rFonts w:ascii="Palatino Linotype" w:hAnsi="Palatino Linotype"/>
        </w:rPr>
        <w:t xml:space="preserve">: </w:t>
      </w:r>
    </w:p>
    <w:p w:rsidR="00AE0458" w:rsidRPr="00377A7B" w:rsidRDefault="00AE0458" w:rsidP="00AE0458">
      <w:pPr>
        <w:spacing w:before="240" w:after="240" w:line="360" w:lineRule="auto"/>
        <w:jc w:val="both"/>
        <w:rPr>
          <w:rFonts w:ascii="Palatino Linotype" w:hAnsi="Palatino Linotype"/>
        </w:rPr>
      </w:pPr>
      <w:r w:rsidRPr="00377A7B">
        <w:rPr>
          <w:rFonts w:ascii="Palatino Linotype" w:hAnsi="Palatino Linotype"/>
        </w:rPr>
        <w:t xml:space="preserve">La </w:t>
      </w:r>
      <w:r w:rsidRPr="00377A7B">
        <w:rPr>
          <w:rFonts w:ascii="Palatino Linotype" w:hAnsi="Palatino Linotype"/>
          <w:b/>
        </w:rPr>
        <w:t>Cadena Original</w:t>
      </w:r>
      <w:r w:rsidRPr="00377A7B">
        <w:rPr>
          <w:rFonts w:ascii="Palatino Linotype" w:hAnsi="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377A7B">
        <w:rPr>
          <w:rFonts w:ascii="Palatino Linotype" w:hAnsi="Palatino Linotype"/>
          <w:b/>
          <w:bCs/>
        </w:rPr>
        <w:t>Sujeto Obligado</w:t>
      </w:r>
      <w:r w:rsidRPr="00377A7B">
        <w:rPr>
          <w:rFonts w:ascii="Palatino Linotype" w:hAnsi="Palatino Linotype"/>
        </w:rPr>
        <w:t xml:space="preserve"> analizar dicha circunstancia con la finalidad de proteger, de ser el caso, la información a través de su clasificación por actualizarse el supuesto de confidencialidad.</w:t>
      </w:r>
    </w:p>
    <w:p w:rsidR="00AE0458" w:rsidRPr="00377A7B" w:rsidRDefault="00AE0458" w:rsidP="00AE0458">
      <w:pPr>
        <w:spacing w:before="240" w:after="240" w:line="360" w:lineRule="auto"/>
        <w:jc w:val="both"/>
        <w:rPr>
          <w:rFonts w:ascii="Palatino Linotype" w:hAnsi="Palatino Linotype"/>
        </w:rPr>
      </w:pPr>
      <w:r w:rsidRPr="00377A7B">
        <w:rPr>
          <w:rFonts w:ascii="Palatino Linotype" w:hAnsi="Palatino Linotype" w:cs="Arial"/>
        </w:rPr>
        <w:t xml:space="preserve">Los </w:t>
      </w:r>
      <w:r w:rsidRPr="00377A7B">
        <w:rPr>
          <w:rFonts w:ascii="Palatino Linotype" w:hAnsi="Palatino Linotype" w:cs="Arial"/>
          <w:b/>
        </w:rPr>
        <w:t>códigos bidimensionales</w:t>
      </w:r>
      <w:r w:rsidRPr="00377A7B">
        <w:rPr>
          <w:rFonts w:ascii="Palatino Linotype" w:hAnsi="Palatino Linotype" w:cs="Arial"/>
        </w:rPr>
        <w:t xml:space="preserve"> o </w:t>
      </w:r>
      <w:r w:rsidRPr="00377A7B">
        <w:rPr>
          <w:rFonts w:ascii="Palatino Linotype" w:hAnsi="Palatino Linotype" w:cs="Arial"/>
          <w:b/>
        </w:rPr>
        <w:t xml:space="preserve">códigos QR, </w:t>
      </w:r>
      <w:r w:rsidRPr="00377A7B">
        <w:rPr>
          <w:rFonts w:ascii="Palatino Linotype" w:hAnsi="Palatino Linotype" w:cs="Arial"/>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377A7B">
        <w:rPr>
          <w:rFonts w:ascii="Palatino Linotype" w:hAnsi="Palatino Linotype"/>
        </w:rPr>
        <w:t xml:space="preserve">, debiendo el </w:t>
      </w:r>
      <w:r w:rsidRPr="00377A7B">
        <w:rPr>
          <w:rFonts w:ascii="Palatino Linotype" w:hAnsi="Palatino Linotype"/>
          <w:b/>
          <w:bCs/>
        </w:rPr>
        <w:lastRenderedPageBreak/>
        <w:t xml:space="preserve">Sujeto Obligado </w:t>
      </w:r>
      <w:r w:rsidRPr="00377A7B">
        <w:rPr>
          <w:rFonts w:ascii="Palatino Linotype" w:hAnsi="Palatino Linotype"/>
        </w:rPr>
        <w:t>analizar dicha circunstancia con la finalidad de determinar si se actualiza algún supuesto de confidencialidad.</w:t>
      </w:r>
    </w:p>
    <w:p w:rsidR="00AE0458" w:rsidRPr="00377A7B" w:rsidRDefault="00AE0458" w:rsidP="00AE0458">
      <w:pPr>
        <w:spacing w:before="240" w:after="240" w:line="360" w:lineRule="auto"/>
        <w:jc w:val="both"/>
        <w:rPr>
          <w:rFonts w:ascii="Palatino Linotype" w:hAnsi="Palatino Linotype" w:cs="Arial"/>
        </w:rPr>
      </w:pPr>
      <w:r w:rsidRPr="00377A7B">
        <w:rPr>
          <w:rFonts w:ascii="Palatino Linotype" w:hAnsi="Palatino Linotype" w:cs="Arial"/>
        </w:rPr>
        <w:t xml:space="preserve">En tal sentido, si derivado del análisis efectuado por </w:t>
      </w:r>
      <w:r w:rsidRPr="00377A7B">
        <w:rPr>
          <w:rFonts w:ascii="Palatino Linotype" w:hAnsi="Palatino Linotype" w:cs="Arial"/>
          <w:b/>
        </w:rPr>
        <w:t xml:space="preserve">Sujeto Obligado </w:t>
      </w:r>
      <w:r w:rsidRPr="00377A7B">
        <w:rPr>
          <w:rFonts w:ascii="Palatino Linotype" w:hAnsi="Palatino Linotype" w:cs="Arial"/>
          <w:bCs/>
        </w:rPr>
        <w:t>en el presente caso,</w:t>
      </w:r>
      <w:r w:rsidRPr="00377A7B">
        <w:rPr>
          <w:rFonts w:ascii="Palatino Linotype" w:hAnsi="Palatino Linotype" w:cs="Arial"/>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rsidR="00036220" w:rsidRDefault="007C7167" w:rsidP="00AE0458">
      <w:pPr>
        <w:spacing w:line="360" w:lineRule="auto"/>
        <w:jc w:val="both"/>
        <w:rPr>
          <w:rFonts w:ascii="Palatino Linotype" w:eastAsia="Palatino Linotype" w:hAnsi="Palatino Linotype" w:cs="Palatino Linotype"/>
        </w:rPr>
      </w:pPr>
      <w:r w:rsidRPr="00377A7B">
        <w:rPr>
          <w:rFonts w:ascii="Palatino Linotype" w:eastAsia="Palatino Linotype" w:hAnsi="Palatino Linotype" w:cs="Palatino Linotype"/>
        </w:rPr>
        <w:t xml:space="preserve">Por lo tanto, </w:t>
      </w:r>
      <w:r w:rsidRPr="00377A7B">
        <w:rPr>
          <w:rFonts w:ascii="Palatino Linotype" w:eastAsia="Palatino Linotype" w:hAnsi="Palatino Linotype" w:cs="Palatino Linotype"/>
          <w:b/>
        </w:rPr>
        <w:t>la entrega de documentos en su versión pública debe acompañarse necesariamente</w:t>
      </w:r>
      <w:r>
        <w:rPr>
          <w:rFonts w:ascii="Palatino Linotype" w:eastAsia="Palatino Linotype" w:hAnsi="Palatino Linotype" w:cs="Palatino Linotype"/>
          <w:b/>
        </w:rPr>
        <w:t xml:space="preserve"> del Acuerdo del Comité de Transparencia que la sustente</w:t>
      </w:r>
      <w:r>
        <w:rPr>
          <w:rFonts w:ascii="Palatino Linotype" w:eastAsia="Palatino Linotype" w:hAnsi="Palatino Linotype" w:cs="Palatino Linotype"/>
        </w:rPr>
        <w:t>,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036220" w:rsidRDefault="00036220" w:rsidP="00FA2B01">
      <w:pPr>
        <w:shd w:val="clear" w:color="auto" w:fill="FFFFFF"/>
        <w:spacing w:line="360" w:lineRule="auto"/>
        <w:ind w:right="51"/>
        <w:jc w:val="both"/>
        <w:rPr>
          <w:rFonts w:ascii="Palatino Linotype" w:eastAsia="Palatino Linotype" w:hAnsi="Palatino Linotype" w:cs="Palatino Linotype"/>
        </w:rPr>
      </w:pPr>
    </w:p>
    <w:p w:rsidR="003F37BF" w:rsidRPr="00E6237A" w:rsidRDefault="003F37BF" w:rsidP="003F37BF">
      <w:pPr>
        <w:spacing w:before="240" w:after="240" w:line="360" w:lineRule="auto"/>
        <w:ind w:right="50"/>
        <w:jc w:val="both"/>
        <w:rPr>
          <w:rFonts w:ascii="Palatino Linotype" w:eastAsia="Palatino Linotype" w:hAnsi="Palatino Linotype" w:cs="Palatino Linotype"/>
        </w:rPr>
      </w:pPr>
      <w:r w:rsidRPr="00E6237A">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3F37BF" w:rsidRPr="003F37BF" w:rsidRDefault="003F37BF" w:rsidP="003F37BF">
      <w:pPr>
        <w:spacing w:before="120" w:after="120" w:line="276" w:lineRule="auto"/>
        <w:ind w:left="851" w:right="900"/>
        <w:jc w:val="both"/>
        <w:rPr>
          <w:rFonts w:ascii="Palatino Linotype" w:eastAsia="Palatino Linotype" w:hAnsi="Palatino Linotype" w:cs="Palatino Linotype"/>
          <w:i/>
          <w:sz w:val="22"/>
          <w:szCs w:val="22"/>
        </w:rPr>
      </w:pPr>
      <w:r w:rsidRPr="003F37BF">
        <w:rPr>
          <w:rFonts w:ascii="Palatino Linotype" w:eastAsia="Palatino Linotype" w:hAnsi="Palatino Linotype" w:cs="Palatino Linotype"/>
          <w:b/>
          <w:i/>
          <w:sz w:val="22"/>
          <w:szCs w:val="22"/>
        </w:rPr>
        <w:t>“Artículo 49.</w:t>
      </w:r>
      <w:r w:rsidRPr="003F37BF">
        <w:rPr>
          <w:rFonts w:ascii="Palatino Linotype" w:eastAsia="Palatino Linotype" w:hAnsi="Palatino Linotype" w:cs="Palatino Linotype"/>
          <w:i/>
          <w:sz w:val="22"/>
          <w:szCs w:val="22"/>
        </w:rPr>
        <w:t xml:space="preserve"> </w:t>
      </w:r>
      <w:r w:rsidRPr="003F37BF">
        <w:rPr>
          <w:rFonts w:ascii="Palatino Linotype" w:eastAsia="Palatino Linotype" w:hAnsi="Palatino Linotype" w:cs="Palatino Linotype"/>
          <w:b/>
          <w:i/>
          <w:sz w:val="22"/>
          <w:szCs w:val="22"/>
        </w:rPr>
        <w:t>Los Comités de Transparencia</w:t>
      </w:r>
      <w:r w:rsidRPr="003F37BF">
        <w:rPr>
          <w:rFonts w:ascii="Palatino Linotype" w:eastAsia="Palatino Linotype" w:hAnsi="Palatino Linotype" w:cs="Palatino Linotype"/>
          <w:i/>
          <w:sz w:val="22"/>
          <w:szCs w:val="22"/>
        </w:rPr>
        <w:t xml:space="preserve"> tendrán las siguientes atribuciones:</w:t>
      </w:r>
    </w:p>
    <w:p w:rsidR="003F37BF" w:rsidRPr="003F37BF" w:rsidRDefault="003F37BF" w:rsidP="003F37BF">
      <w:pPr>
        <w:spacing w:before="120" w:after="120" w:line="276" w:lineRule="auto"/>
        <w:ind w:left="993" w:right="900"/>
        <w:jc w:val="both"/>
        <w:rPr>
          <w:rFonts w:ascii="Palatino Linotype" w:eastAsia="Palatino Linotype" w:hAnsi="Palatino Linotype" w:cs="Palatino Linotype"/>
          <w:i/>
          <w:sz w:val="22"/>
          <w:szCs w:val="22"/>
        </w:rPr>
      </w:pPr>
      <w:r w:rsidRPr="003F37BF">
        <w:rPr>
          <w:rFonts w:ascii="Palatino Linotype" w:eastAsia="Palatino Linotype" w:hAnsi="Palatino Linotype" w:cs="Palatino Linotype"/>
          <w:b/>
          <w:i/>
          <w:sz w:val="22"/>
          <w:szCs w:val="22"/>
        </w:rPr>
        <w:t>VIII. Aprobar, modificar o revocar la clasificación de la información</w:t>
      </w:r>
      <w:r w:rsidRPr="003F37BF">
        <w:rPr>
          <w:rFonts w:ascii="Palatino Linotype" w:eastAsia="Palatino Linotype" w:hAnsi="Palatino Linotype" w:cs="Palatino Linotype"/>
          <w:i/>
          <w:sz w:val="22"/>
          <w:szCs w:val="22"/>
        </w:rPr>
        <w:t>…”</w:t>
      </w:r>
    </w:p>
    <w:p w:rsidR="003F37BF" w:rsidRPr="003F37BF" w:rsidRDefault="003F37BF" w:rsidP="003F37BF">
      <w:pPr>
        <w:spacing w:before="120" w:after="120" w:line="276" w:lineRule="auto"/>
        <w:ind w:left="851" w:right="900"/>
        <w:jc w:val="both"/>
        <w:rPr>
          <w:rFonts w:ascii="Palatino Linotype" w:eastAsia="Palatino Linotype" w:hAnsi="Palatino Linotype" w:cs="Palatino Linotype"/>
          <w:i/>
          <w:sz w:val="22"/>
          <w:szCs w:val="22"/>
        </w:rPr>
      </w:pPr>
      <w:r w:rsidRPr="003F37BF">
        <w:rPr>
          <w:rFonts w:ascii="Palatino Linotype" w:eastAsia="Palatino Linotype" w:hAnsi="Palatino Linotype" w:cs="Palatino Linotype"/>
          <w:i/>
          <w:sz w:val="22"/>
          <w:szCs w:val="22"/>
        </w:rPr>
        <w:t>“</w:t>
      </w:r>
      <w:r w:rsidRPr="003F37BF">
        <w:rPr>
          <w:rFonts w:ascii="Palatino Linotype" w:eastAsia="Palatino Linotype" w:hAnsi="Palatino Linotype" w:cs="Palatino Linotype"/>
          <w:b/>
          <w:i/>
          <w:sz w:val="22"/>
          <w:szCs w:val="22"/>
        </w:rPr>
        <w:t>Artículo 53.</w:t>
      </w:r>
      <w:r w:rsidRPr="003F37BF">
        <w:rPr>
          <w:rFonts w:ascii="Palatino Linotype" w:eastAsia="Palatino Linotype" w:hAnsi="Palatino Linotype" w:cs="Palatino Linotype"/>
          <w:i/>
          <w:sz w:val="22"/>
          <w:szCs w:val="22"/>
        </w:rPr>
        <w:t xml:space="preserve"> Las </w:t>
      </w:r>
      <w:r w:rsidRPr="003F37BF">
        <w:rPr>
          <w:rFonts w:ascii="Palatino Linotype" w:eastAsia="Palatino Linotype" w:hAnsi="Palatino Linotype" w:cs="Palatino Linotype"/>
          <w:b/>
          <w:i/>
          <w:sz w:val="22"/>
          <w:szCs w:val="22"/>
        </w:rPr>
        <w:t>Unidades de Transparencia</w:t>
      </w:r>
      <w:r w:rsidRPr="003F37BF">
        <w:rPr>
          <w:rFonts w:ascii="Palatino Linotype" w:eastAsia="Palatino Linotype" w:hAnsi="Palatino Linotype" w:cs="Palatino Linotype"/>
          <w:i/>
          <w:sz w:val="22"/>
          <w:szCs w:val="22"/>
        </w:rPr>
        <w:t xml:space="preserve"> tendrán las siguientes </w:t>
      </w:r>
      <w:r w:rsidRPr="003F37BF">
        <w:rPr>
          <w:rFonts w:ascii="Palatino Linotype" w:eastAsia="Palatino Linotype" w:hAnsi="Palatino Linotype" w:cs="Palatino Linotype"/>
          <w:b/>
          <w:i/>
          <w:sz w:val="22"/>
          <w:szCs w:val="22"/>
        </w:rPr>
        <w:t>funciones</w:t>
      </w:r>
      <w:r w:rsidRPr="003F37BF">
        <w:rPr>
          <w:rFonts w:ascii="Palatino Linotype" w:eastAsia="Palatino Linotype" w:hAnsi="Palatino Linotype" w:cs="Palatino Linotype"/>
          <w:i/>
          <w:sz w:val="22"/>
          <w:szCs w:val="22"/>
        </w:rPr>
        <w:t>:</w:t>
      </w:r>
    </w:p>
    <w:p w:rsidR="003F37BF" w:rsidRPr="003F37BF" w:rsidRDefault="003F37BF" w:rsidP="003F37BF">
      <w:pPr>
        <w:spacing w:before="120" w:after="120" w:line="276" w:lineRule="auto"/>
        <w:ind w:left="993" w:right="900"/>
        <w:jc w:val="both"/>
        <w:rPr>
          <w:rFonts w:ascii="Palatino Linotype" w:eastAsia="Palatino Linotype" w:hAnsi="Palatino Linotype" w:cs="Palatino Linotype"/>
          <w:i/>
          <w:sz w:val="22"/>
          <w:szCs w:val="22"/>
        </w:rPr>
      </w:pPr>
      <w:r w:rsidRPr="003F37BF">
        <w:rPr>
          <w:rFonts w:ascii="Palatino Linotype" w:eastAsia="Palatino Linotype" w:hAnsi="Palatino Linotype" w:cs="Palatino Linotype"/>
          <w:b/>
          <w:i/>
          <w:sz w:val="22"/>
          <w:szCs w:val="22"/>
        </w:rPr>
        <w:t>X. Presentar ante el Comité, el proyecto de clasificación de información</w:t>
      </w:r>
      <w:r w:rsidRPr="003F37BF">
        <w:rPr>
          <w:rFonts w:ascii="Palatino Linotype" w:eastAsia="Palatino Linotype" w:hAnsi="Palatino Linotype" w:cs="Palatino Linotype"/>
          <w:i/>
          <w:sz w:val="22"/>
          <w:szCs w:val="22"/>
        </w:rPr>
        <w:t xml:space="preserve">…” </w:t>
      </w:r>
    </w:p>
    <w:p w:rsidR="003F37BF" w:rsidRPr="003F37BF" w:rsidRDefault="003F37BF" w:rsidP="003F37BF">
      <w:pPr>
        <w:spacing w:before="120" w:after="120" w:line="276" w:lineRule="auto"/>
        <w:ind w:left="851" w:right="900"/>
        <w:jc w:val="both"/>
        <w:rPr>
          <w:rFonts w:ascii="Palatino Linotype" w:eastAsia="Palatino Linotype" w:hAnsi="Palatino Linotype" w:cs="Palatino Linotype"/>
          <w:i/>
          <w:sz w:val="22"/>
          <w:szCs w:val="22"/>
        </w:rPr>
      </w:pPr>
      <w:r w:rsidRPr="003F37BF">
        <w:rPr>
          <w:rFonts w:ascii="Palatino Linotype" w:eastAsia="Palatino Linotype" w:hAnsi="Palatino Linotype" w:cs="Palatino Linotype"/>
          <w:b/>
          <w:i/>
          <w:sz w:val="22"/>
          <w:szCs w:val="22"/>
        </w:rPr>
        <w:t>“Artículo 59.</w:t>
      </w:r>
      <w:r w:rsidRPr="003F37BF">
        <w:rPr>
          <w:rFonts w:ascii="Palatino Linotype" w:eastAsia="Palatino Linotype" w:hAnsi="Palatino Linotype" w:cs="Palatino Linotype"/>
          <w:i/>
          <w:sz w:val="22"/>
          <w:szCs w:val="22"/>
        </w:rPr>
        <w:t xml:space="preserve"> Los </w:t>
      </w:r>
      <w:r w:rsidRPr="003F37BF">
        <w:rPr>
          <w:rFonts w:ascii="Palatino Linotype" w:eastAsia="Palatino Linotype" w:hAnsi="Palatino Linotype" w:cs="Palatino Linotype"/>
          <w:b/>
          <w:i/>
          <w:sz w:val="22"/>
          <w:szCs w:val="22"/>
        </w:rPr>
        <w:t>servidores públicos habilitados</w:t>
      </w:r>
      <w:r w:rsidRPr="003F37BF">
        <w:rPr>
          <w:rFonts w:ascii="Palatino Linotype" w:eastAsia="Palatino Linotype" w:hAnsi="Palatino Linotype" w:cs="Palatino Linotype"/>
          <w:i/>
          <w:sz w:val="22"/>
          <w:szCs w:val="22"/>
        </w:rPr>
        <w:t xml:space="preserve"> tendrán las </w:t>
      </w:r>
      <w:r w:rsidRPr="003F37BF">
        <w:rPr>
          <w:rFonts w:ascii="Palatino Linotype" w:eastAsia="Palatino Linotype" w:hAnsi="Palatino Linotype" w:cs="Palatino Linotype"/>
          <w:b/>
          <w:i/>
          <w:sz w:val="22"/>
          <w:szCs w:val="22"/>
        </w:rPr>
        <w:t>funciones</w:t>
      </w:r>
      <w:r w:rsidRPr="003F37BF">
        <w:rPr>
          <w:rFonts w:ascii="Palatino Linotype" w:eastAsia="Palatino Linotype" w:hAnsi="Palatino Linotype" w:cs="Palatino Linotype"/>
          <w:i/>
          <w:sz w:val="22"/>
          <w:szCs w:val="22"/>
        </w:rPr>
        <w:t xml:space="preserve"> siguientes:</w:t>
      </w:r>
    </w:p>
    <w:p w:rsidR="003F37BF" w:rsidRPr="003F37BF" w:rsidRDefault="003F37BF" w:rsidP="003F37BF">
      <w:pPr>
        <w:spacing w:before="120" w:after="120" w:line="276" w:lineRule="auto"/>
        <w:ind w:left="851" w:right="900"/>
        <w:jc w:val="both"/>
        <w:rPr>
          <w:rFonts w:ascii="Palatino Linotype" w:eastAsia="Palatino Linotype" w:hAnsi="Palatino Linotype" w:cs="Palatino Linotype"/>
          <w:i/>
          <w:sz w:val="22"/>
          <w:szCs w:val="22"/>
        </w:rPr>
      </w:pPr>
      <w:r w:rsidRPr="003F37BF">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F37BF">
        <w:rPr>
          <w:rFonts w:ascii="Palatino Linotype" w:eastAsia="Palatino Linotype" w:hAnsi="Palatino Linotype" w:cs="Palatino Linotype"/>
          <w:i/>
          <w:sz w:val="22"/>
          <w:szCs w:val="22"/>
        </w:rPr>
        <w:t>, la cual tendrá los fundamentos y argumentos en que se basa dicha propuesta…”</w:t>
      </w:r>
    </w:p>
    <w:p w:rsidR="003F37BF" w:rsidRPr="00E6237A" w:rsidRDefault="003F37BF" w:rsidP="003F37BF">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E6237A">
        <w:rPr>
          <w:rFonts w:ascii="Palatino Linotype" w:eastAsia="Palatino Linotype" w:hAnsi="Palatino Linotype" w:cs="Palatino Linotype"/>
        </w:rPr>
        <w:lastRenderedPageBreak/>
        <w:t>de clasificación de la información y finalmente sea éste último quien apruebe, modifique o revoque la clasificación de la información solicitada.</w:t>
      </w:r>
    </w:p>
    <w:p w:rsidR="003F37BF" w:rsidRPr="00E6237A" w:rsidRDefault="003F37BF" w:rsidP="003F37BF">
      <w:pPr>
        <w:spacing w:before="240" w:after="240" w:line="360" w:lineRule="auto"/>
        <w:jc w:val="both"/>
        <w:rPr>
          <w:rFonts w:ascii="Palatino Linotype" w:eastAsia="Palatino Linotype" w:hAnsi="Palatino Linotype" w:cs="Palatino Linotype"/>
        </w:rPr>
      </w:pPr>
      <w:r w:rsidRPr="00E6237A">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3F37BF" w:rsidRPr="00E6237A" w:rsidRDefault="003F37BF" w:rsidP="003F37BF">
      <w:pPr>
        <w:spacing w:after="240"/>
        <w:ind w:left="851" w:right="900"/>
        <w:jc w:val="both"/>
        <w:rPr>
          <w:rFonts w:ascii="Palatino Linotype" w:eastAsia="Palatino Linotype" w:hAnsi="Palatino Linotype" w:cs="Palatino Linotype"/>
          <w:i/>
        </w:rPr>
      </w:pPr>
      <w:r w:rsidRPr="00E6237A">
        <w:rPr>
          <w:rFonts w:ascii="Palatino Linotype" w:eastAsia="Palatino Linotype" w:hAnsi="Palatino Linotype" w:cs="Palatino Linotype"/>
          <w:i/>
        </w:rPr>
        <w:t>“</w:t>
      </w:r>
      <w:r w:rsidRPr="00E6237A">
        <w:rPr>
          <w:rFonts w:ascii="Palatino Linotype" w:eastAsia="Palatino Linotype" w:hAnsi="Palatino Linotype" w:cs="Palatino Linotype"/>
          <w:b/>
          <w:i/>
        </w:rPr>
        <w:t>Artículo 149.</w:t>
      </w:r>
      <w:r w:rsidRPr="00E6237A">
        <w:rPr>
          <w:rFonts w:ascii="Palatino Linotype" w:eastAsia="Palatino Linotype" w:hAnsi="Palatino Linotype" w:cs="Palatino Linotype"/>
          <w:i/>
        </w:rPr>
        <w:t xml:space="preserve"> El </w:t>
      </w:r>
      <w:r w:rsidRPr="00E6237A">
        <w:rPr>
          <w:rFonts w:ascii="Palatino Linotype" w:eastAsia="Palatino Linotype" w:hAnsi="Palatino Linotype" w:cs="Palatino Linotype"/>
          <w:b/>
          <w:i/>
        </w:rPr>
        <w:t>acuerdo que clasifique la información como confidencial</w:t>
      </w:r>
      <w:r w:rsidRPr="00E6237A">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(Sic)</w:t>
      </w:r>
    </w:p>
    <w:p w:rsidR="003F37BF" w:rsidRPr="00E6237A" w:rsidRDefault="003F37BF" w:rsidP="003F37BF">
      <w:pPr>
        <w:spacing w:before="240" w:after="240" w:line="360" w:lineRule="auto"/>
        <w:ind w:right="51"/>
        <w:jc w:val="both"/>
        <w:rPr>
          <w:rFonts w:ascii="Palatino Linotype" w:eastAsia="Palatino Linotype" w:hAnsi="Palatino Linotype" w:cs="Palatino Linotype"/>
        </w:rPr>
      </w:pPr>
      <w:r w:rsidRPr="00E6237A">
        <w:rPr>
          <w:rFonts w:ascii="Palatino Linotype" w:eastAsia="Palatino Linotype" w:hAnsi="Palatino Linotype" w:cs="Palatino Linotype"/>
        </w:rPr>
        <w:t xml:space="preserve">Es decir, el </w:t>
      </w:r>
      <w:r w:rsidRPr="00E6237A">
        <w:rPr>
          <w:rFonts w:ascii="Palatino Linotype" w:eastAsia="Palatino Linotype" w:hAnsi="Palatino Linotype" w:cs="Palatino Linotype"/>
          <w:b/>
        </w:rPr>
        <w:t>Sujeto Obligado</w:t>
      </w:r>
      <w:r w:rsidRPr="00E6237A">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3F37BF" w:rsidRPr="00E6237A" w:rsidRDefault="003F37BF" w:rsidP="003F37BF">
      <w:pPr>
        <w:spacing w:before="240" w:after="240" w:line="360" w:lineRule="auto"/>
        <w:ind w:right="49"/>
        <w:jc w:val="both"/>
        <w:rPr>
          <w:rFonts w:ascii="Palatino Linotype" w:eastAsia="Palatino Linotype" w:hAnsi="Palatino Linotype" w:cs="Palatino Linotype"/>
        </w:rPr>
      </w:pPr>
      <w:bookmarkStart w:id="3" w:name="_heading=h.3dy6vkm" w:colFirst="0" w:colLast="0"/>
      <w:bookmarkEnd w:id="3"/>
      <w:r w:rsidRPr="00E6237A">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E6237A">
        <w:rPr>
          <w:rFonts w:ascii="Palatino Linotype" w:eastAsia="Palatino Linotype" w:hAnsi="Palatino Linotype" w:cs="Palatino Linotype"/>
          <w:b/>
        </w:rPr>
        <w:t>Sujeto Obligado</w:t>
      </w:r>
      <w:r w:rsidRPr="00E6237A">
        <w:rPr>
          <w:rFonts w:ascii="Palatino Linotype" w:eastAsia="Palatino Linotype" w:hAnsi="Palatino Linotype" w:cs="Palatino Linotype"/>
        </w:rPr>
        <w:t xml:space="preserve">, deberá emitir el acuerdo de clasificación de información debidamente fundado y motivado, en términos del numeral 132, fracciones II y III de la Ley de Transparencia y Acceso a la Información Pública del Estado de México y </w:t>
      </w:r>
      <w:r w:rsidRPr="00E6237A">
        <w:rPr>
          <w:rFonts w:ascii="Palatino Linotype" w:eastAsia="Palatino Linotype" w:hAnsi="Palatino Linotype" w:cs="Palatino Linotype"/>
        </w:rPr>
        <w:lastRenderedPageBreak/>
        <w:t>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b/>
          <w:i/>
          <w:sz w:val="21"/>
          <w:szCs w:val="21"/>
        </w:rPr>
      </w:pPr>
      <w:bookmarkStart w:id="4" w:name="_heading=h.1t3h5sf" w:colFirst="0" w:colLast="0"/>
      <w:bookmarkEnd w:id="4"/>
      <w:r w:rsidRPr="00E6237A">
        <w:rPr>
          <w:rFonts w:ascii="Palatino Linotype" w:eastAsia="Palatino Linotype" w:hAnsi="Palatino Linotype" w:cs="Palatino Linotype"/>
          <w:i/>
          <w:sz w:val="21"/>
          <w:szCs w:val="21"/>
        </w:rPr>
        <w:t>“</w:t>
      </w:r>
      <w:r w:rsidRPr="00E6237A">
        <w:rPr>
          <w:rFonts w:ascii="Palatino Linotype" w:eastAsia="Palatino Linotype" w:hAnsi="Palatino Linotype" w:cs="Palatino Linotype"/>
          <w:b/>
          <w:i/>
          <w:sz w:val="21"/>
          <w:szCs w:val="21"/>
        </w:rPr>
        <w:t>Artículo 132.</w:t>
      </w:r>
      <w:r w:rsidRPr="00E6237A">
        <w:rPr>
          <w:rFonts w:ascii="Palatino Linotype" w:eastAsia="Palatino Linotype" w:hAnsi="Palatino Linotype" w:cs="Palatino Linotype"/>
          <w:i/>
          <w:sz w:val="21"/>
          <w:szCs w:val="21"/>
        </w:rPr>
        <w:t xml:space="preserve"> </w:t>
      </w:r>
      <w:r w:rsidRPr="00E6237A">
        <w:rPr>
          <w:rFonts w:ascii="Palatino Linotype" w:eastAsia="Palatino Linotype" w:hAnsi="Palatino Linotype" w:cs="Palatino Linotype"/>
          <w:b/>
          <w:i/>
          <w:sz w:val="21"/>
          <w:szCs w:val="21"/>
        </w:rPr>
        <w:t>La clasificación de la información se llevará a cabo en el momento en que:</w:t>
      </w:r>
    </w:p>
    <w:p w:rsidR="003F37BF" w:rsidRPr="00E6237A" w:rsidRDefault="003F37BF" w:rsidP="003F37BF">
      <w:pPr>
        <w:tabs>
          <w:tab w:val="left" w:pos="8222"/>
        </w:tabs>
        <w:spacing w:before="120" w:after="120"/>
        <w:ind w:left="1134"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w:t>
      </w:r>
    </w:p>
    <w:p w:rsidR="003F37BF" w:rsidRPr="00E6237A" w:rsidRDefault="003F37BF" w:rsidP="003F37BF">
      <w:pPr>
        <w:tabs>
          <w:tab w:val="left" w:pos="8222"/>
        </w:tabs>
        <w:spacing w:before="120" w:after="120"/>
        <w:ind w:left="1134"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II.</w:t>
      </w:r>
      <w:r w:rsidRPr="00E6237A">
        <w:rPr>
          <w:rFonts w:ascii="Palatino Linotype" w:eastAsia="Palatino Linotype" w:hAnsi="Palatino Linotype" w:cs="Palatino Linotype"/>
          <w:i/>
          <w:sz w:val="21"/>
          <w:szCs w:val="21"/>
        </w:rPr>
        <w:t xml:space="preserve"> Se determine mediante resolución de autoridad competente; o</w:t>
      </w:r>
    </w:p>
    <w:p w:rsidR="003F37BF" w:rsidRPr="00E6237A" w:rsidRDefault="003F37BF" w:rsidP="003F37BF">
      <w:pPr>
        <w:tabs>
          <w:tab w:val="left" w:pos="8222"/>
        </w:tabs>
        <w:spacing w:before="120" w:after="120"/>
        <w:ind w:left="1134"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III</w:t>
      </w:r>
      <w:r w:rsidRPr="00E6237A">
        <w:rPr>
          <w:rFonts w:ascii="Palatino Linotype" w:eastAsia="Palatino Linotype" w:hAnsi="Palatino Linotype" w:cs="Palatino Linotype"/>
          <w:i/>
          <w:sz w:val="21"/>
          <w:szCs w:val="21"/>
        </w:rPr>
        <w:t xml:space="preserve">. </w:t>
      </w:r>
      <w:r w:rsidRPr="00E6237A">
        <w:rPr>
          <w:rFonts w:ascii="Palatino Linotype" w:eastAsia="Palatino Linotype" w:hAnsi="Palatino Linotype" w:cs="Palatino Linotype"/>
          <w:b/>
          <w:i/>
          <w:sz w:val="21"/>
          <w:szCs w:val="21"/>
        </w:rPr>
        <w:t>Se generen versiones públicas para dar cumplimiento a las obligaciones de transparencia previstas en esta Ley</w:t>
      </w:r>
      <w:r w:rsidRPr="00E6237A">
        <w:rPr>
          <w:rFonts w:ascii="Palatino Linotype" w:eastAsia="Palatino Linotype" w:hAnsi="Palatino Linotype" w:cs="Palatino Linotype"/>
          <w:i/>
          <w:sz w:val="21"/>
          <w:szCs w:val="21"/>
        </w:rPr>
        <w:t>.”</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w:t>
      </w:r>
      <w:r w:rsidRPr="00E6237A">
        <w:rPr>
          <w:rFonts w:ascii="Palatino Linotype" w:eastAsia="Palatino Linotype" w:hAnsi="Palatino Linotype" w:cs="Palatino Linotype"/>
          <w:b/>
          <w:i/>
          <w:sz w:val="21"/>
          <w:szCs w:val="21"/>
        </w:rPr>
        <w:t>Segundo.-</w:t>
      </w:r>
      <w:r w:rsidRPr="00E6237A">
        <w:rPr>
          <w:rFonts w:ascii="Palatino Linotype" w:eastAsia="Palatino Linotype" w:hAnsi="Palatino Linotype" w:cs="Palatino Linotype"/>
          <w:i/>
          <w:sz w:val="21"/>
          <w:szCs w:val="21"/>
        </w:rPr>
        <w:t xml:space="preserve"> Para efectos de los presentes Lineamientos Generales, se entenderá por:</w:t>
      </w:r>
    </w:p>
    <w:p w:rsidR="003F37BF" w:rsidRPr="00E6237A" w:rsidRDefault="003F37BF" w:rsidP="003F37BF">
      <w:pPr>
        <w:tabs>
          <w:tab w:val="left" w:pos="8222"/>
        </w:tabs>
        <w:spacing w:before="120" w:after="120"/>
        <w:ind w:left="1134"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XVIII.</w:t>
      </w:r>
      <w:r w:rsidRPr="00E6237A">
        <w:rPr>
          <w:rFonts w:ascii="Palatino Linotype" w:eastAsia="Palatino Linotype" w:hAnsi="Palatino Linotype" w:cs="Palatino Linotype"/>
          <w:i/>
          <w:sz w:val="21"/>
          <w:szCs w:val="21"/>
        </w:rPr>
        <w:t xml:space="preserve"> </w:t>
      </w:r>
      <w:r w:rsidRPr="00E6237A">
        <w:rPr>
          <w:rFonts w:ascii="Palatino Linotype" w:eastAsia="Palatino Linotype" w:hAnsi="Palatino Linotype" w:cs="Palatino Linotype"/>
          <w:b/>
          <w:i/>
          <w:sz w:val="21"/>
          <w:szCs w:val="21"/>
        </w:rPr>
        <w:t>Versión pública:</w:t>
      </w:r>
      <w:r w:rsidRPr="00E6237A">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E6237A">
        <w:rPr>
          <w:rFonts w:ascii="Palatino Linotype" w:eastAsia="Palatino Linotype" w:hAnsi="Palatino Linotype" w:cs="Palatino Linotype"/>
          <w:b/>
          <w:i/>
          <w:sz w:val="21"/>
          <w:szCs w:val="21"/>
        </w:rPr>
        <w:t>fundando y motivando la</w:t>
      </w:r>
      <w:r w:rsidRPr="00E6237A">
        <w:rPr>
          <w:rFonts w:ascii="Palatino Linotype" w:eastAsia="Palatino Linotype" w:hAnsi="Palatino Linotype" w:cs="Palatino Linotype"/>
          <w:i/>
          <w:sz w:val="21"/>
          <w:szCs w:val="21"/>
        </w:rPr>
        <w:t xml:space="preserve"> reserva o </w:t>
      </w:r>
      <w:r w:rsidRPr="00E6237A">
        <w:rPr>
          <w:rFonts w:ascii="Palatino Linotype" w:eastAsia="Palatino Linotype" w:hAnsi="Palatino Linotype" w:cs="Palatino Linotype"/>
          <w:b/>
          <w:i/>
          <w:sz w:val="21"/>
          <w:szCs w:val="21"/>
        </w:rPr>
        <w:t>confidencialidad</w:t>
      </w:r>
      <w:r w:rsidRPr="00E6237A">
        <w:rPr>
          <w:rFonts w:ascii="Palatino Linotype" w:eastAsia="Palatino Linotype" w:hAnsi="Palatino Linotype" w:cs="Palatino Linotype"/>
          <w:i/>
          <w:sz w:val="21"/>
          <w:szCs w:val="21"/>
        </w:rPr>
        <w:t>, a través de la resolución que para tal efecto emita el Comité de Transparencia.</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Cuarto.</w:t>
      </w:r>
      <w:r w:rsidRPr="00E6237A">
        <w:rPr>
          <w:rFonts w:ascii="Palatino Linotype" w:eastAsia="Palatino Linotype" w:hAnsi="Palatino Linotype" w:cs="Palatino Linotype"/>
          <w:i/>
          <w:sz w:val="21"/>
          <w:szCs w:val="21"/>
        </w:rPr>
        <w:t xml:space="preserve"> </w:t>
      </w:r>
      <w:r w:rsidRPr="00E6237A">
        <w:rPr>
          <w:rFonts w:ascii="Palatino Linotype" w:eastAsia="Palatino Linotype" w:hAnsi="Palatino Linotype" w:cs="Palatino Linotype"/>
          <w:b/>
          <w:i/>
          <w:sz w:val="21"/>
          <w:szCs w:val="21"/>
        </w:rPr>
        <w:t>Para clasificar la información como</w:t>
      </w:r>
      <w:r w:rsidRPr="00E6237A">
        <w:rPr>
          <w:rFonts w:ascii="Palatino Linotype" w:eastAsia="Palatino Linotype" w:hAnsi="Palatino Linotype" w:cs="Palatino Linotype"/>
          <w:i/>
          <w:sz w:val="21"/>
          <w:szCs w:val="21"/>
        </w:rPr>
        <w:t xml:space="preserve"> reservada o </w:t>
      </w:r>
      <w:r w:rsidRPr="00E6237A">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E6237A">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Quinto.</w:t>
      </w:r>
      <w:r w:rsidRPr="00E6237A">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E6237A">
        <w:rPr>
          <w:rFonts w:ascii="Palatino Linotype" w:eastAsia="Palatino Linotype" w:hAnsi="Palatino Linotype" w:cs="Palatino Linotype"/>
          <w:i/>
          <w:sz w:val="21"/>
          <w:szCs w:val="21"/>
        </w:rPr>
        <w:lastRenderedPageBreak/>
        <w:t>públicas para dar cumplimiento a las obligaciones de transparencia, observando lo dispuesto en la Ley General y las demás disposiciones aplicables en la materia.</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Sexto.</w:t>
      </w:r>
      <w:r w:rsidRPr="00E6237A">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Séptimo.</w:t>
      </w:r>
      <w:r w:rsidRPr="00E6237A">
        <w:rPr>
          <w:rFonts w:ascii="Palatino Linotype" w:eastAsia="Palatino Linotype" w:hAnsi="Palatino Linotype" w:cs="Palatino Linotype"/>
          <w:i/>
          <w:sz w:val="21"/>
          <w:szCs w:val="21"/>
        </w:rPr>
        <w:t xml:space="preserve"> La clasificación de la información se llevará a cabo en el momento en que:</w:t>
      </w:r>
    </w:p>
    <w:p w:rsidR="003F37BF" w:rsidRPr="00E6237A" w:rsidRDefault="003F37BF" w:rsidP="003F37BF">
      <w:pPr>
        <w:tabs>
          <w:tab w:val="left" w:pos="8222"/>
        </w:tabs>
        <w:spacing w:before="120" w:after="120"/>
        <w:ind w:left="1134"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I.</w:t>
      </w:r>
      <w:r w:rsidRPr="00E6237A">
        <w:rPr>
          <w:rFonts w:ascii="Palatino Linotype" w:eastAsia="Palatino Linotype" w:hAnsi="Palatino Linotype" w:cs="Palatino Linotype"/>
          <w:i/>
          <w:sz w:val="21"/>
          <w:szCs w:val="21"/>
        </w:rPr>
        <w:t xml:space="preserve"> Se reciba una solicitud de acceso a la información;</w:t>
      </w:r>
    </w:p>
    <w:p w:rsidR="003F37BF" w:rsidRPr="00E6237A" w:rsidRDefault="003F37BF" w:rsidP="003F37BF">
      <w:pPr>
        <w:tabs>
          <w:tab w:val="left" w:pos="8222"/>
        </w:tabs>
        <w:spacing w:before="120" w:after="120"/>
        <w:ind w:left="1134"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II.</w:t>
      </w:r>
      <w:r w:rsidRPr="00E6237A">
        <w:rPr>
          <w:rFonts w:ascii="Palatino Linotype" w:eastAsia="Palatino Linotype" w:hAnsi="Palatino Linotype" w:cs="Palatino Linotype"/>
          <w:i/>
          <w:sz w:val="21"/>
          <w:szCs w:val="21"/>
        </w:rPr>
        <w:t xml:space="preserve"> Se determine mediante resolución de autoridad competente, o</w:t>
      </w:r>
    </w:p>
    <w:p w:rsidR="003F37BF" w:rsidRPr="00E6237A" w:rsidRDefault="003F37BF" w:rsidP="003F37BF">
      <w:pPr>
        <w:tabs>
          <w:tab w:val="left" w:pos="8222"/>
        </w:tabs>
        <w:spacing w:before="120" w:after="120"/>
        <w:ind w:left="1134"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III.</w:t>
      </w:r>
      <w:r w:rsidRPr="00E6237A">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Octavo.</w:t>
      </w:r>
      <w:r w:rsidRPr="00E6237A">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Noveno.</w:t>
      </w:r>
      <w:r w:rsidRPr="00E6237A">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w:t>
      </w:r>
      <w:r w:rsidRPr="00E6237A">
        <w:rPr>
          <w:rFonts w:ascii="Palatino Linotype" w:eastAsia="Palatino Linotype" w:hAnsi="Palatino Linotype" w:cs="Palatino Linotype"/>
          <w:i/>
          <w:sz w:val="21"/>
          <w:szCs w:val="21"/>
        </w:rPr>
        <w:lastRenderedPageBreak/>
        <w:t>versión pública fundando y motivando la clasificación de las partes o secciones que se testen, siguiendo los procedimientos establecidos en el Capítulo IX de los presentes lineamientos.</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Décimo.</w:t>
      </w:r>
      <w:r w:rsidRPr="00E6237A">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rsidR="003F37BF" w:rsidRPr="00E6237A" w:rsidRDefault="003F37BF" w:rsidP="003F37BF">
      <w:pPr>
        <w:tabs>
          <w:tab w:val="left" w:pos="8222"/>
        </w:tabs>
        <w:spacing w:before="120" w:after="120"/>
        <w:ind w:left="851" w:right="1134"/>
        <w:jc w:val="both"/>
        <w:rPr>
          <w:rFonts w:ascii="Palatino Linotype" w:eastAsia="Palatino Linotype" w:hAnsi="Palatino Linotype" w:cs="Palatino Linotype"/>
          <w:i/>
          <w:sz w:val="21"/>
          <w:szCs w:val="21"/>
        </w:rPr>
      </w:pPr>
      <w:r w:rsidRPr="00E6237A">
        <w:rPr>
          <w:rFonts w:ascii="Palatino Linotype" w:eastAsia="Palatino Linotype" w:hAnsi="Palatino Linotype" w:cs="Palatino Linotype"/>
          <w:b/>
          <w:i/>
          <w:sz w:val="21"/>
          <w:szCs w:val="21"/>
        </w:rPr>
        <w:t>Décimo primero.</w:t>
      </w:r>
      <w:r w:rsidRPr="00E6237A">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rsidR="003F37BF" w:rsidRPr="00E6237A" w:rsidRDefault="003F37BF" w:rsidP="003F37BF">
      <w:pPr>
        <w:spacing w:before="240" w:after="240" w:line="360" w:lineRule="auto"/>
        <w:jc w:val="both"/>
        <w:rPr>
          <w:rFonts w:ascii="Palatino Linotype" w:eastAsia="Palatino Linotype" w:hAnsi="Palatino Linotype" w:cs="Palatino Linotype"/>
        </w:rPr>
      </w:pPr>
      <w:bookmarkStart w:id="5" w:name="_heading=h.4d34og8" w:colFirst="0" w:colLast="0"/>
      <w:bookmarkEnd w:id="5"/>
      <w:r w:rsidRPr="00E6237A">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E6237A">
        <w:rPr>
          <w:rFonts w:ascii="Palatino Linotype" w:eastAsia="Palatino Linotype" w:hAnsi="Palatino Linotype" w:cs="Palatino Linotype"/>
        </w:rPr>
        <w:t>supraindicados</w:t>
      </w:r>
      <w:proofErr w:type="spellEnd"/>
      <w:r w:rsidRPr="00E6237A">
        <w:rPr>
          <w:rFonts w:ascii="Palatino Linotype" w:eastAsia="Palatino Linotype" w:hAnsi="Palatino Linotype" w:cs="Palatino Linotype"/>
        </w:rPr>
        <w:t xml:space="preserve">, que establecen los formatos para la clasificación parcial y total de los documentos, conforme a lo siguiente: </w:t>
      </w:r>
    </w:p>
    <w:p w:rsidR="003F37BF" w:rsidRPr="00E6237A" w:rsidRDefault="003F37BF" w:rsidP="003F37BF">
      <w:pPr>
        <w:ind w:left="851" w:right="900"/>
        <w:jc w:val="center"/>
        <w:rPr>
          <w:rFonts w:ascii="Palatino Linotype" w:eastAsia="Palatino Linotype" w:hAnsi="Palatino Linotype" w:cs="Palatino Linotype"/>
          <w:b/>
          <w:i/>
        </w:rPr>
      </w:pPr>
      <w:r w:rsidRPr="00E6237A">
        <w:rPr>
          <w:rFonts w:ascii="Palatino Linotype" w:eastAsia="Palatino Linotype" w:hAnsi="Palatino Linotype" w:cs="Palatino Linotype"/>
          <w:b/>
          <w:i/>
        </w:rPr>
        <w:t>CAPÍTULO VIII</w:t>
      </w:r>
    </w:p>
    <w:p w:rsidR="003F37BF" w:rsidRPr="00E6237A" w:rsidRDefault="003F37BF" w:rsidP="003F37BF">
      <w:pPr>
        <w:ind w:left="851" w:right="900"/>
        <w:jc w:val="center"/>
        <w:rPr>
          <w:rFonts w:ascii="Palatino Linotype" w:eastAsia="Palatino Linotype" w:hAnsi="Palatino Linotype" w:cs="Palatino Linotype"/>
          <w:b/>
          <w:i/>
        </w:rPr>
      </w:pPr>
      <w:r w:rsidRPr="00E6237A">
        <w:rPr>
          <w:rFonts w:ascii="Palatino Linotype" w:eastAsia="Palatino Linotype" w:hAnsi="Palatino Linotype" w:cs="Palatino Linotype"/>
          <w:b/>
          <w:i/>
        </w:rPr>
        <w:t>DE LA LEYENDA DE CLASIFICACIÓN</w:t>
      </w:r>
    </w:p>
    <w:p w:rsidR="003F37BF" w:rsidRPr="00E6237A" w:rsidRDefault="003F37BF" w:rsidP="003F37BF">
      <w:pPr>
        <w:ind w:left="851" w:right="900"/>
        <w:jc w:val="both"/>
        <w:rPr>
          <w:rFonts w:ascii="Palatino Linotype" w:eastAsia="Palatino Linotype" w:hAnsi="Palatino Linotype" w:cs="Palatino Linotype"/>
          <w:i/>
        </w:rPr>
      </w:pPr>
      <w:r w:rsidRPr="00E6237A">
        <w:rPr>
          <w:rFonts w:ascii="Palatino Linotype" w:eastAsia="Palatino Linotype" w:hAnsi="Palatino Linotype" w:cs="Palatino Linotype"/>
          <w:i/>
        </w:rPr>
        <w:t>…</w:t>
      </w:r>
    </w:p>
    <w:p w:rsidR="003F37BF" w:rsidRPr="00E6237A" w:rsidRDefault="003F37BF" w:rsidP="003F37BF">
      <w:pPr>
        <w:ind w:left="851" w:right="900"/>
        <w:jc w:val="both"/>
        <w:rPr>
          <w:rFonts w:ascii="Palatino Linotype" w:eastAsia="Palatino Linotype" w:hAnsi="Palatino Linotype" w:cs="Palatino Linotype"/>
          <w:i/>
        </w:rPr>
      </w:pPr>
      <w:r w:rsidRPr="00E6237A">
        <w:rPr>
          <w:rFonts w:ascii="Palatino Linotype" w:eastAsia="Palatino Linotype" w:hAnsi="Palatino Linotype" w:cs="Palatino Linotype"/>
          <w:b/>
          <w:i/>
        </w:rPr>
        <w:t xml:space="preserve">Quincuagésimo tercero. </w:t>
      </w:r>
      <w:r w:rsidRPr="00E6237A">
        <w:rPr>
          <w:rFonts w:ascii="Palatino Linotype" w:eastAsia="Palatino Linotype" w:hAnsi="Palatino Linotype" w:cs="Palatino Linotype"/>
          <w:b/>
          <w:i/>
          <w:u w:val="single"/>
        </w:rPr>
        <w:t>El formato para señalar la clasificación parcial de un documento</w:t>
      </w:r>
      <w:r w:rsidRPr="00E6237A">
        <w:rPr>
          <w:rFonts w:ascii="Palatino Linotype" w:eastAsia="Palatino Linotype" w:hAnsi="Palatino Linotype" w:cs="Palatino Linotype"/>
          <w:i/>
        </w:rPr>
        <w:t>, es el siguiente:</w:t>
      </w:r>
    </w:p>
    <w:p w:rsidR="003F37BF" w:rsidRPr="00E6237A" w:rsidRDefault="003F37BF" w:rsidP="003F37BF">
      <w:pPr>
        <w:ind w:left="851" w:right="900"/>
        <w:jc w:val="both"/>
        <w:rPr>
          <w:rFonts w:ascii="Palatino Linotype" w:eastAsia="Palatino Linotype" w:hAnsi="Palatino Linotype" w:cs="Palatino Linotype"/>
          <w:b/>
          <w:i/>
        </w:rPr>
      </w:pPr>
      <w:r w:rsidRPr="00E6237A">
        <w:rPr>
          <w:rFonts w:ascii="Palatino Linotype" w:eastAsia="Palatino Linotype" w:hAnsi="Palatino Linotype" w:cs="Palatino Linotype"/>
          <w:b/>
          <w:i/>
        </w:rPr>
        <w:t>...</w:t>
      </w:r>
    </w:p>
    <w:p w:rsidR="003F37BF" w:rsidRPr="00E6237A" w:rsidRDefault="003F37BF" w:rsidP="003F37BF">
      <w:pPr>
        <w:ind w:left="851" w:right="900"/>
        <w:jc w:val="both"/>
        <w:rPr>
          <w:rFonts w:ascii="Palatino Linotype" w:eastAsia="Palatino Linotype" w:hAnsi="Palatino Linotype" w:cs="Palatino Linotype"/>
          <w:i/>
        </w:rPr>
      </w:pPr>
      <w:r w:rsidRPr="00E6237A">
        <w:rPr>
          <w:rFonts w:ascii="Palatino Linotype" w:eastAsia="Palatino Linotype" w:hAnsi="Palatino Linotype" w:cs="Palatino Linotype"/>
          <w:b/>
          <w:i/>
        </w:rPr>
        <w:t>Quincuagésimo quinto</w:t>
      </w:r>
      <w:r w:rsidRPr="00E6237A">
        <w:rPr>
          <w:rFonts w:ascii="Palatino Linotype" w:eastAsia="Palatino Linotype" w:hAnsi="Palatino Linotype" w:cs="Palatino Linotype"/>
          <w:i/>
        </w:rPr>
        <w:t>. Los documentos que integren un expediente reservado o confidencial en su totalidad no deberán marcarse en lo individual.</w:t>
      </w:r>
    </w:p>
    <w:p w:rsidR="003F37BF" w:rsidRPr="00E6237A" w:rsidRDefault="003F37BF" w:rsidP="003F37BF">
      <w:pPr>
        <w:ind w:left="851" w:right="900"/>
        <w:jc w:val="both"/>
        <w:rPr>
          <w:rFonts w:ascii="Palatino Linotype" w:eastAsia="Palatino Linotype" w:hAnsi="Palatino Linotype" w:cs="Palatino Linotype"/>
          <w:i/>
        </w:rPr>
      </w:pPr>
      <w:r w:rsidRPr="00E6237A">
        <w:rPr>
          <w:rFonts w:ascii="Palatino Linotype" w:eastAsia="Palatino Linotype" w:hAnsi="Palatino Linotype" w:cs="Palatino Linotype"/>
          <w:i/>
        </w:rPr>
        <w:t>Una vez desclasificados los expedientes, si existieren documentos que tuvieran el carácter de reservados o confidenciales, deberán ser marcados.</w:t>
      </w:r>
    </w:p>
    <w:p w:rsidR="003F37BF" w:rsidRPr="00E6237A" w:rsidRDefault="003F37BF" w:rsidP="003F37BF">
      <w:pPr>
        <w:ind w:left="851" w:right="900"/>
        <w:jc w:val="both"/>
        <w:rPr>
          <w:rFonts w:ascii="Palatino Linotype" w:eastAsia="Palatino Linotype" w:hAnsi="Palatino Linotype" w:cs="Palatino Linotype"/>
          <w:i/>
        </w:rPr>
      </w:pPr>
      <w:r w:rsidRPr="00E6237A">
        <w:rPr>
          <w:rFonts w:ascii="Palatino Linotype" w:eastAsia="Palatino Linotype" w:hAnsi="Palatino Linotype" w:cs="Palatino Linotype"/>
          <w:i/>
        </w:rPr>
        <w:lastRenderedPageBreak/>
        <w:t>El formato para señalar la clasificación de expedientes que por su naturaleza sean en su totalidad reservados o confidenciales, es el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3F37BF" w:rsidRPr="00926E9F" w:rsidTr="00CC4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3F37BF" w:rsidRPr="00926E9F" w:rsidRDefault="003F37BF" w:rsidP="00CC4600">
            <w:pPr>
              <w:jc w:val="center"/>
              <w:rPr>
                <w:rFonts w:ascii="Palatino Linotype" w:hAnsi="Palatino Linotype"/>
                <w:sz w:val="12"/>
                <w:szCs w:val="12"/>
              </w:rPr>
            </w:pPr>
            <w:r w:rsidRPr="00926E9F">
              <w:rPr>
                <w:rFonts w:ascii="Palatino Linotype" w:hAnsi="Palatino Linotype"/>
                <w:sz w:val="12"/>
                <w:szCs w:val="12"/>
              </w:rPr>
              <w:t>Parcial</w:t>
            </w:r>
          </w:p>
        </w:tc>
        <w:tc>
          <w:tcPr>
            <w:tcW w:w="4414" w:type="dxa"/>
            <w:gridSpan w:val="2"/>
          </w:tcPr>
          <w:p w:rsidR="003F37BF" w:rsidRPr="00926E9F" w:rsidRDefault="003F37BF" w:rsidP="00CC460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Total</w:t>
            </w:r>
          </w:p>
        </w:tc>
      </w:tr>
      <w:tr w:rsidR="003F37BF" w:rsidRPr="00926E9F" w:rsidTr="00CC4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center"/>
              <w:rPr>
                <w:rFonts w:ascii="Palatino Linotype" w:hAnsi="Palatino Linotype"/>
                <w:sz w:val="12"/>
                <w:szCs w:val="12"/>
              </w:rPr>
            </w:pPr>
            <w:r w:rsidRPr="00926E9F">
              <w:rPr>
                <w:rFonts w:ascii="Palatino Linotype" w:hAnsi="Palatino Linotype"/>
                <w:sz w:val="12"/>
                <w:szCs w:val="12"/>
              </w:rPr>
              <w:t>Concepto</w:t>
            </w:r>
          </w:p>
        </w:tc>
        <w:tc>
          <w:tcPr>
            <w:tcW w:w="3421" w:type="dxa"/>
          </w:tcPr>
          <w:p w:rsidR="003F37BF" w:rsidRPr="00926E9F" w:rsidRDefault="003F37BF" w:rsidP="00CC460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Dónde</w:t>
            </w:r>
          </w:p>
        </w:tc>
        <w:tc>
          <w:tcPr>
            <w:tcW w:w="968" w:type="dxa"/>
          </w:tcPr>
          <w:p w:rsidR="003F37BF" w:rsidRPr="00926E9F" w:rsidRDefault="003F37BF" w:rsidP="00CC460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Concepto</w:t>
            </w:r>
          </w:p>
        </w:tc>
        <w:tc>
          <w:tcPr>
            <w:tcW w:w="3446" w:type="dxa"/>
          </w:tcPr>
          <w:p w:rsidR="003F37BF" w:rsidRPr="00926E9F" w:rsidRDefault="003F37BF" w:rsidP="00CC4600">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Dónde</w:t>
            </w:r>
          </w:p>
        </w:tc>
      </w:tr>
      <w:tr w:rsidR="003F37BF" w:rsidRPr="00926E9F" w:rsidTr="00CC4600">
        <w:tc>
          <w:tcPr>
            <w:cnfStyle w:val="001000000000" w:firstRow="0" w:lastRow="0" w:firstColumn="1" w:lastColumn="0" w:oddVBand="0" w:evenVBand="0" w:oddHBand="0" w:evenHBand="0" w:firstRowFirstColumn="0" w:firstRowLastColumn="0" w:lastRowFirstColumn="0" w:lastRowLastColumn="0"/>
            <w:tcW w:w="8828" w:type="dxa"/>
            <w:gridSpan w:val="4"/>
          </w:tcPr>
          <w:p w:rsidR="003F37BF" w:rsidRPr="00926E9F" w:rsidRDefault="003F37BF" w:rsidP="00CC4600">
            <w:pPr>
              <w:jc w:val="center"/>
              <w:rPr>
                <w:rFonts w:ascii="Palatino Linotype" w:hAnsi="Palatino Linotype"/>
                <w:sz w:val="12"/>
                <w:szCs w:val="12"/>
              </w:rPr>
            </w:pPr>
            <w:r w:rsidRPr="00926E9F">
              <w:rPr>
                <w:rFonts w:ascii="Palatino Linotype" w:hAnsi="Palatino Linotype"/>
                <w:sz w:val="12"/>
                <w:szCs w:val="12"/>
              </w:rPr>
              <w:t>Sello oficial o logotipo del sujeto obligado</w:t>
            </w:r>
          </w:p>
        </w:tc>
      </w:tr>
      <w:tr w:rsidR="003F37BF" w:rsidRPr="00926E9F" w:rsidTr="00CC4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Fecha de clasificación</w:t>
            </w:r>
          </w:p>
        </w:tc>
        <w:tc>
          <w:tcPr>
            <w:tcW w:w="3421"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la que el Comité de Transparencia confirmó la clasificación del documento, en su caso.</w:t>
            </w:r>
          </w:p>
        </w:tc>
        <w:tc>
          <w:tcPr>
            <w:tcW w:w="968"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Fecha de clasificación</w:t>
            </w:r>
          </w:p>
        </w:tc>
        <w:tc>
          <w:tcPr>
            <w:tcW w:w="3446"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la que el Comité de Transparencia confirmó la clasificación del documento, en su caso.</w:t>
            </w:r>
          </w:p>
        </w:tc>
      </w:tr>
      <w:tr w:rsidR="003F37BF" w:rsidRPr="00926E9F" w:rsidTr="00CC4600">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Área</w:t>
            </w:r>
          </w:p>
        </w:tc>
        <w:tc>
          <w:tcPr>
            <w:tcW w:w="3421"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área del cual es titular quien clasifica.</w:t>
            </w:r>
          </w:p>
        </w:tc>
        <w:tc>
          <w:tcPr>
            <w:tcW w:w="968"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Área</w:t>
            </w:r>
          </w:p>
        </w:tc>
        <w:tc>
          <w:tcPr>
            <w:tcW w:w="3446"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área de la cual es el titular quien clasifica.</w:t>
            </w:r>
          </w:p>
        </w:tc>
      </w:tr>
      <w:tr w:rsidR="003F37BF" w:rsidRPr="00926E9F" w:rsidTr="00CC4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Información reservada</w:t>
            </w:r>
          </w:p>
        </w:tc>
        <w:tc>
          <w:tcPr>
            <w:tcW w:w="3421"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926E9F">
              <w:rPr>
                <w:rFonts w:ascii="Palatino Linotype" w:hAnsi="Palatino Linotype"/>
                <w:sz w:val="12"/>
                <w:szCs w:val="12"/>
              </w:rPr>
              <w:t>anotarán</w:t>
            </w:r>
            <w:proofErr w:type="gramEnd"/>
            <w:r w:rsidRPr="00926E9F">
              <w:rPr>
                <w:rFonts w:ascii="Palatino Linotype" w:hAnsi="Palatino Linotype"/>
                <w:sz w:val="12"/>
                <w:szCs w:val="12"/>
              </w:rPr>
              <w:t xml:space="preserve"> todas las páginas que lo conforman. Si el documento no contiene información reservada, se tachará este apartado.</w:t>
            </w:r>
          </w:p>
        </w:tc>
        <w:tc>
          <w:tcPr>
            <w:tcW w:w="968"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Reservado</w:t>
            </w:r>
          </w:p>
        </w:tc>
        <w:tc>
          <w:tcPr>
            <w:tcW w:w="3446"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Leyenda de información RESERVADA.</w:t>
            </w:r>
          </w:p>
        </w:tc>
      </w:tr>
      <w:tr w:rsidR="003F37BF" w:rsidRPr="00926E9F" w:rsidTr="00CC4600">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Fundamento legal</w:t>
            </w:r>
          </w:p>
        </w:tc>
        <w:tc>
          <w:tcPr>
            <w:tcW w:w="3421"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Periodo de reserva</w:t>
            </w:r>
          </w:p>
        </w:tc>
        <w:tc>
          <w:tcPr>
            <w:tcW w:w="3446"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3F37BF" w:rsidRPr="00926E9F" w:rsidTr="00CC4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Ampliación del periodo de reserva</w:t>
            </w:r>
          </w:p>
        </w:tc>
        <w:tc>
          <w:tcPr>
            <w:tcW w:w="3421"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Fundamento legal</w:t>
            </w:r>
          </w:p>
        </w:tc>
        <w:tc>
          <w:tcPr>
            <w:tcW w:w="3446"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 de los ordenamientos jurídicos, el o los artículos, fracción(es), párrafo(s) con base en los cuales se sustenta la reserva.</w:t>
            </w:r>
          </w:p>
        </w:tc>
      </w:tr>
      <w:tr w:rsidR="003F37BF" w:rsidRPr="00926E9F" w:rsidTr="00CC4600">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Confidencial</w:t>
            </w:r>
          </w:p>
        </w:tc>
        <w:tc>
          <w:tcPr>
            <w:tcW w:w="3421"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Ampliación del periodo de reserva</w:t>
            </w:r>
          </w:p>
        </w:tc>
        <w:tc>
          <w:tcPr>
            <w:tcW w:w="3446"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3F37BF" w:rsidRPr="00926E9F" w:rsidTr="00CC4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Fundamento legal</w:t>
            </w:r>
          </w:p>
        </w:tc>
        <w:tc>
          <w:tcPr>
            <w:tcW w:w="3421"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Confidencial</w:t>
            </w:r>
          </w:p>
        </w:tc>
        <w:tc>
          <w:tcPr>
            <w:tcW w:w="3446"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Leyenda de información CONFIDENCIAL.</w:t>
            </w:r>
          </w:p>
        </w:tc>
      </w:tr>
      <w:tr w:rsidR="003F37BF" w:rsidRPr="00926E9F" w:rsidTr="00CC4600">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Rúbrica del titular del área</w:t>
            </w:r>
          </w:p>
        </w:tc>
        <w:tc>
          <w:tcPr>
            <w:tcW w:w="3421"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clasifica.</w:t>
            </w:r>
          </w:p>
        </w:tc>
        <w:tc>
          <w:tcPr>
            <w:tcW w:w="968"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Fundamento legal</w:t>
            </w:r>
          </w:p>
        </w:tc>
        <w:tc>
          <w:tcPr>
            <w:tcW w:w="3446"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3F37BF" w:rsidRPr="00926E9F" w:rsidTr="00CC4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Fecha de desclasificación</w:t>
            </w:r>
          </w:p>
        </w:tc>
        <w:tc>
          <w:tcPr>
            <w:tcW w:w="3421"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que se desclasifica el documento.</w:t>
            </w:r>
          </w:p>
        </w:tc>
        <w:tc>
          <w:tcPr>
            <w:tcW w:w="968"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Rúbrica del titular del área</w:t>
            </w:r>
          </w:p>
        </w:tc>
        <w:tc>
          <w:tcPr>
            <w:tcW w:w="3446"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clasifica.</w:t>
            </w:r>
          </w:p>
        </w:tc>
      </w:tr>
      <w:tr w:rsidR="003F37BF" w:rsidRPr="00926E9F" w:rsidTr="00CC4600">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r w:rsidRPr="00926E9F">
              <w:rPr>
                <w:rFonts w:ascii="Palatino Linotype" w:hAnsi="Palatino Linotype"/>
                <w:sz w:val="12"/>
                <w:szCs w:val="12"/>
              </w:rPr>
              <w:t>Rúbrica y cargo del servidor público</w:t>
            </w:r>
          </w:p>
        </w:tc>
        <w:tc>
          <w:tcPr>
            <w:tcW w:w="3421"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desclasifica.</w:t>
            </w:r>
          </w:p>
        </w:tc>
        <w:tc>
          <w:tcPr>
            <w:tcW w:w="968"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Fecha de desclasificación</w:t>
            </w:r>
          </w:p>
        </w:tc>
        <w:tc>
          <w:tcPr>
            <w:tcW w:w="3446"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que se desclasifica.</w:t>
            </w:r>
          </w:p>
        </w:tc>
      </w:tr>
      <w:tr w:rsidR="003F37BF" w:rsidRPr="00926E9F" w:rsidTr="00CC4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p>
        </w:tc>
        <w:tc>
          <w:tcPr>
            <w:tcW w:w="3421"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Partes o secciones reservadas o confidenciales</w:t>
            </w:r>
          </w:p>
        </w:tc>
        <w:tc>
          <w:tcPr>
            <w:tcW w:w="3446" w:type="dxa"/>
          </w:tcPr>
          <w:p w:rsidR="003F37BF" w:rsidRPr="00926E9F" w:rsidRDefault="003F37BF" w:rsidP="00CC460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 xml:space="preserve">En caso que una vez desclasificado el expediente, </w:t>
            </w:r>
            <w:proofErr w:type="spellStart"/>
            <w:r w:rsidRPr="00926E9F">
              <w:rPr>
                <w:rFonts w:ascii="Palatino Linotype" w:hAnsi="Palatino Linotype"/>
                <w:sz w:val="12"/>
                <w:szCs w:val="12"/>
              </w:rPr>
              <w:t>subsistanpartes</w:t>
            </w:r>
            <w:proofErr w:type="spellEnd"/>
            <w:r w:rsidRPr="00926E9F">
              <w:rPr>
                <w:rFonts w:ascii="Palatino Linotype" w:hAnsi="Palatino Linotype"/>
                <w:sz w:val="12"/>
                <w:szCs w:val="12"/>
              </w:rPr>
              <w:t xml:space="preserve"> o secciones del mismo reservadas o confidenciales, se señalará este hecho.</w:t>
            </w:r>
          </w:p>
        </w:tc>
      </w:tr>
      <w:tr w:rsidR="003F37BF" w:rsidRPr="00926E9F" w:rsidTr="00CC4600">
        <w:tc>
          <w:tcPr>
            <w:cnfStyle w:val="001000000000" w:firstRow="0" w:lastRow="0" w:firstColumn="1" w:lastColumn="0" w:oddVBand="0" w:evenVBand="0" w:oddHBand="0" w:evenHBand="0" w:firstRowFirstColumn="0" w:firstRowLastColumn="0" w:lastRowFirstColumn="0" w:lastRowLastColumn="0"/>
            <w:tcW w:w="993" w:type="dxa"/>
          </w:tcPr>
          <w:p w:rsidR="003F37BF" w:rsidRPr="00926E9F" w:rsidRDefault="003F37BF" w:rsidP="00CC4600">
            <w:pPr>
              <w:jc w:val="both"/>
              <w:rPr>
                <w:rFonts w:ascii="Palatino Linotype" w:hAnsi="Palatino Linotype"/>
                <w:sz w:val="12"/>
                <w:szCs w:val="12"/>
              </w:rPr>
            </w:pPr>
          </w:p>
        </w:tc>
        <w:tc>
          <w:tcPr>
            <w:tcW w:w="3421"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Rúbrica y cargo del servidor público</w:t>
            </w:r>
          </w:p>
        </w:tc>
        <w:tc>
          <w:tcPr>
            <w:tcW w:w="3446" w:type="dxa"/>
          </w:tcPr>
          <w:p w:rsidR="003F37BF" w:rsidRPr="00926E9F" w:rsidRDefault="003F37BF" w:rsidP="00CC460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desclasifica.</w:t>
            </w:r>
          </w:p>
        </w:tc>
      </w:tr>
    </w:tbl>
    <w:p w:rsidR="003F37BF" w:rsidRDefault="003F37BF" w:rsidP="003F37BF"/>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036220" w:rsidRDefault="00036220" w:rsidP="00FA2B01">
      <w:pPr>
        <w:pBdr>
          <w:top w:val="nil"/>
          <w:left w:val="nil"/>
          <w:bottom w:val="nil"/>
          <w:right w:val="nil"/>
          <w:between w:val="nil"/>
        </w:pBdr>
        <w:spacing w:line="360" w:lineRule="auto"/>
        <w:ind w:left="1077"/>
        <w:rPr>
          <w:rFonts w:ascii="Palatino Linotype" w:eastAsia="Palatino Linotype" w:hAnsi="Palatino Linotype" w:cs="Palatino Linotype"/>
          <w:b/>
          <w:color w:val="000000"/>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sidR="00C21251" w:rsidRPr="00C21251">
        <w:rPr>
          <w:rFonts w:ascii="Palatino Linotype" w:eastAsia="Palatino Linotype" w:hAnsi="Palatino Linotype" w:cs="Palatino Linotype"/>
        </w:rPr>
        <w:t>parcialmente fundados</w:t>
      </w:r>
      <w:r w:rsidR="00C21251">
        <w:rPr>
          <w:rFonts w:ascii="Palatino Linotype" w:eastAsia="Palatino Linotype" w:hAnsi="Palatino Linotype" w:cs="Palatino Linotype"/>
        </w:rPr>
        <w:t xml:space="preserve"> </w:t>
      </w:r>
      <w:r>
        <w:rPr>
          <w:rFonts w:ascii="Palatino Linotype" w:eastAsia="Palatino Linotype" w:hAnsi="Palatino Linotype" w:cs="Palatino Linotype"/>
        </w:rPr>
        <w:t xml:space="preserve">los motivos de inconformidad hechos valer por </w:t>
      </w:r>
      <w:r w:rsidR="00C21251" w:rsidRPr="00C21251">
        <w:rPr>
          <w:rFonts w:ascii="Palatino Linotype" w:eastAsia="Palatino Linotype" w:hAnsi="Palatino Linotype" w:cs="Palatino Linotype"/>
        </w:rPr>
        <w:t>el</w:t>
      </w:r>
      <w:r w:rsidR="00C21251">
        <w:rPr>
          <w:rFonts w:ascii="Palatino Linotype" w:eastAsia="Palatino Linotype" w:hAnsi="Palatino Linotype" w:cs="Palatino Linotype"/>
          <w:b/>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13529/INFOEM/IP/RR/2022, </w:t>
      </w:r>
      <w:r>
        <w:rPr>
          <w:rFonts w:ascii="Palatino Linotype" w:eastAsia="Palatino Linotype" w:hAnsi="Palatino Linotype" w:cs="Palatino Linotype"/>
        </w:rPr>
        <w:t xml:space="preserve">por lo que, </w:t>
      </w:r>
      <w:r w:rsidR="00AC5877">
        <w:rPr>
          <w:rFonts w:ascii="Palatino Linotype" w:eastAsia="Palatino Linotype" w:hAnsi="Palatino Linotype" w:cs="Palatino Linotype"/>
        </w:rPr>
        <w:t>en términos de</w:t>
      </w:r>
      <w:r w:rsidR="00B96253">
        <w:rPr>
          <w:rFonts w:ascii="Palatino Linotype" w:eastAsia="Palatino Linotype" w:hAnsi="Palatino Linotype" w:cs="Palatino Linotype"/>
        </w:rPr>
        <w:t xml:space="preserve"> </w:t>
      </w:r>
      <w:r w:rsidR="00AC5877">
        <w:rPr>
          <w:rFonts w:ascii="Palatino Linotype" w:eastAsia="Palatino Linotype" w:hAnsi="Palatino Linotype" w:cs="Palatino Linotype"/>
        </w:rPr>
        <w:t>l</w:t>
      </w:r>
      <w:r w:rsidR="00B96253">
        <w:rPr>
          <w:rFonts w:ascii="Palatino Linotype" w:eastAsia="Palatino Linotype" w:hAnsi="Palatino Linotype" w:cs="Palatino Linotype"/>
        </w:rPr>
        <w:t>os</w:t>
      </w:r>
      <w:r w:rsidR="00AC5877">
        <w:rPr>
          <w:rFonts w:ascii="Palatino Linotype" w:eastAsia="Palatino Linotype" w:hAnsi="Palatino Linotype" w:cs="Palatino Linotype"/>
        </w:rPr>
        <w:t xml:space="preserve"> </w:t>
      </w:r>
      <w:r w:rsidR="00B96253" w:rsidRPr="00B96253">
        <w:rPr>
          <w:rFonts w:ascii="Palatino Linotype" w:eastAsia="Palatino Linotype" w:hAnsi="Palatino Linotype" w:cs="Palatino Linotype"/>
        </w:rPr>
        <w:t>Considerando</w:t>
      </w:r>
      <w:r w:rsidR="00B96253">
        <w:rPr>
          <w:rFonts w:ascii="Palatino Linotype" w:eastAsia="Palatino Linotype" w:hAnsi="Palatino Linotype" w:cs="Palatino Linotype"/>
        </w:rPr>
        <w:t>s</w:t>
      </w:r>
      <w:r w:rsidR="00B96253" w:rsidRPr="00B96253">
        <w:rPr>
          <w:rFonts w:ascii="Palatino Linotype" w:eastAsia="Palatino Linotype" w:hAnsi="Palatino Linotype" w:cs="Palatino Linotype"/>
        </w:rPr>
        <w:t xml:space="preserve"> Cuarto </w:t>
      </w:r>
      <w:r w:rsidR="00B96253">
        <w:rPr>
          <w:rFonts w:ascii="Palatino Linotype" w:eastAsia="Palatino Linotype" w:hAnsi="Palatino Linotype" w:cs="Palatino Linotype"/>
        </w:rPr>
        <w:t>y</w:t>
      </w:r>
      <w:r w:rsidR="00B96253" w:rsidRPr="00B96253">
        <w:rPr>
          <w:rFonts w:ascii="Palatino Linotype" w:eastAsia="Palatino Linotype" w:hAnsi="Palatino Linotype" w:cs="Palatino Linotype"/>
        </w:rPr>
        <w:t xml:space="preserve"> Quinto</w:t>
      </w:r>
      <w:r w:rsidR="00B96253">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w:t>
      </w:r>
      <w:r>
        <w:rPr>
          <w:rFonts w:ascii="Palatino Linotype" w:eastAsia="Palatino Linotype" w:hAnsi="Palatino Linotype" w:cs="Palatino Linotype"/>
          <w:b/>
        </w:rPr>
        <w:t>EL SUJETO OBLIGADO</w:t>
      </w:r>
      <w:r>
        <w:rPr>
          <w:rFonts w:ascii="Palatino Linotype" w:eastAsia="Palatino Linotype" w:hAnsi="Palatino Linotype" w:cs="Palatino Linotype"/>
        </w:rPr>
        <w:t>.</w:t>
      </w:r>
    </w:p>
    <w:p w:rsidR="00036220" w:rsidRDefault="00036220" w:rsidP="00FA2B01">
      <w:pPr>
        <w:spacing w:line="360" w:lineRule="auto"/>
        <w:jc w:val="both"/>
        <w:rPr>
          <w:rFonts w:ascii="Palatino Linotype" w:eastAsia="Palatino Linotype" w:hAnsi="Palatino Linotype" w:cs="Palatino Linotype"/>
        </w:rPr>
      </w:pPr>
    </w:p>
    <w:p w:rsidR="00C65107" w:rsidRDefault="007C7167" w:rsidP="00244EBF">
      <w:pPr>
        <w:spacing w:line="360" w:lineRule="auto"/>
        <w:ind w:right="49"/>
        <w:jc w:val="both"/>
        <w:rPr>
          <w:rFonts w:ascii="Palatino Linotype" w:eastAsia="Palatino Linotype" w:hAnsi="Palatino Linotype" w:cs="Palatino Linotype"/>
          <w:color w:val="FF0000"/>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w:t>
      </w:r>
      <w:r w:rsidR="00B96253">
        <w:rPr>
          <w:rFonts w:ascii="Palatino Linotype" w:eastAsia="Palatino Linotype" w:hAnsi="Palatino Linotype" w:cs="Palatino Linotype"/>
        </w:rPr>
        <w:t xml:space="preserve"> </w:t>
      </w:r>
      <w:r>
        <w:rPr>
          <w:rFonts w:ascii="Palatino Linotype" w:eastAsia="Palatino Linotype" w:hAnsi="Palatino Linotype" w:cs="Palatino Linotype"/>
        </w:rPr>
        <w:t>l</w:t>
      </w:r>
      <w:r w:rsidR="00B96253">
        <w:rPr>
          <w:rFonts w:ascii="Palatino Linotype" w:eastAsia="Palatino Linotype" w:hAnsi="Palatino Linotype" w:cs="Palatino Linotype"/>
        </w:rPr>
        <w:t>os</w:t>
      </w:r>
      <w:r>
        <w:rPr>
          <w:rFonts w:ascii="Palatino Linotype" w:eastAsia="Palatino Linotype" w:hAnsi="Palatino Linotype" w:cs="Palatino Linotype"/>
        </w:rPr>
        <w:t xml:space="preserve"> </w:t>
      </w:r>
      <w:r w:rsidR="00B96253" w:rsidRPr="00B96253">
        <w:rPr>
          <w:rFonts w:ascii="Palatino Linotype" w:eastAsia="Palatino Linotype" w:hAnsi="Palatino Linotype" w:cs="Palatino Linotype"/>
        </w:rPr>
        <w:t>Considerando</w:t>
      </w:r>
      <w:r w:rsidR="00B96253">
        <w:rPr>
          <w:rFonts w:ascii="Palatino Linotype" w:eastAsia="Palatino Linotype" w:hAnsi="Palatino Linotype" w:cs="Palatino Linotype"/>
        </w:rPr>
        <w:t>s</w:t>
      </w:r>
      <w:r w:rsidR="00B96253" w:rsidRPr="00B96253">
        <w:rPr>
          <w:rFonts w:ascii="Palatino Linotype" w:eastAsia="Palatino Linotype" w:hAnsi="Palatino Linotype" w:cs="Palatino Linotype"/>
        </w:rPr>
        <w:t xml:space="preserve"> Cuarto </w:t>
      </w:r>
      <w:r w:rsidR="00B96253">
        <w:rPr>
          <w:rFonts w:ascii="Palatino Linotype" w:eastAsia="Palatino Linotype" w:hAnsi="Palatino Linotype" w:cs="Palatino Linotype"/>
        </w:rPr>
        <w:t>y</w:t>
      </w:r>
      <w:r w:rsidR="00B96253" w:rsidRPr="00B96253">
        <w:rPr>
          <w:rFonts w:ascii="Palatino Linotype" w:eastAsia="Palatino Linotype" w:hAnsi="Palatino Linotype" w:cs="Palatino Linotype"/>
        </w:rPr>
        <w:t xml:space="preserve"> Quinto</w:t>
      </w:r>
      <w:r>
        <w:rPr>
          <w:rFonts w:ascii="Palatino Linotype" w:eastAsia="Palatino Linotype" w:hAnsi="Palatino Linotype" w:cs="Palatino Linotype"/>
          <w:b/>
        </w:rPr>
        <w:t>,</w:t>
      </w:r>
      <w:r>
        <w:rPr>
          <w:rFonts w:ascii="Palatino Linotype" w:eastAsia="Palatino Linotype" w:hAnsi="Palatino Linotype" w:cs="Palatino Linotype"/>
        </w:rPr>
        <w:t xml:space="preserve"> haga entrega vía </w:t>
      </w:r>
      <w:r w:rsidR="00244EBF" w:rsidRPr="00384F0D">
        <w:rPr>
          <w:rFonts w:ascii="Palatino Linotype" w:eastAsia="Palatino Linotype" w:hAnsi="Palatino Linotype" w:cs="Palatino Linotype"/>
        </w:rPr>
        <w:t>Sistema de Acceso a la Información Mexiquense</w:t>
      </w:r>
      <w:r w:rsidR="00244EBF">
        <w:rPr>
          <w:rFonts w:ascii="Palatino Linotype" w:eastAsia="Palatino Linotype" w:hAnsi="Palatino Linotype" w:cs="Palatino Linotype"/>
        </w:rPr>
        <w:t xml:space="preserve"> </w:t>
      </w:r>
      <w:r w:rsidR="005731C1">
        <w:rPr>
          <w:rFonts w:ascii="Palatino Linotype" w:eastAsia="Palatino Linotype" w:hAnsi="Palatino Linotype" w:cs="Palatino Linotype"/>
        </w:rPr>
        <w:t>(</w:t>
      </w:r>
      <w:r>
        <w:rPr>
          <w:rFonts w:ascii="Palatino Linotype" w:eastAsia="Palatino Linotype" w:hAnsi="Palatino Linotype" w:cs="Palatino Linotype"/>
        </w:rPr>
        <w:t>SAIMEX</w:t>
      </w:r>
      <w:r w:rsidR="005731C1">
        <w:rPr>
          <w:rFonts w:ascii="Palatino Linotype" w:eastAsia="Palatino Linotype" w:hAnsi="Palatino Linotype" w:cs="Palatino Linotype"/>
        </w:rPr>
        <w:t>)</w:t>
      </w:r>
      <w:r>
        <w:rPr>
          <w:rFonts w:ascii="Palatino Linotype" w:eastAsia="Palatino Linotype" w:hAnsi="Palatino Linotype" w:cs="Palatino Linotype"/>
        </w:rPr>
        <w:t xml:space="preserve">, </w:t>
      </w:r>
      <w:r w:rsidR="00244EBF">
        <w:rPr>
          <w:rFonts w:ascii="Palatino Linotype" w:eastAsia="Palatino Linotype" w:hAnsi="Palatino Linotype" w:cs="Palatino Linotype"/>
        </w:rPr>
        <w:t xml:space="preserve">en </w:t>
      </w:r>
      <w:r>
        <w:rPr>
          <w:rFonts w:ascii="Palatino Linotype" w:eastAsia="Palatino Linotype" w:hAnsi="Palatino Linotype" w:cs="Palatino Linotype"/>
        </w:rPr>
        <w:t xml:space="preserve">versión pública, </w:t>
      </w:r>
      <w:r w:rsidR="00244EBF">
        <w:rPr>
          <w:rFonts w:ascii="Palatino Linotype" w:eastAsia="Palatino Linotype" w:hAnsi="Palatino Linotype" w:cs="Palatino Linotype"/>
        </w:rPr>
        <w:t>los documentos donde conste lo siguiente:</w:t>
      </w:r>
    </w:p>
    <w:p w:rsidR="005731C1" w:rsidRPr="005731C1" w:rsidRDefault="005731C1" w:rsidP="005731C1">
      <w:pPr>
        <w:pStyle w:val="Prrafodelista"/>
        <w:spacing w:line="360" w:lineRule="auto"/>
        <w:ind w:left="720" w:right="49"/>
        <w:jc w:val="both"/>
        <w:rPr>
          <w:rFonts w:ascii="Palatino Linotype" w:eastAsia="Palatino Linotype" w:hAnsi="Palatino Linotype" w:cs="Palatino Linotype"/>
          <w:i/>
        </w:rPr>
      </w:pPr>
    </w:p>
    <w:p w:rsidR="005731C1" w:rsidRDefault="005731C1" w:rsidP="005731C1">
      <w:pPr>
        <w:pStyle w:val="Prrafodelista"/>
        <w:numPr>
          <w:ilvl w:val="0"/>
          <w:numId w:val="9"/>
        </w:numPr>
        <w:spacing w:line="360" w:lineRule="auto"/>
        <w:ind w:right="49"/>
        <w:jc w:val="both"/>
        <w:rPr>
          <w:rFonts w:ascii="Palatino Linotype" w:eastAsia="Palatino Linotype" w:hAnsi="Palatino Linotype" w:cs="Palatino Linotype"/>
          <w:color w:val="FF0000"/>
        </w:rPr>
      </w:pPr>
      <w:r w:rsidRPr="005731C1">
        <w:rPr>
          <w:rFonts w:ascii="Palatino Linotype" w:eastAsia="Palatino Linotype" w:hAnsi="Palatino Linotype" w:cs="Palatino Linotype"/>
          <w:i/>
        </w:rPr>
        <w:t xml:space="preserve">Sueldo quincenal de la Presidenta Municipal, Síndico Municipal, Regidoras y Regidores del Municipio de </w:t>
      </w:r>
      <w:proofErr w:type="spellStart"/>
      <w:r w:rsidRPr="005731C1">
        <w:rPr>
          <w:rFonts w:ascii="Palatino Linotype" w:eastAsia="Palatino Linotype" w:hAnsi="Palatino Linotype" w:cs="Palatino Linotype"/>
          <w:i/>
        </w:rPr>
        <w:t>Juchitepec</w:t>
      </w:r>
      <w:proofErr w:type="spellEnd"/>
      <w:r w:rsidRPr="005731C1">
        <w:rPr>
          <w:rFonts w:ascii="Palatino Linotype" w:eastAsia="Palatino Linotype" w:hAnsi="Palatino Linotype" w:cs="Palatino Linotype"/>
          <w:i/>
        </w:rPr>
        <w:t>, al treinta de junio de dos mil veintidós</w:t>
      </w:r>
      <w:r>
        <w:rPr>
          <w:rFonts w:ascii="Palatino Linotype" w:eastAsia="Palatino Linotype" w:hAnsi="Palatino Linotype" w:cs="Palatino Linotype"/>
          <w:color w:val="FF0000"/>
        </w:rPr>
        <w:t xml:space="preserve">. </w:t>
      </w:r>
    </w:p>
    <w:p w:rsidR="005731C1" w:rsidRPr="005731C1" w:rsidRDefault="005731C1" w:rsidP="005731C1">
      <w:pPr>
        <w:pStyle w:val="Prrafodelista"/>
        <w:spacing w:line="360" w:lineRule="auto"/>
        <w:ind w:left="1080" w:right="49"/>
        <w:jc w:val="both"/>
        <w:rPr>
          <w:rFonts w:ascii="Palatino Linotype" w:eastAsia="Palatino Linotype" w:hAnsi="Palatino Linotype" w:cs="Palatino Linotype"/>
          <w:color w:val="FF0000"/>
        </w:rPr>
      </w:pPr>
    </w:p>
    <w:p w:rsidR="00B63E56" w:rsidRPr="00A61845" w:rsidRDefault="00B63E56" w:rsidP="00B63E56">
      <w:pPr>
        <w:pBdr>
          <w:top w:val="nil"/>
          <w:left w:val="nil"/>
          <w:bottom w:val="nil"/>
          <w:right w:val="nil"/>
          <w:between w:val="nil"/>
        </w:pBdr>
        <w:spacing w:after="240" w:line="360" w:lineRule="auto"/>
        <w:ind w:left="720" w:right="49"/>
        <w:jc w:val="both"/>
        <w:rPr>
          <w:rFonts w:ascii="Palatino Linotype" w:eastAsia="Palatino Linotype" w:hAnsi="Palatino Linotype" w:cs="Palatino Linotype"/>
          <w:i/>
          <w:sz w:val="22"/>
          <w:szCs w:val="22"/>
        </w:rPr>
      </w:pPr>
      <w:r w:rsidRPr="00A61845">
        <w:rPr>
          <w:rFonts w:ascii="Palatino Linotype" w:eastAsia="Palatino Linotype" w:hAnsi="Palatino Linotype" w:cs="Palatino Linotype"/>
          <w:i/>
          <w:sz w:val="22"/>
          <w:szCs w:val="22"/>
        </w:rPr>
        <w:t xml:space="preserve">Para la versión pública, deberá emitir el Acuerdo del Comité de Transparencia de conformidad con la Ley de Transparencia y Acceso a la Información Pública del Estado de México y Municipios, en el que funde y motive las razones sobre los datos que se supriman, </w:t>
      </w:r>
      <w:r w:rsidRPr="00A61845">
        <w:rPr>
          <w:rFonts w:ascii="Palatino Linotype" w:eastAsia="Palatino Linotype" w:hAnsi="Palatino Linotype" w:cs="Palatino Linotype"/>
          <w:i/>
          <w:sz w:val="22"/>
          <w:szCs w:val="22"/>
        </w:rPr>
        <w:lastRenderedPageBreak/>
        <w:t xml:space="preserve">eliminen o testen de los soportes documentales objeto de las versiones públicas que se formulen y se pongan a disposición del </w:t>
      </w:r>
      <w:r w:rsidRPr="00A61845">
        <w:rPr>
          <w:rFonts w:ascii="Palatino Linotype" w:eastAsia="Palatino Linotype" w:hAnsi="Palatino Linotype" w:cs="Palatino Linotype"/>
          <w:b/>
          <w:i/>
          <w:sz w:val="22"/>
          <w:szCs w:val="22"/>
        </w:rPr>
        <w:t>RECURRENTE</w:t>
      </w:r>
      <w:r w:rsidRPr="00A61845">
        <w:rPr>
          <w:rFonts w:ascii="Palatino Linotype" w:eastAsia="Palatino Linotype" w:hAnsi="Palatino Linotype" w:cs="Palatino Linotype"/>
          <w:i/>
          <w:sz w:val="22"/>
          <w:szCs w:val="22"/>
        </w:rPr>
        <w:t>, mismo que igualmente hará de su conocimiento.</w:t>
      </w:r>
    </w:p>
    <w:p w:rsidR="00036220" w:rsidRDefault="00036220" w:rsidP="00FA2B01">
      <w:pPr>
        <w:spacing w:line="360" w:lineRule="auto"/>
        <w:jc w:val="both"/>
        <w:rPr>
          <w:rFonts w:ascii="Palatino Linotype" w:eastAsia="Palatino Linotype" w:hAnsi="Palatino Linotype" w:cs="Palatino Linotype"/>
          <w:b/>
        </w:rPr>
      </w:pPr>
    </w:p>
    <w:p w:rsidR="00036220" w:rsidRDefault="007C7167" w:rsidP="00FA2B01">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TERCERO.</w:t>
      </w:r>
      <w:r>
        <w:rPr>
          <w:rFonts w:ascii="Palatino Linotype" w:eastAsia="Palatino Linotype" w:hAnsi="Palatino Linotype" w:cs="Palatino Linotype"/>
          <w:b/>
          <w:highlight w:val="white"/>
        </w:rPr>
        <w:t xml:space="preserve"> Notifíquese </w:t>
      </w:r>
      <w:r>
        <w:rPr>
          <w:rFonts w:ascii="Palatino Linotype" w:eastAsia="Palatino Linotype" w:hAnsi="Palatino Linotype" w:cs="Palatino Linotype"/>
          <w:highlight w:val="white"/>
        </w:rPr>
        <w:t>vía SAIMEX,</w:t>
      </w:r>
      <w:r>
        <w:rPr>
          <w:rFonts w:ascii="Palatino Linotype" w:eastAsia="Palatino Linotype" w:hAnsi="Palatino Linotype" w:cs="Palatino Linotype"/>
          <w:b/>
          <w:i/>
          <w:highlight w:val="white"/>
        </w:rPr>
        <w:t xml:space="preserve"> </w:t>
      </w:r>
      <w:r w:rsidR="00BF2947">
        <w:rPr>
          <w:rFonts w:ascii="Palatino Linotype" w:eastAsia="Palatino Linotype" w:hAnsi="Palatino Linotype" w:cs="Palatino Linotype"/>
          <w:highlight w:val="white"/>
        </w:rPr>
        <w:t xml:space="preserve">al </w:t>
      </w:r>
      <w:r>
        <w:rPr>
          <w:rFonts w:ascii="Palatino Linotype" w:eastAsia="Palatino Linotype" w:hAnsi="Palatino Linotype" w:cs="Palatino Linotype"/>
          <w:highlight w:val="white"/>
        </w:rPr>
        <w:t xml:space="preserve">Responsable de la Unidad de Transparencia del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036220" w:rsidRDefault="00036220" w:rsidP="00FA2B01">
      <w:pPr>
        <w:spacing w:line="360" w:lineRule="auto"/>
        <w:jc w:val="both"/>
        <w:rPr>
          <w:rFonts w:ascii="Palatino Linotype" w:eastAsia="Palatino Linotype" w:hAnsi="Palatino Linotype" w:cs="Palatino Linotype"/>
          <w:b/>
        </w:rPr>
      </w:pPr>
      <w:bookmarkStart w:id="6" w:name="_heading=h.3znysh7" w:colFirst="0" w:colLast="0"/>
      <w:bookmarkEnd w:id="6"/>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Notifíquese, vía SAIMEX, a </w:t>
      </w:r>
      <w:r w:rsidR="000F66F5">
        <w:rPr>
          <w:rFonts w:ascii="Palatino Linotype" w:eastAsia="Palatino Linotype" w:hAnsi="Palatino Linotype" w:cs="Palatino Linotype"/>
        </w:rPr>
        <w:t>el</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sidR="00BF2947" w:rsidRPr="00BF294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rsidR="00036220" w:rsidRDefault="00036220" w:rsidP="00FA2B01">
      <w:pPr>
        <w:spacing w:line="360" w:lineRule="auto"/>
        <w:jc w:val="both"/>
        <w:rPr>
          <w:rFonts w:ascii="Palatino Linotype" w:eastAsia="Palatino Linotype" w:hAnsi="Palatino Linotype" w:cs="Palatino Linotype"/>
        </w:rPr>
      </w:pPr>
    </w:p>
    <w:p w:rsidR="00036220" w:rsidRDefault="007C7167" w:rsidP="00FA2B01">
      <w:pPr>
        <w:spacing w:line="360" w:lineRule="auto"/>
        <w:jc w:val="both"/>
        <w:rPr>
          <w:rFonts w:ascii="Palatino Linotype" w:eastAsia="Palatino Linotype" w:hAnsi="Palatino Linotype" w:cs="Palatino Linotype"/>
        </w:rPr>
        <w:sectPr w:rsidR="00036220">
          <w:headerReference w:type="default" r:id="rId11"/>
          <w:footerReference w:type="default" r:id="rId12"/>
          <w:headerReference w:type="first" r:id="rId13"/>
          <w:footerReference w:type="first" r:id="rId14"/>
          <w:pgSz w:w="12240" w:h="15840"/>
          <w:pgMar w:top="2041" w:right="1701" w:bottom="1701" w:left="1701" w:header="709" w:footer="709" w:gutter="0"/>
          <w:pgNumType w:start="1"/>
          <w:cols w:space="720"/>
          <w:titlePg/>
        </w:sectPr>
      </w:pPr>
      <w:bookmarkStart w:id="7" w:name="_heading=h.1fob9te" w:colFirst="0" w:colLast="0"/>
      <w:bookmarkEnd w:id="7"/>
      <w:r>
        <w:rPr>
          <w:rFonts w:ascii="Palatino Linotype" w:eastAsia="Palatino Linotype" w:hAnsi="Palatino Linotype" w:cs="Palatino Linotype"/>
          <w:color w:val="222222"/>
          <w:highlight w:val="whit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w:t>
      </w:r>
      <w:r>
        <w:rPr>
          <w:rFonts w:ascii="Palatino Linotype" w:eastAsia="Palatino Linotype" w:hAnsi="Palatino Linotype" w:cs="Palatino Linotype"/>
          <w:color w:val="222222"/>
        </w:rPr>
        <w:t xml:space="preserve"> VEINTIDÓS DE FEBRERO DE DOS MIL VEINTITRÉS</w:t>
      </w:r>
      <w:r>
        <w:rPr>
          <w:rFonts w:ascii="Palatino Linotype" w:eastAsia="Palatino Linotype" w:hAnsi="Palatino Linotype" w:cs="Palatino Linotype"/>
        </w:rPr>
        <w:t xml:space="preserve">, ANTE EL SECRETARIO TÉCNICO DEL PLENO ALEXIS TAPIA RAMÍREZ.                              </w:t>
      </w:r>
    </w:p>
    <w:p w:rsidR="00036220" w:rsidRDefault="00036220" w:rsidP="00FA2B01">
      <w:pPr>
        <w:spacing w:line="360" w:lineRule="auto"/>
        <w:jc w:val="both"/>
        <w:rPr>
          <w:rFonts w:ascii="Palatino Linotype" w:eastAsia="Palatino Linotype" w:hAnsi="Palatino Linotype" w:cs="Palatino Linotype"/>
        </w:rPr>
      </w:pPr>
    </w:p>
    <w:p w:rsidR="00FA2B01" w:rsidRDefault="00FA2B01">
      <w:pPr>
        <w:spacing w:line="360" w:lineRule="auto"/>
        <w:jc w:val="both"/>
        <w:rPr>
          <w:rFonts w:ascii="Palatino Linotype" w:eastAsia="Palatino Linotype" w:hAnsi="Palatino Linotype" w:cs="Palatino Linotype"/>
        </w:rPr>
      </w:pPr>
    </w:p>
    <w:sectPr w:rsidR="00FA2B01">
      <w:headerReference w:type="first" r:id="rId1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506" w:rsidRDefault="00A45506">
      <w:r>
        <w:separator/>
      </w:r>
    </w:p>
  </w:endnote>
  <w:endnote w:type="continuationSeparator" w:id="0">
    <w:p w:rsidR="00A45506" w:rsidRDefault="00A4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E7" w:rsidRDefault="00A245E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C13E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C13E0">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rsidR="00A245E7" w:rsidRDefault="00A245E7">
    <w:pPr>
      <w:pBdr>
        <w:top w:val="nil"/>
        <w:left w:val="nil"/>
        <w:bottom w:val="nil"/>
        <w:right w:val="nil"/>
        <w:between w:val="nil"/>
      </w:pBdr>
      <w:tabs>
        <w:tab w:val="center" w:pos="4252"/>
        <w:tab w:val="right" w:pos="8504"/>
      </w:tabs>
      <w:rPr>
        <w:color w:val="000000"/>
      </w:rPr>
    </w:pPr>
  </w:p>
  <w:p w:rsidR="00A245E7" w:rsidRDefault="00A245E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E7" w:rsidRDefault="00A245E7">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C13E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C13E0">
      <w:rPr>
        <w:rFonts w:ascii="Arial" w:eastAsia="Arial" w:hAnsi="Arial" w:cs="Arial"/>
        <w:b/>
        <w:noProof/>
        <w:color w:val="000000"/>
        <w:sz w:val="20"/>
        <w:szCs w:val="20"/>
      </w:rPr>
      <w:t>44</w:t>
    </w:r>
    <w:r>
      <w:rPr>
        <w:rFonts w:ascii="Arial" w:eastAsia="Arial" w:hAnsi="Arial" w:cs="Arial"/>
        <w:b/>
        <w:color w:val="000000"/>
        <w:sz w:val="20"/>
        <w:szCs w:val="20"/>
      </w:rPr>
      <w:fldChar w:fldCharType="end"/>
    </w:r>
  </w:p>
  <w:p w:rsidR="00A245E7" w:rsidRDefault="00A245E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506" w:rsidRDefault="00A45506">
      <w:r>
        <w:separator/>
      </w:r>
    </w:p>
  </w:footnote>
  <w:footnote w:type="continuationSeparator" w:id="0">
    <w:p w:rsidR="00A45506" w:rsidRDefault="00A45506">
      <w:r>
        <w:continuationSeparator/>
      </w:r>
    </w:p>
  </w:footnote>
  <w:footnote w:id="1">
    <w:p w:rsidR="00A245E7" w:rsidRDefault="00A245E7">
      <w:pPr>
        <w:pBdr>
          <w:top w:val="nil"/>
          <w:left w:val="nil"/>
          <w:bottom w:val="nil"/>
          <w:right w:val="nil"/>
          <w:between w:val="nil"/>
        </w:pBdr>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En lo sucesivo, el </w:t>
      </w:r>
      <w:proofErr w:type="spellStart"/>
      <w:r>
        <w:rPr>
          <w:rFonts w:ascii="Palatino Linotype" w:eastAsia="Palatino Linotype" w:hAnsi="Palatino Linotype" w:cs="Palatino Linotype"/>
          <w:color w:val="000000"/>
          <w:sz w:val="20"/>
          <w:szCs w:val="20"/>
        </w:rPr>
        <w:t>Infoem</w:t>
      </w:r>
      <w:proofErr w:type="spellEnd"/>
      <w:r>
        <w:rPr>
          <w:rFonts w:ascii="Palatino Linotype" w:eastAsia="Palatino Linotype" w:hAnsi="Palatino Linotype" w:cs="Palatino Linotype"/>
          <w:color w:val="000000"/>
          <w:sz w:val="20"/>
          <w:szCs w:val="20"/>
        </w:rPr>
        <w:t xml:space="preserve">, el Instituto o el Órgano Garante. </w:t>
      </w:r>
    </w:p>
  </w:footnote>
  <w:footnote w:id="2">
    <w:p w:rsidR="00A245E7" w:rsidRDefault="00A245E7">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En adelante, el SAIMEX.</w:t>
      </w:r>
    </w:p>
  </w:footnote>
  <w:footnote w:id="3">
    <w:p w:rsidR="00AE0458" w:rsidRDefault="00AE0458" w:rsidP="00AE0458">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E7" w:rsidRDefault="00A245E7">
    <w:pPr>
      <w:widowControl w:val="0"/>
      <w:pBdr>
        <w:top w:val="nil"/>
        <w:left w:val="nil"/>
        <w:bottom w:val="nil"/>
        <w:right w:val="nil"/>
        <w:between w:val="nil"/>
      </w:pBdr>
      <w:spacing w:line="276" w:lineRule="auto"/>
      <w:rPr>
        <w:rFonts w:ascii="Calibri" w:eastAsia="Calibri" w:hAnsi="Calibri" w:cs="Calibri"/>
        <w:color w:val="000000"/>
      </w:rPr>
    </w:pPr>
  </w:p>
  <w:tbl>
    <w:tblPr>
      <w:tblStyle w:val="af1"/>
      <w:tblW w:w="5528" w:type="dxa"/>
      <w:tblInd w:w="3261" w:type="dxa"/>
      <w:tblLayout w:type="fixed"/>
      <w:tblLook w:val="0400" w:firstRow="0" w:lastRow="0" w:firstColumn="0" w:lastColumn="0" w:noHBand="0" w:noVBand="1"/>
    </w:tblPr>
    <w:tblGrid>
      <w:gridCol w:w="2551"/>
      <w:gridCol w:w="2977"/>
    </w:tblGrid>
    <w:tr w:rsidR="00A245E7">
      <w:tc>
        <w:tcPr>
          <w:tcW w:w="2551" w:type="dxa"/>
          <w:vAlign w:val="center"/>
        </w:tcPr>
        <w:p w:rsidR="00A245E7" w:rsidRDefault="00A245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A245E7" w:rsidRDefault="00A245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13529/INFOEM/IP/RR/2022</w:t>
          </w:r>
        </w:p>
      </w:tc>
    </w:tr>
    <w:tr w:rsidR="00A245E7">
      <w:trPr>
        <w:trHeight w:val="228"/>
      </w:trPr>
      <w:tc>
        <w:tcPr>
          <w:tcW w:w="2551" w:type="dxa"/>
          <w:vAlign w:val="center"/>
        </w:tcPr>
        <w:p w:rsidR="00A245E7" w:rsidRDefault="00A245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A245E7" w:rsidRDefault="00A245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Juchitepec</w:t>
          </w:r>
          <w:proofErr w:type="spellEnd"/>
        </w:p>
      </w:tc>
    </w:tr>
    <w:tr w:rsidR="00A245E7">
      <w:tc>
        <w:tcPr>
          <w:tcW w:w="2551" w:type="dxa"/>
          <w:vAlign w:val="center"/>
        </w:tcPr>
        <w:p w:rsidR="00A245E7" w:rsidRDefault="00A245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A245E7" w:rsidRDefault="00A245E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245E7" w:rsidRDefault="00A245E7">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-695767</wp:posOffset>
          </wp:positionH>
          <wp:positionV relativeFrom="paragraph">
            <wp:posOffset>-1200942</wp:posOffset>
          </wp:positionV>
          <wp:extent cx="7809876" cy="1016582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E7" w:rsidRDefault="00A245E7">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-846157</wp:posOffset>
          </wp:positionH>
          <wp:positionV relativeFrom="paragraph">
            <wp:posOffset>-171228</wp:posOffset>
          </wp:positionV>
          <wp:extent cx="7809876" cy="10165823"/>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0"/>
      <w:tblW w:w="5670" w:type="dxa"/>
      <w:tblInd w:w="3119" w:type="dxa"/>
      <w:tblLayout w:type="fixed"/>
      <w:tblLook w:val="0400" w:firstRow="0" w:lastRow="0" w:firstColumn="0" w:lastColumn="0" w:noHBand="0" w:noVBand="1"/>
    </w:tblPr>
    <w:tblGrid>
      <w:gridCol w:w="2551"/>
      <w:gridCol w:w="3119"/>
    </w:tblGrid>
    <w:tr w:rsidR="00A245E7">
      <w:tc>
        <w:tcPr>
          <w:tcW w:w="2551" w:type="dxa"/>
          <w:vAlign w:val="center"/>
        </w:tcPr>
        <w:p w:rsidR="00A245E7" w:rsidRDefault="00A245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A245E7" w:rsidRDefault="00A245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13529/INFOEM/IP/RR/2022. </w:t>
          </w:r>
        </w:p>
      </w:tc>
    </w:tr>
    <w:tr w:rsidR="00A245E7">
      <w:tc>
        <w:tcPr>
          <w:tcW w:w="2551" w:type="dxa"/>
          <w:vAlign w:val="center"/>
        </w:tcPr>
        <w:p w:rsidR="00A245E7" w:rsidRDefault="00A245E7">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A245E7" w:rsidRDefault="00A245E7">
          <w:pPr>
            <w:ind w:right="-533"/>
            <w:jc w:val="both"/>
            <w:rPr>
              <w:rFonts w:ascii="Palatino Linotype" w:eastAsia="Palatino Linotype" w:hAnsi="Palatino Linotype" w:cs="Palatino Linotype"/>
              <w:b/>
              <w:sz w:val="22"/>
              <w:szCs w:val="22"/>
            </w:rPr>
          </w:pPr>
        </w:p>
      </w:tc>
    </w:tr>
    <w:tr w:rsidR="00A245E7">
      <w:trPr>
        <w:trHeight w:val="228"/>
      </w:trPr>
      <w:tc>
        <w:tcPr>
          <w:tcW w:w="2551" w:type="dxa"/>
          <w:vAlign w:val="center"/>
        </w:tcPr>
        <w:p w:rsidR="00A245E7" w:rsidRDefault="00A245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A245E7" w:rsidRDefault="00A245E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Juchitepec</w:t>
          </w:r>
          <w:proofErr w:type="spellEnd"/>
        </w:p>
      </w:tc>
    </w:tr>
    <w:tr w:rsidR="00A245E7">
      <w:tc>
        <w:tcPr>
          <w:tcW w:w="2551" w:type="dxa"/>
          <w:vAlign w:val="center"/>
        </w:tcPr>
        <w:p w:rsidR="00A245E7" w:rsidRDefault="00A245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A245E7" w:rsidRDefault="00A245E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A245E7" w:rsidRDefault="00A245E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5E7" w:rsidRDefault="00A245E7">
    <w:pPr>
      <w:pBdr>
        <w:top w:val="nil"/>
        <w:left w:val="nil"/>
        <w:bottom w:val="nil"/>
        <w:right w:val="nil"/>
        <w:between w:val="nil"/>
      </w:pBdr>
      <w:tabs>
        <w:tab w:val="center" w:pos="4252"/>
        <w:tab w:val="right" w:pos="8504"/>
      </w:tabs>
      <w:jc w:val="both"/>
      <w:rPr>
        <w:rFonts w:ascii="Calibri" w:eastAsia="Calibri" w:hAnsi="Calibri" w:cs="Calibri"/>
        <w:color w:val="000000"/>
      </w:rPr>
    </w:pPr>
  </w:p>
  <w:p w:rsidR="00A245E7" w:rsidRDefault="00A245E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2BF"/>
    <w:multiLevelType w:val="multilevel"/>
    <w:tmpl w:val="1A1E4DD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9D4671"/>
    <w:multiLevelType w:val="multilevel"/>
    <w:tmpl w:val="33000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687EAA"/>
    <w:multiLevelType w:val="hybridMultilevel"/>
    <w:tmpl w:val="18141A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8C70B85"/>
    <w:multiLevelType w:val="multilevel"/>
    <w:tmpl w:val="64429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BAB5DED"/>
    <w:multiLevelType w:val="hybridMultilevel"/>
    <w:tmpl w:val="D73CBBDE"/>
    <w:lvl w:ilvl="0" w:tplc="E3CC86EE">
      <w:start w:val="1"/>
      <w:numFmt w:val="lowerLetter"/>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442E514E"/>
    <w:multiLevelType w:val="multilevel"/>
    <w:tmpl w:val="D2A82698"/>
    <w:lvl w:ilvl="0">
      <w:start w:val="1"/>
      <w:numFmt w:val="upperRoman"/>
      <w:lvlText w:val="%1."/>
      <w:lvlJc w:val="righ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6">
    <w:nsid w:val="53DF5452"/>
    <w:multiLevelType w:val="multilevel"/>
    <w:tmpl w:val="38F0A4E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67225CB7"/>
    <w:multiLevelType w:val="multilevel"/>
    <w:tmpl w:val="66DC6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63363E0"/>
    <w:multiLevelType w:val="multilevel"/>
    <w:tmpl w:val="8F6C9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7"/>
  </w:num>
  <w:num w:numId="3">
    <w:abstractNumId w:val="6"/>
  </w:num>
  <w:num w:numId="4">
    <w:abstractNumId w:val="5"/>
  </w:num>
  <w:num w:numId="5">
    <w:abstractNumId w:val="1"/>
  </w:num>
  <w:num w:numId="6">
    <w:abstractNumId w:val="8"/>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20"/>
    <w:rsid w:val="00036220"/>
    <w:rsid w:val="00070AC0"/>
    <w:rsid w:val="000715EE"/>
    <w:rsid w:val="000A3F93"/>
    <w:rsid w:val="000A6342"/>
    <w:rsid w:val="000F66F5"/>
    <w:rsid w:val="00110DE6"/>
    <w:rsid w:val="00114A0D"/>
    <w:rsid w:val="001A6DC7"/>
    <w:rsid w:val="001C2273"/>
    <w:rsid w:val="001C539E"/>
    <w:rsid w:val="001F26A7"/>
    <w:rsid w:val="002227CC"/>
    <w:rsid w:val="0022603B"/>
    <w:rsid w:val="00244EBF"/>
    <w:rsid w:val="002706ED"/>
    <w:rsid w:val="0032632A"/>
    <w:rsid w:val="003428DF"/>
    <w:rsid w:val="00377A7B"/>
    <w:rsid w:val="003F18EC"/>
    <w:rsid w:val="003F37BF"/>
    <w:rsid w:val="00451792"/>
    <w:rsid w:val="00495CA4"/>
    <w:rsid w:val="004E4F2E"/>
    <w:rsid w:val="004F131B"/>
    <w:rsid w:val="005731C1"/>
    <w:rsid w:val="005B54EC"/>
    <w:rsid w:val="005E5BE5"/>
    <w:rsid w:val="00626CB3"/>
    <w:rsid w:val="0062786C"/>
    <w:rsid w:val="006371BF"/>
    <w:rsid w:val="00651F10"/>
    <w:rsid w:val="006719C7"/>
    <w:rsid w:val="00696C65"/>
    <w:rsid w:val="007136ED"/>
    <w:rsid w:val="0073464D"/>
    <w:rsid w:val="0079423B"/>
    <w:rsid w:val="007C7167"/>
    <w:rsid w:val="0081026B"/>
    <w:rsid w:val="00863971"/>
    <w:rsid w:val="008C0D23"/>
    <w:rsid w:val="008C13E0"/>
    <w:rsid w:val="009001BB"/>
    <w:rsid w:val="00945211"/>
    <w:rsid w:val="009513C6"/>
    <w:rsid w:val="0096268C"/>
    <w:rsid w:val="009926AC"/>
    <w:rsid w:val="00995EA4"/>
    <w:rsid w:val="009E45AD"/>
    <w:rsid w:val="00A245E7"/>
    <w:rsid w:val="00A45506"/>
    <w:rsid w:val="00A97F38"/>
    <w:rsid w:val="00AA58A6"/>
    <w:rsid w:val="00AC5877"/>
    <w:rsid w:val="00AE0458"/>
    <w:rsid w:val="00B32903"/>
    <w:rsid w:val="00B63E56"/>
    <w:rsid w:val="00B96253"/>
    <w:rsid w:val="00BA4414"/>
    <w:rsid w:val="00BF2947"/>
    <w:rsid w:val="00C1408A"/>
    <w:rsid w:val="00C21251"/>
    <w:rsid w:val="00C34B16"/>
    <w:rsid w:val="00C45AFA"/>
    <w:rsid w:val="00C65107"/>
    <w:rsid w:val="00CA210F"/>
    <w:rsid w:val="00CB43EB"/>
    <w:rsid w:val="00CB614B"/>
    <w:rsid w:val="00E30B7D"/>
    <w:rsid w:val="00E44079"/>
    <w:rsid w:val="00E604AE"/>
    <w:rsid w:val="00E823B0"/>
    <w:rsid w:val="00E84453"/>
    <w:rsid w:val="00F85DC7"/>
    <w:rsid w:val="00FA2B01"/>
    <w:rsid w:val="00FF22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5F44D-B561-414F-9D41-CB5477694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19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styleId="Cita">
    <w:name w:val="Quote"/>
    <w:basedOn w:val="Normal"/>
    <w:next w:val="Normal"/>
    <w:link w:val="CitaCar"/>
    <w:uiPriority w:val="29"/>
    <w:qFormat/>
    <w:rsid w:val="00200965"/>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00965"/>
    <w:rPr>
      <w:i/>
      <w:iCs/>
      <w:color w:val="404040" w:themeColor="text1" w:themeTint="BF"/>
      <w:lang w:eastAsia="es-ES"/>
    </w:rPr>
  </w:style>
  <w:style w:type="paragraph" w:styleId="Listaconvietas3">
    <w:name w:val="List Bullet 3"/>
    <w:basedOn w:val="Normal"/>
    <w:uiPriority w:val="99"/>
    <w:unhideWhenUsed/>
    <w:rsid w:val="00F915D7"/>
    <w:pPr>
      <w:numPr>
        <w:numId w:val="7"/>
      </w:numPr>
      <w:contextualSpacing/>
    </w:pPr>
    <w:rPr>
      <w:lang w:val="es-MX" w:eastAsia="es-MX"/>
    </w:rPr>
  </w:style>
  <w:style w:type="paragraph" w:styleId="Textoindependiente2">
    <w:name w:val="Body Text 2"/>
    <w:basedOn w:val="Normal"/>
    <w:link w:val="Textoindependiente2Car"/>
    <w:uiPriority w:val="99"/>
    <w:semiHidden/>
    <w:unhideWhenUsed/>
    <w:rsid w:val="007945A1"/>
    <w:pPr>
      <w:spacing w:after="120" w:line="480" w:lineRule="auto"/>
    </w:pPr>
  </w:style>
  <w:style w:type="character" w:customStyle="1" w:styleId="Textoindependiente2Car">
    <w:name w:val="Texto independiente 2 Car"/>
    <w:basedOn w:val="Fuentedeprrafopredeter"/>
    <w:link w:val="Textoindependiente2"/>
    <w:uiPriority w:val="99"/>
    <w:semiHidden/>
    <w:rsid w:val="007945A1"/>
    <w:rPr>
      <w:lang w:eastAsia="es-ES"/>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3F37BF"/>
    <w:rPr>
      <w:rFonts w:eastAsia="MS Mincho"/>
      <w:lang w:val="es-MX"/>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kghPvo1E/bqbWs7KDM2YnfsZZA==">AMUW2mWjb6wi3ITKzA3PuW2LfZmXkyLcSWSo1WbnVD1Tp+J9D9l3J6C6VttqoyHMiPp6MtQLwxd+CCV2sZ0/mGQYZI0XBFqD33KDbYjwDOs247uI02AflGDeyZJIn2jKIc5YT93we0GRdApa0qcmzmSjwe3pmA3ydyX026ZhKVV4tsYue66bLXM=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476138-4BEB-40CE-A326-B4196C18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10440</Words>
  <Characters>57422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2023-02-23T18:41:00Z</cp:lastPrinted>
  <dcterms:created xsi:type="dcterms:W3CDTF">2023-02-28T17:50:00Z</dcterms:created>
  <dcterms:modified xsi:type="dcterms:W3CDTF">2023-02-28T17:50:00Z</dcterms:modified>
</cp:coreProperties>
</file>